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74A73" w14:textId="72A28816" w:rsidR="0047629D" w:rsidRPr="002744F0" w:rsidRDefault="00A71C3C" w:rsidP="00A71C3C">
      <w:pPr>
        <w:pStyle w:val="Pagedecouverture"/>
        <w:rPr>
          <w:noProof/>
        </w:rPr>
      </w:pPr>
      <w:r>
        <w:rPr>
          <w:noProof/>
        </w:rPr>
        <w:pict w14:anchorId="27224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99E4E198-A6F1-4522-96A1-BFC6836DE0FA" style="width:455.25pt;height:441pt">
            <v:imagedata r:id="rId11" o:title=""/>
          </v:shape>
        </w:pict>
      </w:r>
    </w:p>
    <w:p w14:paraId="21B00136" w14:textId="77777777" w:rsidR="0047629D" w:rsidRPr="002744F0" w:rsidRDefault="0047629D" w:rsidP="0047629D">
      <w:pPr>
        <w:rPr>
          <w:noProof/>
        </w:rPr>
        <w:sectPr w:rsidR="0047629D" w:rsidRPr="002744F0" w:rsidSect="00A71C3C">
          <w:footerReference w:type="default" r:id="rId12"/>
          <w:footnotePr>
            <w:numRestart w:val="eachSect"/>
          </w:footnotePr>
          <w:pgSz w:w="11907" w:h="16839"/>
          <w:pgMar w:top="1134" w:right="1417" w:bottom="1134" w:left="1417" w:header="709" w:footer="709" w:gutter="0"/>
          <w:pgNumType w:start="0"/>
          <w:cols w:space="720"/>
          <w:docGrid w:linePitch="360"/>
        </w:sectPr>
      </w:pPr>
    </w:p>
    <w:p w14:paraId="782B2983" w14:textId="77777777" w:rsidR="0047629D" w:rsidRPr="002744F0" w:rsidRDefault="0047629D" w:rsidP="005C4F36">
      <w:pPr>
        <w:pStyle w:val="Exposdesmotifstitre"/>
        <w:rPr>
          <w:noProof/>
        </w:rPr>
      </w:pPr>
      <w:bookmarkStart w:id="0" w:name="_GoBack"/>
      <w:bookmarkEnd w:id="0"/>
      <w:r w:rsidRPr="002744F0">
        <w:rPr>
          <w:noProof/>
        </w:rPr>
        <w:lastRenderedPageBreak/>
        <w:t>EXPLANATORY MEMORANDUM</w:t>
      </w:r>
    </w:p>
    <w:p w14:paraId="2AE48FEF" w14:textId="77777777" w:rsidR="0047629D" w:rsidRPr="002744F0" w:rsidRDefault="0047629D" w:rsidP="005C4F36">
      <w:pPr>
        <w:pStyle w:val="ManualHeading1"/>
        <w:rPr>
          <w:noProof/>
        </w:rPr>
      </w:pPr>
      <w:r w:rsidRPr="002744F0">
        <w:rPr>
          <w:noProof/>
        </w:rPr>
        <w:t>1.</w:t>
      </w:r>
      <w:r w:rsidRPr="002744F0">
        <w:rPr>
          <w:noProof/>
        </w:rPr>
        <w:tab/>
        <w:t>CONTEXT OF THE PROPOSAL</w:t>
      </w:r>
    </w:p>
    <w:p w14:paraId="1D729BB8" w14:textId="77777777" w:rsidR="0047629D" w:rsidRPr="002744F0" w:rsidRDefault="0047629D" w:rsidP="005C4F36">
      <w:pPr>
        <w:pStyle w:val="ManualHeading2"/>
        <w:rPr>
          <w:rFonts w:eastAsia="Arial Unicode MS"/>
          <w:noProof/>
        </w:rPr>
      </w:pPr>
      <w:r w:rsidRPr="002744F0">
        <w:rPr>
          <w:rFonts w:eastAsia="Arial Unicode MS"/>
          <w:noProof/>
          <w:color w:val="000000"/>
          <w:u w:color="000000"/>
          <w:bdr w:val="nil"/>
          <w:lang w:eastAsia="en-GB"/>
        </w:rPr>
        <w:t>•</w:t>
      </w:r>
      <w:r w:rsidRPr="002744F0">
        <w:rPr>
          <w:rFonts w:eastAsia="Arial Unicode MS"/>
          <w:noProof/>
          <w:color w:val="000000"/>
          <w:u w:color="000000"/>
          <w:bdr w:val="nil"/>
          <w:lang w:eastAsia="en-GB"/>
        </w:rPr>
        <w:tab/>
      </w:r>
      <w:r w:rsidRPr="002744F0">
        <w:rPr>
          <w:rFonts w:eastAsia="Arial Unicode MS"/>
          <w:noProof/>
        </w:rPr>
        <w:t>Reasons for and objectives of the proposal</w:t>
      </w:r>
    </w:p>
    <w:p w14:paraId="50CC97CB" w14:textId="77777777" w:rsidR="00D50B74" w:rsidRPr="002744F0" w:rsidRDefault="002821B9" w:rsidP="002821B9">
      <w:pPr>
        <w:pStyle w:val="Default"/>
        <w:jc w:val="both"/>
        <w:rPr>
          <w:noProof/>
        </w:rPr>
      </w:pPr>
      <w:r w:rsidRPr="002744F0">
        <w:rPr>
          <w:noProof/>
        </w:rPr>
        <w:t xml:space="preserve">EU water legislation shares an overarching objective </w:t>
      </w:r>
      <w:r w:rsidR="003525E9" w:rsidRPr="002744F0">
        <w:rPr>
          <w:noProof/>
        </w:rPr>
        <w:t>of</w:t>
      </w:r>
      <w:r w:rsidRPr="002744F0">
        <w:rPr>
          <w:noProof/>
        </w:rPr>
        <w:t xml:space="preserve"> protect</w:t>
      </w:r>
      <w:r w:rsidR="003525E9" w:rsidRPr="002744F0">
        <w:rPr>
          <w:noProof/>
        </w:rPr>
        <w:t>ing</w:t>
      </w:r>
      <w:r w:rsidRPr="002744F0">
        <w:rPr>
          <w:noProof/>
        </w:rPr>
        <w:t xml:space="preserve"> human health and the environment from the combined effects of toxic and/or persistent pollutants</w:t>
      </w:r>
      <w:r w:rsidR="00A131EF" w:rsidRPr="002744F0">
        <w:rPr>
          <w:noProof/>
        </w:rPr>
        <w:t>.</w:t>
      </w:r>
      <w:r w:rsidRPr="002744F0">
        <w:rPr>
          <w:noProof/>
        </w:rPr>
        <w:t xml:space="preserve"> </w:t>
      </w:r>
      <w:r w:rsidR="00A131EF" w:rsidRPr="002744F0">
        <w:rPr>
          <w:noProof/>
        </w:rPr>
        <w:t xml:space="preserve">This initiative concerns </w:t>
      </w:r>
      <w:r w:rsidR="005E4546" w:rsidRPr="002744F0">
        <w:rPr>
          <w:noProof/>
        </w:rPr>
        <w:t>Directive 2000/60/EC</w:t>
      </w:r>
      <w:r w:rsidR="005E4546" w:rsidRPr="002744F0">
        <w:rPr>
          <w:rStyle w:val="FootnoteReference"/>
          <w:noProof/>
        </w:rPr>
        <w:footnoteReference w:id="2"/>
      </w:r>
      <w:r w:rsidR="005E4546" w:rsidRPr="002744F0">
        <w:rPr>
          <w:noProof/>
        </w:rPr>
        <w:t xml:space="preserve"> (</w:t>
      </w:r>
      <w:r w:rsidR="00EE60A2" w:rsidRPr="002744F0">
        <w:rPr>
          <w:noProof/>
        </w:rPr>
        <w:t xml:space="preserve">the </w:t>
      </w:r>
      <w:r w:rsidR="00A131EF" w:rsidRPr="002744F0">
        <w:rPr>
          <w:noProof/>
        </w:rPr>
        <w:t>Water Framework Directive</w:t>
      </w:r>
      <w:r w:rsidR="003525E9" w:rsidRPr="002744F0">
        <w:rPr>
          <w:noProof/>
        </w:rPr>
        <w:t>,</w:t>
      </w:r>
      <w:r w:rsidR="00A131EF" w:rsidRPr="002744F0">
        <w:rPr>
          <w:noProof/>
        </w:rPr>
        <w:t xml:space="preserve"> </w:t>
      </w:r>
      <w:r w:rsidR="005E4546" w:rsidRPr="002744F0">
        <w:rPr>
          <w:noProof/>
        </w:rPr>
        <w:t xml:space="preserve">or </w:t>
      </w:r>
      <w:r w:rsidR="00A131EF" w:rsidRPr="002744F0">
        <w:rPr>
          <w:noProof/>
        </w:rPr>
        <w:t>WFD)</w:t>
      </w:r>
      <w:r w:rsidR="00A07126" w:rsidRPr="002744F0">
        <w:rPr>
          <w:noProof/>
        </w:rPr>
        <w:t xml:space="preserve"> and its two </w:t>
      </w:r>
      <w:r w:rsidR="003525E9" w:rsidRPr="002744F0">
        <w:rPr>
          <w:noProof/>
        </w:rPr>
        <w:t>‘</w:t>
      </w:r>
      <w:r w:rsidR="00A07126" w:rsidRPr="002744F0">
        <w:rPr>
          <w:noProof/>
        </w:rPr>
        <w:t>daughter</w:t>
      </w:r>
      <w:r w:rsidR="003525E9" w:rsidRPr="002744F0">
        <w:rPr>
          <w:noProof/>
        </w:rPr>
        <w:t>’</w:t>
      </w:r>
      <w:r w:rsidR="00A07126" w:rsidRPr="002744F0">
        <w:rPr>
          <w:noProof/>
        </w:rPr>
        <w:t xml:space="preserve"> directives</w:t>
      </w:r>
      <w:r w:rsidR="00A131EF" w:rsidRPr="002744F0">
        <w:rPr>
          <w:noProof/>
        </w:rPr>
        <w:t xml:space="preserve">, </w:t>
      </w:r>
      <w:r w:rsidR="005E4546" w:rsidRPr="002744F0">
        <w:rPr>
          <w:noProof/>
        </w:rPr>
        <w:t>Directive 2006/118/EC</w:t>
      </w:r>
      <w:r w:rsidR="005E4546" w:rsidRPr="002744F0">
        <w:rPr>
          <w:rStyle w:val="FootnoteReference"/>
          <w:noProof/>
        </w:rPr>
        <w:footnoteReference w:id="3"/>
      </w:r>
      <w:r w:rsidR="005E4546" w:rsidRPr="002744F0">
        <w:rPr>
          <w:noProof/>
        </w:rPr>
        <w:t xml:space="preserve"> (</w:t>
      </w:r>
      <w:r w:rsidR="00EE60A2" w:rsidRPr="002744F0">
        <w:rPr>
          <w:noProof/>
        </w:rPr>
        <w:t xml:space="preserve">the </w:t>
      </w:r>
      <w:r w:rsidR="005E4546" w:rsidRPr="002744F0">
        <w:rPr>
          <w:noProof/>
        </w:rPr>
        <w:t>Groundwater Directive</w:t>
      </w:r>
      <w:r w:rsidR="003525E9" w:rsidRPr="002744F0">
        <w:rPr>
          <w:noProof/>
        </w:rPr>
        <w:t>,</w:t>
      </w:r>
      <w:r w:rsidR="005E4546" w:rsidRPr="002744F0">
        <w:rPr>
          <w:noProof/>
        </w:rPr>
        <w:t xml:space="preserve"> or GWD) and Directive 2008/105/EC</w:t>
      </w:r>
      <w:r w:rsidR="005E4546" w:rsidRPr="002744F0">
        <w:rPr>
          <w:rStyle w:val="FootnoteReference"/>
          <w:noProof/>
        </w:rPr>
        <w:footnoteReference w:id="4"/>
      </w:r>
      <w:r w:rsidR="005E4546" w:rsidRPr="002744F0">
        <w:rPr>
          <w:noProof/>
        </w:rPr>
        <w:t xml:space="preserve"> (</w:t>
      </w:r>
      <w:r w:rsidR="00EE60A2" w:rsidRPr="002744F0">
        <w:rPr>
          <w:noProof/>
        </w:rPr>
        <w:t xml:space="preserve">the </w:t>
      </w:r>
      <w:r w:rsidR="00A131EF" w:rsidRPr="002744F0">
        <w:rPr>
          <w:noProof/>
        </w:rPr>
        <w:t>Environmental Quality Standards Directive</w:t>
      </w:r>
      <w:r w:rsidR="003525E9" w:rsidRPr="002744F0">
        <w:rPr>
          <w:noProof/>
        </w:rPr>
        <w:t>,</w:t>
      </w:r>
      <w:r w:rsidR="00A131EF" w:rsidRPr="002744F0">
        <w:rPr>
          <w:noProof/>
        </w:rPr>
        <w:t xml:space="preserve"> </w:t>
      </w:r>
      <w:r w:rsidR="005E4546" w:rsidRPr="002744F0">
        <w:rPr>
          <w:noProof/>
        </w:rPr>
        <w:t xml:space="preserve">or </w:t>
      </w:r>
      <w:r w:rsidR="00A131EF" w:rsidRPr="002744F0">
        <w:rPr>
          <w:noProof/>
        </w:rPr>
        <w:t>EQSD)</w:t>
      </w:r>
      <w:r w:rsidR="001A23F5" w:rsidRPr="002744F0">
        <w:rPr>
          <w:noProof/>
        </w:rPr>
        <w:t xml:space="preserve">, </w:t>
      </w:r>
      <w:r w:rsidR="00A131EF" w:rsidRPr="002744F0">
        <w:rPr>
          <w:noProof/>
        </w:rPr>
        <w:t>which together focus on the protection of</w:t>
      </w:r>
      <w:r w:rsidRPr="002744F0">
        <w:rPr>
          <w:noProof/>
        </w:rPr>
        <w:t xml:space="preserve"> </w:t>
      </w:r>
      <w:r w:rsidR="005E4546" w:rsidRPr="002744F0">
        <w:rPr>
          <w:noProof/>
        </w:rPr>
        <w:t xml:space="preserve">groundwater and </w:t>
      </w:r>
      <w:r w:rsidRPr="002744F0">
        <w:rPr>
          <w:noProof/>
        </w:rPr>
        <w:t>surface waters</w:t>
      </w:r>
      <w:r w:rsidR="00A131EF" w:rsidRPr="002744F0">
        <w:rPr>
          <w:rStyle w:val="FootnoteReference"/>
          <w:b/>
          <w:noProof/>
        </w:rPr>
        <w:footnoteReference w:id="5"/>
      </w:r>
      <w:r w:rsidRPr="002744F0">
        <w:rPr>
          <w:noProof/>
        </w:rPr>
        <w:t xml:space="preserve">. </w:t>
      </w:r>
      <w:r w:rsidR="00AC2732" w:rsidRPr="002744F0">
        <w:rPr>
          <w:noProof/>
        </w:rPr>
        <w:t>They complement other relevant pieces of water legislation, i.e. Directive (EU) 2020/2184 (</w:t>
      </w:r>
      <w:r w:rsidR="00EE60A2" w:rsidRPr="002744F0">
        <w:rPr>
          <w:noProof/>
        </w:rPr>
        <w:t xml:space="preserve">the </w:t>
      </w:r>
      <w:r w:rsidR="00AC2732" w:rsidRPr="002744F0">
        <w:rPr>
          <w:noProof/>
        </w:rPr>
        <w:t>Drinking Water Directive</w:t>
      </w:r>
      <w:r w:rsidR="003525E9" w:rsidRPr="002744F0">
        <w:rPr>
          <w:noProof/>
        </w:rPr>
        <w:t>,</w:t>
      </w:r>
      <w:r w:rsidR="00AC2732" w:rsidRPr="002744F0">
        <w:rPr>
          <w:noProof/>
        </w:rPr>
        <w:t xml:space="preserve"> or DWD)</w:t>
      </w:r>
      <w:r w:rsidR="00AC2732" w:rsidRPr="002744F0">
        <w:rPr>
          <w:rStyle w:val="FootnoteReference"/>
          <w:noProof/>
        </w:rPr>
        <w:footnoteReference w:id="6"/>
      </w:r>
      <w:r w:rsidR="00AC2732" w:rsidRPr="002744F0">
        <w:rPr>
          <w:noProof/>
        </w:rPr>
        <w:t>, Council Directive 91/271/EEC</w:t>
      </w:r>
      <w:r w:rsidR="00AC2732" w:rsidRPr="002744F0">
        <w:rPr>
          <w:rStyle w:val="FootnoteReference"/>
          <w:noProof/>
        </w:rPr>
        <w:footnoteReference w:id="7"/>
      </w:r>
      <w:r w:rsidR="00AC2732" w:rsidRPr="002744F0">
        <w:rPr>
          <w:noProof/>
        </w:rPr>
        <w:t xml:space="preserve"> (</w:t>
      </w:r>
      <w:r w:rsidR="00EE60A2" w:rsidRPr="002744F0">
        <w:rPr>
          <w:noProof/>
        </w:rPr>
        <w:t xml:space="preserve">the </w:t>
      </w:r>
      <w:r w:rsidR="00AC2732" w:rsidRPr="002744F0">
        <w:rPr>
          <w:noProof/>
        </w:rPr>
        <w:t>Urban Waste Water Treatment Directive</w:t>
      </w:r>
      <w:r w:rsidR="003525E9" w:rsidRPr="002744F0">
        <w:rPr>
          <w:noProof/>
        </w:rPr>
        <w:t>,</w:t>
      </w:r>
      <w:r w:rsidR="00AC2732" w:rsidRPr="002744F0">
        <w:rPr>
          <w:noProof/>
        </w:rPr>
        <w:t xml:space="preserve"> or UWWTD), Directive 2008/56/EC</w:t>
      </w:r>
      <w:r w:rsidR="00AC2732" w:rsidRPr="002744F0">
        <w:rPr>
          <w:rStyle w:val="FootnoteReference"/>
          <w:noProof/>
        </w:rPr>
        <w:footnoteReference w:id="8"/>
      </w:r>
      <w:r w:rsidR="00AC2732" w:rsidRPr="002744F0">
        <w:rPr>
          <w:noProof/>
        </w:rPr>
        <w:t xml:space="preserve"> (</w:t>
      </w:r>
      <w:r w:rsidR="00EE60A2" w:rsidRPr="002744F0">
        <w:rPr>
          <w:noProof/>
        </w:rPr>
        <w:t xml:space="preserve">the </w:t>
      </w:r>
      <w:r w:rsidR="00AC2732" w:rsidRPr="002744F0">
        <w:rPr>
          <w:noProof/>
        </w:rPr>
        <w:t>Marine Strategy Framework Directive</w:t>
      </w:r>
      <w:r w:rsidR="003525E9" w:rsidRPr="002744F0">
        <w:rPr>
          <w:noProof/>
        </w:rPr>
        <w:t>,</w:t>
      </w:r>
      <w:r w:rsidR="00AC2732" w:rsidRPr="002744F0">
        <w:rPr>
          <w:noProof/>
        </w:rPr>
        <w:t xml:space="preserve"> or MSFD), Directive 2006/7/EC</w:t>
      </w:r>
      <w:r w:rsidR="00AC2732" w:rsidRPr="002744F0">
        <w:rPr>
          <w:rStyle w:val="FootnoteReference"/>
          <w:noProof/>
        </w:rPr>
        <w:footnoteReference w:id="9"/>
      </w:r>
      <w:r w:rsidR="00AC2732" w:rsidRPr="002744F0">
        <w:rPr>
          <w:noProof/>
        </w:rPr>
        <w:t xml:space="preserve"> (</w:t>
      </w:r>
      <w:r w:rsidR="00EE60A2" w:rsidRPr="002744F0">
        <w:rPr>
          <w:noProof/>
        </w:rPr>
        <w:t xml:space="preserve">the </w:t>
      </w:r>
      <w:r w:rsidR="00AC2732" w:rsidRPr="002744F0">
        <w:rPr>
          <w:noProof/>
        </w:rPr>
        <w:t>Bathing Water Directive or BD), Directive 2007/60/EC</w:t>
      </w:r>
      <w:r w:rsidR="00AC2732" w:rsidRPr="002744F0">
        <w:rPr>
          <w:rStyle w:val="FootnoteReference"/>
          <w:noProof/>
        </w:rPr>
        <w:footnoteReference w:id="10"/>
      </w:r>
      <w:r w:rsidR="00AC2732" w:rsidRPr="002744F0">
        <w:rPr>
          <w:noProof/>
        </w:rPr>
        <w:t xml:space="preserve"> (</w:t>
      </w:r>
      <w:r w:rsidR="00EE60A2" w:rsidRPr="002744F0">
        <w:rPr>
          <w:noProof/>
        </w:rPr>
        <w:t xml:space="preserve">the </w:t>
      </w:r>
      <w:r w:rsidR="00AC2732" w:rsidRPr="002744F0">
        <w:rPr>
          <w:noProof/>
        </w:rPr>
        <w:t>Floods Directive</w:t>
      </w:r>
      <w:r w:rsidR="003525E9" w:rsidRPr="002744F0">
        <w:rPr>
          <w:noProof/>
        </w:rPr>
        <w:t>,</w:t>
      </w:r>
      <w:r w:rsidR="00AC2732" w:rsidRPr="002744F0">
        <w:rPr>
          <w:noProof/>
        </w:rPr>
        <w:t xml:space="preserve"> or FD) and Council Directive 91/676/EEC</w:t>
      </w:r>
      <w:r w:rsidR="00AC2732" w:rsidRPr="002744F0">
        <w:rPr>
          <w:rStyle w:val="FootnoteReference"/>
          <w:noProof/>
        </w:rPr>
        <w:footnoteReference w:id="11"/>
      </w:r>
      <w:r w:rsidR="00AC2732" w:rsidRPr="002744F0">
        <w:rPr>
          <w:noProof/>
        </w:rPr>
        <w:t xml:space="preserve"> (</w:t>
      </w:r>
      <w:r w:rsidR="00EE60A2" w:rsidRPr="002744F0">
        <w:rPr>
          <w:noProof/>
        </w:rPr>
        <w:t xml:space="preserve">the </w:t>
      </w:r>
      <w:r w:rsidR="00AC2732" w:rsidRPr="002744F0">
        <w:rPr>
          <w:noProof/>
        </w:rPr>
        <w:t>Nitrates Directive</w:t>
      </w:r>
      <w:r w:rsidR="003525E9" w:rsidRPr="002744F0">
        <w:rPr>
          <w:noProof/>
        </w:rPr>
        <w:t>,</w:t>
      </w:r>
      <w:r w:rsidR="00AC2732" w:rsidRPr="002744F0">
        <w:rPr>
          <w:noProof/>
        </w:rPr>
        <w:t xml:space="preserve"> or ND). </w:t>
      </w:r>
    </w:p>
    <w:p w14:paraId="53E81831" w14:textId="77777777" w:rsidR="00D50B74" w:rsidRPr="002744F0" w:rsidRDefault="00D50B74" w:rsidP="002821B9">
      <w:pPr>
        <w:pStyle w:val="Default"/>
        <w:jc w:val="both"/>
        <w:rPr>
          <w:noProof/>
        </w:rPr>
      </w:pPr>
    </w:p>
    <w:p w14:paraId="09F4FAA7" w14:textId="77777777" w:rsidR="00D50B74" w:rsidRPr="002744F0" w:rsidRDefault="00D6787A" w:rsidP="00D50B74">
      <w:pPr>
        <w:pStyle w:val="Default"/>
        <w:jc w:val="both"/>
        <w:rPr>
          <w:noProof/>
        </w:rPr>
      </w:pPr>
      <w:r w:rsidRPr="002744F0">
        <w:rPr>
          <w:noProof/>
        </w:rPr>
        <w:t xml:space="preserve">The legislation </w:t>
      </w:r>
      <w:r w:rsidR="001A23F5" w:rsidRPr="002744F0">
        <w:rPr>
          <w:noProof/>
        </w:rPr>
        <w:t>includes</w:t>
      </w:r>
      <w:r w:rsidRPr="002744F0">
        <w:rPr>
          <w:noProof/>
        </w:rPr>
        <w:t xml:space="preserve"> lists of pollutants and </w:t>
      </w:r>
      <w:r w:rsidR="001A23F5" w:rsidRPr="002744F0">
        <w:rPr>
          <w:noProof/>
        </w:rPr>
        <w:t xml:space="preserve">quality </w:t>
      </w:r>
      <w:r w:rsidRPr="002744F0">
        <w:rPr>
          <w:noProof/>
        </w:rPr>
        <w:t>standards</w:t>
      </w:r>
      <w:r w:rsidR="001A23F5" w:rsidRPr="002744F0">
        <w:rPr>
          <w:noProof/>
        </w:rPr>
        <w:t>, and includes requirements for their regular review</w:t>
      </w:r>
      <w:r w:rsidR="001A23F5" w:rsidRPr="002744F0">
        <w:rPr>
          <w:rStyle w:val="FootnoteReference"/>
          <w:b/>
          <w:noProof/>
        </w:rPr>
        <w:footnoteReference w:id="12"/>
      </w:r>
      <w:r w:rsidR="001A23F5" w:rsidRPr="002744F0">
        <w:rPr>
          <w:noProof/>
        </w:rPr>
        <w:t>.</w:t>
      </w:r>
      <w:r w:rsidRPr="002744F0">
        <w:rPr>
          <w:noProof/>
        </w:rPr>
        <w:t xml:space="preserve"> </w:t>
      </w:r>
      <w:r w:rsidR="00D50B74" w:rsidRPr="002744F0">
        <w:rPr>
          <w:noProof/>
        </w:rPr>
        <w:t xml:space="preserve">Article 16(4) of the WFD requires the Commission to regularly review, at intervals of at least every </w:t>
      </w:r>
      <w:r w:rsidR="003525E9" w:rsidRPr="002744F0">
        <w:rPr>
          <w:noProof/>
        </w:rPr>
        <w:t>4</w:t>
      </w:r>
      <w:r w:rsidR="00D50B74" w:rsidRPr="002744F0">
        <w:rPr>
          <w:noProof/>
        </w:rPr>
        <w:t xml:space="preserve"> years, the list of </w:t>
      </w:r>
      <w:r w:rsidR="00B75A4A" w:rsidRPr="002744F0">
        <w:rPr>
          <w:noProof/>
        </w:rPr>
        <w:t>priority substances</w:t>
      </w:r>
      <w:r w:rsidR="00D50B74" w:rsidRPr="002744F0">
        <w:rPr>
          <w:noProof/>
        </w:rPr>
        <w:t xml:space="preserve"> that pose a risk to the aquatic environment, i.e. both surface and groundwaters. Specifically, for surface water, Article 8 of the EQSD requires the Commission to review Annex X </w:t>
      </w:r>
      <w:r w:rsidR="003525E9" w:rsidRPr="002744F0">
        <w:rPr>
          <w:noProof/>
        </w:rPr>
        <w:t>to</w:t>
      </w:r>
      <w:r w:rsidR="00D50B74" w:rsidRPr="002744F0">
        <w:rPr>
          <w:noProof/>
        </w:rPr>
        <w:t xml:space="preserve"> the WFD (the </w:t>
      </w:r>
      <w:r w:rsidR="00B75A4A" w:rsidRPr="002744F0">
        <w:rPr>
          <w:noProof/>
        </w:rPr>
        <w:t>list of priority substances</w:t>
      </w:r>
      <w:r w:rsidR="00D50B74" w:rsidRPr="002744F0">
        <w:rPr>
          <w:noProof/>
        </w:rPr>
        <w:t xml:space="preserve">) while for groundwaters, Article 10 of the GWD requires the Commission to review every 6 years Annexes I and II </w:t>
      </w:r>
      <w:r w:rsidR="003525E9" w:rsidRPr="002744F0">
        <w:rPr>
          <w:noProof/>
        </w:rPr>
        <w:t>to</w:t>
      </w:r>
      <w:r w:rsidR="00D50B74" w:rsidRPr="002744F0">
        <w:rPr>
          <w:noProof/>
        </w:rPr>
        <w:t xml:space="preserve"> the GWD itself. Th</w:t>
      </w:r>
      <w:r w:rsidR="00B75A4A" w:rsidRPr="002744F0">
        <w:rPr>
          <w:noProof/>
        </w:rPr>
        <w:t>is</w:t>
      </w:r>
      <w:r w:rsidR="00D50B74" w:rsidRPr="002744F0">
        <w:rPr>
          <w:noProof/>
        </w:rPr>
        <w:t xml:space="preserve"> revision, and th</w:t>
      </w:r>
      <w:r w:rsidR="00B75A4A" w:rsidRPr="002744F0">
        <w:rPr>
          <w:noProof/>
        </w:rPr>
        <w:t>e</w:t>
      </w:r>
      <w:r w:rsidR="00D50B74" w:rsidRPr="002744F0">
        <w:rPr>
          <w:noProof/>
        </w:rPr>
        <w:t xml:space="preserve"> impact assessment, also serve to report to the E</w:t>
      </w:r>
      <w:r w:rsidR="005B44D4" w:rsidRPr="002744F0">
        <w:rPr>
          <w:noProof/>
        </w:rPr>
        <w:t xml:space="preserve">uropean </w:t>
      </w:r>
      <w:r w:rsidR="00D50B74" w:rsidRPr="002744F0">
        <w:rPr>
          <w:noProof/>
        </w:rPr>
        <w:t>P</w:t>
      </w:r>
      <w:r w:rsidR="005B44D4" w:rsidRPr="002744F0">
        <w:rPr>
          <w:noProof/>
        </w:rPr>
        <w:t>arliament</w:t>
      </w:r>
      <w:r w:rsidR="00D50B74" w:rsidRPr="002744F0">
        <w:rPr>
          <w:noProof/>
        </w:rPr>
        <w:t xml:space="preserve"> and </w:t>
      </w:r>
      <w:r w:rsidR="005B44D4" w:rsidRPr="002744F0">
        <w:rPr>
          <w:noProof/>
        </w:rPr>
        <w:t xml:space="preserve">the </w:t>
      </w:r>
      <w:r w:rsidR="00D50B74" w:rsidRPr="002744F0">
        <w:rPr>
          <w:noProof/>
        </w:rPr>
        <w:t>Council, as referred to in Article 8 of the EQSD.</w:t>
      </w:r>
    </w:p>
    <w:p w14:paraId="16408CE5" w14:textId="77777777" w:rsidR="00D50B74" w:rsidRPr="002744F0" w:rsidRDefault="00D50B74" w:rsidP="00D50B74">
      <w:pPr>
        <w:pStyle w:val="Default"/>
        <w:jc w:val="both"/>
        <w:rPr>
          <w:noProof/>
        </w:rPr>
      </w:pPr>
    </w:p>
    <w:p w14:paraId="4569F7D2" w14:textId="77777777" w:rsidR="00D6787A" w:rsidRPr="002744F0" w:rsidRDefault="00D6787A" w:rsidP="002821B9">
      <w:pPr>
        <w:pStyle w:val="Default"/>
        <w:jc w:val="both"/>
        <w:rPr>
          <w:noProof/>
        </w:rPr>
      </w:pPr>
      <w:r w:rsidRPr="002744F0">
        <w:rPr>
          <w:noProof/>
        </w:rPr>
        <w:t xml:space="preserve">The need to update the lists was confirmed in the </w:t>
      </w:r>
      <w:r w:rsidR="00A07126" w:rsidRPr="002744F0">
        <w:rPr>
          <w:noProof/>
        </w:rPr>
        <w:t>2019</w:t>
      </w:r>
      <w:r w:rsidRPr="002744F0">
        <w:rPr>
          <w:noProof/>
        </w:rPr>
        <w:t xml:space="preserve"> </w:t>
      </w:r>
      <w:r w:rsidR="00E07544" w:rsidRPr="002744F0">
        <w:rPr>
          <w:noProof/>
        </w:rPr>
        <w:t>f</w:t>
      </w:r>
      <w:r w:rsidRPr="002744F0">
        <w:rPr>
          <w:noProof/>
        </w:rPr>
        <w:t xml:space="preserve">itness </w:t>
      </w:r>
      <w:r w:rsidR="00E07544" w:rsidRPr="002744F0">
        <w:rPr>
          <w:noProof/>
        </w:rPr>
        <w:t>c</w:t>
      </w:r>
      <w:r w:rsidRPr="002744F0">
        <w:rPr>
          <w:noProof/>
        </w:rPr>
        <w:t>heck</w:t>
      </w:r>
      <w:r w:rsidR="001A23F5" w:rsidRPr="002744F0">
        <w:rPr>
          <w:rStyle w:val="FootnoteReference"/>
          <w:b/>
          <w:noProof/>
        </w:rPr>
        <w:footnoteReference w:id="13"/>
      </w:r>
      <w:r w:rsidRPr="002744F0">
        <w:rPr>
          <w:noProof/>
        </w:rPr>
        <w:t xml:space="preserve">, which also concluded that other improvements </w:t>
      </w:r>
      <w:r w:rsidR="001A23F5" w:rsidRPr="002744F0">
        <w:rPr>
          <w:noProof/>
        </w:rPr>
        <w:t xml:space="preserve">to the legislation </w:t>
      </w:r>
      <w:r w:rsidR="00E23C6E" w:rsidRPr="002744F0">
        <w:rPr>
          <w:noProof/>
        </w:rPr>
        <w:t>would increase its effectiveness, efficiency and coherence</w:t>
      </w:r>
      <w:r w:rsidRPr="002744F0">
        <w:rPr>
          <w:noProof/>
        </w:rPr>
        <w:t>.</w:t>
      </w:r>
      <w:r w:rsidR="00EE5E54" w:rsidRPr="002744F0">
        <w:rPr>
          <w:noProof/>
        </w:rPr>
        <w:t xml:space="preserve"> </w:t>
      </w:r>
      <w:r w:rsidR="002821B9" w:rsidRPr="002744F0">
        <w:rPr>
          <w:noProof/>
        </w:rPr>
        <w:t>Taking into account the overarching objective of EU water policy, the general objectives of this initiative are to</w:t>
      </w:r>
      <w:r w:rsidRPr="002744F0">
        <w:rPr>
          <w:noProof/>
        </w:rPr>
        <w:t>:</w:t>
      </w:r>
    </w:p>
    <w:p w14:paraId="0D5509D6" w14:textId="19E2D195" w:rsidR="00D6787A" w:rsidRPr="002744F0" w:rsidRDefault="00312D4D" w:rsidP="00312D4D">
      <w:pPr>
        <w:pStyle w:val="Point1"/>
        <w:rPr>
          <w:noProof/>
        </w:rPr>
      </w:pPr>
      <w:r w:rsidRPr="00312D4D">
        <w:t>(1)</w:t>
      </w:r>
      <w:r w:rsidRPr="00312D4D">
        <w:tab/>
      </w:r>
      <w:r w:rsidR="00DA5216" w:rsidRPr="002744F0">
        <w:rPr>
          <w:noProof/>
        </w:rPr>
        <w:t>i</w:t>
      </w:r>
      <w:r w:rsidR="002821B9" w:rsidRPr="002744F0">
        <w:rPr>
          <w:noProof/>
        </w:rPr>
        <w:t>ncrease the protection of EU citizens and natural ecosystems in line with the Biodiversity Strategy</w:t>
      </w:r>
      <w:r w:rsidR="00056011" w:rsidRPr="002744F0">
        <w:rPr>
          <w:rStyle w:val="FootnoteReference"/>
          <w:noProof/>
        </w:rPr>
        <w:footnoteReference w:id="14"/>
      </w:r>
      <w:r w:rsidR="002821B9" w:rsidRPr="002744F0">
        <w:rPr>
          <w:noProof/>
        </w:rPr>
        <w:t xml:space="preserve"> and the Zero Pollution </w:t>
      </w:r>
      <w:r w:rsidR="00CF6652" w:rsidRPr="002744F0">
        <w:rPr>
          <w:noProof/>
        </w:rPr>
        <w:t>Action Plan</w:t>
      </w:r>
      <w:r w:rsidR="00CF6652" w:rsidRPr="002744F0">
        <w:rPr>
          <w:rStyle w:val="FootnoteReference"/>
          <w:noProof/>
        </w:rPr>
        <w:footnoteReference w:id="15"/>
      </w:r>
      <w:r w:rsidR="00CF6652" w:rsidRPr="002744F0">
        <w:rPr>
          <w:noProof/>
        </w:rPr>
        <w:t xml:space="preserve">, both embedded </w:t>
      </w:r>
      <w:r w:rsidR="002821B9" w:rsidRPr="002744F0">
        <w:rPr>
          <w:noProof/>
        </w:rPr>
        <w:t>in the European Green Deal</w:t>
      </w:r>
      <w:r w:rsidR="00056011" w:rsidRPr="002744F0">
        <w:rPr>
          <w:rStyle w:val="FootnoteReference"/>
          <w:noProof/>
        </w:rPr>
        <w:footnoteReference w:id="16"/>
      </w:r>
      <w:r w:rsidR="00D6787A" w:rsidRPr="002744F0">
        <w:rPr>
          <w:noProof/>
        </w:rPr>
        <w:t>;</w:t>
      </w:r>
    </w:p>
    <w:p w14:paraId="1267025B" w14:textId="54714EA4" w:rsidR="002821B9" w:rsidRPr="002744F0" w:rsidRDefault="00312D4D" w:rsidP="00312D4D">
      <w:pPr>
        <w:pStyle w:val="Point1"/>
        <w:rPr>
          <w:noProof/>
        </w:rPr>
      </w:pPr>
      <w:r w:rsidRPr="00312D4D">
        <w:t>(2)</w:t>
      </w:r>
      <w:r w:rsidRPr="00312D4D">
        <w:tab/>
      </w:r>
      <w:r w:rsidR="00DA5216" w:rsidRPr="002744F0">
        <w:rPr>
          <w:noProof/>
        </w:rPr>
        <w:t>i</w:t>
      </w:r>
      <w:r w:rsidR="002821B9" w:rsidRPr="002744F0">
        <w:rPr>
          <w:noProof/>
        </w:rPr>
        <w:t xml:space="preserve">ncrease </w:t>
      </w:r>
      <w:r w:rsidR="00323848" w:rsidRPr="002744F0">
        <w:rPr>
          <w:noProof/>
        </w:rPr>
        <w:t xml:space="preserve">the </w:t>
      </w:r>
      <w:r w:rsidR="002821B9" w:rsidRPr="002744F0">
        <w:rPr>
          <w:noProof/>
        </w:rPr>
        <w:t xml:space="preserve">effectiveness and reduce </w:t>
      </w:r>
      <w:r w:rsidR="00323848" w:rsidRPr="002744F0">
        <w:rPr>
          <w:noProof/>
        </w:rPr>
        <w:t xml:space="preserve">the </w:t>
      </w:r>
      <w:r w:rsidR="002821B9" w:rsidRPr="002744F0">
        <w:rPr>
          <w:noProof/>
        </w:rPr>
        <w:t xml:space="preserve">administrative burden of the legislation, </w:t>
      </w:r>
      <w:r w:rsidR="000466F9">
        <w:rPr>
          <w:noProof/>
        </w:rPr>
        <w:t xml:space="preserve"> to enable the EU to repond more </w:t>
      </w:r>
      <w:r w:rsidR="002821B9" w:rsidRPr="002744F0">
        <w:rPr>
          <w:noProof/>
        </w:rPr>
        <w:t>quick</w:t>
      </w:r>
      <w:r w:rsidR="000466F9">
        <w:rPr>
          <w:noProof/>
        </w:rPr>
        <w:t>ly</w:t>
      </w:r>
      <w:r w:rsidR="002821B9" w:rsidRPr="002744F0">
        <w:rPr>
          <w:noProof/>
        </w:rPr>
        <w:t xml:space="preserve"> </w:t>
      </w:r>
      <w:r w:rsidR="000466F9">
        <w:rPr>
          <w:noProof/>
        </w:rPr>
        <w:t xml:space="preserve"> </w:t>
      </w:r>
      <w:r w:rsidR="002821B9" w:rsidRPr="002744F0">
        <w:rPr>
          <w:noProof/>
        </w:rPr>
        <w:t xml:space="preserve">to emerging risks. </w:t>
      </w:r>
    </w:p>
    <w:p w14:paraId="14D20599" w14:textId="77777777" w:rsidR="00DF2075" w:rsidRPr="002744F0" w:rsidRDefault="00782F18" w:rsidP="00AA0600">
      <w:pPr>
        <w:pStyle w:val="Default"/>
        <w:jc w:val="both"/>
        <w:rPr>
          <w:noProof/>
        </w:rPr>
      </w:pPr>
      <w:r w:rsidRPr="002744F0">
        <w:rPr>
          <w:noProof/>
        </w:rPr>
        <w:t>Chemical exposure through drinking water can lead to a variety of short- and long-term health effects</w:t>
      </w:r>
      <w:r w:rsidR="00DF2075" w:rsidRPr="002744F0">
        <w:rPr>
          <w:noProof/>
        </w:rPr>
        <w:t xml:space="preserve">. Chemicals also endanger the aquatic environment, resulting in changes in dominant species and a decrease </w:t>
      </w:r>
      <w:r w:rsidR="00DA5216" w:rsidRPr="002744F0">
        <w:rPr>
          <w:noProof/>
        </w:rPr>
        <w:t xml:space="preserve">in </w:t>
      </w:r>
      <w:r w:rsidR="00DF2075" w:rsidRPr="002744F0">
        <w:rPr>
          <w:noProof/>
        </w:rPr>
        <w:t xml:space="preserve">or loss of biodiversity. </w:t>
      </w:r>
      <w:r w:rsidR="00E81690" w:rsidRPr="002744F0">
        <w:rPr>
          <w:noProof/>
        </w:rPr>
        <w:t>Setting</w:t>
      </w:r>
      <w:r w:rsidRPr="002744F0">
        <w:rPr>
          <w:noProof/>
        </w:rPr>
        <w:t xml:space="preserve"> </w:t>
      </w:r>
      <w:r w:rsidR="00DF2075" w:rsidRPr="002744F0">
        <w:rPr>
          <w:noProof/>
        </w:rPr>
        <w:t xml:space="preserve">and controlling </w:t>
      </w:r>
      <w:r w:rsidR="00AF2950" w:rsidRPr="002744F0">
        <w:rPr>
          <w:noProof/>
        </w:rPr>
        <w:t>environmental quality standards (EQS)</w:t>
      </w:r>
      <w:r w:rsidRPr="002744F0">
        <w:rPr>
          <w:noProof/>
        </w:rPr>
        <w:t xml:space="preserve"> </w:t>
      </w:r>
      <w:r w:rsidR="00DF2075" w:rsidRPr="002744F0">
        <w:rPr>
          <w:noProof/>
        </w:rPr>
        <w:t xml:space="preserve">for chemicals in </w:t>
      </w:r>
      <w:r w:rsidRPr="002744F0">
        <w:rPr>
          <w:noProof/>
        </w:rPr>
        <w:t xml:space="preserve">water bodies complements source and pathway legislation, </w:t>
      </w:r>
      <w:r w:rsidR="00DA5216" w:rsidRPr="002744F0">
        <w:rPr>
          <w:noProof/>
        </w:rPr>
        <w:t>by</w:t>
      </w:r>
      <w:r w:rsidRPr="002744F0">
        <w:rPr>
          <w:noProof/>
        </w:rPr>
        <w:t xml:space="preserve"> pushing for stricter production, emission or use standards</w:t>
      </w:r>
      <w:r w:rsidR="00DA5216" w:rsidRPr="002744F0">
        <w:rPr>
          <w:noProof/>
        </w:rPr>
        <w:t xml:space="preserve"> where necessary</w:t>
      </w:r>
      <w:r w:rsidRPr="002744F0">
        <w:rPr>
          <w:noProof/>
        </w:rPr>
        <w:t xml:space="preserve">, and reducing the costs of </w:t>
      </w:r>
      <w:r w:rsidR="00DA5216" w:rsidRPr="002744F0">
        <w:rPr>
          <w:noProof/>
        </w:rPr>
        <w:t xml:space="preserve">treating </w:t>
      </w:r>
      <w:r w:rsidRPr="002744F0">
        <w:rPr>
          <w:noProof/>
        </w:rPr>
        <w:t xml:space="preserve">drinking water. </w:t>
      </w:r>
    </w:p>
    <w:p w14:paraId="582D7C52" w14:textId="77777777" w:rsidR="006443F6" w:rsidRPr="002744F0" w:rsidRDefault="006443F6" w:rsidP="002821B9">
      <w:pPr>
        <w:pStyle w:val="Default"/>
        <w:jc w:val="both"/>
        <w:rPr>
          <w:noProof/>
        </w:rPr>
      </w:pPr>
    </w:p>
    <w:p w14:paraId="64074967" w14:textId="77777777" w:rsidR="002821B9" w:rsidRPr="002744F0" w:rsidRDefault="002821B9" w:rsidP="002821B9">
      <w:pPr>
        <w:pBdr>
          <w:top w:val="nil"/>
          <w:left w:val="nil"/>
          <w:bottom w:val="nil"/>
          <w:right w:val="nil"/>
          <w:between w:val="nil"/>
          <w:bar w:val="nil"/>
        </w:pBdr>
        <w:spacing w:before="0" w:after="240"/>
        <w:rPr>
          <w:noProof/>
        </w:rPr>
      </w:pPr>
      <w:r w:rsidRPr="002744F0">
        <w:rPr>
          <w:noProof/>
        </w:rPr>
        <w:t xml:space="preserve">The specific objectives of this </w:t>
      </w:r>
      <w:r w:rsidR="00E23C6E" w:rsidRPr="002744F0">
        <w:rPr>
          <w:noProof/>
        </w:rPr>
        <w:t xml:space="preserve">initiative </w:t>
      </w:r>
      <w:r w:rsidRPr="002744F0">
        <w:rPr>
          <w:noProof/>
        </w:rPr>
        <w:t>are</w:t>
      </w:r>
      <w:r w:rsidR="00FA20C6" w:rsidRPr="002744F0">
        <w:rPr>
          <w:noProof/>
        </w:rPr>
        <w:t xml:space="preserve"> to</w:t>
      </w:r>
      <w:r w:rsidRPr="002744F0">
        <w:rPr>
          <w:noProof/>
        </w:rPr>
        <w:t xml:space="preserve">:  </w:t>
      </w:r>
    </w:p>
    <w:p w14:paraId="0697D8AD" w14:textId="77777777" w:rsidR="002821B9" w:rsidRPr="002744F0" w:rsidRDefault="00052C52" w:rsidP="00693AF5">
      <w:pPr>
        <w:pStyle w:val="Default"/>
        <w:numPr>
          <w:ilvl w:val="0"/>
          <w:numId w:val="14"/>
        </w:numPr>
        <w:spacing w:after="27"/>
        <w:jc w:val="both"/>
        <w:rPr>
          <w:noProof/>
        </w:rPr>
      </w:pPr>
      <w:r w:rsidRPr="002744F0">
        <w:rPr>
          <w:noProof/>
        </w:rPr>
        <w:t>u</w:t>
      </w:r>
      <w:r w:rsidR="002821B9" w:rsidRPr="002744F0">
        <w:rPr>
          <w:noProof/>
        </w:rPr>
        <w:t xml:space="preserve">pdate the lists of pollutants affecting surface and groundwater by </w:t>
      </w:r>
      <w:r w:rsidR="00FA20C6" w:rsidRPr="002744F0">
        <w:rPr>
          <w:noProof/>
        </w:rPr>
        <w:t>adding and</w:t>
      </w:r>
      <w:r w:rsidR="002821B9" w:rsidRPr="002744F0">
        <w:rPr>
          <w:noProof/>
        </w:rPr>
        <w:t xml:space="preserve"> removing </w:t>
      </w:r>
      <w:r w:rsidR="00FA20C6" w:rsidRPr="002744F0">
        <w:rPr>
          <w:noProof/>
        </w:rPr>
        <w:t>substances and</w:t>
      </w:r>
      <w:r w:rsidR="002821B9" w:rsidRPr="002744F0">
        <w:rPr>
          <w:noProof/>
        </w:rPr>
        <w:t xml:space="preserve"> </w:t>
      </w:r>
      <w:r w:rsidR="0087078A" w:rsidRPr="002744F0">
        <w:rPr>
          <w:noProof/>
        </w:rPr>
        <w:t>updating</w:t>
      </w:r>
      <w:r w:rsidR="002821B9" w:rsidRPr="002744F0">
        <w:rPr>
          <w:noProof/>
        </w:rPr>
        <w:t xml:space="preserve"> </w:t>
      </w:r>
      <w:r w:rsidR="00CF6652" w:rsidRPr="002744F0">
        <w:rPr>
          <w:noProof/>
        </w:rPr>
        <w:t xml:space="preserve">existing </w:t>
      </w:r>
      <w:r w:rsidR="00FA20C6" w:rsidRPr="002744F0">
        <w:rPr>
          <w:noProof/>
        </w:rPr>
        <w:t>quality standards</w:t>
      </w:r>
      <w:r w:rsidR="00D6787A" w:rsidRPr="002744F0">
        <w:rPr>
          <w:noProof/>
        </w:rPr>
        <w:t>;</w:t>
      </w:r>
      <w:r w:rsidR="002821B9" w:rsidRPr="002744F0">
        <w:rPr>
          <w:noProof/>
        </w:rPr>
        <w:t xml:space="preserve"> </w:t>
      </w:r>
    </w:p>
    <w:p w14:paraId="0A6019AD" w14:textId="77777777" w:rsidR="002821B9" w:rsidRPr="002744F0" w:rsidRDefault="00052C52" w:rsidP="00693AF5">
      <w:pPr>
        <w:pStyle w:val="Default"/>
        <w:numPr>
          <w:ilvl w:val="0"/>
          <w:numId w:val="14"/>
        </w:numPr>
        <w:spacing w:after="27"/>
        <w:jc w:val="both"/>
        <w:rPr>
          <w:noProof/>
        </w:rPr>
      </w:pPr>
      <w:r w:rsidRPr="002744F0">
        <w:rPr>
          <w:noProof/>
        </w:rPr>
        <w:t>i</w:t>
      </w:r>
      <w:r w:rsidR="002821B9" w:rsidRPr="002744F0">
        <w:rPr>
          <w:noProof/>
        </w:rPr>
        <w:t xml:space="preserve">mprove the </w:t>
      </w:r>
      <w:r w:rsidR="00FA20C6" w:rsidRPr="002744F0">
        <w:rPr>
          <w:noProof/>
        </w:rPr>
        <w:t xml:space="preserve">monitoring </w:t>
      </w:r>
      <w:r w:rsidR="002821B9" w:rsidRPr="002744F0">
        <w:rPr>
          <w:noProof/>
        </w:rPr>
        <w:t xml:space="preserve">of </w:t>
      </w:r>
      <w:r w:rsidR="00FA20C6" w:rsidRPr="002744F0">
        <w:rPr>
          <w:noProof/>
        </w:rPr>
        <w:t xml:space="preserve">chemical </w:t>
      </w:r>
      <w:r w:rsidR="002821B9" w:rsidRPr="002744F0">
        <w:rPr>
          <w:noProof/>
        </w:rPr>
        <w:t>mixtures</w:t>
      </w:r>
      <w:r w:rsidR="00FA20C6" w:rsidRPr="002744F0">
        <w:rPr>
          <w:noProof/>
        </w:rPr>
        <w:t xml:space="preserve"> to better assess</w:t>
      </w:r>
      <w:r w:rsidR="002821B9" w:rsidRPr="002744F0">
        <w:rPr>
          <w:noProof/>
        </w:rPr>
        <w:t xml:space="preserve"> combin</w:t>
      </w:r>
      <w:r w:rsidR="00113258" w:rsidRPr="002744F0">
        <w:rPr>
          <w:noProof/>
        </w:rPr>
        <w:t>ation</w:t>
      </w:r>
      <w:r w:rsidR="002821B9" w:rsidRPr="002744F0">
        <w:rPr>
          <w:noProof/>
        </w:rPr>
        <w:t xml:space="preserve"> effect</w:t>
      </w:r>
      <w:r w:rsidR="0087078A" w:rsidRPr="002744F0">
        <w:rPr>
          <w:noProof/>
        </w:rPr>
        <w:t>s</w:t>
      </w:r>
      <w:r w:rsidR="002821B9" w:rsidRPr="002744F0">
        <w:rPr>
          <w:noProof/>
        </w:rPr>
        <w:t xml:space="preserve"> and </w:t>
      </w:r>
      <w:r w:rsidR="00FA20C6" w:rsidRPr="002744F0">
        <w:rPr>
          <w:noProof/>
        </w:rPr>
        <w:t>t</w:t>
      </w:r>
      <w:r w:rsidR="0087078A" w:rsidRPr="002744F0">
        <w:rPr>
          <w:noProof/>
        </w:rPr>
        <w:t xml:space="preserve">ake </w:t>
      </w:r>
      <w:r w:rsidR="002744F0" w:rsidRPr="002744F0">
        <w:rPr>
          <w:noProof/>
        </w:rPr>
        <w:t>account</w:t>
      </w:r>
      <w:r w:rsidR="0087078A" w:rsidRPr="002744F0">
        <w:rPr>
          <w:noProof/>
        </w:rPr>
        <w:t xml:space="preserve"> of </w:t>
      </w:r>
      <w:r w:rsidR="002821B9" w:rsidRPr="002744F0">
        <w:rPr>
          <w:noProof/>
        </w:rPr>
        <w:t xml:space="preserve">seasonal variations </w:t>
      </w:r>
      <w:r w:rsidR="00FA20C6" w:rsidRPr="002744F0">
        <w:rPr>
          <w:noProof/>
        </w:rPr>
        <w:t>in pollutant concentrations</w:t>
      </w:r>
      <w:r w:rsidR="00D6787A" w:rsidRPr="002744F0">
        <w:rPr>
          <w:noProof/>
        </w:rPr>
        <w:t>;</w:t>
      </w:r>
      <w:r w:rsidR="002821B9" w:rsidRPr="002744F0">
        <w:rPr>
          <w:noProof/>
        </w:rPr>
        <w:t xml:space="preserve"> </w:t>
      </w:r>
    </w:p>
    <w:p w14:paraId="23C5B780" w14:textId="77777777" w:rsidR="002821B9" w:rsidRPr="002744F0" w:rsidRDefault="00052C52" w:rsidP="00693AF5">
      <w:pPr>
        <w:pStyle w:val="Default"/>
        <w:numPr>
          <w:ilvl w:val="0"/>
          <w:numId w:val="14"/>
        </w:numPr>
        <w:spacing w:after="27"/>
        <w:jc w:val="both"/>
        <w:rPr>
          <w:noProof/>
        </w:rPr>
      </w:pPr>
      <w:r w:rsidRPr="002744F0">
        <w:rPr>
          <w:noProof/>
        </w:rPr>
        <w:t>h</w:t>
      </w:r>
      <w:r w:rsidR="002821B9" w:rsidRPr="002744F0">
        <w:rPr>
          <w:noProof/>
        </w:rPr>
        <w:t>armonise</w:t>
      </w:r>
      <w:r w:rsidR="0087078A" w:rsidRPr="002744F0">
        <w:rPr>
          <w:noProof/>
        </w:rPr>
        <w:t>, wherever relevant,</w:t>
      </w:r>
      <w:r w:rsidR="002821B9" w:rsidRPr="002744F0">
        <w:rPr>
          <w:noProof/>
        </w:rPr>
        <w:t xml:space="preserve"> </w:t>
      </w:r>
      <w:r w:rsidR="003959A3" w:rsidRPr="002744F0">
        <w:rPr>
          <w:noProof/>
        </w:rPr>
        <w:t>how</w:t>
      </w:r>
      <w:r w:rsidR="002821B9" w:rsidRPr="002744F0">
        <w:rPr>
          <w:noProof/>
        </w:rPr>
        <w:t xml:space="preserve"> pollutants in surface and groundwater are </w:t>
      </w:r>
      <w:r w:rsidR="003959A3" w:rsidRPr="002744F0">
        <w:rPr>
          <w:noProof/>
        </w:rPr>
        <w:t>addressed across the EU</w:t>
      </w:r>
      <w:r w:rsidR="00D6787A" w:rsidRPr="002744F0">
        <w:rPr>
          <w:noProof/>
        </w:rPr>
        <w:t>;</w:t>
      </w:r>
      <w:r w:rsidR="002821B9" w:rsidRPr="002744F0">
        <w:rPr>
          <w:noProof/>
        </w:rPr>
        <w:t xml:space="preserve"> </w:t>
      </w:r>
    </w:p>
    <w:p w14:paraId="731D5F12" w14:textId="77777777" w:rsidR="002821B9" w:rsidRPr="002744F0" w:rsidRDefault="00052C52" w:rsidP="00693AF5">
      <w:pPr>
        <w:pStyle w:val="Default"/>
        <w:numPr>
          <w:ilvl w:val="0"/>
          <w:numId w:val="14"/>
        </w:numPr>
        <w:spacing w:after="27"/>
        <w:jc w:val="both"/>
        <w:rPr>
          <w:noProof/>
        </w:rPr>
      </w:pPr>
      <w:r w:rsidRPr="002744F0">
        <w:rPr>
          <w:noProof/>
        </w:rPr>
        <w:t>ensure</w:t>
      </w:r>
      <w:r w:rsidR="0087078A" w:rsidRPr="002744F0">
        <w:rPr>
          <w:noProof/>
        </w:rPr>
        <w:t xml:space="preserve"> that the </w:t>
      </w:r>
      <w:r w:rsidR="002821B9" w:rsidRPr="002744F0">
        <w:rPr>
          <w:noProof/>
        </w:rPr>
        <w:t>legal framework can be more swiftly aligned with scien</w:t>
      </w:r>
      <w:r w:rsidR="003959A3" w:rsidRPr="002744F0">
        <w:rPr>
          <w:noProof/>
        </w:rPr>
        <w:t>tifi</w:t>
      </w:r>
      <w:r w:rsidR="002821B9" w:rsidRPr="002744F0">
        <w:rPr>
          <w:noProof/>
        </w:rPr>
        <w:t xml:space="preserve">c </w:t>
      </w:r>
      <w:r w:rsidR="003959A3" w:rsidRPr="002744F0">
        <w:rPr>
          <w:noProof/>
        </w:rPr>
        <w:t>findings</w:t>
      </w:r>
      <w:r w:rsidR="0087078A" w:rsidRPr="002744F0">
        <w:rPr>
          <w:noProof/>
        </w:rPr>
        <w:t xml:space="preserve"> to </w:t>
      </w:r>
      <w:r w:rsidR="003959A3" w:rsidRPr="002744F0">
        <w:rPr>
          <w:noProof/>
        </w:rPr>
        <w:t xml:space="preserve">more </w:t>
      </w:r>
      <w:r w:rsidR="002821B9" w:rsidRPr="002744F0">
        <w:rPr>
          <w:noProof/>
        </w:rPr>
        <w:t>promptly respond to contaminants of emerging concern</w:t>
      </w:r>
      <w:r w:rsidR="00D6787A" w:rsidRPr="002744F0">
        <w:rPr>
          <w:noProof/>
        </w:rPr>
        <w:t>;</w:t>
      </w:r>
      <w:r w:rsidR="002821B9" w:rsidRPr="002744F0">
        <w:rPr>
          <w:noProof/>
        </w:rPr>
        <w:t xml:space="preserve"> </w:t>
      </w:r>
    </w:p>
    <w:p w14:paraId="48D530DF" w14:textId="77777777" w:rsidR="002821B9" w:rsidRPr="002744F0" w:rsidRDefault="00052C52" w:rsidP="00693AF5">
      <w:pPr>
        <w:pStyle w:val="Default"/>
        <w:numPr>
          <w:ilvl w:val="0"/>
          <w:numId w:val="14"/>
        </w:numPr>
        <w:jc w:val="both"/>
        <w:rPr>
          <w:noProof/>
          <w:color w:val="auto"/>
        </w:rPr>
      </w:pPr>
      <w:r w:rsidRPr="002744F0">
        <w:rPr>
          <w:noProof/>
        </w:rPr>
        <w:t>i</w:t>
      </w:r>
      <w:r w:rsidR="00596EAA" w:rsidRPr="002744F0">
        <w:rPr>
          <w:noProof/>
        </w:rPr>
        <w:t>mprove</w:t>
      </w:r>
      <w:r w:rsidR="003959A3" w:rsidRPr="002744F0">
        <w:rPr>
          <w:noProof/>
        </w:rPr>
        <w:t xml:space="preserve"> the</w:t>
      </w:r>
      <w:r w:rsidR="00596EAA" w:rsidRPr="002744F0">
        <w:rPr>
          <w:noProof/>
        </w:rPr>
        <w:t xml:space="preserve"> </w:t>
      </w:r>
      <w:r w:rsidR="0087078A" w:rsidRPr="002744F0">
        <w:rPr>
          <w:noProof/>
        </w:rPr>
        <w:t xml:space="preserve">access to, </w:t>
      </w:r>
      <w:r w:rsidR="00596EAA" w:rsidRPr="002744F0">
        <w:rPr>
          <w:noProof/>
        </w:rPr>
        <w:t>transparency</w:t>
      </w:r>
      <w:r w:rsidR="00EE42DA" w:rsidRPr="002744F0">
        <w:rPr>
          <w:noProof/>
        </w:rPr>
        <w:t xml:space="preserve"> and re-use of data</w:t>
      </w:r>
      <w:r w:rsidR="00596EAA" w:rsidRPr="002744F0">
        <w:rPr>
          <w:noProof/>
        </w:rPr>
        <w:t xml:space="preserve">, </w:t>
      </w:r>
      <w:r w:rsidR="0087078A" w:rsidRPr="002744F0">
        <w:rPr>
          <w:noProof/>
        </w:rPr>
        <w:t>to enhance compliance, reduce administrative burden and improve coherence with the wider EU legal framework dealing with chemicals.</w:t>
      </w:r>
      <w:r w:rsidR="00EE42DA" w:rsidRPr="002744F0">
        <w:rPr>
          <w:noProof/>
        </w:rPr>
        <w:t xml:space="preserve"> </w:t>
      </w:r>
      <w:r w:rsidR="002821B9" w:rsidRPr="002744F0">
        <w:rPr>
          <w:noProof/>
          <w:color w:val="auto"/>
        </w:rPr>
        <w:t xml:space="preserve"> </w:t>
      </w:r>
    </w:p>
    <w:p w14:paraId="35C0B441" w14:textId="77777777" w:rsidR="00694AA8" w:rsidRPr="00DE4378" w:rsidRDefault="00DF2075" w:rsidP="00D50B74">
      <w:pPr>
        <w:rPr>
          <w:noProof/>
        </w:rPr>
      </w:pPr>
      <w:r w:rsidRPr="002744F0">
        <w:rPr>
          <w:noProof/>
        </w:rPr>
        <w:t>The ultimate aim of the initiative is to set new standards for a series of chemical substances of concern to address chemical pollution in water, to facilitate enforcement</w:t>
      </w:r>
      <w:r w:rsidR="00A14DE0" w:rsidRPr="002744F0">
        <w:rPr>
          <w:noProof/>
        </w:rPr>
        <w:t xml:space="preserve"> based on </w:t>
      </w:r>
      <w:r w:rsidRPr="002744F0">
        <w:rPr>
          <w:noProof/>
        </w:rPr>
        <w:t xml:space="preserve">a simplified and more coherent legal framework, to </w:t>
      </w:r>
      <w:r w:rsidR="00A14DE0" w:rsidRPr="002744F0">
        <w:rPr>
          <w:noProof/>
        </w:rPr>
        <w:t>ensure dynamic and up-to-date information on water status, facilitated by the European Environment Agency</w:t>
      </w:r>
      <w:r w:rsidR="00DE4378">
        <w:rPr>
          <w:noProof/>
        </w:rPr>
        <w:t xml:space="preserve"> (‘EEA’)</w:t>
      </w:r>
      <w:r w:rsidR="00CF6652" w:rsidRPr="002744F0">
        <w:rPr>
          <w:noProof/>
        </w:rPr>
        <w:t>,</w:t>
      </w:r>
      <w:r w:rsidR="00A14DE0" w:rsidRPr="002744F0">
        <w:rPr>
          <w:noProof/>
        </w:rPr>
        <w:t xml:space="preserve"> and </w:t>
      </w:r>
      <w:r w:rsidRPr="002744F0">
        <w:rPr>
          <w:noProof/>
        </w:rPr>
        <w:t xml:space="preserve">create a more flexible </w:t>
      </w:r>
      <w:r w:rsidR="00A14DE0" w:rsidRPr="002744F0">
        <w:rPr>
          <w:noProof/>
        </w:rPr>
        <w:t>framework for addressing polluta</w:t>
      </w:r>
      <w:r w:rsidR="00660305" w:rsidRPr="002744F0">
        <w:rPr>
          <w:noProof/>
        </w:rPr>
        <w:t>n</w:t>
      </w:r>
      <w:r w:rsidR="00A14DE0" w:rsidRPr="002744F0">
        <w:rPr>
          <w:noProof/>
        </w:rPr>
        <w:t>ts of emerging concern</w:t>
      </w:r>
      <w:r w:rsidR="001E7001" w:rsidRPr="002744F0">
        <w:rPr>
          <w:noProof/>
        </w:rPr>
        <w:t>. This would be</w:t>
      </w:r>
      <w:r w:rsidR="00A14DE0" w:rsidRPr="002744F0">
        <w:rPr>
          <w:noProof/>
        </w:rPr>
        <w:t xml:space="preserve"> </w:t>
      </w:r>
      <w:r w:rsidR="00A14DE0" w:rsidRPr="00DE4378">
        <w:rPr>
          <w:noProof/>
        </w:rPr>
        <w:t>based on wide stakeholder involvement</w:t>
      </w:r>
      <w:r w:rsidR="00CF6652" w:rsidRPr="00DE4378">
        <w:rPr>
          <w:noProof/>
        </w:rPr>
        <w:t xml:space="preserve"> as well as </w:t>
      </w:r>
      <w:r w:rsidR="00A14DE0" w:rsidRPr="00DE4378">
        <w:rPr>
          <w:noProof/>
        </w:rPr>
        <w:t>sound scientific support from the E</w:t>
      </w:r>
      <w:r w:rsidR="000E6E27" w:rsidRPr="00DE4378">
        <w:rPr>
          <w:noProof/>
        </w:rPr>
        <w:t>uropean</w:t>
      </w:r>
      <w:r w:rsidR="00A14DE0" w:rsidRPr="00DE4378">
        <w:rPr>
          <w:noProof/>
        </w:rPr>
        <w:t xml:space="preserve"> Chemicals Agency</w:t>
      </w:r>
      <w:r w:rsidR="00DE4378">
        <w:rPr>
          <w:noProof/>
        </w:rPr>
        <w:t xml:space="preserve"> (‘ECHA’)</w:t>
      </w:r>
      <w:r w:rsidR="00A14DE0" w:rsidRPr="00DE4378">
        <w:rPr>
          <w:noProof/>
        </w:rPr>
        <w:t xml:space="preserve"> </w:t>
      </w:r>
      <w:r w:rsidR="001E7001" w:rsidRPr="00DE4378">
        <w:rPr>
          <w:noProof/>
        </w:rPr>
        <w:t>to ensure</w:t>
      </w:r>
      <w:r w:rsidR="00A14DE0" w:rsidRPr="00DE4378">
        <w:rPr>
          <w:noProof/>
        </w:rPr>
        <w:t xml:space="preserve"> maximum synergies and coherence across </w:t>
      </w:r>
      <w:r w:rsidR="00CF6652" w:rsidRPr="00DE4378">
        <w:rPr>
          <w:noProof/>
        </w:rPr>
        <w:t xml:space="preserve">EU laws on </w:t>
      </w:r>
      <w:r w:rsidR="00A14DE0" w:rsidRPr="00DE4378">
        <w:rPr>
          <w:noProof/>
        </w:rPr>
        <w:t xml:space="preserve">chemicals. </w:t>
      </w:r>
    </w:p>
    <w:p w14:paraId="3CCFE1E7" w14:textId="77777777" w:rsidR="0047629D" w:rsidRPr="00DE4378" w:rsidRDefault="0047629D" w:rsidP="005C4F36">
      <w:pPr>
        <w:pStyle w:val="ManualHeading2"/>
        <w:rPr>
          <w:rFonts w:eastAsia="Arial Unicode MS"/>
          <w:noProof/>
          <w:szCs w:val="24"/>
          <w:u w:color="000000"/>
          <w:bdr w:val="nil"/>
          <w:lang w:eastAsia="en-GB"/>
        </w:rPr>
      </w:pPr>
      <w:r w:rsidRPr="00DE4378">
        <w:rPr>
          <w:rFonts w:eastAsia="Arial Unicode MS"/>
          <w:noProof/>
          <w:szCs w:val="24"/>
          <w:u w:color="000000"/>
          <w:bdr w:val="nil"/>
          <w:lang w:eastAsia="en-GB"/>
        </w:rPr>
        <w:t>•</w:t>
      </w:r>
      <w:r w:rsidRPr="00DE4378">
        <w:rPr>
          <w:rFonts w:eastAsia="Arial Unicode MS"/>
          <w:noProof/>
          <w:szCs w:val="24"/>
          <w:u w:color="000000"/>
          <w:bdr w:val="nil"/>
          <w:lang w:eastAsia="en-GB"/>
        </w:rPr>
        <w:tab/>
      </w:r>
      <w:r w:rsidRPr="00DE4378">
        <w:rPr>
          <w:rFonts w:eastAsia="Arial Unicode MS"/>
          <w:noProof/>
          <w:szCs w:val="24"/>
        </w:rPr>
        <w:t>Consistency with existing policy provisions in the policy area</w:t>
      </w:r>
    </w:p>
    <w:p w14:paraId="0E1A2EEA" w14:textId="77777777" w:rsidR="00DE4378" w:rsidRDefault="002821B9" w:rsidP="002821B9">
      <w:pPr>
        <w:pBdr>
          <w:top w:val="nil"/>
          <w:left w:val="nil"/>
          <w:bottom w:val="nil"/>
          <w:right w:val="nil"/>
          <w:between w:val="nil"/>
          <w:bar w:val="nil"/>
        </w:pBdr>
        <w:spacing w:before="0" w:after="240"/>
        <w:rPr>
          <w:noProof/>
        </w:rPr>
      </w:pPr>
      <w:r w:rsidRPr="00DE4378">
        <w:rPr>
          <w:noProof/>
        </w:rPr>
        <w:t>The proposal is fully cons</w:t>
      </w:r>
      <w:r w:rsidR="00695269" w:rsidRPr="00DE4378">
        <w:rPr>
          <w:noProof/>
        </w:rPr>
        <w:t>is</w:t>
      </w:r>
      <w:r w:rsidRPr="00DE4378">
        <w:rPr>
          <w:noProof/>
        </w:rPr>
        <w:t xml:space="preserve">tent with other legislation </w:t>
      </w:r>
      <w:r w:rsidR="00052C52" w:rsidRPr="00DE4378">
        <w:rPr>
          <w:noProof/>
        </w:rPr>
        <w:t>o</w:t>
      </w:r>
      <w:r w:rsidRPr="00DE4378">
        <w:rPr>
          <w:noProof/>
        </w:rPr>
        <w:t>n water. As regards the Urban Waste Water Treatment Directive</w:t>
      </w:r>
      <w:r w:rsidR="00695269" w:rsidRPr="00DE4378">
        <w:rPr>
          <w:noProof/>
        </w:rPr>
        <w:t xml:space="preserve"> (UWWTD)</w:t>
      </w:r>
      <w:r w:rsidRPr="00DE4378">
        <w:rPr>
          <w:noProof/>
        </w:rPr>
        <w:t>, for which a proposal for revision is presented at the same time as this proposal, micro</w:t>
      </w:r>
      <w:r w:rsidR="00660305" w:rsidRPr="00DE4378">
        <w:rPr>
          <w:noProof/>
        </w:rPr>
        <w:t>-</w:t>
      </w:r>
      <w:r w:rsidRPr="00DE4378">
        <w:rPr>
          <w:noProof/>
        </w:rPr>
        <w:t xml:space="preserve">pollutants </w:t>
      </w:r>
      <w:r w:rsidR="00695269" w:rsidRPr="00DE4378">
        <w:rPr>
          <w:noProof/>
        </w:rPr>
        <w:t>are</w:t>
      </w:r>
      <w:r w:rsidRPr="00DE4378">
        <w:rPr>
          <w:noProof/>
        </w:rPr>
        <w:t xml:space="preserve"> a key challenge. </w:t>
      </w:r>
      <w:r w:rsidR="00695269" w:rsidRPr="00DE4378">
        <w:rPr>
          <w:noProof/>
        </w:rPr>
        <w:t>The need to remove them at</w:t>
      </w:r>
      <w:r w:rsidRPr="00DE4378">
        <w:rPr>
          <w:noProof/>
        </w:rPr>
        <w:t xml:space="preserve"> waste water treatment facilities driv</w:t>
      </w:r>
      <w:r w:rsidR="00695269" w:rsidRPr="00DE4378">
        <w:rPr>
          <w:noProof/>
        </w:rPr>
        <w:t>es</w:t>
      </w:r>
      <w:r w:rsidRPr="00DE4378">
        <w:rPr>
          <w:noProof/>
        </w:rPr>
        <w:t xml:space="preserve"> up the </w:t>
      </w:r>
      <w:r w:rsidR="00695269" w:rsidRPr="00DE4378">
        <w:rPr>
          <w:noProof/>
        </w:rPr>
        <w:t>cost</w:t>
      </w:r>
      <w:r w:rsidRPr="00DE4378">
        <w:rPr>
          <w:noProof/>
        </w:rPr>
        <w:t xml:space="preserve"> of treat</w:t>
      </w:r>
      <w:r w:rsidR="00695269" w:rsidRPr="00DE4378">
        <w:rPr>
          <w:noProof/>
        </w:rPr>
        <w:t>ment, and removal is not always possible.</w:t>
      </w:r>
      <w:r w:rsidRPr="00DE4378">
        <w:rPr>
          <w:noProof/>
        </w:rPr>
        <w:t xml:space="preserve"> </w:t>
      </w:r>
      <w:r w:rsidR="00695269" w:rsidRPr="00DE4378">
        <w:rPr>
          <w:noProof/>
        </w:rPr>
        <w:t>T</w:t>
      </w:r>
      <w:r w:rsidRPr="00DE4378">
        <w:rPr>
          <w:noProof/>
        </w:rPr>
        <w:t xml:space="preserve">his proposal </w:t>
      </w:r>
      <w:r w:rsidR="00695269" w:rsidRPr="00DE4378">
        <w:rPr>
          <w:noProof/>
        </w:rPr>
        <w:t>therefore aims</w:t>
      </w:r>
      <w:r w:rsidRPr="00DE4378">
        <w:rPr>
          <w:noProof/>
        </w:rPr>
        <w:t xml:space="preserve"> to stimulate </w:t>
      </w:r>
      <w:r w:rsidR="00052C52" w:rsidRPr="00DE4378">
        <w:rPr>
          <w:noProof/>
        </w:rPr>
        <w:t xml:space="preserve">more </w:t>
      </w:r>
      <w:r w:rsidRPr="00DE4378">
        <w:rPr>
          <w:noProof/>
        </w:rPr>
        <w:t>action upstream</w:t>
      </w:r>
      <w:r w:rsidR="001E7001" w:rsidRPr="00DE4378">
        <w:rPr>
          <w:noProof/>
        </w:rPr>
        <w:t xml:space="preserve"> by</w:t>
      </w:r>
      <w:r w:rsidR="003D2B03" w:rsidRPr="00DE4378">
        <w:rPr>
          <w:noProof/>
        </w:rPr>
        <w:t xml:space="preserve"> reduc</w:t>
      </w:r>
      <w:r w:rsidR="001E7001" w:rsidRPr="00DE4378">
        <w:rPr>
          <w:noProof/>
        </w:rPr>
        <w:t>ing</w:t>
      </w:r>
      <w:r w:rsidRPr="00DE4378">
        <w:rPr>
          <w:noProof/>
        </w:rPr>
        <w:t xml:space="preserve"> emission</w:t>
      </w:r>
      <w:r w:rsidR="003D2B03" w:rsidRPr="00DE4378">
        <w:rPr>
          <w:noProof/>
        </w:rPr>
        <w:t>s at source</w:t>
      </w:r>
      <w:r w:rsidRPr="00DE4378">
        <w:rPr>
          <w:noProof/>
        </w:rPr>
        <w:t xml:space="preserve">. </w:t>
      </w:r>
      <w:r w:rsidR="00F95EEA" w:rsidRPr="00DE4378">
        <w:rPr>
          <w:noProof/>
        </w:rPr>
        <w:t>Waste water treatment will be particularly important for some categories of pollutants: pharmaceuticals and substances in personal care products as they are discharged mostly in an urban environment.</w:t>
      </w:r>
    </w:p>
    <w:p w14:paraId="1D86923D" w14:textId="77777777" w:rsidR="00DE4378" w:rsidRDefault="00847155" w:rsidP="002821B9">
      <w:pPr>
        <w:pBdr>
          <w:top w:val="nil"/>
          <w:left w:val="nil"/>
          <w:bottom w:val="nil"/>
          <w:right w:val="nil"/>
          <w:between w:val="nil"/>
          <w:bar w:val="nil"/>
        </w:pBdr>
        <w:spacing w:before="0" w:after="240"/>
        <w:rPr>
          <w:noProof/>
        </w:rPr>
      </w:pPr>
      <w:r w:rsidRPr="00DE4378">
        <w:rPr>
          <w:noProof/>
        </w:rPr>
        <w:t>By avoiding water pollution, the proposal will also benefit the potential for water reuse, including for irrigation purposes in line with the new Regulation on minimum requirements for water reuse</w:t>
      </w:r>
      <w:r w:rsidR="009E51ED" w:rsidRPr="00DE4378">
        <w:rPr>
          <w:noProof/>
        </w:rPr>
        <w:t xml:space="preserve"> Regulation (EU) 2020/741</w:t>
      </w:r>
      <w:r w:rsidR="009E51ED" w:rsidRPr="00DE4378">
        <w:rPr>
          <w:rStyle w:val="FootnoteReference"/>
          <w:noProof/>
        </w:rPr>
        <w:footnoteReference w:id="17"/>
      </w:r>
      <w:r w:rsidRPr="00DE4378">
        <w:rPr>
          <w:noProof/>
        </w:rPr>
        <w:t>.</w:t>
      </w:r>
    </w:p>
    <w:p w14:paraId="4EA4EFB9" w14:textId="77777777" w:rsidR="002821B9" w:rsidRPr="00DE4378" w:rsidRDefault="002821B9" w:rsidP="002821B9">
      <w:pPr>
        <w:pBdr>
          <w:top w:val="nil"/>
          <w:left w:val="nil"/>
          <w:bottom w:val="nil"/>
          <w:right w:val="nil"/>
          <w:between w:val="nil"/>
          <w:bar w:val="nil"/>
        </w:pBdr>
        <w:spacing w:before="0" w:after="240"/>
        <w:rPr>
          <w:noProof/>
        </w:rPr>
      </w:pPr>
      <w:r w:rsidRPr="00DE4378">
        <w:rPr>
          <w:noProof/>
        </w:rPr>
        <w:t>This proposal is also consistent with the recently revised Drinking Water Directive</w:t>
      </w:r>
      <w:r w:rsidR="003D2B03" w:rsidRPr="00DE4378">
        <w:rPr>
          <w:noProof/>
        </w:rPr>
        <w:t xml:space="preserve"> (DWD)</w:t>
      </w:r>
      <w:r w:rsidRPr="00DE4378">
        <w:rPr>
          <w:noProof/>
        </w:rPr>
        <w:t xml:space="preserve">, which </w:t>
      </w:r>
      <w:r w:rsidR="00CF6652" w:rsidRPr="00DE4378">
        <w:rPr>
          <w:noProof/>
        </w:rPr>
        <w:t xml:space="preserve">has to be transposed across all EU Member States by January </w:t>
      </w:r>
      <w:r w:rsidRPr="00DE4378">
        <w:rPr>
          <w:noProof/>
        </w:rPr>
        <w:t xml:space="preserve">2023. By </w:t>
      </w:r>
      <w:r w:rsidR="00ED31B7" w:rsidRPr="00DE4378">
        <w:rPr>
          <w:noProof/>
        </w:rPr>
        <w:t>tackling</w:t>
      </w:r>
      <w:r w:rsidRPr="00DE4378">
        <w:rPr>
          <w:noProof/>
        </w:rPr>
        <w:t xml:space="preserve"> surface and </w:t>
      </w:r>
      <w:r w:rsidR="003D2B03" w:rsidRPr="00DE4378">
        <w:rPr>
          <w:noProof/>
        </w:rPr>
        <w:t>ground</w:t>
      </w:r>
      <w:r w:rsidRPr="00DE4378">
        <w:rPr>
          <w:noProof/>
        </w:rPr>
        <w:t>water</w:t>
      </w:r>
      <w:r w:rsidR="00ED31B7" w:rsidRPr="00DE4378">
        <w:rPr>
          <w:noProof/>
        </w:rPr>
        <w:t xml:space="preserve"> pollution</w:t>
      </w:r>
      <w:r w:rsidRPr="00DE4378">
        <w:rPr>
          <w:noProof/>
        </w:rPr>
        <w:t>, this proposal will protect vital drinking water sources and reduce treatment</w:t>
      </w:r>
      <w:r w:rsidR="00ED31B7" w:rsidRPr="00DE4378">
        <w:rPr>
          <w:noProof/>
        </w:rPr>
        <w:t xml:space="preserve"> costs</w:t>
      </w:r>
      <w:r w:rsidRPr="00DE4378">
        <w:rPr>
          <w:noProof/>
        </w:rPr>
        <w:t xml:space="preserve">. </w:t>
      </w:r>
      <w:r w:rsidR="003D2B03" w:rsidRPr="00DE4378">
        <w:rPr>
          <w:noProof/>
        </w:rPr>
        <w:t>T</w:t>
      </w:r>
      <w:r w:rsidRPr="00DE4378">
        <w:rPr>
          <w:noProof/>
        </w:rPr>
        <w:t xml:space="preserve">he DWD and this proposal </w:t>
      </w:r>
      <w:r w:rsidR="003D2B03" w:rsidRPr="00DE4378">
        <w:rPr>
          <w:noProof/>
        </w:rPr>
        <w:t>address a wide range of pollutants, in particular</w:t>
      </w:r>
      <w:r w:rsidRPr="00DE4378">
        <w:rPr>
          <w:noProof/>
        </w:rPr>
        <w:t xml:space="preserve"> pesticides, pharmaceuticals and the group of </w:t>
      </w:r>
      <w:r w:rsidR="003D2B03" w:rsidRPr="00DE4378">
        <w:rPr>
          <w:noProof/>
        </w:rPr>
        <w:t>per- and polyfluoroalkyl substances (</w:t>
      </w:r>
      <w:r w:rsidRPr="00DE4378">
        <w:rPr>
          <w:noProof/>
        </w:rPr>
        <w:t>PFAS</w:t>
      </w:r>
      <w:r w:rsidR="003D2B03" w:rsidRPr="00DE4378">
        <w:rPr>
          <w:noProof/>
        </w:rPr>
        <w:t>)</w:t>
      </w:r>
      <w:r w:rsidRPr="00DE4378">
        <w:rPr>
          <w:noProof/>
        </w:rPr>
        <w:t>.</w:t>
      </w:r>
      <w:r w:rsidR="00F95EEA" w:rsidRPr="00DE4378">
        <w:rPr>
          <w:noProof/>
        </w:rPr>
        <w:t xml:space="preserve"> As regards PFAS it should be noted that this proposal has, unlike the revised DWD, benefitted from the most recent EFSA advice on PFAS adopted on 9 July 2020. Like the DWD, this proposal also targets microplastics not immediately but after a methodology for monitoring has been developed. This proposal will be taken into account in the ongoing evaluation of the Bathing Water Directive (BWD) and should the BWD be revised, it will be part of the baseline constructed for the BWD impact assessment.</w:t>
      </w:r>
    </w:p>
    <w:p w14:paraId="288D6393" w14:textId="77777777" w:rsidR="002522B4" w:rsidRPr="002744F0" w:rsidRDefault="002522B4" w:rsidP="002821B9">
      <w:pPr>
        <w:pBdr>
          <w:top w:val="nil"/>
          <w:left w:val="nil"/>
          <w:bottom w:val="nil"/>
          <w:right w:val="nil"/>
          <w:between w:val="nil"/>
          <w:bar w:val="nil"/>
        </w:pBdr>
        <w:spacing w:before="0" w:after="240"/>
        <w:rPr>
          <w:noProof/>
        </w:rPr>
      </w:pPr>
      <w:r w:rsidRPr="002744F0">
        <w:rPr>
          <w:rFonts w:eastAsia="Arial Unicode MS"/>
          <w:noProof/>
          <w:szCs w:val="24"/>
        </w:rPr>
        <w:t>The proposal is also consistent with the recent Commission proposals</w:t>
      </w:r>
      <w:r w:rsidRPr="002744F0">
        <w:rPr>
          <w:rStyle w:val="FootnoteReference"/>
          <w:noProof/>
        </w:rPr>
        <w:footnoteReference w:id="18"/>
      </w:r>
      <w:r w:rsidRPr="002744F0">
        <w:rPr>
          <w:rFonts w:eastAsia="Arial Unicode MS"/>
          <w:noProof/>
          <w:szCs w:val="24"/>
        </w:rPr>
        <w:t xml:space="preserve"> to revise EU measures to address pollution from large industrial installations which</w:t>
      </w:r>
      <w:r w:rsidR="00EC2A1F" w:rsidRPr="002744F0">
        <w:rPr>
          <w:rFonts w:eastAsia="Arial Unicode MS"/>
          <w:noProof/>
          <w:szCs w:val="24"/>
        </w:rPr>
        <w:t xml:space="preserve">, in addition to widening the scope of the </w:t>
      </w:r>
      <w:r w:rsidR="00F72312" w:rsidRPr="002744F0">
        <w:rPr>
          <w:rFonts w:eastAsia="Arial Unicode MS"/>
          <w:noProof/>
          <w:szCs w:val="24"/>
        </w:rPr>
        <w:t>I</w:t>
      </w:r>
      <w:r w:rsidR="00EC2A1F" w:rsidRPr="002744F0">
        <w:rPr>
          <w:rFonts w:eastAsia="Arial Unicode MS"/>
          <w:noProof/>
          <w:szCs w:val="24"/>
        </w:rPr>
        <w:t xml:space="preserve">ndustrial </w:t>
      </w:r>
      <w:r w:rsidR="00F72312" w:rsidRPr="002744F0">
        <w:rPr>
          <w:rFonts w:eastAsia="Arial Unicode MS"/>
          <w:noProof/>
          <w:szCs w:val="24"/>
        </w:rPr>
        <w:t>E</w:t>
      </w:r>
      <w:r w:rsidR="00EC2A1F" w:rsidRPr="002744F0">
        <w:rPr>
          <w:rFonts w:eastAsia="Arial Unicode MS"/>
          <w:noProof/>
          <w:szCs w:val="24"/>
        </w:rPr>
        <w:t>missions</w:t>
      </w:r>
      <w:r w:rsidR="00F72312" w:rsidRPr="002744F0">
        <w:rPr>
          <w:rFonts w:eastAsia="Arial Unicode MS"/>
          <w:noProof/>
          <w:szCs w:val="24"/>
        </w:rPr>
        <w:t xml:space="preserve"> Directive</w:t>
      </w:r>
      <w:r w:rsidR="00BA64AF" w:rsidRPr="002744F0">
        <w:rPr>
          <w:rFonts w:eastAsia="Arial Unicode MS"/>
          <w:noProof/>
          <w:szCs w:val="24"/>
        </w:rPr>
        <w:t xml:space="preserve"> (IED)</w:t>
      </w:r>
      <w:r w:rsidR="00EC2A1F" w:rsidRPr="002744F0">
        <w:rPr>
          <w:rFonts w:eastAsia="Arial Unicode MS"/>
          <w:noProof/>
          <w:szCs w:val="24"/>
        </w:rPr>
        <w:t>, also seek</w:t>
      </w:r>
      <w:r w:rsidR="00052C52" w:rsidRPr="002744F0">
        <w:rPr>
          <w:rFonts w:eastAsia="Arial Unicode MS"/>
          <w:noProof/>
          <w:szCs w:val="24"/>
        </w:rPr>
        <w:t xml:space="preserve"> </w:t>
      </w:r>
      <w:r w:rsidR="00EC2A1F" w:rsidRPr="002744F0">
        <w:rPr>
          <w:rFonts w:eastAsia="Arial Unicode MS"/>
          <w:noProof/>
          <w:szCs w:val="24"/>
        </w:rPr>
        <w:t>to improve resource efficiency and e</w:t>
      </w:r>
      <w:r w:rsidRPr="002744F0">
        <w:rPr>
          <w:rFonts w:eastAsia="Arial Unicode MS"/>
          <w:noProof/>
          <w:szCs w:val="24"/>
        </w:rPr>
        <w:t>nsur</w:t>
      </w:r>
      <w:r w:rsidR="00EC2A1F" w:rsidRPr="002744F0">
        <w:rPr>
          <w:rFonts w:eastAsia="Arial Unicode MS"/>
          <w:noProof/>
          <w:szCs w:val="24"/>
        </w:rPr>
        <w:t>e</w:t>
      </w:r>
      <w:r w:rsidRPr="002744F0">
        <w:rPr>
          <w:rFonts w:eastAsia="Arial Unicode MS"/>
          <w:noProof/>
          <w:szCs w:val="24"/>
        </w:rPr>
        <w:t xml:space="preserve"> </w:t>
      </w:r>
      <w:r w:rsidR="00052C52" w:rsidRPr="002744F0">
        <w:rPr>
          <w:rFonts w:eastAsia="Arial Unicode MS"/>
          <w:noProof/>
          <w:szCs w:val="24"/>
        </w:rPr>
        <w:t xml:space="preserve">that permitting requirements are </w:t>
      </w:r>
      <w:r w:rsidRPr="002744F0">
        <w:rPr>
          <w:rFonts w:eastAsia="Arial Unicode MS"/>
          <w:noProof/>
          <w:szCs w:val="24"/>
        </w:rPr>
        <w:t>better controlled and more integrated</w:t>
      </w:r>
      <w:r w:rsidR="00EC2A1F" w:rsidRPr="002744F0">
        <w:rPr>
          <w:rFonts w:eastAsia="Arial Unicode MS"/>
          <w:noProof/>
          <w:szCs w:val="24"/>
        </w:rPr>
        <w:t xml:space="preserve">, including by clarifying rules applicable to </w:t>
      </w:r>
      <w:r w:rsidRPr="002744F0">
        <w:rPr>
          <w:rFonts w:eastAsia="Arial Unicode MS"/>
          <w:noProof/>
          <w:szCs w:val="24"/>
        </w:rPr>
        <w:t>the indirect release of polluting substances into water through urban wastewater treatment plants.</w:t>
      </w:r>
      <w:r w:rsidR="00E756B3" w:rsidRPr="002744F0">
        <w:rPr>
          <w:rFonts w:eastAsia="Arial Unicode MS"/>
          <w:noProof/>
          <w:szCs w:val="24"/>
        </w:rPr>
        <w:t xml:space="preserve"> </w:t>
      </w:r>
      <w:r w:rsidR="00EC2A1F" w:rsidRPr="002744F0">
        <w:rPr>
          <w:rFonts w:eastAsia="Arial Unicode MS"/>
          <w:noProof/>
          <w:szCs w:val="24"/>
        </w:rPr>
        <w:t>The proposals further aim at f</w:t>
      </w:r>
      <w:r w:rsidRPr="002744F0">
        <w:rPr>
          <w:rFonts w:eastAsia="Arial Unicode MS"/>
          <w:noProof/>
          <w:szCs w:val="24"/>
        </w:rPr>
        <w:t>ostering innovation</w:t>
      </w:r>
      <w:r w:rsidR="00ED31B7" w:rsidRPr="002744F0">
        <w:rPr>
          <w:rFonts w:eastAsia="Arial Unicode MS"/>
          <w:noProof/>
          <w:szCs w:val="24"/>
        </w:rPr>
        <w:t xml:space="preserve"> </w:t>
      </w:r>
      <w:r w:rsidR="00EC2A1F" w:rsidRPr="002744F0">
        <w:rPr>
          <w:rFonts w:eastAsia="Arial Unicode MS"/>
          <w:noProof/>
          <w:szCs w:val="24"/>
        </w:rPr>
        <w:t>to addres</w:t>
      </w:r>
      <w:r w:rsidR="00ED31B7" w:rsidRPr="002744F0">
        <w:rPr>
          <w:rFonts w:eastAsia="Arial Unicode MS"/>
          <w:noProof/>
          <w:szCs w:val="24"/>
        </w:rPr>
        <w:t>s</w:t>
      </w:r>
      <w:r w:rsidR="00EC2A1F" w:rsidRPr="002744F0">
        <w:rPr>
          <w:rFonts w:eastAsia="Arial Unicode MS"/>
          <w:noProof/>
          <w:szCs w:val="24"/>
        </w:rPr>
        <w:t xml:space="preserve"> per</w:t>
      </w:r>
      <w:r w:rsidRPr="002744F0">
        <w:rPr>
          <w:rFonts w:eastAsia="Arial Unicode MS"/>
          <w:noProof/>
          <w:szCs w:val="24"/>
        </w:rPr>
        <w:t>sistent chemical substances and substances newly identified as being of concern, including PFAS, micro</w:t>
      </w:r>
      <w:r w:rsidR="00660305" w:rsidRPr="002744F0">
        <w:rPr>
          <w:rFonts w:eastAsia="Arial Unicode MS"/>
          <w:noProof/>
          <w:szCs w:val="24"/>
        </w:rPr>
        <w:t>-</w:t>
      </w:r>
      <w:r w:rsidRPr="002744F0">
        <w:rPr>
          <w:rFonts w:eastAsia="Arial Unicode MS"/>
          <w:noProof/>
          <w:szCs w:val="24"/>
        </w:rPr>
        <w:t xml:space="preserve">plastics and pharmaceuticals. The ‘exchange of information’ process under the </w:t>
      </w:r>
      <w:r w:rsidR="00ED31B7" w:rsidRPr="002744F0">
        <w:rPr>
          <w:rFonts w:eastAsia="Arial Unicode MS"/>
          <w:noProof/>
          <w:szCs w:val="24"/>
        </w:rPr>
        <w:t xml:space="preserve">revised </w:t>
      </w:r>
      <w:r w:rsidRPr="002744F0">
        <w:rPr>
          <w:rFonts w:eastAsia="Arial Unicode MS"/>
          <w:noProof/>
          <w:szCs w:val="24"/>
        </w:rPr>
        <w:t xml:space="preserve">IED to draw up and review </w:t>
      </w:r>
      <w:r w:rsidR="006F3DD5" w:rsidRPr="002744F0">
        <w:rPr>
          <w:rFonts w:eastAsia="Arial Unicode MS"/>
          <w:noProof/>
          <w:szCs w:val="24"/>
        </w:rPr>
        <w:t>b</w:t>
      </w:r>
      <w:r w:rsidRPr="002744F0">
        <w:rPr>
          <w:rFonts w:eastAsia="Arial Unicode MS"/>
          <w:noProof/>
          <w:szCs w:val="24"/>
        </w:rPr>
        <w:t xml:space="preserve">est </w:t>
      </w:r>
      <w:r w:rsidR="006F3DD5" w:rsidRPr="002744F0">
        <w:rPr>
          <w:rFonts w:eastAsia="Arial Unicode MS"/>
          <w:noProof/>
          <w:szCs w:val="24"/>
        </w:rPr>
        <w:t>a</w:t>
      </w:r>
      <w:r w:rsidRPr="002744F0">
        <w:rPr>
          <w:rFonts w:eastAsia="Arial Unicode MS"/>
          <w:noProof/>
          <w:szCs w:val="24"/>
        </w:rPr>
        <w:t xml:space="preserve">vailable </w:t>
      </w:r>
      <w:r w:rsidR="006F3DD5" w:rsidRPr="002744F0">
        <w:rPr>
          <w:rFonts w:eastAsia="Arial Unicode MS"/>
          <w:noProof/>
          <w:szCs w:val="24"/>
        </w:rPr>
        <w:t>t</w:t>
      </w:r>
      <w:r w:rsidRPr="002744F0">
        <w:rPr>
          <w:rFonts w:eastAsia="Arial Unicode MS"/>
          <w:noProof/>
          <w:szCs w:val="24"/>
        </w:rPr>
        <w:t xml:space="preserve">echnique reference documents </w:t>
      </w:r>
      <w:r w:rsidR="00ED31B7" w:rsidRPr="002744F0">
        <w:rPr>
          <w:rFonts w:eastAsia="Arial Unicode MS"/>
          <w:noProof/>
          <w:szCs w:val="24"/>
        </w:rPr>
        <w:t>will</w:t>
      </w:r>
      <w:r w:rsidRPr="002744F0">
        <w:rPr>
          <w:rFonts w:eastAsia="Arial Unicode MS"/>
          <w:noProof/>
          <w:szCs w:val="24"/>
        </w:rPr>
        <w:t xml:space="preserve"> take account of the identification of substances of concern under EU water l</w:t>
      </w:r>
      <w:r w:rsidR="00ED31B7" w:rsidRPr="002744F0">
        <w:rPr>
          <w:rFonts w:eastAsia="Arial Unicode MS"/>
          <w:noProof/>
          <w:szCs w:val="24"/>
        </w:rPr>
        <w:t xml:space="preserve">aw, including </w:t>
      </w:r>
      <w:r w:rsidR="00BA64AF" w:rsidRPr="002744F0">
        <w:rPr>
          <w:rFonts w:eastAsia="Arial Unicode MS"/>
          <w:noProof/>
          <w:szCs w:val="24"/>
        </w:rPr>
        <w:t xml:space="preserve">substances on the </w:t>
      </w:r>
      <w:r w:rsidRPr="002744F0">
        <w:rPr>
          <w:rFonts w:eastAsia="Arial Unicode MS"/>
          <w:noProof/>
          <w:szCs w:val="24"/>
        </w:rPr>
        <w:t xml:space="preserve">‘watch lists’ for </w:t>
      </w:r>
      <w:r w:rsidR="00ED31B7" w:rsidRPr="002744F0">
        <w:rPr>
          <w:rFonts w:eastAsia="Arial Unicode MS"/>
          <w:noProof/>
          <w:szCs w:val="24"/>
        </w:rPr>
        <w:t xml:space="preserve">surface and </w:t>
      </w:r>
      <w:r w:rsidRPr="002744F0">
        <w:rPr>
          <w:rFonts w:eastAsia="Arial Unicode MS"/>
          <w:noProof/>
          <w:szCs w:val="24"/>
        </w:rPr>
        <w:t>groundwater</w:t>
      </w:r>
      <w:r w:rsidR="00ED31B7" w:rsidRPr="002744F0">
        <w:rPr>
          <w:rFonts w:eastAsia="Arial Unicode MS"/>
          <w:noProof/>
          <w:szCs w:val="24"/>
        </w:rPr>
        <w:t>, as well as subs</w:t>
      </w:r>
      <w:r w:rsidRPr="002744F0">
        <w:rPr>
          <w:rFonts w:eastAsia="Arial Unicode MS"/>
          <w:noProof/>
          <w:szCs w:val="24"/>
        </w:rPr>
        <w:t xml:space="preserve">tances posing a significant risk to or via the aquatic environment at EU level. </w:t>
      </w:r>
    </w:p>
    <w:p w14:paraId="5331D04C" w14:textId="77777777" w:rsidR="0047629D" w:rsidRPr="002744F0" w:rsidRDefault="0047629D" w:rsidP="005C4F36">
      <w:pPr>
        <w:pStyle w:val="ManualHeading2"/>
        <w:rPr>
          <w:rFonts w:eastAsia="Arial Unicode MS"/>
          <w:noProof/>
          <w:szCs w:val="24"/>
        </w:rPr>
      </w:pPr>
      <w:r w:rsidRPr="002744F0">
        <w:rPr>
          <w:rFonts w:eastAsia="Arial Unicode MS"/>
          <w:noProof/>
          <w:color w:val="000000"/>
          <w:szCs w:val="24"/>
          <w:u w:color="000000"/>
          <w:bdr w:val="nil"/>
          <w:lang w:eastAsia="en-GB"/>
        </w:rPr>
        <w:t>•</w:t>
      </w:r>
      <w:r w:rsidRPr="002744F0">
        <w:rPr>
          <w:rFonts w:eastAsia="Arial Unicode MS"/>
          <w:noProof/>
          <w:color w:val="000000"/>
          <w:szCs w:val="24"/>
          <w:u w:color="000000"/>
          <w:bdr w:val="nil"/>
          <w:lang w:eastAsia="en-GB"/>
        </w:rPr>
        <w:tab/>
      </w:r>
      <w:r w:rsidRPr="002744F0">
        <w:rPr>
          <w:rFonts w:eastAsia="Arial Unicode MS"/>
          <w:noProof/>
          <w:szCs w:val="24"/>
        </w:rPr>
        <w:t>Consistency with other Union policies</w:t>
      </w:r>
    </w:p>
    <w:p w14:paraId="3910E1E8" w14:textId="77777777" w:rsidR="002821B9" w:rsidRPr="002744F0" w:rsidRDefault="002821B9" w:rsidP="00D70F64">
      <w:pPr>
        <w:pBdr>
          <w:top w:val="nil"/>
          <w:left w:val="nil"/>
          <w:bottom w:val="nil"/>
          <w:right w:val="nil"/>
          <w:between w:val="nil"/>
          <w:bar w:val="nil"/>
        </w:pBdr>
        <w:spacing w:before="0" w:after="240"/>
        <w:rPr>
          <w:noProof/>
          <w:szCs w:val="24"/>
        </w:rPr>
      </w:pPr>
      <w:r w:rsidRPr="002744F0">
        <w:rPr>
          <w:noProof/>
          <w:szCs w:val="24"/>
        </w:rPr>
        <w:t xml:space="preserve">This initiative is part of the </w:t>
      </w:r>
      <w:r w:rsidR="006F3DD5" w:rsidRPr="002744F0">
        <w:rPr>
          <w:noProof/>
          <w:szCs w:val="24"/>
        </w:rPr>
        <w:t xml:space="preserve">2022 </w:t>
      </w:r>
      <w:r w:rsidRPr="002744F0">
        <w:rPr>
          <w:noProof/>
          <w:szCs w:val="24"/>
        </w:rPr>
        <w:t xml:space="preserve">Commission </w:t>
      </w:r>
      <w:r w:rsidR="006F3DD5" w:rsidRPr="002744F0">
        <w:rPr>
          <w:noProof/>
          <w:szCs w:val="24"/>
        </w:rPr>
        <w:t>w</w:t>
      </w:r>
      <w:r w:rsidRPr="002744F0">
        <w:rPr>
          <w:noProof/>
          <w:szCs w:val="24"/>
        </w:rPr>
        <w:t xml:space="preserve">ork </w:t>
      </w:r>
      <w:r w:rsidR="006F3DD5" w:rsidRPr="002744F0">
        <w:rPr>
          <w:noProof/>
          <w:szCs w:val="24"/>
        </w:rPr>
        <w:t>p</w:t>
      </w:r>
      <w:r w:rsidRPr="002744F0">
        <w:rPr>
          <w:noProof/>
          <w:szCs w:val="24"/>
        </w:rPr>
        <w:t xml:space="preserve">rogramme and a key action in the Zero Pollution Action Plan. </w:t>
      </w:r>
      <w:r w:rsidR="00ED31B7" w:rsidRPr="002744F0">
        <w:rPr>
          <w:noProof/>
          <w:szCs w:val="24"/>
        </w:rPr>
        <w:t>L</w:t>
      </w:r>
      <w:r w:rsidRPr="002744F0">
        <w:rPr>
          <w:noProof/>
          <w:szCs w:val="24"/>
        </w:rPr>
        <w:t>ike all</w:t>
      </w:r>
      <w:r w:rsidR="006F3DD5" w:rsidRPr="002744F0">
        <w:rPr>
          <w:noProof/>
          <w:szCs w:val="24"/>
        </w:rPr>
        <w:t xml:space="preserve"> </w:t>
      </w:r>
      <w:r w:rsidRPr="002744F0">
        <w:rPr>
          <w:noProof/>
          <w:szCs w:val="24"/>
        </w:rPr>
        <w:t>initiatives</w:t>
      </w:r>
      <w:r w:rsidR="006F3DD5" w:rsidRPr="002744F0">
        <w:rPr>
          <w:noProof/>
          <w:szCs w:val="24"/>
        </w:rPr>
        <w:t xml:space="preserve"> under the European Green Deal</w:t>
      </w:r>
      <w:r w:rsidRPr="002744F0">
        <w:rPr>
          <w:noProof/>
          <w:szCs w:val="24"/>
        </w:rPr>
        <w:t xml:space="preserve">, </w:t>
      </w:r>
      <w:r w:rsidR="00ED31B7" w:rsidRPr="002744F0">
        <w:rPr>
          <w:noProof/>
          <w:szCs w:val="24"/>
        </w:rPr>
        <w:t xml:space="preserve">it </w:t>
      </w:r>
      <w:r w:rsidRPr="002744F0">
        <w:rPr>
          <w:noProof/>
          <w:szCs w:val="24"/>
        </w:rPr>
        <w:t xml:space="preserve">aims </w:t>
      </w:r>
      <w:r w:rsidR="006F3DD5" w:rsidRPr="002744F0">
        <w:rPr>
          <w:noProof/>
          <w:szCs w:val="24"/>
        </w:rPr>
        <w:t>to</w:t>
      </w:r>
      <w:r w:rsidRPr="002744F0">
        <w:rPr>
          <w:noProof/>
          <w:szCs w:val="24"/>
        </w:rPr>
        <w:t xml:space="preserve"> ensur</w:t>
      </w:r>
      <w:r w:rsidR="006F3DD5" w:rsidRPr="002744F0">
        <w:rPr>
          <w:noProof/>
          <w:szCs w:val="24"/>
        </w:rPr>
        <w:t>e</w:t>
      </w:r>
      <w:r w:rsidRPr="002744F0">
        <w:rPr>
          <w:noProof/>
          <w:szCs w:val="24"/>
        </w:rPr>
        <w:t xml:space="preserve"> that objectives are achieved in the most effective and least burdensome way and comply with the ‘do no significant harm’ principle. It fine-tunes, updates and adapts existing legislation in the context</w:t>
      </w:r>
      <w:r w:rsidR="006F3DD5" w:rsidRPr="002744F0">
        <w:rPr>
          <w:noProof/>
          <w:szCs w:val="24"/>
        </w:rPr>
        <w:t xml:space="preserve"> of the Green Deal</w:t>
      </w:r>
      <w:r w:rsidRPr="002744F0">
        <w:rPr>
          <w:noProof/>
          <w:szCs w:val="24"/>
        </w:rPr>
        <w:t xml:space="preserve">. Its focus is on defining the zero pollution ambition for water pollutants and thereby the level of protection for human health and natural ecosystems. </w:t>
      </w:r>
      <w:r w:rsidR="00BA64AF" w:rsidRPr="002744F0">
        <w:rPr>
          <w:noProof/>
          <w:szCs w:val="24"/>
        </w:rPr>
        <w:t xml:space="preserve">Many </w:t>
      </w:r>
      <w:r w:rsidRPr="002744F0">
        <w:rPr>
          <w:noProof/>
          <w:szCs w:val="24"/>
        </w:rPr>
        <w:t xml:space="preserve">measures necessary to achieve are addressed by other, closely related, </w:t>
      </w:r>
      <w:r w:rsidR="00ED31B7" w:rsidRPr="002744F0">
        <w:rPr>
          <w:noProof/>
          <w:szCs w:val="24"/>
        </w:rPr>
        <w:t>E</w:t>
      </w:r>
      <w:r w:rsidR="006F3DD5" w:rsidRPr="002744F0">
        <w:rPr>
          <w:noProof/>
          <w:szCs w:val="24"/>
        </w:rPr>
        <w:t xml:space="preserve">uropean </w:t>
      </w:r>
      <w:r w:rsidR="00ED31B7" w:rsidRPr="002744F0">
        <w:rPr>
          <w:noProof/>
          <w:szCs w:val="24"/>
        </w:rPr>
        <w:t>G</w:t>
      </w:r>
      <w:r w:rsidR="006F3DD5" w:rsidRPr="002744F0">
        <w:rPr>
          <w:noProof/>
          <w:szCs w:val="24"/>
        </w:rPr>
        <w:t xml:space="preserve">reen </w:t>
      </w:r>
      <w:r w:rsidR="00ED31B7" w:rsidRPr="002744F0">
        <w:rPr>
          <w:noProof/>
          <w:szCs w:val="24"/>
        </w:rPr>
        <w:t>D</w:t>
      </w:r>
      <w:r w:rsidR="006F3DD5" w:rsidRPr="002744F0">
        <w:rPr>
          <w:noProof/>
          <w:szCs w:val="24"/>
        </w:rPr>
        <w:t>eal</w:t>
      </w:r>
      <w:r w:rsidR="00ED31B7" w:rsidRPr="002744F0">
        <w:rPr>
          <w:noProof/>
          <w:szCs w:val="24"/>
        </w:rPr>
        <w:t xml:space="preserve"> </w:t>
      </w:r>
      <w:r w:rsidRPr="002744F0">
        <w:rPr>
          <w:noProof/>
          <w:szCs w:val="24"/>
        </w:rPr>
        <w:t>initiatives</w:t>
      </w:r>
      <w:r w:rsidR="006F3DD5" w:rsidRPr="002744F0">
        <w:rPr>
          <w:noProof/>
          <w:szCs w:val="24"/>
        </w:rPr>
        <w:t>. These include</w:t>
      </w:r>
      <w:r w:rsidRPr="002744F0">
        <w:rPr>
          <w:noProof/>
          <w:szCs w:val="24"/>
        </w:rPr>
        <w:t xml:space="preserve">: </w:t>
      </w:r>
    </w:p>
    <w:p w14:paraId="57B74324" w14:textId="77777777" w:rsidR="002821B9" w:rsidRPr="002744F0" w:rsidRDefault="002821B9" w:rsidP="00693AF5">
      <w:pPr>
        <w:pStyle w:val="Default"/>
        <w:numPr>
          <w:ilvl w:val="0"/>
          <w:numId w:val="15"/>
        </w:numPr>
        <w:spacing w:after="44"/>
        <w:jc w:val="both"/>
        <w:rPr>
          <w:noProof/>
        </w:rPr>
      </w:pPr>
      <w:r w:rsidRPr="002744F0">
        <w:rPr>
          <w:noProof/>
        </w:rPr>
        <w:t xml:space="preserve">The Biodiversity </w:t>
      </w:r>
      <w:r w:rsidR="004353C2" w:rsidRPr="002744F0">
        <w:rPr>
          <w:noProof/>
        </w:rPr>
        <w:t xml:space="preserve">Strategy </w:t>
      </w:r>
      <w:r w:rsidRPr="002744F0">
        <w:rPr>
          <w:noProof/>
        </w:rPr>
        <w:t xml:space="preserve">and </w:t>
      </w:r>
      <w:r w:rsidR="004353C2" w:rsidRPr="002744F0">
        <w:rPr>
          <w:noProof/>
        </w:rPr>
        <w:t xml:space="preserve">the </w:t>
      </w:r>
      <w:r w:rsidRPr="002744F0">
        <w:rPr>
          <w:noProof/>
        </w:rPr>
        <w:t>Farm to Fork Strateg</w:t>
      </w:r>
      <w:r w:rsidR="004353C2" w:rsidRPr="002744F0">
        <w:rPr>
          <w:noProof/>
        </w:rPr>
        <w:t>y</w:t>
      </w:r>
      <w:r w:rsidR="004353C2" w:rsidRPr="002744F0">
        <w:rPr>
          <w:rStyle w:val="FootnoteReference"/>
          <w:noProof/>
        </w:rPr>
        <w:footnoteReference w:id="19"/>
      </w:r>
      <w:r w:rsidR="006F3DD5" w:rsidRPr="002744F0">
        <w:rPr>
          <w:noProof/>
        </w:rPr>
        <w:t>, which</w:t>
      </w:r>
      <w:r w:rsidRPr="002744F0">
        <w:rPr>
          <w:noProof/>
        </w:rPr>
        <w:t xml:space="preserve"> aim to reduce pesticide use, </w:t>
      </w:r>
      <w:r w:rsidR="008265B6" w:rsidRPr="002744F0">
        <w:rPr>
          <w:noProof/>
        </w:rPr>
        <w:t>fertilizer use</w:t>
      </w:r>
      <w:r w:rsidR="00997BC5" w:rsidRPr="002744F0">
        <w:rPr>
          <w:noProof/>
        </w:rPr>
        <w:t>,</w:t>
      </w:r>
      <w:r w:rsidR="008265B6" w:rsidRPr="002744F0">
        <w:rPr>
          <w:noProof/>
        </w:rPr>
        <w:t xml:space="preserve"> </w:t>
      </w:r>
      <w:r w:rsidRPr="002744F0">
        <w:rPr>
          <w:noProof/>
        </w:rPr>
        <w:t xml:space="preserve">nutrient losses and </w:t>
      </w:r>
      <w:r w:rsidR="008265B6" w:rsidRPr="002744F0">
        <w:rPr>
          <w:noProof/>
        </w:rPr>
        <w:t xml:space="preserve">the </w:t>
      </w:r>
      <w:r w:rsidRPr="002744F0">
        <w:rPr>
          <w:noProof/>
        </w:rPr>
        <w:t xml:space="preserve">sales of antimicrobials by 2030. Much of </w:t>
      </w:r>
      <w:r w:rsidR="008265B6" w:rsidRPr="002744F0">
        <w:rPr>
          <w:noProof/>
        </w:rPr>
        <w:t>the reduction in pesticide use</w:t>
      </w:r>
      <w:r w:rsidRPr="002744F0">
        <w:rPr>
          <w:noProof/>
        </w:rPr>
        <w:t xml:space="preserve"> is to be achieved by the </w:t>
      </w:r>
      <w:r w:rsidR="00A62A54" w:rsidRPr="002744F0">
        <w:rPr>
          <w:noProof/>
        </w:rPr>
        <w:t xml:space="preserve">Commission’s </w:t>
      </w:r>
      <w:r w:rsidRPr="002744F0">
        <w:rPr>
          <w:noProof/>
        </w:rPr>
        <w:t>propos</w:t>
      </w:r>
      <w:r w:rsidR="00A62A54" w:rsidRPr="002744F0">
        <w:rPr>
          <w:noProof/>
        </w:rPr>
        <w:t>al</w:t>
      </w:r>
      <w:r w:rsidR="004353C2" w:rsidRPr="002744F0">
        <w:rPr>
          <w:rStyle w:val="FootnoteReference"/>
          <w:noProof/>
        </w:rPr>
        <w:footnoteReference w:id="20"/>
      </w:r>
      <w:r w:rsidR="00A62A54" w:rsidRPr="002744F0">
        <w:rPr>
          <w:noProof/>
        </w:rPr>
        <w:t xml:space="preserve"> </w:t>
      </w:r>
      <w:r w:rsidR="008D603F">
        <w:rPr>
          <w:noProof/>
        </w:rPr>
        <w:t xml:space="preserve">for a Regulation of the European Parliament and of the Council on the sustainable use of plant protection products and amending Regulation </w:t>
      </w:r>
      <w:r w:rsidR="008241F8">
        <w:rPr>
          <w:noProof/>
        </w:rPr>
        <w:t>(EU) 20</w:t>
      </w:r>
      <w:r w:rsidR="008D603F">
        <w:rPr>
          <w:noProof/>
        </w:rPr>
        <w:t>21/2115</w:t>
      </w:r>
      <w:r w:rsidRPr="002744F0">
        <w:rPr>
          <w:noProof/>
        </w:rPr>
        <w:t>. A future review of Regulation (EC) No 1107/2009</w:t>
      </w:r>
      <w:r w:rsidR="004353C2" w:rsidRPr="002744F0">
        <w:rPr>
          <w:rStyle w:val="FootnoteReference"/>
          <w:noProof/>
        </w:rPr>
        <w:footnoteReference w:id="21"/>
      </w:r>
      <w:r w:rsidRPr="002744F0">
        <w:rPr>
          <w:noProof/>
        </w:rPr>
        <w:t xml:space="preserve"> concerning the placing of plant protection products (PPPs) on the market could also play a role</w:t>
      </w:r>
      <w:r w:rsidR="001E7001" w:rsidRPr="002744F0">
        <w:rPr>
          <w:noProof/>
        </w:rPr>
        <w:t>;</w:t>
      </w:r>
    </w:p>
    <w:p w14:paraId="2C97AF52" w14:textId="77777777" w:rsidR="002821B9" w:rsidRPr="002744F0" w:rsidRDefault="002821B9" w:rsidP="00693AF5">
      <w:pPr>
        <w:pStyle w:val="Default"/>
        <w:numPr>
          <w:ilvl w:val="0"/>
          <w:numId w:val="15"/>
        </w:numPr>
        <w:spacing w:after="44"/>
        <w:jc w:val="both"/>
        <w:rPr>
          <w:noProof/>
        </w:rPr>
      </w:pPr>
      <w:r w:rsidRPr="002744F0">
        <w:rPr>
          <w:noProof/>
        </w:rPr>
        <w:t>The EU Plastics Strategy</w:t>
      </w:r>
      <w:r w:rsidR="004353C2" w:rsidRPr="002744F0">
        <w:rPr>
          <w:rStyle w:val="FootnoteReference"/>
          <w:noProof/>
        </w:rPr>
        <w:footnoteReference w:id="22"/>
      </w:r>
      <w:r w:rsidRPr="002744F0">
        <w:rPr>
          <w:noProof/>
        </w:rPr>
        <w:t xml:space="preserve"> and the upcoming EU micro</w:t>
      </w:r>
      <w:r w:rsidR="00660305" w:rsidRPr="002744F0">
        <w:rPr>
          <w:noProof/>
        </w:rPr>
        <w:t>-</w:t>
      </w:r>
      <w:r w:rsidRPr="002744F0">
        <w:rPr>
          <w:noProof/>
        </w:rPr>
        <w:t>plastics initiative</w:t>
      </w:r>
      <w:r w:rsidR="006F3DD5" w:rsidRPr="002744F0">
        <w:rPr>
          <w:noProof/>
        </w:rPr>
        <w:t>, which</w:t>
      </w:r>
      <w:r w:rsidRPr="002744F0">
        <w:rPr>
          <w:noProof/>
        </w:rPr>
        <w:t xml:space="preserve"> aim to deliver on the</w:t>
      </w:r>
      <w:r w:rsidR="006F3DD5" w:rsidRPr="002744F0">
        <w:rPr>
          <w:noProof/>
        </w:rPr>
        <w:t xml:space="preserve"> Zero Pollution Action Plan</w:t>
      </w:r>
      <w:r w:rsidR="00ED31B7" w:rsidRPr="002744F0">
        <w:rPr>
          <w:noProof/>
        </w:rPr>
        <w:t xml:space="preserve"> </w:t>
      </w:r>
      <w:r w:rsidRPr="002744F0">
        <w:rPr>
          <w:noProof/>
        </w:rPr>
        <w:t>target</w:t>
      </w:r>
      <w:r w:rsidR="00997BC5" w:rsidRPr="002744F0">
        <w:rPr>
          <w:noProof/>
        </w:rPr>
        <w:t>s</w:t>
      </w:r>
      <w:r w:rsidRPr="002744F0">
        <w:rPr>
          <w:noProof/>
        </w:rPr>
        <w:t xml:space="preserve"> to reduce waste, plastic litter at sea and micro</w:t>
      </w:r>
      <w:r w:rsidR="00660305" w:rsidRPr="002744F0">
        <w:rPr>
          <w:noProof/>
        </w:rPr>
        <w:t>-</w:t>
      </w:r>
      <w:r w:rsidRPr="002744F0">
        <w:rPr>
          <w:noProof/>
        </w:rPr>
        <w:t xml:space="preserve">plastics released into the environment by 2030; </w:t>
      </w:r>
    </w:p>
    <w:p w14:paraId="522D9E33" w14:textId="77777777" w:rsidR="002821B9" w:rsidRPr="002744F0" w:rsidRDefault="004353C2" w:rsidP="00693AF5">
      <w:pPr>
        <w:pStyle w:val="Default"/>
        <w:numPr>
          <w:ilvl w:val="0"/>
          <w:numId w:val="15"/>
        </w:numPr>
        <w:spacing w:after="44"/>
        <w:jc w:val="both"/>
        <w:rPr>
          <w:noProof/>
        </w:rPr>
      </w:pPr>
      <w:r w:rsidRPr="002744F0">
        <w:rPr>
          <w:noProof/>
        </w:rPr>
        <w:t>Directive (EU) 2019/904</w:t>
      </w:r>
      <w:r w:rsidRPr="002744F0">
        <w:rPr>
          <w:rStyle w:val="FootnoteReference"/>
          <w:noProof/>
        </w:rPr>
        <w:footnoteReference w:id="23"/>
      </w:r>
      <w:r w:rsidRPr="002744F0">
        <w:rPr>
          <w:noProof/>
        </w:rPr>
        <w:t xml:space="preserve"> (t</w:t>
      </w:r>
      <w:r w:rsidR="002821B9" w:rsidRPr="002744F0">
        <w:rPr>
          <w:noProof/>
        </w:rPr>
        <w:t>he Single Use Plastics Directive</w:t>
      </w:r>
      <w:r w:rsidR="006F3DD5" w:rsidRPr="002744F0">
        <w:rPr>
          <w:noProof/>
        </w:rPr>
        <w:t>,</w:t>
      </w:r>
      <w:r w:rsidR="002821B9" w:rsidRPr="002744F0">
        <w:rPr>
          <w:noProof/>
        </w:rPr>
        <w:t xml:space="preserve"> </w:t>
      </w:r>
      <w:r w:rsidRPr="002744F0">
        <w:rPr>
          <w:noProof/>
        </w:rPr>
        <w:t xml:space="preserve">or </w:t>
      </w:r>
      <w:r w:rsidR="002821B9" w:rsidRPr="002744F0">
        <w:rPr>
          <w:noProof/>
        </w:rPr>
        <w:t>SUPD)</w:t>
      </w:r>
      <w:r w:rsidR="006F3DD5" w:rsidRPr="002744F0">
        <w:rPr>
          <w:noProof/>
        </w:rPr>
        <w:t>, which</w:t>
      </w:r>
      <w:r w:rsidR="002821B9" w:rsidRPr="002744F0">
        <w:rPr>
          <w:noProof/>
        </w:rPr>
        <w:t xml:space="preserve"> aims to limit the use of single-use plastic products</w:t>
      </w:r>
      <w:r w:rsidR="001E7001" w:rsidRPr="002744F0">
        <w:rPr>
          <w:noProof/>
        </w:rPr>
        <w:t>, for example</w:t>
      </w:r>
      <w:r w:rsidR="002821B9" w:rsidRPr="002744F0">
        <w:rPr>
          <w:noProof/>
        </w:rPr>
        <w:t xml:space="preserve"> by introducing waste management and clean-up obligations for producers (incl</w:t>
      </w:r>
      <w:r w:rsidR="00997BC5" w:rsidRPr="002744F0">
        <w:rPr>
          <w:noProof/>
        </w:rPr>
        <w:t>uding</w:t>
      </w:r>
      <w:r w:rsidR="002821B9" w:rsidRPr="002744F0">
        <w:rPr>
          <w:noProof/>
        </w:rPr>
        <w:t xml:space="preserve"> </w:t>
      </w:r>
      <w:r w:rsidR="006F3DD5" w:rsidRPr="002744F0">
        <w:rPr>
          <w:noProof/>
        </w:rPr>
        <w:t>e</w:t>
      </w:r>
      <w:r w:rsidR="002821B9" w:rsidRPr="002744F0">
        <w:rPr>
          <w:noProof/>
        </w:rPr>
        <w:t xml:space="preserve">xtended </w:t>
      </w:r>
      <w:r w:rsidR="006F3DD5" w:rsidRPr="002744F0">
        <w:rPr>
          <w:noProof/>
        </w:rPr>
        <w:t>p</w:t>
      </w:r>
      <w:r w:rsidR="002821B9" w:rsidRPr="002744F0">
        <w:rPr>
          <w:noProof/>
        </w:rPr>
        <w:t xml:space="preserve">roducer </w:t>
      </w:r>
      <w:r w:rsidR="006F3DD5" w:rsidRPr="002744F0">
        <w:rPr>
          <w:noProof/>
        </w:rPr>
        <w:t>r</w:t>
      </w:r>
      <w:r w:rsidR="002821B9" w:rsidRPr="002744F0">
        <w:rPr>
          <w:noProof/>
        </w:rPr>
        <w:t>esponsibility</w:t>
      </w:r>
      <w:r w:rsidR="00997BC5" w:rsidRPr="002744F0">
        <w:rPr>
          <w:noProof/>
        </w:rPr>
        <w:t xml:space="preserve"> </w:t>
      </w:r>
      <w:r w:rsidR="002821B9" w:rsidRPr="002744F0">
        <w:rPr>
          <w:noProof/>
        </w:rPr>
        <w:t>schemes);</w:t>
      </w:r>
    </w:p>
    <w:p w14:paraId="3B1AFA52" w14:textId="77777777" w:rsidR="002821B9" w:rsidRPr="00DE4378" w:rsidRDefault="002821B9" w:rsidP="00693AF5">
      <w:pPr>
        <w:pStyle w:val="Default"/>
        <w:numPr>
          <w:ilvl w:val="0"/>
          <w:numId w:val="15"/>
        </w:numPr>
        <w:jc w:val="both"/>
        <w:rPr>
          <w:noProof/>
          <w:color w:val="auto"/>
        </w:rPr>
      </w:pPr>
      <w:r w:rsidRPr="002744F0">
        <w:rPr>
          <w:noProof/>
        </w:rPr>
        <w:t>The Circular Economy Action Plan</w:t>
      </w:r>
      <w:r w:rsidR="004353C2" w:rsidRPr="002744F0">
        <w:rPr>
          <w:rStyle w:val="FootnoteReference"/>
          <w:noProof/>
        </w:rPr>
        <w:footnoteReference w:id="24"/>
      </w:r>
      <w:r w:rsidR="00DB22C6" w:rsidRPr="002744F0">
        <w:rPr>
          <w:noProof/>
        </w:rPr>
        <w:t>, which</w:t>
      </w:r>
      <w:r w:rsidRPr="002744F0">
        <w:rPr>
          <w:noProof/>
        </w:rPr>
        <w:t xml:space="preserve"> announces in particular measures to reduce micro</w:t>
      </w:r>
      <w:r w:rsidR="00660305" w:rsidRPr="002744F0">
        <w:rPr>
          <w:noProof/>
        </w:rPr>
        <w:t>-</w:t>
      </w:r>
      <w:r w:rsidRPr="002744F0">
        <w:rPr>
          <w:noProof/>
        </w:rPr>
        <w:t xml:space="preserve">plastics and </w:t>
      </w:r>
      <w:r w:rsidR="00D6190E" w:rsidRPr="002744F0">
        <w:rPr>
          <w:noProof/>
        </w:rPr>
        <w:t xml:space="preserve">an </w:t>
      </w:r>
      <w:r w:rsidRPr="002744F0">
        <w:rPr>
          <w:noProof/>
        </w:rPr>
        <w:t xml:space="preserve">evaluation of </w:t>
      </w:r>
      <w:r w:rsidR="001D0F42" w:rsidRPr="002744F0">
        <w:rPr>
          <w:noProof/>
        </w:rPr>
        <w:t>Council Directive 86/278/EEC</w:t>
      </w:r>
      <w:r w:rsidR="001D0F42" w:rsidRPr="002744F0">
        <w:rPr>
          <w:rStyle w:val="FootnoteReference"/>
          <w:noProof/>
        </w:rPr>
        <w:footnoteReference w:id="25"/>
      </w:r>
      <w:r w:rsidR="001D0F42" w:rsidRPr="002744F0">
        <w:rPr>
          <w:noProof/>
        </w:rPr>
        <w:t xml:space="preserve"> (</w:t>
      </w:r>
      <w:r w:rsidR="001E7001" w:rsidRPr="002744F0">
        <w:rPr>
          <w:noProof/>
        </w:rPr>
        <w:t xml:space="preserve">the </w:t>
      </w:r>
      <w:r w:rsidRPr="002744F0">
        <w:rPr>
          <w:noProof/>
        </w:rPr>
        <w:t>Sewage Sludge Directive</w:t>
      </w:r>
      <w:r w:rsidR="00DB22C6" w:rsidRPr="002744F0">
        <w:rPr>
          <w:noProof/>
        </w:rPr>
        <w:t>,</w:t>
      </w:r>
      <w:r w:rsidRPr="002744F0">
        <w:rPr>
          <w:noProof/>
        </w:rPr>
        <w:t xml:space="preserve"> </w:t>
      </w:r>
      <w:r w:rsidR="001D0F42" w:rsidRPr="002744F0">
        <w:rPr>
          <w:noProof/>
        </w:rPr>
        <w:t>or S</w:t>
      </w:r>
      <w:r w:rsidRPr="002744F0">
        <w:rPr>
          <w:noProof/>
        </w:rPr>
        <w:t xml:space="preserve">SD), regulating the quality of sludge used in </w:t>
      </w:r>
      <w:r w:rsidRPr="00DE4378">
        <w:rPr>
          <w:noProof/>
          <w:color w:val="auto"/>
        </w:rPr>
        <w:t>agriculture;</w:t>
      </w:r>
    </w:p>
    <w:p w14:paraId="1501F5EE" w14:textId="636A4C65" w:rsidR="002821B9" w:rsidRPr="00DE4378" w:rsidRDefault="002821B9" w:rsidP="00693AF5">
      <w:pPr>
        <w:pStyle w:val="Default"/>
        <w:numPr>
          <w:ilvl w:val="0"/>
          <w:numId w:val="15"/>
        </w:numPr>
        <w:jc w:val="both"/>
        <w:rPr>
          <w:noProof/>
          <w:color w:val="auto"/>
        </w:rPr>
      </w:pPr>
      <w:r w:rsidRPr="00DE4378">
        <w:rPr>
          <w:noProof/>
          <w:color w:val="auto"/>
        </w:rPr>
        <w:t>The Chemicals Strategy for Sustainability</w:t>
      </w:r>
      <w:r w:rsidR="001D0F42" w:rsidRPr="00DE4378">
        <w:rPr>
          <w:rStyle w:val="FootnoteReference"/>
          <w:noProof/>
          <w:color w:val="auto"/>
        </w:rPr>
        <w:footnoteReference w:id="26"/>
      </w:r>
      <w:r w:rsidR="00DB22C6" w:rsidRPr="00DE4378">
        <w:rPr>
          <w:noProof/>
          <w:color w:val="auto"/>
        </w:rPr>
        <w:t>, which</w:t>
      </w:r>
      <w:r w:rsidRPr="00DE4378">
        <w:rPr>
          <w:noProof/>
          <w:color w:val="auto"/>
        </w:rPr>
        <w:t xml:space="preserve"> recognises that chemicals are essential for the well-being of modern society, but aims to better protect citizens and the environment against their possible hazardous properties</w:t>
      </w:r>
      <w:r w:rsidR="00165CB1" w:rsidRPr="00DE4378">
        <w:rPr>
          <w:noProof/>
          <w:color w:val="auto"/>
        </w:rPr>
        <w:t>.</w:t>
      </w:r>
      <w:r w:rsidRPr="00DE4378">
        <w:rPr>
          <w:noProof/>
          <w:color w:val="auto"/>
        </w:rPr>
        <w:t xml:space="preserve"> </w:t>
      </w:r>
      <w:r w:rsidR="00303FE7" w:rsidRPr="00DE4378">
        <w:rPr>
          <w:noProof/>
          <w:color w:val="auto"/>
        </w:rPr>
        <w:t xml:space="preserve">The Strategy also sets the objective to move towards </w:t>
      </w:r>
      <w:r w:rsidR="00D6190E" w:rsidRPr="00DE4378">
        <w:rPr>
          <w:noProof/>
          <w:color w:val="auto"/>
        </w:rPr>
        <w:t xml:space="preserve">a </w:t>
      </w:r>
      <w:r w:rsidR="00303FE7" w:rsidRPr="00DE4378">
        <w:rPr>
          <w:noProof/>
          <w:color w:val="auto"/>
        </w:rPr>
        <w:t xml:space="preserve">‘one substance, one assessment’ approach by improving </w:t>
      </w:r>
      <w:r w:rsidR="00D6190E" w:rsidRPr="00DE4378">
        <w:rPr>
          <w:noProof/>
          <w:color w:val="auto"/>
        </w:rPr>
        <w:t xml:space="preserve">the </w:t>
      </w:r>
      <w:r w:rsidR="00303FE7" w:rsidRPr="00DE4378">
        <w:rPr>
          <w:noProof/>
          <w:color w:val="auto"/>
        </w:rPr>
        <w:t>efficiency, effectiveness, coherence and transparency of safety assessments of chemicals across all relevant legislation</w:t>
      </w:r>
      <w:r w:rsidR="00F95EEA" w:rsidRPr="00DE4378">
        <w:rPr>
          <w:noProof/>
          <w:color w:val="auto"/>
        </w:rPr>
        <w:t>. For this reason, this proposal assigns a central role to ECHA to undertake the role of scientific support to future identification of water pollutants as well as proposing relevant quality standards;</w:t>
      </w:r>
      <w:r w:rsidRPr="002744F0">
        <w:rPr>
          <w:noProof/>
        </w:rPr>
        <w:t>The 2019 Strategic Approach to Pharmaceuticals in the Environment</w:t>
      </w:r>
      <w:r w:rsidR="001D0F42" w:rsidRPr="002744F0">
        <w:rPr>
          <w:rStyle w:val="FootnoteReference"/>
          <w:noProof/>
        </w:rPr>
        <w:footnoteReference w:id="27"/>
      </w:r>
      <w:r w:rsidRPr="002744F0">
        <w:rPr>
          <w:noProof/>
        </w:rPr>
        <w:t xml:space="preserve"> (flowing directly from the 2013 revision of the EQSD) and the Pharmaceuticals Strategy for Europe</w:t>
      </w:r>
      <w:r w:rsidR="00EF2787" w:rsidRPr="002744F0">
        <w:rPr>
          <w:rStyle w:val="FootnoteReference"/>
          <w:noProof/>
        </w:rPr>
        <w:footnoteReference w:id="28"/>
      </w:r>
      <w:r w:rsidR="00DB22C6" w:rsidRPr="002744F0">
        <w:rPr>
          <w:noProof/>
        </w:rPr>
        <w:t>, which</w:t>
      </w:r>
      <w:r w:rsidRPr="002744F0">
        <w:rPr>
          <w:noProof/>
        </w:rPr>
        <w:t xml:space="preserve"> both underline the environmental and potential health impacts of pollution from pharmaceutical residues and list a range of actions designed to tackle these challenges. </w:t>
      </w:r>
      <w:r w:rsidR="00ED31B7" w:rsidRPr="002744F0">
        <w:rPr>
          <w:noProof/>
        </w:rPr>
        <w:t>The upcoming r</w:t>
      </w:r>
      <w:r w:rsidR="00997BC5" w:rsidRPr="002744F0">
        <w:rPr>
          <w:noProof/>
        </w:rPr>
        <w:t>e</w:t>
      </w:r>
      <w:r w:rsidR="00A07126" w:rsidRPr="002744F0">
        <w:rPr>
          <w:noProof/>
        </w:rPr>
        <w:t>vision of the legislation on human medicinal products is expected to provide appropriate follow-up</w:t>
      </w:r>
      <w:r w:rsidR="00F95EEA" w:rsidRPr="00DE4378">
        <w:rPr>
          <w:noProof/>
          <w:color w:val="auto"/>
        </w:rPr>
        <w:t>. Similarly, by listing several antimicrobial drugs as well as the metal silver, this proposal is consistent with the EU’s strategy in the area of antimicrobial resistance</w:t>
      </w:r>
      <w:r w:rsidR="00DB22C6" w:rsidRPr="00DE4378">
        <w:rPr>
          <w:noProof/>
          <w:color w:val="auto"/>
        </w:rPr>
        <w:t>;</w:t>
      </w:r>
    </w:p>
    <w:p w14:paraId="074472A6" w14:textId="77777777" w:rsidR="00D7789A" w:rsidRDefault="00D7789A" w:rsidP="00693AF5">
      <w:pPr>
        <w:pStyle w:val="Default"/>
        <w:numPr>
          <w:ilvl w:val="0"/>
          <w:numId w:val="15"/>
        </w:numPr>
        <w:jc w:val="both"/>
        <w:rPr>
          <w:noProof/>
        </w:rPr>
      </w:pPr>
      <w:r w:rsidRPr="002744F0">
        <w:rPr>
          <w:noProof/>
        </w:rPr>
        <w:t>The E</w:t>
      </w:r>
      <w:r w:rsidR="001F0BA1" w:rsidRPr="002744F0">
        <w:rPr>
          <w:noProof/>
        </w:rPr>
        <w:t>uropean Strategy for Data</w:t>
      </w:r>
      <w:r w:rsidR="00DC030C" w:rsidRPr="002744F0">
        <w:rPr>
          <w:rStyle w:val="FootnoteReference"/>
          <w:noProof/>
        </w:rPr>
        <w:footnoteReference w:id="29"/>
      </w:r>
      <w:r w:rsidR="00DB22C6" w:rsidRPr="002744F0">
        <w:rPr>
          <w:noProof/>
        </w:rPr>
        <w:t>, which</w:t>
      </w:r>
      <w:r w:rsidR="00251721" w:rsidRPr="002744F0">
        <w:rPr>
          <w:noProof/>
        </w:rPr>
        <w:t xml:space="preserve"> </w:t>
      </w:r>
      <w:r w:rsidR="003023B8" w:rsidRPr="002744F0">
        <w:rPr>
          <w:noProof/>
        </w:rPr>
        <w:t>underlines that data generated by the public sector should be available for the common good</w:t>
      </w:r>
      <w:r w:rsidR="00D6190E" w:rsidRPr="002744F0">
        <w:rPr>
          <w:noProof/>
        </w:rPr>
        <w:t xml:space="preserve">, </w:t>
      </w:r>
      <w:r w:rsidR="00ED31B7" w:rsidRPr="002744F0">
        <w:rPr>
          <w:noProof/>
        </w:rPr>
        <w:t xml:space="preserve">so </w:t>
      </w:r>
      <w:r w:rsidR="003023B8" w:rsidRPr="002744F0">
        <w:rPr>
          <w:noProof/>
        </w:rPr>
        <w:t>that the</w:t>
      </w:r>
      <w:r w:rsidR="00ED31B7" w:rsidRPr="002744F0">
        <w:rPr>
          <w:noProof/>
        </w:rPr>
        <w:t>y</w:t>
      </w:r>
      <w:r w:rsidR="003023B8" w:rsidRPr="002744F0">
        <w:rPr>
          <w:noProof/>
        </w:rPr>
        <w:t xml:space="preserve"> </w:t>
      </w:r>
      <w:r w:rsidR="00D6190E" w:rsidRPr="002744F0">
        <w:rPr>
          <w:noProof/>
        </w:rPr>
        <w:t>can be</w:t>
      </w:r>
      <w:r w:rsidR="003023B8" w:rsidRPr="002744F0">
        <w:rPr>
          <w:noProof/>
        </w:rPr>
        <w:t xml:space="preserve"> </w:t>
      </w:r>
      <w:r w:rsidR="00D6190E" w:rsidRPr="002744F0">
        <w:rPr>
          <w:noProof/>
        </w:rPr>
        <w:t>appropriately</w:t>
      </w:r>
      <w:r w:rsidR="003023B8" w:rsidRPr="002744F0">
        <w:rPr>
          <w:noProof/>
        </w:rPr>
        <w:t xml:space="preserve"> </w:t>
      </w:r>
      <w:r w:rsidR="00ED31B7" w:rsidRPr="002744F0">
        <w:rPr>
          <w:noProof/>
        </w:rPr>
        <w:t>used</w:t>
      </w:r>
      <w:r w:rsidR="00DB22C6" w:rsidRPr="002744F0">
        <w:rPr>
          <w:noProof/>
        </w:rPr>
        <w:t>, for instance</w:t>
      </w:r>
      <w:r w:rsidR="00ED31B7" w:rsidRPr="002744F0">
        <w:rPr>
          <w:noProof/>
        </w:rPr>
        <w:t xml:space="preserve"> </w:t>
      </w:r>
      <w:r w:rsidR="003023B8" w:rsidRPr="002744F0">
        <w:rPr>
          <w:noProof/>
        </w:rPr>
        <w:t>by researchers, other public institutions,</w:t>
      </w:r>
      <w:r w:rsidR="001E7001" w:rsidRPr="002744F0">
        <w:rPr>
          <w:noProof/>
        </w:rPr>
        <w:t xml:space="preserve"> and</w:t>
      </w:r>
      <w:r w:rsidR="003023B8" w:rsidRPr="002744F0">
        <w:rPr>
          <w:noProof/>
        </w:rPr>
        <w:t xml:space="preserve"> </w:t>
      </w:r>
      <w:r w:rsidR="00DB22C6" w:rsidRPr="002744F0">
        <w:rPr>
          <w:noProof/>
        </w:rPr>
        <w:t>s</w:t>
      </w:r>
      <w:r w:rsidR="00D6190E" w:rsidRPr="002744F0">
        <w:rPr>
          <w:noProof/>
        </w:rPr>
        <w:t xml:space="preserve">mall and </w:t>
      </w:r>
      <w:r w:rsidR="00DB22C6" w:rsidRPr="002744F0">
        <w:rPr>
          <w:noProof/>
        </w:rPr>
        <w:t>m</w:t>
      </w:r>
      <w:r w:rsidR="00D6190E" w:rsidRPr="002744F0">
        <w:rPr>
          <w:noProof/>
        </w:rPr>
        <w:t xml:space="preserve">edium-sized </w:t>
      </w:r>
      <w:r w:rsidR="00DB22C6" w:rsidRPr="002744F0">
        <w:rPr>
          <w:noProof/>
        </w:rPr>
        <w:t>e</w:t>
      </w:r>
      <w:r w:rsidR="00D6190E" w:rsidRPr="002744F0">
        <w:rPr>
          <w:noProof/>
        </w:rPr>
        <w:t>nterprises (</w:t>
      </w:r>
      <w:r w:rsidR="003023B8" w:rsidRPr="002744F0">
        <w:rPr>
          <w:noProof/>
        </w:rPr>
        <w:t>SMEs</w:t>
      </w:r>
      <w:r w:rsidR="00D6190E" w:rsidRPr="002744F0">
        <w:rPr>
          <w:noProof/>
        </w:rPr>
        <w:t>)</w:t>
      </w:r>
      <w:r w:rsidR="003023B8" w:rsidRPr="002744F0">
        <w:rPr>
          <w:noProof/>
        </w:rPr>
        <w:t xml:space="preserve">. </w:t>
      </w:r>
    </w:p>
    <w:p w14:paraId="67EEECD8" w14:textId="77777777" w:rsidR="009E530A" w:rsidRDefault="00511B85" w:rsidP="009E530A">
      <w:pPr>
        <w:pStyle w:val="Default"/>
        <w:numPr>
          <w:ilvl w:val="0"/>
          <w:numId w:val="15"/>
        </w:numPr>
        <w:jc w:val="both"/>
        <w:rPr>
          <w:noProof/>
        </w:rPr>
      </w:pPr>
      <w:r>
        <w:rPr>
          <w:noProof/>
        </w:rPr>
        <w:t xml:space="preserve">This proposal is </w:t>
      </w:r>
      <w:r w:rsidR="009E530A">
        <w:rPr>
          <w:noProof/>
        </w:rPr>
        <w:t xml:space="preserve">also </w:t>
      </w:r>
      <w:r>
        <w:rPr>
          <w:noProof/>
        </w:rPr>
        <w:t>consistent with</w:t>
      </w:r>
      <w:r w:rsidR="009E530A">
        <w:rPr>
          <w:noProof/>
        </w:rPr>
        <w:t xml:space="preserve"> with the final report of the Conference on the Future of Europe and the explicit recommendations it contains from citizens on zero pollution in general and in particular the proposals on tackling pollution. The following final proposals are specifically relevant in this context:</w:t>
      </w:r>
    </w:p>
    <w:p w14:paraId="5401108E" w14:textId="77777777" w:rsidR="009E530A" w:rsidRDefault="009E530A" w:rsidP="00755919">
      <w:pPr>
        <w:pStyle w:val="Default"/>
        <w:numPr>
          <w:ilvl w:val="0"/>
          <w:numId w:val="18"/>
        </w:numPr>
        <w:jc w:val="both"/>
        <w:rPr>
          <w:noProof/>
        </w:rPr>
      </w:pPr>
      <w:r>
        <w:rPr>
          <w:noProof/>
        </w:rPr>
        <w:t>Proposal 1.4 to: ‘Significantly reduce the use of chemical pesticides and fertilizers, in line with the existing targets, while still ensuring food security, and support for research to develop more sustainable and natural based alternatives’;</w:t>
      </w:r>
    </w:p>
    <w:p w14:paraId="47E4FB9D" w14:textId="77777777" w:rsidR="00511B85" w:rsidRPr="002744F0" w:rsidRDefault="009E530A" w:rsidP="00755919">
      <w:pPr>
        <w:pStyle w:val="Default"/>
        <w:numPr>
          <w:ilvl w:val="0"/>
          <w:numId w:val="18"/>
        </w:numPr>
        <w:jc w:val="both"/>
        <w:rPr>
          <w:noProof/>
        </w:rPr>
      </w:pPr>
      <w:r>
        <w:rPr>
          <w:noProof/>
        </w:rPr>
        <w:t>Proposal 2.7 to: ‘Protect water sources and combat river and ocean pollution, including through researching and fighting microplastic pollution’.</w:t>
      </w:r>
      <w:r w:rsidR="00511B85">
        <w:rPr>
          <w:noProof/>
        </w:rPr>
        <w:t>:</w:t>
      </w:r>
    </w:p>
    <w:p w14:paraId="3695A2AF" w14:textId="77777777" w:rsidR="0047629D" w:rsidRPr="002744F0" w:rsidRDefault="0047629D" w:rsidP="005C4F36">
      <w:pPr>
        <w:pStyle w:val="ManualHeading1"/>
        <w:rPr>
          <w:noProof/>
          <w:szCs w:val="24"/>
        </w:rPr>
      </w:pPr>
      <w:r w:rsidRPr="002744F0">
        <w:rPr>
          <w:noProof/>
          <w:szCs w:val="24"/>
        </w:rPr>
        <w:t>2.</w:t>
      </w:r>
      <w:r w:rsidRPr="002744F0">
        <w:rPr>
          <w:noProof/>
          <w:szCs w:val="24"/>
        </w:rPr>
        <w:tab/>
        <w:t>LEGAL BASIS, SUBSIDIARITY AND PROPORTIONALITY</w:t>
      </w:r>
    </w:p>
    <w:p w14:paraId="258ED597" w14:textId="77777777" w:rsidR="0047629D" w:rsidRPr="002744F0" w:rsidRDefault="0047629D" w:rsidP="005C4F36">
      <w:pPr>
        <w:pStyle w:val="ManualHeading2"/>
        <w:rPr>
          <w:rFonts w:eastAsia="Arial Unicode MS"/>
          <w:noProof/>
          <w:szCs w:val="24"/>
          <w:u w:color="000000"/>
          <w:bdr w:val="nil"/>
          <w:lang w:eastAsia="en-GB"/>
        </w:rPr>
      </w:pPr>
      <w:r w:rsidRPr="002744F0">
        <w:rPr>
          <w:rFonts w:eastAsia="Arial Unicode MS"/>
          <w:noProof/>
          <w:szCs w:val="24"/>
          <w:u w:color="000000"/>
          <w:bdr w:val="nil"/>
          <w:lang w:eastAsia="en-GB"/>
        </w:rPr>
        <w:t>•</w:t>
      </w:r>
      <w:r w:rsidRPr="002744F0">
        <w:rPr>
          <w:rFonts w:eastAsia="Arial Unicode MS"/>
          <w:noProof/>
          <w:szCs w:val="24"/>
          <w:u w:color="000000"/>
          <w:bdr w:val="nil"/>
          <w:lang w:eastAsia="en-GB"/>
        </w:rPr>
        <w:tab/>
        <w:t>Legal basis</w:t>
      </w:r>
    </w:p>
    <w:p w14:paraId="73A4B64D" w14:textId="77777777" w:rsidR="0047629D" w:rsidRPr="002744F0" w:rsidRDefault="00CF12B3" w:rsidP="005C4F36">
      <w:pPr>
        <w:pBdr>
          <w:top w:val="nil"/>
          <w:left w:val="nil"/>
          <w:bottom w:val="nil"/>
          <w:right w:val="nil"/>
          <w:between w:val="nil"/>
          <w:bar w:val="nil"/>
        </w:pBdr>
        <w:spacing w:before="0" w:after="240"/>
        <w:rPr>
          <w:rFonts w:eastAsia="Arial Unicode MS"/>
          <w:noProof/>
          <w:szCs w:val="24"/>
        </w:rPr>
      </w:pPr>
      <w:r w:rsidRPr="002744F0">
        <w:rPr>
          <w:noProof/>
          <w:szCs w:val="24"/>
        </w:rPr>
        <w:t xml:space="preserve">The legal basis for this proposal is Article 192 </w:t>
      </w:r>
      <w:r w:rsidR="001E7001" w:rsidRPr="002744F0">
        <w:rPr>
          <w:noProof/>
          <w:szCs w:val="24"/>
        </w:rPr>
        <w:t xml:space="preserve">of the Treaty on the Functioning of the </w:t>
      </w:r>
      <w:r w:rsidR="002744F0" w:rsidRPr="002744F0">
        <w:rPr>
          <w:noProof/>
          <w:szCs w:val="24"/>
        </w:rPr>
        <w:t>European</w:t>
      </w:r>
      <w:r w:rsidR="001E7001" w:rsidRPr="002744F0">
        <w:rPr>
          <w:noProof/>
          <w:szCs w:val="24"/>
        </w:rPr>
        <w:t xml:space="preserve"> Union (</w:t>
      </w:r>
      <w:r w:rsidRPr="002744F0">
        <w:rPr>
          <w:noProof/>
          <w:szCs w:val="24"/>
        </w:rPr>
        <w:t>TFEU</w:t>
      </w:r>
      <w:r w:rsidR="001E7001" w:rsidRPr="002744F0">
        <w:rPr>
          <w:noProof/>
          <w:szCs w:val="24"/>
        </w:rPr>
        <w:t>)</w:t>
      </w:r>
      <w:r w:rsidRPr="002744F0">
        <w:rPr>
          <w:noProof/>
          <w:szCs w:val="24"/>
        </w:rPr>
        <w:t>. In accordance with Article</w:t>
      </w:r>
      <w:r w:rsidR="00DB22C6" w:rsidRPr="002744F0">
        <w:rPr>
          <w:noProof/>
          <w:szCs w:val="24"/>
        </w:rPr>
        <w:t>s</w:t>
      </w:r>
      <w:r w:rsidRPr="002744F0">
        <w:rPr>
          <w:noProof/>
          <w:szCs w:val="24"/>
        </w:rPr>
        <w:t xml:space="preserve"> 191 and 192(1) TFEU, the EU is required to contribute to the pursuit of preserving, protecting and improving the quality of the environment; promoting measures at international level to deal with regional or worldwide environmental problems</w:t>
      </w:r>
      <w:r w:rsidR="00DB22C6" w:rsidRPr="002744F0">
        <w:rPr>
          <w:noProof/>
          <w:szCs w:val="24"/>
        </w:rPr>
        <w:t>;</w:t>
      </w:r>
      <w:r w:rsidRPr="002744F0">
        <w:rPr>
          <w:noProof/>
          <w:szCs w:val="24"/>
        </w:rPr>
        <w:t xml:space="preserve"> and combating climate change.</w:t>
      </w:r>
    </w:p>
    <w:p w14:paraId="10F2ADDF" w14:textId="77777777" w:rsidR="0047629D" w:rsidRPr="002744F0" w:rsidRDefault="0047629D" w:rsidP="005C4F36">
      <w:pPr>
        <w:pStyle w:val="ManualHeading2"/>
        <w:rPr>
          <w:rFonts w:eastAsia="Arial Unicode MS"/>
          <w:noProof/>
          <w:szCs w:val="24"/>
          <w:u w:color="000000"/>
          <w:bdr w:val="nil"/>
          <w:lang w:eastAsia="en-GB"/>
        </w:rPr>
      </w:pPr>
      <w:r w:rsidRPr="002744F0">
        <w:rPr>
          <w:rFonts w:eastAsia="Arial Unicode MS"/>
          <w:noProof/>
          <w:szCs w:val="24"/>
          <w:u w:color="000000"/>
          <w:bdr w:val="nil"/>
          <w:lang w:eastAsia="en-GB"/>
        </w:rPr>
        <w:t>•</w:t>
      </w:r>
      <w:r w:rsidRPr="002744F0">
        <w:rPr>
          <w:rFonts w:eastAsia="Arial Unicode MS"/>
          <w:noProof/>
          <w:szCs w:val="24"/>
          <w:u w:color="000000"/>
          <w:bdr w:val="nil"/>
          <w:lang w:eastAsia="en-GB"/>
        </w:rPr>
        <w:tab/>
        <w:t xml:space="preserve">Subsidiarity (for non-exclusive competence) </w:t>
      </w:r>
    </w:p>
    <w:p w14:paraId="49050E44" w14:textId="77777777" w:rsidR="00CF12B3" w:rsidRPr="002744F0" w:rsidRDefault="00CF12B3" w:rsidP="00CF12B3">
      <w:pPr>
        <w:spacing w:before="0" w:after="160"/>
        <w:rPr>
          <w:rFonts w:eastAsia="Times New Roman"/>
          <w:noProof/>
          <w:szCs w:val="24"/>
          <w:lang w:eastAsia="en-GB"/>
        </w:rPr>
      </w:pPr>
      <w:r w:rsidRPr="002744F0">
        <w:rPr>
          <w:rFonts w:eastAsia="Times New Roman"/>
          <w:noProof/>
          <w:szCs w:val="24"/>
          <w:lang w:eastAsia="en-GB"/>
        </w:rPr>
        <w:t xml:space="preserve">Surface and groundwater bodies in the EU are polluted by a range of pollutants. </w:t>
      </w:r>
      <w:r w:rsidR="00A07126" w:rsidRPr="002744F0">
        <w:rPr>
          <w:rFonts w:eastAsia="Times New Roman"/>
          <w:noProof/>
          <w:szCs w:val="24"/>
          <w:lang w:eastAsia="en-GB"/>
        </w:rPr>
        <w:t>P</w:t>
      </w:r>
      <w:r w:rsidR="00CF5A53" w:rsidRPr="002744F0">
        <w:rPr>
          <w:rFonts w:eastAsia="Times New Roman"/>
          <w:noProof/>
          <w:szCs w:val="24"/>
          <w:lang w:eastAsia="en-GB"/>
        </w:rPr>
        <w:t xml:space="preserve">ollution travels downstream </w:t>
      </w:r>
      <w:r w:rsidR="00A07126" w:rsidRPr="002744F0">
        <w:rPr>
          <w:rFonts w:eastAsia="Times New Roman"/>
          <w:noProof/>
          <w:szCs w:val="24"/>
          <w:lang w:eastAsia="en-GB"/>
        </w:rPr>
        <w:t xml:space="preserve">and underground, </w:t>
      </w:r>
      <w:r w:rsidR="00CF5A53" w:rsidRPr="002744F0">
        <w:rPr>
          <w:rFonts w:eastAsia="Times New Roman"/>
          <w:noProof/>
          <w:szCs w:val="24"/>
          <w:lang w:eastAsia="en-GB"/>
        </w:rPr>
        <w:t xml:space="preserve">and 60% of European </w:t>
      </w:r>
      <w:r w:rsidR="00DB22C6" w:rsidRPr="002744F0">
        <w:rPr>
          <w:rFonts w:eastAsia="Times New Roman"/>
          <w:noProof/>
          <w:szCs w:val="24"/>
          <w:lang w:eastAsia="en-GB"/>
        </w:rPr>
        <w:t>r</w:t>
      </w:r>
      <w:r w:rsidR="00CF5A53" w:rsidRPr="002744F0">
        <w:rPr>
          <w:rFonts w:eastAsia="Times New Roman"/>
          <w:noProof/>
          <w:szCs w:val="24"/>
          <w:lang w:eastAsia="en-GB"/>
        </w:rPr>
        <w:t xml:space="preserve">iver </w:t>
      </w:r>
      <w:r w:rsidR="00DB22C6" w:rsidRPr="002744F0">
        <w:rPr>
          <w:rFonts w:eastAsia="Times New Roman"/>
          <w:noProof/>
          <w:szCs w:val="24"/>
          <w:lang w:eastAsia="en-GB"/>
        </w:rPr>
        <w:t>b</w:t>
      </w:r>
      <w:r w:rsidR="00CF5A53" w:rsidRPr="002744F0">
        <w:rPr>
          <w:rFonts w:eastAsia="Times New Roman"/>
          <w:noProof/>
          <w:szCs w:val="24"/>
          <w:lang w:eastAsia="en-GB"/>
        </w:rPr>
        <w:t xml:space="preserve">asin </w:t>
      </w:r>
      <w:r w:rsidR="00DB22C6" w:rsidRPr="002744F0">
        <w:rPr>
          <w:rFonts w:eastAsia="Times New Roman"/>
          <w:noProof/>
          <w:szCs w:val="24"/>
          <w:lang w:eastAsia="en-GB"/>
        </w:rPr>
        <w:t>d</w:t>
      </w:r>
      <w:r w:rsidR="00CF5A53" w:rsidRPr="002744F0">
        <w:rPr>
          <w:rFonts w:eastAsia="Times New Roman"/>
          <w:noProof/>
          <w:szCs w:val="24"/>
          <w:lang w:eastAsia="en-GB"/>
        </w:rPr>
        <w:t>istricts are international (either shared between M</w:t>
      </w:r>
      <w:r w:rsidR="00A07126" w:rsidRPr="002744F0">
        <w:rPr>
          <w:rFonts w:eastAsia="Times New Roman"/>
          <w:noProof/>
          <w:szCs w:val="24"/>
          <w:lang w:eastAsia="en-GB"/>
        </w:rPr>
        <w:t xml:space="preserve">ember </w:t>
      </w:r>
      <w:r w:rsidR="00CF5A53" w:rsidRPr="002744F0">
        <w:rPr>
          <w:rFonts w:eastAsia="Times New Roman"/>
          <w:noProof/>
          <w:szCs w:val="24"/>
          <w:lang w:eastAsia="en-GB"/>
        </w:rPr>
        <w:t>S</w:t>
      </w:r>
      <w:r w:rsidR="00A07126" w:rsidRPr="002744F0">
        <w:rPr>
          <w:rFonts w:eastAsia="Times New Roman"/>
          <w:noProof/>
          <w:szCs w:val="24"/>
          <w:lang w:eastAsia="en-GB"/>
        </w:rPr>
        <w:t>tates</w:t>
      </w:r>
      <w:r w:rsidR="00CF5A53" w:rsidRPr="002744F0">
        <w:rPr>
          <w:rFonts w:eastAsia="Times New Roman"/>
          <w:noProof/>
          <w:szCs w:val="24"/>
          <w:lang w:eastAsia="en-GB"/>
        </w:rPr>
        <w:t xml:space="preserve"> or between a M</w:t>
      </w:r>
      <w:r w:rsidR="00A07126" w:rsidRPr="002744F0">
        <w:rPr>
          <w:rFonts w:eastAsia="Times New Roman"/>
          <w:noProof/>
          <w:szCs w:val="24"/>
          <w:lang w:eastAsia="en-GB"/>
        </w:rPr>
        <w:t xml:space="preserve">ember </w:t>
      </w:r>
      <w:r w:rsidR="00CF5A53" w:rsidRPr="002744F0">
        <w:rPr>
          <w:rFonts w:eastAsia="Times New Roman"/>
          <w:noProof/>
          <w:szCs w:val="24"/>
          <w:lang w:eastAsia="en-GB"/>
        </w:rPr>
        <w:t>S</w:t>
      </w:r>
      <w:r w:rsidR="00A07126" w:rsidRPr="002744F0">
        <w:rPr>
          <w:rFonts w:eastAsia="Times New Roman"/>
          <w:noProof/>
          <w:szCs w:val="24"/>
          <w:lang w:eastAsia="en-GB"/>
        </w:rPr>
        <w:t>tate</w:t>
      </w:r>
      <w:r w:rsidR="00CF5A53" w:rsidRPr="002744F0">
        <w:rPr>
          <w:rFonts w:eastAsia="Times New Roman"/>
          <w:noProof/>
          <w:szCs w:val="24"/>
          <w:lang w:eastAsia="en-GB"/>
        </w:rPr>
        <w:t xml:space="preserve"> and a </w:t>
      </w:r>
      <w:r w:rsidR="00DB22C6" w:rsidRPr="002744F0">
        <w:rPr>
          <w:rFonts w:eastAsia="Times New Roman"/>
          <w:noProof/>
          <w:szCs w:val="24"/>
          <w:lang w:eastAsia="en-GB"/>
        </w:rPr>
        <w:t>non-EU</w:t>
      </w:r>
      <w:r w:rsidR="00CF5A53" w:rsidRPr="002744F0">
        <w:rPr>
          <w:rFonts w:eastAsia="Times New Roman"/>
          <w:noProof/>
          <w:szCs w:val="24"/>
          <w:lang w:eastAsia="en-GB"/>
        </w:rPr>
        <w:t xml:space="preserve"> country)</w:t>
      </w:r>
      <w:r w:rsidR="00DB22C6" w:rsidRPr="002744F0">
        <w:rPr>
          <w:rFonts w:eastAsia="Times New Roman"/>
          <w:noProof/>
          <w:szCs w:val="24"/>
          <w:lang w:eastAsia="en-GB"/>
        </w:rPr>
        <w:t>. For this reason</w:t>
      </w:r>
      <w:r w:rsidR="00CF5A53" w:rsidRPr="002744F0">
        <w:rPr>
          <w:rFonts w:eastAsia="Times New Roman"/>
          <w:noProof/>
          <w:szCs w:val="24"/>
          <w:lang w:eastAsia="en-GB"/>
        </w:rPr>
        <w:t>,</w:t>
      </w:r>
      <w:r w:rsidR="00A07126" w:rsidRPr="002744F0">
        <w:rPr>
          <w:rFonts w:eastAsia="Times New Roman"/>
          <w:noProof/>
          <w:szCs w:val="24"/>
          <w:lang w:eastAsia="en-GB"/>
        </w:rPr>
        <w:t xml:space="preserve"> </w:t>
      </w:r>
      <w:r w:rsidR="00CF5A53" w:rsidRPr="002744F0">
        <w:rPr>
          <w:rFonts w:eastAsia="Times New Roman"/>
          <w:noProof/>
          <w:szCs w:val="24"/>
          <w:lang w:eastAsia="en-GB"/>
        </w:rPr>
        <w:t xml:space="preserve">cooperation between Member States is essential and action at EU level necessary to address pollution and other transboundary impacts </w:t>
      </w:r>
      <w:r w:rsidR="00EC456B" w:rsidRPr="002744F0">
        <w:rPr>
          <w:rFonts w:eastAsia="Times New Roman"/>
          <w:noProof/>
          <w:szCs w:val="24"/>
          <w:lang w:eastAsia="en-GB"/>
        </w:rPr>
        <w:t>by</w:t>
      </w:r>
      <w:r w:rsidR="00CF5A53" w:rsidRPr="002744F0">
        <w:rPr>
          <w:rFonts w:eastAsia="Times New Roman"/>
          <w:noProof/>
          <w:szCs w:val="24"/>
          <w:lang w:eastAsia="en-GB"/>
        </w:rPr>
        <w:t xml:space="preserve"> setting harmonised standards and </w:t>
      </w:r>
      <w:r w:rsidR="00EC456B" w:rsidRPr="002744F0">
        <w:rPr>
          <w:rFonts w:eastAsia="Times New Roman"/>
          <w:noProof/>
          <w:szCs w:val="24"/>
          <w:lang w:eastAsia="en-GB"/>
        </w:rPr>
        <w:t xml:space="preserve">establishing </w:t>
      </w:r>
      <w:r w:rsidR="00CF5A53" w:rsidRPr="002744F0">
        <w:rPr>
          <w:rFonts w:eastAsia="Times New Roman"/>
          <w:noProof/>
          <w:szCs w:val="24"/>
          <w:lang w:eastAsia="en-GB"/>
        </w:rPr>
        <w:t>harmonised data collection and sharing systems. Without action at EU level, it would become p</w:t>
      </w:r>
      <w:bookmarkStart w:id="1" w:name="_Hlk102409341"/>
      <w:r w:rsidR="00CF5A53" w:rsidRPr="002744F0">
        <w:rPr>
          <w:rFonts w:eastAsia="Times New Roman"/>
          <w:noProof/>
          <w:szCs w:val="24"/>
          <w:lang w:eastAsia="en-GB"/>
        </w:rPr>
        <w:t>ro</w:t>
      </w:r>
      <w:r w:rsidRPr="002744F0">
        <w:rPr>
          <w:rFonts w:eastAsia="Times New Roman"/>
          <w:noProof/>
          <w:szCs w:val="24"/>
          <w:lang w:eastAsia="en-GB"/>
        </w:rPr>
        <w:t>hibitively expensive, especially for downstream</w:t>
      </w:r>
      <w:r w:rsidR="00CF5A53" w:rsidRPr="002744F0">
        <w:rPr>
          <w:rFonts w:eastAsia="Times New Roman"/>
          <w:noProof/>
          <w:szCs w:val="24"/>
          <w:lang w:eastAsia="en-GB"/>
        </w:rPr>
        <w:t xml:space="preserve"> Member States, to address pollution.</w:t>
      </w:r>
      <w:bookmarkEnd w:id="1"/>
      <w:r w:rsidR="00CF5A53" w:rsidRPr="002744F0">
        <w:rPr>
          <w:rFonts w:eastAsia="Times New Roman"/>
          <w:noProof/>
          <w:szCs w:val="24"/>
          <w:lang w:eastAsia="en-GB"/>
        </w:rPr>
        <w:t xml:space="preserve"> </w:t>
      </w:r>
    </w:p>
    <w:p w14:paraId="620120C4" w14:textId="77777777" w:rsidR="00690D54" w:rsidRPr="002744F0" w:rsidRDefault="00690D54" w:rsidP="00690D54">
      <w:pPr>
        <w:spacing w:before="0" w:after="160"/>
        <w:rPr>
          <w:rFonts w:eastAsia="Times New Roman"/>
          <w:noProof/>
          <w:szCs w:val="24"/>
          <w:lang w:eastAsia="en-GB"/>
        </w:rPr>
      </w:pPr>
      <w:r w:rsidRPr="002744F0">
        <w:rPr>
          <w:rFonts w:eastAsia="Times New Roman"/>
          <w:noProof/>
          <w:szCs w:val="24"/>
          <w:lang w:eastAsia="en-GB"/>
        </w:rPr>
        <w:t xml:space="preserve">The 2019 </w:t>
      </w:r>
      <w:r w:rsidR="00EC456B" w:rsidRPr="002744F0">
        <w:rPr>
          <w:rFonts w:eastAsia="Times New Roman"/>
          <w:noProof/>
          <w:szCs w:val="24"/>
          <w:lang w:eastAsia="en-GB"/>
        </w:rPr>
        <w:t>f</w:t>
      </w:r>
      <w:r w:rsidRPr="002744F0">
        <w:rPr>
          <w:rFonts w:eastAsia="Times New Roman"/>
          <w:noProof/>
          <w:szCs w:val="24"/>
          <w:lang w:eastAsia="en-GB"/>
        </w:rPr>
        <w:t xml:space="preserve">itness </w:t>
      </w:r>
      <w:r w:rsidR="00EC456B" w:rsidRPr="002744F0">
        <w:rPr>
          <w:rFonts w:eastAsia="Times New Roman"/>
          <w:noProof/>
          <w:szCs w:val="24"/>
          <w:lang w:eastAsia="en-GB"/>
        </w:rPr>
        <w:t>c</w:t>
      </w:r>
      <w:r w:rsidRPr="002744F0">
        <w:rPr>
          <w:rFonts w:eastAsia="Times New Roman"/>
          <w:noProof/>
          <w:szCs w:val="24"/>
          <w:lang w:eastAsia="en-GB"/>
        </w:rPr>
        <w:t xml:space="preserve">heck of </w:t>
      </w:r>
      <w:r w:rsidR="00997BC5" w:rsidRPr="002744F0">
        <w:rPr>
          <w:rFonts w:eastAsia="Times New Roman"/>
          <w:noProof/>
          <w:szCs w:val="24"/>
          <w:lang w:eastAsia="en-GB"/>
        </w:rPr>
        <w:t>EU w</w:t>
      </w:r>
      <w:r w:rsidRPr="002744F0">
        <w:rPr>
          <w:rFonts w:eastAsia="Times New Roman"/>
          <w:noProof/>
          <w:szCs w:val="24"/>
          <w:lang w:eastAsia="en-GB"/>
        </w:rPr>
        <w:t xml:space="preserve">ater </w:t>
      </w:r>
      <w:r w:rsidR="00D50F4F" w:rsidRPr="002744F0">
        <w:rPr>
          <w:rFonts w:eastAsia="Times New Roman"/>
          <w:noProof/>
          <w:szCs w:val="24"/>
          <w:lang w:eastAsia="en-GB"/>
        </w:rPr>
        <w:t>legislation</w:t>
      </w:r>
      <w:r w:rsidRPr="002744F0">
        <w:rPr>
          <w:rFonts w:eastAsia="Times New Roman"/>
          <w:noProof/>
          <w:szCs w:val="24"/>
          <w:lang w:eastAsia="en-GB"/>
        </w:rPr>
        <w:t xml:space="preserve"> confirmed that the </w:t>
      </w:r>
      <w:r w:rsidR="00A07126" w:rsidRPr="002744F0">
        <w:rPr>
          <w:rFonts w:eastAsia="Times New Roman"/>
          <w:noProof/>
          <w:szCs w:val="24"/>
          <w:lang w:eastAsia="en-GB"/>
        </w:rPr>
        <w:t>WFD</w:t>
      </w:r>
      <w:r w:rsidRPr="002744F0">
        <w:rPr>
          <w:rFonts w:eastAsia="Times New Roman"/>
          <w:noProof/>
          <w:szCs w:val="24"/>
          <w:lang w:eastAsia="en-GB"/>
        </w:rPr>
        <w:t xml:space="preserve"> and its two daughter directives have triggered or reinforced action to address the transboundary pressures on water resources at river basin level, both nationally and internationally. </w:t>
      </w:r>
    </w:p>
    <w:p w14:paraId="6052E5C7" w14:textId="77777777" w:rsidR="00690D54" w:rsidRPr="002744F0" w:rsidRDefault="00690D54" w:rsidP="00690D54">
      <w:pPr>
        <w:spacing w:before="0" w:after="160"/>
        <w:rPr>
          <w:rFonts w:eastAsia="Times New Roman"/>
          <w:noProof/>
          <w:szCs w:val="24"/>
          <w:lang w:eastAsia="en-GB"/>
        </w:rPr>
      </w:pPr>
      <w:r w:rsidRPr="002744F0">
        <w:rPr>
          <w:rFonts w:eastAsia="Times New Roman"/>
          <w:noProof/>
          <w:szCs w:val="24"/>
          <w:lang w:eastAsia="en-GB"/>
        </w:rPr>
        <w:t xml:space="preserve">Specifically in relation to pollutants, the legislation distinguishes between substances </w:t>
      </w:r>
      <w:r w:rsidR="00F71F49" w:rsidRPr="002744F0">
        <w:rPr>
          <w:rFonts w:eastAsia="Times New Roman"/>
          <w:noProof/>
          <w:szCs w:val="24"/>
          <w:lang w:eastAsia="en-GB"/>
        </w:rPr>
        <w:t>considered to present a risk at</w:t>
      </w:r>
      <w:r w:rsidRPr="002744F0">
        <w:rPr>
          <w:rFonts w:eastAsia="Times New Roman"/>
          <w:noProof/>
          <w:szCs w:val="24"/>
          <w:lang w:eastAsia="en-GB"/>
        </w:rPr>
        <w:t xml:space="preserve"> EU level</w:t>
      </w:r>
      <w:r w:rsidR="0064596A" w:rsidRPr="002744F0">
        <w:rPr>
          <w:rFonts w:eastAsia="Times New Roman"/>
          <w:noProof/>
          <w:szCs w:val="24"/>
          <w:lang w:eastAsia="en-GB"/>
        </w:rPr>
        <w:t xml:space="preserve"> </w:t>
      </w:r>
      <w:r w:rsidRPr="002744F0">
        <w:rPr>
          <w:rFonts w:eastAsia="Times New Roman"/>
          <w:noProof/>
          <w:szCs w:val="24"/>
          <w:lang w:eastAsia="en-GB"/>
        </w:rPr>
        <w:t xml:space="preserve">and </w:t>
      </w:r>
      <w:r w:rsidR="00F71F49" w:rsidRPr="002744F0">
        <w:rPr>
          <w:rFonts w:eastAsia="Times New Roman"/>
          <w:noProof/>
          <w:szCs w:val="24"/>
          <w:lang w:eastAsia="en-GB"/>
        </w:rPr>
        <w:t>substances</w:t>
      </w:r>
      <w:r w:rsidRPr="002744F0">
        <w:rPr>
          <w:rFonts w:eastAsia="Times New Roman"/>
          <w:noProof/>
          <w:szCs w:val="24"/>
          <w:lang w:eastAsia="en-GB"/>
        </w:rPr>
        <w:t xml:space="preserve"> </w:t>
      </w:r>
      <w:r w:rsidR="00F71F49" w:rsidRPr="002744F0">
        <w:rPr>
          <w:rFonts w:eastAsia="Times New Roman"/>
          <w:noProof/>
          <w:szCs w:val="24"/>
          <w:lang w:eastAsia="en-GB"/>
        </w:rPr>
        <w:t>of</w:t>
      </w:r>
      <w:r w:rsidRPr="002744F0">
        <w:rPr>
          <w:rFonts w:eastAsia="Times New Roman"/>
          <w:noProof/>
          <w:szCs w:val="24"/>
          <w:lang w:eastAsia="en-GB"/>
        </w:rPr>
        <w:t xml:space="preserve"> </w:t>
      </w:r>
      <w:r w:rsidR="00F71F49" w:rsidRPr="002744F0">
        <w:rPr>
          <w:rFonts w:eastAsia="Times New Roman"/>
          <w:noProof/>
          <w:szCs w:val="24"/>
          <w:lang w:eastAsia="en-GB"/>
        </w:rPr>
        <w:t xml:space="preserve">regional or </w:t>
      </w:r>
      <w:r w:rsidRPr="002744F0">
        <w:rPr>
          <w:rFonts w:eastAsia="Times New Roman"/>
          <w:noProof/>
          <w:szCs w:val="24"/>
          <w:lang w:eastAsia="en-GB"/>
        </w:rPr>
        <w:t xml:space="preserve">national </w:t>
      </w:r>
      <w:r w:rsidR="00F71F49" w:rsidRPr="002744F0">
        <w:rPr>
          <w:rFonts w:eastAsia="Times New Roman"/>
          <w:noProof/>
          <w:szCs w:val="24"/>
          <w:lang w:eastAsia="en-GB"/>
        </w:rPr>
        <w:t>concern, and addresses them differently</w:t>
      </w:r>
      <w:r w:rsidRPr="002744F0">
        <w:rPr>
          <w:rFonts w:eastAsia="Times New Roman"/>
          <w:noProof/>
          <w:szCs w:val="24"/>
          <w:lang w:eastAsia="en-GB"/>
        </w:rPr>
        <w:t>. Th</w:t>
      </w:r>
      <w:r w:rsidR="00EC456B" w:rsidRPr="002744F0">
        <w:rPr>
          <w:rFonts w:eastAsia="Times New Roman"/>
          <w:noProof/>
          <w:szCs w:val="24"/>
          <w:lang w:eastAsia="en-GB"/>
        </w:rPr>
        <w:t>is</w:t>
      </w:r>
      <w:r w:rsidRPr="002744F0">
        <w:rPr>
          <w:rFonts w:eastAsia="Times New Roman"/>
          <w:noProof/>
          <w:szCs w:val="24"/>
          <w:lang w:eastAsia="en-GB"/>
        </w:rPr>
        <w:t xml:space="preserve"> </w:t>
      </w:r>
      <w:r w:rsidR="00F71F49" w:rsidRPr="002744F0">
        <w:rPr>
          <w:rFonts w:eastAsia="Times New Roman"/>
          <w:noProof/>
          <w:szCs w:val="24"/>
          <w:lang w:eastAsia="en-GB"/>
        </w:rPr>
        <w:t>initiative seeks to improve how substances of regional and national concern are dealt with by the Member States</w:t>
      </w:r>
      <w:r w:rsidRPr="002744F0">
        <w:rPr>
          <w:rFonts w:eastAsia="Times New Roman"/>
          <w:noProof/>
          <w:szCs w:val="24"/>
          <w:lang w:eastAsia="en-GB"/>
        </w:rPr>
        <w:t>.</w:t>
      </w:r>
    </w:p>
    <w:p w14:paraId="6745F6AE" w14:textId="77777777" w:rsidR="00075892" w:rsidRPr="002744F0" w:rsidRDefault="00075892" w:rsidP="00690D54">
      <w:pPr>
        <w:spacing w:before="0" w:after="160"/>
        <w:rPr>
          <w:rFonts w:eastAsia="Times New Roman"/>
          <w:noProof/>
          <w:szCs w:val="24"/>
          <w:lang w:eastAsia="en-GB"/>
        </w:rPr>
      </w:pPr>
      <w:r w:rsidRPr="002744F0">
        <w:rPr>
          <w:rFonts w:eastAsia="Times New Roman"/>
          <w:noProof/>
          <w:szCs w:val="24"/>
          <w:lang w:eastAsia="en-GB"/>
        </w:rPr>
        <w:t>Where EU environmental quality standards are set, the EU intr</w:t>
      </w:r>
      <w:r w:rsidR="00AA0600" w:rsidRPr="002744F0">
        <w:rPr>
          <w:rFonts w:eastAsia="Times New Roman"/>
          <w:noProof/>
          <w:szCs w:val="24"/>
          <w:lang w:eastAsia="en-GB"/>
        </w:rPr>
        <w:t>o</w:t>
      </w:r>
      <w:r w:rsidRPr="002744F0">
        <w:rPr>
          <w:rFonts w:eastAsia="Times New Roman"/>
          <w:noProof/>
          <w:szCs w:val="24"/>
          <w:lang w:eastAsia="en-GB"/>
        </w:rPr>
        <w:t>duces common objectives to achi</w:t>
      </w:r>
      <w:r w:rsidR="00AA0600" w:rsidRPr="002744F0">
        <w:rPr>
          <w:rFonts w:eastAsia="Times New Roman"/>
          <w:noProof/>
          <w:szCs w:val="24"/>
          <w:lang w:eastAsia="en-GB"/>
        </w:rPr>
        <w:t>e</w:t>
      </w:r>
      <w:r w:rsidRPr="002744F0">
        <w:rPr>
          <w:rFonts w:eastAsia="Times New Roman"/>
          <w:noProof/>
          <w:szCs w:val="24"/>
          <w:lang w:eastAsia="en-GB"/>
        </w:rPr>
        <w:t>ve the zero pollution ambition on the basis of scientific evidence</w:t>
      </w:r>
      <w:r w:rsidR="00EC456B" w:rsidRPr="002744F0">
        <w:rPr>
          <w:rFonts w:eastAsia="Times New Roman"/>
          <w:noProof/>
          <w:szCs w:val="24"/>
          <w:lang w:eastAsia="en-GB"/>
        </w:rPr>
        <w:t>,</w:t>
      </w:r>
      <w:r w:rsidRPr="002744F0">
        <w:rPr>
          <w:rFonts w:eastAsia="Times New Roman"/>
          <w:noProof/>
          <w:szCs w:val="24"/>
          <w:lang w:eastAsia="en-GB"/>
        </w:rPr>
        <w:t xml:space="preserve"> but leaves</w:t>
      </w:r>
      <w:r w:rsidR="00EC456B" w:rsidRPr="002744F0">
        <w:rPr>
          <w:rFonts w:eastAsia="Times New Roman"/>
          <w:noProof/>
          <w:szCs w:val="24"/>
          <w:lang w:eastAsia="en-GB"/>
        </w:rPr>
        <w:t xml:space="preserve"> Member States the</w:t>
      </w:r>
      <w:r w:rsidRPr="002744F0">
        <w:rPr>
          <w:rFonts w:eastAsia="Times New Roman"/>
          <w:noProof/>
          <w:szCs w:val="24"/>
          <w:lang w:eastAsia="en-GB"/>
        </w:rPr>
        <w:t xml:space="preserve"> flexibility </w:t>
      </w:r>
      <w:r w:rsidR="00AA0600" w:rsidRPr="002744F0">
        <w:rPr>
          <w:rFonts w:eastAsia="Times New Roman"/>
          <w:noProof/>
          <w:szCs w:val="24"/>
          <w:lang w:eastAsia="en-GB"/>
        </w:rPr>
        <w:t>to decide on</w:t>
      </w:r>
      <w:r w:rsidRPr="002744F0">
        <w:rPr>
          <w:rFonts w:eastAsia="Times New Roman"/>
          <w:noProof/>
          <w:szCs w:val="24"/>
          <w:lang w:eastAsia="en-GB"/>
        </w:rPr>
        <w:t xml:space="preserve"> the most cost-effective way </w:t>
      </w:r>
      <w:r w:rsidR="00EC456B" w:rsidRPr="002744F0">
        <w:rPr>
          <w:rFonts w:eastAsia="Times New Roman"/>
          <w:noProof/>
          <w:szCs w:val="24"/>
          <w:lang w:eastAsia="en-GB"/>
        </w:rPr>
        <w:t>to</w:t>
      </w:r>
      <w:r w:rsidR="00AA0600" w:rsidRPr="002744F0">
        <w:rPr>
          <w:rFonts w:eastAsia="Times New Roman"/>
          <w:noProof/>
          <w:szCs w:val="24"/>
          <w:lang w:eastAsia="en-GB"/>
        </w:rPr>
        <w:t xml:space="preserve"> </w:t>
      </w:r>
      <w:r w:rsidRPr="002744F0">
        <w:rPr>
          <w:rFonts w:eastAsia="Times New Roman"/>
          <w:noProof/>
          <w:szCs w:val="24"/>
          <w:lang w:eastAsia="en-GB"/>
        </w:rPr>
        <w:t>achiev</w:t>
      </w:r>
      <w:r w:rsidR="00EC456B" w:rsidRPr="002744F0">
        <w:rPr>
          <w:rFonts w:eastAsia="Times New Roman"/>
          <w:noProof/>
          <w:szCs w:val="24"/>
          <w:lang w:eastAsia="en-GB"/>
        </w:rPr>
        <w:t>e</w:t>
      </w:r>
      <w:r w:rsidRPr="002744F0">
        <w:rPr>
          <w:rFonts w:eastAsia="Times New Roman"/>
          <w:noProof/>
          <w:szCs w:val="24"/>
          <w:lang w:eastAsia="en-GB"/>
        </w:rPr>
        <w:t xml:space="preserve"> these objectives</w:t>
      </w:r>
      <w:r w:rsidR="00EC456B" w:rsidRPr="002744F0">
        <w:rPr>
          <w:rFonts w:eastAsia="Times New Roman"/>
          <w:noProof/>
          <w:szCs w:val="24"/>
          <w:lang w:eastAsia="en-GB"/>
        </w:rPr>
        <w:t>,</w:t>
      </w:r>
      <w:r w:rsidRPr="002744F0">
        <w:rPr>
          <w:rFonts w:eastAsia="Times New Roman"/>
          <w:noProof/>
          <w:szCs w:val="24"/>
          <w:lang w:eastAsia="en-GB"/>
        </w:rPr>
        <w:t xml:space="preserve"> taking into account relevant EU source</w:t>
      </w:r>
      <w:r w:rsidR="00D50F4F" w:rsidRPr="002744F0">
        <w:rPr>
          <w:rFonts w:eastAsia="Times New Roman"/>
          <w:noProof/>
          <w:szCs w:val="24"/>
          <w:lang w:eastAsia="en-GB"/>
        </w:rPr>
        <w:t>-</w:t>
      </w:r>
      <w:r w:rsidRPr="002744F0">
        <w:rPr>
          <w:rFonts w:eastAsia="Times New Roman"/>
          <w:noProof/>
          <w:szCs w:val="24"/>
          <w:lang w:eastAsia="en-GB"/>
        </w:rPr>
        <w:t xml:space="preserve">based legislation. </w:t>
      </w:r>
      <w:r w:rsidR="000466F9">
        <w:rPr>
          <w:rFonts w:eastAsia="Times New Roman"/>
          <w:noProof/>
          <w:szCs w:val="24"/>
          <w:lang w:eastAsia="en-GB"/>
        </w:rPr>
        <w:t>In doing so (common objectives with flexibility for achieving those)</w:t>
      </w:r>
      <w:r w:rsidRPr="002744F0">
        <w:rPr>
          <w:rFonts w:eastAsia="Times New Roman"/>
          <w:noProof/>
          <w:szCs w:val="24"/>
          <w:lang w:eastAsia="en-GB"/>
        </w:rPr>
        <w:t>, it creates a link with the source</w:t>
      </w:r>
      <w:r w:rsidR="00997BC5" w:rsidRPr="002744F0">
        <w:rPr>
          <w:rFonts w:eastAsia="Times New Roman"/>
          <w:noProof/>
          <w:szCs w:val="24"/>
          <w:lang w:eastAsia="en-GB"/>
        </w:rPr>
        <w:t>-based</w:t>
      </w:r>
      <w:r w:rsidRPr="002744F0">
        <w:rPr>
          <w:rFonts w:eastAsia="Times New Roman"/>
          <w:noProof/>
          <w:szCs w:val="24"/>
          <w:lang w:eastAsia="en-GB"/>
        </w:rPr>
        <w:t xml:space="preserve"> legislation at EU level (such as the sustainable use of pesticides) and helps ensure an effective delivery of </w:t>
      </w:r>
      <w:r w:rsidR="00997BC5" w:rsidRPr="002744F0">
        <w:rPr>
          <w:rFonts w:eastAsia="Times New Roman"/>
          <w:noProof/>
          <w:szCs w:val="24"/>
          <w:lang w:eastAsia="en-GB"/>
        </w:rPr>
        <w:t xml:space="preserve">the aims set </w:t>
      </w:r>
      <w:r w:rsidR="00EC456B" w:rsidRPr="002744F0">
        <w:rPr>
          <w:rFonts w:eastAsia="Times New Roman"/>
          <w:noProof/>
          <w:szCs w:val="24"/>
          <w:lang w:eastAsia="en-GB"/>
        </w:rPr>
        <w:t>in that legislation</w:t>
      </w:r>
      <w:r w:rsidRPr="002744F0">
        <w:rPr>
          <w:rFonts w:eastAsia="Times New Roman"/>
          <w:noProof/>
          <w:szCs w:val="24"/>
          <w:lang w:eastAsia="en-GB"/>
        </w:rPr>
        <w:t xml:space="preserve">. </w:t>
      </w:r>
    </w:p>
    <w:p w14:paraId="021566ED" w14:textId="77777777" w:rsidR="0047629D" w:rsidRPr="002744F0" w:rsidRDefault="0047629D" w:rsidP="005C4F36">
      <w:pPr>
        <w:pStyle w:val="ManualHeading2"/>
        <w:rPr>
          <w:rFonts w:eastAsia="Arial Unicode MS"/>
          <w:noProof/>
          <w:szCs w:val="24"/>
          <w:u w:color="000000"/>
          <w:bdr w:val="nil"/>
          <w:lang w:eastAsia="en-GB"/>
        </w:rPr>
      </w:pPr>
      <w:r w:rsidRPr="002744F0">
        <w:rPr>
          <w:rFonts w:eastAsia="Arial Unicode MS"/>
          <w:noProof/>
          <w:szCs w:val="24"/>
          <w:u w:color="000000"/>
          <w:bdr w:val="nil"/>
          <w:lang w:eastAsia="en-GB"/>
        </w:rPr>
        <w:t>•</w:t>
      </w:r>
      <w:r w:rsidRPr="002744F0">
        <w:rPr>
          <w:rFonts w:eastAsia="Arial Unicode MS"/>
          <w:noProof/>
          <w:szCs w:val="24"/>
          <w:u w:color="000000"/>
          <w:bdr w:val="nil"/>
          <w:lang w:eastAsia="en-GB"/>
        </w:rPr>
        <w:tab/>
        <w:t>Proportionality</w:t>
      </w:r>
    </w:p>
    <w:p w14:paraId="0A1A534A" w14:textId="77777777" w:rsidR="002821B9" w:rsidRPr="002744F0" w:rsidRDefault="002821B9" w:rsidP="00C15986">
      <w:pPr>
        <w:pBdr>
          <w:top w:val="nil"/>
          <w:left w:val="nil"/>
          <w:bottom w:val="nil"/>
          <w:right w:val="nil"/>
          <w:between w:val="nil"/>
          <w:bar w:val="nil"/>
        </w:pBdr>
        <w:spacing w:before="0" w:after="240"/>
        <w:rPr>
          <w:noProof/>
        </w:rPr>
      </w:pPr>
      <w:r w:rsidRPr="002744F0">
        <w:rPr>
          <w:noProof/>
        </w:rPr>
        <w:t xml:space="preserve">The proposal revises the existing lists of surface </w:t>
      </w:r>
      <w:r w:rsidR="007C11A8" w:rsidRPr="002744F0">
        <w:rPr>
          <w:noProof/>
        </w:rPr>
        <w:t xml:space="preserve">and groundwater </w:t>
      </w:r>
      <w:r w:rsidRPr="002744F0">
        <w:rPr>
          <w:noProof/>
        </w:rPr>
        <w:t>pollutants</w:t>
      </w:r>
      <w:r w:rsidR="007C11A8" w:rsidRPr="002744F0">
        <w:rPr>
          <w:noProof/>
        </w:rPr>
        <w:t xml:space="preserve"> and</w:t>
      </w:r>
      <w:r w:rsidRPr="002744F0">
        <w:rPr>
          <w:noProof/>
        </w:rPr>
        <w:t xml:space="preserve"> </w:t>
      </w:r>
      <w:r w:rsidR="00997BC5" w:rsidRPr="002744F0">
        <w:rPr>
          <w:noProof/>
        </w:rPr>
        <w:t xml:space="preserve">sets or updates environmental </w:t>
      </w:r>
      <w:r w:rsidR="007C11A8" w:rsidRPr="002744F0">
        <w:rPr>
          <w:noProof/>
        </w:rPr>
        <w:t>quality standards</w:t>
      </w:r>
      <w:r w:rsidR="00FB080F" w:rsidRPr="002744F0">
        <w:rPr>
          <w:noProof/>
        </w:rPr>
        <w:t xml:space="preserve"> for Member States to meet</w:t>
      </w:r>
      <w:r w:rsidRPr="002744F0">
        <w:rPr>
          <w:noProof/>
        </w:rPr>
        <w:t xml:space="preserve">, </w:t>
      </w:r>
      <w:r w:rsidR="00997BC5" w:rsidRPr="002744F0">
        <w:rPr>
          <w:noProof/>
        </w:rPr>
        <w:t xml:space="preserve">whilst relying </w:t>
      </w:r>
      <w:r w:rsidR="00FB080F" w:rsidRPr="002744F0">
        <w:rPr>
          <w:noProof/>
        </w:rPr>
        <w:t>to a large extent on other EU legislation</w:t>
      </w:r>
      <w:r w:rsidR="00DA22EB" w:rsidRPr="002744F0">
        <w:rPr>
          <w:noProof/>
        </w:rPr>
        <w:t xml:space="preserve"> addressing the source of pollution or regulating their emissions during production and use </w:t>
      </w:r>
      <w:r w:rsidR="00FB080F" w:rsidRPr="002744F0">
        <w:rPr>
          <w:noProof/>
        </w:rPr>
        <w:t>(such as restrictions</w:t>
      </w:r>
      <w:r w:rsidR="000B7C73" w:rsidRPr="002744F0">
        <w:rPr>
          <w:noProof/>
        </w:rPr>
        <w:t xml:space="preserve"> on the use of certain substances</w:t>
      </w:r>
      <w:r w:rsidR="00DA22EB" w:rsidRPr="002744F0">
        <w:rPr>
          <w:noProof/>
        </w:rPr>
        <w:t xml:space="preserve"> under REACH</w:t>
      </w:r>
      <w:r w:rsidR="00DA22EB" w:rsidRPr="002744F0">
        <w:rPr>
          <w:rStyle w:val="FootnoteReference"/>
          <w:rFonts w:eastAsia="Arial Unicode MS"/>
          <w:noProof/>
          <w:szCs w:val="24"/>
        </w:rPr>
        <w:footnoteReference w:id="30"/>
      </w:r>
      <w:r w:rsidR="00DA22EB" w:rsidRPr="002744F0">
        <w:rPr>
          <w:noProof/>
        </w:rPr>
        <w:t xml:space="preserve"> or emission limit values set out in permits of industrial installations under the IED</w:t>
      </w:r>
      <w:r w:rsidR="00FB080F" w:rsidRPr="002744F0">
        <w:rPr>
          <w:noProof/>
        </w:rPr>
        <w:t xml:space="preserve">) and </w:t>
      </w:r>
      <w:r w:rsidR="00997BC5" w:rsidRPr="002744F0">
        <w:rPr>
          <w:noProof/>
        </w:rPr>
        <w:t xml:space="preserve">leaving </w:t>
      </w:r>
      <w:r w:rsidRPr="002744F0">
        <w:rPr>
          <w:noProof/>
        </w:rPr>
        <w:t xml:space="preserve">the choice of </w:t>
      </w:r>
      <w:r w:rsidR="00FB080F" w:rsidRPr="002744F0">
        <w:rPr>
          <w:noProof/>
        </w:rPr>
        <w:t xml:space="preserve">specific </w:t>
      </w:r>
      <w:r w:rsidRPr="002744F0">
        <w:rPr>
          <w:noProof/>
        </w:rPr>
        <w:t xml:space="preserve">measures to the Member States. As </w:t>
      </w:r>
      <w:r w:rsidR="007C11A8" w:rsidRPr="002744F0">
        <w:rPr>
          <w:noProof/>
        </w:rPr>
        <w:t>each</w:t>
      </w:r>
      <w:r w:rsidRPr="002744F0">
        <w:rPr>
          <w:noProof/>
        </w:rPr>
        <w:t xml:space="preserve"> water body in the EU has its own specific characteristics (climate, flow, geological conditions, etc</w:t>
      </w:r>
      <w:r w:rsidR="00660305" w:rsidRPr="002744F0">
        <w:rPr>
          <w:noProof/>
        </w:rPr>
        <w:t>.</w:t>
      </w:r>
      <w:r w:rsidRPr="002744F0">
        <w:rPr>
          <w:noProof/>
        </w:rPr>
        <w:t xml:space="preserve">) and </w:t>
      </w:r>
      <w:r w:rsidR="007C11A8" w:rsidRPr="002744F0">
        <w:rPr>
          <w:noProof/>
        </w:rPr>
        <w:t>is not necessarily subject to the same pressures as other water bodies</w:t>
      </w:r>
      <w:r w:rsidRPr="002744F0">
        <w:rPr>
          <w:noProof/>
        </w:rPr>
        <w:t>, leaving the choice of measures to the Member States</w:t>
      </w:r>
      <w:r w:rsidR="007C11A8" w:rsidRPr="002744F0">
        <w:rPr>
          <w:noProof/>
        </w:rPr>
        <w:t>’</w:t>
      </w:r>
      <w:r w:rsidRPr="002744F0">
        <w:rPr>
          <w:noProof/>
        </w:rPr>
        <w:t xml:space="preserve"> water authorities is correct from a proportionality standpoint. </w:t>
      </w:r>
    </w:p>
    <w:p w14:paraId="2EF9F269" w14:textId="77777777" w:rsidR="002821B9" w:rsidRPr="002744F0" w:rsidRDefault="007C11A8" w:rsidP="00C15986">
      <w:pPr>
        <w:pBdr>
          <w:top w:val="nil"/>
          <w:left w:val="nil"/>
          <w:bottom w:val="nil"/>
          <w:right w:val="nil"/>
          <w:between w:val="nil"/>
          <w:bar w:val="nil"/>
        </w:pBdr>
        <w:spacing w:before="0" w:after="240"/>
        <w:rPr>
          <w:noProof/>
        </w:rPr>
      </w:pPr>
      <w:r w:rsidRPr="002744F0">
        <w:rPr>
          <w:noProof/>
        </w:rPr>
        <w:t>T</w:t>
      </w:r>
      <w:r w:rsidR="002821B9" w:rsidRPr="002744F0">
        <w:rPr>
          <w:noProof/>
        </w:rPr>
        <w:t xml:space="preserve">he 2019 </w:t>
      </w:r>
      <w:r w:rsidR="00674DC4" w:rsidRPr="002744F0">
        <w:rPr>
          <w:noProof/>
        </w:rPr>
        <w:t>f</w:t>
      </w:r>
      <w:r w:rsidRPr="002744F0">
        <w:rPr>
          <w:noProof/>
        </w:rPr>
        <w:t xml:space="preserve">itness </w:t>
      </w:r>
      <w:r w:rsidR="00674DC4" w:rsidRPr="002744F0">
        <w:rPr>
          <w:noProof/>
        </w:rPr>
        <w:t>c</w:t>
      </w:r>
      <w:r w:rsidRPr="002744F0">
        <w:rPr>
          <w:noProof/>
        </w:rPr>
        <w:t>heck</w:t>
      </w:r>
      <w:r w:rsidR="002821B9" w:rsidRPr="002744F0">
        <w:rPr>
          <w:noProof/>
        </w:rPr>
        <w:t xml:space="preserve"> of </w:t>
      </w:r>
      <w:r w:rsidR="002D56EC" w:rsidRPr="002744F0">
        <w:rPr>
          <w:noProof/>
        </w:rPr>
        <w:t>EU</w:t>
      </w:r>
      <w:r w:rsidR="002821B9" w:rsidRPr="002744F0">
        <w:rPr>
          <w:noProof/>
        </w:rPr>
        <w:t xml:space="preserve"> water </w:t>
      </w:r>
      <w:r w:rsidR="00D50F4F" w:rsidRPr="002744F0">
        <w:rPr>
          <w:noProof/>
        </w:rPr>
        <w:t>legislation</w:t>
      </w:r>
      <w:r w:rsidR="002821B9" w:rsidRPr="002744F0">
        <w:rPr>
          <w:noProof/>
        </w:rPr>
        <w:t xml:space="preserve"> confirmed the added value of the WFD, EQSD and GWD. The </w:t>
      </w:r>
      <w:r w:rsidR="00290AB6" w:rsidRPr="002744F0">
        <w:rPr>
          <w:noProof/>
        </w:rPr>
        <w:t>i</w:t>
      </w:r>
      <w:r w:rsidR="002821B9" w:rsidRPr="002744F0">
        <w:rPr>
          <w:noProof/>
        </w:rPr>
        <w:t xml:space="preserve">mpact </w:t>
      </w:r>
      <w:r w:rsidR="00290AB6" w:rsidRPr="002744F0">
        <w:rPr>
          <w:noProof/>
        </w:rPr>
        <w:t>a</w:t>
      </w:r>
      <w:r w:rsidR="002821B9" w:rsidRPr="002744F0">
        <w:rPr>
          <w:noProof/>
        </w:rPr>
        <w:t>ssessment</w:t>
      </w:r>
      <w:r w:rsidRPr="002744F0">
        <w:rPr>
          <w:noProof/>
        </w:rPr>
        <w:t xml:space="preserve"> for this proposal</w:t>
      </w:r>
      <w:r w:rsidR="002821B9" w:rsidRPr="002744F0">
        <w:rPr>
          <w:noProof/>
        </w:rPr>
        <w:t xml:space="preserve"> </w:t>
      </w:r>
      <w:r w:rsidRPr="002744F0">
        <w:rPr>
          <w:noProof/>
        </w:rPr>
        <w:t>confirms</w:t>
      </w:r>
      <w:r w:rsidR="002821B9" w:rsidRPr="002744F0">
        <w:rPr>
          <w:noProof/>
        </w:rPr>
        <w:t xml:space="preserve"> that the substances considered for addition to the pollutant lists </w:t>
      </w:r>
      <w:r w:rsidRPr="002744F0">
        <w:rPr>
          <w:noProof/>
        </w:rPr>
        <w:t>with EU-wide quality standards present a risk at</w:t>
      </w:r>
      <w:r w:rsidR="002821B9" w:rsidRPr="002744F0">
        <w:rPr>
          <w:noProof/>
        </w:rPr>
        <w:t xml:space="preserve"> EU</w:t>
      </w:r>
      <w:r w:rsidRPr="002744F0">
        <w:rPr>
          <w:noProof/>
        </w:rPr>
        <w:t xml:space="preserve"> level</w:t>
      </w:r>
      <w:r w:rsidR="002821B9" w:rsidRPr="002744F0">
        <w:rPr>
          <w:noProof/>
        </w:rPr>
        <w:t xml:space="preserve">. A small number of </w:t>
      </w:r>
      <w:r w:rsidRPr="002744F0">
        <w:rPr>
          <w:noProof/>
        </w:rPr>
        <w:t>already listed</w:t>
      </w:r>
      <w:r w:rsidR="002821B9" w:rsidRPr="002744F0">
        <w:rPr>
          <w:noProof/>
        </w:rPr>
        <w:t xml:space="preserve"> substances were identified that are no longer considered substances of EU-wide concern, but which might still need to be addressed at national level.</w:t>
      </w:r>
      <w:r w:rsidR="00AF2B34" w:rsidRPr="002744F0">
        <w:rPr>
          <w:noProof/>
        </w:rPr>
        <w:t xml:space="preserve"> Th</w:t>
      </w:r>
      <w:r w:rsidR="00674DC4" w:rsidRPr="002744F0">
        <w:rPr>
          <w:noProof/>
        </w:rPr>
        <w:t>is</w:t>
      </w:r>
      <w:r w:rsidR="00AF2B34" w:rsidRPr="002744F0">
        <w:rPr>
          <w:noProof/>
        </w:rPr>
        <w:t xml:space="preserve"> proposal </w:t>
      </w:r>
      <w:r w:rsidR="003A7C8D" w:rsidRPr="002744F0">
        <w:rPr>
          <w:noProof/>
        </w:rPr>
        <w:t>set</w:t>
      </w:r>
      <w:r w:rsidR="002813A3" w:rsidRPr="002744F0">
        <w:rPr>
          <w:noProof/>
        </w:rPr>
        <w:t>s</w:t>
      </w:r>
      <w:r w:rsidR="003A7C8D" w:rsidRPr="002744F0">
        <w:rPr>
          <w:noProof/>
        </w:rPr>
        <w:t xml:space="preserve"> out a procedure enabling the </w:t>
      </w:r>
      <w:r w:rsidR="002D56EC" w:rsidRPr="002744F0">
        <w:rPr>
          <w:noProof/>
        </w:rPr>
        <w:t xml:space="preserve">European </w:t>
      </w:r>
      <w:r w:rsidR="003A7C8D" w:rsidRPr="002744F0">
        <w:rPr>
          <w:noProof/>
        </w:rPr>
        <w:t xml:space="preserve">Commission </w:t>
      </w:r>
      <w:r w:rsidR="00AF2B34" w:rsidRPr="002744F0">
        <w:rPr>
          <w:noProof/>
        </w:rPr>
        <w:t>to address inconsistences in how Member States decide on substances to regulate at national level and on the quality standards to set for them.</w:t>
      </w:r>
    </w:p>
    <w:p w14:paraId="45D57D47" w14:textId="77777777" w:rsidR="0047629D" w:rsidRPr="002744F0" w:rsidRDefault="0047629D" w:rsidP="005C4F36">
      <w:pPr>
        <w:pStyle w:val="ManualHeading2"/>
        <w:rPr>
          <w:rFonts w:eastAsia="Arial Unicode MS"/>
          <w:noProof/>
          <w:szCs w:val="24"/>
          <w:u w:color="000000"/>
          <w:bdr w:val="nil"/>
          <w:lang w:eastAsia="en-GB"/>
        </w:rPr>
      </w:pPr>
      <w:r w:rsidRPr="002744F0">
        <w:rPr>
          <w:rFonts w:eastAsia="Arial Unicode MS"/>
          <w:noProof/>
          <w:szCs w:val="24"/>
          <w:u w:color="000000"/>
          <w:bdr w:val="nil"/>
          <w:lang w:eastAsia="en-GB"/>
        </w:rPr>
        <w:t>•</w:t>
      </w:r>
      <w:r w:rsidRPr="002744F0">
        <w:rPr>
          <w:rFonts w:eastAsia="Arial Unicode MS"/>
          <w:noProof/>
          <w:szCs w:val="24"/>
          <w:u w:color="000000"/>
          <w:bdr w:val="nil"/>
          <w:lang w:eastAsia="en-GB"/>
        </w:rPr>
        <w:tab/>
        <w:t>Choice of the instrument</w:t>
      </w:r>
    </w:p>
    <w:p w14:paraId="2A33E0E7" w14:textId="77777777" w:rsidR="00342156" w:rsidRPr="002744F0" w:rsidRDefault="00342156" w:rsidP="005C4F36">
      <w:pPr>
        <w:pBdr>
          <w:top w:val="nil"/>
          <w:left w:val="nil"/>
          <w:bottom w:val="nil"/>
          <w:right w:val="nil"/>
          <w:between w:val="nil"/>
          <w:bar w:val="nil"/>
        </w:pBdr>
        <w:spacing w:before="0" w:after="240"/>
        <w:rPr>
          <w:noProof/>
          <w:szCs w:val="24"/>
        </w:rPr>
      </w:pPr>
      <w:r w:rsidRPr="002744F0">
        <w:rPr>
          <w:noProof/>
          <w:szCs w:val="24"/>
        </w:rPr>
        <w:t xml:space="preserve">The </w:t>
      </w:r>
      <w:r w:rsidR="00AF2B34" w:rsidRPr="002744F0">
        <w:rPr>
          <w:noProof/>
          <w:szCs w:val="24"/>
        </w:rPr>
        <w:t>initiat</w:t>
      </w:r>
      <w:r w:rsidR="00660305" w:rsidRPr="002744F0">
        <w:rPr>
          <w:noProof/>
          <w:szCs w:val="24"/>
        </w:rPr>
        <w:t>i</w:t>
      </w:r>
      <w:r w:rsidR="00AF2B34" w:rsidRPr="002744F0">
        <w:rPr>
          <w:noProof/>
          <w:szCs w:val="24"/>
        </w:rPr>
        <w:t>ve takes the form of a</w:t>
      </w:r>
      <w:r w:rsidRPr="002744F0">
        <w:rPr>
          <w:noProof/>
          <w:szCs w:val="24"/>
        </w:rPr>
        <w:t xml:space="preserve"> </w:t>
      </w:r>
      <w:r w:rsidR="00674DC4" w:rsidRPr="002744F0">
        <w:rPr>
          <w:noProof/>
          <w:szCs w:val="24"/>
        </w:rPr>
        <w:t>d</w:t>
      </w:r>
      <w:r w:rsidRPr="002744F0">
        <w:rPr>
          <w:noProof/>
          <w:szCs w:val="24"/>
        </w:rPr>
        <w:t>irective</w:t>
      </w:r>
      <w:r w:rsidR="00AF2B34" w:rsidRPr="002744F0">
        <w:rPr>
          <w:noProof/>
          <w:szCs w:val="24"/>
        </w:rPr>
        <w:t xml:space="preserve"> because</w:t>
      </w:r>
      <w:r w:rsidRPr="002744F0">
        <w:rPr>
          <w:noProof/>
          <w:szCs w:val="24"/>
        </w:rPr>
        <w:t xml:space="preserve"> </w:t>
      </w:r>
      <w:r w:rsidR="00AF2B34" w:rsidRPr="002744F0">
        <w:rPr>
          <w:noProof/>
          <w:szCs w:val="24"/>
        </w:rPr>
        <w:t>t</w:t>
      </w:r>
      <w:r w:rsidRPr="002744F0">
        <w:rPr>
          <w:noProof/>
          <w:szCs w:val="24"/>
        </w:rPr>
        <w:t>his is the most appropriate legal instrument to make amendments to the existing</w:t>
      </w:r>
      <w:r w:rsidR="002D56EC" w:rsidRPr="002744F0">
        <w:rPr>
          <w:noProof/>
          <w:szCs w:val="24"/>
        </w:rPr>
        <w:t>, relevant</w:t>
      </w:r>
      <w:r w:rsidRPr="002744F0">
        <w:rPr>
          <w:noProof/>
          <w:szCs w:val="24"/>
        </w:rPr>
        <w:t xml:space="preserve"> </w:t>
      </w:r>
      <w:r w:rsidR="00674DC4" w:rsidRPr="002744F0">
        <w:rPr>
          <w:noProof/>
          <w:szCs w:val="24"/>
        </w:rPr>
        <w:t>d</w:t>
      </w:r>
      <w:r w:rsidR="002D56EC" w:rsidRPr="002744F0">
        <w:rPr>
          <w:noProof/>
          <w:szCs w:val="24"/>
        </w:rPr>
        <w:t>irectives</w:t>
      </w:r>
      <w:r w:rsidRPr="002744F0">
        <w:rPr>
          <w:noProof/>
          <w:szCs w:val="24"/>
        </w:rPr>
        <w:t>.</w:t>
      </w:r>
    </w:p>
    <w:p w14:paraId="2347C075" w14:textId="77777777" w:rsidR="0047629D" w:rsidRPr="002744F0" w:rsidRDefault="00342156" w:rsidP="005C4F36">
      <w:pPr>
        <w:pBdr>
          <w:top w:val="nil"/>
          <w:left w:val="nil"/>
          <w:bottom w:val="nil"/>
          <w:right w:val="nil"/>
          <w:between w:val="nil"/>
          <w:bar w:val="nil"/>
        </w:pBdr>
        <w:spacing w:before="0" w:after="240"/>
        <w:rPr>
          <w:rFonts w:eastAsia="Arial Unicode MS"/>
          <w:noProof/>
          <w:szCs w:val="24"/>
        </w:rPr>
      </w:pPr>
      <w:r w:rsidRPr="002744F0">
        <w:rPr>
          <w:noProof/>
          <w:szCs w:val="24"/>
        </w:rPr>
        <w:t xml:space="preserve">A </w:t>
      </w:r>
      <w:r w:rsidR="00674DC4" w:rsidRPr="002744F0">
        <w:rPr>
          <w:noProof/>
          <w:szCs w:val="24"/>
        </w:rPr>
        <w:t>d</w:t>
      </w:r>
      <w:r w:rsidRPr="002744F0">
        <w:rPr>
          <w:noProof/>
          <w:szCs w:val="24"/>
        </w:rPr>
        <w:t xml:space="preserve">irective requires Member States to </w:t>
      </w:r>
      <w:r w:rsidR="00AF2B34" w:rsidRPr="002744F0">
        <w:rPr>
          <w:noProof/>
          <w:szCs w:val="24"/>
        </w:rPr>
        <w:t>transpose the provisions</w:t>
      </w:r>
      <w:r w:rsidRPr="002744F0">
        <w:rPr>
          <w:noProof/>
          <w:szCs w:val="24"/>
        </w:rPr>
        <w:t xml:space="preserve"> into their national substantive and procedural </w:t>
      </w:r>
      <w:r w:rsidR="0022696D" w:rsidRPr="002744F0">
        <w:rPr>
          <w:noProof/>
          <w:szCs w:val="24"/>
        </w:rPr>
        <w:t xml:space="preserve">legal </w:t>
      </w:r>
      <w:r w:rsidRPr="002744F0">
        <w:rPr>
          <w:noProof/>
          <w:szCs w:val="24"/>
        </w:rPr>
        <w:t>systems</w:t>
      </w:r>
      <w:r w:rsidR="00AF2B34" w:rsidRPr="002744F0">
        <w:rPr>
          <w:noProof/>
          <w:szCs w:val="24"/>
        </w:rPr>
        <w:t xml:space="preserve"> and implement measures that will achieve the objectives</w:t>
      </w:r>
      <w:r w:rsidRPr="002744F0">
        <w:rPr>
          <w:noProof/>
          <w:szCs w:val="24"/>
        </w:rPr>
        <w:t xml:space="preserve">. This approach gives Member States more freedom than a </w:t>
      </w:r>
      <w:r w:rsidR="00674DC4" w:rsidRPr="002744F0">
        <w:rPr>
          <w:noProof/>
          <w:szCs w:val="24"/>
        </w:rPr>
        <w:t>r</w:t>
      </w:r>
      <w:r w:rsidRPr="002744F0">
        <w:rPr>
          <w:noProof/>
          <w:szCs w:val="24"/>
        </w:rPr>
        <w:t xml:space="preserve">egulation, </w:t>
      </w:r>
      <w:r w:rsidR="00D50F4F" w:rsidRPr="002744F0">
        <w:rPr>
          <w:noProof/>
          <w:szCs w:val="24"/>
        </w:rPr>
        <w:t>as</w:t>
      </w:r>
      <w:r w:rsidRPr="002744F0">
        <w:rPr>
          <w:noProof/>
          <w:szCs w:val="24"/>
        </w:rPr>
        <w:t xml:space="preserve"> Member States </w:t>
      </w:r>
      <w:r w:rsidR="002D56EC" w:rsidRPr="002744F0">
        <w:rPr>
          <w:noProof/>
          <w:szCs w:val="24"/>
        </w:rPr>
        <w:t xml:space="preserve">can </w:t>
      </w:r>
      <w:r w:rsidRPr="002744F0">
        <w:rPr>
          <w:noProof/>
          <w:szCs w:val="24"/>
        </w:rPr>
        <w:t>choose the most appropriate measures</w:t>
      </w:r>
      <w:r w:rsidR="002D56EC" w:rsidRPr="002744F0">
        <w:rPr>
          <w:noProof/>
          <w:szCs w:val="24"/>
        </w:rPr>
        <w:t xml:space="preserve"> to achieve the agreed result obligations</w:t>
      </w:r>
      <w:r w:rsidRPr="002744F0">
        <w:rPr>
          <w:noProof/>
          <w:szCs w:val="24"/>
        </w:rPr>
        <w:t>.</w:t>
      </w:r>
      <w:r w:rsidRPr="002744F0">
        <w:rPr>
          <w:rFonts w:eastAsia="Arial Unicode MS"/>
          <w:noProof/>
          <w:szCs w:val="24"/>
        </w:rPr>
        <w:t xml:space="preserve"> </w:t>
      </w:r>
    </w:p>
    <w:p w14:paraId="12AF075F" w14:textId="77777777" w:rsidR="0047629D" w:rsidRPr="002744F0" w:rsidRDefault="0047629D" w:rsidP="005C4F36">
      <w:pPr>
        <w:pStyle w:val="ManualHeading1"/>
        <w:rPr>
          <w:noProof/>
          <w:szCs w:val="24"/>
        </w:rPr>
      </w:pPr>
      <w:r w:rsidRPr="002744F0">
        <w:rPr>
          <w:noProof/>
          <w:szCs w:val="24"/>
        </w:rPr>
        <w:t>3.</w:t>
      </w:r>
      <w:r w:rsidRPr="002744F0">
        <w:rPr>
          <w:noProof/>
          <w:szCs w:val="24"/>
        </w:rPr>
        <w:tab/>
        <w:t>RESULTS OF EX-POST EVALUATIONS, STAKEHOLDER CONSULTATIONS AND IMPACT ASSESSMENTS</w:t>
      </w:r>
    </w:p>
    <w:p w14:paraId="5FBA8A32" w14:textId="77777777" w:rsidR="0047629D" w:rsidRPr="002744F0" w:rsidRDefault="0047629D" w:rsidP="005C4F36">
      <w:pPr>
        <w:pStyle w:val="ManualHeading2"/>
        <w:rPr>
          <w:rFonts w:eastAsia="Arial Unicode MS"/>
          <w:noProof/>
          <w:szCs w:val="24"/>
          <w:u w:color="000000"/>
          <w:bdr w:val="nil"/>
          <w:lang w:eastAsia="en-GB"/>
        </w:rPr>
      </w:pPr>
      <w:r w:rsidRPr="002744F0">
        <w:rPr>
          <w:rFonts w:eastAsia="Arial Unicode MS"/>
          <w:noProof/>
          <w:szCs w:val="24"/>
          <w:u w:color="000000"/>
          <w:bdr w:val="nil"/>
          <w:lang w:eastAsia="en-GB"/>
        </w:rPr>
        <w:t>•</w:t>
      </w:r>
      <w:r w:rsidRPr="002744F0">
        <w:rPr>
          <w:rFonts w:eastAsia="Arial Unicode MS"/>
          <w:noProof/>
          <w:szCs w:val="24"/>
          <w:u w:color="000000"/>
          <w:bdr w:val="nil"/>
          <w:lang w:eastAsia="en-GB"/>
        </w:rPr>
        <w:tab/>
        <w:t>Ex-post evaluations/fitness checks of existing legislation</w:t>
      </w:r>
    </w:p>
    <w:p w14:paraId="12549355" w14:textId="77777777" w:rsidR="00674DC4" w:rsidRPr="002744F0" w:rsidRDefault="002821B9" w:rsidP="00ED7B21">
      <w:pPr>
        <w:rPr>
          <w:noProof/>
          <w:szCs w:val="24"/>
        </w:rPr>
      </w:pPr>
      <w:r w:rsidRPr="002744F0">
        <w:rPr>
          <w:noProof/>
          <w:szCs w:val="24"/>
        </w:rPr>
        <w:t xml:space="preserve">In 2019, a </w:t>
      </w:r>
      <w:r w:rsidR="00674DC4" w:rsidRPr="002744F0">
        <w:rPr>
          <w:noProof/>
          <w:szCs w:val="24"/>
        </w:rPr>
        <w:t>f</w:t>
      </w:r>
      <w:r w:rsidRPr="002744F0">
        <w:rPr>
          <w:noProof/>
          <w:szCs w:val="24"/>
        </w:rPr>
        <w:t xml:space="preserve">itness </w:t>
      </w:r>
      <w:r w:rsidR="00674DC4" w:rsidRPr="002744F0">
        <w:rPr>
          <w:noProof/>
          <w:szCs w:val="24"/>
        </w:rPr>
        <w:t>c</w:t>
      </w:r>
      <w:r w:rsidRPr="002744F0">
        <w:rPr>
          <w:noProof/>
          <w:szCs w:val="24"/>
        </w:rPr>
        <w:t xml:space="preserve">heck evaluation of EU water </w:t>
      </w:r>
      <w:r w:rsidR="00D50F4F" w:rsidRPr="002744F0">
        <w:rPr>
          <w:noProof/>
          <w:szCs w:val="24"/>
        </w:rPr>
        <w:t>legislation</w:t>
      </w:r>
      <w:r w:rsidRPr="002744F0">
        <w:rPr>
          <w:noProof/>
          <w:szCs w:val="24"/>
        </w:rPr>
        <w:t xml:space="preserve"> was completed covering the WFD, the EQSD, the G</w:t>
      </w:r>
      <w:r w:rsidR="00B8356D" w:rsidRPr="002744F0">
        <w:rPr>
          <w:noProof/>
          <w:szCs w:val="24"/>
        </w:rPr>
        <w:t>W</w:t>
      </w:r>
      <w:r w:rsidRPr="002744F0">
        <w:rPr>
          <w:noProof/>
          <w:szCs w:val="24"/>
        </w:rPr>
        <w:t xml:space="preserve">D and the </w:t>
      </w:r>
      <w:r w:rsidR="00B8356D" w:rsidRPr="002744F0">
        <w:rPr>
          <w:noProof/>
          <w:szCs w:val="24"/>
        </w:rPr>
        <w:t>FD</w:t>
      </w:r>
      <w:r w:rsidRPr="002744F0">
        <w:rPr>
          <w:noProof/>
          <w:szCs w:val="24"/>
        </w:rPr>
        <w:t xml:space="preserve">. The </w:t>
      </w:r>
      <w:r w:rsidR="00674DC4" w:rsidRPr="002744F0">
        <w:rPr>
          <w:noProof/>
          <w:szCs w:val="24"/>
        </w:rPr>
        <w:t>f</w:t>
      </w:r>
      <w:r w:rsidR="00B8356D" w:rsidRPr="002744F0">
        <w:rPr>
          <w:noProof/>
          <w:szCs w:val="24"/>
        </w:rPr>
        <w:t xml:space="preserve">itness </w:t>
      </w:r>
      <w:r w:rsidR="00674DC4" w:rsidRPr="002744F0">
        <w:rPr>
          <w:noProof/>
          <w:szCs w:val="24"/>
        </w:rPr>
        <w:t>c</w:t>
      </w:r>
      <w:r w:rsidR="00B8356D" w:rsidRPr="002744F0">
        <w:rPr>
          <w:noProof/>
          <w:szCs w:val="24"/>
        </w:rPr>
        <w:t>heck</w:t>
      </w:r>
      <w:r w:rsidRPr="002744F0">
        <w:rPr>
          <w:noProof/>
          <w:szCs w:val="24"/>
        </w:rPr>
        <w:t xml:space="preserve"> concluded that, although the legislation is largely fit for purpose, there is room for improvement in relation to tackling chemical pollution. The </w:t>
      </w:r>
      <w:r w:rsidR="00674DC4" w:rsidRPr="002744F0">
        <w:rPr>
          <w:noProof/>
          <w:szCs w:val="24"/>
        </w:rPr>
        <w:t>f</w:t>
      </w:r>
      <w:r w:rsidRPr="002744F0">
        <w:rPr>
          <w:noProof/>
          <w:szCs w:val="24"/>
        </w:rPr>
        <w:t xml:space="preserve">itness </w:t>
      </w:r>
      <w:r w:rsidR="00674DC4" w:rsidRPr="002744F0">
        <w:rPr>
          <w:noProof/>
          <w:szCs w:val="24"/>
        </w:rPr>
        <w:t>c</w:t>
      </w:r>
      <w:r w:rsidRPr="002744F0">
        <w:rPr>
          <w:noProof/>
          <w:szCs w:val="24"/>
        </w:rPr>
        <w:t xml:space="preserve">heck found that, overall, there are three reasons </w:t>
      </w:r>
      <w:r w:rsidR="00B8356D" w:rsidRPr="002744F0">
        <w:rPr>
          <w:noProof/>
          <w:szCs w:val="24"/>
        </w:rPr>
        <w:t>why only</w:t>
      </w:r>
      <w:r w:rsidRPr="002744F0">
        <w:rPr>
          <w:noProof/>
          <w:szCs w:val="24"/>
        </w:rPr>
        <w:t xml:space="preserve"> limited progress </w:t>
      </w:r>
      <w:r w:rsidR="00B8356D" w:rsidRPr="002744F0">
        <w:rPr>
          <w:noProof/>
          <w:szCs w:val="24"/>
        </w:rPr>
        <w:t xml:space="preserve">has been made </w:t>
      </w:r>
      <w:r w:rsidRPr="002744F0">
        <w:rPr>
          <w:noProof/>
          <w:szCs w:val="24"/>
        </w:rPr>
        <w:t xml:space="preserve">towards </w:t>
      </w:r>
      <w:r w:rsidR="00B8356D" w:rsidRPr="002744F0">
        <w:rPr>
          <w:noProof/>
          <w:szCs w:val="24"/>
        </w:rPr>
        <w:t xml:space="preserve">achieving </w:t>
      </w:r>
      <w:r w:rsidRPr="002744F0">
        <w:rPr>
          <w:noProof/>
          <w:szCs w:val="24"/>
        </w:rPr>
        <w:t xml:space="preserve">the overall objectives of the legislation: </w:t>
      </w:r>
    </w:p>
    <w:p w14:paraId="51A4DE52" w14:textId="77777777" w:rsidR="00674DC4" w:rsidRPr="002A2DB0" w:rsidRDefault="00B8356D" w:rsidP="002A2DB0">
      <w:pPr>
        <w:rPr>
          <w:noProof/>
          <w:szCs w:val="24"/>
        </w:rPr>
      </w:pPr>
      <w:r w:rsidRPr="002A2DB0">
        <w:rPr>
          <w:noProof/>
          <w:szCs w:val="24"/>
        </w:rPr>
        <w:t>inadequate</w:t>
      </w:r>
      <w:r w:rsidR="002821B9" w:rsidRPr="002A2DB0">
        <w:rPr>
          <w:noProof/>
          <w:szCs w:val="24"/>
        </w:rPr>
        <w:t xml:space="preserve"> integration of water objectives in</w:t>
      </w:r>
      <w:r w:rsidRPr="002A2DB0">
        <w:rPr>
          <w:noProof/>
          <w:szCs w:val="24"/>
        </w:rPr>
        <w:t>to</w:t>
      </w:r>
      <w:r w:rsidR="002821B9" w:rsidRPr="002A2DB0">
        <w:rPr>
          <w:noProof/>
          <w:szCs w:val="24"/>
        </w:rPr>
        <w:t xml:space="preserve"> other relevant policies</w:t>
      </w:r>
      <w:r w:rsidR="002D56EC" w:rsidRPr="002A2DB0">
        <w:rPr>
          <w:noProof/>
          <w:szCs w:val="24"/>
        </w:rPr>
        <w:t xml:space="preserve">; </w:t>
      </w:r>
    </w:p>
    <w:p w14:paraId="3CF1E3B4" w14:textId="77777777" w:rsidR="00674DC4" w:rsidRPr="002A2DB0" w:rsidRDefault="001210EA" w:rsidP="002A2DB0">
      <w:pPr>
        <w:rPr>
          <w:noProof/>
          <w:szCs w:val="24"/>
        </w:rPr>
      </w:pPr>
      <w:r w:rsidRPr="002A2DB0">
        <w:rPr>
          <w:noProof/>
          <w:szCs w:val="24"/>
        </w:rPr>
        <w:t>inadequate</w:t>
      </w:r>
      <w:r w:rsidR="002821B9" w:rsidRPr="002A2DB0">
        <w:rPr>
          <w:noProof/>
          <w:szCs w:val="24"/>
        </w:rPr>
        <w:t xml:space="preserve"> investment in Member States in water</w:t>
      </w:r>
      <w:r w:rsidR="00B8356D" w:rsidRPr="002A2DB0">
        <w:rPr>
          <w:noProof/>
          <w:szCs w:val="24"/>
        </w:rPr>
        <w:t>-</w:t>
      </w:r>
      <w:r w:rsidR="002821B9" w:rsidRPr="002A2DB0">
        <w:rPr>
          <w:noProof/>
          <w:szCs w:val="24"/>
        </w:rPr>
        <w:t>related projects and programmes</w:t>
      </w:r>
      <w:r w:rsidR="002D56EC" w:rsidRPr="002A2DB0">
        <w:rPr>
          <w:noProof/>
          <w:szCs w:val="24"/>
        </w:rPr>
        <w:t xml:space="preserve">; </w:t>
      </w:r>
    </w:p>
    <w:p w14:paraId="26B94A28" w14:textId="77777777" w:rsidR="00674DC4" w:rsidRPr="002A2DB0" w:rsidRDefault="001210EA" w:rsidP="002A2DB0">
      <w:pPr>
        <w:rPr>
          <w:noProof/>
          <w:szCs w:val="24"/>
        </w:rPr>
      </w:pPr>
      <w:r w:rsidRPr="002A2DB0">
        <w:rPr>
          <w:noProof/>
          <w:szCs w:val="24"/>
        </w:rPr>
        <w:t>inadequate</w:t>
      </w:r>
      <w:r w:rsidR="002821B9" w:rsidRPr="002A2DB0">
        <w:rPr>
          <w:noProof/>
          <w:szCs w:val="24"/>
        </w:rPr>
        <w:t xml:space="preserve"> implementation efforts. </w:t>
      </w:r>
    </w:p>
    <w:p w14:paraId="2D5EAB3C" w14:textId="77777777" w:rsidR="002821B9" w:rsidRDefault="002821B9" w:rsidP="00ED7B21">
      <w:pPr>
        <w:rPr>
          <w:noProof/>
          <w:szCs w:val="24"/>
        </w:rPr>
      </w:pPr>
      <w:r w:rsidRPr="002744F0">
        <w:rPr>
          <w:noProof/>
          <w:szCs w:val="24"/>
        </w:rPr>
        <w:t xml:space="preserve">As regards implementation, several deficits were highlighted in relation to chemical pollution: </w:t>
      </w:r>
      <w:r w:rsidR="00165CB1" w:rsidRPr="002744F0">
        <w:rPr>
          <w:noProof/>
          <w:szCs w:val="24"/>
        </w:rPr>
        <w:t>the</w:t>
      </w:r>
      <w:r w:rsidRPr="002744F0">
        <w:rPr>
          <w:noProof/>
          <w:szCs w:val="24"/>
        </w:rPr>
        <w:t xml:space="preserve"> large diversity in quality standards for </w:t>
      </w:r>
      <w:r w:rsidR="001210EA" w:rsidRPr="002744F0">
        <w:rPr>
          <w:noProof/>
          <w:szCs w:val="24"/>
        </w:rPr>
        <w:t>nationally</w:t>
      </w:r>
      <w:r w:rsidRPr="002744F0">
        <w:rPr>
          <w:noProof/>
          <w:szCs w:val="24"/>
        </w:rPr>
        <w:t xml:space="preserve"> relevant pollutants, the administrative burden </w:t>
      </w:r>
      <w:r w:rsidR="001210EA" w:rsidRPr="002744F0">
        <w:rPr>
          <w:noProof/>
          <w:szCs w:val="24"/>
        </w:rPr>
        <w:t>associated with reporting</w:t>
      </w:r>
      <w:r w:rsidR="002D56EC" w:rsidRPr="002744F0">
        <w:rPr>
          <w:noProof/>
          <w:szCs w:val="24"/>
        </w:rPr>
        <w:t>,</w:t>
      </w:r>
      <w:r w:rsidR="00660305" w:rsidRPr="002744F0">
        <w:rPr>
          <w:noProof/>
          <w:szCs w:val="24"/>
        </w:rPr>
        <w:t xml:space="preserve"> </w:t>
      </w:r>
      <w:r w:rsidRPr="002744F0">
        <w:rPr>
          <w:noProof/>
          <w:szCs w:val="24"/>
        </w:rPr>
        <w:t>the lack of specificity and timeliness of reported information and the resource</w:t>
      </w:r>
      <w:r w:rsidR="00674DC4" w:rsidRPr="002744F0">
        <w:rPr>
          <w:noProof/>
          <w:szCs w:val="24"/>
        </w:rPr>
        <w:t>-</w:t>
      </w:r>
      <w:r w:rsidRPr="002744F0">
        <w:rPr>
          <w:noProof/>
          <w:szCs w:val="24"/>
        </w:rPr>
        <w:t xml:space="preserve">intensive, time-consuming process for updating the lists of pollutants. This proposal addresses these deficits. </w:t>
      </w:r>
      <w:r w:rsidR="001210EA" w:rsidRPr="002744F0">
        <w:rPr>
          <w:noProof/>
          <w:szCs w:val="24"/>
        </w:rPr>
        <w:t xml:space="preserve">In addition, it takes account of relevant findings from the </w:t>
      </w:r>
      <w:r w:rsidR="002D56EC" w:rsidRPr="002744F0">
        <w:rPr>
          <w:noProof/>
          <w:szCs w:val="24"/>
        </w:rPr>
        <w:t xml:space="preserve">2019 </w:t>
      </w:r>
      <w:r w:rsidR="00674DC4" w:rsidRPr="002744F0">
        <w:rPr>
          <w:noProof/>
          <w:szCs w:val="24"/>
        </w:rPr>
        <w:t>f</w:t>
      </w:r>
      <w:r w:rsidR="001210EA" w:rsidRPr="002744F0">
        <w:rPr>
          <w:noProof/>
          <w:szCs w:val="24"/>
        </w:rPr>
        <w:t xml:space="preserve">itness </w:t>
      </w:r>
      <w:r w:rsidR="00674DC4" w:rsidRPr="002744F0">
        <w:rPr>
          <w:noProof/>
          <w:szCs w:val="24"/>
        </w:rPr>
        <w:t>c</w:t>
      </w:r>
      <w:r w:rsidR="001210EA" w:rsidRPr="002744F0">
        <w:rPr>
          <w:noProof/>
          <w:szCs w:val="24"/>
        </w:rPr>
        <w:t xml:space="preserve">heck of the </w:t>
      </w:r>
      <w:r w:rsidR="00491B6E" w:rsidRPr="002744F0">
        <w:rPr>
          <w:noProof/>
          <w:szCs w:val="24"/>
        </w:rPr>
        <w:t>most relevant</w:t>
      </w:r>
      <w:r w:rsidR="001210EA" w:rsidRPr="002744F0">
        <w:rPr>
          <w:noProof/>
          <w:szCs w:val="24"/>
        </w:rPr>
        <w:t xml:space="preserve"> chemicals legislation</w:t>
      </w:r>
      <w:r w:rsidR="00662480" w:rsidRPr="002744F0">
        <w:rPr>
          <w:rStyle w:val="FootnoteReference"/>
          <w:noProof/>
          <w:szCs w:val="24"/>
        </w:rPr>
        <w:footnoteReference w:id="31"/>
      </w:r>
      <w:r w:rsidR="008747EB" w:rsidRPr="002744F0">
        <w:rPr>
          <w:noProof/>
          <w:szCs w:val="24"/>
        </w:rPr>
        <w:t xml:space="preserve"> and the</w:t>
      </w:r>
      <w:r w:rsidR="00491B6E" w:rsidRPr="002744F0">
        <w:rPr>
          <w:noProof/>
          <w:szCs w:val="24"/>
        </w:rPr>
        <w:t xml:space="preserve"> </w:t>
      </w:r>
      <w:r w:rsidR="00012BDA" w:rsidRPr="002744F0">
        <w:rPr>
          <w:noProof/>
          <w:szCs w:val="24"/>
        </w:rPr>
        <w:t xml:space="preserve">commitments made in the </w:t>
      </w:r>
      <w:r w:rsidR="00491B6E" w:rsidRPr="002744F0">
        <w:rPr>
          <w:noProof/>
          <w:szCs w:val="24"/>
        </w:rPr>
        <w:t>Chemicals Strategy for Sustainability</w:t>
      </w:r>
      <w:r w:rsidR="001210EA" w:rsidRPr="002744F0">
        <w:rPr>
          <w:noProof/>
          <w:szCs w:val="24"/>
        </w:rPr>
        <w:t>.</w:t>
      </w:r>
      <w:r w:rsidR="00777F0A" w:rsidRPr="002744F0">
        <w:rPr>
          <w:noProof/>
          <w:szCs w:val="24"/>
        </w:rPr>
        <w:t xml:space="preserve"> </w:t>
      </w:r>
      <w:r w:rsidR="00BA7B14" w:rsidRPr="002744F0">
        <w:rPr>
          <w:noProof/>
          <w:szCs w:val="24"/>
        </w:rPr>
        <w:t>In particular</w:t>
      </w:r>
      <w:r w:rsidR="00777F0A" w:rsidRPr="002744F0">
        <w:rPr>
          <w:noProof/>
          <w:szCs w:val="24"/>
        </w:rPr>
        <w:t xml:space="preserve">, it takes a step towards more holistic </w:t>
      </w:r>
      <w:r w:rsidR="00BA7B14" w:rsidRPr="002744F0">
        <w:rPr>
          <w:noProof/>
          <w:szCs w:val="24"/>
        </w:rPr>
        <w:t xml:space="preserve">(mixture) </w:t>
      </w:r>
      <w:r w:rsidR="00777F0A" w:rsidRPr="002744F0">
        <w:rPr>
          <w:noProof/>
          <w:szCs w:val="24"/>
        </w:rPr>
        <w:t>monitoring by introducing the use of effect-based methods</w:t>
      </w:r>
      <w:r w:rsidR="00BA7B14" w:rsidRPr="002744F0">
        <w:rPr>
          <w:noProof/>
          <w:szCs w:val="24"/>
        </w:rPr>
        <w:t xml:space="preserve">, and includes provisions to improve the </w:t>
      </w:r>
      <w:r w:rsidR="00524235" w:rsidRPr="002744F0">
        <w:rPr>
          <w:noProof/>
          <w:szCs w:val="24"/>
        </w:rPr>
        <w:t xml:space="preserve">timeliness, </w:t>
      </w:r>
      <w:r w:rsidR="00BA7B14" w:rsidRPr="002744F0">
        <w:rPr>
          <w:noProof/>
          <w:szCs w:val="24"/>
        </w:rPr>
        <w:t xml:space="preserve">efficiency and coherence of </w:t>
      </w:r>
      <w:r w:rsidR="00012BDA" w:rsidRPr="002744F0">
        <w:rPr>
          <w:noProof/>
          <w:szCs w:val="24"/>
        </w:rPr>
        <w:t xml:space="preserve">hazard and </w:t>
      </w:r>
      <w:r w:rsidR="00BA7B14" w:rsidRPr="002744F0">
        <w:rPr>
          <w:noProof/>
          <w:szCs w:val="24"/>
        </w:rPr>
        <w:t>risk assessment</w:t>
      </w:r>
      <w:r w:rsidR="007D72A7" w:rsidRPr="002744F0">
        <w:rPr>
          <w:noProof/>
          <w:szCs w:val="24"/>
        </w:rPr>
        <w:t xml:space="preserve"> (</w:t>
      </w:r>
      <w:r w:rsidR="00524235" w:rsidRPr="002744F0">
        <w:rPr>
          <w:noProof/>
          <w:szCs w:val="24"/>
        </w:rPr>
        <w:t xml:space="preserve">for example </w:t>
      </w:r>
      <w:r w:rsidR="007D72A7" w:rsidRPr="002744F0">
        <w:rPr>
          <w:noProof/>
          <w:szCs w:val="24"/>
        </w:rPr>
        <w:t>by facili</w:t>
      </w:r>
      <w:r w:rsidR="00660305" w:rsidRPr="002744F0">
        <w:rPr>
          <w:noProof/>
          <w:szCs w:val="24"/>
        </w:rPr>
        <w:t>t</w:t>
      </w:r>
      <w:r w:rsidR="007D72A7" w:rsidRPr="002744F0">
        <w:rPr>
          <w:noProof/>
          <w:szCs w:val="24"/>
        </w:rPr>
        <w:t xml:space="preserve">ating data-sharing and </w:t>
      </w:r>
      <w:r w:rsidR="00165CB1" w:rsidRPr="002744F0">
        <w:rPr>
          <w:noProof/>
          <w:szCs w:val="24"/>
        </w:rPr>
        <w:t xml:space="preserve">the </w:t>
      </w:r>
      <w:r w:rsidR="007D72A7" w:rsidRPr="002744F0">
        <w:rPr>
          <w:noProof/>
          <w:szCs w:val="24"/>
        </w:rPr>
        <w:t xml:space="preserve">application of the </w:t>
      </w:r>
      <w:r w:rsidR="00674DC4" w:rsidRPr="002744F0">
        <w:rPr>
          <w:noProof/>
          <w:szCs w:val="24"/>
        </w:rPr>
        <w:t>‘</w:t>
      </w:r>
      <w:r w:rsidR="007D72A7" w:rsidRPr="002744F0">
        <w:rPr>
          <w:noProof/>
          <w:szCs w:val="24"/>
        </w:rPr>
        <w:t>one</w:t>
      </w:r>
      <w:r w:rsidR="008D062D" w:rsidRPr="002744F0">
        <w:rPr>
          <w:noProof/>
          <w:szCs w:val="24"/>
        </w:rPr>
        <w:t xml:space="preserve"> </w:t>
      </w:r>
      <w:r w:rsidR="007D72A7" w:rsidRPr="002744F0">
        <w:rPr>
          <w:noProof/>
          <w:szCs w:val="24"/>
        </w:rPr>
        <w:t>substance, one</w:t>
      </w:r>
      <w:r w:rsidR="008D062D" w:rsidRPr="002744F0">
        <w:rPr>
          <w:noProof/>
          <w:szCs w:val="24"/>
        </w:rPr>
        <w:t xml:space="preserve"> </w:t>
      </w:r>
      <w:r w:rsidR="007D72A7" w:rsidRPr="002744F0">
        <w:rPr>
          <w:noProof/>
          <w:szCs w:val="24"/>
        </w:rPr>
        <w:t>assessment</w:t>
      </w:r>
      <w:r w:rsidR="00674DC4" w:rsidRPr="002744F0">
        <w:rPr>
          <w:noProof/>
          <w:szCs w:val="24"/>
        </w:rPr>
        <w:t>’</w:t>
      </w:r>
      <w:r w:rsidR="007D72A7" w:rsidRPr="002744F0">
        <w:rPr>
          <w:noProof/>
          <w:szCs w:val="24"/>
        </w:rPr>
        <w:t xml:space="preserve"> approach)</w:t>
      </w:r>
      <w:r w:rsidR="00BA7B14" w:rsidRPr="002744F0">
        <w:rPr>
          <w:noProof/>
          <w:szCs w:val="24"/>
        </w:rPr>
        <w:t>.</w:t>
      </w:r>
    </w:p>
    <w:p w14:paraId="23DBFA4F" w14:textId="77777777" w:rsidR="00F95EEA" w:rsidRPr="002A2DB0" w:rsidRDefault="00F95EEA" w:rsidP="002A2DB0">
      <w:pPr>
        <w:rPr>
          <w:b/>
          <w:noProof/>
        </w:rPr>
      </w:pPr>
      <w:r w:rsidRPr="002A2DB0">
        <w:rPr>
          <w:b/>
          <w:noProof/>
        </w:rPr>
        <w:t>Regulatory fitness and simplification (REFIT)</w:t>
      </w:r>
    </w:p>
    <w:p w14:paraId="491E768D" w14:textId="6CFA3E83" w:rsidR="00F95EEA" w:rsidRPr="009D7B18" w:rsidRDefault="00F95EEA" w:rsidP="00F95EEA">
      <w:pPr>
        <w:rPr>
          <w:noProof/>
        </w:rPr>
      </w:pPr>
      <w:r w:rsidRPr="009D7B18">
        <w:rPr>
          <w:noProof/>
        </w:rPr>
        <w:t>The Impact Assessment considered options for simplification and burden reduction. The removal of substances, from the list of surface water pollutants, cons</w:t>
      </w:r>
      <w:r w:rsidR="006B2571">
        <w:rPr>
          <w:noProof/>
        </w:rPr>
        <w:t>t</w:t>
      </w:r>
      <w:r w:rsidRPr="009D7B18">
        <w:rPr>
          <w:noProof/>
        </w:rPr>
        <w:t xml:space="preserve">itutes a limited reduction of burden, as does changing the revision of the watchlist </w:t>
      </w:r>
      <w:r w:rsidR="006B2571">
        <w:rPr>
          <w:noProof/>
        </w:rPr>
        <w:t xml:space="preserve">to </w:t>
      </w:r>
      <w:r w:rsidRPr="009D7B18">
        <w:rPr>
          <w:noProof/>
        </w:rPr>
        <w:t>every three years rather than two, and the revision of the lists of surface water and groundwater pollutants through delegated acts rather than through co-decision. The creation of an automatic data delivery mechanism under WFD and EQSD will reduce reporting burden on the Member States, as will the abolition of the interim report on the programme of measures under Article 15(3) of the WFD. Improving the existing guidelines for Effect</w:t>
      </w:r>
      <w:r w:rsidR="006B2571">
        <w:rPr>
          <w:noProof/>
        </w:rPr>
        <w:t>-</w:t>
      </w:r>
      <w:r w:rsidRPr="009D7B18">
        <w:rPr>
          <w:noProof/>
        </w:rPr>
        <w:t>Based Me</w:t>
      </w:r>
      <w:r w:rsidR="006B2571">
        <w:rPr>
          <w:noProof/>
        </w:rPr>
        <w:t>thods</w:t>
      </w:r>
      <w:r w:rsidRPr="009D7B18">
        <w:rPr>
          <w:noProof/>
        </w:rPr>
        <w:t xml:space="preserve"> and developing a harmonised metho</w:t>
      </w:r>
      <w:r w:rsidR="006B2571">
        <w:rPr>
          <w:noProof/>
        </w:rPr>
        <w:t>do</w:t>
      </w:r>
      <w:r w:rsidRPr="009D7B18">
        <w:rPr>
          <w:noProof/>
        </w:rPr>
        <w:t>logy for monitoring microplastics will simplify Member States’ work in these areas.</w:t>
      </w:r>
    </w:p>
    <w:p w14:paraId="30B6CE80" w14:textId="77777777" w:rsidR="00F95EEA" w:rsidRPr="009D7B18" w:rsidRDefault="00F95EEA" w:rsidP="00F95EEA">
      <w:pPr>
        <w:rPr>
          <w:noProof/>
        </w:rPr>
      </w:pPr>
      <w:r w:rsidRPr="009D7B18">
        <w:rPr>
          <w:noProof/>
        </w:rPr>
        <w:t xml:space="preserve">In developing the Impact Assessment, the basic characteristics of the SME-test have been applied and results noted in particular in section 6. SMEs are active in the production and use of the relevant pollutants. It should be noted that precise identification and quantification of impacts is generally not possible due to the fact that impact will depend on measures that Member States take to achieve the objectives of the legislation. </w:t>
      </w:r>
    </w:p>
    <w:p w14:paraId="701CBEB7" w14:textId="77777777" w:rsidR="00F95EEA" w:rsidRPr="002A2DB0" w:rsidRDefault="00F95EEA" w:rsidP="002A2DB0">
      <w:pPr>
        <w:rPr>
          <w:b/>
          <w:noProof/>
        </w:rPr>
      </w:pPr>
      <w:r w:rsidRPr="002A2DB0">
        <w:rPr>
          <w:b/>
          <w:noProof/>
        </w:rPr>
        <w:t>Opinion of the Regulatory Scrutiny Board</w:t>
      </w:r>
    </w:p>
    <w:p w14:paraId="19CD77DB" w14:textId="2D0AEA54" w:rsidR="00F95EEA" w:rsidRPr="009D7B18" w:rsidRDefault="00F95EEA" w:rsidP="00F95EEA">
      <w:pPr>
        <w:autoSpaceDE w:val="0"/>
        <w:autoSpaceDN w:val="0"/>
        <w:adjustRightInd w:val="0"/>
        <w:spacing w:before="0" w:after="0"/>
        <w:rPr>
          <w:noProof/>
          <w:szCs w:val="24"/>
        </w:rPr>
      </w:pPr>
      <w:r w:rsidRPr="009D7B18">
        <w:rPr>
          <w:noProof/>
          <w:szCs w:val="24"/>
        </w:rPr>
        <w:t>The Regulatory Scrutiny Board issued, on 24 June 2022, a positive opi</w:t>
      </w:r>
      <w:r w:rsidR="006B2571">
        <w:rPr>
          <w:noProof/>
          <w:szCs w:val="24"/>
        </w:rPr>
        <w:t>ni</w:t>
      </w:r>
      <w:r w:rsidRPr="009D7B18">
        <w:rPr>
          <w:noProof/>
          <w:szCs w:val="24"/>
        </w:rPr>
        <w:t>on with reservations. It requested changes to rectify in particular three aspects: (1) the design of the options, which was considered to be overly complex and not bringing out clearly the key policy choices; (2) the impacts on SMEs and on citizens which were not considered to be analysed sufficiently, with the report not assessing how individual Member States may be affected; (3) the report was not considered to be clear about the order of magnitude of the expected impacts, not to critically assess the validity of the illustrative benefit and cost estimates and their relevance to the initiative, and the comparison of options not thought to be based on their effectiveness, efficiency and coherence.</w:t>
      </w:r>
    </w:p>
    <w:p w14:paraId="7A7BCC52" w14:textId="77777777" w:rsidR="00F95EEA" w:rsidRPr="009D7B18" w:rsidRDefault="00F95EEA" w:rsidP="00F95EEA">
      <w:pPr>
        <w:rPr>
          <w:noProof/>
        </w:rPr>
      </w:pPr>
      <w:r w:rsidRPr="009D7B18">
        <w:rPr>
          <w:noProof/>
          <w:szCs w:val="24"/>
        </w:rPr>
        <w:t>In response, the policy options have been simplified, by reducing the number of options and aggregating options. The impacts on SMEs have been developed further throughout the text, as was information on impacts on consumers and on Member States. The interpretation of cost and benefit figures has been clarified to avoid the impression these can be interpretated as solely linked to this initiative. The text on One In, One Out has been completed. Finally the assessment of effectiveness, efficiency and coherence for the options has been added to the text.</w:t>
      </w:r>
    </w:p>
    <w:p w14:paraId="7A5A55BB" w14:textId="77777777" w:rsidR="0047629D" w:rsidRPr="002744F0" w:rsidRDefault="0047629D" w:rsidP="005C4F36">
      <w:pPr>
        <w:pStyle w:val="ManualHeading2"/>
        <w:rPr>
          <w:rFonts w:eastAsia="Arial Unicode MS"/>
          <w:noProof/>
          <w:u w:color="000000"/>
          <w:bdr w:val="nil"/>
          <w:lang w:eastAsia="en-GB"/>
        </w:rPr>
      </w:pPr>
      <w:r w:rsidRPr="002744F0">
        <w:rPr>
          <w:rFonts w:eastAsia="Arial Unicode MS"/>
          <w:noProof/>
          <w:u w:color="000000"/>
          <w:bdr w:val="nil"/>
          <w:lang w:eastAsia="en-GB"/>
        </w:rPr>
        <w:t>•</w:t>
      </w:r>
      <w:r w:rsidRPr="002744F0">
        <w:rPr>
          <w:rFonts w:eastAsia="Arial Unicode MS"/>
          <w:noProof/>
          <w:u w:color="000000"/>
          <w:bdr w:val="nil"/>
          <w:lang w:eastAsia="en-GB"/>
        </w:rPr>
        <w:tab/>
        <w:t>Stakeholder consultations</w:t>
      </w:r>
    </w:p>
    <w:p w14:paraId="7697CF28" w14:textId="77777777" w:rsidR="00674DC4" w:rsidRPr="002744F0" w:rsidRDefault="002821B9" w:rsidP="005C4F36">
      <w:pPr>
        <w:pBdr>
          <w:top w:val="nil"/>
          <w:left w:val="nil"/>
          <w:bottom w:val="nil"/>
          <w:right w:val="nil"/>
          <w:between w:val="nil"/>
          <w:bar w:val="nil"/>
        </w:pBdr>
        <w:spacing w:before="0" w:after="240"/>
        <w:rPr>
          <w:noProof/>
        </w:rPr>
      </w:pPr>
      <w:r w:rsidRPr="002744F0">
        <w:rPr>
          <w:noProof/>
        </w:rPr>
        <w:t xml:space="preserve">Extensive stakeholder consultation took place </w:t>
      </w:r>
      <w:r w:rsidR="00E12E7F" w:rsidRPr="002744F0">
        <w:rPr>
          <w:noProof/>
        </w:rPr>
        <w:t>to support the</w:t>
      </w:r>
      <w:r w:rsidRPr="002744F0">
        <w:rPr>
          <w:noProof/>
        </w:rPr>
        <w:t xml:space="preserve"> preparation of this proposal. Based on the Commission’s Better Regulation guidelines, both an </w:t>
      </w:r>
      <w:r w:rsidR="00674DC4" w:rsidRPr="002744F0">
        <w:rPr>
          <w:noProof/>
        </w:rPr>
        <w:t>o</w:t>
      </w:r>
      <w:r w:rsidRPr="002744F0">
        <w:rPr>
          <w:noProof/>
        </w:rPr>
        <w:t xml:space="preserve">pen </w:t>
      </w:r>
      <w:r w:rsidR="00674DC4" w:rsidRPr="002744F0">
        <w:rPr>
          <w:noProof/>
        </w:rPr>
        <w:t>p</w:t>
      </w:r>
      <w:r w:rsidRPr="002744F0">
        <w:rPr>
          <w:noProof/>
        </w:rPr>
        <w:t xml:space="preserve">ublic </w:t>
      </w:r>
      <w:r w:rsidR="00674DC4" w:rsidRPr="002744F0">
        <w:rPr>
          <w:noProof/>
        </w:rPr>
        <w:t>c</w:t>
      </w:r>
      <w:r w:rsidRPr="002744F0">
        <w:rPr>
          <w:noProof/>
        </w:rPr>
        <w:t xml:space="preserve">onsultation and an </w:t>
      </w:r>
      <w:r w:rsidR="00674DC4" w:rsidRPr="002744F0">
        <w:rPr>
          <w:noProof/>
        </w:rPr>
        <w:t>e</w:t>
      </w:r>
      <w:r w:rsidRPr="002744F0">
        <w:rPr>
          <w:noProof/>
        </w:rPr>
        <w:t xml:space="preserve">xpert </w:t>
      </w:r>
      <w:r w:rsidR="00674DC4" w:rsidRPr="002744F0">
        <w:rPr>
          <w:noProof/>
        </w:rPr>
        <w:t>s</w:t>
      </w:r>
      <w:r w:rsidRPr="002744F0">
        <w:rPr>
          <w:noProof/>
        </w:rPr>
        <w:t xml:space="preserve">urvey took place in 2021, with results feeding into the </w:t>
      </w:r>
      <w:r w:rsidR="00674DC4" w:rsidRPr="002744F0">
        <w:rPr>
          <w:noProof/>
        </w:rPr>
        <w:t>i</w:t>
      </w:r>
      <w:r w:rsidRPr="002744F0">
        <w:rPr>
          <w:noProof/>
        </w:rPr>
        <w:t xml:space="preserve">mpact </w:t>
      </w:r>
      <w:r w:rsidR="00674DC4" w:rsidRPr="002744F0">
        <w:rPr>
          <w:noProof/>
        </w:rPr>
        <w:t>a</w:t>
      </w:r>
      <w:r w:rsidRPr="002744F0">
        <w:rPr>
          <w:noProof/>
        </w:rPr>
        <w:t xml:space="preserve">ssessment for this proposal. The permanent network of Member States and stakeholders supporting the implementation of the WFD and </w:t>
      </w:r>
      <w:r w:rsidR="00E12E7F" w:rsidRPr="002744F0">
        <w:rPr>
          <w:noProof/>
        </w:rPr>
        <w:t>its daughter directives</w:t>
      </w:r>
      <w:r w:rsidRPr="002744F0">
        <w:rPr>
          <w:noProof/>
        </w:rPr>
        <w:t xml:space="preserve"> was kept informed</w:t>
      </w:r>
      <w:r w:rsidR="00E12E7F" w:rsidRPr="002744F0">
        <w:rPr>
          <w:noProof/>
        </w:rPr>
        <w:t>,</w:t>
      </w:r>
      <w:r w:rsidRPr="002744F0">
        <w:rPr>
          <w:noProof/>
        </w:rPr>
        <w:t xml:space="preserve"> and in particular </w:t>
      </w:r>
      <w:r w:rsidR="002D56EC" w:rsidRPr="002744F0">
        <w:rPr>
          <w:noProof/>
        </w:rPr>
        <w:t xml:space="preserve">the </w:t>
      </w:r>
      <w:r w:rsidR="00E12E7F" w:rsidRPr="002744F0">
        <w:rPr>
          <w:noProof/>
        </w:rPr>
        <w:t>W</w:t>
      </w:r>
      <w:r w:rsidRPr="002744F0">
        <w:rPr>
          <w:noProof/>
        </w:rPr>
        <w:t xml:space="preserve">orking </w:t>
      </w:r>
      <w:r w:rsidR="00E12E7F" w:rsidRPr="002744F0">
        <w:rPr>
          <w:noProof/>
        </w:rPr>
        <w:t>G</w:t>
      </w:r>
      <w:r w:rsidRPr="002744F0">
        <w:rPr>
          <w:noProof/>
        </w:rPr>
        <w:t xml:space="preserve">roups </w:t>
      </w:r>
      <w:r w:rsidR="00E12E7F" w:rsidRPr="002744F0">
        <w:rPr>
          <w:noProof/>
        </w:rPr>
        <w:t xml:space="preserve">on </w:t>
      </w:r>
      <w:r w:rsidRPr="002744F0">
        <w:rPr>
          <w:noProof/>
        </w:rPr>
        <w:t xml:space="preserve">Chemicals and Groundwater </w:t>
      </w:r>
      <w:r w:rsidR="00E12E7F" w:rsidRPr="002744F0">
        <w:rPr>
          <w:noProof/>
        </w:rPr>
        <w:t>were</w:t>
      </w:r>
      <w:r w:rsidRPr="002744F0">
        <w:rPr>
          <w:noProof/>
        </w:rPr>
        <w:t xml:space="preserve"> consulted ex</w:t>
      </w:r>
      <w:r w:rsidR="00E12E7F" w:rsidRPr="002744F0">
        <w:rPr>
          <w:noProof/>
        </w:rPr>
        <w:t>t</w:t>
      </w:r>
      <w:r w:rsidRPr="002744F0">
        <w:rPr>
          <w:noProof/>
        </w:rPr>
        <w:t xml:space="preserve">ensively. </w:t>
      </w:r>
    </w:p>
    <w:p w14:paraId="38F324D9" w14:textId="16CC72CF" w:rsidR="002821B9" w:rsidRPr="002744F0" w:rsidRDefault="00E12E7F" w:rsidP="005C4F36">
      <w:pPr>
        <w:pBdr>
          <w:top w:val="nil"/>
          <w:left w:val="nil"/>
          <w:bottom w:val="nil"/>
          <w:right w:val="nil"/>
          <w:between w:val="nil"/>
          <w:bar w:val="nil"/>
        </w:pBdr>
        <w:spacing w:before="0" w:after="240"/>
        <w:rPr>
          <w:noProof/>
        </w:rPr>
      </w:pPr>
      <w:r w:rsidRPr="002744F0">
        <w:rPr>
          <w:noProof/>
        </w:rPr>
        <w:t>For</w:t>
      </w:r>
      <w:r w:rsidR="002821B9" w:rsidRPr="002744F0">
        <w:rPr>
          <w:noProof/>
        </w:rPr>
        <w:t xml:space="preserve"> the individual substances and groups of substances</w:t>
      </w:r>
      <w:r w:rsidRPr="002744F0">
        <w:rPr>
          <w:noProof/>
        </w:rPr>
        <w:t xml:space="preserve"> identified for listing as </w:t>
      </w:r>
      <w:r w:rsidR="00DD116D" w:rsidRPr="002744F0">
        <w:rPr>
          <w:noProof/>
        </w:rPr>
        <w:t>surface water pollutants</w:t>
      </w:r>
      <w:r w:rsidR="002821B9" w:rsidRPr="002744F0">
        <w:rPr>
          <w:noProof/>
        </w:rPr>
        <w:t xml:space="preserve">, extensive technical dossiers </w:t>
      </w:r>
      <w:r w:rsidRPr="002744F0">
        <w:rPr>
          <w:noProof/>
        </w:rPr>
        <w:t>were</w:t>
      </w:r>
      <w:r w:rsidR="002821B9" w:rsidRPr="002744F0">
        <w:rPr>
          <w:noProof/>
        </w:rPr>
        <w:t xml:space="preserve"> prepared by the Commission’s Joint Research Centre</w:t>
      </w:r>
      <w:r w:rsidR="009173F6" w:rsidRPr="002744F0">
        <w:rPr>
          <w:noProof/>
        </w:rPr>
        <w:t xml:space="preserve"> (JRC)</w:t>
      </w:r>
      <w:r w:rsidR="002821B9" w:rsidRPr="002744F0">
        <w:rPr>
          <w:noProof/>
        </w:rPr>
        <w:t xml:space="preserve">, </w:t>
      </w:r>
      <w:r w:rsidRPr="002744F0">
        <w:rPr>
          <w:noProof/>
        </w:rPr>
        <w:t>supported by</w:t>
      </w:r>
      <w:r w:rsidR="002821B9" w:rsidRPr="002744F0">
        <w:rPr>
          <w:noProof/>
        </w:rPr>
        <w:t xml:space="preserve"> </w:t>
      </w:r>
      <w:r w:rsidRPr="002744F0">
        <w:rPr>
          <w:noProof/>
        </w:rPr>
        <w:t>sub-</w:t>
      </w:r>
      <w:r w:rsidR="002821B9" w:rsidRPr="002744F0">
        <w:rPr>
          <w:noProof/>
        </w:rPr>
        <w:t xml:space="preserve">groups of Member State and stakeholder </w:t>
      </w:r>
      <w:r w:rsidRPr="002744F0">
        <w:rPr>
          <w:noProof/>
        </w:rPr>
        <w:t>experts</w:t>
      </w:r>
      <w:r w:rsidR="002821B9" w:rsidRPr="002744F0">
        <w:rPr>
          <w:noProof/>
        </w:rPr>
        <w:t xml:space="preserve">. Finally, as part of the review by the </w:t>
      </w:r>
      <w:r w:rsidR="00ED7B21" w:rsidRPr="002744F0">
        <w:rPr>
          <w:noProof/>
        </w:rPr>
        <w:t>Scientific Committee on Health, Environmental and Emerging Risks (SCHEER)</w:t>
      </w:r>
      <w:r w:rsidR="002821B9" w:rsidRPr="002744F0">
        <w:rPr>
          <w:noProof/>
        </w:rPr>
        <w:t xml:space="preserve">, </w:t>
      </w:r>
      <w:r w:rsidR="00F95EEA">
        <w:rPr>
          <w:noProof/>
        </w:rPr>
        <w:t>preliminary</w:t>
      </w:r>
      <w:r w:rsidR="00F95EEA" w:rsidRPr="002744F0">
        <w:rPr>
          <w:noProof/>
        </w:rPr>
        <w:t xml:space="preserve"> </w:t>
      </w:r>
      <w:r w:rsidR="002821B9" w:rsidRPr="002744F0">
        <w:rPr>
          <w:noProof/>
        </w:rPr>
        <w:t xml:space="preserve">opinions were published </w:t>
      </w:r>
      <w:r w:rsidR="00C13311">
        <w:rPr>
          <w:noProof/>
        </w:rPr>
        <w:t xml:space="preserve">(while observing a </w:t>
      </w:r>
      <w:r w:rsidR="002821B9" w:rsidRPr="002744F0">
        <w:rPr>
          <w:noProof/>
        </w:rPr>
        <w:t>fo</w:t>
      </w:r>
      <w:r w:rsidR="00C13311">
        <w:rPr>
          <w:noProof/>
        </w:rPr>
        <w:t>u</w:t>
      </w:r>
      <w:r w:rsidR="002821B9" w:rsidRPr="002744F0">
        <w:rPr>
          <w:noProof/>
        </w:rPr>
        <w:t>r</w:t>
      </w:r>
      <w:r w:rsidR="00C13311">
        <w:rPr>
          <w:noProof/>
        </w:rPr>
        <w:t xml:space="preserve"> week</w:t>
      </w:r>
      <w:r w:rsidR="002821B9" w:rsidRPr="002744F0">
        <w:rPr>
          <w:noProof/>
        </w:rPr>
        <w:t xml:space="preserve"> </w:t>
      </w:r>
      <w:r w:rsidR="00C13311" w:rsidRPr="00C13311">
        <w:rPr>
          <w:noProof/>
        </w:rPr>
        <w:t xml:space="preserve">commenting </w:t>
      </w:r>
      <w:r w:rsidR="00C13311">
        <w:rPr>
          <w:noProof/>
        </w:rPr>
        <w:t xml:space="preserve">during </w:t>
      </w:r>
      <w:r w:rsidR="00C13311" w:rsidRPr="00C13311">
        <w:rPr>
          <w:noProof/>
        </w:rPr>
        <w:t>period</w:t>
      </w:r>
      <w:r w:rsidR="00C13311">
        <w:rPr>
          <w:noProof/>
        </w:rPr>
        <w:t>)</w:t>
      </w:r>
      <w:r w:rsidR="002821B9" w:rsidRPr="002744F0">
        <w:rPr>
          <w:noProof/>
        </w:rPr>
        <w:t>, with results feeding into the SCHEER opinion.</w:t>
      </w:r>
      <w:r w:rsidR="00AA0600" w:rsidRPr="002744F0">
        <w:rPr>
          <w:noProof/>
        </w:rPr>
        <w:t xml:space="preserve"> For a </w:t>
      </w:r>
      <w:r w:rsidR="000A5ED7" w:rsidRPr="002744F0">
        <w:rPr>
          <w:noProof/>
        </w:rPr>
        <w:t>few</w:t>
      </w:r>
      <w:r w:rsidR="002B3EF5" w:rsidRPr="002744F0">
        <w:rPr>
          <w:noProof/>
        </w:rPr>
        <w:t xml:space="preserve"> substances, </w:t>
      </w:r>
      <w:r w:rsidR="00AA0600" w:rsidRPr="002744F0">
        <w:rPr>
          <w:noProof/>
        </w:rPr>
        <w:t xml:space="preserve">the </w:t>
      </w:r>
      <w:r w:rsidR="002B3EF5" w:rsidRPr="002744F0">
        <w:rPr>
          <w:noProof/>
        </w:rPr>
        <w:t>review is not finalised</w:t>
      </w:r>
      <w:r w:rsidR="000A5ED7" w:rsidRPr="002744F0">
        <w:rPr>
          <w:noProof/>
        </w:rPr>
        <w:t>. T</w:t>
      </w:r>
      <w:r w:rsidR="002B3EF5" w:rsidRPr="002744F0">
        <w:rPr>
          <w:noProof/>
        </w:rPr>
        <w:t xml:space="preserve">he proposed values have therefore been marked as ‘subject to confirmation </w:t>
      </w:r>
      <w:r w:rsidR="006B2571" w:rsidRPr="006B2571">
        <w:rPr>
          <w:noProof/>
        </w:rPr>
        <w:t xml:space="preserve">in the light of the opinion requested from </w:t>
      </w:r>
      <w:r w:rsidR="002B3EF5" w:rsidRPr="002744F0">
        <w:rPr>
          <w:noProof/>
        </w:rPr>
        <w:t xml:space="preserve">the </w:t>
      </w:r>
      <w:r w:rsidR="00AA0600" w:rsidRPr="002744F0">
        <w:rPr>
          <w:noProof/>
        </w:rPr>
        <w:t>SCHEER</w:t>
      </w:r>
      <w:r w:rsidR="002B3EF5" w:rsidRPr="002744F0">
        <w:rPr>
          <w:noProof/>
        </w:rPr>
        <w:t xml:space="preserve">’. All final proposed values will be fully </w:t>
      </w:r>
      <w:r w:rsidR="00C13311" w:rsidRPr="002744F0">
        <w:rPr>
          <w:noProof/>
        </w:rPr>
        <w:t>consistent</w:t>
      </w:r>
      <w:r w:rsidR="00674DC4" w:rsidRPr="002744F0">
        <w:rPr>
          <w:noProof/>
        </w:rPr>
        <w:t xml:space="preserve"> with</w:t>
      </w:r>
      <w:r w:rsidR="002D56EC" w:rsidRPr="002744F0">
        <w:rPr>
          <w:noProof/>
        </w:rPr>
        <w:t xml:space="preserve"> </w:t>
      </w:r>
      <w:r w:rsidR="002B3EF5" w:rsidRPr="002744F0">
        <w:rPr>
          <w:noProof/>
        </w:rPr>
        <w:t xml:space="preserve">the scientific advice.   </w:t>
      </w:r>
    </w:p>
    <w:p w14:paraId="62D96149" w14:textId="77777777" w:rsidR="0047629D" w:rsidRPr="002744F0" w:rsidRDefault="0047629D" w:rsidP="005C4F36">
      <w:pPr>
        <w:pStyle w:val="ManualHeading2"/>
        <w:rPr>
          <w:rFonts w:eastAsia="Arial Unicode MS"/>
          <w:noProof/>
          <w:u w:color="000000"/>
          <w:bdr w:val="nil"/>
          <w:lang w:eastAsia="en-GB"/>
        </w:rPr>
      </w:pPr>
      <w:r w:rsidRPr="002744F0">
        <w:rPr>
          <w:rFonts w:eastAsia="Arial Unicode MS"/>
          <w:noProof/>
          <w:u w:color="000000"/>
          <w:bdr w:val="nil"/>
          <w:lang w:eastAsia="en-GB"/>
        </w:rPr>
        <w:t>•</w:t>
      </w:r>
      <w:r w:rsidRPr="002744F0">
        <w:rPr>
          <w:rFonts w:eastAsia="Arial Unicode MS"/>
          <w:noProof/>
          <w:u w:color="000000"/>
          <w:bdr w:val="nil"/>
          <w:lang w:eastAsia="en-GB"/>
        </w:rPr>
        <w:tab/>
        <w:t>Collection and use of expertise</w:t>
      </w:r>
    </w:p>
    <w:p w14:paraId="48762029" w14:textId="77777777" w:rsidR="0047629D" w:rsidRPr="002744F0" w:rsidRDefault="00290AB6" w:rsidP="00ED7B21">
      <w:pPr>
        <w:pStyle w:val="Text1"/>
        <w:ind w:left="0"/>
        <w:rPr>
          <w:rFonts w:eastAsia="Arial Unicode MS"/>
          <w:noProof/>
        </w:rPr>
      </w:pPr>
      <w:r w:rsidRPr="002744F0">
        <w:rPr>
          <w:noProof/>
          <w:lang w:eastAsia="en-GB"/>
        </w:rPr>
        <w:t xml:space="preserve">Internal expertise was provided by the </w:t>
      </w:r>
      <w:r w:rsidR="009173F6" w:rsidRPr="002744F0">
        <w:rPr>
          <w:noProof/>
          <w:lang w:eastAsia="en-GB"/>
        </w:rPr>
        <w:t>JRC</w:t>
      </w:r>
      <w:r w:rsidRPr="002744F0">
        <w:rPr>
          <w:noProof/>
          <w:lang w:eastAsia="en-GB"/>
        </w:rPr>
        <w:t>, in particular for the selection of surface water pollutants and the</w:t>
      </w:r>
      <w:r w:rsidR="009173F6" w:rsidRPr="002744F0">
        <w:rPr>
          <w:noProof/>
          <w:lang w:eastAsia="en-GB"/>
        </w:rPr>
        <w:t xml:space="preserve"> derivation of</w:t>
      </w:r>
      <w:r w:rsidRPr="002744F0">
        <w:rPr>
          <w:noProof/>
          <w:lang w:eastAsia="en-GB"/>
        </w:rPr>
        <w:t xml:space="preserve"> </w:t>
      </w:r>
      <w:r w:rsidR="009173F6" w:rsidRPr="002744F0">
        <w:rPr>
          <w:noProof/>
          <w:lang w:eastAsia="en-GB"/>
        </w:rPr>
        <w:t>environmental quality standards (EQS)</w:t>
      </w:r>
      <w:r w:rsidRPr="002744F0">
        <w:rPr>
          <w:noProof/>
          <w:lang w:eastAsia="en-GB"/>
        </w:rPr>
        <w:t xml:space="preserve">. </w:t>
      </w:r>
      <w:r w:rsidR="00F9077B" w:rsidRPr="002744F0">
        <w:rPr>
          <w:noProof/>
          <w:lang w:eastAsia="en-GB"/>
        </w:rPr>
        <w:t>External t</w:t>
      </w:r>
      <w:r w:rsidR="009173F6" w:rsidRPr="002744F0">
        <w:rPr>
          <w:noProof/>
          <w:lang w:eastAsia="en-GB"/>
        </w:rPr>
        <w:t xml:space="preserve">echnical expertise, </w:t>
      </w:r>
      <w:r w:rsidR="00674DC4" w:rsidRPr="002744F0">
        <w:rPr>
          <w:noProof/>
          <w:lang w:eastAsia="en-GB"/>
        </w:rPr>
        <w:t>including</w:t>
      </w:r>
      <w:r w:rsidR="009173F6" w:rsidRPr="002744F0">
        <w:rPr>
          <w:noProof/>
          <w:lang w:eastAsia="en-GB"/>
        </w:rPr>
        <w:t xml:space="preserve"> on groundwater pollutants, was </w:t>
      </w:r>
      <w:r w:rsidR="00674DC4" w:rsidRPr="002744F0">
        <w:rPr>
          <w:noProof/>
          <w:lang w:eastAsia="en-GB"/>
        </w:rPr>
        <w:t>provided</w:t>
      </w:r>
      <w:r w:rsidR="009173F6" w:rsidRPr="002744F0">
        <w:rPr>
          <w:noProof/>
          <w:lang w:eastAsia="en-GB"/>
        </w:rPr>
        <w:t xml:space="preserve"> by experts from the Chemicals and Groundwater Working Groups. </w:t>
      </w:r>
      <w:r w:rsidR="002821B9" w:rsidRPr="002744F0">
        <w:rPr>
          <w:noProof/>
          <w:lang w:eastAsia="en-GB"/>
        </w:rPr>
        <w:t>The Commission</w:t>
      </w:r>
      <w:r w:rsidRPr="002744F0">
        <w:rPr>
          <w:noProof/>
          <w:lang w:eastAsia="en-GB"/>
        </w:rPr>
        <w:t>’s impact assessment</w:t>
      </w:r>
      <w:r w:rsidR="002821B9" w:rsidRPr="002744F0">
        <w:rPr>
          <w:noProof/>
          <w:lang w:eastAsia="en-GB"/>
        </w:rPr>
        <w:t xml:space="preserve"> was supported by a study prepared by external consultants, </w:t>
      </w:r>
      <w:r w:rsidR="001D350A" w:rsidRPr="002744F0">
        <w:rPr>
          <w:noProof/>
          <w:lang w:eastAsia="en-GB"/>
        </w:rPr>
        <w:t xml:space="preserve">which </w:t>
      </w:r>
      <w:r w:rsidR="002821B9" w:rsidRPr="002744F0">
        <w:rPr>
          <w:noProof/>
          <w:lang w:eastAsia="en-GB"/>
        </w:rPr>
        <w:t>review</w:t>
      </w:r>
      <w:r w:rsidR="001D350A" w:rsidRPr="002744F0">
        <w:rPr>
          <w:noProof/>
          <w:lang w:eastAsia="en-GB"/>
        </w:rPr>
        <w:t>ed</w:t>
      </w:r>
      <w:r w:rsidR="002821B9" w:rsidRPr="002744F0">
        <w:rPr>
          <w:noProof/>
          <w:lang w:eastAsia="en-GB"/>
        </w:rPr>
        <w:t xml:space="preserve"> </w:t>
      </w:r>
      <w:r w:rsidR="001D350A" w:rsidRPr="002744F0">
        <w:rPr>
          <w:noProof/>
          <w:lang w:eastAsia="en-GB"/>
        </w:rPr>
        <w:t xml:space="preserve">the </w:t>
      </w:r>
      <w:r w:rsidR="002821B9" w:rsidRPr="002744F0">
        <w:rPr>
          <w:noProof/>
          <w:lang w:eastAsia="en-GB"/>
        </w:rPr>
        <w:t>economic</w:t>
      </w:r>
      <w:r w:rsidR="00B074EB" w:rsidRPr="002744F0">
        <w:rPr>
          <w:noProof/>
          <w:lang w:eastAsia="en-GB"/>
        </w:rPr>
        <w:t>, social</w:t>
      </w:r>
      <w:r w:rsidR="002821B9" w:rsidRPr="002744F0">
        <w:rPr>
          <w:noProof/>
          <w:lang w:eastAsia="en-GB"/>
        </w:rPr>
        <w:t xml:space="preserve"> and environmental impacts of a range of potential policy options, </w:t>
      </w:r>
      <w:r w:rsidRPr="002744F0">
        <w:rPr>
          <w:noProof/>
          <w:lang w:eastAsia="en-GB"/>
        </w:rPr>
        <w:t>taking account of</w:t>
      </w:r>
      <w:r w:rsidR="002821B9" w:rsidRPr="002744F0">
        <w:rPr>
          <w:noProof/>
          <w:lang w:eastAsia="en-GB"/>
        </w:rPr>
        <w:t xml:space="preserve"> the expected impacts of existing and planned policies at EU level </w:t>
      </w:r>
      <w:r w:rsidRPr="002744F0">
        <w:rPr>
          <w:noProof/>
          <w:lang w:eastAsia="en-GB"/>
        </w:rPr>
        <w:t>and inputs from</w:t>
      </w:r>
      <w:r w:rsidR="002821B9" w:rsidRPr="002744F0">
        <w:rPr>
          <w:noProof/>
          <w:lang w:eastAsia="en-GB"/>
        </w:rPr>
        <w:t xml:space="preserve"> stakeholders. </w:t>
      </w:r>
      <w:r w:rsidR="009173F6" w:rsidRPr="002744F0">
        <w:rPr>
          <w:noProof/>
          <w:lang w:eastAsia="en-GB"/>
        </w:rPr>
        <w:t>The JRC substance dossiers, reports from the Groundwater Working Group, the consultants’ study report</w:t>
      </w:r>
      <w:r w:rsidR="009B5BED" w:rsidRPr="002744F0">
        <w:rPr>
          <w:noProof/>
          <w:lang w:eastAsia="en-GB"/>
        </w:rPr>
        <w:t xml:space="preserve"> and stakeholder workshop reports</w:t>
      </w:r>
      <w:r w:rsidR="009173F6" w:rsidRPr="002744F0">
        <w:rPr>
          <w:noProof/>
          <w:lang w:eastAsia="en-GB"/>
        </w:rPr>
        <w:t xml:space="preserve"> are available in CIRCABC</w:t>
      </w:r>
      <w:r w:rsidR="009173F6" w:rsidRPr="002744F0">
        <w:rPr>
          <w:rStyle w:val="FootnoteReference"/>
          <w:noProof/>
          <w:lang w:eastAsia="en-GB"/>
        </w:rPr>
        <w:footnoteReference w:id="32"/>
      </w:r>
      <w:r w:rsidR="009173F6" w:rsidRPr="002744F0">
        <w:rPr>
          <w:noProof/>
          <w:lang w:eastAsia="en-GB"/>
        </w:rPr>
        <w:t>.</w:t>
      </w:r>
    </w:p>
    <w:p w14:paraId="76BC9B49" w14:textId="77777777" w:rsidR="00663424" w:rsidRPr="00DB0A7D" w:rsidRDefault="00663424" w:rsidP="00663424">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3C9E29EB" w14:textId="77777777" w:rsidR="000A5ED7" w:rsidRPr="002744F0" w:rsidRDefault="002821B9" w:rsidP="00C63E77">
      <w:pPr>
        <w:pBdr>
          <w:top w:val="nil"/>
          <w:left w:val="nil"/>
          <w:bottom w:val="nil"/>
          <w:right w:val="nil"/>
          <w:between w:val="nil"/>
          <w:bar w:val="nil"/>
        </w:pBdr>
        <w:spacing w:before="0" w:after="240"/>
        <w:rPr>
          <w:noProof/>
        </w:rPr>
      </w:pPr>
      <w:r w:rsidRPr="002744F0">
        <w:rPr>
          <w:noProof/>
        </w:rPr>
        <w:t xml:space="preserve">The </w:t>
      </w:r>
      <w:r w:rsidR="001D350A" w:rsidRPr="002744F0">
        <w:rPr>
          <w:noProof/>
        </w:rPr>
        <w:t>i</w:t>
      </w:r>
      <w:r w:rsidRPr="002744F0">
        <w:rPr>
          <w:noProof/>
        </w:rPr>
        <w:t xml:space="preserve">mpact assessment </w:t>
      </w:r>
      <w:r w:rsidR="001D350A" w:rsidRPr="002744F0">
        <w:rPr>
          <w:noProof/>
        </w:rPr>
        <w:t>examined</w:t>
      </w:r>
      <w:r w:rsidRPr="002744F0">
        <w:rPr>
          <w:noProof/>
        </w:rPr>
        <w:t xml:space="preserve"> </w:t>
      </w:r>
      <w:r w:rsidR="00037086" w:rsidRPr="002744F0">
        <w:rPr>
          <w:noProof/>
        </w:rPr>
        <w:t xml:space="preserve">the </w:t>
      </w:r>
      <w:r w:rsidRPr="002744F0">
        <w:rPr>
          <w:noProof/>
        </w:rPr>
        <w:t>three groups of options</w:t>
      </w:r>
      <w:r w:rsidR="00037086" w:rsidRPr="002744F0">
        <w:rPr>
          <w:noProof/>
        </w:rPr>
        <w:t>, i.e. options relating to surface waters, options relating to groundwaters, and cross-cutting options</w:t>
      </w:r>
      <w:r w:rsidRPr="002744F0">
        <w:rPr>
          <w:noProof/>
        </w:rPr>
        <w:t xml:space="preserve">. For </w:t>
      </w:r>
      <w:r w:rsidRPr="009112AB">
        <w:rPr>
          <w:iCs/>
          <w:noProof/>
        </w:rPr>
        <w:t>surface waters</w:t>
      </w:r>
      <w:r w:rsidRPr="002744F0">
        <w:rPr>
          <w:noProof/>
        </w:rPr>
        <w:t xml:space="preserve">, it assessed </w:t>
      </w:r>
      <w:r w:rsidR="001D350A" w:rsidRPr="002744F0">
        <w:rPr>
          <w:noProof/>
        </w:rPr>
        <w:t xml:space="preserve">the impact of adding </w:t>
      </w:r>
      <w:r w:rsidRPr="002744F0">
        <w:rPr>
          <w:noProof/>
        </w:rPr>
        <w:t>a range of substances (</w:t>
      </w:r>
      <w:r w:rsidR="00037086" w:rsidRPr="002744F0">
        <w:rPr>
          <w:noProof/>
        </w:rPr>
        <w:t xml:space="preserve">from among reviewed </w:t>
      </w:r>
      <w:r w:rsidRPr="002744F0">
        <w:rPr>
          <w:noProof/>
        </w:rPr>
        <w:t>pharmaceuticals, pesticides, industrial chemicals and metals)</w:t>
      </w:r>
      <w:r w:rsidR="00B074EB" w:rsidRPr="002744F0">
        <w:rPr>
          <w:noProof/>
        </w:rPr>
        <w:t xml:space="preserve"> to the list of </w:t>
      </w:r>
      <w:r w:rsidRPr="002744F0">
        <w:rPr>
          <w:noProof/>
        </w:rPr>
        <w:t>priority substances</w:t>
      </w:r>
      <w:r w:rsidR="00B074EB" w:rsidRPr="002744F0">
        <w:rPr>
          <w:noProof/>
        </w:rPr>
        <w:t>, and thus of setting EU-wide EQS for them</w:t>
      </w:r>
      <w:r w:rsidRPr="002744F0">
        <w:rPr>
          <w:noProof/>
        </w:rPr>
        <w:t xml:space="preserve">. For </w:t>
      </w:r>
      <w:r w:rsidR="00B074EB" w:rsidRPr="002744F0">
        <w:rPr>
          <w:noProof/>
        </w:rPr>
        <w:t>several existing priority</w:t>
      </w:r>
      <w:r w:rsidRPr="002744F0">
        <w:rPr>
          <w:noProof/>
        </w:rPr>
        <w:t xml:space="preserve"> su</w:t>
      </w:r>
      <w:r w:rsidR="00B074EB" w:rsidRPr="002744F0">
        <w:rPr>
          <w:noProof/>
        </w:rPr>
        <w:t>b</w:t>
      </w:r>
      <w:r w:rsidRPr="002744F0">
        <w:rPr>
          <w:noProof/>
        </w:rPr>
        <w:t xml:space="preserve">stances, it reviewed </w:t>
      </w:r>
      <w:r w:rsidR="00B074EB" w:rsidRPr="002744F0">
        <w:rPr>
          <w:noProof/>
        </w:rPr>
        <w:t xml:space="preserve">the </w:t>
      </w:r>
      <w:r w:rsidRPr="002744F0">
        <w:rPr>
          <w:noProof/>
        </w:rPr>
        <w:t>impact of changing the</w:t>
      </w:r>
      <w:r w:rsidR="00B074EB" w:rsidRPr="002744F0">
        <w:rPr>
          <w:noProof/>
        </w:rPr>
        <w:t>ir EQS (on the basis of new scientific evidence)</w:t>
      </w:r>
      <w:r w:rsidRPr="002744F0">
        <w:rPr>
          <w:noProof/>
        </w:rPr>
        <w:t xml:space="preserve">. For </w:t>
      </w:r>
      <w:r w:rsidR="00B074EB" w:rsidRPr="002744F0">
        <w:rPr>
          <w:noProof/>
        </w:rPr>
        <w:t>some other existing prior</w:t>
      </w:r>
      <w:r w:rsidR="00080B2C" w:rsidRPr="002744F0">
        <w:rPr>
          <w:noProof/>
        </w:rPr>
        <w:t>i</w:t>
      </w:r>
      <w:r w:rsidR="00B074EB" w:rsidRPr="002744F0">
        <w:rPr>
          <w:noProof/>
        </w:rPr>
        <w:t>ty substances</w:t>
      </w:r>
      <w:r w:rsidRPr="002744F0">
        <w:rPr>
          <w:noProof/>
        </w:rPr>
        <w:t xml:space="preserve">, it </w:t>
      </w:r>
      <w:r w:rsidR="001D350A" w:rsidRPr="002744F0">
        <w:rPr>
          <w:noProof/>
        </w:rPr>
        <w:t>examined</w:t>
      </w:r>
      <w:r w:rsidRPr="002744F0">
        <w:rPr>
          <w:noProof/>
        </w:rPr>
        <w:t xml:space="preserve"> </w:t>
      </w:r>
      <w:r w:rsidR="00B074EB" w:rsidRPr="002744F0">
        <w:rPr>
          <w:noProof/>
        </w:rPr>
        <w:t>the impact of</w:t>
      </w:r>
      <w:r w:rsidR="00F25488" w:rsidRPr="002744F0">
        <w:rPr>
          <w:noProof/>
        </w:rPr>
        <w:t xml:space="preserve"> </w:t>
      </w:r>
      <w:r w:rsidRPr="002744F0">
        <w:rPr>
          <w:noProof/>
        </w:rPr>
        <w:t>remov</w:t>
      </w:r>
      <w:r w:rsidR="00B074EB" w:rsidRPr="002744F0">
        <w:rPr>
          <w:noProof/>
        </w:rPr>
        <w:t>ing</w:t>
      </w:r>
      <w:r w:rsidRPr="002744F0">
        <w:rPr>
          <w:noProof/>
        </w:rPr>
        <w:t xml:space="preserve"> </w:t>
      </w:r>
      <w:r w:rsidR="00B074EB" w:rsidRPr="002744F0">
        <w:rPr>
          <w:noProof/>
        </w:rPr>
        <w:t xml:space="preserve">them </w:t>
      </w:r>
      <w:r w:rsidRPr="002744F0">
        <w:rPr>
          <w:noProof/>
        </w:rPr>
        <w:t xml:space="preserve">from the list. For </w:t>
      </w:r>
      <w:r w:rsidRPr="009112AB">
        <w:rPr>
          <w:iCs/>
          <w:noProof/>
        </w:rPr>
        <w:t>groundwaters</w:t>
      </w:r>
      <w:r w:rsidRPr="002744F0">
        <w:rPr>
          <w:noProof/>
        </w:rPr>
        <w:t xml:space="preserve">, the </w:t>
      </w:r>
      <w:r w:rsidR="001D350A" w:rsidRPr="002744F0">
        <w:rPr>
          <w:noProof/>
        </w:rPr>
        <w:t>i</w:t>
      </w:r>
      <w:r w:rsidRPr="002744F0">
        <w:rPr>
          <w:noProof/>
        </w:rPr>
        <w:t xml:space="preserve">mpact assessment reviewed the </w:t>
      </w:r>
      <w:r w:rsidR="00B074EB" w:rsidRPr="002744F0">
        <w:rPr>
          <w:noProof/>
        </w:rPr>
        <w:t xml:space="preserve">impact of </w:t>
      </w:r>
      <w:r w:rsidRPr="002744F0">
        <w:rPr>
          <w:noProof/>
        </w:rPr>
        <w:t>add</w:t>
      </w:r>
      <w:r w:rsidR="00B074EB" w:rsidRPr="002744F0">
        <w:rPr>
          <w:noProof/>
        </w:rPr>
        <w:t>ing</w:t>
      </w:r>
      <w:r w:rsidRPr="002744F0">
        <w:rPr>
          <w:noProof/>
        </w:rPr>
        <w:t xml:space="preserve"> specific </w:t>
      </w:r>
      <w:r w:rsidR="00B074EB" w:rsidRPr="002744F0">
        <w:rPr>
          <w:noProof/>
        </w:rPr>
        <w:t>(</w:t>
      </w:r>
      <w:r w:rsidRPr="002744F0">
        <w:rPr>
          <w:noProof/>
        </w:rPr>
        <w:t>groups of</w:t>
      </w:r>
      <w:r w:rsidR="00B074EB" w:rsidRPr="002744F0">
        <w:rPr>
          <w:noProof/>
        </w:rPr>
        <w:t>)</w:t>
      </w:r>
      <w:r w:rsidRPr="002744F0">
        <w:rPr>
          <w:noProof/>
        </w:rPr>
        <w:t xml:space="preserve"> substances to the list</w:t>
      </w:r>
      <w:r w:rsidR="001D350A" w:rsidRPr="002744F0">
        <w:rPr>
          <w:noProof/>
        </w:rPr>
        <w:t>, namely</w:t>
      </w:r>
      <w:r w:rsidRPr="002744F0">
        <w:rPr>
          <w:noProof/>
        </w:rPr>
        <w:t xml:space="preserve"> PFAS, </w:t>
      </w:r>
      <w:r w:rsidR="00660305" w:rsidRPr="002744F0">
        <w:rPr>
          <w:noProof/>
        </w:rPr>
        <w:t xml:space="preserve">non-relevant </w:t>
      </w:r>
      <w:r w:rsidRPr="002744F0">
        <w:rPr>
          <w:noProof/>
        </w:rPr>
        <w:t>metabolites of pesticides (</w:t>
      </w:r>
      <w:r w:rsidR="00660305" w:rsidRPr="002744F0">
        <w:rPr>
          <w:noProof/>
        </w:rPr>
        <w:t>n</w:t>
      </w:r>
      <w:r w:rsidRPr="002744F0">
        <w:rPr>
          <w:noProof/>
        </w:rPr>
        <w:t xml:space="preserve">rMs) and pharmaceuticals. </w:t>
      </w:r>
      <w:r w:rsidR="001D350A" w:rsidRPr="002744F0">
        <w:rPr>
          <w:noProof/>
        </w:rPr>
        <w:t>Lastly</w:t>
      </w:r>
      <w:r w:rsidRPr="002744F0">
        <w:rPr>
          <w:noProof/>
        </w:rPr>
        <w:t xml:space="preserve">, the impact assessment reviewed a range of options to improve </w:t>
      </w:r>
      <w:r w:rsidRPr="009112AB">
        <w:rPr>
          <w:bCs/>
          <w:noProof/>
          <w:szCs w:val="24"/>
        </w:rPr>
        <w:t>digitalisation, administrative streamlining and risk management in the area of water pollution.</w:t>
      </w:r>
      <w:r w:rsidRPr="002744F0">
        <w:rPr>
          <w:noProof/>
        </w:rPr>
        <w:t xml:space="preserve"> </w:t>
      </w:r>
    </w:p>
    <w:p w14:paraId="1ABAF384" w14:textId="77777777" w:rsidR="000A5ED7" w:rsidRPr="002744F0" w:rsidRDefault="00F10F71" w:rsidP="000A5ED7">
      <w:pPr>
        <w:pBdr>
          <w:top w:val="nil"/>
          <w:left w:val="nil"/>
          <w:bottom w:val="nil"/>
          <w:right w:val="nil"/>
          <w:between w:val="nil"/>
          <w:bar w:val="nil"/>
        </w:pBdr>
        <w:spacing w:before="0" w:after="240"/>
        <w:rPr>
          <w:noProof/>
        </w:rPr>
      </w:pPr>
      <w:r w:rsidRPr="002744F0">
        <w:rPr>
          <w:noProof/>
        </w:rPr>
        <w:t>The main sources of pollution for the identified substances are</w:t>
      </w:r>
      <w:r w:rsidR="00B04FEF" w:rsidRPr="002744F0">
        <w:rPr>
          <w:noProof/>
        </w:rPr>
        <w:t xml:space="preserve"> chemical production processes (</w:t>
      </w:r>
      <w:r w:rsidR="00DD1A64" w:rsidRPr="002744F0">
        <w:rPr>
          <w:noProof/>
        </w:rPr>
        <w:t xml:space="preserve">direct emissions resulting from production of </w:t>
      </w:r>
      <w:r w:rsidR="00B04FEF" w:rsidRPr="002744F0">
        <w:rPr>
          <w:noProof/>
        </w:rPr>
        <w:t>wood, pulp, steel, combustion, textiles</w:t>
      </w:r>
      <w:r w:rsidR="00AF2950" w:rsidRPr="002744F0">
        <w:rPr>
          <w:noProof/>
        </w:rPr>
        <w:t>, plastics</w:t>
      </w:r>
      <w:r w:rsidR="00DD1A64" w:rsidRPr="002744F0">
        <w:rPr>
          <w:noProof/>
        </w:rPr>
        <w:t xml:space="preserve"> etc</w:t>
      </w:r>
      <w:r w:rsidR="00660305" w:rsidRPr="002744F0">
        <w:rPr>
          <w:noProof/>
        </w:rPr>
        <w:t>.</w:t>
      </w:r>
      <w:r w:rsidR="00B04FEF" w:rsidRPr="002744F0">
        <w:rPr>
          <w:noProof/>
        </w:rPr>
        <w:t>)</w:t>
      </w:r>
      <w:r w:rsidR="001D350A" w:rsidRPr="002744F0">
        <w:rPr>
          <w:noProof/>
        </w:rPr>
        <w:t>;</w:t>
      </w:r>
      <w:r w:rsidR="00B04FEF" w:rsidRPr="002744F0">
        <w:rPr>
          <w:noProof/>
        </w:rPr>
        <w:t xml:space="preserve"> waste water</w:t>
      </w:r>
      <w:r w:rsidR="00DD1A64" w:rsidRPr="002744F0">
        <w:rPr>
          <w:noProof/>
        </w:rPr>
        <w:t xml:space="preserve"> discharges </w:t>
      </w:r>
      <w:r w:rsidR="00B04FEF" w:rsidRPr="002744F0">
        <w:rPr>
          <w:noProof/>
        </w:rPr>
        <w:t xml:space="preserve">including </w:t>
      </w:r>
      <w:r w:rsidR="004075E0" w:rsidRPr="002744F0">
        <w:rPr>
          <w:noProof/>
        </w:rPr>
        <w:t xml:space="preserve">pharmaceuticals and </w:t>
      </w:r>
      <w:r w:rsidR="00B04FEF" w:rsidRPr="002744F0">
        <w:rPr>
          <w:noProof/>
        </w:rPr>
        <w:t xml:space="preserve">chemicals </w:t>
      </w:r>
      <w:r w:rsidR="004075E0" w:rsidRPr="002744F0">
        <w:rPr>
          <w:noProof/>
        </w:rPr>
        <w:t>as a wash-off of fabrics</w:t>
      </w:r>
      <w:r w:rsidR="00B04FEF" w:rsidRPr="002744F0">
        <w:rPr>
          <w:noProof/>
        </w:rPr>
        <w:t xml:space="preserve">, consumer products, cleaning </w:t>
      </w:r>
      <w:r w:rsidR="004075E0" w:rsidRPr="002744F0">
        <w:rPr>
          <w:noProof/>
        </w:rPr>
        <w:t>p</w:t>
      </w:r>
      <w:r w:rsidR="00B04FEF" w:rsidRPr="002744F0">
        <w:rPr>
          <w:noProof/>
        </w:rPr>
        <w:t>roduc</w:t>
      </w:r>
      <w:r w:rsidR="004075E0" w:rsidRPr="002744F0">
        <w:rPr>
          <w:noProof/>
        </w:rPr>
        <w:t>t</w:t>
      </w:r>
      <w:r w:rsidR="00B04FEF" w:rsidRPr="002744F0">
        <w:rPr>
          <w:noProof/>
        </w:rPr>
        <w:t xml:space="preserve">s, </w:t>
      </w:r>
      <w:r w:rsidR="004075E0" w:rsidRPr="002744F0">
        <w:rPr>
          <w:noProof/>
        </w:rPr>
        <w:t>personal care products</w:t>
      </w:r>
      <w:r w:rsidR="001D350A" w:rsidRPr="002744F0">
        <w:rPr>
          <w:noProof/>
        </w:rPr>
        <w:t>;</w:t>
      </w:r>
      <w:r w:rsidR="00B04FEF" w:rsidRPr="002744F0">
        <w:rPr>
          <w:noProof/>
        </w:rPr>
        <w:t xml:space="preserve"> indirect discharges </w:t>
      </w:r>
      <w:r w:rsidR="004075E0" w:rsidRPr="002744F0">
        <w:rPr>
          <w:noProof/>
        </w:rPr>
        <w:t xml:space="preserve">resulting from </w:t>
      </w:r>
      <w:r w:rsidR="00B04FEF" w:rsidRPr="002744F0">
        <w:rPr>
          <w:noProof/>
        </w:rPr>
        <w:t>pesticides</w:t>
      </w:r>
      <w:r w:rsidR="004075E0" w:rsidRPr="002744F0">
        <w:rPr>
          <w:noProof/>
        </w:rPr>
        <w:t xml:space="preserve">, biocides and </w:t>
      </w:r>
      <w:r w:rsidR="00B04FEF" w:rsidRPr="002744F0">
        <w:rPr>
          <w:noProof/>
        </w:rPr>
        <w:t>pharm</w:t>
      </w:r>
      <w:r w:rsidR="004075E0" w:rsidRPr="002744F0">
        <w:rPr>
          <w:noProof/>
        </w:rPr>
        <w:t>a</w:t>
      </w:r>
      <w:r w:rsidR="00B04FEF" w:rsidRPr="002744F0">
        <w:rPr>
          <w:noProof/>
        </w:rPr>
        <w:t>ceuticals</w:t>
      </w:r>
      <w:r w:rsidR="004075E0" w:rsidRPr="002744F0">
        <w:rPr>
          <w:noProof/>
        </w:rPr>
        <w:t xml:space="preserve">’ use in </w:t>
      </w:r>
      <w:r w:rsidR="00DD1A64" w:rsidRPr="002744F0">
        <w:rPr>
          <w:noProof/>
        </w:rPr>
        <w:t>agriculture</w:t>
      </w:r>
      <w:r w:rsidR="001D350A" w:rsidRPr="002744F0">
        <w:rPr>
          <w:noProof/>
        </w:rPr>
        <w:t>;</w:t>
      </w:r>
      <w:r w:rsidR="004075E0" w:rsidRPr="002744F0">
        <w:rPr>
          <w:noProof/>
        </w:rPr>
        <w:t xml:space="preserve"> chemicals used in</w:t>
      </w:r>
      <w:r w:rsidR="00B04FEF" w:rsidRPr="002744F0">
        <w:rPr>
          <w:noProof/>
        </w:rPr>
        <w:t xml:space="preserve"> </w:t>
      </w:r>
      <w:r w:rsidR="004075E0" w:rsidRPr="002744F0">
        <w:rPr>
          <w:noProof/>
        </w:rPr>
        <w:t>road construction</w:t>
      </w:r>
      <w:r w:rsidR="001D350A" w:rsidRPr="002744F0">
        <w:rPr>
          <w:noProof/>
        </w:rPr>
        <w:t>; the</w:t>
      </w:r>
      <w:r w:rsidR="004075E0" w:rsidRPr="002744F0">
        <w:rPr>
          <w:noProof/>
        </w:rPr>
        <w:t xml:space="preserve"> deposition of mercury from </w:t>
      </w:r>
      <w:r w:rsidR="000A5ED7" w:rsidRPr="002744F0">
        <w:rPr>
          <w:noProof/>
        </w:rPr>
        <w:t xml:space="preserve">fossil fuel </w:t>
      </w:r>
      <w:r w:rsidR="004075E0" w:rsidRPr="002744F0">
        <w:rPr>
          <w:noProof/>
        </w:rPr>
        <w:t>combustion plants and of PFAS from fire</w:t>
      </w:r>
      <w:r w:rsidR="00660305" w:rsidRPr="002744F0">
        <w:rPr>
          <w:noProof/>
        </w:rPr>
        <w:t>-</w:t>
      </w:r>
      <w:r w:rsidR="004075E0" w:rsidRPr="002744F0">
        <w:rPr>
          <w:noProof/>
        </w:rPr>
        <w:t xml:space="preserve">fighting foams. All these sources and pathways are subject to legislation, including the </w:t>
      </w:r>
      <w:r w:rsidR="001D350A" w:rsidRPr="002744F0">
        <w:rPr>
          <w:noProof/>
        </w:rPr>
        <w:t>I</w:t>
      </w:r>
      <w:r w:rsidR="004075E0" w:rsidRPr="002744F0">
        <w:rPr>
          <w:noProof/>
        </w:rPr>
        <w:t xml:space="preserve">ndustrial </w:t>
      </w:r>
      <w:r w:rsidR="001D350A" w:rsidRPr="002744F0">
        <w:rPr>
          <w:noProof/>
        </w:rPr>
        <w:t>E</w:t>
      </w:r>
      <w:r w:rsidR="004075E0" w:rsidRPr="002744F0">
        <w:rPr>
          <w:noProof/>
        </w:rPr>
        <w:t xml:space="preserve">missions Directive 2010/75/EC (under revision), the </w:t>
      </w:r>
      <w:r w:rsidR="001D350A" w:rsidRPr="002744F0">
        <w:rPr>
          <w:noProof/>
        </w:rPr>
        <w:t>U</w:t>
      </w:r>
      <w:r w:rsidR="004075E0" w:rsidRPr="002744F0">
        <w:rPr>
          <w:noProof/>
        </w:rPr>
        <w:t xml:space="preserve">rban </w:t>
      </w:r>
      <w:r w:rsidR="001D350A" w:rsidRPr="002744F0">
        <w:rPr>
          <w:noProof/>
        </w:rPr>
        <w:t>W</w:t>
      </w:r>
      <w:r w:rsidR="004075E0" w:rsidRPr="002744F0">
        <w:rPr>
          <w:noProof/>
        </w:rPr>
        <w:t xml:space="preserve">aste </w:t>
      </w:r>
      <w:r w:rsidR="001D350A" w:rsidRPr="002744F0">
        <w:rPr>
          <w:noProof/>
        </w:rPr>
        <w:t>W</w:t>
      </w:r>
      <w:r w:rsidR="004075E0" w:rsidRPr="002744F0">
        <w:rPr>
          <w:noProof/>
        </w:rPr>
        <w:t xml:space="preserve">ater </w:t>
      </w:r>
      <w:r w:rsidR="001D350A" w:rsidRPr="002744F0">
        <w:rPr>
          <w:noProof/>
        </w:rPr>
        <w:t>T</w:t>
      </w:r>
      <w:r w:rsidR="004075E0" w:rsidRPr="002744F0">
        <w:rPr>
          <w:noProof/>
        </w:rPr>
        <w:t xml:space="preserve">reatment Directive 91/271/EEC (under revision), Directive </w:t>
      </w:r>
      <w:r w:rsidR="001D350A" w:rsidRPr="002744F0">
        <w:rPr>
          <w:noProof/>
        </w:rPr>
        <w:t xml:space="preserve">2009/128/EC </w:t>
      </w:r>
      <w:r w:rsidR="004075E0" w:rsidRPr="002744F0">
        <w:rPr>
          <w:noProof/>
        </w:rPr>
        <w:t xml:space="preserve">on </w:t>
      </w:r>
      <w:r w:rsidR="001D350A" w:rsidRPr="002744F0">
        <w:rPr>
          <w:noProof/>
        </w:rPr>
        <w:t xml:space="preserve">the </w:t>
      </w:r>
      <w:r w:rsidR="004075E0" w:rsidRPr="002744F0">
        <w:rPr>
          <w:noProof/>
        </w:rPr>
        <w:t>sustainable use of pesticides (under revision), Directive 2001/83/EC on medicinal products for human use</w:t>
      </w:r>
      <w:r w:rsidR="000A5ED7" w:rsidRPr="002744F0">
        <w:rPr>
          <w:noProof/>
        </w:rPr>
        <w:t xml:space="preserve">, </w:t>
      </w:r>
      <w:r w:rsidR="004075E0" w:rsidRPr="002744F0">
        <w:rPr>
          <w:noProof/>
        </w:rPr>
        <w:t xml:space="preserve">Regulation (EU) 2019/6 on veterinary medicinal products, </w:t>
      </w:r>
      <w:r w:rsidR="000A5ED7" w:rsidRPr="002744F0">
        <w:rPr>
          <w:noProof/>
        </w:rPr>
        <w:t xml:space="preserve">the </w:t>
      </w:r>
      <w:r w:rsidR="004075E0" w:rsidRPr="002744F0">
        <w:rPr>
          <w:noProof/>
        </w:rPr>
        <w:t>REACH Regulation No 1907/2006,</w:t>
      </w:r>
      <w:r w:rsidR="001D350A" w:rsidRPr="002744F0">
        <w:rPr>
          <w:noProof/>
        </w:rPr>
        <w:t xml:space="preserve"> </w:t>
      </w:r>
      <w:r w:rsidR="004075E0" w:rsidRPr="002744F0">
        <w:rPr>
          <w:noProof/>
        </w:rPr>
        <w:t>Regulation (EC) No 1107/2009</w:t>
      </w:r>
      <w:r w:rsidR="001D350A" w:rsidRPr="002744F0">
        <w:rPr>
          <w:noProof/>
        </w:rPr>
        <w:t xml:space="preserve"> on plant protection products</w:t>
      </w:r>
      <w:r w:rsidR="000A5ED7" w:rsidRPr="002744F0">
        <w:rPr>
          <w:noProof/>
        </w:rPr>
        <w:t>,</w:t>
      </w:r>
      <w:r w:rsidR="004075E0" w:rsidRPr="002744F0">
        <w:rPr>
          <w:noProof/>
        </w:rPr>
        <w:t xml:space="preserve"> Regulation (EU) No 528/2012</w:t>
      </w:r>
      <w:r w:rsidR="001D350A" w:rsidRPr="002744F0">
        <w:rPr>
          <w:noProof/>
        </w:rPr>
        <w:t xml:space="preserve"> on</w:t>
      </w:r>
      <w:r w:rsidR="00AF2950" w:rsidRPr="002744F0">
        <w:rPr>
          <w:noProof/>
        </w:rPr>
        <w:t xml:space="preserve"> </w:t>
      </w:r>
      <w:r w:rsidR="001D350A" w:rsidRPr="002744F0">
        <w:rPr>
          <w:noProof/>
        </w:rPr>
        <w:t xml:space="preserve">biocidal products; </w:t>
      </w:r>
      <w:r w:rsidR="00AF2950" w:rsidRPr="002744F0">
        <w:rPr>
          <w:noProof/>
        </w:rPr>
        <w:t>and Regulation (EC) No 1223/2009</w:t>
      </w:r>
      <w:r w:rsidR="001D350A" w:rsidRPr="002744F0">
        <w:rPr>
          <w:noProof/>
        </w:rPr>
        <w:t xml:space="preserve"> on cosmetics</w:t>
      </w:r>
      <w:r w:rsidR="00AF2950" w:rsidRPr="002744F0">
        <w:rPr>
          <w:noProof/>
        </w:rPr>
        <w:t xml:space="preserve">. </w:t>
      </w:r>
      <w:r w:rsidR="004075E0" w:rsidRPr="002744F0">
        <w:rPr>
          <w:noProof/>
        </w:rPr>
        <w:t>By setting maximum concentration limits for these substances, th</w:t>
      </w:r>
      <w:r w:rsidR="001D350A" w:rsidRPr="002744F0">
        <w:rPr>
          <w:noProof/>
        </w:rPr>
        <w:t>is</w:t>
      </w:r>
      <w:r w:rsidR="004075E0" w:rsidRPr="002744F0">
        <w:rPr>
          <w:noProof/>
        </w:rPr>
        <w:t xml:space="preserve"> proposal aims to reinforce the effect and implementation of </w:t>
      </w:r>
      <w:r w:rsidR="000A5ED7" w:rsidRPr="002744F0">
        <w:rPr>
          <w:noProof/>
        </w:rPr>
        <w:t xml:space="preserve">EU </w:t>
      </w:r>
      <w:r w:rsidR="004075E0" w:rsidRPr="002744F0">
        <w:rPr>
          <w:noProof/>
        </w:rPr>
        <w:t xml:space="preserve">source and pathway legislation and, where so required for the purpose of protecting health or the environment, push for the </w:t>
      </w:r>
      <w:r w:rsidR="000A5ED7" w:rsidRPr="002744F0">
        <w:rPr>
          <w:noProof/>
        </w:rPr>
        <w:t xml:space="preserve">adoption </w:t>
      </w:r>
      <w:r w:rsidR="004075E0" w:rsidRPr="002744F0">
        <w:rPr>
          <w:noProof/>
        </w:rPr>
        <w:t>of stricter source/pathway measures</w:t>
      </w:r>
      <w:r w:rsidR="000A5ED7" w:rsidRPr="002744F0">
        <w:rPr>
          <w:noProof/>
        </w:rPr>
        <w:t xml:space="preserve"> at Member State level</w:t>
      </w:r>
      <w:r w:rsidR="004075E0" w:rsidRPr="002744F0">
        <w:rPr>
          <w:noProof/>
        </w:rPr>
        <w:t xml:space="preserve">. </w:t>
      </w:r>
    </w:p>
    <w:p w14:paraId="111CCBF3" w14:textId="77777777" w:rsidR="00334340" w:rsidRPr="002744F0" w:rsidRDefault="002821B9" w:rsidP="000A5ED7">
      <w:pPr>
        <w:pBdr>
          <w:top w:val="nil"/>
          <w:left w:val="nil"/>
          <w:bottom w:val="nil"/>
          <w:right w:val="nil"/>
          <w:between w:val="nil"/>
          <w:bar w:val="nil"/>
        </w:pBdr>
        <w:spacing w:before="0" w:after="240"/>
        <w:rPr>
          <w:rFonts w:ascii="Calibri" w:eastAsia="Calibri" w:hAnsi="Calibri" w:cs="Calibri"/>
          <w:noProof/>
          <w:color w:val="1F497D"/>
          <w:sz w:val="22"/>
        </w:rPr>
      </w:pPr>
      <w:r w:rsidRPr="002744F0">
        <w:rPr>
          <w:noProof/>
        </w:rPr>
        <w:t>The options were reviewed against their environmental, social and economic costs and benefits, resulting in the following package of preferred op</w:t>
      </w:r>
      <w:r w:rsidR="00660305" w:rsidRPr="002744F0">
        <w:rPr>
          <w:noProof/>
        </w:rPr>
        <w:t>t</w:t>
      </w:r>
      <w:r w:rsidRPr="002744F0">
        <w:rPr>
          <w:noProof/>
        </w:rPr>
        <w:t>ions:</w:t>
      </w:r>
    </w:p>
    <w:tbl>
      <w:tblPr>
        <w:tblW w:w="9134" w:type="dxa"/>
        <w:tblInd w:w="108" w:type="dxa"/>
        <w:tblCellMar>
          <w:left w:w="0" w:type="dxa"/>
          <w:right w:w="0" w:type="dxa"/>
        </w:tblCellMar>
        <w:tblLook w:val="04A0" w:firstRow="1" w:lastRow="0" w:firstColumn="1" w:lastColumn="0" w:noHBand="0" w:noVBand="1"/>
      </w:tblPr>
      <w:tblGrid>
        <w:gridCol w:w="3157"/>
        <w:gridCol w:w="1033"/>
        <w:gridCol w:w="4944"/>
      </w:tblGrid>
      <w:tr w:rsidR="00334340" w:rsidRPr="002744F0" w14:paraId="6BF4F35A" w14:textId="77777777" w:rsidTr="00334340">
        <w:tc>
          <w:tcPr>
            <w:tcW w:w="9134" w:type="dxa"/>
            <w:gridSpan w:val="3"/>
            <w:tcBorders>
              <w:top w:val="single" w:sz="8" w:space="0" w:color="005962"/>
              <w:left w:val="single" w:sz="8" w:space="0" w:color="005962"/>
              <w:bottom w:val="single" w:sz="8" w:space="0" w:color="005962"/>
              <w:right w:val="single" w:sz="8" w:space="0" w:color="005962"/>
            </w:tcBorders>
            <w:shd w:val="clear" w:color="auto" w:fill="005962"/>
            <w:tcMar>
              <w:top w:w="0" w:type="dxa"/>
              <w:left w:w="108" w:type="dxa"/>
              <w:bottom w:w="0" w:type="dxa"/>
              <w:right w:w="108" w:type="dxa"/>
            </w:tcMar>
            <w:vAlign w:val="center"/>
            <w:hideMark/>
          </w:tcPr>
          <w:p w14:paraId="18C8D736" w14:textId="77777777" w:rsidR="00334340" w:rsidRPr="002744F0" w:rsidRDefault="00334340" w:rsidP="00334340">
            <w:pPr>
              <w:keepNext/>
              <w:spacing w:before="40" w:after="40"/>
              <w:jc w:val="center"/>
              <w:rPr>
                <w:rFonts w:eastAsia="Calibri"/>
                <w:b/>
                <w:bCs/>
                <w:noProof/>
                <w:color w:val="FFFFFF"/>
                <w:sz w:val="20"/>
                <w:szCs w:val="20"/>
              </w:rPr>
            </w:pPr>
            <w:r w:rsidRPr="002744F0">
              <w:rPr>
                <w:rFonts w:ascii="Calibri" w:eastAsia="Calibri" w:hAnsi="Calibri" w:cs="Calibri"/>
                <w:b/>
                <w:bCs/>
                <w:noProof/>
                <w:color w:val="FFFFFF"/>
                <w:sz w:val="20"/>
                <w:szCs w:val="20"/>
              </w:rPr>
              <w:t>Surface water</w:t>
            </w:r>
          </w:p>
        </w:tc>
      </w:tr>
      <w:tr w:rsidR="00334340" w:rsidRPr="002744F0" w14:paraId="5E53227E"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2F28C180" w14:textId="77777777" w:rsidR="00334340" w:rsidRPr="002744F0" w:rsidRDefault="00334340" w:rsidP="00334340">
            <w:pPr>
              <w:keepNext/>
              <w:spacing w:before="40" w:after="40"/>
              <w:jc w:val="left"/>
              <w:rPr>
                <w:rFonts w:ascii="Calibri" w:eastAsia="Calibri" w:hAnsi="Calibri" w:cs="Calibri"/>
                <w:b/>
                <w:bCs/>
                <w:noProof/>
                <w:sz w:val="18"/>
                <w:szCs w:val="18"/>
              </w:rPr>
            </w:pPr>
            <w:r w:rsidRPr="002744F0">
              <w:rPr>
                <w:rFonts w:ascii="Calibri" w:eastAsia="Calibri" w:hAnsi="Calibri" w:cs="Calibri"/>
                <w:b/>
                <w:bCs/>
                <w:noProof/>
                <w:sz w:val="18"/>
                <w:szCs w:val="18"/>
                <w:u w:val="single"/>
              </w:rPr>
              <w:t>Option 1:</w:t>
            </w:r>
            <w:r w:rsidRPr="002744F0">
              <w:rPr>
                <w:rFonts w:ascii="Calibri" w:eastAsia="Calibri" w:hAnsi="Calibri" w:cs="Calibri"/>
                <w:b/>
                <w:bCs/>
                <w:noProof/>
                <w:sz w:val="18"/>
                <w:szCs w:val="18"/>
              </w:rPr>
              <w:t xml:space="preserve"> Addition to PS list as an individual substance with EQS set for each individually</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49942471" w14:textId="77777777" w:rsidR="00663424" w:rsidRPr="00334340" w:rsidRDefault="00663424" w:rsidP="00663424">
            <w:pPr>
              <w:keepNext/>
              <w:spacing w:before="40" w:after="40"/>
              <w:jc w:val="left"/>
              <w:rPr>
                <w:rFonts w:ascii="Calibri" w:eastAsia="Calibri" w:hAnsi="Calibri" w:cs="Calibri"/>
                <w:b/>
                <w:bCs/>
                <w:noProof/>
                <w:sz w:val="18"/>
                <w:szCs w:val="18"/>
                <w:lang w:val="en-US"/>
              </w:rPr>
            </w:pPr>
            <w:r w:rsidRPr="00334340">
              <w:rPr>
                <w:rFonts w:ascii="Calibri" w:eastAsia="Calibri" w:hAnsi="Calibri" w:cs="Calibri"/>
                <w:b/>
                <w:bCs/>
                <w:noProof/>
                <w:sz w:val="18"/>
                <w:szCs w:val="18"/>
                <w:lang w:val="en-US"/>
              </w:rPr>
              <w:t>2</w:t>
            </w:r>
            <w:r w:rsidR="00FA7305">
              <w:rPr>
                <w:rFonts w:ascii="Calibri" w:eastAsia="Calibri" w:hAnsi="Calibri" w:cs="Calibri"/>
                <w:b/>
                <w:bCs/>
                <w:noProof/>
                <w:sz w:val="18"/>
                <w:szCs w:val="18"/>
                <w:lang w:val="en-US"/>
              </w:rPr>
              <w:t>3</w:t>
            </w:r>
            <w:r w:rsidRPr="00334340">
              <w:rPr>
                <w:rFonts w:ascii="Calibri" w:eastAsia="Calibri" w:hAnsi="Calibri" w:cs="Calibri"/>
                <w:b/>
                <w:bCs/>
                <w:noProof/>
                <w:sz w:val="18"/>
                <w:szCs w:val="18"/>
                <w:lang w:val="en-US"/>
              </w:rPr>
              <w:t xml:space="preserve"> individual substances:</w:t>
            </w:r>
          </w:p>
          <w:p w14:paraId="5346CDD4" w14:textId="77777777" w:rsidR="00334340" w:rsidRPr="00E14BA3" w:rsidRDefault="00663424" w:rsidP="00FA7305">
            <w:pPr>
              <w:keepNext/>
              <w:spacing w:before="40" w:after="40"/>
              <w:rPr>
                <w:rFonts w:ascii="Calibri" w:eastAsia="Calibri" w:hAnsi="Calibri" w:cs="Calibri"/>
                <w:b/>
                <w:bCs/>
                <w:noProof/>
                <w:sz w:val="18"/>
                <w:szCs w:val="18"/>
              </w:rPr>
            </w:pPr>
            <w:r w:rsidRPr="00334340">
              <w:rPr>
                <w:rFonts w:ascii="Calibri" w:eastAsia="Calibri" w:hAnsi="Calibri" w:cs="Calibri"/>
                <w:noProof/>
                <w:sz w:val="18"/>
                <w:szCs w:val="18"/>
                <w:lang w:val="en-US"/>
              </w:rPr>
              <w:t>17-Beta estradiol (E2); Acetamiprid; Azithromycin; Bifenthrin; Bisphenol A; Carbamazepine; Clarithromycin; Clothianidin; Deltamethrin; Diclofenac; Erythromycin; Esfenvalerate; Estrone (E1); Ethinyl estradiol (EE2); Glyphosate; Ibuprofen; Imidacloprid; Nicosulfuron; Permethrin; Thiacloprid; Thiamethoxam; Triclosan</w:t>
            </w:r>
            <w:r w:rsidR="00FA7305">
              <w:rPr>
                <w:rFonts w:ascii="Calibri" w:eastAsia="Calibri" w:hAnsi="Calibri" w:cs="Calibri"/>
                <w:noProof/>
                <w:sz w:val="18"/>
                <w:szCs w:val="18"/>
                <w:lang w:val="en-US"/>
              </w:rPr>
              <w:t>, Silver.</w:t>
            </w:r>
          </w:p>
        </w:tc>
      </w:tr>
      <w:tr w:rsidR="00334340" w:rsidRPr="002744F0" w14:paraId="5A4547AB"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365F2BDE" w14:textId="77777777" w:rsidR="00334340" w:rsidRPr="002744F0" w:rsidRDefault="00334340" w:rsidP="004723CD">
            <w:pPr>
              <w:spacing w:before="40" w:after="40"/>
              <w:jc w:val="left"/>
              <w:rPr>
                <w:rFonts w:ascii="Calibri" w:eastAsia="Calibri" w:hAnsi="Calibri" w:cs="Calibri"/>
                <w:noProof/>
                <w:sz w:val="18"/>
                <w:szCs w:val="18"/>
              </w:rPr>
            </w:pPr>
            <w:r w:rsidRPr="002744F0">
              <w:rPr>
                <w:rFonts w:ascii="Calibri" w:eastAsia="Calibri" w:hAnsi="Calibri" w:cs="Calibri"/>
                <w:b/>
                <w:bCs/>
                <w:noProof/>
                <w:sz w:val="18"/>
                <w:szCs w:val="18"/>
                <w:u w:val="single"/>
              </w:rPr>
              <w:t>Option 2:</w:t>
            </w:r>
            <w:r w:rsidRPr="002744F0">
              <w:rPr>
                <w:rFonts w:ascii="Calibri" w:eastAsia="Calibri" w:hAnsi="Calibri" w:cs="Calibri"/>
                <w:b/>
                <w:bCs/>
                <w:noProof/>
                <w:sz w:val="18"/>
                <w:szCs w:val="18"/>
              </w:rPr>
              <w:t xml:space="preserve"> Addition to PS list as a group with EQS set for </w:t>
            </w:r>
            <w:r w:rsidR="004723CD" w:rsidRPr="002744F0">
              <w:rPr>
                <w:rFonts w:ascii="Calibri" w:eastAsia="Calibri" w:hAnsi="Calibri" w:cs="Calibri"/>
                <w:b/>
                <w:bCs/>
                <w:noProof/>
                <w:sz w:val="18"/>
                <w:szCs w:val="18"/>
              </w:rPr>
              <w:t>“</w:t>
            </w:r>
            <w:r w:rsidRPr="002744F0">
              <w:rPr>
                <w:rFonts w:ascii="Calibri" w:eastAsia="Calibri" w:hAnsi="Calibri" w:cs="Calibri"/>
                <w:b/>
                <w:bCs/>
                <w:noProof/>
                <w:sz w:val="18"/>
                <w:szCs w:val="18"/>
              </w:rPr>
              <w:t>sum of”</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7C22B34B" w14:textId="77777777" w:rsidR="00334340" w:rsidRPr="002744F0" w:rsidRDefault="00334340" w:rsidP="004723CD">
            <w:pPr>
              <w:spacing w:before="40" w:after="40"/>
              <w:jc w:val="left"/>
              <w:rPr>
                <w:rFonts w:ascii="Calibri" w:eastAsia="Calibri" w:hAnsi="Calibri" w:cs="Calibri"/>
                <w:b/>
                <w:bCs/>
                <w:i/>
                <w:iCs/>
                <w:noProof/>
                <w:sz w:val="18"/>
                <w:szCs w:val="18"/>
              </w:rPr>
            </w:pPr>
            <w:r w:rsidRPr="002744F0">
              <w:rPr>
                <w:rFonts w:ascii="Calibri" w:eastAsia="Calibri" w:hAnsi="Calibri" w:cs="Calibri"/>
                <w:noProof/>
                <w:sz w:val="18"/>
                <w:szCs w:val="18"/>
              </w:rPr>
              <w:t xml:space="preserve">PFAS (sum of 24 named substances) </w:t>
            </w:r>
          </w:p>
        </w:tc>
      </w:tr>
      <w:tr w:rsidR="00334340" w:rsidRPr="002744F0" w14:paraId="353BF3EE"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2EDB5C0A" w14:textId="77777777" w:rsidR="00334340" w:rsidRPr="002744F0" w:rsidRDefault="00334340" w:rsidP="00334340">
            <w:pPr>
              <w:spacing w:before="40" w:after="40"/>
              <w:jc w:val="left"/>
              <w:rPr>
                <w:rFonts w:ascii="Calibri" w:eastAsia="Calibri" w:hAnsi="Calibri" w:cs="Calibri"/>
                <w:b/>
                <w:bCs/>
                <w:noProof/>
                <w:sz w:val="18"/>
                <w:szCs w:val="18"/>
              </w:rPr>
            </w:pPr>
            <w:r w:rsidRPr="002744F0">
              <w:rPr>
                <w:rFonts w:ascii="Calibri" w:eastAsia="Calibri" w:hAnsi="Calibri" w:cs="Calibri"/>
                <w:b/>
                <w:bCs/>
                <w:noProof/>
                <w:sz w:val="18"/>
                <w:szCs w:val="18"/>
                <w:u w:val="single"/>
              </w:rPr>
              <w:t>Option 3:</w:t>
            </w:r>
            <w:r w:rsidRPr="002744F0">
              <w:rPr>
                <w:rFonts w:ascii="Calibri" w:eastAsia="Calibri" w:hAnsi="Calibri" w:cs="Calibri"/>
                <w:noProof/>
                <w:sz w:val="18"/>
                <w:szCs w:val="18"/>
              </w:rPr>
              <w:t xml:space="preserve"> </w:t>
            </w:r>
            <w:r w:rsidRPr="002744F0">
              <w:rPr>
                <w:rFonts w:ascii="Calibri" w:eastAsia="Calibri" w:hAnsi="Calibri" w:cs="Calibri"/>
                <w:b/>
                <w:bCs/>
                <w:noProof/>
                <w:sz w:val="18"/>
                <w:szCs w:val="18"/>
              </w:rPr>
              <w:t>Amendment of existing EQS</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3066BB35" w14:textId="77777777" w:rsidR="00334340" w:rsidRPr="002744F0" w:rsidRDefault="00334340" w:rsidP="00334340">
            <w:pPr>
              <w:spacing w:before="40" w:after="40"/>
              <w:jc w:val="left"/>
              <w:rPr>
                <w:rFonts w:ascii="Calibri" w:eastAsia="Calibri" w:hAnsi="Calibri" w:cs="Calibri"/>
                <w:b/>
                <w:bCs/>
                <w:noProof/>
                <w:sz w:val="18"/>
                <w:szCs w:val="18"/>
              </w:rPr>
            </w:pPr>
            <w:r w:rsidRPr="002744F0">
              <w:rPr>
                <w:rFonts w:ascii="Calibri" w:eastAsia="Calibri" w:hAnsi="Calibri" w:cs="Calibri"/>
                <w:b/>
                <w:bCs/>
                <w:noProof/>
                <w:sz w:val="18"/>
                <w:szCs w:val="18"/>
              </w:rPr>
              <w:t>14 substances to more stringent:</w:t>
            </w:r>
          </w:p>
          <w:p w14:paraId="7028B658" w14:textId="77777777" w:rsidR="00334340" w:rsidRPr="002744F0" w:rsidRDefault="00334340" w:rsidP="000A5ED7">
            <w:pPr>
              <w:spacing w:before="40" w:after="40"/>
              <w:rPr>
                <w:rFonts w:ascii="Calibri" w:eastAsia="Calibri" w:hAnsi="Calibri" w:cs="Calibri"/>
                <w:noProof/>
                <w:sz w:val="18"/>
                <w:szCs w:val="18"/>
              </w:rPr>
            </w:pPr>
            <w:r w:rsidRPr="002744F0">
              <w:rPr>
                <w:rFonts w:ascii="Calibri" w:eastAsia="Calibri" w:hAnsi="Calibri" w:cs="Calibri"/>
                <w:noProof/>
                <w:sz w:val="18"/>
                <w:szCs w:val="18"/>
              </w:rPr>
              <w:t>Chlorpyrifos; Cypermethrin; Dicofol; Dioxins; Diuron; Fluoranthene;</w:t>
            </w:r>
            <w:r w:rsidR="000A5ED7" w:rsidRPr="002744F0">
              <w:rPr>
                <w:rFonts w:ascii="Calibri" w:eastAsia="Calibri" w:hAnsi="Calibri" w:cs="Calibri"/>
                <w:noProof/>
                <w:sz w:val="18"/>
                <w:szCs w:val="18"/>
              </w:rPr>
              <w:t xml:space="preserve"> </w:t>
            </w:r>
            <w:r w:rsidRPr="002744F0">
              <w:rPr>
                <w:rFonts w:ascii="Calibri" w:eastAsia="Calibri" w:hAnsi="Calibri" w:cs="Calibri"/>
                <w:noProof/>
                <w:sz w:val="18"/>
                <w:szCs w:val="18"/>
              </w:rPr>
              <w:t>Hexabromocyclododecane (HBCDD); Hexachlorobutadiene; Mercury; Nickel; Nonyl Phenol; PAHs; PBDEs; Tributyltin</w:t>
            </w:r>
          </w:p>
          <w:p w14:paraId="64E842DB" w14:textId="77777777" w:rsidR="00334340" w:rsidRPr="002744F0" w:rsidRDefault="00334340" w:rsidP="000A5ED7">
            <w:pPr>
              <w:keepNext/>
              <w:spacing w:before="40" w:after="40"/>
              <w:rPr>
                <w:rFonts w:ascii="Calibri" w:eastAsia="Calibri" w:hAnsi="Calibri" w:cs="Calibri"/>
                <w:b/>
                <w:bCs/>
                <w:noProof/>
                <w:sz w:val="18"/>
                <w:szCs w:val="18"/>
              </w:rPr>
            </w:pPr>
            <w:r w:rsidRPr="002744F0">
              <w:rPr>
                <w:rFonts w:ascii="Calibri" w:eastAsia="Calibri" w:hAnsi="Calibri" w:cs="Calibri"/>
                <w:b/>
                <w:bCs/>
                <w:noProof/>
                <w:sz w:val="18"/>
                <w:szCs w:val="18"/>
              </w:rPr>
              <w:t>2 substances to less stringent:</w:t>
            </w:r>
          </w:p>
          <w:p w14:paraId="3D59B32F" w14:textId="77777777" w:rsidR="00334340" w:rsidRPr="002744F0" w:rsidRDefault="00334340" w:rsidP="000A5ED7">
            <w:pPr>
              <w:spacing w:before="40" w:after="40"/>
              <w:rPr>
                <w:rFonts w:ascii="Calibri" w:eastAsia="Calibri" w:hAnsi="Calibri" w:cs="Calibri"/>
                <w:noProof/>
                <w:sz w:val="18"/>
                <w:szCs w:val="18"/>
              </w:rPr>
            </w:pPr>
            <w:r w:rsidRPr="002744F0">
              <w:rPr>
                <w:rFonts w:ascii="Calibri" w:eastAsia="Calibri" w:hAnsi="Calibri" w:cs="Calibri"/>
                <w:noProof/>
                <w:sz w:val="18"/>
                <w:szCs w:val="18"/>
              </w:rPr>
              <w:t>Heptachlor/heptachlor epoxide; Hexachlorobenzene</w:t>
            </w:r>
          </w:p>
        </w:tc>
      </w:tr>
      <w:tr w:rsidR="00334340" w:rsidRPr="00BA6AF4" w14:paraId="7B6B2CDD"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5809D3D7" w14:textId="77777777" w:rsidR="00334340" w:rsidRPr="002744F0" w:rsidRDefault="00334340" w:rsidP="00334340">
            <w:pPr>
              <w:spacing w:before="40" w:after="40"/>
              <w:jc w:val="left"/>
              <w:rPr>
                <w:rFonts w:ascii="Calibri" w:eastAsia="Calibri" w:hAnsi="Calibri" w:cs="Calibri"/>
                <w:b/>
                <w:bCs/>
                <w:noProof/>
                <w:sz w:val="18"/>
                <w:szCs w:val="18"/>
              </w:rPr>
            </w:pPr>
            <w:r w:rsidRPr="002744F0">
              <w:rPr>
                <w:rFonts w:ascii="Calibri" w:eastAsia="Calibri" w:hAnsi="Calibri" w:cs="Calibri"/>
                <w:b/>
                <w:bCs/>
                <w:noProof/>
                <w:sz w:val="18"/>
                <w:szCs w:val="18"/>
                <w:u w:val="single"/>
              </w:rPr>
              <w:t>Option 4:</w:t>
            </w:r>
            <w:r w:rsidRPr="002744F0">
              <w:rPr>
                <w:rFonts w:ascii="Calibri" w:eastAsia="Calibri" w:hAnsi="Calibri" w:cs="Calibri"/>
                <w:b/>
                <w:bCs/>
                <w:noProof/>
                <w:sz w:val="18"/>
                <w:szCs w:val="18"/>
              </w:rPr>
              <w:t xml:space="preserve"> Deselection</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0C10CBE8" w14:textId="77777777" w:rsidR="00334340" w:rsidRPr="009D7B18" w:rsidRDefault="00334340" w:rsidP="000A5ED7">
            <w:pPr>
              <w:spacing w:before="40" w:after="40"/>
              <w:rPr>
                <w:rFonts w:ascii="Calibri" w:eastAsia="Calibri" w:hAnsi="Calibri" w:cs="Calibri"/>
                <w:noProof/>
                <w:sz w:val="18"/>
                <w:szCs w:val="18"/>
                <w:lang w:val="fr-BE"/>
              </w:rPr>
            </w:pPr>
            <w:r w:rsidRPr="009D7B18">
              <w:rPr>
                <w:rFonts w:ascii="Calibri" w:eastAsia="Calibri" w:hAnsi="Calibri" w:cs="Calibri"/>
                <w:b/>
                <w:bCs/>
                <w:noProof/>
                <w:sz w:val="18"/>
                <w:szCs w:val="18"/>
                <w:lang w:val="fr-BE"/>
              </w:rPr>
              <w:t xml:space="preserve">4 substances: </w:t>
            </w:r>
            <w:r w:rsidRPr="009D7B18">
              <w:rPr>
                <w:rFonts w:ascii="Calibri" w:eastAsia="Calibri" w:hAnsi="Calibri" w:cs="Calibri"/>
                <w:noProof/>
                <w:sz w:val="18"/>
                <w:szCs w:val="18"/>
                <w:lang w:val="fr-BE"/>
              </w:rPr>
              <w:t>Alachlor; Carbon tetrachloride; Chlorfenvinphos; Simazine</w:t>
            </w:r>
          </w:p>
        </w:tc>
      </w:tr>
      <w:tr w:rsidR="00334340" w:rsidRPr="002744F0" w14:paraId="2CDF2BC7" w14:textId="77777777" w:rsidTr="00334340">
        <w:tc>
          <w:tcPr>
            <w:tcW w:w="9134" w:type="dxa"/>
            <w:gridSpan w:val="3"/>
            <w:tcBorders>
              <w:top w:val="nil"/>
              <w:left w:val="single" w:sz="8" w:space="0" w:color="005962"/>
              <w:bottom w:val="single" w:sz="8" w:space="0" w:color="005962"/>
              <w:right w:val="single" w:sz="8" w:space="0" w:color="005962"/>
            </w:tcBorders>
            <w:shd w:val="clear" w:color="auto" w:fill="005962"/>
            <w:tcMar>
              <w:top w:w="0" w:type="dxa"/>
              <w:left w:w="108" w:type="dxa"/>
              <w:bottom w:w="0" w:type="dxa"/>
              <w:right w:w="108" w:type="dxa"/>
            </w:tcMar>
            <w:vAlign w:val="center"/>
            <w:hideMark/>
          </w:tcPr>
          <w:p w14:paraId="59A51338" w14:textId="77777777" w:rsidR="00334340" w:rsidRPr="002744F0" w:rsidRDefault="00334340" w:rsidP="00334340">
            <w:pPr>
              <w:keepNext/>
              <w:spacing w:before="40" w:after="40"/>
              <w:jc w:val="center"/>
              <w:rPr>
                <w:rFonts w:ascii="Calibri" w:eastAsia="Calibri" w:hAnsi="Calibri" w:cs="Calibri"/>
                <w:b/>
                <w:bCs/>
                <w:noProof/>
                <w:color w:val="FFFFFF"/>
                <w:sz w:val="20"/>
                <w:szCs w:val="20"/>
              </w:rPr>
            </w:pPr>
            <w:r w:rsidRPr="002744F0">
              <w:rPr>
                <w:rFonts w:ascii="Calibri" w:eastAsia="Calibri" w:hAnsi="Calibri" w:cs="Calibri"/>
                <w:b/>
                <w:bCs/>
                <w:noProof/>
                <w:color w:val="FFFFFF"/>
                <w:sz w:val="20"/>
                <w:szCs w:val="20"/>
              </w:rPr>
              <w:t>Groundwater</w:t>
            </w:r>
          </w:p>
        </w:tc>
      </w:tr>
      <w:tr w:rsidR="00334340" w:rsidRPr="002744F0" w14:paraId="77219B8A"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089F425E" w14:textId="77777777" w:rsidR="00334340" w:rsidRPr="002744F0" w:rsidRDefault="00334340" w:rsidP="00334340">
            <w:pPr>
              <w:spacing w:before="40" w:after="40"/>
              <w:ind w:left="33"/>
              <w:jc w:val="left"/>
              <w:rPr>
                <w:rFonts w:ascii="Calibri" w:eastAsia="Calibri" w:hAnsi="Calibri" w:cs="Calibri"/>
                <w:b/>
                <w:bCs/>
                <w:noProof/>
                <w:sz w:val="18"/>
                <w:szCs w:val="18"/>
              </w:rPr>
            </w:pPr>
            <w:r w:rsidRPr="002744F0">
              <w:rPr>
                <w:rFonts w:ascii="Calibri" w:eastAsia="Calibri" w:hAnsi="Calibri" w:cs="Calibri"/>
                <w:b/>
                <w:bCs/>
                <w:noProof/>
                <w:sz w:val="18"/>
                <w:szCs w:val="18"/>
                <w:u w:val="single"/>
              </w:rPr>
              <w:t>Option 1:</w:t>
            </w:r>
            <w:r w:rsidRPr="002744F0">
              <w:rPr>
                <w:rFonts w:ascii="Calibri" w:eastAsia="Calibri" w:hAnsi="Calibri" w:cs="Calibri"/>
                <w:b/>
                <w:bCs/>
                <w:noProof/>
                <w:sz w:val="18"/>
                <w:szCs w:val="18"/>
              </w:rPr>
              <w:t xml:space="preserve"> Addition to Annex I with GW QS set for each individually</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60C1D827" w14:textId="77777777" w:rsidR="00334340" w:rsidRPr="002744F0" w:rsidRDefault="00334340" w:rsidP="000A5ED7">
            <w:pPr>
              <w:spacing w:before="40" w:after="40"/>
              <w:rPr>
                <w:rFonts w:ascii="Calibri" w:eastAsia="Calibri" w:hAnsi="Calibri" w:cs="Calibri"/>
                <w:noProof/>
                <w:sz w:val="18"/>
                <w:szCs w:val="18"/>
              </w:rPr>
            </w:pPr>
            <w:r w:rsidRPr="002744F0">
              <w:rPr>
                <w:rFonts w:ascii="Calibri" w:eastAsia="Calibri" w:hAnsi="Calibri" w:cs="Calibri"/>
                <w:b/>
                <w:bCs/>
                <w:noProof/>
                <w:sz w:val="18"/>
                <w:szCs w:val="18"/>
              </w:rPr>
              <w:t>2 pharmaceutical substances:</w:t>
            </w:r>
            <w:r w:rsidRPr="002744F0">
              <w:rPr>
                <w:rFonts w:ascii="Calibri" w:eastAsia="Calibri" w:hAnsi="Calibri" w:cs="Calibri"/>
                <w:noProof/>
                <w:sz w:val="18"/>
                <w:szCs w:val="18"/>
              </w:rPr>
              <w:t xml:space="preserve"> Carbamazepine and Sulfamethoxazole </w:t>
            </w:r>
          </w:p>
          <w:p w14:paraId="078E3F5E" w14:textId="77777777" w:rsidR="00334340" w:rsidRPr="002744F0" w:rsidRDefault="00334340" w:rsidP="000A5ED7">
            <w:pPr>
              <w:spacing w:before="40" w:after="40"/>
              <w:rPr>
                <w:rFonts w:ascii="Calibri" w:eastAsia="Calibri" w:hAnsi="Calibri" w:cs="Calibri"/>
                <w:noProof/>
                <w:sz w:val="18"/>
                <w:szCs w:val="18"/>
              </w:rPr>
            </w:pPr>
            <w:r w:rsidRPr="002744F0">
              <w:rPr>
                <w:rFonts w:ascii="Calibri" w:eastAsia="Calibri" w:hAnsi="Calibri" w:cs="Calibri"/>
                <w:noProof/>
                <w:sz w:val="18"/>
                <w:szCs w:val="18"/>
              </w:rPr>
              <w:t>All nrMs with individual GW QS of 0.1 µg/l</w:t>
            </w:r>
          </w:p>
        </w:tc>
      </w:tr>
      <w:tr w:rsidR="00334340" w:rsidRPr="002744F0" w14:paraId="50A0EC3C"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5F58E548" w14:textId="77777777" w:rsidR="00334340" w:rsidRPr="002744F0" w:rsidRDefault="00334340" w:rsidP="004723CD">
            <w:pPr>
              <w:spacing w:before="40" w:after="40"/>
              <w:jc w:val="left"/>
              <w:rPr>
                <w:rFonts w:ascii="Calibri" w:eastAsia="Calibri" w:hAnsi="Calibri" w:cs="Calibri"/>
                <w:b/>
                <w:bCs/>
                <w:noProof/>
                <w:sz w:val="18"/>
                <w:szCs w:val="18"/>
                <w:u w:val="single"/>
              </w:rPr>
            </w:pPr>
            <w:r w:rsidRPr="002744F0">
              <w:rPr>
                <w:rFonts w:ascii="Calibri" w:eastAsia="Calibri" w:hAnsi="Calibri" w:cs="Calibri"/>
                <w:b/>
                <w:bCs/>
                <w:noProof/>
                <w:sz w:val="18"/>
                <w:szCs w:val="18"/>
                <w:u w:val="single"/>
              </w:rPr>
              <w:t>Option 2:</w:t>
            </w:r>
            <w:r w:rsidRPr="002744F0">
              <w:rPr>
                <w:rFonts w:ascii="Calibri" w:eastAsia="Calibri" w:hAnsi="Calibri" w:cs="Calibri"/>
                <w:b/>
                <w:bCs/>
                <w:noProof/>
                <w:sz w:val="18"/>
                <w:szCs w:val="18"/>
              </w:rPr>
              <w:t xml:space="preserve"> Addition to Annex I with GW QS set for “sum of”</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7060E793" w14:textId="77777777" w:rsidR="00334340" w:rsidRPr="002744F0" w:rsidRDefault="00334340" w:rsidP="004723CD">
            <w:pPr>
              <w:spacing w:before="40" w:after="40"/>
              <w:jc w:val="left"/>
              <w:rPr>
                <w:rFonts w:ascii="Calibri" w:eastAsia="Calibri" w:hAnsi="Calibri" w:cs="Calibri"/>
                <w:noProof/>
                <w:sz w:val="18"/>
                <w:szCs w:val="18"/>
              </w:rPr>
            </w:pPr>
            <w:r w:rsidRPr="002744F0">
              <w:rPr>
                <w:rFonts w:ascii="Calibri" w:eastAsia="Calibri" w:hAnsi="Calibri" w:cs="Calibri"/>
                <w:noProof/>
                <w:sz w:val="18"/>
                <w:szCs w:val="18"/>
              </w:rPr>
              <w:t>PFAS (sum of 24 named substances)</w:t>
            </w:r>
          </w:p>
        </w:tc>
      </w:tr>
      <w:tr w:rsidR="00334340" w:rsidRPr="002744F0" w14:paraId="24D2432D" w14:textId="77777777" w:rsidTr="00334340">
        <w:tc>
          <w:tcPr>
            <w:tcW w:w="4190" w:type="dxa"/>
            <w:gridSpan w:val="2"/>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4893A11F" w14:textId="77777777" w:rsidR="00334340" w:rsidRPr="002744F0" w:rsidRDefault="00334340" w:rsidP="00334340">
            <w:pPr>
              <w:spacing w:before="40" w:after="40"/>
              <w:ind w:left="33"/>
              <w:jc w:val="left"/>
              <w:rPr>
                <w:rFonts w:ascii="Calibri" w:eastAsia="Calibri" w:hAnsi="Calibri" w:cs="Calibri"/>
                <w:b/>
                <w:bCs/>
                <w:noProof/>
                <w:sz w:val="18"/>
                <w:szCs w:val="18"/>
              </w:rPr>
            </w:pPr>
            <w:r w:rsidRPr="002744F0">
              <w:rPr>
                <w:rFonts w:ascii="Calibri" w:eastAsia="Calibri" w:hAnsi="Calibri" w:cs="Calibri"/>
                <w:b/>
                <w:bCs/>
                <w:noProof/>
                <w:sz w:val="18"/>
                <w:szCs w:val="18"/>
                <w:u w:val="single"/>
              </w:rPr>
              <w:t>Option 3:</w:t>
            </w:r>
            <w:r w:rsidRPr="002744F0">
              <w:rPr>
                <w:rFonts w:ascii="Calibri" w:eastAsia="Calibri" w:hAnsi="Calibri" w:cs="Calibri"/>
                <w:b/>
                <w:bCs/>
                <w:noProof/>
                <w:sz w:val="18"/>
                <w:szCs w:val="18"/>
              </w:rPr>
              <w:t xml:space="preserve"> Addition to Annex II</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62990E9B" w14:textId="77777777" w:rsidR="00334340" w:rsidRPr="002744F0" w:rsidRDefault="00334340" w:rsidP="00334340">
            <w:pPr>
              <w:spacing w:before="40" w:after="40"/>
              <w:jc w:val="left"/>
              <w:rPr>
                <w:rFonts w:ascii="Calibri" w:eastAsia="Calibri" w:hAnsi="Calibri" w:cs="Calibri"/>
                <w:noProof/>
                <w:sz w:val="18"/>
                <w:szCs w:val="18"/>
              </w:rPr>
            </w:pPr>
            <w:r w:rsidRPr="002744F0">
              <w:rPr>
                <w:rFonts w:ascii="Calibri" w:eastAsia="Calibri" w:hAnsi="Calibri" w:cs="Calibri"/>
                <w:b/>
                <w:bCs/>
                <w:noProof/>
                <w:sz w:val="18"/>
                <w:szCs w:val="18"/>
              </w:rPr>
              <w:t>1 substance:</w:t>
            </w:r>
            <w:r w:rsidRPr="002744F0">
              <w:rPr>
                <w:rFonts w:ascii="Calibri" w:eastAsia="Calibri" w:hAnsi="Calibri" w:cs="Calibri"/>
                <w:noProof/>
                <w:sz w:val="18"/>
                <w:szCs w:val="18"/>
              </w:rPr>
              <w:t xml:space="preserve"> Primidone </w:t>
            </w:r>
          </w:p>
        </w:tc>
      </w:tr>
      <w:tr w:rsidR="00334340" w:rsidRPr="002744F0" w14:paraId="782DDA30" w14:textId="77777777" w:rsidTr="00334340">
        <w:tc>
          <w:tcPr>
            <w:tcW w:w="9134" w:type="dxa"/>
            <w:gridSpan w:val="3"/>
            <w:tcBorders>
              <w:top w:val="nil"/>
              <w:left w:val="single" w:sz="8" w:space="0" w:color="005962"/>
              <w:bottom w:val="single" w:sz="8" w:space="0" w:color="005962"/>
              <w:right w:val="single" w:sz="8" w:space="0" w:color="005962"/>
            </w:tcBorders>
            <w:shd w:val="clear" w:color="auto" w:fill="005962"/>
            <w:tcMar>
              <w:top w:w="0" w:type="dxa"/>
              <w:left w:w="108" w:type="dxa"/>
              <w:bottom w:w="0" w:type="dxa"/>
              <w:right w:w="108" w:type="dxa"/>
            </w:tcMar>
            <w:vAlign w:val="center"/>
            <w:hideMark/>
          </w:tcPr>
          <w:p w14:paraId="3167DA48" w14:textId="77777777" w:rsidR="00334340" w:rsidRPr="002744F0" w:rsidRDefault="00334340" w:rsidP="00334340">
            <w:pPr>
              <w:keepNext/>
              <w:spacing w:before="40" w:after="40"/>
              <w:jc w:val="center"/>
              <w:rPr>
                <w:rFonts w:ascii="Calibri" w:eastAsia="Calibri" w:hAnsi="Calibri" w:cs="Calibri"/>
                <w:b/>
                <w:bCs/>
                <w:noProof/>
                <w:color w:val="FFFFFF"/>
                <w:sz w:val="20"/>
                <w:szCs w:val="20"/>
              </w:rPr>
            </w:pPr>
            <w:r w:rsidRPr="002744F0">
              <w:rPr>
                <w:rFonts w:ascii="Calibri" w:eastAsia="Calibri" w:hAnsi="Calibri" w:cs="Calibri"/>
                <w:b/>
                <w:bCs/>
                <w:noProof/>
                <w:color w:val="FFFFFF"/>
                <w:sz w:val="20"/>
                <w:szCs w:val="20"/>
              </w:rPr>
              <w:t>Digitalisation, administrative streamlining and better risk management</w:t>
            </w:r>
          </w:p>
        </w:tc>
      </w:tr>
      <w:tr w:rsidR="00334340" w:rsidRPr="002744F0" w14:paraId="25F58D54" w14:textId="77777777" w:rsidTr="00334340">
        <w:tc>
          <w:tcPr>
            <w:tcW w:w="3157" w:type="dxa"/>
            <w:vMerge w:val="restart"/>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12186212" w14:textId="77777777" w:rsidR="00334340" w:rsidRPr="002744F0" w:rsidRDefault="00334340" w:rsidP="00334340">
            <w:pPr>
              <w:spacing w:before="40" w:after="40"/>
              <w:jc w:val="left"/>
              <w:rPr>
                <w:rFonts w:ascii="Calibri" w:eastAsia="Calibri" w:hAnsi="Calibri" w:cs="Calibri"/>
                <w:b/>
                <w:bCs/>
                <w:noProof/>
                <w:sz w:val="18"/>
                <w:szCs w:val="18"/>
              </w:rPr>
            </w:pPr>
            <w:r w:rsidRPr="002744F0">
              <w:rPr>
                <w:rFonts w:ascii="Calibri" w:eastAsia="Calibri" w:hAnsi="Calibri" w:cs="Calibri"/>
                <w:b/>
                <w:bCs/>
                <w:noProof/>
                <w:sz w:val="18"/>
                <w:szCs w:val="18"/>
                <w:u w:val="single"/>
              </w:rPr>
              <w:t>Option 1:</w:t>
            </w:r>
            <w:r w:rsidRPr="002744F0">
              <w:rPr>
                <w:rFonts w:ascii="Calibri" w:eastAsia="Calibri" w:hAnsi="Calibri" w:cs="Calibri"/>
                <w:b/>
                <w:bCs/>
                <w:noProof/>
                <w:sz w:val="18"/>
                <w:szCs w:val="18"/>
              </w:rPr>
              <w:t xml:space="preserve"> Provide guidance and advice on monitoring </w:t>
            </w: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4C76FF1D" w14:textId="77777777" w:rsidR="00334340" w:rsidRPr="002744F0" w:rsidRDefault="00334340" w:rsidP="00334340">
            <w:pPr>
              <w:spacing w:before="40" w:after="40"/>
              <w:jc w:val="center"/>
              <w:rPr>
                <w:rFonts w:ascii="Calibri" w:eastAsia="Calibri" w:hAnsi="Calibri" w:cs="Calibri"/>
                <w:noProof/>
                <w:sz w:val="18"/>
                <w:szCs w:val="18"/>
              </w:rPr>
            </w:pPr>
            <w:r w:rsidRPr="002744F0">
              <w:rPr>
                <w:rFonts w:ascii="Calibri" w:eastAsia="Calibri" w:hAnsi="Calibri" w:cs="Calibri"/>
                <w:noProof/>
                <w:sz w:val="18"/>
                <w:szCs w:val="18"/>
              </w:rPr>
              <w:t>b</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0C25ECAE" w14:textId="77777777" w:rsidR="00334340" w:rsidRPr="002744F0" w:rsidRDefault="00334340" w:rsidP="000A5ED7">
            <w:pPr>
              <w:spacing w:before="40" w:after="40"/>
              <w:rPr>
                <w:rFonts w:ascii="Calibri" w:eastAsia="Calibri" w:hAnsi="Calibri" w:cs="Calibri"/>
                <w:noProof/>
                <w:sz w:val="18"/>
                <w:szCs w:val="18"/>
              </w:rPr>
            </w:pPr>
            <w:r w:rsidRPr="002744F0">
              <w:rPr>
                <w:rFonts w:ascii="Calibri" w:eastAsia="Calibri" w:hAnsi="Calibri" w:cs="Calibri"/>
                <w:noProof/>
                <w:sz w:val="18"/>
                <w:szCs w:val="18"/>
              </w:rPr>
              <w:t>Improve existing EBM guidelines to improve</w:t>
            </w:r>
            <w:r w:rsidR="000A5ED7" w:rsidRPr="002744F0">
              <w:rPr>
                <w:rFonts w:ascii="Calibri" w:eastAsia="Calibri" w:hAnsi="Calibri" w:cs="Calibri"/>
                <w:noProof/>
                <w:sz w:val="18"/>
                <w:szCs w:val="18"/>
              </w:rPr>
              <w:t xml:space="preserve"> the</w:t>
            </w:r>
            <w:r w:rsidRPr="002744F0">
              <w:rPr>
                <w:rFonts w:ascii="Calibri" w:eastAsia="Calibri" w:hAnsi="Calibri" w:cs="Calibri"/>
                <w:noProof/>
                <w:sz w:val="18"/>
                <w:szCs w:val="18"/>
              </w:rPr>
              <w:t xml:space="preserve"> monitoring of groups/mixtures of pollutants by using EBMs. </w:t>
            </w:r>
          </w:p>
        </w:tc>
      </w:tr>
      <w:tr w:rsidR="00334340" w:rsidRPr="002744F0" w14:paraId="409046C9"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583B993E" w14:textId="77777777" w:rsidR="00334340" w:rsidRPr="002744F0"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0172D58A" w14:textId="77777777" w:rsidR="00334340" w:rsidRPr="002744F0" w:rsidRDefault="00334340" w:rsidP="00334340">
            <w:pPr>
              <w:spacing w:before="40" w:after="40"/>
              <w:jc w:val="center"/>
              <w:rPr>
                <w:rFonts w:ascii="Calibri" w:eastAsia="Calibri" w:hAnsi="Calibri" w:cs="Calibri"/>
                <w:noProof/>
                <w:sz w:val="18"/>
                <w:szCs w:val="18"/>
              </w:rPr>
            </w:pPr>
            <w:r w:rsidRPr="002744F0">
              <w:rPr>
                <w:rFonts w:ascii="Calibri" w:eastAsia="Calibri" w:hAnsi="Calibri" w:cs="Calibri"/>
                <w:noProof/>
                <w:sz w:val="18"/>
                <w:szCs w:val="18"/>
              </w:rPr>
              <w:t>c</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2D76C5D5" w14:textId="77777777" w:rsidR="00334340" w:rsidRPr="002744F0" w:rsidRDefault="00334340" w:rsidP="000A5ED7">
            <w:pPr>
              <w:spacing w:before="40" w:after="40"/>
              <w:rPr>
                <w:rFonts w:ascii="Calibri" w:eastAsia="Calibri" w:hAnsi="Calibri" w:cs="Calibri"/>
                <w:noProof/>
                <w:sz w:val="18"/>
                <w:szCs w:val="18"/>
              </w:rPr>
            </w:pPr>
            <w:r w:rsidRPr="002744F0">
              <w:rPr>
                <w:rFonts w:ascii="Calibri" w:eastAsia="Calibri" w:hAnsi="Calibri" w:cs="Calibri"/>
                <w:noProof/>
                <w:sz w:val="18"/>
                <w:szCs w:val="18"/>
              </w:rPr>
              <w:t>Develop a harmonised measurement standard and guidance for microplastics in water as a basis for MS reporting and a future listing under EQSD and GWD.</w:t>
            </w:r>
          </w:p>
        </w:tc>
      </w:tr>
      <w:tr w:rsidR="00334340" w:rsidRPr="002744F0" w14:paraId="39928E53" w14:textId="77777777" w:rsidTr="00334340">
        <w:tc>
          <w:tcPr>
            <w:tcW w:w="3157" w:type="dxa"/>
            <w:vMerge w:val="restart"/>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79F85A28" w14:textId="77777777" w:rsidR="00334340" w:rsidRPr="002744F0" w:rsidRDefault="00334340" w:rsidP="00334340">
            <w:pPr>
              <w:spacing w:before="40" w:after="40"/>
              <w:jc w:val="left"/>
              <w:rPr>
                <w:rFonts w:ascii="Calibri" w:eastAsia="Calibri" w:hAnsi="Calibri" w:cs="Calibri"/>
                <w:b/>
                <w:bCs/>
                <w:noProof/>
                <w:sz w:val="18"/>
                <w:szCs w:val="18"/>
              </w:rPr>
            </w:pPr>
            <w:r w:rsidRPr="002744F0">
              <w:rPr>
                <w:rFonts w:ascii="Calibri" w:eastAsia="Calibri" w:hAnsi="Calibri" w:cs="Calibri"/>
                <w:b/>
                <w:bCs/>
                <w:noProof/>
                <w:sz w:val="18"/>
                <w:szCs w:val="18"/>
                <w:u w:val="single"/>
              </w:rPr>
              <w:t>Option 2:</w:t>
            </w:r>
            <w:r w:rsidRPr="002744F0">
              <w:rPr>
                <w:rFonts w:ascii="Calibri" w:eastAsia="Calibri" w:hAnsi="Calibri" w:cs="Calibri"/>
                <w:b/>
                <w:bCs/>
                <w:noProof/>
                <w:sz w:val="18"/>
                <w:szCs w:val="18"/>
              </w:rPr>
              <w:t xml:space="preserve"> Establish/amend obligatory monitoring practices</w:t>
            </w: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47A79D7A" w14:textId="77777777" w:rsidR="00334340" w:rsidRPr="002744F0" w:rsidRDefault="00334340" w:rsidP="00334340">
            <w:pPr>
              <w:spacing w:before="40" w:after="40"/>
              <w:jc w:val="center"/>
              <w:rPr>
                <w:rFonts w:ascii="Calibri" w:eastAsia="Calibri" w:hAnsi="Calibri" w:cs="Calibri"/>
                <w:noProof/>
                <w:sz w:val="18"/>
                <w:szCs w:val="18"/>
              </w:rPr>
            </w:pPr>
            <w:r w:rsidRPr="002744F0">
              <w:rPr>
                <w:rFonts w:ascii="Calibri" w:eastAsia="Calibri" w:hAnsi="Calibri" w:cs="Calibri"/>
                <w:noProof/>
                <w:sz w:val="18"/>
                <w:szCs w:val="18"/>
              </w:rPr>
              <w:t>a</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04512F5C" w14:textId="77777777" w:rsidR="00334340" w:rsidRPr="002744F0" w:rsidRDefault="00334340" w:rsidP="000A5ED7">
            <w:pPr>
              <w:spacing w:before="40" w:after="40"/>
              <w:rPr>
                <w:rFonts w:ascii="Calibri" w:eastAsia="Calibri" w:hAnsi="Calibri" w:cs="Calibri"/>
                <w:noProof/>
                <w:sz w:val="18"/>
                <w:szCs w:val="18"/>
              </w:rPr>
            </w:pPr>
            <w:r w:rsidRPr="002744F0">
              <w:rPr>
                <w:rFonts w:ascii="Calibri" w:eastAsia="Calibri" w:hAnsi="Calibri" w:cs="Calibri"/>
                <w:noProof/>
                <w:sz w:val="18"/>
                <w:szCs w:val="18"/>
              </w:rPr>
              <w:t>Include an obligation in the EQSD to use EBMs to monitor estrogens.</w:t>
            </w:r>
          </w:p>
        </w:tc>
      </w:tr>
      <w:tr w:rsidR="00334340" w:rsidRPr="002744F0" w14:paraId="0D6FA8BA"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466ADEF1" w14:textId="77777777" w:rsidR="00334340" w:rsidRPr="002744F0"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0CF7A6C2" w14:textId="77777777" w:rsidR="00334340" w:rsidRPr="002744F0" w:rsidRDefault="00334340" w:rsidP="00334340">
            <w:pPr>
              <w:spacing w:before="40" w:after="40"/>
              <w:jc w:val="center"/>
              <w:rPr>
                <w:rFonts w:ascii="Calibri" w:eastAsia="Calibri" w:hAnsi="Calibri" w:cs="Calibri"/>
                <w:noProof/>
                <w:sz w:val="18"/>
                <w:szCs w:val="18"/>
              </w:rPr>
            </w:pPr>
            <w:r w:rsidRPr="002744F0">
              <w:rPr>
                <w:rFonts w:ascii="Calibri" w:eastAsia="Calibri" w:hAnsi="Calibri" w:cs="Calibri"/>
                <w:noProof/>
                <w:sz w:val="18"/>
                <w:szCs w:val="18"/>
              </w:rPr>
              <w:t>b</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13C526D6" w14:textId="77777777" w:rsidR="00334340" w:rsidRPr="002744F0" w:rsidRDefault="00334340" w:rsidP="000A5ED7">
            <w:pPr>
              <w:spacing w:before="40" w:after="40"/>
              <w:rPr>
                <w:rFonts w:ascii="Calibri" w:eastAsia="Calibri" w:hAnsi="Calibri" w:cs="Calibri"/>
                <w:noProof/>
                <w:sz w:val="18"/>
                <w:szCs w:val="18"/>
              </w:rPr>
            </w:pPr>
            <w:r w:rsidRPr="002744F0">
              <w:rPr>
                <w:rFonts w:ascii="Calibri" w:eastAsia="Calibri" w:hAnsi="Calibri" w:cs="Calibri"/>
                <w:noProof/>
                <w:sz w:val="18"/>
                <w:szCs w:val="18"/>
              </w:rPr>
              <w:t>Establish an obligatory Groundwater Watch List analogous to that of surface waters and drinking water and provide guidance on the monitoring of the listed substances.</w:t>
            </w:r>
          </w:p>
        </w:tc>
      </w:tr>
      <w:tr w:rsidR="00334340" w:rsidRPr="002744F0" w14:paraId="2DF87A52"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0FA897E7" w14:textId="77777777" w:rsidR="00334340" w:rsidRPr="002744F0"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51D83276" w14:textId="77777777" w:rsidR="00334340" w:rsidRPr="002744F0" w:rsidRDefault="00334340" w:rsidP="00334340">
            <w:pPr>
              <w:spacing w:before="40" w:after="40"/>
              <w:jc w:val="center"/>
              <w:rPr>
                <w:rFonts w:ascii="Calibri" w:eastAsia="Calibri" w:hAnsi="Calibri" w:cs="Calibri"/>
                <w:noProof/>
                <w:sz w:val="18"/>
                <w:szCs w:val="18"/>
              </w:rPr>
            </w:pPr>
            <w:r w:rsidRPr="002744F0">
              <w:rPr>
                <w:rFonts w:ascii="Calibri" w:eastAsia="Calibri" w:hAnsi="Calibri" w:cs="Calibri"/>
                <w:noProof/>
                <w:sz w:val="18"/>
                <w:szCs w:val="18"/>
              </w:rPr>
              <w:t>c</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6E14C5E3" w14:textId="77777777" w:rsidR="00334340" w:rsidRPr="002744F0" w:rsidRDefault="00334340" w:rsidP="000A5ED7">
            <w:pPr>
              <w:spacing w:before="40" w:after="40"/>
              <w:rPr>
                <w:rFonts w:ascii="Calibri" w:eastAsia="Calibri" w:hAnsi="Calibri" w:cs="Calibri"/>
                <w:noProof/>
                <w:sz w:val="18"/>
                <w:szCs w:val="18"/>
              </w:rPr>
            </w:pPr>
            <w:r w:rsidRPr="002744F0">
              <w:rPr>
                <w:rFonts w:ascii="Calibri" w:eastAsia="Calibri" w:hAnsi="Calibri" w:cs="Calibri"/>
                <w:noProof/>
                <w:sz w:val="18"/>
                <w:szCs w:val="18"/>
              </w:rPr>
              <w:t>Improve the monitoring and review cycle of the Surface Water Watch List so that there is more time to process the data before revising the list.</w:t>
            </w:r>
          </w:p>
        </w:tc>
      </w:tr>
      <w:tr w:rsidR="00334340" w:rsidRPr="002744F0" w14:paraId="52A3DB06" w14:textId="77777777" w:rsidTr="00334340">
        <w:tc>
          <w:tcPr>
            <w:tcW w:w="3157" w:type="dxa"/>
            <w:vMerge w:val="restart"/>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30796226" w14:textId="77777777" w:rsidR="00334340" w:rsidRPr="002744F0" w:rsidRDefault="00334340" w:rsidP="00334340">
            <w:pPr>
              <w:spacing w:before="40" w:after="40"/>
              <w:jc w:val="left"/>
              <w:rPr>
                <w:rFonts w:ascii="Calibri" w:eastAsia="Calibri" w:hAnsi="Calibri" w:cs="Calibri"/>
                <w:b/>
                <w:bCs/>
                <w:noProof/>
                <w:sz w:val="18"/>
                <w:szCs w:val="18"/>
              </w:rPr>
            </w:pPr>
            <w:r w:rsidRPr="002744F0">
              <w:rPr>
                <w:rFonts w:ascii="Calibri" w:eastAsia="Calibri" w:hAnsi="Calibri" w:cs="Calibri"/>
                <w:b/>
                <w:bCs/>
                <w:noProof/>
                <w:sz w:val="18"/>
                <w:szCs w:val="18"/>
                <w:u w:val="single"/>
              </w:rPr>
              <w:t>Option 3:</w:t>
            </w:r>
            <w:r w:rsidRPr="002744F0">
              <w:rPr>
                <w:rFonts w:ascii="Calibri" w:eastAsia="Calibri" w:hAnsi="Calibri" w:cs="Calibri"/>
                <w:b/>
                <w:bCs/>
                <w:noProof/>
                <w:sz w:val="18"/>
                <w:szCs w:val="18"/>
              </w:rPr>
              <w:t xml:space="preserve"> Harmonise reporting and classification</w:t>
            </w: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3BB714C9" w14:textId="77777777" w:rsidR="00334340" w:rsidRPr="002744F0" w:rsidRDefault="00334340" w:rsidP="00334340">
            <w:pPr>
              <w:spacing w:before="40" w:after="40"/>
              <w:jc w:val="center"/>
              <w:rPr>
                <w:rFonts w:ascii="Calibri" w:eastAsia="Calibri" w:hAnsi="Calibri" w:cs="Calibri"/>
                <w:noProof/>
                <w:sz w:val="18"/>
                <w:szCs w:val="18"/>
              </w:rPr>
            </w:pPr>
            <w:r w:rsidRPr="002744F0">
              <w:rPr>
                <w:rFonts w:ascii="Calibri" w:eastAsia="Calibri" w:hAnsi="Calibri" w:cs="Calibri"/>
                <w:noProof/>
                <w:sz w:val="18"/>
                <w:szCs w:val="18"/>
              </w:rPr>
              <w:t>a</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79A539B5" w14:textId="77777777" w:rsidR="00334340" w:rsidRPr="002744F0" w:rsidRDefault="00334340" w:rsidP="000A5ED7">
            <w:pPr>
              <w:spacing w:before="40" w:after="40"/>
              <w:rPr>
                <w:rFonts w:ascii="Calibri" w:eastAsia="Calibri" w:hAnsi="Calibri" w:cs="Calibri"/>
                <w:noProof/>
                <w:sz w:val="18"/>
                <w:szCs w:val="18"/>
              </w:rPr>
            </w:pPr>
            <w:r w:rsidRPr="002744F0">
              <w:rPr>
                <w:rFonts w:ascii="Calibri" w:eastAsia="Calibri" w:hAnsi="Calibri" w:cs="Calibri"/>
                <w:noProof/>
                <w:sz w:val="18"/>
                <w:szCs w:val="18"/>
              </w:rPr>
              <w:t>Establish an automated data delivery mechanism for the EQSD and the WFD to ensure easy access at short intervals to monitoring/status data to streamline and reduce efforts associated with current reporting, and to allow access to raw monitoring data.</w:t>
            </w:r>
          </w:p>
        </w:tc>
      </w:tr>
      <w:tr w:rsidR="00334340" w:rsidRPr="002744F0" w14:paraId="2CCDA259"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73166233" w14:textId="77777777" w:rsidR="00334340" w:rsidRPr="002744F0"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3CC22362" w14:textId="77777777" w:rsidR="00334340" w:rsidRPr="002744F0" w:rsidRDefault="00334340" w:rsidP="00334340">
            <w:pPr>
              <w:spacing w:before="40" w:after="40"/>
              <w:jc w:val="center"/>
              <w:rPr>
                <w:rFonts w:ascii="Calibri" w:eastAsia="Calibri" w:hAnsi="Calibri" w:cs="Calibri"/>
                <w:noProof/>
                <w:sz w:val="18"/>
                <w:szCs w:val="18"/>
              </w:rPr>
            </w:pPr>
            <w:r w:rsidRPr="002744F0">
              <w:rPr>
                <w:rFonts w:ascii="Calibri" w:eastAsia="Calibri" w:hAnsi="Calibri" w:cs="Calibri"/>
                <w:noProof/>
                <w:sz w:val="18"/>
                <w:szCs w:val="18"/>
              </w:rPr>
              <w:t>b</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7ED42CF5" w14:textId="77777777" w:rsidR="00334340" w:rsidRPr="002744F0" w:rsidRDefault="00334340" w:rsidP="000A5ED7">
            <w:pPr>
              <w:spacing w:before="40" w:after="40"/>
              <w:rPr>
                <w:rFonts w:ascii="Calibri" w:eastAsia="Calibri" w:hAnsi="Calibri" w:cs="Calibri"/>
                <w:noProof/>
                <w:sz w:val="18"/>
                <w:szCs w:val="18"/>
              </w:rPr>
            </w:pPr>
            <w:r w:rsidRPr="002744F0">
              <w:rPr>
                <w:rFonts w:ascii="Calibri" w:eastAsia="Calibri" w:hAnsi="Calibri" w:cs="Calibri"/>
                <w:noProof/>
                <w:sz w:val="18"/>
                <w:szCs w:val="18"/>
              </w:rPr>
              <w:t>Introduce a repository of environmental quality standards for the RBSPs as an Annex to the EQSD, and incorporate RBSPs into the assessment of surface waters’ chemical status.</w:t>
            </w:r>
          </w:p>
        </w:tc>
      </w:tr>
      <w:tr w:rsidR="00334340" w:rsidRPr="002744F0" w14:paraId="23B9465A" w14:textId="77777777" w:rsidTr="00334340">
        <w:tc>
          <w:tcPr>
            <w:tcW w:w="3157" w:type="dxa"/>
            <w:vMerge w:val="restart"/>
            <w:tcBorders>
              <w:top w:val="nil"/>
              <w:left w:val="single" w:sz="8" w:space="0" w:color="005962"/>
              <w:bottom w:val="single" w:sz="8" w:space="0" w:color="005962"/>
              <w:right w:val="single" w:sz="8" w:space="0" w:color="005962"/>
            </w:tcBorders>
            <w:tcMar>
              <w:top w:w="0" w:type="dxa"/>
              <w:left w:w="108" w:type="dxa"/>
              <w:bottom w:w="0" w:type="dxa"/>
              <w:right w:w="108" w:type="dxa"/>
            </w:tcMar>
            <w:vAlign w:val="center"/>
            <w:hideMark/>
          </w:tcPr>
          <w:p w14:paraId="67DA072C" w14:textId="77777777" w:rsidR="00334340" w:rsidRPr="002744F0" w:rsidRDefault="00334340" w:rsidP="00334340">
            <w:pPr>
              <w:spacing w:before="40" w:after="40"/>
              <w:ind w:left="33"/>
              <w:jc w:val="left"/>
              <w:rPr>
                <w:rFonts w:ascii="Calibri" w:eastAsia="Calibri" w:hAnsi="Calibri" w:cs="Calibri"/>
                <w:b/>
                <w:bCs/>
                <w:noProof/>
                <w:sz w:val="18"/>
                <w:szCs w:val="18"/>
              </w:rPr>
            </w:pPr>
            <w:r w:rsidRPr="002744F0">
              <w:rPr>
                <w:rFonts w:ascii="Calibri" w:eastAsia="Calibri" w:hAnsi="Calibri" w:cs="Calibri"/>
                <w:b/>
                <w:bCs/>
                <w:noProof/>
                <w:sz w:val="18"/>
                <w:szCs w:val="18"/>
                <w:u w:val="single"/>
              </w:rPr>
              <w:t>Option 4:</w:t>
            </w:r>
            <w:r w:rsidRPr="002744F0">
              <w:rPr>
                <w:rFonts w:ascii="Calibri" w:eastAsia="Calibri" w:hAnsi="Calibri" w:cs="Calibri"/>
                <w:b/>
                <w:bCs/>
                <w:noProof/>
                <w:sz w:val="18"/>
                <w:szCs w:val="18"/>
              </w:rPr>
              <w:t xml:space="preserve"> Legislative and administrative aspects</w:t>
            </w: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325210D5" w14:textId="77777777" w:rsidR="00334340" w:rsidRPr="002744F0" w:rsidRDefault="00334340" w:rsidP="00437E25">
            <w:pPr>
              <w:spacing w:before="0" w:after="40"/>
              <w:jc w:val="center"/>
              <w:rPr>
                <w:rFonts w:ascii="Calibri" w:hAnsi="Calibri" w:cs="Calibri"/>
                <w:bCs/>
                <w:noProof/>
                <w:sz w:val="18"/>
                <w:szCs w:val="18"/>
              </w:rPr>
            </w:pPr>
            <w:r w:rsidRPr="002744F0">
              <w:rPr>
                <w:rFonts w:ascii="Calibri" w:hAnsi="Calibri" w:cs="Calibri"/>
                <w:bCs/>
                <w:noProof/>
                <w:sz w:val="18"/>
                <w:szCs w:val="18"/>
              </w:rPr>
              <w:t>a</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115C79CC" w14:textId="77777777" w:rsidR="00334340" w:rsidRPr="002744F0" w:rsidRDefault="00334340" w:rsidP="000A5ED7">
            <w:pPr>
              <w:spacing w:before="40" w:after="40"/>
              <w:ind w:left="13"/>
              <w:rPr>
                <w:rFonts w:ascii="Calibri" w:eastAsia="Calibri" w:hAnsi="Calibri" w:cs="Calibri"/>
                <w:noProof/>
                <w:sz w:val="18"/>
                <w:szCs w:val="18"/>
              </w:rPr>
            </w:pPr>
            <w:r w:rsidRPr="002744F0">
              <w:rPr>
                <w:rFonts w:ascii="Calibri" w:eastAsia="Calibri" w:hAnsi="Calibri" w:cs="Calibri"/>
                <w:noProof/>
                <w:sz w:val="18"/>
                <w:szCs w:val="18"/>
              </w:rPr>
              <w:t xml:space="preserve">Use EQSD instead of WFD to define the list of </w:t>
            </w:r>
            <w:r w:rsidR="009853E3" w:rsidRPr="002744F0">
              <w:rPr>
                <w:rFonts w:ascii="Calibri" w:eastAsia="Calibri" w:hAnsi="Calibri" w:cs="Calibri"/>
                <w:noProof/>
                <w:sz w:val="18"/>
                <w:szCs w:val="18"/>
              </w:rPr>
              <w:t>p</w:t>
            </w:r>
            <w:r w:rsidRPr="002744F0">
              <w:rPr>
                <w:rFonts w:ascii="Calibri" w:eastAsia="Calibri" w:hAnsi="Calibri" w:cs="Calibri"/>
                <w:noProof/>
                <w:sz w:val="18"/>
                <w:szCs w:val="18"/>
              </w:rPr>
              <w:t xml:space="preserve">riority </w:t>
            </w:r>
            <w:r w:rsidR="009853E3" w:rsidRPr="002744F0">
              <w:rPr>
                <w:rFonts w:ascii="Calibri" w:eastAsia="Calibri" w:hAnsi="Calibri" w:cs="Calibri"/>
                <w:noProof/>
                <w:sz w:val="18"/>
                <w:szCs w:val="18"/>
              </w:rPr>
              <w:t>s</w:t>
            </w:r>
            <w:r w:rsidRPr="002744F0">
              <w:rPr>
                <w:rFonts w:ascii="Calibri" w:eastAsia="Calibri" w:hAnsi="Calibri" w:cs="Calibri"/>
                <w:noProof/>
                <w:sz w:val="18"/>
                <w:szCs w:val="18"/>
              </w:rPr>
              <w:t>ubstances, and update the lists of SW and GW pollutants by Comitology or delegated acts.</w:t>
            </w:r>
          </w:p>
        </w:tc>
      </w:tr>
      <w:tr w:rsidR="00334340" w:rsidRPr="002744F0" w14:paraId="0F839218"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15CCA9DD" w14:textId="77777777" w:rsidR="00334340" w:rsidRPr="002744F0"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679D3B7B" w14:textId="77777777" w:rsidR="00334340" w:rsidRPr="002744F0" w:rsidRDefault="00334340" w:rsidP="00437E25">
            <w:pPr>
              <w:spacing w:before="0" w:after="40"/>
              <w:jc w:val="center"/>
              <w:rPr>
                <w:rFonts w:ascii="Calibri" w:hAnsi="Calibri" w:cs="Calibri"/>
                <w:noProof/>
                <w:sz w:val="18"/>
                <w:szCs w:val="18"/>
              </w:rPr>
            </w:pPr>
            <w:r w:rsidRPr="002744F0">
              <w:rPr>
                <w:rFonts w:ascii="Calibri" w:hAnsi="Calibri" w:cs="Calibri"/>
                <w:bCs/>
                <w:noProof/>
                <w:sz w:val="18"/>
                <w:szCs w:val="18"/>
              </w:rPr>
              <w:t>b</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15FFC05E" w14:textId="77777777" w:rsidR="00334340" w:rsidRPr="002744F0" w:rsidRDefault="00334340" w:rsidP="009853E3">
            <w:pPr>
              <w:rPr>
                <w:rFonts w:asciiTheme="minorHAnsi" w:hAnsiTheme="minorHAnsi" w:cstheme="minorHAnsi"/>
                <w:noProof/>
                <w:sz w:val="18"/>
                <w:szCs w:val="18"/>
              </w:rPr>
            </w:pPr>
            <w:r w:rsidRPr="002744F0">
              <w:rPr>
                <w:rFonts w:asciiTheme="minorHAnsi" w:hAnsiTheme="minorHAnsi" w:cstheme="minorHAnsi"/>
                <w:noProof/>
                <w:sz w:val="18"/>
                <w:szCs w:val="18"/>
              </w:rPr>
              <w:t xml:space="preserve">Change the status of Aldrin, Dieldrin, Endrin, Isodrin, DDT, Tetrachloroethylene and Trichloroethylene from ‘other pollutants’ to that of </w:t>
            </w:r>
            <w:r w:rsidR="009853E3" w:rsidRPr="002744F0">
              <w:rPr>
                <w:rFonts w:asciiTheme="minorHAnsi" w:hAnsiTheme="minorHAnsi" w:cstheme="minorHAnsi"/>
                <w:noProof/>
                <w:sz w:val="18"/>
                <w:szCs w:val="18"/>
              </w:rPr>
              <w:t>p</w:t>
            </w:r>
            <w:r w:rsidRPr="002744F0">
              <w:rPr>
                <w:rFonts w:asciiTheme="minorHAnsi" w:hAnsiTheme="minorHAnsi" w:cstheme="minorHAnsi"/>
                <w:noProof/>
                <w:sz w:val="18"/>
                <w:szCs w:val="18"/>
              </w:rPr>
              <w:t xml:space="preserve">riority </w:t>
            </w:r>
            <w:r w:rsidR="009853E3" w:rsidRPr="002744F0">
              <w:rPr>
                <w:rFonts w:asciiTheme="minorHAnsi" w:hAnsiTheme="minorHAnsi" w:cstheme="minorHAnsi"/>
                <w:noProof/>
                <w:sz w:val="18"/>
                <w:szCs w:val="18"/>
              </w:rPr>
              <w:t>s</w:t>
            </w:r>
            <w:r w:rsidRPr="002744F0">
              <w:rPr>
                <w:rFonts w:asciiTheme="minorHAnsi" w:hAnsiTheme="minorHAnsi" w:cstheme="minorHAnsi"/>
                <w:noProof/>
                <w:sz w:val="18"/>
                <w:szCs w:val="18"/>
              </w:rPr>
              <w:t>ubstances.</w:t>
            </w:r>
          </w:p>
        </w:tc>
      </w:tr>
      <w:tr w:rsidR="00334340" w:rsidRPr="002744F0" w14:paraId="28161B05" w14:textId="77777777" w:rsidTr="00334340">
        <w:tc>
          <w:tcPr>
            <w:tcW w:w="0" w:type="auto"/>
            <w:vMerge/>
            <w:tcBorders>
              <w:top w:val="nil"/>
              <w:left w:val="single" w:sz="8" w:space="0" w:color="005962"/>
              <w:bottom w:val="single" w:sz="8" w:space="0" w:color="005962"/>
              <w:right w:val="single" w:sz="8" w:space="0" w:color="005962"/>
            </w:tcBorders>
            <w:vAlign w:val="center"/>
            <w:hideMark/>
          </w:tcPr>
          <w:p w14:paraId="4588622F" w14:textId="77777777" w:rsidR="00334340" w:rsidRPr="002744F0" w:rsidRDefault="00334340" w:rsidP="00334340">
            <w:pPr>
              <w:spacing w:before="0" w:after="0"/>
              <w:jc w:val="left"/>
              <w:rPr>
                <w:rFonts w:ascii="Calibri" w:eastAsia="Calibri" w:hAnsi="Calibri" w:cs="Calibri"/>
                <w:b/>
                <w:bCs/>
                <w:noProof/>
                <w:sz w:val="18"/>
                <w:szCs w:val="18"/>
              </w:rPr>
            </w:pPr>
          </w:p>
        </w:tc>
        <w:tc>
          <w:tcPr>
            <w:tcW w:w="1033"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1C2B7925" w14:textId="77777777" w:rsidR="00334340" w:rsidRPr="002744F0" w:rsidRDefault="00334340" w:rsidP="00437E25">
            <w:pPr>
              <w:spacing w:before="0" w:after="40"/>
              <w:jc w:val="center"/>
              <w:rPr>
                <w:rFonts w:ascii="Calibri" w:hAnsi="Calibri" w:cs="Calibri"/>
                <w:bCs/>
                <w:noProof/>
                <w:sz w:val="18"/>
                <w:szCs w:val="18"/>
              </w:rPr>
            </w:pPr>
            <w:r w:rsidRPr="002744F0">
              <w:rPr>
                <w:rFonts w:ascii="Calibri" w:hAnsi="Calibri" w:cs="Calibri"/>
                <w:bCs/>
                <w:noProof/>
                <w:sz w:val="18"/>
                <w:szCs w:val="18"/>
              </w:rPr>
              <w:t>c</w:t>
            </w:r>
          </w:p>
        </w:tc>
        <w:tc>
          <w:tcPr>
            <w:tcW w:w="4944" w:type="dxa"/>
            <w:tcBorders>
              <w:top w:val="nil"/>
              <w:left w:val="nil"/>
              <w:bottom w:val="single" w:sz="8" w:space="0" w:color="005962"/>
              <w:right w:val="single" w:sz="8" w:space="0" w:color="005962"/>
            </w:tcBorders>
            <w:tcMar>
              <w:top w:w="0" w:type="dxa"/>
              <w:left w:w="108" w:type="dxa"/>
              <w:bottom w:w="0" w:type="dxa"/>
              <w:right w:w="108" w:type="dxa"/>
            </w:tcMar>
            <w:vAlign w:val="center"/>
            <w:hideMark/>
          </w:tcPr>
          <w:p w14:paraId="4AD352A3" w14:textId="77777777" w:rsidR="00334340" w:rsidRPr="002744F0" w:rsidRDefault="00334340" w:rsidP="009853E3">
            <w:pPr>
              <w:rPr>
                <w:rFonts w:asciiTheme="minorHAnsi" w:hAnsiTheme="minorHAnsi" w:cstheme="minorHAnsi"/>
                <w:noProof/>
                <w:sz w:val="18"/>
                <w:szCs w:val="18"/>
              </w:rPr>
            </w:pPr>
            <w:r w:rsidRPr="002744F0">
              <w:rPr>
                <w:rFonts w:asciiTheme="minorHAnsi" w:hAnsiTheme="minorHAnsi" w:cstheme="minorHAnsi"/>
                <w:noProof/>
                <w:sz w:val="18"/>
                <w:szCs w:val="18"/>
              </w:rPr>
              <w:t xml:space="preserve">Change the status of </w:t>
            </w:r>
            <w:r w:rsidR="00F9236C" w:rsidRPr="002744F0">
              <w:rPr>
                <w:rFonts w:asciiTheme="minorHAnsi" w:hAnsiTheme="minorHAnsi" w:cstheme="minorHAnsi"/>
                <w:noProof/>
                <w:sz w:val="18"/>
                <w:szCs w:val="18"/>
              </w:rPr>
              <w:t xml:space="preserve">1,2 dichloroethane, fluoranthene, lead, octylphenol ethoxylates and pentachlorophenol </w:t>
            </w:r>
            <w:r w:rsidRPr="002744F0">
              <w:rPr>
                <w:rFonts w:asciiTheme="minorHAnsi" w:hAnsiTheme="minorHAnsi" w:cstheme="minorHAnsi"/>
                <w:noProof/>
                <w:sz w:val="18"/>
                <w:szCs w:val="18"/>
              </w:rPr>
              <w:t xml:space="preserve">to that of </w:t>
            </w:r>
            <w:r w:rsidR="009853E3" w:rsidRPr="002744F0">
              <w:rPr>
                <w:rFonts w:asciiTheme="minorHAnsi" w:hAnsiTheme="minorHAnsi" w:cstheme="minorHAnsi"/>
                <w:noProof/>
                <w:sz w:val="18"/>
                <w:szCs w:val="18"/>
              </w:rPr>
              <w:t>p</w:t>
            </w:r>
            <w:r w:rsidRPr="002744F0">
              <w:rPr>
                <w:rFonts w:asciiTheme="minorHAnsi" w:hAnsiTheme="minorHAnsi" w:cstheme="minorHAnsi"/>
                <w:noProof/>
                <w:sz w:val="18"/>
                <w:szCs w:val="18"/>
              </w:rPr>
              <w:t xml:space="preserve">riority </w:t>
            </w:r>
            <w:r w:rsidR="009853E3" w:rsidRPr="002744F0">
              <w:rPr>
                <w:rFonts w:asciiTheme="minorHAnsi" w:hAnsiTheme="minorHAnsi" w:cstheme="minorHAnsi"/>
                <w:noProof/>
                <w:sz w:val="18"/>
                <w:szCs w:val="18"/>
              </w:rPr>
              <w:t>h</w:t>
            </w:r>
            <w:r w:rsidRPr="002744F0">
              <w:rPr>
                <w:rFonts w:asciiTheme="minorHAnsi" w:hAnsiTheme="minorHAnsi" w:cstheme="minorHAnsi"/>
                <w:noProof/>
                <w:sz w:val="18"/>
                <w:szCs w:val="18"/>
              </w:rPr>
              <w:t xml:space="preserve">azardous </w:t>
            </w:r>
            <w:r w:rsidR="009853E3" w:rsidRPr="002744F0">
              <w:rPr>
                <w:rFonts w:asciiTheme="minorHAnsi" w:hAnsiTheme="minorHAnsi" w:cstheme="minorHAnsi"/>
                <w:noProof/>
                <w:sz w:val="18"/>
                <w:szCs w:val="18"/>
              </w:rPr>
              <w:t>s</w:t>
            </w:r>
            <w:r w:rsidRPr="002744F0">
              <w:rPr>
                <w:rFonts w:asciiTheme="minorHAnsi" w:hAnsiTheme="minorHAnsi" w:cstheme="minorHAnsi"/>
                <w:noProof/>
                <w:sz w:val="18"/>
                <w:szCs w:val="18"/>
              </w:rPr>
              <w:t>ubstances.</w:t>
            </w:r>
          </w:p>
        </w:tc>
      </w:tr>
    </w:tbl>
    <w:p w14:paraId="7317668E" w14:textId="77777777" w:rsidR="009B2C6D" w:rsidRPr="002744F0" w:rsidRDefault="009B2C6D" w:rsidP="009B2C6D">
      <w:pPr>
        <w:tabs>
          <w:tab w:val="left" w:pos="2064"/>
        </w:tabs>
        <w:spacing w:before="0" w:after="0"/>
        <w:jc w:val="left"/>
        <w:rPr>
          <w:noProof/>
        </w:rPr>
      </w:pPr>
    </w:p>
    <w:p w14:paraId="63C64A53" w14:textId="77777777" w:rsidR="002821B9" w:rsidRPr="002744F0" w:rsidRDefault="002821B9" w:rsidP="009B2C6D">
      <w:pPr>
        <w:tabs>
          <w:tab w:val="left" w:pos="2064"/>
        </w:tabs>
        <w:spacing w:before="0" w:after="0"/>
        <w:rPr>
          <w:noProof/>
        </w:rPr>
      </w:pPr>
      <w:r w:rsidRPr="002744F0">
        <w:rPr>
          <w:noProof/>
        </w:rPr>
        <w:t xml:space="preserve">The proposed policy package ensures that legislative changes remain proportionate, </w:t>
      </w:r>
      <w:r w:rsidR="009B2C6D" w:rsidRPr="002744F0">
        <w:rPr>
          <w:noProof/>
        </w:rPr>
        <w:t>with e</w:t>
      </w:r>
      <w:r w:rsidR="00B074EB" w:rsidRPr="002744F0">
        <w:rPr>
          <w:noProof/>
        </w:rPr>
        <w:t xml:space="preserve">conomic, </w:t>
      </w:r>
      <w:r w:rsidRPr="002744F0">
        <w:rPr>
          <w:noProof/>
        </w:rPr>
        <w:t xml:space="preserve">social and environmental benefits larger than </w:t>
      </w:r>
      <w:r w:rsidR="00B074EB" w:rsidRPr="002744F0">
        <w:rPr>
          <w:noProof/>
        </w:rPr>
        <w:t>the corresponding</w:t>
      </w:r>
      <w:r w:rsidRPr="002744F0">
        <w:rPr>
          <w:noProof/>
        </w:rPr>
        <w:t xml:space="preserve"> costs</w:t>
      </w:r>
      <w:r w:rsidR="00C079ED" w:rsidRPr="002744F0">
        <w:rPr>
          <w:noProof/>
        </w:rPr>
        <w:t>,</w:t>
      </w:r>
      <w:r w:rsidRPr="002744F0">
        <w:rPr>
          <w:noProof/>
        </w:rPr>
        <w:t xml:space="preserve"> and</w:t>
      </w:r>
      <w:r w:rsidR="00C079ED" w:rsidRPr="002744F0">
        <w:rPr>
          <w:noProof/>
        </w:rPr>
        <w:t xml:space="preserve"> that they</w:t>
      </w:r>
      <w:r w:rsidRPr="002744F0">
        <w:rPr>
          <w:noProof/>
        </w:rPr>
        <w:t xml:space="preserve"> </w:t>
      </w:r>
      <w:r w:rsidR="004B2F12" w:rsidRPr="002744F0">
        <w:rPr>
          <w:noProof/>
        </w:rPr>
        <w:t>focus</w:t>
      </w:r>
      <w:r w:rsidR="009B2C6D" w:rsidRPr="002744F0">
        <w:rPr>
          <w:noProof/>
        </w:rPr>
        <w:t xml:space="preserve"> </w:t>
      </w:r>
      <w:r w:rsidR="004B2F12" w:rsidRPr="002744F0">
        <w:rPr>
          <w:noProof/>
        </w:rPr>
        <w:t xml:space="preserve">on </w:t>
      </w:r>
      <w:r w:rsidRPr="002744F0">
        <w:rPr>
          <w:noProof/>
        </w:rPr>
        <w:t xml:space="preserve">issues </w:t>
      </w:r>
      <w:r w:rsidR="004B2F12" w:rsidRPr="002744F0">
        <w:rPr>
          <w:noProof/>
        </w:rPr>
        <w:t xml:space="preserve">that </w:t>
      </w:r>
      <w:r w:rsidRPr="002744F0">
        <w:rPr>
          <w:noProof/>
        </w:rPr>
        <w:t xml:space="preserve">are best addressed at EU level. </w:t>
      </w:r>
    </w:p>
    <w:p w14:paraId="491E2BFE" w14:textId="77777777" w:rsidR="002821B9" w:rsidRPr="002744F0" w:rsidRDefault="002821B9" w:rsidP="002821B9">
      <w:pPr>
        <w:rPr>
          <w:noProof/>
        </w:rPr>
      </w:pPr>
      <w:r w:rsidRPr="002744F0">
        <w:rPr>
          <w:noProof/>
        </w:rPr>
        <w:t>Quantif</w:t>
      </w:r>
      <w:r w:rsidR="00C079ED" w:rsidRPr="002744F0">
        <w:rPr>
          <w:noProof/>
        </w:rPr>
        <w:t>ying the</w:t>
      </w:r>
      <w:r w:rsidRPr="002744F0">
        <w:rPr>
          <w:noProof/>
        </w:rPr>
        <w:t xml:space="preserve"> costs</w:t>
      </w:r>
      <w:r w:rsidR="00C079ED" w:rsidRPr="002744F0">
        <w:rPr>
          <w:noProof/>
        </w:rPr>
        <w:t>,</w:t>
      </w:r>
      <w:r w:rsidRPr="002744F0">
        <w:rPr>
          <w:noProof/>
        </w:rPr>
        <w:t xml:space="preserve"> and </w:t>
      </w:r>
      <w:r w:rsidR="009B38C3" w:rsidRPr="002744F0">
        <w:rPr>
          <w:noProof/>
        </w:rPr>
        <w:t xml:space="preserve">especially </w:t>
      </w:r>
      <w:r w:rsidR="00C079ED" w:rsidRPr="002744F0">
        <w:rPr>
          <w:noProof/>
        </w:rPr>
        <w:t>the</w:t>
      </w:r>
      <w:r w:rsidR="009B38C3" w:rsidRPr="002744F0">
        <w:rPr>
          <w:noProof/>
        </w:rPr>
        <w:t xml:space="preserve"> </w:t>
      </w:r>
      <w:r w:rsidRPr="002744F0">
        <w:rPr>
          <w:noProof/>
        </w:rPr>
        <w:t>benefits</w:t>
      </w:r>
      <w:r w:rsidR="00C079ED" w:rsidRPr="002744F0">
        <w:rPr>
          <w:noProof/>
        </w:rPr>
        <w:t>,</w:t>
      </w:r>
      <w:r w:rsidRPr="002744F0">
        <w:rPr>
          <w:noProof/>
        </w:rPr>
        <w:t xml:space="preserve"> </w:t>
      </w:r>
      <w:r w:rsidR="009B38C3" w:rsidRPr="002744F0">
        <w:rPr>
          <w:noProof/>
        </w:rPr>
        <w:t>of</w:t>
      </w:r>
      <w:r w:rsidRPr="002744F0">
        <w:rPr>
          <w:noProof/>
        </w:rPr>
        <w:t xml:space="preserve"> this initiat</w:t>
      </w:r>
      <w:r w:rsidR="00037086" w:rsidRPr="002744F0">
        <w:rPr>
          <w:noProof/>
        </w:rPr>
        <w:t>i</w:t>
      </w:r>
      <w:r w:rsidRPr="002744F0">
        <w:rPr>
          <w:noProof/>
        </w:rPr>
        <w:t>ve is difficult</w:t>
      </w:r>
      <w:r w:rsidR="009B38C3" w:rsidRPr="002744F0">
        <w:rPr>
          <w:noProof/>
        </w:rPr>
        <w:t xml:space="preserve">, </w:t>
      </w:r>
      <w:r w:rsidR="009B2C6D" w:rsidRPr="002744F0">
        <w:rPr>
          <w:noProof/>
        </w:rPr>
        <w:t xml:space="preserve">given </w:t>
      </w:r>
      <w:r w:rsidR="009B38C3" w:rsidRPr="002744F0">
        <w:rPr>
          <w:noProof/>
        </w:rPr>
        <w:t>its interaction with (and reliance on) other policy initiatives</w:t>
      </w:r>
      <w:r w:rsidR="00FB080F" w:rsidRPr="002744F0">
        <w:rPr>
          <w:noProof/>
        </w:rPr>
        <w:t xml:space="preserve"> for certain EU-wide measures</w:t>
      </w:r>
      <w:r w:rsidR="009B38C3" w:rsidRPr="002744F0">
        <w:rPr>
          <w:noProof/>
        </w:rPr>
        <w:t>.</w:t>
      </w:r>
      <w:r w:rsidRPr="002744F0">
        <w:rPr>
          <w:noProof/>
        </w:rPr>
        <w:t xml:space="preserve"> </w:t>
      </w:r>
      <w:r w:rsidR="004B2F12" w:rsidRPr="002744F0">
        <w:rPr>
          <w:noProof/>
        </w:rPr>
        <w:t xml:space="preserve">Furthermore, </w:t>
      </w:r>
      <w:r w:rsidRPr="002744F0">
        <w:rPr>
          <w:noProof/>
        </w:rPr>
        <w:t>M</w:t>
      </w:r>
      <w:r w:rsidR="009B38C3" w:rsidRPr="002744F0">
        <w:rPr>
          <w:noProof/>
        </w:rPr>
        <w:t xml:space="preserve">ember </w:t>
      </w:r>
      <w:r w:rsidRPr="002744F0">
        <w:rPr>
          <w:noProof/>
        </w:rPr>
        <w:t>S</w:t>
      </w:r>
      <w:r w:rsidR="009B38C3" w:rsidRPr="002744F0">
        <w:rPr>
          <w:noProof/>
        </w:rPr>
        <w:t>tates</w:t>
      </w:r>
      <w:r w:rsidRPr="002744F0">
        <w:rPr>
          <w:noProof/>
        </w:rPr>
        <w:t xml:space="preserve"> can </w:t>
      </w:r>
      <w:r w:rsidR="00FB080F" w:rsidRPr="002744F0">
        <w:rPr>
          <w:noProof/>
        </w:rPr>
        <w:t xml:space="preserve">largely </w:t>
      </w:r>
      <w:r w:rsidRPr="002744F0">
        <w:rPr>
          <w:noProof/>
        </w:rPr>
        <w:t xml:space="preserve">choose which measures </w:t>
      </w:r>
      <w:r w:rsidR="00C079ED" w:rsidRPr="002744F0">
        <w:rPr>
          <w:noProof/>
        </w:rPr>
        <w:t>they</w:t>
      </w:r>
      <w:r w:rsidRPr="002744F0">
        <w:rPr>
          <w:noProof/>
        </w:rPr>
        <w:t xml:space="preserve"> implement to achieve compliance</w:t>
      </w:r>
      <w:r w:rsidR="004B2F12" w:rsidRPr="002744F0">
        <w:rPr>
          <w:noProof/>
        </w:rPr>
        <w:t>:</w:t>
      </w:r>
      <w:r w:rsidRPr="002744F0">
        <w:rPr>
          <w:noProof/>
        </w:rPr>
        <w:t xml:space="preserve"> </w:t>
      </w:r>
      <w:r w:rsidR="00FB080F" w:rsidRPr="002744F0">
        <w:rPr>
          <w:noProof/>
        </w:rPr>
        <w:t xml:space="preserve">these </w:t>
      </w:r>
      <w:r w:rsidRPr="002744F0">
        <w:rPr>
          <w:noProof/>
        </w:rPr>
        <w:t xml:space="preserve">will </w:t>
      </w:r>
      <w:r w:rsidR="004B2F12" w:rsidRPr="002744F0">
        <w:rPr>
          <w:noProof/>
        </w:rPr>
        <w:t xml:space="preserve">thus </w:t>
      </w:r>
      <w:r w:rsidRPr="002744F0">
        <w:rPr>
          <w:noProof/>
        </w:rPr>
        <w:t xml:space="preserve">vary </w:t>
      </w:r>
      <w:r w:rsidR="009B2C6D" w:rsidRPr="002744F0">
        <w:rPr>
          <w:noProof/>
        </w:rPr>
        <w:t xml:space="preserve">according to national/local circumstances. </w:t>
      </w:r>
      <w:r w:rsidRPr="002744F0">
        <w:rPr>
          <w:noProof/>
        </w:rPr>
        <w:t xml:space="preserve"> </w:t>
      </w:r>
    </w:p>
    <w:p w14:paraId="258A80F2" w14:textId="77777777" w:rsidR="00C079ED" w:rsidRPr="002744F0" w:rsidRDefault="002821B9" w:rsidP="002821B9">
      <w:pPr>
        <w:rPr>
          <w:noProof/>
        </w:rPr>
      </w:pPr>
      <w:r w:rsidRPr="002744F0">
        <w:rPr>
          <w:noProof/>
        </w:rPr>
        <w:t xml:space="preserve">For </w:t>
      </w:r>
      <w:r w:rsidRPr="009112AB">
        <w:rPr>
          <w:iCs/>
          <w:noProof/>
        </w:rPr>
        <w:t>surface water</w:t>
      </w:r>
      <w:r w:rsidRPr="002744F0">
        <w:rPr>
          <w:noProof/>
        </w:rPr>
        <w:t xml:space="preserve">, significant direct costs are expected for instance from adding ibuprofen, glyphosate, PFAS and </w:t>
      </w:r>
      <w:r w:rsidR="00D173C8" w:rsidRPr="002744F0">
        <w:rPr>
          <w:noProof/>
        </w:rPr>
        <w:t xml:space="preserve">bisphenol </w:t>
      </w:r>
      <w:r w:rsidRPr="002744F0">
        <w:rPr>
          <w:noProof/>
        </w:rPr>
        <w:t xml:space="preserve">A to the </w:t>
      </w:r>
      <w:r w:rsidR="00145762" w:rsidRPr="002744F0">
        <w:rPr>
          <w:noProof/>
        </w:rPr>
        <w:t>priority substances</w:t>
      </w:r>
      <w:r w:rsidRPr="002744F0">
        <w:rPr>
          <w:noProof/>
        </w:rPr>
        <w:t xml:space="preserve"> list, as well as from amend</w:t>
      </w:r>
      <w:r w:rsidR="00145762" w:rsidRPr="002744F0">
        <w:rPr>
          <w:noProof/>
        </w:rPr>
        <w:t>ing the</w:t>
      </w:r>
      <w:r w:rsidRPr="002744F0">
        <w:rPr>
          <w:noProof/>
        </w:rPr>
        <w:t xml:space="preserve"> EQS </w:t>
      </w:r>
      <w:r w:rsidR="00145762" w:rsidRPr="002744F0">
        <w:rPr>
          <w:noProof/>
        </w:rPr>
        <w:t>for</w:t>
      </w:r>
      <w:r w:rsidRPr="002744F0">
        <w:rPr>
          <w:noProof/>
        </w:rPr>
        <w:t xml:space="preserve"> </w:t>
      </w:r>
      <w:r w:rsidR="00145762" w:rsidRPr="002744F0">
        <w:rPr>
          <w:noProof/>
        </w:rPr>
        <w:t>polyaromatic hydrocarbons (</w:t>
      </w:r>
      <w:r w:rsidRPr="002744F0">
        <w:rPr>
          <w:noProof/>
        </w:rPr>
        <w:t>PAHs</w:t>
      </w:r>
      <w:r w:rsidR="00145762" w:rsidRPr="002744F0">
        <w:rPr>
          <w:noProof/>
        </w:rPr>
        <w:t>)</w:t>
      </w:r>
      <w:r w:rsidRPr="002744F0">
        <w:rPr>
          <w:noProof/>
        </w:rPr>
        <w:t xml:space="preserve">, mercury and nickel. </w:t>
      </w:r>
      <w:r w:rsidR="009A11B9" w:rsidRPr="002744F0">
        <w:rPr>
          <w:noProof/>
        </w:rPr>
        <w:t xml:space="preserve">This is likely </w:t>
      </w:r>
      <w:r w:rsidR="004B2F12" w:rsidRPr="002744F0">
        <w:rPr>
          <w:noProof/>
        </w:rPr>
        <w:t xml:space="preserve">to cause </w:t>
      </w:r>
      <w:r w:rsidR="00AF2950" w:rsidRPr="002744F0">
        <w:rPr>
          <w:noProof/>
        </w:rPr>
        <w:t xml:space="preserve">product development costs for industry and </w:t>
      </w:r>
      <w:r w:rsidR="009A11B9" w:rsidRPr="002744F0">
        <w:rPr>
          <w:noProof/>
        </w:rPr>
        <w:t>substitution costs</w:t>
      </w:r>
      <w:r w:rsidR="00AF2950" w:rsidRPr="002744F0">
        <w:rPr>
          <w:noProof/>
        </w:rPr>
        <w:t xml:space="preserve"> for users of those substances, including </w:t>
      </w:r>
      <w:r w:rsidR="004B2F12" w:rsidRPr="002744F0">
        <w:rPr>
          <w:noProof/>
        </w:rPr>
        <w:t xml:space="preserve">in the </w:t>
      </w:r>
      <w:r w:rsidR="00AF2950" w:rsidRPr="002744F0">
        <w:rPr>
          <w:noProof/>
        </w:rPr>
        <w:t xml:space="preserve">agricultural sector. </w:t>
      </w:r>
    </w:p>
    <w:p w14:paraId="4D819D4E" w14:textId="77777777" w:rsidR="002821B9" w:rsidRPr="002744F0" w:rsidRDefault="002821B9" w:rsidP="002821B9">
      <w:pPr>
        <w:rPr>
          <w:noProof/>
        </w:rPr>
      </w:pPr>
      <w:r w:rsidRPr="002744F0">
        <w:rPr>
          <w:noProof/>
        </w:rPr>
        <w:t xml:space="preserve">In relation to </w:t>
      </w:r>
      <w:r w:rsidRPr="009112AB">
        <w:rPr>
          <w:iCs/>
          <w:noProof/>
        </w:rPr>
        <w:t>groundwater</w:t>
      </w:r>
      <w:r w:rsidRPr="002744F0">
        <w:rPr>
          <w:noProof/>
        </w:rPr>
        <w:t xml:space="preserve">, the most significant costs are </w:t>
      </w:r>
      <w:r w:rsidR="00145762" w:rsidRPr="002744F0">
        <w:rPr>
          <w:noProof/>
        </w:rPr>
        <w:t>likely to arise from addi</w:t>
      </w:r>
      <w:r w:rsidR="00C079ED" w:rsidRPr="002744F0">
        <w:rPr>
          <w:noProof/>
        </w:rPr>
        <w:t>ng</w:t>
      </w:r>
      <w:r w:rsidR="00145762" w:rsidRPr="002744F0">
        <w:rPr>
          <w:noProof/>
        </w:rPr>
        <w:t xml:space="preserve"> quality standards</w:t>
      </w:r>
      <w:r w:rsidRPr="002744F0">
        <w:rPr>
          <w:noProof/>
        </w:rPr>
        <w:t xml:space="preserve"> for PFAS.</w:t>
      </w:r>
      <w:r w:rsidR="004B2F12" w:rsidRPr="002744F0">
        <w:rPr>
          <w:noProof/>
        </w:rPr>
        <w:t xml:space="preserve"> </w:t>
      </w:r>
      <w:r w:rsidRPr="002744F0">
        <w:rPr>
          <w:noProof/>
        </w:rPr>
        <w:t>Costs may be related to restricti</w:t>
      </w:r>
      <w:r w:rsidR="00C079ED" w:rsidRPr="002744F0">
        <w:rPr>
          <w:noProof/>
        </w:rPr>
        <w:t>ng the</w:t>
      </w:r>
      <w:r w:rsidRPr="002744F0">
        <w:rPr>
          <w:noProof/>
        </w:rPr>
        <w:t xml:space="preserve"> use </w:t>
      </w:r>
      <w:r w:rsidR="00C079ED" w:rsidRPr="002744F0">
        <w:rPr>
          <w:noProof/>
        </w:rPr>
        <w:t>of</w:t>
      </w:r>
      <w:r w:rsidRPr="002744F0">
        <w:rPr>
          <w:noProof/>
        </w:rPr>
        <w:t xml:space="preserve"> pesticides or industrial chemicals</w:t>
      </w:r>
      <w:r w:rsidR="00C079ED" w:rsidRPr="002744F0">
        <w:rPr>
          <w:noProof/>
        </w:rPr>
        <w:t>, for example</w:t>
      </w:r>
      <w:r w:rsidRPr="002744F0">
        <w:rPr>
          <w:noProof/>
        </w:rPr>
        <w:t>, t</w:t>
      </w:r>
      <w:r w:rsidR="00C079ED" w:rsidRPr="002744F0">
        <w:rPr>
          <w:noProof/>
        </w:rPr>
        <w:t xml:space="preserve">o </w:t>
      </w:r>
      <w:r w:rsidRPr="002744F0">
        <w:rPr>
          <w:noProof/>
        </w:rPr>
        <w:t>manag</w:t>
      </w:r>
      <w:r w:rsidR="00C079ED" w:rsidRPr="002744F0">
        <w:rPr>
          <w:noProof/>
        </w:rPr>
        <w:t>ing</w:t>
      </w:r>
      <w:r w:rsidRPr="002744F0">
        <w:rPr>
          <w:noProof/>
        </w:rPr>
        <w:t xml:space="preserve"> contaminated bio-solids and stepp</w:t>
      </w:r>
      <w:r w:rsidR="00C079ED" w:rsidRPr="002744F0">
        <w:rPr>
          <w:noProof/>
        </w:rPr>
        <w:t xml:space="preserve">ing </w:t>
      </w:r>
      <w:r w:rsidRPr="002744F0">
        <w:rPr>
          <w:noProof/>
        </w:rPr>
        <w:t xml:space="preserve">up </w:t>
      </w:r>
      <w:r w:rsidR="00C079ED" w:rsidRPr="002744F0">
        <w:rPr>
          <w:noProof/>
        </w:rPr>
        <w:t xml:space="preserve">the </w:t>
      </w:r>
      <w:r w:rsidRPr="002744F0">
        <w:rPr>
          <w:noProof/>
        </w:rPr>
        <w:t xml:space="preserve">treatment of waste water. The costs of the preferred digitalisation, administrative streamlining and better risk management options are of an administrative nature, </w:t>
      </w:r>
      <w:r w:rsidR="002744F0" w:rsidRPr="002744F0">
        <w:rPr>
          <w:noProof/>
        </w:rPr>
        <w:t xml:space="preserve">would </w:t>
      </w:r>
      <w:r w:rsidRPr="002744F0">
        <w:rPr>
          <w:noProof/>
        </w:rPr>
        <w:t>initially materialis</w:t>
      </w:r>
      <w:r w:rsidR="002744F0" w:rsidRPr="002744F0">
        <w:rPr>
          <w:noProof/>
        </w:rPr>
        <w:t>e</w:t>
      </w:r>
      <w:r w:rsidRPr="002744F0">
        <w:rPr>
          <w:noProof/>
        </w:rPr>
        <w:t xml:space="preserve"> at EU level and generally </w:t>
      </w:r>
      <w:r w:rsidR="002744F0" w:rsidRPr="002744F0">
        <w:rPr>
          <w:noProof/>
        </w:rPr>
        <w:t xml:space="preserve">be </w:t>
      </w:r>
      <w:r w:rsidRPr="002744F0">
        <w:rPr>
          <w:noProof/>
        </w:rPr>
        <w:t xml:space="preserve">low, with the possible exception of the automated data delivery mechanism. </w:t>
      </w:r>
      <w:r w:rsidR="004B2F12" w:rsidRPr="002744F0">
        <w:rPr>
          <w:noProof/>
        </w:rPr>
        <w:t>C</w:t>
      </w:r>
      <w:r w:rsidRPr="002744F0">
        <w:rPr>
          <w:noProof/>
        </w:rPr>
        <w:t xml:space="preserve">osts cannot be attributed solely to this initiative, due to inevitable interactions and synergies with many other EU policies tackling the same substances. The </w:t>
      </w:r>
      <w:r w:rsidR="009B2C6D" w:rsidRPr="002744F0">
        <w:rPr>
          <w:noProof/>
        </w:rPr>
        <w:t xml:space="preserve">pollution </w:t>
      </w:r>
      <w:r w:rsidRPr="002744F0">
        <w:rPr>
          <w:noProof/>
        </w:rPr>
        <w:t xml:space="preserve">costs are mostly internalised through the IED and the UWWTD, the future ban on all PFAS except in essential uses, the implementation of the </w:t>
      </w:r>
      <w:r w:rsidR="004B2F12" w:rsidRPr="002744F0">
        <w:rPr>
          <w:noProof/>
        </w:rPr>
        <w:t xml:space="preserve">upcoming </w:t>
      </w:r>
      <w:r w:rsidRPr="002744F0">
        <w:rPr>
          <w:noProof/>
        </w:rPr>
        <w:t>micro</w:t>
      </w:r>
      <w:r w:rsidR="00660305" w:rsidRPr="002744F0">
        <w:rPr>
          <w:noProof/>
        </w:rPr>
        <w:t>-</w:t>
      </w:r>
      <w:r w:rsidRPr="002744F0">
        <w:rPr>
          <w:noProof/>
        </w:rPr>
        <w:t>plastics initiative and others. For example, the revision of the UWWTD will boost the upgrade of many UWWTPs, and introduce extended producer responsibility to cover the costs, which will significantly reduce the load of micro</w:t>
      </w:r>
      <w:r w:rsidR="00660305" w:rsidRPr="002744F0">
        <w:rPr>
          <w:noProof/>
        </w:rPr>
        <w:t>-</w:t>
      </w:r>
      <w:r w:rsidRPr="002744F0">
        <w:rPr>
          <w:noProof/>
        </w:rPr>
        <w:t>pollutants entering surface and groundwaters.</w:t>
      </w:r>
    </w:p>
    <w:p w14:paraId="007C8791" w14:textId="77777777" w:rsidR="009B2C6D" w:rsidRPr="009D7B18" w:rsidRDefault="002821B9" w:rsidP="00D65389">
      <w:pPr>
        <w:pBdr>
          <w:top w:val="nil"/>
          <w:left w:val="nil"/>
          <w:bottom w:val="nil"/>
          <w:right w:val="nil"/>
          <w:between w:val="nil"/>
          <w:bar w:val="nil"/>
        </w:pBdr>
        <w:spacing w:before="0" w:after="240"/>
        <w:rPr>
          <w:noProof/>
        </w:rPr>
      </w:pPr>
      <w:r w:rsidRPr="002744F0">
        <w:rPr>
          <w:noProof/>
        </w:rPr>
        <w:t>The proposed initiative will contribute to reduc</w:t>
      </w:r>
      <w:r w:rsidR="00C079ED" w:rsidRPr="002744F0">
        <w:rPr>
          <w:noProof/>
        </w:rPr>
        <w:t>ing</w:t>
      </w:r>
      <w:r w:rsidRPr="002744F0">
        <w:rPr>
          <w:noProof/>
        </w:rPr>
        <w:t xml:space="preserve"> concentrations of acutely toxic and/or persistent chemicals</w:t>
      </w:r>
      <w:r w:rsidR="009B2C6D" w:rsidRPr="002744F0">
        <w:rPr>
          <w:noProof/>
        </w:rPr>
        <w:t xml:space="preserve"> in water</w:t>
      </w:r>
      <w:r w:rsidRPr="002744F0">
        <w:rPr>
          <w:noProof/>
        </w:rPr>
        <w:t xml:space="preserve">. It will also improve the value of the aquatic ecosystems and of the services they deliver. Benefits </w:t>
      </w:r>
      <w:r w:rsidR="009B2C6D" w:rsidRPr="002744F0">
        <w:rPr>
          <w:noProof/>
        </w:rPr>
        <w:t xml:space="preserve">thus </w:t>
      </w:r>
      <w:r w:rsidRPr="002744F0">
        <w:rPr>
          <w:noProof/>
        </w:rPr>
        <w:t xml:space="preserve">include reduced impacts on human health, </w:t>
      </w:r>
      <w:r w:rsidR="004B2F12" w:rsidRPr="002744F0">
        <w:rPr>
          <w:noProof/>
        </w:rPr>
        <w:t xml:space="preserve">nature, </w:t>
      </w:r>
      <w:r w:rsidRPr="002744F0">
        <w:rPr>
          <w:noProof/>
        </w:rPr>
        <w:t>pollinators and agriculture, as well as avoided costs of water treatment.</w:t>
      </w:r>
      <w:r w:rsidR="00F25488" w:rsidRPr="002744F0">
        <w:rPr>
          <w:noProof/>
        </w:rPr>
        <w:t xml:space="preserve"> Making the chemical monitoring data easily available, accessible and re-usable will significantly improve the coherence of safety assessment, and will be an important </w:t>
      </w:r>
      <w:r w:rsidR="00C079ED" w:rsidRPr="002744F0">
        <w:rPr>
          <w:noProof/>
        </w:rPr>
        <w:t>step in</w:t>
      </w:r>
      <w:r w:rsidR="00F25488" w:rsidRPr="002744F0">
        <w:rPr>
          <w:noProof/>
        </w:rPr>
        <w:t xml:space="preserve"> moving </w:t>
      </w:r>
      <w:r w:rsidR="00F25488" w:rsidRPr="009D7B18">
        <w:rPr>
          <w:noProof/>
        </w:rPr>
        <w:t xml:space="preserve">towards the </w:t>
      </w:r>
      <w:r w:rsidR="00C079ED" w:rsidRPr="009D7B18">
        <w:rPr>
          <w:noProof/>
        </w:rPr>
        <w:t>‘</w:t>
      </w:r>
      <w:r w:rsidR="00F25488" w:rsidRPr="009D7B18">
        <w:rPr>
          <w:noProof/>
        </w:rPr>
        <w:t>one substance, one assessment</w:t>
      </w:r>
      <w:r w:rsidR="00C079ED" w:rsidRPr="009D7B18">
        <w:rPr>
          <w:noProof/>
        </w:rPr>
        <w:t>’</w:t>
      </w:r>
      <w:r w:rsidR="00F25488" w:rsidRPr="009D7B18">
        <w:rPr>
          <w:noProof/>
        </w:rPr>
        <w:t xml:space="preserve"> approach committed to in the </w:t>
      </w:r>
      <w:r w:rsidR="00D173C8" w:rsidRPr="009D7B18">
        <w:rPr>
          <w:noProof/>
        </w:rPr>
        <w:t>EGD</w:t>
      </w:r>
      <w:r w:rsidR="00F25488" w:rsidRPr="009D7B18">
        <w:rPr>
          <w:noProof/>
        </w:rPr>
        <w:t>.</w:t>
      </w:r>
    </w:p>
    <w:p w14:paraId="44696B11" w14:textId="77777777" w:rsidR="00F95EEA" w:rsidRPr="009D7B18" w:rsidRDefault="00F95EEA" w:rsidP="002A2DB0">
      <w:pPr>
        <w:pBdr>
          <w:top w:val="nil"/>
          <w:left w:val="nil"/>
          <w:bottom w:val="nil"/>
          <w:right w:val="nil"/>
          <w:between w:val="nil"/>
          <w:bar w:val="nil"/>
        </w:pBdr>
        <w:spacing w:before="0" w:after="240"/>
        <w:rPr>
          <w:noProof/>
        </w:rPr>
      </w:pPr>
      <w:r w:rsidRPr="009D7B18">
        <w:rPr>
          <w:noProof/>
        </w:rPr>
        <w:t>Sustainable Development Goals</w:t>
      </w:r>
    </w:p>
    <w:p w14:paraId="1B3D3728" w14:textId="77777777" w:rsidR="00F95EEA" w:rsidRPr="009D7B18" w:rsidRDefault="00F95EEA" w:rsidP="00F95EEA">
      <w:pPr>
        <w:pBdr>
          <w:top w:val="nil"/>
          <w:left w:val="nil"/>
          <w:bottom w:val="nil"/>
          <w:right w:val="nil"/>
          <w:between w:val="nil"/>
          <w:bar w:val="nil"/>
        </w:pBdr>
        <w:spacing w:before="0" w:after="240"/>
        <w:rPr>
          <w:noProof/>
        </w:rPr>
      </w:pPr>
      <w:r w:rsidRPr="009D7B18">
        <w:rPr>
          <w:noProof/>
        </w:rPr>
        <w:t>The proposal has positive effects on the achievement of Sustainable Development (SDG) goals 6 (water), 12 (consumption and production) and 14 (oceans). As regards SDG 6, lower levels of pollution of drinking water sources are expected, a better chemical quality of surface and groundwater, and the proportion of water bodies with good ambient quality should increase, over time, as Member States will take and implement measures to reduce concentrations of pollutants. In relation to SDG 12, it is expected that the measures taken, both at EU level (for instance through the Sustainble Production Initiative or the forthcoming ban on all-but-essential uses of PFAS) and at Member State level will lead to the use of different, less toxic ingredients in products. Finally for SDG 14 it is important to note the directe effect on transitional water bodies and marine water bodies (1 nautical mile from the coast) that are covered by the WFD. In addition the freshwater that reaches seas and oceans through the rivers will gradually contain lower concentrations of the substances regulated through this initiative.</w:t>
      </w:r>
    </w:p>
    <w:p w14:paraId="1679BF84" w14:textId="77777777" w:rsidR="00F95EEA" w:rsidRPr="009D7B18" w:rsidRDefault="00F95EEA" w:rsidP="002A2DB0">
      <w:pPr>
        <w:pBdr>
          <w:top w:val="nil"/>
          <w:left w:val="nil"/>
          <w:bottom w:val="nil"/>
          <w:right w:val="nil"/>
          <w:between w:val="nil"/>
          <w:bar w:val="nil"/>
        </w:pBdr>
        <w:spacing w:before="0" w:after="240"/>
        <w:rPr>
          <w:noProof/>
        </w:rPr>
      </w:pPr>
      <w:r w:rsidRPr="009D7B18">
        <w:rPr>
          <w:noProof/>
        </w:rPr>
        <w:t>Climate consistency check and Energy Efficiency First Principle</w:t>
      </w:r>
    </w:p>
    <w:p w14:paraId="57B4F774" w14:textId="77777777" w:rsidR="00F95EEA" w:rsidRPr="009D7B18" w:rsidRDefault="00F95EEA" w:rsidP="00F95EEA">
      <w:pPr>
        <w:pBdr>
          <w:top w:val="nil"/>
          <w:left w:val="nil"/>
          <w:bottom w:val="nil"/>
          <w:right w:val="nil"/>
          <w:between w:val="nil"/>
          <w:bar w:val="nil"/>
        </w:pBdr>
        <w:spacing w:before="0" w:after="240"/>
        <w:rPr>
          <w:noProof/>
        </w:rPr>
      </w:pPr>
      <w:r w:rsidRPr="009D7B18">
        <w:rPr>
          <w:noProof/>
        </w:rPr>
        <w:t>The proposal is consistent with climate neutrality objective set out in the European Climate Law and the Union 2030 and 20</w:t>
      </w:r>
      <w:r w:rsidR="00DE4378" w:rsidRPr="009D7B18">
        <w:rPr>
          <w:noProof/>
        </w:rPr>
        <w:t>50</w:t>
      </w:r>
      <w:r w:rsidRPr="009D7B18">
        <w:rPr>
          <w:noProof/>
        </w:rPr>
        <w:t xml:space="preserve"> targets. The most significant impact on climate mitigation efforts of the proposal is through the removal of substances in waste water treatment plants, which are energy intensive processes.  Depending on the measures taken by Member States to reduce or phase out presence of substances in water, impact should be positive (when substances are addressed at source and therefore do not require removal from waste water), neutral (in case substances are replaced by substitutes that require the same removal effort in waste water treatment plants) or negative if Member States decide to predominantly rely on waste water treatment. However the latter scenario is unlikely as at-source intervention is generally cheaper and more effective. Moreover, the revision of the Urban Waste Water Treatment Directive requires climate neutrality for waste water treatment plans by 2040, excluding net negative effects of this proposal through increased treatment.</w:t>
      </w:r>
    </w:p>
    <w:p w14:paraId="54860870" w14:textId="77777777" w:rsidR="00F95EEA" w:rsidRPr="009D7B18" w:rsidRDefault="00F95EEA" w:rsidP="00F95EEA">
      <w:pPr>
        <w:pBdr>
          <w:top w:val="nil"/>
          <w:left w:val="nil"/>
          <w:bottom w:val="nil"/>
          <w:right w:val="nil"/>
          <w:between w:val="nil"/>
          <w:bar w:val="nil"/>
        </w:pBdr>
        <w:spacing w:before="0" w:after="240"/>
        <w:rPr>
          <w:noProof/>
        </w:rPr>
      </w:pPr>
      <w:r w:rsidRPr="009D7B18">
        <w:rPr>
          <w:noProof/>
        </w:rPr>
        <w:t>The Energy Efficiency First Principle, as put forward in the recast of the Energy Efficiency Directive, is considered in this proposal. Along the same lines as for climate consistency check, policy options can be expected, in combination with the revision of the Urban Waste Water Treatment Directive, to be at least neutral in terms of energy efficiency.</w:t>
      </w:r>
    </w:p>
    <w:p w14:paraId="34FE8EB9" w14:textId="77777777" w:rsidR="0047629D" w:rsidRPr="009D7B18" w:rsidRDefault="00D65389" w:rsidP="00D65389">
      <w:pPr>
        <w:pBdr>
          <w:top w:val="nil"/>
          <w:left w:val="nil"/>
          <w:bottom w:val="nil"/>
          <w:right w:val="nil"/>
          <w:between w:val="nil"/>
          <w:bar w:val="nil"/>
        </w:pBdr>
        <w:spacing w:before="0" w:after="240"/>
        <w:rPr>
          <w:rFonts w:eastAsia="Arial Unicode MS"/>
          <w:noProof/>
        </w:rPr>
      </w:pPr>
      <w:r w:rsidRPr="009D7B18">
        <w:rPr>
          <w:noProof/>
        </w:rPr>
        <w:t>The Regulatory Scrutiny Board gave a positive opinion with reservations on 24 June 2022</w:t>
      </w:r>
      <w:r w:rsidR="002A647C" w:rsidRPr="009D7B18">
        <w:rPr>
          <w:rStyle w:val="FootnoteReference"/>
          <w:noProof/>
        </w:rPr>
        <w:footnoteReference w:id="33"/>
      </w:r>
      <w:r w:rsidR="002A647C" w:rsidRPr="009D7B18">
        <w:rPr>
          <w:noProof/>
        </w:rPr>
        <w:t>.</w:t>
      </w:r>
      <w:r w:rsidRPr="009D7B18">
        <w:rPr>
          <w:noProof/>
        </w:rPr>
        <w:t xml:space="preserve"> </w:t>
      </w:r>
      <w:r w:rsidRPr="009D7B18">
        <w:rPr>
          <w:noProof/>
        </w:rPr>
        <w:cr/>
      </w:r>
    </w:p>
    <w:p w14:paraId="24B62779" w14:textId="77777777" w:rsidR="0047629D" w:rsidRPr="002744F0" w:rsidRDefault="0047629D" w:rsidP="005C4F36">
      <w:pPr>
        <w:pStyle w:val="ManualHeading2"/>
        <w:rPr>
          <w:rFonts w:eastAsia="Arial Unicode MS"/>
          <w:noProof/>
          <w:u w:color="000000"/>
          <w:bdr w:val="nil"/>
          <w:lang w:eastAsia="en-GB"/>
        </w:rPr>
      </w:pPr>
      <w:r w:rsidRPr="002744F0">
        <w:rPr>
          <w:rFonts w:eastAsia="Arial Unicode MS"/>
          <w:noProof/>
          <w:u w:color="000000"/>
          <w:bdr w:val="nil"/>
          <w:lang w:eastAsia="en-GB"/>
        </w:rPr>
        <w:t>•</w:t>
      </w:r>
      <w:r w:rsidRPr="002744F0">
        <w:rPr>
          <w:rFonts w:eastAsia="Arial Unicode MS"/>
          <w:noProof/>
          <w:u w:color="000000"/>
          <w:bdr w:val="nil"/>
          <w:lang w:eastAsia="en-GB"/>
        </w:rPr>
        <w:tab/>
        <w:t>Fundamental rights</w:t>
      </w:r>
    </w:p>
    <w:p w14:paraId="7B1525BE" w14:textId="77777777" w:rsidR="002821B9" w:rsidRPr="002744F0" w:rsidRDefault="002821B9" w:rsidP="005C4F36">
      <w:pPr>
        <w:pBdr>
          <w:top w:val="nil"/>
          <w:left w:val="nil"/>
          <w:bottom w:val="nil"/>
          <w:right w:val="nil"/>
          <w:between w:val="nil"/>
          <w:bar w:val="nil"/>
        </w:pBdr>
        <w:spacing w:before="0" w:after="240"/>
        <w:rPr>
          <w:noProof/>
        </w:rPr>
      </w:pPr>
      <w:r w:rsidRPr="002744F0">
        <w:rPr>
          <w:noProof/>
        </w:rPr>
        <w:t>The proposal has no implications for the protection of fundamental rights.</w:t>
      </w:r>
    </w:p>
    <w:p w14:paraId="7555F397" w14:textId="77777777" w:rsidR="0047629D" w:rsidRPr="009112AB" w:rsidRDefault="0047629D" w:rsidP="005C4F36">
      <w:pPr>
        <w:pStyle w:val="ManualHeading1"/>
        <w:rPr>
          <w:noProof/>
        </w:rPr>
      </w:pPr>
      <w:r w:rsidRPr="002744F0">
        <w:rPr>
          <w:noProof/>
        </w:rPr>
        <w:t>4.</w:t>
      </w:r>
      <w:r w:rsidRPr="002744F0">
        <w:rPr>
          <w:noProof/>
        </w:rPr>
        <w:tab/>
      </w:r>
      <w:r w:rsidRPr="009112AB">
        <w:rPr>
          <w:noProof/>
        </w:rPr>
        <w:t>BUDGETARY IMPLICATIONS</w:t>
      </w:r>
    </w:p>
    <w:p w14:paraId="7D6ED493" w14:textId="77777777" w:rsidR="00384304" w:rsidRPr="009112AB" w:rsidRDefault="00384304" w:rsidP="005C4F36">
      <w:pPr>
        <w:pBdr>
          <w:top w:val="nil"/>
          <w:left w:val="nil"/>
          <w:bottom w:val="nil"/>
          <w:right w:val="nil"/>
          <w:between w:val="nil"/>
          <w:bar w:val="nil"/>
        </w:pBdr>
        <w:spacing w:before="0" w:after="240"/>
        <w:rPr>
          <w:noProof/>
        </w:rPr>
      </w:pPr>
      <w:r w:rsidRPr="009112AB">
        <w:rPr>
          <w:noProof/>
        </w:rPr>
        <w:t xml:space="preserve">The annexed financial statement </w:t>
      </w:r>
      <w:r w:rsidR="00C6015C">
        <w:rPr>
          <w:noProof/>
        </w:rPr>
        <w:t>relates to the zero pollution package, including the current proposal, the proposal for revision of the Urban Waste Water Treatment Directive and the Air Quality Directive. It s</w:t>
      </w:r>
      <w:r w:rsidRPr="009112AB">
        <w:rPr>
          <w:noProof/>
        </w:rPr>
        <w:t>hows the budgetary implications and the human and administrative resources required. The proposal will have budgetary implications for the Commission, the European Environm</w:t>
      </w:r>
      <w:r w:rsidR="00F9077B" w:rsidRPr="009112AB">
        <w:rPr>
          <w:noProof/>
        </w:rPr>
        <w:t>e</w:t>
      </w:r>
      <w:r w:rsidRPr="009112AB">
        <w:rPr>
          <w:noProof/>
        </w:rPr>
        <w:t xml:space="preserve">nt Agency (EEA) and the European Chemicals Agency (ECHA) in terms of human and administrative resources required. </w:t>
      </w:r>
    </w:p>
    <w:p w14:paraId="1FDDFAD3" w14:textId="77777777" w:rsidR="00B321C1" w:rsidRPr="009112AB" w:rsidRDefault="00384304" w:rsidP="005C4F36">
      <w:pPr>
        <w:pBdr>
          <w:top w:val="nil"/>
          <w:left w:val="nil"/>
          <w:bottom w:val="nil"/>
          <w:right w:val="nil"/>
          <w:between w:val="nil"/>
          <w:bar w:val="nil"/>
        </w:pBdr>
        <w:spacing w:before="0" w:after="240"/>
        <w:rPr>
          <w:noProof/>
        </w:rPr>
      </w:pPr>
      <w:r w:rsidRPr="009112AB">
        <w:rPr>
          <w:noProof/>
        </w:rPr>
        <w:t>The Commission</w:t>
      </w:r>
      <w:r w:rsidR="009143ED" w:rsidRPr="009112AB">
        <w:rPr>
          <w:noProof/>
        </w:rPr>
        <w:t>’s</w:t>
      </w:r>
      <w:r w:rsidRPr="009112AB">
        <w:rPr>
          <w:noProof/>
        </w:rPr>
        <w:t xml:space="preserve"> implementation and enforcement </w:t>
      </w:r>
      <w:r w:rsidR="009143ED" w:rsidRPr="009112AB">
        <w:rPr>
          <w:noProof/>
        </w:rPr>
        <w:t>workload will slightly increase as a</w:t>
      </w:r>
      <w:r w:rsidRPr="009112AB">
        <w:rPr>
          <w:noProof/>
        </w:rPr>
        <w:t xml:space="preserve"> result of </w:t>
      </w:r>
      <w:r w:rsidR="009143ED" w:rsidRPr="009112AB">
        <w:rPr>
          <w:noProof/>
        </w:rPr>
        <w:t>listing</w:t>
      </w:r>
      <w:r w:rsidR="00C63E77" w:rsidRPr="009112AB">
        <w:rPr>
          <w:noProof/>
        </w:rPr>
        <w:t xml:space="preserve"> </w:t>
      </w:r>
      <w:r w:rsidR="009143ED" w:rsidRPr="009112AB">
        <w:rPr>
          <w:noProof/>
        </w:rPr>
        <w:t xml:space="preserve">more </w:t>
      </w:r>
      <w:r w:rsidRPr="009112AB">
        <w:rPr>
          <w:noProof/>
        </w:rPr>
        <w:t>substances</w:t>
      </w:r>
      <w:r w:rsidR="009143ED" w:rsidRPr="009112AB">
        <w:rPr>
          <w:noProof/>
        </w:rPr>
        <w:t xml:space="preserve"> and seeking to harmonise</w:t>
      </w:r>
      <w:r w:rsidRPr="009112AB">
        <w:rPr>
          <w:noProof/>
        </w:rPr>
        <w:t xml:space="preserve"> quality standards</w:t>
      </w:r>
      <w:r w:rsidR="009143ED" w:rsidRPr="009112AB">
        <w:rPr>
          <w:noProof/>
        </w:rPr>
        <w:t xml:space="preserve"> and threshold values for substances of national concern</w:t>
      </w:r>
      <w:r w:rsidRPr="009112AB">
        <w:rPr>
          <w:noProof/>
        </w:rPr>
        <w:t xml:space="preserve">. </w:t>
      </w:r>
    </w:p>
    <w:p w14:paraId="21EC2807" w14:textId="77777777" w:rsidR="00B321C1" w:rsidRPr="009112AB" w:rsidRDefault="00B321C1" w:rsidP="005C4F36">
      <w:pPr>
        <w:pBdr>
          <w:top w:val="nil"/>
          <w:left w:val="nil"/>
          <w:bottom w:val="nil"/>
          <w:right w:val="nil"/>
          <w:between w:val="nil"/>
          <w:bar w:val="nil"/>
        </w:pBdr>
        <w:spacing w:before="0" w:after="240"/>
        <w:rPr>
          <w:noProof/>
        </w:rPr>
      </w:pPr>
      <w:r w:rsidRPr="009112AB">
        <w:rPr>
          <w:noProof/>
        </w:rPr>
        <w:t xml:space="preserve">The Commission will furthermore benefit from the re-assignment of scientific tasks to the </w:t>
      </w:r>
      <w:r w:rsidR="009143ED" w:rsidRPr="009112AB">
        <w:rPr>
          <w:noProof/>
        </w:rPr>
        <w:t>ECHA</w:t>
      </w:r>
      <w:r w:rsidRPr="009112AB">
        <w:rPr>
          <w:noProof/>
        </w:rPr>
        <w:t xml:space="preserve">, which will consistently assist the Commission with the prioritisation of substances and mixtures, </w:t>
      </w:r>
      <w:r w:rsidR="003C0362" w:rsidRPr="009112AB">
        <w:rPr>
          <w:noProof/>
        </w:rPr>
        <w:t xml:space="preserve">the setting of quality standards and threshold values, </w:t>
      </w:r>
      <w:r w:rsidRPr="009112AB">
        <w:rPr>
          <w:noProof/>
        </w:rPr>
        <w:t>the identification of appropriate analy</w:t>
      </w:r>
      <w:r w:rsidR="003C0362" w:rsidRPr="009112AB">
        <w:rPr>
          <w:noProof/>
        </w:rPr>
        <w:t>tical</w:t>
      </w:r>
      <w:r w:rsidRPr="009112AB">
        <w:rPr>
          <w:noProof/>
        </w:rPr>
        <w:t xml:space="preserve"> method</w:t>
      </w:r>
      <w:r w:rsidR="003C0362" w:rsidRPr="009112AB">
        <w:rPr>
          <w:noProof/>
        </w:rPr>
        <w:t>s</w:t>
      </w:r>
      <w:r w:rsidRPr="009112AB">
        <w:rPr>
          <w:noProof/>
        </w:rPr>
        <w:t xml:space="preserve"> and the assessment of </w:t>
      </w:r>
      <w:r w:rsidR="003C0362" w:rsidRPr="009112AB">
        <w:rPr>
          <w:noProof/>
        </w:rPr>
        <w:t xml:space="preserve">relevant </w:t>
      </w:r>
      <w:r w:rsidRPr="009112AB">
        <w:rPr>
          <w:noProof/>
        </w:rPr>
        <w:t xml:space="preserve">monitoring </w:t>
      </w:r>
      <w:r w:rsidR="003C0362" w:rsidRPr="009112AB">
        <w:rPr>
          <w:noProof/>
        </w:rPr>
        <w:t>data</w:t>
      </w:r>
      <w:r w:rsidRPr="009112AB">
        <w:rPr>
          <w:noProof/>
        </w:rPr>
        <w:t xml:space="preserve">. The scientific support </w:t>
      </w:r>
      <w:r w:rsidR="003C0362" w:rsidRPr="009112AB">
        <w:rPr>
          <w:noProof/>
        </w:rPr>
        <w:t>from</w:t>
      </w:r>
      <w:r w:rsidRPr="009112AB">
        <w:rPr>
          <w:noProof/>
        </w:rPr>
        <w:t xml:space="preserve"> ECHA would require </w:t>
      </w:r>
      <w:r w:rsidR="00965F65" w:rsidRPr="009112AB">
        <w:rPr>
          <w:noProof/>
        </w:rPr>
        <w:t>eleven</w:t>
      </w:r>
      <w:r w:rsidRPr="009112AB">
        <w:rPr>
          <w:noProof/>
        </w:rPr>
        <w:t xml:space="preserve"> full-time-equivalent staff.  </w:t>
      </w:r>
    </w:p>
    <w:p w14:paraId="7BC850EF" w14:textId="77777777" w:rsidR="00B321C1" w:rsidRPr="009112AB" w:rsidRDefault="00384304" w:rsidP="005C4F36">
      <w:pPr>
        <w:pBdr>
          <w:top w:val="nil"/>
          <w:left w:val="nil"/>
          <w:bottom w:val="nil"/>
          <w:right w:val="nil"/>
          <w:between w:val="nil"/>
          <w:bar w:val="nil"/>
        </w:pBdr>
        <w:spacing w:before="0" w:after="240"/>
        <w:rPr>
          <w:noProof/>
        </w:rPr>
      </w:pPr>
      <w:r w:rsidRPr="009112AB">
        <w:rPr>
          <w:noProof/>
        </w:rPr>
        <w:t xml:space="preserve">The EEA will have an increased </w:t>
      </w:r>
      <w:r w:rsidR="003C0362" w:rsidRPr="009112AB">
        <w:rPr>
          <w:noProof/>
        </w:rPr>
        <w:t>workload as a</w:t>
      </w:r>
      <w:r w:rsidRPr="009112AB">
        <w:rPr>
          <w:noProof/>
        </w:rPr>
        <w:t xml:space="preserve"> result</w:t>
      </w:r>
      <w:r w:rsidR="00075892" w:rsidRPr="009112AB">
        <w:rPr>
          <w:noProof/>
        </w:rPr>
        <w:t xml:space="preserve"> </w:t>
      </w:r>
      <w:r w:rsidR="003C0362" w:rsidRPr="009112AB">
        <w:rPr>
          <w:noProof/>
        </w:rPr>
        <w:t>of</w:t>
      </w:r>
      <w:r w:rsidRPr="009112AB">
        <w:rPr>
          <w:noProof/>
        </w:rPr>
        <w:t xml:space="preserve"> the increased and more frequent reporting </w:t>
      </w:r>
      <w:r w:rsidR="003C0362" w:rsidRPr="009112AB">
        <w:rPr>
          <w:noProof/>
        </w:rPr>
        <w:t>required of</w:t>
      </w:r>
      <w:r w:rsidRPr="009112AB">
        <w:rPr>
          <w:noProof/>
        </w:rPr>
        <w:t xml:space="preserve"> Member States</w:t>
      </w:r>
      <w:r w:rsidR="00B321C1" w:rsidRPr="009112AB">
        <w:rPr>
          <w:noProof/>
        </w:rPr>
        <w:t>,</w:t>
      </w:r>
      <w:r w:rsidR="003C0362" w:rsidRPr="009112AB">
        <w:rPr>
          <w:noProof/>
        </w:rPr>
        <w:t xml:space="preserve"> and the slight increase in the number of substances listed,</w:t>
      </w:r>
      <w:r w:rsidR="00B321C1" w:rsidRPr="009112AB">
        <w:rPr>
          <w:noProof/>
        </w:rPr>
        <w:t xml:space="preserve"> requiring in total </w:t>
      </w:r>
      <w:r w:rsidR="003C0362" w:rsidRPr="009112AB">
        <w:rPr>
          <w:noProof/>
        </w:rPr>
        <w:t>four</w:t>
      </w:r>
      <w:r w:rsidR="00B321C1" w:rsidRPr="009112AB">
        <w:rPr>
          <w:noProof/>
        </w:rPr>
        <w:t xml:space="preserve"> additional full-time-equivalent staff</w:t>
      </w:r>
      <w:r w:rsidR="009B5BED" w:rsidRPr="009112AB">
        <w:rPr>
          <w:noProof/>
        </w:rPr>
        <w:t xml:space="preserve"> on top of the </w:t>
      </w:r>
      <w:r w:rsidR="00102792" w:rsidRPr="009112AB">
        <w:rPr>
          <w:noProof/>
        </w:rPr>
        <w:t>three and a half staff full-time equivalent st</w:t>
      </w:r>
      <w:r w:rsidR="006073B1" w:rsidRPr="009112AB">
        <w:rPr>
          <w:noProof/>
        </w:rPr>
        <w:t>a</w:t>
      </w:r>
      <w:r w:rsidR="00102792" w:rsidRPr="009112AB">
        <w:rPr>
          <w:noProof/>
        </w:rPr>
        <w:t>ff</w:t>
      </w:r>
      <w:r w:rsidR="009B5BED" w:rsidRPr="009112AB">
        <w:rPr>
          <w:noProof/>
        </w:rPr>
        <w:t xml:space="preserve"> already involved</w:t>
      </w:r>
      <w:r w:rsidR="00B321C1" w:rsidRPr="009112AB">
        <w:rPr>
          <w:noProof/>
        </w:rPr>
        <w:t xml:space="preserve">. </w:t>
      </w:r>
      <w:r w:rsidRPr="009112AB">
        <w:rPr>
          <w:noProof/>
        </w:rPr>
        <w:t xml:space="preserve"> </w:t>
      </w:r>
    </w:p>
    <w:p w14:paraId="4ED5CA19" w14:textId="77777777" w:rsidR="0047629D" w:rsidRPr="009112AB" w:rsidRDefault="0047629D" w:rsidP="005C4F36">
      <w:pPr>
        <w:pStyle w:val="ManualHeading1"/>
        <w:rPr>
          <w:noProof/>
        </w:rPr>
      </w:pPr>
      <w:r w:rsidRPr="009112AB">
        <w:rPr>
          <w:noProof/>
        </w:rPr>
        <w:t>5.</w:t>
      </w:r>
      <w:r w:rsidRPr="009112AB">
        <w:rPr>
          <w:noProof/>
        </w:rPr>
        <w:tab/>
        <w:t>OTHER ELEMENTS</w:t>
      </w:r>
    </w:p>
    <w:p w14:paraId="7AB702DC" w14:textId="77777777" w:rsidR="0047629D" w:rsidRPr="009112AB" w:rsidRDefault="0047629D" w:rsidP="005C4F36">
      <w:pPr>
        <w:pStyle w:val="ManualHeading2"/>
        <w:rPr>
          <w:rFonts w:eastAsia="Arial Unicode MS"/>
          <w:noProof/>
          <w:u w:color="000000"/>
          <w:bdr w:val="nil"/>
          <w:lang w:eastAsia="en-GB"/>
        </w:rPr>
      </w:pPr>
      <w:r w:rsidRPr="009112AB">
        <w:rPr>
          <w:rFonts w:eastAsia="Arial Unicode MS"/>
          <w:noProof/>
          <w:u w:color="000000"/>
          <w:bdr w:val="nil"/>
          <w:lang w:eastAsia="en-GB"/>
        </w:rPr>
        <w:t>•</w:t>
      </w:r>
      <w:r w:rsidRPr="009112AB">
        <w:rPr>
          <w:rFonts w:eastAsia="Arial Unicode MS"/>
          <w:noProof/>
          <w:u w:color="000000"/>
          <w:bdr w:val="nil"/>
          <w:lang w:eastAsia="en-GB"/>
        </w:rPr>
        <w:tab/>
        <w:t>Implementation plans and monitoring, evaluation and reporting arrangements</w:t>
      </w:r>
    </w:p>
    <w:p w14:paraId="59F5B3B2" w14:textId="77777777" w:rsidR="00751547" w:rsidRPr="009112AB" w:rsidRDefault="00751547" w:rsidP="00751547">
      <w:pPr>
        <w:pBdr>
          <w:top w:val="nil"/>
          <w:left w:val="nil"/>
          <w:bottom w:val="nil"/>
          <w:right w:val="nil"/>
          <w:between w:val="nil"/>
          <w:bar w:val="nil"/>
        </w:pBdr>
        <w:spacing w:before="0" w:after="240"/>
        <w:rPr>
          <w:noProof/>
        </w:rPr>
      </w:pPr>
      <w:r w:rsidRPr="009112AB">
        <w:rPr>
          <w:noProof/>
        </w:rPr>
        <w:t xml:space="preserve">The River Basin Management Plans reported every six years to the Commission and the voluntary electronic reporting under the Common Implementation Strategy to the EEA will remain the key source of information to verify effective implementation of the proposal, in particular of compliance with new or revised quality standards for surface and groundwater. </w:t>
      </w:r>
    </w:p>
    <w:p w14:paraId="41FBA495" w14:textId="77777777" w:rsidR="0089465E" w:rsidRPr="009112AB" w:rsidRDefault="006938DE" w:rsidP="00751547">
      <w:pPr>
        <w:pBdr>
          <w:top w:val="nil"/>
          <w:left w:val="nil"/>
          <w:bottom w:val="nil"/>
          <w:right w:val="nil"/>
          <w:between w:val="nil"/>
          <w:bar w:val="nil"/>
        </w:pBdr>
        <w:spacing w:before="0" w:after="240"/>
        <w:rPr>
          <w:noProof/>
        </w:rPr>
      </w:pPr>
      <w:r w:rsidRPr="009112AB">
        <w:rPr>
          <w:noProof/>
        </w:rPr>
        <w:t>The improved watch list mechanisms,</w:t>
      </w:r>
      <w:r w:rsidR="009B2C6D" w:rsidRPr="009112AB">
        <w:rPr>
          <w:noProof/>
        </w:rPr>
        <w:t xml:space="preserve"> </w:t>
      </w:r>
      <w:r w:rsidRPr="009112AB">
        <w:rPr>
          <w:noProof/>
        </w:rPr>
        <w:t xml:space="preserve">which oblige Member States to monitor substances of emerging concern, will make it possible for the Commission, with the assistance of ECHA and the Member States, to identify the need for further or stricter quality standards. </w:t>
      </w:r>
      <w:r w:rsidR="00751547" w:rsidRPr="009112AB">
        <w:rPr>
          <w:noProof/>
        </w:rPr>
        <w:t>The more regular reporting of also actual monitoring dat</w:t>
      </w:r>
      <w:r w:rsidR="009B2C6D" w:rsidRPr="009112AB">
        <w:rPr>
          <w:noProof/>
        </w:rPr>
        <w:t>a</w:t>
      </w:r>
      <w:r w:rsidR="00751547" w:rsidRPr="009112AB">
        <w:rPr>
          <w:noProof/>
        </w:rPr>
        <w:t xml:space="preserve">, and its analysis by the EEA, will enable the </w:t>
      </w:r>
      <w:r w:rsidR="009B2C6D" w:rsidRPr="009112AB">
        <w:rPr>
          <w:noProof/>
        </w:rPr>
        <w:t>EU Institutions</w:t>
      </w:r>
      <w:r w:rsidR="00751547" w:rsidRPr="009112AB">
        <w:rPr>
          <w:noProof/>
        </w:rPr>
        <w:t xml:space="preserve">, Member States and the public at large, to obtain a more accurate and up-to-date picture of the status of surface and groundwater bodies in the EU. </w:t>
      </w:r>
    </w:p>
    <w:p w14:paraId="6DE5B7B3" w14:textId="77777777" w:rsidR="00781F4C" w:rsidRPr="009112AB" w:rsidRDefault="00781F4C" w:rsidP="00751547">
      <w:pPr>
        <w:pBdr>
          <w:top w:val="nil"/>
          <w:left w:val="nil"/>
          <w:bottom w:val="nil"/>
          <w:right w:val="nil"/>
          <w:between w:val="nil"/>
          <w:bar w:val="nil"/>
        </w:pBdr>
        <w:spacing w:before="0" w:after="240"/>
        <w:rPr>
          <w:noProof/>
        </w:rPr>
      </w:pPr>
      <w:r w:rsidRPr="009112AB">
        <w:rPr>
          <w:noProof/>
        </w:rPr>
        <w:t>Thanks to s</w:t>
      </w:r>
      <w:r w:rsidR="00751547" w:rsidRPr="009112AB">
        <w:rPr>
          <w:noProof/>
        </w:rPr>
        <w:t>ynergies with the improved E-PRTR</w:t>
      </w:r>
      <w:r w:rsidR="009B2C6D" w:rsidRPr="009112AB">
        <w:rPr>
          <w:noProof/>
        </w:rPr>
        <w:t xml:space="preserve">, due to </w:t>
      </w:r>
      <w:r w:rsidRPr="009112AB">
        <w:rPr>
          <w:noProof/>
        </w:rPr>
        <w:t xml:space="preserve">be replaced by the new online electronic database, i.e. the ‘Industrial Emissions Portal’, the inventories of emissions, currently only reported every six years, will be replaced by a far more regular and coherent overview of </w:t>
      </w:r>
      <w:r w:rsidR="00751547" w:rsidRPr="009112AB">
        <w:rPr>
          <w:noProof/>
        </w:rPr>
        <w:t>total releases of pollutants per sector</w:t>
      </w:r>
      <w:r w:rsidRPr="009112AB">
        <w:rPr>
          <w:noProof/>
        </w:rPr>
        <w:t xml:space="preserve">. This will enable the Member States to focus implementation efforts. </w:t>
      </w:r>
    </w:p>
    <w:p w14:paraId="20C54A7C" w14:textId="77777777" w:rsidR="006938DE" w:rsidRPr="009112AB" w:rsidRDefault="00DC4564" w:rsidP="006938DE">
      <w:pPr>
        <w:pBdr>
          <w:top w:val="nil"/>
          <w:left w:val="nil"/>
          <w:bottom w:val="nil"/>
          <w:right w:val="nil"/>
          <w:between w:val="nil"/>
          <w:bar w:val="nil"/>
        </w:pBdr>
        <w:spacing w:before="0" w:after="240"/>
        <w:rPr>
          <w:noProof/>
        </w:rPr>
      </w:pPr>
      <w:r w:rsidRPr="009112AB">
        <w:rPr>
          <w:noProof/>
        </w:rPr>
        <w:t xml:space="preserve">The Annexes of both </w:t>
      </w:r>
      <w:r w:rsidR="006073B1" w:rsidRPr="009112AB">
        <w:rPr>
          <w:noProof/>
        </w:rPr>
        <w:t>S</w:t>
      </w:r>
      <w:r w:rsidRPr="009112AB">
        <w:rPr>
          <w:noProof/>
        </w:rPr>
        <w:t xml:space="preserve">urface and </w:t>
      </w:r>
      <w:r w:rsidR="006073B1" w:rsidRPr="009112AB">
        <w:rPr>
          <w:noProof/>
        </w:rPr>
        <w:t>G</w:t>
      </w:r>
      <w:r w:rsidRPr="009112AB">
        <w:rPr>
          <w:noProof/>
        </w:rPr>
        <w:t xml:space="preserve">roundwater </w:t>
      </w:r>
      <w:r w:rsidR="006073B1" w:rsidRPr="009112AB">
        <w:rPr>
          <w:noProof/>
        </w:rPr>
        <w:t>D</w:t>
      </w:r>
      <w:r w:rsidRPr="009112AB">
        <w:rPr>
          <w:noProof/>
        </w:rPr>
        <w:t>irectives will be reviewed regularly in the light of scientific and technical progress. The more</w:t>
      </w:r>
      <w:r w:rsidR="006938DE" w:rsidRPr="009112AB">
        <w:rPr>
          <w:noProof/>
        </w:rPr>
        <w:t xml:space="preserve"> flexible procedures for adopting quality standards for substances of concern, in combination with the central roles given to the EEA</w:t>
      </w:r>
      <w:r w:rsidR="00AE48A5" w:rsidRPr="009112AB">
        <w:rPr>
          <w:noProof/>
        </w:rPr>
        <w:t>,</w:t>
      </w:r>
      <w:r w:rsidR="006938DE" w:rsidRPr="009112AB">
        <w:rPr>
          <w:noProof/>
        </w:rPr>
        <w:t xml:space="preserve"> for the analysis of more regular monitoring data</w:t>
      </w:r>
      <w:r w:rsidR="00AE48A5" w:rsidRPr="009112AB">
        <w:rPr>
          <w:noProof/>
        </w:rPr>
        <w:t>,</w:t>
      </w:r>
      <w:r w:rsidR="006938DE" w:rsidRPr="009112AB">
        <w:rPr>
          <w:noProof/>
        </w:rPr>
        <w:t xml:space="preserve"> and to </w:t>
      </w:r>
      <w:r w:rsidR="00AE48A5" w:rsidRPr="009112AB">
        <w:rPr>
          <w:noProof/>
        </w:rPr>
        <w:t xml:space="preserve">the </w:t>
      </w:r>
      <w:r w:rsidR="006938DE" w:rsidRPr="009112AB">
        <w:rPr>
          <w:noProof/>
        </w:rPr>
        <w:t>ECHA</w:t>
      </w:r>
      <w:r w:rsidR="00AE48A5" w:rsidRPr="009112AB">
        <w:rPr>
          <w:noProof/>
        </w:rPr>
        <w:t>,</w:t>
      </w:r>
      <w:r w:rsidR="006938DE" w:rsidRPr="009112AB">
        <w:rPr>
          <w:noProof/>
        </w:rPr>
        <w:t xml:space="preserve"> for continuous scientific support</w:t>
      </w:r>
      <w:r w:rsidR="00AE48A5" w:rsidRPr="009112AB">
        <w:rPr>
          <w:noProof/>
        </w:rPr>
        <w:t>,</w:t>
      </w:r>
      <w:r w:rsidR="006938DE" w:rsidRPr="009112AB">
        <w:rPr>
          <w:noProof/>
        </w:rPr>
        <w:t xml:space="preserve"> will allow to better evaluate the accuracy of current standards and the need for new </w:t>
      </w:r>
      <w:r w:rsidR="00AE48A5" w:rsidRPr="009112AB">
        <w:rPr>
          <w:noProof/>
        </w:rPr>
        <w:t>ones,</w:t>
      </w:r>
      <w:r w:rsidR="006938DE" w:rsidRPr="009112AB">
        <w:rPr>
          <w:noProof/>
        </w:rPr>
        <w:t xml:space="preserve"> to swiftly address substances of emerging concern. </w:t>
      </w:r>
      <w:r w:rsidR="00B25656" w:rsidRPr="009112AB">
        <w:rPr>
          <w:noProof/>
        </w:rPr>
        <w:t>Th</w:t>
      </w:r>
      <w:r w:rsidR="00AE48A5" w:rsidRPr="009112AB">
        <w:rPr>
          <w:noProof/>
        </w:rPr>
        <w:t>e</w:t>
      </w:r>
      <w:r w:rsidR="00B25656" w:rsidRPr="009112AB">
        <w:rPr>
          <w:noProof/>
        </w:rPr>
        <w:t xml:space="preserve"> involvement of both </w:t>
      </w:r>
      <w:r w:rsidR="00AE48A5" w:rsidRPr="009112AB">
        <w:rPr>
          <w:noProof/>
        </w:rPr>
        <w:t>A</w:t>
      </w:r>
      <w:r w:rsidR="00B25656" w:rsidRPr="009112AB">
        <w:rPr>
          <w:noProof/>
        </w:rPr>
        <w:t>gencies complies with the objective under the Chemicals Stra</w:t>
      </w:r>
      <w:r w:rsidR="00660305" w:rsidRPr="009112AB">
        <w:rPr>
          <w:noProof/>
        </w:rPr>
        <w:t>te</w:t>
      </w:r>
      <w:r w:rsidR="00B25656" w:rsidRPr="009112AB">
        <w:rPr>
          <w:noProof/>
        </w:rPr>
        <w:t xml:space="preserve">gy to move towards ‘one substance, one assessment’ approach resulting in more efficient, effective and coherent safety assessments of chemicals across all relevant </w:t>
      </w:r>
      <w:r w:rsidR="00AE48A5" w:rsidRPr="009112AB">
        <w:rPr>
          <w:noProof/>
        </w:rPr>
        <w:t xml:space="preserve">EU </w:t>
      </w:r>
      <w:r w:rsidR="00B25656" w:rsidRPr="009112AB">
        <w:rPr>
          <w:noProof/>
        </w:rPr>
        <w:t>legislation</w:t>
      </w:r>
      <w:r w:rsidR="00AE48A5" w:rsidRPr="009112AB">
        <w:rPr>
          <w:noProof/>
        </w:rPr>
        <w:t>,</w:t>
      </w:r>
      <w:r w:rsidR="00B25656" w:rsidRPr="009112AB">
        <w:rPr>
          <w:noProof/>
        </w:rPr>
        <w:t xml:space="preserve"> </w:t>
      </w:r>
      <w:r w:rsidR="00D07E87" w:rsidRPr="009112AB">
        <w:rPr>
          <w:noProof/>
        </w:rPr>
        <w:t>thereby a</w:t>
      </w:r>
      <w:r w:rsidR="00B25656" w:rsidRPr="009112AB">
        <w:rPr>
          <w:noProof/>
        </w:rPr>
        <w:t xml:space="preserve">lso triggering more effective and cross-cutting implementation measures and proposals for new standards. </w:t>
      </w:r>
      <w:r w:rsidR="006938DE" w:rsidRPr="009112AB">
        <w:rPr>
          <w:noProof/>
        </w:rPr>
        <w:t xml:space="preserve">   </w:t>
      </w:r>
    </w:p>
    <w:p w14:paraId="4BC745A5" w14:textId="77777777" w:rsidR="0047629D" w:rsidRPr="009112AB" w:rsidRDefault="00DC4564" w:rsidP="005C4F36">
      <w:pPr>
        <w:pBdr>
          <w:top w:val="nil"/>
          <w:left w:val="nil"/>
          <w:bottom w:val="nil"/>
          <w:right w:val="nil"/>
          <w:between w:val="nil"/>
          <w:bar w:val="nil"/>
        </w:pBdr>
        <w:spacing w:before="0" w:after="240"/>
        <w:rPr>
          <w:rFonts w:eastAsia="Arial Unicode MS"/>
          <w:noProof/>
        </w:rPr>
      </w:pPr>
      <w:r w:rsidRPr="009112AB">
        <w:rPr>
          <w:noProof/>
        </w:rPr>
        <w:t xml:space="preserve">The </w:t>
      </w:r>
      <w:r w:rsidR="006938DE" w:rsidRPr="009112AB">
        <w:rPr>
          <w:noProof/>
        </w:rPr>
        <w:t xml:space="preserve">analysis of </w:t>
      </w:r>
      <w:r w:rsidR="00781F4C" w:rsidRPr="009112AB">
        <w:rPr>
          <w:noProof/>
        </w:rPr>
        <w:t xml:space="preserve">more regular </w:t>
      </w:r>
      <w:r w:rsidR="006938DE" w:rsidRPr="009112AB">
        <w:rPr>
          <w:noProof/>
        </w:rPr>
        <w:t>m</w:t>
      </w:r>
      <w:r w:rsidR="00781F4C" w:rsidRPr="009112AB">
        <w:rPr>
          <w:noProof/>
        </w:rPr>
        <w:t xml:space="preserve">onitoring and status data </w:t>
      </w:r>
      <w:r w:rsidR="006938DE" w:rsidRPr="009112AB">
        <w:rPr>
          <w:noProof/>
        </w:rPr>
        <w:t xml:space="preserve">will effectively feed into the </w:t>
      </w:r>
      <w:r w:rsidR="00781F4C" w:rsidRPr="009112AB">
        <w:rPr>
          <w:noProof/>
        </w:rPr>
        <w:t xml:space="preserve">broader </w:t>
      </w:r>
      <w:r w:rsidR="006073B1" w:rsidRPr="009112AB">
        <w:rPr>
          <w:noProof/>
        </w:rPr>
        <w:t>Z</w:t>
      </w:r>
      <w:r w:rsidR="00781F4C" w:rsidRPr="009112AB">
        <w:rPr>
          <w:noProof/>
        </w:rPr>
        <w:t xml:space="preserve">ero </w:t>
      </w:r>
      <w:r w:rsidR="006073B1" w:rsidRPr="009112AB">
        <w:rPr>
          <w:noProof/>
        </w:rPr>
        <w:t>P</w:t>
      </w:r>
      <w:r w:rsidR="00781F4C" w:rsidRPr="009112AB">
        <w:rPr>
          <w:noProof/>
        </w:rPr>
        <w:t xml:space="preserve">ollution </w:t>
      </w:r>
      <w:r w:rsidR="006073B1" w:rsidRPr="009112AB">
        <w:rPr>
          <w:noProof/>
        </w:rPr>
        <w:t>M</w:t>
      </w:r>
      <w:r w:rsidR="00781F4C" w:rsidRPr="009112AB">
        <w:rPr>
          <w:noProof/>
        </w:rPr>
        <w:t xml:space="preserve">onitoring and </w:t>
      </w:r>
      <w:r w:rsidR="006073B1" w:rsidRPr="009112AB">
        <w:rPr>
          <w:noProof/>
        </w:rPr>
        <w:t>O</w:t>
      </w:r>
      <w:r w:rsidR="00781F4C" w:rsidRPr="009112AB">
        <w:rPr>
          <w:noProof/>
        </w:rPr>
        <w:t xml:space="preserve">utlook framework, to be published every 2 years from 2022. This will help evaluate the impact of reduced pollution of water bodies as a result of a wider set of harmonised quality standards being implemented across the EU. </w:t>
      </w:r>
    </w:p>
    <w:p w14:paraId="36C7B989" w14:textId="77777777" w:rsidR="0047629D" w:rsidRPr="009112AB" w:rsidRDefault="0047629D" w:rsidP="005C4F36">
      <w:pPr>
        <w:pStyle w:val="ManualHeading2"/>
        <w:rPr>
          <w:rFonts w:eastAsia="Arial Unicode MS"/>
          <w:noProof/>
          <w:u w:color="000000"/>
          <w:bdr w:val="nil"/>
          <w:lang w:eastAsia="en-GB"/>
        </w:rPr>
      </w:pPr>
      <w:r w:rsidRPr="009112AB">
        <w:rPr>
          <w:rFonts w:eastAsia="Arial Unicode MS"/>
          <w:noProof/>
          <w:u w:color="000000"/>
          <w:bdr w:val="nil"/>
          <w:lang w:eastAsia="en-GB"/>
        </w:rPr>
        <w:t>•</w:t>
      </w:r>
      <w:r w:rsidRPr="009112AB">
        <w:rPr>
          <w:rFonts w:eastAsia="Arial Unicode MS"/>
          <w:noProof/>
          <w:u w:color="000000"/>
          <w:bdr w:val="nil"/>
          <w:lang w:eastAsia="en-GB"/>
        </w:rPr>
        <w:tab/>
        <w:t xml:space="preserve">Explanatory documents </w:t>
      </w:r>
    </w:p>
    <w:p w14:paraId="27259A82" w14:textId="77777777" w:rsidR="0047629D" w:rsidRPr="00FD620F" w:rsidRDefault="0094629E" w:rsidP="005C4F36">
      <w:pPr>
        <w:pBdr>
          <w:top w:val="nil"/>
          <w:left w:val="nil"/>
          <w:bottom w:val="nil"/>
          <w:right w:val="nil"/>
          <w:between w:val="nil"/>
          <w:bar w:val="nil"/>
        </w:pBdr>
        <w:spacing w:before="0" w:after="240"/>
        <w:rPr>
          <w:rFonts w:eastAsia="Arial Unicode MS"/>
          <w:noProof/>
        </w:rPr>
      </w:pPr>
      <w:r w:rsidRPr="009112AB">
        <w:rPr>
          <w:rFonts w:eastAsia="Arial Unicode MS"/>
          <w:noProof/>
        </w:rPr>
        <w:t xml:space="preserve">The proposal requires </w:t>
      </w:r>
      <w:r w:rsidR="006000F9" w:rsidRPr="009112AB">
        <w:rPr>
          <w:rFonts w:eastAsia="Arial Unicode MS"/>
          <w:noProof/>
        </w:rPr>
        <w:t>e</w:t>
      </w:r>
      <w:r w:rsidRPr="009112AB">
        <w:rPr>
          <w:rFonts w:eastAsia="Arial Unicode MS"/>
          <w:noProof/>
        </w:rPr>
        <w:t xml:space="preserve">xplanatory </w:t>
      </w:r>
      <w:r w:rsidR="006000F9" w:rsidRPr="009112AB">
        <w:rPr>
          <w:rFonts w:eastAsia="Arial Unicode MS"/>
          <w:noProof/>
        </w:rPr>
        <w:t>d</w:t>
      </w:r>
      <w:r w:rsidRPr="009112AB">
        <w:rPr>
          <w:rFonts w:eastAsia="Arial Unicode MS"/>
          <w:noProof/>
        </w:rPr>
        <w:t>ocuments</w:t>
      </w:r>
      <w:r w:rsidR="006073B1" w:rsidRPr="009112AB">
        <w:rPr>
          <w:rFonts w:eastAsia="Arial Unicode MS"/>
          <w:noProof/>
        </w:rPr>
        <w:t>,</w:t>
      </w:r>
      <w:r w:rsidRPr="009112AB">
        <w:rPr>
          <w:rFonts w:eastAsia="Arial Unicode MS"/>
          <w:noProof/>
        </w:rPr>
        <w:t xml:space="preserve"> because these are key for assessing conformity and verify that the transposing texts reflect the letter and </w:t>
      </w:r>
      <w:r w:rsidR="006073B1" w:rsidRPr="009112AB">
        <w:rPr>
          <w:rFonts w:eastAsia="Arial Unicode MS"/>
          <w:noProof/>
        </w:rPr>
        <w:t xml:space="preserve">the </w:t>
      </w:r>
      <w:r w:rsidRPr="009112AB">
        <w:rPr>
          <w:rFonts w:eastAsia="Arial Unicode MS"/>
          <w:noProof/>
        </w:rPr>
        <w:t xml:space="preserve">spirit of the Directive. This is important and necessary, </w:t>
      </w:r>
      <w:r w:rsidR="00AE48A5" w:rsidRPr="009112AB">
        <w:rPr>
          <w:rFonts w:eastAsia="Arial Unicode MS"/>
          <w:noProof/>
        </w:rPr>
        <w:t>as</w:t>
      </w:r>
      <w:r w:rsidRPr="009112AB">
        <w:rPr>
          <w:rFonts w:eastAsia="Arial Unicode MS"/>
          <w:noProof/>
        </w:rPr>
        <w:t xml:space="preserve"> the proposal covers amendments to three directives,</w:t>
      </w:r>
      <w:r w:rsidR="00AE48A5" w:rsidRPr="009112AB">
        <w:rPr>
          <w:rFonts w:eastAsia="Arial Unicode MS"/>
          <w:noProof/>
        </w:rPr>
        <w:t xml:space="preserve"> </w:t>
      </w:r>
      <w:r w:rsidRPr="009112AB">
        <w:rPr>
          <w:rFonts w:eastAsia="Arial Unicode MS"/>
          <w:noProof/>
        </w:rPr>
        <w:t xml:space="preserve">possibly transposed in different </w:t>
      </w:r>
      <w:r w:rsidR="006000F9" w:rsidRPr="009112AB">
        <w:rPr>
          <w:rFonts w:eastAsia="Arial Unicode MS"/>
          <w:noProof/>
        </w:rPr>
        <w:t xml:space="preserve">pieces of national legislation. Also, </w:t>
      </w:r>
      <w:r w:rsidR="00AE48A5" w:rsidRPr="009112AB">
        <w:rPr>
          <w:rFonts w:eastAsia="Arial Unicode MS"/>
          <w:noProof/>
        </w:rPr>
        <w:t xml:space="preserve">since </w:t>
      </w:r>
      <w:r w:rsidR="006000F9" w:rsidRPr="009112AB">
        <w:rPr>
          <w:rFonts w:eastAsia="Arial Unicode MS"/>
          <w:noProof/>
        </w:rPr>
        <w:t xml:space="preserve">the proposal </w:t>
      </w:r>
      <w:r w:rsidR="006000F9" w:rsidRPr="00FD620F">
        <w:rPr>
          <w:rFonts w:eastAsia="Arial Unicode MS"/>
          <w:noProof/>
        </w:rPr>
        <w:t xml:space="preserve">primarily aims at amending existing or introducing new </w:t>
      </w:r>
      <w:r w:rsidR="00AE48A5" w:rsidRPr="00FD620F">
        <w:rPr>
          <w:rFonts w:eastAsia="Arial Unicode MS"/>
          <w:noProof/>
        </w:rPr>
        <w:t xml:space="preserve">quality </w:t>
      </w:r>
      <w:r w:rsidR="006000F9" w:rsidRPr="00FD620F">
        <w:rPr>
          <w:rFonts w:eastAsia="Arial Unicode MS"/>
          <w:noProof/>
        </w:rPr>
        <w:t>standards</w:t>
      </w:r>
      <w:r w:rsidR="00AE48A5" w:rsidRPr="00FD620F">
        <w:rPr>
          <w:rFonts w:eastAsia="Arial Unicode MS"/>
          <w:noProof/>
        </w:rPr>
        <w:t>, a</w:t>
      </w:r>
      <w:r w:rsidR="006000F9" w:rsidRPr="00FD620F">
        <w:rPr>
          <w:rFonts w:eastAsia="Arial Unicode MS"/>
          <w:noProof/>
        </w:rPr>
        <w:t xml:space="preserve"> careful verification can be facilitated through explanatory documents. </w:t>
      </w:r>
      <w:r w:rsidRPr="00FD620F">
        <w:rPr>
          <w:rFonts w:eastAsia="Arial Unicode MS"/>
          <w:noProof/>
        </w:rPr>
        <w:t xml:space="preserve"> </w:t>
      </w:r>
    </w:p>
    <w:p w14:paraId="68A5299E" w14:textId="77777777" w:rsidR="0047629D" w:rsidRPr="00FD620F" w:rsidRDefault="0047629D" w:rsidP="005C4F36">
      <w:pPr>
        <w:pStyle w:val="ManualHeading2"/>
        <w:rPr>
          <w:rFonts w:eastAsia="Arial Unicode MS"/>
          <w:noProof/>
          <w:u w:color="000000"/>
          <w:bdr w:val="nil"/>
          <w:lang w:eastAsia="en-GB"/>
        </w:rPr>
      </w:pPr>
      <w:r w:rsidRPr="00FD620F">
        <w:rPr>
          <w:rFonts w:eastAsia="Arial Unicode MS"/>
          <w:noProof/>
          <w:u w:color="000000"/>
          <w:bdr w:val="nil"/>
          <w:lang w:eastAsia="en-GB"/>
        </w:rPr>
        <w:t>•</w:t>
      </w:r>
      <w:r w:rsidRPr="00FD620F">
        <w:rPr>
          <w:rFonts w:eastAsia="Arial Unicode MS"/>
          <w:noProof/>
          <w:u w:color="000000"/>
          <w:bdr w:val="nil"/>
          <w:lang w:eastAsia="en-GB"/>
        </w:rPr>
        <w:tab/>
        <w:t>Detailed explanation of the specific provisions of the proposal</w:t>
      </w:r>
    </w:p>
    <w:p w14:paraId="233A7BAD" w14:textId="77777777" w:rsidR="005C53E6" w:rsidRPr="00FD620F" w:rsidRDefault="005C53E6" w:rsidP="005C53E6">
      <w:pPr>
        <w:pStyle w:val="ListNumber"/>
        <w:rPr>
          <w:rFonts w:eastAsia="Arial Unicode MS"/>
          <w:noProof/>
        </w:rPr>
      </w:pPr>
      <w:r w:rsidRPr="00FD620F">
        <w:rPr>
          <w:rFonts w:eastAsia="Arial Unicode MS"/>
          <w:noProof/>
        </w:rPr>
        <w:t>Amendments to Directive 2000/60/EC</w:t>
      </w:r>
    </w:p>
    <w:p w14:paraId="15A75732" w14:textId="77777777" w:rsidR="005C53E6" w:rsidRPr="00FD620F" w:rsidRDefault="005C53E6" w:rsidP="005C53E6">
      <w:pPr>
        <w:rPr>
          <w:noProof/>
        </w:rPr>
      </w:pPr>
      <w:r w:rsidRPr="00FD620F">
        <w:rPr>
          <w:b/>
          <w:noProof/>
        </w:rPr>
        <w:t>Articles 1</w:t>
      </w:r>
      <w:r w:rsidRPr="00FD620F">
        <w:rPr>
          <w:noProof/>
        </w:rPr>
        <w:t xml:space="preserve">, </w:t>
      </w:r>
      <w:r w:rsidRPr="00FD620F">
        <w:rPr>
          <w:b/>
          <w:noProof/>
        </w:rPr>
        <w:t>7(2)</w:t>
      </w:r>
      <w:r w:rsidRPr="00FD620F">
        <w:rPr>
          <w:noProof/>
        </w:rPr>
        <w:t xml:space="preserve">, </w:t>
      </w:r>
      <w:r w:rsidRPr="00FD620F">
        <w:rPr>
          <w:b/>
          <w:noProof/>
        </w:rPr>
        <w:t>11(3)(k)</w:t>
      </w:r>
      <w:r w:rsidRPr="00FD620F">
        <w:rPr>
          <w:noProof/>
        </w:rPr>
        <w:t xml:space="preserve">, </w:t>
      </w:r>
      <w:r w:rsidRPr="00FD620F">
        <w:rPr>
          <w:b/>
          <w:noProof/>
        </w:rPr>
        <w:t>4(1)</w:t>
      </w:r>
      <w:r w:rsidRPr="00FD620F">
        <w:rPr>
          <w:noProof/>
        </w:rPr>
        <w:t xml:space="preserve"> and </w:t>
      </w:r>
      <w:r w:rsidRPr="00FD620F">
        <w:rPr>
          <w:b/>
          <w:noProof/>
        </w:rPr>
        <w:t xml:space="preserve">Annexes V (points 1.4.3, 2.3.2 and 2.4.5) </w:t>
      </w:r>
      <w:r w:rsidRPr="00FD620F">
        <w:rPr>
          <w:noProof/>
        </w:rPr>
        <w:t xml:space="preserve">and </w:t>
      </w:r>
      <w:r w:rsidRPr="00FD620F">
        <w:rPr>
          <w:b/>
          <w:noProof/>
        </w:rPr>
        <w:t xml:space="preserve">VII (point 7.7) </w:t>
      </w:r>
      <w:r w:rsidRPr="00FD620F">
        <w:rPr>
          <w:noProof/>
        </w:rPr>
        <w:t xml:space="preserve">are amended to take into account the proposed deletion of Articles 16 and 17 (see below). </w:t>
      </w:r>
    </w:p>
    <w:p w14:paraId="4FC8C73F" w14:textId="77777777" w:rsidR="005C53E6" w:rsidRPr="00FD620F" w:rsidRDefault="005C53E6" w:rsidP="005C53E6">
      <w:pPr>
        <w:rPr>
          <w:rFonts w:eastAsia="Arial Unicode MS"/>
          <w:noProof/>
        </w:rPr>
      </w:pPr>
      <w:r w:rsidRPr="00FD620F">
        <w:rPr>
          <w:b/>
          <w:noProof/>
        </w:rPr>
        <w:t>Article 2</w:t>
      </w:r>
      <w:r w:rsidRPr="00FD620F">
        <w:rPr>
          <w:noProof/>
        </w:rPr>
        <w:t xml:space="preserve"> on definitions is amended to update the definitions of ‘Good surface water chemical status’, ‘Priority Substances’ and ‘Environmental quality standards’ and introduce the definitions of ‘Priority hazardous substances’ and ‘River basin specific pollutants’. These changes are necessary to: 1) take account of the proposal to replace the current co-decision procedure for adopting EQS with delegated acts; 2) widen the scope of the notion of ‘chemical status’ to cover also the ‘river basin specific pollutants’, hitherto part of the definition of ‘ecological status’ under Annex V; 3) take into account the possible future effect-based trigger values as part of the definition of ‘environmental quality standards’</w:t>
      </w:r>
      <w:r w:rsidRPr="00FD620F">
        <w:rPr>
          <w:rFonts w:eastAsia="Arial Unicode MS"/>
          <w:noProof/>
        </w:rPr>
        <w:t>.</w:t>
      </w:r>
    </w:p>
    <w:p w14:paraId="64908A8F" w14:textId="77777777" w:rsidR="005C53E6" w:rsidRPr="00FD620F" w:rsidRDefault="005C53E6" w:rsidP="005C53E6">
      <w:pPr>
        <w:rPr>
          <w:rFonts w:eastAsia="Arial Unicode MS"/>
          <w:noProof/>
        </w:rPr>
      </w:pPr>
      <w:r w:rsidRPr="00FD620F">
        <w:rPr>
          <w:rFonts w:eastAsia="Arial Unicode MS"/>
          <w:b/>
          <w:noProof/>
        </w:rPr>
        <w:t>Article 3</w:t>
      </w:r>
      <w:r w:rsidRPr="00FD620F">
        <w:rPr>
          <w:rFonts w:eastAsia="Arial Unicode MS"/>
          <w:noProof/>
        </w:rPr>
        <w:t xml:space="preserve"> on administrative coordination within river basin districts is amended to introduce an obligation, i</w:t>
      </w:r>
      <w:r w:rsidRPr="00FD620F">
        <w:rPr>
          <w:bCs/>
          <w:noProof/>
        </w:rPr>
        <w:t xml:space="preserve">n case of exceptional circumstances of natural origin or force majeure, in particular extreme floods, prolonged droughts, or significant pollution incidents, </w:t>
      </w:r>
      <w:r w:rsidRPr="00FD620F">
        <w:rPr>
          <w:rFonts w:eastAsia="Arial Unicode MS"/>
          <w:noProof/>
        </w:rPr>
        <w:t xml:space="preserve">for competent authorities of all possibly affected water bodies including in downstream Member States, to alert each other and cooperate to minimize damage and address consequences. </w:t>
      </w:r>
    </w:p>
    <w:p w14:paraId="18208584" w14:textId="77777777" w:rsidR="005C53E6" w:rsidRPr="00FD620F" w:rsidRDefault="005C53E6" w:rsidP="005C53E6">
      <w:pPr>
        <w:rPr>
          <w:rFonts w:eastAsia="Arial Unicode MS"/>
          <w:noProof/>
        </w:rPr>
      </w:pPr>
      <w:r w:rsidRPr="00FD620F">
        <w:rPr>
          <w:rFonts w:eastAsia="Arial Unicode MS"/>
          <w:bCs/>
          <w:noProof/>
        </w:rPr>
        <w:t>Next to the above-mentioned adjustment to take account of the deletion of Article 16,</w:t>
      </w:r>
      <w:r w:rsidRPr="00FD620F">
        <w:rPr>
          <w:rFonts w:eastAsia="Arial Unicode MS"/>
          <w:b/>
          <w:noProof/>
        </w:rPr>
        <w:t xml:space="preserve"> Article 4</w:t>
      </w:r>
      <w:r w:rsidRPr="00FD620F">
        <w:rPr>
          <w:rFonts w:eastAsia="Arial Unicode MS"/>
          <w:noProof/>
        </w:rPr>
        <w:t xml:space="preserve"> on objectives is amended to ensure that its paragraph (a)(iv) includes an explicit obligation for Member States to progressively reduce pollution from river basin specific pollutants too, not just from priority substances. </w:t>
      </w:r>
    </w:p>
    <w:p w14:paraId="32AECC35" w14:textId="77777777" w:rsidR="005C53E6" w:rsidRPr="00FD620F" w:rsidRDefault="005C53E6" w:rsidP="005C53E6">
      <w:pPr>
        <w:rPr>
          <w:rFonts w:eastAsia="Arial Unicode MS"/>
          <w:noProof/>
        </w:rPr>
      </w:pPr>
      <w:r w:rsidRPr="00FD620F">
        <w:rPr>
          <w:rFonts w:eastAsia="Arial Unicode MS"/>
          <w:b/>
          <w:noProof/>
        </w:rPr>
        <w:t xml:space="preserve">Article 8, paragraph 3 </w:t>
      </w:r>
      <w:r w:rsidRPr="00FD620F">
        <w:rPr>
          <w:rFonts w:eastAsia="Arial Unicode MS"/>
          <w:noProof/>
        </w:rPr>
        <w:t>on methods for analysing and monitoring the water status is amended to align the comitology procedure to the Lisbon Treaty by replacing the former ‘regulatory procedure with scrutiny’ with the ‘examination procedure’ set out in Article 21. In addition, a new empowerment is introduced in the same paragraph to allow for the adoption of implementing acts to set further details as regards the new obligations to make available to the EEA monitoring data, as well as to make status data available on a more regular basis, in accordance with n</w:t>
      </w:r>
      <w:r w:rsidRPr="00FD620F">
        <w:rPr>
          <w:rFonts w:eastAsia="Arial Unicode MS"/>
          <w:b/>
          <w:noProof/>
        </w:rPr>
        <w:t>ew paragraphs 4 and 5</w:t>
      </w:r>
      <w:r w:rsidRPr="00FD620F">
        <w:rPr>
          <w:rFonts w:eastAsia="Arial Unicode MS"/>
          <w:noProof/>
        </w:rPr>
        <w:t xml:space="preserve">. These amendments are fully in line with existing obligations under Directive 2007/2/EC (Inspire), which obliges Member States to make publicly available spatial data sets, including on the location and operation of environmental monitoring facilities, related emission measurements and the state of the environmental media (air, water, soil). To reduce administrative burden, data dissemination should be further streamlined too, in accordance with the EU Digital Strategy, Directive (EU) 2019/1024 on open data and the ‘one substance one assessment’ approach under the Sustainable Chemicals Strategy.   </w:t>
      </w:r>
    </w:p>
    <w:p w14:paraId="76DCCA05" w14:textId="77777777" w:rsidR="005C53E6" w:rsidRPr="00FD620F" w:rsidRDefault="005C53E6" w:rsidP="005C53E6">
      <w:pPr>
        <w:rPr>
          <w:rFonts w:eastAsia="Arial Unicode MS"/>
          <w:noProof/>
        </w:rPr>
      </w:pPr>
      <w:r w:rsidRPr="00FD620F">
        <w:rPr>
          <w:rFonts w:eastAsia="Arial Unicode MS"/>
          <w:b/>
          <w:noProof/>
        </w:rPr>
        <w:t>Article 10</w:t>
      </w:r>
      <w:r w:rsidRPr="00FD620F">
        <w:rPr>
          <w:rFonts w:eastAsia="Arial Unicode MS"/>
          <w:noProof/>
        </w:rPr>
        <w:t xml:space="preserve"> on the combined approach for point and diffuse sources is amended to update the references to various directives addressing point source and diffuse pollution (further to their repeal and replacement). </w:t>
      </w:r>
    </w:p>
    <w:p w14:paraId="0F3F0793" w14:textId="77777777" w:rsidR="00C87F96" w:rsidRPr="00FD620F" w:rsidRDefault="00C87F96" w:rsidP="005C53E6">
      <w:pPr>
        <w:rPr>
          <w:rFonts w:eastAsia="Arial Unicode MS"/>
          <w:noProof/>
        </w:rPr>
      </w:pPr>
      <w:r w:rsidRPr="00FD620F">
        <w:rPr>
          <w:rFonts w:eastAsia="Arial Unicode MS"/>
          <w:b/>
          <w:noProof/>
        </w:rPr>
        <w:t>Article 12</w:t>
      </w:r>
      <w:r w:rsidRPr="00FD620F">
        <w:rPr>
          <w:rFonts w:eastAsia="Arial Unicode MS"/>
          <w:noProof/>
        </w:rPr>
        <w:t xml:space="preserve"> on issues that cannot be dealt with by one Member State is modified to strengthen and formalise the procedure for cooperation between Member States. </w:t>
      </w:r>
    </w:p>
    <w:p w14:paraId="0012394B" w14:textId="77777777" w:rsidR="005C53E6" w:rsidRPr="00FD620F" w:rsidRDefault="005C53E6" w:rsidP="005C53E6">
      <w:pPr>
        <w:rPr>
          <w:noProof/>
        </w:rPr>
      </w:pPr>
      <w:r w:rsidRPr="00FD620F">
        <w:rPr>
          <w:b/>
          <w:noProof/>
        </w:rPr>
        <w:t>Article 15(3)</w:t>
      </w:r>
      <w:r w:rsidRPr="00FD620F">
        <w:rPr>
          <w:noProof/>
        </w:rPr>
        <w:t xml:space="preserve"> on the three yearly, interim reporting of progress on programmes of measures is deleted, as the resulting administrative burden is considered disproportionate compared to the gains in terms of better implementation control and steering. </w:t>
      </w:r>
    </w:p>
    <w:p w14:paraId="562CB023" w14:textId="77777777" w:rsidR="005C53E6" w:rsidRPr="00FD620F" w:rsidRDefault="005C53E6" w:rsidP="005C53E6">
      <w:pPr>
        <w:rPr>
          <w:noProof/>
        </w:rPr>
      </w:pPr>
      <w:r w:rsidRPr="00FD620F">
        <w:rPr>
          <w:b/>
          <w:noProof/>
        </w:rPr>
        <w:t>Articles 16 and 17</w:t>
      </w:r>
      <w:r w:rsidRPr="00FD620F">
        <w:rPr>
          <w:noProof/>
        </w:rPr>
        <w:t xml:space="preserve"> on the procedure by which the Commission was required to establish legislative proposals for listing and identifying EQS for surface water bodies and groundwater bodies are deleted, as they have become obsolete. </w:t>
      </w:r>
    </w:p>
    <w:p w14:paraId="0B6E09E8" w14:textId="77777777" w:rsidR="005C53E6" w:rsidRPr="00FD620F" w:rsidRDefault="005C53E6" w:rsidP="005C53E6">
      <w:pPr>
        <w:rPr>
          <w:b/>
          <w:noProof/>
        </w:rPr>
      </w:pPr>
      <w:r w:rsidRPr="00FD620F">
        <w:rPr>
          <w:b/>
          <w:noProof/>
        </w:rPr>
        <w:t xml:space="preserve">Article 18(2)(e) </w:t>
      </w:r>
      <w:r w:rsidRPr="00FD620F">
        <w:rPr>
          <w:noProof/>
        </w:rPr>
        <w:t>is amended to take into account the proposed deletion of Article 16, whereas</w:t>
      </w:r>
      <w:r w:rsidRPr="00FD620F">
        <w:rPr>
          <w:b/>
          <w:noProof/>
        </w:rPr>
        <w:t xml:space="preserve"> Article 18(4)</w:t>
      </w:r>
      <w:r w:rsidRPr="00FD620F">
        <w:rPr>
          <w:noProof/>
        </w:rPr>
        <w:t xml:space="preserve"> is amended to take into account the proposed deletion of Article 15(3).   </w:t>
      </w:r>
    </w:p>
    <w:p w14:paraId="177ECC92" w14:textId="77777777" w:rsidR="005C53E6" w:rsidRPr="00FD620F" w:rsidRDefault="005C53E6" w:rsidP="005C53E6">
      <w:pPr>
        <w:rPr>
          <w:noProof/>
        </w:rPr>
      </w:pPr>
      <w:r w:rsidRPr="00FD620F">
        <w:rPr>
          <w:b/>
          <w:noProof/>
        </w:rPr>
        <w:t>Article 20</w:t>
      </w:r>
      <w:r w:rsidRPr="00FD620F">
        <w:rPr>
          <w:noProof/>
        </w:rPr>
        <w:t xml:space="preserve"> on technical adaptations is amended to: 1) replace with the delegated acts procedure the current regulatory procedure with scrutiny for modifying Annexes I and III; 2) replace with the examination procedure the current regulatory procedure for adopting guidelines on the implementation of Annexes II and V and for establishing formats for the transmission and processing of data. </w:t>
      </w:r>
    </w:p>
    <w:p w14:paraId="767AB4DC" w14:textId="77777777" w:rsidR="005C53E6" w:rsidRPr="00FD620F" w:rsidRDefault="005C53E6" w:rsidP="005C53E6">
      <w:pPr>
        <w:rPr>
          <w:noProof/>
        </w:rPr>
      </w:pPr>
      <w:r w:rsidRPr="00FD620F">
        <w:rPr>
          <w:noProof/>
        </w:rPr>
        <w:t xml:space="preserve">The </w:t>
      </w:r>
      <w:r w:rsidRPr="00FD620F">
        <w:rPr>
          <w:b/>
          <w:noProof/>
        </w:rPr>
        <w:t>new Article 20a</w:t>
      </w:r>
      <w:r w:rsidRPr="00FD620F">
        <w:rPr>
          <w:noProof/>
        </w:rPr>
        <w:t xml:space="preserve"> introduces the provisions related to the procedure for adopting delegated acts, in accordance with the Lisbon Treaty. </w:t>
      </w:r>
    </w:p>
    <w:p w14:paraId="5C79421F" w14:textId="77777777" w:rsidR="005C53E6" w:rsidRPr="00FD620F" w:rsidRDefault="005C53E6" w:rsidP="005C53E6">
      <w:pPr>
        <w:rPr>
          <w:noProof/>
        </w:rPr>
      </w:pPr>
      <w:r w:rsidRPr="00FD620F">
        <w:rPr>
          <w:noProof/>
        </w:rPr>
        <w:t xml:space="preserve">The amendment to </w:t>
      </w:r>
      <w:r w:rsidRPr="00FD620F">
        <w:rPr>
          <w:b/>
          <w:noProof/>
        </w:rPr>
        <w:t>Article 21</w:t>
      </w:r>
      <w:r w:rsidRPr="00FD620F">
        <w:rPr>
          <w:noProof/>
        </w:rPr>
        <w:t xml:space="preserve"> on the Committee procedure aims at replacing the reference to the former ‘comitology decision’ with the currently applicable ‘comitology regulation’. </w:t>
      </w:r>
    </w:p>
    <w:p w14:paraId="32EA962D" w14:textId="77777777" w:rsidR="005C53E6" w:rsidRPr="00FD620F" w:rsidRDefault="005C53E6" w:rsidP="005C53E6">
      <w:pPr>
        <w:rPr>
          <w:noProof/>
        </w:rPr>
      </w:pPr>
      <w:r w:rsidRPr="00FD620F">
        <w:rPr>
          <w:b/>
          <w:noProof/>
        </w:rPr>
        <w:t>Article 22</w:t>
      </w:r>
      <w:r w:rsidRPr="00FD620F">
        <w:rPr>
          <w:noProof/>
        </w:rPr>
        <w:t xml:space="preserve"> on repeals and transitional provisions is amended to update the references taking into account the proposed changes to relevant Annexes to Directives 2000/60/EC and 2008/105/EC.  </w:t>
      </w:r>
    </w:p>
    <w:p w14:paraId="6C8FF9F0" w14:textId="77777777" w:rsidR="005C53E6" w:rsidRPr="00FD620F" w:rsidRDefault="005C53E6" w:rsidP="005C53E6">
      <w:pPr>
        <w:rPr>
          <w:noProof/>
        </w:rPr>
      </w:pPr>
      <w:r w:rsidRPr="00FD620F">
        <w:rPr>
          <w:rFonts w:eastAsia="Arial Unicode MS"/>
          <w:bCs/>
          <w:noProof/>
        </w:rPr>
        <w:t xml:space="preserve">Next to the above-mentioned adjustments to take account of the deletion of Article 16, </w:t>
      </w:r>
      <w:r w:rsidRPr="00FD620F">
        <w:rPr>
          <w:b/>
          <w:noProof/>
        </w:rPr>
        <w:t>Annex V</w:t>
      </w:r>
      <w:r w:rsidRPr="00FD620F">
        <w:rPr>
          <w:noProof/>
        </w:rPr>
        <w:t xml:space="preserve"> is amended to: 1) take out the river basin specific pollutants from the definitions of ecological status and include them in the definition of chemical status, with a view to ensure that the monitoring of both priority substances and river basin specific pollutants is carried out  not only where these pollutants are discharged into water, but also where they are deposited through air; 2) grant powers to the Commission to adopt the results of the intercalibration exercise by delegated acts; 3) enable Member States to make use of new monitoring techniques, including earth observation and remote sensing. </w:t>
      </w:r>
    </w:p>
    <w:p w14:paraId="6A7451DD" w14:textId="77777777" w:rsidR="007875BE" w:rsidRPr="00FD620F" w:rsidRDefault="007875BE" w:rsidP="005C53E6">
      <w:pPr>
        <w:rPr>
          <w:noProof/>
        </w:rPr>
      </w:pPr>
      <w:r w:rsidRPr="00FD620F">
        <w:rPr>
          <w:b/>
          <w:noProof/>
        </w:rPr>
        <w:t>Annex VIII</w:t>
      </w:r>
      <w:r w:rsidRPr="00FD620F">
        <w:rPr>
          <w:noProof/>
        </w:rPr>
        <w:t xml:space="preserve"> </w:t>
      </w:r>
      <w:r w:rsidR="00C8646C" w:rsidRPr="00FD620F">
        <w:rPr>
          <w:noProof/>
        </w:rPr>
        <w:t xml:space="preserve">on an indicative list of main pollutants </w:t>
      </w:r>
      <w:r w:rsidRPr="00FD620F">
        <w:rPr>
          <w:noProof/>
        </w:rPr>
        <w:t xml:space="preserve">is amended to </w:t>
      </w:r>
      <w:r w:rsidR="00C8646C" w:rsidRPr="00FD620F">
        <w:rPr>
          <w:noProof/>
        </w:rPr>
        <w:t>include</w:t>
      </w:r>
      <w:r w:rsidRPr="00FD620F">
        <w:rPr>
          <w:noProof/>
        </w:rPr>
        <w:t xml:space="preserve"> </w:t>
      </w:r>
      <w:r w:rsidR="00C8646C" w:rsidRPr="00FD620F">
        <w:rPr>
          <w:noProof/>
        </w:rPr>
        <w:t>micro-plastics and antimicrobial resistance genes.</w:t>
      </w:r>
      <w:r w:rsidRPr="00FD620F">
        <w:rPr>
          <w:noProof/>
        </w:rPr>
        <w:t xml:space="preserve"> </w:t>
      </w:r>
    </w:p>
    <w:p w14:paraId="0B7577DC" w14:textId="77777777" w:rsidR="005C53E6" w:rsidRPr="00FD620F" w:rsidRDefault="005C53E6" w:rsidP="005C53E6">
      <w:pPr>
        <w:rPr>
          <w:noProof/>
        </w:rPr>
      </w:pPr>
      <w:r w:rsidRPr="00FD620F">
        <w:rPr>
          <w:b/>
          <w:noProof/>
        </w:rPr>
        <w:t>Annex X</w:t>
      </w:r>
      <w:r w:rsidRPr="00FD620F">
        <w:rPr>
          <w:noProof/>
        </w:rPr>
        <w:t xml:space="preserve"> </w:t>
      </w:r>
      <w:r w:rsidR="00B07912" w:rsidRPr="00FD620F">
        <w:rPr>
          <w:noProof/>
        </w:rPr>
        <w:t>is</w:t>
      </w:r>
      <w:r w:rsidRPr="00FD620F">
        <w:rPr>
          <w:noProof/>
        </w:rPr>
        <w:t xml:space="preserve"> deleted</w:t>
      </w:r>
      <w:r w:rsidR="00B07912" w:rsidRPr="00FD620F">
        <w:rPr>
          <w:noProof/>
        </w:rPr>
        <w:t xml:space="preserve">, as the list contained therein is replaced by that in Part A of Annex I of Directive 2008/105/EC. </w:t>
      </w:r>
    </w:p>
    <w:p w14:paraId="3483EDF7" w14:textId="77777777" w:rsidR="00B161DA" w:rsidRPr="00FD620F" w:rsidRDefault="00B161DA" w:rsidP="00B161DA">
      <w:pPr>
        <w:pStyle w:val="ListNumber"/>
        <w:rPr>
          <w:noProof/>
        </w:rPr>
      </w:pPr>
      <w:r w:rsidRPr="00FD620F">
        <w:rPr>
          <w:noProof/>
        </w:rPr>
        <w:t xml:space="preserve">Amendments to </w:t>
      </w:r>
      <w:r w:rsidR="00B81BE0" w:rsidRPr="00FD620F">
        <w:rPr>
          <w:noProof/>
        </w:rPr>
        <w:t xml:space="preserve">the Groundwater </w:t>
      </w:r>
      <w:r w:rsidRPr="00FD620F">
        <w:rPr>
          <w:noProof/>
        </w:rPr>
        <w:t>Directive 2006/118/EC</w:t>
      </w:r>
      <w:r w:rsidR="00B81BE0" w:rsidRPr="00FD620F">
        <w:rPr>
          <w:noProof/>
        </w:rPr>
        <w:t xml:space="preserve"> (GWD)</w:t>
      </w:r>
    </w:p>
    <w:p w14:paraId="444CFBAA" w14:textId="77777777" w:rsidR="00B161DA" w:rsidRPr="00FD620F" w:rsidRDefault="00B161DA" w:rsidP="00B161DA">
      <w:pPr>
        <w:rPr>
          <w:noProof/>
        </w:rPr>
      </w:pPr>
      <w:r w:rsidRPr="00FD620F">
        <w:rPr>
          <w:noProof/>
        </w:rPr>
        <w:t xml:space="preserve">The </w:t>
      </w:r>
      <w:r w:rsidRPr="00FD620F">
        <w:rPr>
          <w:b/>
          <w:noProof/>
        </w:rPr>
        <w:t xml:space="preserve">title </w:t>
      </w:r>
      <w:r w:rsidRPr="00FD620F">
        <w:rPr>
          <w:noProof/>
        </w:rPr>
        <w:t xml:space="preserve">is amended to clarify that this </w:t>
      </w:r>
      <w:r w:rsidR="00B81BE0" w:rsidRPr="00FD620F">
        <w:rPr>
          <w:noProof/>
        </w:rPr>
        <w:t>D</w:t>
      </w:r>
      <w:r w:rsidRPr="00FD620F">
        <w:rPr>
          <w:noProof/>
        </w:rPr>
        <w:t xml:space="preserve">irective only concerns </w:t>
      </w:r>
      <w:r w:rsidR="00B81BE0" w:rsidRPr="00FD620F">
        <w:rPr>
          <w:noProof/>
        </w:rPr>
        <w:t xml:space="preserve">the </w:t>
      </w:r>
      <w:r w:rsidRPr="00FD620F">
        <w:rPr>
          <w:noProof/>
        </w:rPr>
        <w:t xml:space="preserve">pollution and not </w:t>
      </w:r>
      <w:r w:rsidR="00B81BE0" w:rsidRPr="00FD620F">
        <w:rPr>
          <w:noProof/>
        </w:rPr>
        <w:t xml:space="preserve">the </w:t>
      </w:r>
      <w:r w:rsidRPr="00FD620F">
        <w:rPr>
          <w:noProof/>
        </w:rPr>
        <w:t xml:space="preserve">quantitative status of groundwaters. </w:t>
      </w:r>
    </w:p>
    <w:p w14:paraId="585F87EA" w14:textId="77777777" w:rsidR="00CF71C5" w:rsidRPr="00FD620F" w:rsidRDefault="00CF71C5" w:rsidP="00B161DA">
      <w:pPr>
        <w:rPr>
          <w:noProof/>
        </w:rPr>
      </w:pPr>
      <w:r w:rsidRPr="00FD620F">
        <w:rPr>
          <w:b/>
          <w:noProof/>
        </w:rPr>
        <w:t xml:space="preserve">Article 1 </w:t>
      </w:r>
      <w:r w:rsidR="00037F16" w:rsidRPr="00FD620F">
        <w:rPr>
          <w:bCs/>
          <w:noProof/>
        </w:rPr>
        <w:t xml:space="preserve">on the Directive’s purpose </w:t>
      </w:r>
      <w:r w:rsidRPr="00FD620F">
        <w:rPr>
          <w:noProof/>
        </w:rPr>
        <w:t xml:space="preserve">is amended to take </w:t>
      </w:r>
      <w:r w:rsidR="00EB4143" w:rsidRPr="00FD620F">
        <w:rPr>
          <w:noProof/>
        </w:rPr>
        <w:t xml:space="preserve">out the reference to </w:t>
      </w:r>
      <w:r w:rsidRPr="00FD620F">
        <w:rPr>
          <w:noProof/>
        </w:rPr>
        <w:t xml:space="preserve">Article 17 of </w:t>
      </w:r>
      <w:r w:rsidR="004500C1" w:rsidRPr="00FD620F">
        <w:rPr>
          <w:noProof/>
        </w:rPr>
        <w:t>the W</w:t>
      </w:r>
      <w:r w:rsidR="008F2506" w:rsidRPr="00FD620F">
        <w:rPr>
          <w:noProof/>
        </w:rPr>
        <w:t>FD</w:t>
      </w:r>
      <w:r w:rsidR="004500C1" w:rsidRPr="00FD620F">
        <w:rPr>
          <w:noProof/>
        </w:rPr>
        <w:t xml:space="preserve">, given that it </w:t>
      </w:r>
      <w:r w:rsidR="00EB4143" w:rsidRPr="00FD620F">
        <w:rPr>
          <w:noProof/>
        </w:rPr>
        <w:t xml:space="preserve">formed the basis for </w:t>
      </w:r>
      <w:r w:rsidR="004500C1" w:rsidRPr="00FD620F">
        <w:rPr>
          <w:noProof/>
        </w:rPr>
        <w:t>adopting the G</w:t>
      </w:r>
      <w:r w:rsidR="008F2506" w:rsidRPr="00FD620F">
        <w:rPr>
          <w:noProof/>
        </w:rPr>
        <w:t>WD itself</w:t>
      </w:r>
      <w:r w:rsidR="00EB4143" w:rsidRPr="00FD620F">
        <w:rPr>
          <w:noProof/>
        </w:rPr>
        <w:t xml:space="preserve"> and </w:t>
      </w:r>
      <w:r w:rsidR="004500C1" w:rsidRPr="00FD620F">
        <w:rPr>
          <w:noProof/>
        </w:rPr>
        <w:t xml:space="preserve">is </w:t>
      </w:r>
      <w:r w:rsidR="00EB4143" w:rsidRPr="00FD620F">
        <w:rPr>
          <w:noProof/>
        </w:rPr>
        <w:t>th</w:t>
      </w:r>
      <w:r w:rsidR="004500C1" w:rsidRPr="00FD620F">
        <w:rPr>
          <w:noProof/>
        </w:rPr>
        <w:t xml:space="preserve">us </w:t>
      </w:r>
      <w:r w:rsidR="00EB4143" w:rsidRPr="00FD620F">
        <w:rPr>
          <w:noProof/>
        </w:rPr>
        <w:t xml:space="preserve">obsolete. </w:t>
      </w:r>
      <w:r w:rsidRPr="00FD620F">
        <w:rPr>
          <w:noProof/>
        </w:rPr>
        <w:t xml:space="preserve"> </w:t>
      </w:r>
    </w:p>
    <w:p w14:paraId="63EE1012" w14:textId="77777777" w:rsidR="00CF71C5" w:rsidRPr="00FD620F" w:rsidRDefault="00CF71C5" w:rsidP="00B161DA">
      <w:pPr>
        <w:rPr>
          <w:noProof/>
        </w:rPr>
      </w:pPr>
      <w:r w:rsidRPr="00FD620F">
        <w:rPr>
          <w:b/>
          <w:noProof/>
        </w:rPr>
        <w:t>Article 2</w:t>
      </w:r>
      <w:r w:rsidRPr="00FD620F">
        <w:rPr>
          <w:noProof/>
        </w:rPr>
        <w:t xml:space="preserve"> </w:t>
      </w:r>
      <w:r w:rsidR="00520AF5" w:rsidRPr="00FD620F">
        <w:rPr>
          <w:noProof/>
        </w:rPr>
        <w:t xml:space="preserve">on the definitions </w:t>
      </w:r>
      <w:r w:rsidR="008F2506" w:rsidRPr="00FD620F">
        <w:rPr>
          <w:noProof/>
        </w:rPr>
        <w:t xml:space="preserve">is amended to </w:t>
      </w:r>
      <w:r w:rsidRPr="00FD620F">
        <w:rPr>
          <w:noProof/>
        </w:rPr>
        <w:t>in</w:t>
      </w:r>
      <w:r w:rsidR="0003263F" w:rsidRPr="00FD620F">
        <w:rPr>
          <w:noProof/>
        </w:rPr>
        <w:t>clud</w:t>
      </w:r>
      <w:r w:rsidR="008F2506" w:rsidRPr="00FD620F">
        <w:rPr>
          <w:noProof/>
        </w:rPr>
        <w:t>e</w:t>
      </w:r>
      <w:r w:rsidR="00520AF5" w:rsidRPr="00FD620F">
        <w:rPr>
          <w:noProof/>
        </w:rPr>
        <w:t xml:space="preserve"> </w:t>
      </w:r>
      <w:r w:rsidR="0003263F" w:rsidRPr="00FD620F">
        <w:rPr>
          <w:noProof/>
        </w:rPr>
        <w:t>the definition of t</w:t>
      </w:r>
      <w:r w:rsidR="00ED1C99" w:rsidRPr="00FD620F">
        <w:rPr>
          <w:noProof/>
        </w:rPr>
        <w:t>h</w:t>
      </w:r>
      <w:r w:rsidR="0003263F" w:rsidRPr="00FD620F">
        <w:rPr>
          <w:noProof/>
        </w:rPr>
        <w:t>reshold value</w:t>
      </w:r>
      <w:r w:rsidR="00520AF5" w:rsidRPr="00FD620F">
        <w:rPr>
          <w:noProof/>
        </w:rPr>
        <w:t xml:space="preserve">s set </w:t>
      </w:r>
      <w:r w:rsidR="0003263F" w:rsidRPr="00FD620F">
        <w:rPr>
          <w:noProof/>
        </w:rPr>
        <w:t>at EU level</w:t>
      </w:r>
      <w:r w:rsidR="008F2506" w:rsidRPr="00FD620F">
        <w:rPr>
          <w:noProof/>
        </w:rPr>
        <w:t>, next to those set at Member State level</w:t>
      </w:r>
      <w:r w:rsidR="0003263F" w:rsidRPr="00FD620F">
        <w:rPr>
          <w:noProof/>
        </w:rPr>
        <w:t xml:space="preserve">.  </w:t>
      </w:r>
    </w:p>
    <w:p w14:paraId="3EEB6A3D" w14:textId="77777777" w:rsidR="0003263F" w:rsidRPr="00FD620F" w:rsidRDefault="0003263F" w:rsidP="00B161DA">
      <w:pPr>
        <w:rPr>
          <w:noProof/>
        </w:rPr>
      </w:pPr>
      <w:r w:rsidRPr="00FD620F">
        <w:rPr>
          <w:b/>
          <w:noProof/>
        </w:rPr>
        <w:t>Article 3</w:t>
      </w:r>
      <w:r w:rsidRPr="00FD620F">
        <w:rPr>
          <w:noProof/>
        </w:rPr>
        <w:t xml:space="preserve"> </w:t>
      </w:r>
      <w:r w:rsidR="00520AF5" w:rsidRPr="00FD620F">
        <w:rPr>
          <w:noProof/>
        </w:rPr>
        <w:t xml:space="preserve">on criteria for assessing groundwater chemical status </w:t>
      </w:r>
      <w:r w:rsidR="008F2506" w:rsidRPr="00FD620F">
        <w:rPr>
          <w:noProof/>
        </w:rPr>
        <w:t xml:space="preserve">is amended to </w:t>
      </w:r>
      <w:r w:rsidRPr="00FD620F">
        <w:rPr>
          <w:noProof/>
        </w:rPr>
        <w:t>tak</w:t>
      </w:r>
      <w:r w:rsidR="008F2506" w:rsidRPr="00FD620F">
        <w:rPr>
          <w:noProof/>
        </w:rPr>
        <w:t>e</w:t>
      </w:r>
      <w:r w:rsidRPr="00FD620F">
        <w:rPr>
          <w:noProof/>
        </w:rPr>
        <w:t xml:space="preserve"> into account </w:t>
      </w:r>
      <w:r w:rsidR="001F14FE" w:rsidRPr="00FD620F">
        <w:rPr>
          <w:noProof/>
        </w:rPr>
        <w:t>t</w:t>
      </w:r>
      <w:r w:rsidRPr="00FD620F">
        <w:rPr>
          <w:noProof/>
        </w:rPr>
        <w:t>h</w:t>
      </w:r>
      <w:r w:rsidR="009F2FDC" w:rsidRPr="00FD620F">
        <w:rPr>
          <w:noProof/>
        </w:rPr>
        <w:t>e</w:t>
      </w:r>
      <w:r w:rsidRPr="00FD620F">
        <w:rPr>
          <w:noProof/>
        </w:rPr>
        <w:t xml:space="preserve"> new </w:t>
      </w:r>
      <w:r w:rsidR="0032115B" w:rsidRPr="00FD620F">
        <w:rPr>
          <w:noProof/>
        </w:rPr>
        <w:t>definition</w:t>
      </w:r>
      <w:r w:rsidRPr="00FD620F">
        <w:rPr>
          <w:noProof/>
        </w:rPr>
        <w:t xml:space="preserve"> of ‘threshold values set at EU level’.   </w:t>
      </w:r>
    </w:p>
    <w:p w14:paraId="68578EFC" w14:textId="77777777" w:rsidR="0003263F" w:rsidRPr="00FD620F" w:rsidRDefault="0003263F" w:rsidP="00B161DA">
      <w:pPr>
        <w:rPr>
          <w:noProof/>
        </w:rPr>
      </w:pPr>
      <w:r w:rsidRPr="00FD620F">
        <w:rPr>
          <w:b/>
          <w:noProof/>
        </w:rPr>
        <w:t>Article 4</w:t>
      </w:r>
      <w:r w:rsidRPr="00FD620F">
        <w:rPr>
          <w:noProof/>
        </w:rPr>
        <w:t xml:space="preserve"> </w:t>
      </w:r>
      <w:r w:rsidR="00520AF5" w:rsidRPr="00FD620F">
        <w:rPr>
          <w:noProof/>
        </w:rPr>
        <w:t xml:space="preserve">on the procedure for assessing groundwater chemical status </w:t>
      </w:r>
      <w:r w:rsidRPr="00FD620F">
        <w:rPr>
          <w:noProof/>
        </w:rPr>
        <w:t>is amended</w:t>
      </w:r>
      <w:r w:rsidR="008F2506" w:rsidRPr="00FD620F">
        <w:rPr>
          <w:noProof/>
        </w:rPr>
        <w:t xml:space="preserve"> for the same reason as Article 3. </w:t>
      </w:r>
      <w:r w:rsidRPr="00FD620F">
        <w:rPr>
          <w:noProof/>
        </w:rPr>
        <w:t xml:space="preserve"> </w:t>
      </w:r>
    </w:p>
    <w:p w14:paraId="021537D0" w14:textId="77777777" w:rsidR="00B161DA" w:rsidRPr="00FD620F" w:rsidRDefault="00B161DA" w:rsidP="00B161DA">
      <w:pPr>
        <w:rPr>
          <w:noProof/>
        </w:rPr>
      </w:pPr>
      <w:r w:rsidRPr="00FD620F">
        <w:rPr>
          <w:noProof/>
        </w:rPr>
        <w:t xml:space="preserve">A </w:t>
      </w:r>
      <w:r w:rsidRPr="00FD620F">
        <w:rPr>
          <w:b/>
          <w:noProof/>
        </w:rPr>
        <w:t xml:space="preserve">new Article </w:t>
      </w:r>
      <w:r w:rsidR="00BF2FB0" w:rsidRPr="00FD620F">
        <w:rPr>
          <w:b/>
          <w:noProof/>
        </w:rPr>
        <w:t>6a</w:t>
      </w:r>
      <w:r w:rsidR="00BF2FB0" w:rsidRPr="00FD620F">
        <w:rPr>
          <w:noProof/>
        </w:rPr>
        <w:t xml:space="preserve"> </w:t>
      </w:r>
      <w:r w:rsidRPr="00FD620F">
        <w:rPr>
          <w:noProof/>
        </w:rPr>
        <w:t xml:space="preserve">is inserted to </w:t>
      </w:r>
      <w:r w:rsidR="008F2506" w:rsidRPr="00FD620F">
        <w:rPr>
          <w:noProof/>
        </w:rPr>
        <w:t xml:space="preserve">make the </w:t>
      </w:r>
      <w:r w:rsidRPr="00FD620F">
        <w:rPr>
          <w:noProof/>
        </w:rPr>
        <w:t>‘Watch List Mechanism’ for groundwater bodies</w:t>
      </w:r>
      <w:r w:rsidR="008F2506" w:rsidRPr="00FD620F">
        <w:rPr>
          <w:noProof/>
        </w:rPr>
        <w:t xml:space="preserve"> mandatory</w:t>
      </w:r>
      <w:r w:rsidRPr="00FD620F">
        <w:rPr>
          <w:noProof/>
        </w:rPr>
        <w:t xml:space="preserve">, </w:t>
      </w:r>
      <w:r w:rsidR="008F2506" w:rsidRPr="00FD620F">
        <w:rPr>
          <w:noProof/>
        </w:rPr>
        <w:t xml:space="preserve">consistently with the provision set by </w:t>
      </w:r>
      <w:r w:rsidRPr="00FD620F">
        <w:rPr>
          <w:noProof/>
        </w:rPr>
        <w:t xml:space="preserve">Article 8b of </w:t>
      </w:r>
      <w:r w:rsidR="00520AF5" w:rsidRPr="00FD620F">
        <w:rPr>
          <w:noProof/>
        </w:rPr>
        <w:t>the EQSD</w:t>
      </w:r>
      <w:r w:rsidRPr="00FD620F">
        <w:rPr>
          <w:noProof/>
        </w:rPr>
        <w:t xml:space="preserve">. This mechanism establishes a </w:t>
      </w:r>
      <w:r w:rsidR="00520AF5" w:rsidRPr="00FD620F">
        <w:rPr>
          <w:noProof/>
        </w:rPr>
        <w:t>three</w:t>
      </w:r>
      <w:r w:rsidRPr="00FD620F">
        <w:rPr>
          <w:noProof/>
        </w:rPr>
        <w:t xml:space="preserve"> yearly process whereby the Commission</w:t>
      </w:r>
      <w:r w:rsidR="00520AF5" w:rsidRPr="00FD620F">
        <w:rPr>
          <w:noProof/>
        </w:rPr>
        <w:t>,</w:t>
      </w:r>
      <w:r w:rsidRPr="00FD620F">
        <w:rPr>
          <w:noProof/>
        </w:rPr>
        <w:t xml:space="preserve"> with </w:t>
      </w:r>
      <w:r w:rsidR="00075892" w:rsidRPr="00FD620F">
        <w:rPr>
          <w:noProof/>
        </w:rPr>
        <w:t>input from</w:t>
      </w:r>
      <w:r w:rsidRPr="00FD620F">
        <w:rPr>
          <w:noProof/>
        </w:rPr>
        <w:t xml:space="preserve"> ECHA and in close consultation with Member States, prioritises substances for monitoring in groundwater. The resulting information will feed into the six yearly revision of quality standards for inclusion in Annex I. </w:t>
      </w:r>
      <w:r w:rsidR="0002427E" w:rsidRPr="00FD620F">
        <w:rPr>
          <w:noProof/>
        </w:rPr>
        <w:t xml:space="preserve">The provision also includes an obligation for </w:t>
      </w:r>
      <w:r w:rsidR="00520AF5" w:rsidRPr="00FD620F">
        <w:rPr>
          <w:noProof/>
        </w:rPr>
        <w:t>ECHA</w:t>
      </w:r>
      <w:r w:rsidR="0002427E" w:rsidRPr="00FD620F">
        <w:rPr>
          <w:noProof/>
        </w:rPr>
        <w:t xml:space="preserve"> to</w:t>
      </w:r>
      <w:r w:rsidR="007E25A1" w:rsidRPr="00FD620F">
        <w:rPr>
          <w:noProof/>
        </w:rPr>
        <w:t xml:space="preserve"> make the scientific reports prepared in relation to the Watch List publicly available</w:t>
      </w:r>
      <w:r w:rsidR="0002427E" w:rsidRPr="00FD620F">
        <w:rPr>
          <w:noProof/>
        </w:rPr>
        <w:t xml:space="preserve">. </w:t>
      </w:r>
      <w:r w:rsidR="00E4350B" w:rsidRPr="00FD620F">
        <w:rPr>
          <w:noProof/>
        </w:rPr>
        <w:t xml:space="preserve"> </w:t>
      </w:r>
    </w:p>
    <w:p w14:paraId="030AC703" w14:textId="77777777" w:rsidR="00B161DA" w:rsidRPr="00FD620F" w:rsidRDefault="00B161DA" w:rsidP="00B161DA">
      <w:pPr>
        <w:rPr>
          <w:noProof/>
        </w:rPr>
      </w:pPr>
      <w:r w:rsidRPr="00FD620F">
        <w:rPr>
          <w:b/>
          <w:noProof/>
        </w:rPr>
        <w:t>Article 8</w:t>
      </w:r>
      <w:r w:rsidRPr="00FD620F">
        <w:rPr>
          <w:noProof/>
        </w:rPr>
        <w:t xml:space="preserve"> </w:t>
      </w:r>
      <w:r w:rsidR="00520AF5" w:rsidRPr="00FD620F">
        <w:rPr>
          <w:noProof/>
        </w:rPr>
        <w:t xml:space="preserve">on technical adaptations is amended to: 1) replace the </w:t>
      </w:r>
      <w:r w:rsidRPr="00FD620F">
        <w:rPr>
          <w:noProof/>
        </w:rPr>
        <w:t xml:space="preserve">procedure for implementing acts with that for delegated acts for adapting </w:t>
      </w:r>
      <w:r w:rsidR="00F23460" w:rsidRPr="00FD620F">
        <w:rPr>
          <w:noProof/>
        </w:rPr>
        <w:t xml:space="preserve">to scientific and technical progress </w:t>
      </w:r>
      <w:r w:rsidRPr="00FD620F">
        <w:rPr>
          <w:noProof/>
        </w:rPr>
        <w:t>Parts A and C of Annex II a</w:t>
      </w:r>
      <w:r w:rsidR="00520AF5" w:rsidRPr="00FD620F">
        <w:rPr>
          <w:noProof/>
        </w:rPr>
        <w:t>s well as</w:t>
      </w:r>
      <w:r w:rsidRPr="00FD620F">
        <w:rPr>
          <w:noProof/>
        </w:rPr>
        <w:t xml:space="preserve"> Annexes III and IV</w:t>
      </w:r>
      <w:r w:rsidR="00520AF5" w:rsidRPr="00FD620F">
        <w:rPr>
          <w:noProof/>
        </w:rPr>
        <w:t xml:space="preserve">; 2) grant the Commission </w:t>
      </w:r>
      <w:r w:rsidRPr="00FD620F">
        <w:rPr>
          <w:noProof/>
        </w:rPr>
        <w:t>delegated powers for listing new groundwater pollutants</w:t>
      </w:r>
      <w:r w:rsidR="00F23460" w:rsidRPr="00FD620F">
        <w:rPr>
          <w:noProof/>
        </w:rPr>
        <w:t xml:space="preserve"> in Annex I </w:t>
      </w:r>
      <w:r w:rsidR="00C87F96" w:rsidRPr="00FD620F">
        <w:rPr>
          <w:noProof/>
        </w:rPr>
        <w:t xml:space="preserve">and for establishing </w:t>
      </w:r>
      <w:r w:rsidR="00F23460" w:rsidRPr="00FD620F">
        <w:rPr>
          <w:noProof/>
        </w:rPr>
        <w:t xml:space="preserve">new </w:t>
      </w:r>
      <w:r w:rsidRPr="00FD620F">
        <w:rPr>
          <w:noProof/>
        </w:rPr>
        <w:t>EU</w:t>
      </w:r>
      <w:r w:rsidR="00520AF5" w:rsidRPr="00FD620F">
        <w:rPr>
          <w:noProof/>
        </w:rPr>
        <w:t>-</w:t>
      </w:r>
      <w:r w:rsidRPr="00FD620F">
        <w:rPr>
          <w:noProof/>
        </w:rPr>
        <w:t xml:space="preserve">wide quality standards </w:t>
      </w:r>
      <w:r w:rsidR="00C87F96" w:rsidRPr="00FD620F">
        <w:rPr>
          <w:noProof/>
        </w:rPr>
        <w:t>for these, as well as f</w:t>
      </w:r>
      <w:r w:rsidRPr="00FD620F">
        <w:rPr>
          <w:noProof/>
        </w:rPr>
        <w:t>or listing</w:t>
      </w:r>
      <w:r w:rsidR="00520AF5" w:rsidRPr="00FD620F">
        <w:rPr>
          <w:noProof/>
        </w:rPr>
        <w:t>,</w:t>
      </w:r>
      <w:r w:rsidRPr="00FD620F">
        <w:rPr>
          <w:noProof/>
        </w:rPr>
        <w:t xml:space="preserve"> </w:t>
      </w:r>
      <w:r w:rsidR="00520AF5" w:rsidRPr="00FD620F">
        <w:rPr>
          <w:noProof/>
        </w:rPr>
        <w:t xml:space="preserve">in part B of Annex II, </w:t>
      </w:r>
      <w:r w:rsidRPr="00FD620F">
        <w:rPr>
          <w:noProof/>
        </w:rPr>
        <w:t>pollutants for which Member States have to consider setting national threshold values</w:t>
      </w:r>
      <w:r w:rsidR="00F23460" w:rsidRPr="00FD620F">
        <w:rPr>
          <w:noProof/>
        </w:rPr>
        <w:t xml:space="preserve">; 3) grant the Commission </w:t>
      </w:r>
      <w:r w:rsidRPr="00FD620F">
        <w:rPr>
          <w:noProof/>
        </w:rPr>
        <w:t xml:space="preserve">delegated powers to </w:t>
      </w:r>
      <w:r w:rsidR="00F23460" w:rsidRPr="00FD620F">
        <w:rPr>
          <w:noProof/>
        </w:rPr>
        <w:t>set, where necessary and even for pollutants or groups of pollutants which are not of EU-wide concern</w:t>
      </w:r>
      <w:r w:rsidR="007E25A1" w:rsidRPr="00FD620F">
        <w:rPr>
          <w:noProof/>
        </w:rPr>
        <w:t>, t</w:t>
      </w:r>
      <w:r w:rsidR="00F23460" w:rsidRPr="00FD620F">
        <w:rPr>
          <w:noProof/>
        </w:rPr>
        <w:t>hreshold values at EU level</w:t>
      </w:r>
      <w:r w:rsidR="007D24C6" w:rsidRPr="00FD620F">
        <w:rPr>
          <w:noProof/>
        </w:rPr>
        <w:t xml:space="preserve">, </w:t>
      </w:r>
      <w:r w:rsidR="00F23460" w:rsidRPr="00FD620F">
        <w:rPr>
          <w:noProof/>
        </w:rPr>
        <w:t>to enhance the level of human health and environmental protection and achieve a more harmonised implementation; 4) clarify</w:t>
      </w:r>
      <w:r w:rsidR="00AA4530" w:rsidRPr="00FD620F">
        <w:rPr>
          <w:noProof/>
        </w:rPr>
        <w:t xml:space="preserve"> the central role </w:t>
      </w:r>
      <w:r w:rsidR="00F23460" w:rsidRPr="00FD620F">
        <w:rPr>
          <w:noProof/>
        </w:rPr>
        <w:t xml:space="preserve">of </w:t>
      </w:r>
      <w:r w:rsidR="00AA4530" w:rsidRPr="00FD620F">
        <w:rPr>
          <w:noProof/>
        </w:rPr>
        <w:t xml:space="preserve">ECHA in this framework, and the obligation for ECHA to make </w:t>
      </w:r>
      <w:r w:rsidR="007E25A1" w:rsidRPr="00FD620F">
        <w:rPr>
          <w:noProof/>
        </w:rPr>
        <w:t xml:space="preserve">scientific reports in relation to potential amendments </w:t>
      </w:r>
      <w:r w:rsidR="00AA4530" w:rsidRPr="00FD620F">
        <w:rPr>
          <w:noProof/>
        </w:rPr>
        <w:t>publicly available</w:t>
      </w:r>
      <w:r w:rsidR="0002427E" w:rsidRPr="00FD620F">
        <w:rPr>
          <w:noProof/>
        </w:rPr>
        <w:t>.</w:t>
      </w:r>
      <w:r w:rsidRPr="00FD620F">
        <w:rPr>
          <w:noProof/>
        </w:rPr>
        <w:t xml:space="preserve">  </w:t>
      </w:r>
    </w:p>
    <w:p w14:paraId="4F816428" w14:textId="77777777" w:rsidR="00B161DA" w:rsidRPr="00FD620F" w:rsidRDefault="00B161DA" w:rsidP="00B161DA">
      <w:pPr>
        <w:rPr>
          <w:noProof/>
        </w:rPr>
      </w:pPr>
      <w:r w:rsidRPr="00FD620F">
        <w:rPr>
          <w:noProof/>
        </w:rPr>
        <w:t xml:space="preserve">A </w:t>
      </w:r>
      <w:r w:rsidRPr="00FD620F">
        <w:rPr>
          <w:b/>
          <w:noProof/>
        </w:rPr>
        <w:t>new Article 8a</w:t>
      </w:r>
      <w:r w:rsidRPr="00FD620F">
        <w:rPr>
          <w:noProof/>
        </w:rPr>
        <w:t xml:space="preserve"> is inserted to introduce the provisions related to the procedure for the adoption of delegated acts, in accordance with the Lisbon Treaty.</w:t>
      </w:r>
    </w:p>
    <w:p w14:paraId="31EC277F" w14:textId="77777777" w:rsidR="00B161DA" w:rsidRPr="00FD620F" w:rsidRDefault="00B161DA" w:rsidP="00B161DA">
      <w:pPr>
        <w:rPr>
          <w:noProof/>
        </w:rPr>
      </w:pPr>
      <w:r w:rsidRPr="00FD620F">
        <w:rPr>
          <w:b/>
          <w:noProof/>
        </w:rPr>
        <w:t>Article 9</w:t>
      </w:r>
      <w:r w:rsidRPr="00FD620F">
        <w:rPr>
          <w:noProof/>
        </w:rPr>
        <w:t xml:space="preserve"> </w:t>
      </w:r>
      <w:r w:rsidR="00F23460" w:rsidRPr="00FD620F">
        <w:rPr>
          <w:noProof/>
        </w:rPr>
        <w:t xml:space="preserve">on </w:t>
      </w:r>
      <w:r w:rsidRPr="00FD620F">
        <w:rPr>
          <w:noProof/>
        </w:rPr>
        <w:t xml:space="preserve">the Committee procedure </w:t>
      </w:r>
      <w:r w:rsidR="00F23460" w:rsidRPr="00FD620F">
        <w:rPr>
          <w:noProof/>
        </w:rPr>
        <w:t>is amend</w:t>
      </w:r>
      <w:r w:rsidR="009F2FDC" w:rsidRPr="00FD620F">
        <w:rPr>
          <w:noProof/>
        </w:rPr>
        <w:t>e</w:t>
      </w:r>
      <w:r w:rsidR="00F23460" w:rsidRPr="00FD620F">
        <w:rPr>
          <w:noProof/>
        </w:rPr>
        <w:t xml:space="preserve">d to replace </w:t>
      </w:r>
      <w:r w:rsidRPr="00FD620F">
        <w:rPr>
          <w:noProof/>
        </w:rPr>
        <w:t xml:space="preserve">the former ‘comitology decision’ with the more recent ‘comitology regulation’.  </w:t>
      </w:r>
    </w:p>
    <w:p w14:paraId="4BB40495" w14:textId="77777777" w:rsidR="00B161DA" w:rsidRPr="00FD620F" w:rsidRDefault="00B161DA" w:rsidP="00B161DA">
      <w:pPr>
        <w:rPr>
          <w:noProof/>
        </w:rPr>
      </w:pPr>
      <w:r w:rsidRPr="00FD620F">
        <w:rPr>
          <w:b/>
          <w:noProof/>
        </w:rPr>
        <w:t>Article 10</w:t>
      </w:r>
      <w:r w:rsidRPr="00FD620F">
        <w:rPr>
          <w:noProof/>
        </w:rPr>
        <w:t xml:space="preserve"> o</w:t>
      </w:r>
      <w:r w:rsidR="0032115B" w:rsidRPr="00FD620F">
        <w:rPr>
          <w:noProof/>
        </w:rPr>
        <w:t>n</w:t>
      </w:r>
      <w:r w:rsidRPr="00FD620F">
        <w:rPr>
          <w:noProof/>
        </w:rPr>
        <w:t xml:space="preserve"> the review of Annexes I and II by means of the co-decision procedure is deleted, to take account of the new procedure for delegated acts set out in Article</w:t>
      </w:r>
      <w:r w:rsidR="0032115B" w:rsidRPr="00FD620F">
        <w:rPr>
          <w:noProof/>
        </w:rPr>
        <w:t>s</w:t>
      </w:r>
      <w:r w:rsidRPr="00FD620F">
        <w:rPr>
          <w:noProof/>
        </w:rPr>
        <w:t xml:space="preserve"> 8 and 8a.</w:t>
      </w:r>
      <w:r w:rsidR="00E079E8" w:rsidRPr="00FD620F">
        <w:rPr>
          <w:noProof/>
        </w:rPr>
        <w:t xml:space="preserve"> </w:t>
      </w:r>
      <w:r w:rsidR="003A3E8F" w:rsidRPr="00FD620F">
        <w:rPr>
          <w:noProof/>
        </w:rPr>
        <w:t xml:space="preserve"> </w:t>
      </w:r>
      <w:r w:rsidRPr="00FD620F">
        <w:rPr>
          <w:noProof/>
        </w:rPr>
        <w:t xml:space="preserve"> </w:t>
      </w:r>
    </w:p>
    <w:p w14:paraId="5420B2FA" w14:textId="77777777" w:rsidR="00B161DA" w:rsidRPr="00FD620F" w:rsidRDefault="00B161DA" w:rsidP="00B161DA">
      <w:pPr>
        <w:rPr>
          <w:noProof/>
        </w:rPr>
      </w:pPr>
      <w:r w:rsidRPr="00FD620F">
        <w:rPr>
          <w:b/>
          <w:noProof/>
        </w:rPr>
        <w:t>Annex I</w:t>
      </w:r>
      <w:r w:rsidRPr="00FD620F">
        <w:rPr>
          <w:noProof/>
        </w:rPr>
        <w:t xml:space="preserve"> </w:t>
      </w:r>
      <w:r w:rsidR="0032115B" w:rsidRPr="00FD620F">
        <w:rPr>
          <w:noProof/>
        </w:rPr>
        <w:t>on</w:t>
      </w:r>
      <w:r w:rsidR="001A084F" w:rsidRPr="00FD620F">
        <w:rPr>
          <w:noProof/>
        </w:rPr>
        <w:t xml:space="preserve"> EU wide quality standards for groundwater pollutants</w:t>
      </w:r>
      <w:r w:rsidR="0032115B" w:rsidRPr="00FD620F">
        <w:rPr>
          <w:noProof/>
        </w:rPr>
        <w:t xml:space="preserve"> is amended to insert </w:t>
      </w:r>
      <w:r w:rsidRPr="00FD620F">
        <w:rPr>
          <w:noProof/>
        </w:rPr>
        <w:t xml:space="preserve">new groundwater pollutants and related quality standards for </w:t>
      </w:r>
      <w:r w:rsidR="0032115B" w:rsidRPr="00FD620F">
        <w:rPr>
          <w:noProof/>
        </w:rPr>
        <w:t xml:space="preserve">some </w:t>
      </w:r>
      <w:r w:rsidR="00AE5670" w:rsidRPr="00FD620F">
        <w:rPr>
          <w:noProof/>
        </w:rPr>
        <w:t>p</w:t>
      </w:r>
      <w:r w:rsidRPr="00FD620F">
        <w:rPr>
          <w:noProof/>
        </w:rPr>
        <w:t xml:space="preserve">er- and poly-fluorinated alkyl substances (PFAS), pharmaceuticals and </w:t>
      </w:r>
      <w:r w:rsidR="00AE5670" w:rsidRPr="00FD620F">
        <w:rPr>
          <w:noProof/>
        </w:rPr>
        <w:t>n</w:t>
      </w:r>
      <w:r w:rsidRPr="00FD620F">
        <w:rPr>
          <w:noProof/>
        </w:rPr>
        <w:t xml:space="preserve">on-relevant metabolites of pesticides (nrMs). </w:t>
      </w:r>
    </w:p>
    <w:p w14:paraId="057EFB6A" w14:textId="380A2EBF" w:rsidR="00B161DA" w:rsidRPr="00FD620F" w:rsidRDefault="00B161DA" w:rsidP="00B161DA">
      <w:pPr>
        <w:rPr>
          <w:noProof/>
        </w:rPr>
      </w:pPr>
      <w:r w:rsidRPr="00FD620F">
        <w:rPr>
          <w:b/>
          <w:noProof/>
        </w:rPr>
        <w:t>Annex II</w:t>
      </w:r>
      <w:r w:rsidRPr="00FD620F">
        <w:rPr>
          <w:noProof/>
        </w:rPr>
        <w:t xml:space="preserve"> </w:t>
      </w:r>
      <w:r w:rsidR="001A084F" w:rsidRPr="00FD620F">
        <w:rPr>
          <w:noProof/>
        </w:rPr>
        <w:t>o</w:t>
      </w:r>
      <w:r w:rsidR="0032115B" w:rsidRPr="00FD620F">
        <w:rPr>
          <w:noProof/>
        </w:rPr>
        <w:t>n</w:t>
      </w:r>
      <w:r w:rsidR="001A084F" w:rsidRPr="00FD620F">
        <w:rPr>
          <w:noProof/>
        </w:rPr>
        <w:t xml:space="preserve"> national threshold values for groundwater p</w:t>
      </w:r>
      <w:r w:rsidR="00ED1C99" w:rsidRPr="00FD620F">
        <w:rPr>
          <w:noProof/>
        </w:rPr>
        <w:t>o</w:t>
      </w:r>
      <w:r w:rsidR="001A084F" w:rsidRPr="00FD620F">
        <w:rPr>
          <w:noProof/>
        </w:rPr>
        <w:t>llutants</w:t>
      </w:r>
      <w:r w:rsidR="0032115B" w:rsidRPr="00FD620F">
        <w:rPr>
          <w:noProof/>
        </w:rPr>
        <w:t xml:space="preserve"> is amended to: 1) </w:t>
      </w:r>
      <w:r w:rsidRPr="00FD620F">
        <w:rPr>
          <w:noProof/>
        </w:rPr>
        <w:t>insert the pharmaceutical substance primidone in the list</w:t>
      </w:r>
      <w:r w:rsidR="001A084F" w:rsidRPr="00FD620F">
        <w:rPr>
          <w:noProof/>
        </w:rPr>
        <w:t xml:space="preserve"> </w:t>
      </w:r>
      <w:r w:rsidRPr="00FD620F">
        <w:rPr>
          <w:noProof/>
        </w:rPr>
        <w:t>of synthetic substances for which Member States shall consider setting national threshold values</w:t>
      </w:r>
      <w:r w:rsidR="0032115B" w:rsidRPr="00FD620F">
        <w:rPr>
          <w:noProof/>
        </w:rPr>
        <w:t xml:space="preserve">; 2) </w:t>
      </w:r>
      <w:r w:rsidR="00692393" w:rsidRPr="00FD620F">
        <w:rPr>
          <w:noProof/>
        </w:rPr>
        <w:t>clarify</w:t>
      </w:r>
      <w:r w:rsidR="0032115B" w:rsidRPr="00FD620F">
        <w:rPr>
          <w:noProof/>
        </w:rPr>
        <w:t xml:space="preserve"> </w:t>
      </w:r>
      <w:r w:rsidR="00692393" w:rsidRPr="00FD620F">
        <w:rPr>
          <w:noProof/>
        </w:rPr>
        <w:t>th</w:t>
      </w:r>
      <w:r w:rsidR="006A448D" w:rsidRPr="00FD620F">
        <w:rPr>
          <w:noProof/>
        </w:rPr>
        <w:t xml:space="preserve">at </w:t>
      </w:r>
      <w:r w:rsidR="0032115B" w:rsidRPr="00FD620F">
        <w:rPr>
          <w:noProof/>
        </w:rPr>
        <w:t>its P</w:t>
      </w:r>
      <w:r w:rsidR="00692393" w:rsidRPr="00FD620F">
        <w:rPr>
          <w:noProof/>
        </w:rPr>
        <w:t>arts B and C only relate to the mechanism for setting thresholds at national level</w:t>
      </w:r>
      <w:r w:rsidR="0032115B" w:rsidRPr="00FD620F">
        <w:rPr>
          <w:noProof/>
        </w:rPr>
        <w:t>; 3) ensure t</w:t>
      </w:r>
      <w:r w:rsidR="00692393" w:rsidRPr="00FD620F">
        <w:rPr>
          <w:noProof/>
        </w:rPr>
        <w:t xml:space="preserve">hat </w:t>
      </w:r>
      <w:r w:rsidR="001A084F" w:rsidRPr="00FD620F">
        <w:rPr>
          <w:noProof/>
        </w:rPr>
        <w:t xml:space="preserve">Member States inform ECHA so as to enable the latter to </w:t>
      </w:r>
      <w:r w:rsidR="00B07912" w:rsidRPr="00FD620F">
        <w:rPr>
          <w:noProof/>
        </w:rPr>
        <w:t>make that information publicly available</w:t>
      </w:r>
      <w:r w:rsidR="008043E4">
        <w:rPr>
          <w:noProof/>
        </w:rPr>
        <w:t xml:space="preserve"> and 4) add a new Part D to include </w:t>
      </w:r>
      <w:r w:rsidR="006B2571">
        <w:rPr>
          <w:noProof/>
        </w:rPr>
        <w:t>harmonised</w:t>
      </w:r>
      <w:r w:rsidR="008043E4">
        <w:rPr>
          <w:noProof/>
        </w:rPr>
        <w:t xml:space="preserve"> threshold valu</w:t>
      </w:r>
      <w:r w:rsidR="006B2571">
        <w:rPr>
          <w:noProof/>
        </w:rPr>
        <w:t>e</w:t>
      </w:r>
      <w:r w:rsidR="008043E4">
        <w:rPr>
          <w:noProof/>
        </w:rPr>
        <w:t xml:space="preserve">s for </w:t>
      </w:r>
      <w:r w:rsidR="005E4EDD">
        <w:rPr>
          <w:noProof/>
        </w:rPr>
        <w:t>the group of substances ‘s</w:t>
      </w:r>
      <w:r w:rsidR="005E4EDD" w:rsidRPr="005E4EDD">
        <w:rPr>
          <w:noProof/>
        </w:rPr>
        <w:t>um of Trichloroethylene and Tetrachloroethylene</w:t>
      </w:r>
      <w:r w:rsidR="005E4EDD">
        <w:rPr>
          <w:noProof/>
        </w:rPr>
        <w:t>’</w:t>
      </w:r>
      <w:r w:rsidR="001A084F" w:rsidRPr="00FD620F">
        <w:rPr>
          <w:noProof/>
        </w:rPr>
        <w:t xml:space="preserve">. </w:t>
      </w:r>
    </w:p>
    <w:p w14:paraId="737FB5C5" w14:textId="77777777" w:rsidR="001A084F" w:rsidRPr="00FD620F" w:rsidRDefault="001A084F" w:rsidP="00B161DA">
      <w:pPr>
        <w:rPr>
          <w:noProof/>
        </w:rPr>
      </w:pPr>
      <w:r w:rsidRPr="00FD620F">
        <w:rPr>
          <w:b/>
          <w:noProof/>
        </w:rPr>
        <w:t xml:space="preserve">Annex III </w:t>
      </w:r>
      <w:r w:rsidR="0032115B" w:rsidRPr="00FD620F">
        <w:rPr>
          <w:noProof/>
        </w:rPr>
        <w:t xml:space="preserve">on </w:t>
      </w:r>
      <w:r w:rsidRPr="00FD620F">
        <w:rPr>
          <w:noProof/>
        </w:rPr>
        <w:t>the assessment of groundwater chemical status</w:t>
      </w:r>
      <w:r w:rsidRPr="00FD620F">
        <w:rPr>
          <w:b/>
          <w:noProof/>
        </w:rPr>
        <w:t xml:space="preserve"> and Annex IV</w:t>
      </w:r>
      <w:r w:rsidRPr="00FD620F">
        <w:rPr>
          <w:noProof/>
        </w:rPr>
        <w:t xml:space="preserve"> o</w:t>
      </w:r>
      <w:r w:rsidR="0032115B" w:rsidRPr="00FD620F">
        <w:rPr>
          <w:noProof/>
        </w:rPr>
        <w:t>n</w:t>
      </w:r>
      <w:r w:rsidRPr="00FD620F">
        <w:rPr>
          <w:noProof/>
        </w:rPr>
        <w:t xml:space="preserve"> the identification and reversal of significant and sustained upward trends</w:t>
      </w:r>
      <w:r w:rsidR="0032115B" w:rsidRPr="00FD620F">
        <w:rPr>
          <w:noProof/>
        </w:rPr>
        <w:t xml:space="preserve"> are amended to </w:t>
      </w:r>
      <w:r w:rsidRPr="00FD620F">
        <w:rPr>
          <w:noProof/>
        </w:rPr>
        <w:t>tak</w:t>
      </w:r>
      <w:r w:rsidR="0032115B" w:rsidRPr="00FD620F">
        <w:rPr>
          <w:noProof/>
        </w:rPr>
        <w:t>e into</w:t>
      </w:r>
      <w:r w:rsidRPr="00FD620F">
        <w:rPr>
          <w:noProof/>
        </w:rPr>
        <w:t xml:space="preserve"> </w:t>
      </w:r>
      <w:r w:rsidR="00F428BB" w:rsidRPr="00FD620F">
        <w:rPr>
          <w:noProof/>
        </w:rPr>
        <w:t>a</w:t>
      </w:r>
      <w:r w:rsidRPr="00FD620F">
        <w:rPr>
          <w:noProof/>
        </w:rPr>
        <w:t>ccount</w:t>
      </w:r>
      <w:r w:rsidR="0032115B" w:rsidRPr="00FD620F">
        <w:rPr>
          <w:noProof/>
        </w:rPr>
        <w:t xml:space="preserve"> </w:t>
      </w:r>
      <w:r w:rsidR="00F428BB" w:rsidRPr="00FD620F">
        <w:rPr>
          <w:noProof/>
        </w:rPr>
        <w:t xml:space="preserve">the </w:t>
      </w:r>
      <w:r w:rsidR="0032115B" w:rsidRPr="00FD620F">
        <w:rPr>
          <w:noProof/>
        </w:rPr>
        <w:t xml:space="preserve">new </w:t>
      </w:r>
      <w:r w:rsidR="00B07912" w:rsidRPr="00FD620F">
        <w:rPr>
          <w:noProof/>
        </w:rPr>
        <w:t>concept</w:t>
      </w:r>
      <w:r w:rsidR="0032115B" w:rsidRPr="00FD620F">
        <w:rPr>
          <w:noProof/>
        </w:rPr>
        <w:t xml:space="preserve"> of ‘threshold values set at EU level’</w:t>
      </w:r>
      <w:r w:rsidR="00F428BB" w:rsidRPr="00FD620F">
        <w:rPr>
          <w:noProof/>
        </w:rPr>
        <w:t>.</w:t>
      </w:r>
      <w:r w:rsidRPr="00FD620F">
        <w:rPr>
          <w:noProof/>
        </w:rPr>
        <w:t xml:space="preserve"> </w:t>
      </w:r>
    </w:p>
    <w:p w14:paraId="056D437A" w14:textId="77777777" w:rsidR="005C53E6" w:rsidRPr="00FD620F" w:rsidRDefault="005C53E6" w:rsidP="005C53E6">
      <w:pPr>
        <w:pStyle w:val="ListNumber"/>
        <w:rPr>
          <w:noProof/>
        </w:rPr>
      </w:pPr>
      <w:r w:rsidRPr="00FD620F">
        <w:rPr>
          <w:noProof/>
        </w:rPr>
        <w:t>Amendments to the Environmental Quality Standards Directive 2008/105/EC (EQSD)</w:t>
      </w:r>
    </w:p>
    <w:p w14:paraId="4BC24B01" w14:textId="77777777" w:rsidR="005C53E6" w:rsidRPr="00FD620F" w:rsidRDefault="005C53E6" w:rsidP="005C53E6">
      <w:pPr>
        <w:rPr>
          <w:noProof/>
        </w:rPr>
      </w:pPr>
      <w:r w:rsidRPr="00FD620F">
        <w:rPr>
          <w:noProof/>
        </w:rPr>
        <w:t xml:space="preserve">The title is amended to clarify that the Directive concerns the pollution of surface waters.  </w:t>
      </w:r>
    </w:p>
    <w:p w14:paraId="77C43B3A" w14:textId="77777777" w:rsidR="005C53E6" w:rsidRPr="00FD620F" w:rsidRDefault="005C53E6" w:rsidP="005C53E6">
      <w:pPr>
        <w:rPr>
          <w:noProof/>
        </w:rPr>
      </w:pPr>
      <w:r w:rsidRPr="00FD620F">
        <w:rPr>
          <w:b/>
          <w:noProof/>
        </w:rPr>
        <w:t>Article 3</w:t>
      </w:r>
      <w:r w:rsidRPr="00FD620F">
        <w:rPr>
          <w:noProof/>
        </w:rPr>
        <w:t xml:space="preserve"> on environmental quality standards is amended to clarify the dates of application for the new and revised EQS. The obligations for monitoring in biota in paragraph 2 and for long-term trend assessments in paragraph 6 are simplified too, by clarifying their scope in the Annex. Its paragraph 7 is deleted to take into into account the proposed replacement of the co-decision procedure with that for delegated acts for changing the list of priority substances.    </w:t>
      </w:r>
    </w:p>
    <w:p w14:paraId="3E21266B" w14:textId="77777777" w:rsidR="005C53E6" w:rsidRPr="00FD620F" w:rsidRDefault="005C53E6" w:rsidP="005C53E6">
      <w:pPr>
        <w:rPr>
          <w:noProof/>
        </w:rPr>
      </w:pPr>
      <w:r w:rsidRPr="00FD620F">
        <w:rPr>
          <w:b/>
          <w:noProof/>
        </w:rPr>
        <w:t>Article 5</w:t>
      </w:r>
      <w:r w:rsidRPr="00FD620F">
        <w:rPr>
          <w:noProof/>
        </w:rPr>
        <w:t xml:space="preserve"> on inventories of emissions is amended to simplify the reporting obligation and streamline it, where possible, with that under</w:t>
      </w:r>
      <w:r w:rsidR="00004CA1" w:rsidRPr="00FD620F">
        <w:rPr>
          <w:noProof/>
        </w:rPr>
        <w:t xml:space="preserve"> the EU legislation to address emissions from large industrial installations (currently under revision) and to allow for simplified reporting to the </w:t>
      </w:r>
      <w:r w:rsidRPr="00FD620F">
        <w:rPr>
          <w:noProof/>
        </w:rPr>
        <w:t xml:space="preserve">Industrial Emissions Portal, with details to be set via a future implementing act. Reporting in the framework of the River Basin Management Plans will therefore only continue to apply to diffuse emissions. </w:t>
      </w:r>
    </w:p>
    <w:p w14:paraId="18CBA493" w14:textId="77777777" w:rsidR="005C53E6" w:rsidRPr="00FD620F" w:rsidRDefault="005C53E6" w:rsidP="005C53E6">
      <w:pPr>
        <w:rPr>
          <w:noProof/>
        </w:rPr>
      </w:pPr>
      <w:r w:rsidRPr="00FD620F">
        <w:rPr>
          <w:b/>
          <w:noProof/>
        </w:rPr>
        <w:t>Article 7a</w:t>
      </w:r>
      <w:r w:rsidRPr="00FD620F">
        <w:rPr>
          <w:noProof/>
        </w:rPr>
        <w:t xml:space="preserve"> on the coordination between various pieces of EU chemicals law is amended to include a</w:t>
      </w:r>
      <w:r w:rsidR="00004CA1" w:rsidRPr="00FD620F">
        <w:rPr>
          <w:noProof/>
        </w:rPr>
        <w:t xml:space="preserve"> reference to </w:t>
      </w:r>
      <w:r w:rsidRPr="00FD620F">
        <w:rPr>
          <w:noProof/>
        </w:rPr>
        <w:t xml:space="preserve">EU pharmaceuticals law, </w:t>
      </w:r>
      <w:r w:rsidR="00004CA1" w:rsidRPr="00FD620F">
        <w:rPr>
          <w:noProof/>
        </w:rPr>
        <w:t xml:space="preserve">and </w:t>
      </w:r>
      <w:r w:rsidRPr="00FD620F">
        <w:rPr>
          <w:noProof/>
        </w:rPr>
        <w:t>tak</w:t>
      </w:r>
      <w:r w:rsidR="00004CA1" w:rsidRPr="00FD620F">
        <w:rPr>
          <w:noProof/>
        </w:rPr>
        <w:t>e</w:t>
      </w:r>
      <w:r w:rsidRPr="00FD620F">
        <w:rPr>
          <w:noProof/>
        </w:rPr>
        <w:t xml:space="preserve"> into into account the proposed replacement of the co-decision procedure with that for delegated acts for updating or setting new EQS.   </w:t>
      </w:r>
    </w:p>
    <w:p w14:paraId="57755CBD" w14:textId="77777777" w:rsidR="005C53E6" w:rsidRPr="00FD620F" w:rsidRDefault="005C53E6" w:rsidP="005C53E6">
      <w:pPr>
        <w:rPr>
          <w:noProof/>
        </w:rPr>
      </w:pPr>
      <w:r w:rsidRPr="00FD620F">
        <w:rPr>
          <w:b/>
          <w:noProof/>
        </w:rPr>
        <w:t>Article 8</w:t>
      </w:r>
      <w:r w:rsidRPr="00FD620F">
        <w:rPr>
          <w:noProof/>
        </w:rPr>
        <w:t xml:space="preserve"> is amended to: 1) grant delegated powers to the European Commission to revise every six years Annex I in order to consider listing new priority substances and related EQS, based on input by ECHA; 2) grant delegated powers to the Commission to regularly revise the list of categories of river basin specific pollutants which are now included in Part B of the new Annex II (this Annex II replaces </w:t>
      </w:r>
      <w:r w:rsidR="006B467A" w:rsidRPr="00FD620F">
        <w:rPr>
          <w:noProof/>
        </w:rPr>
        <w:t xml:space="preserve">for this purpose </w:t>
      </w:r>
      <w:r w:rsidRPr="00FD620F">
        <w:rPr>
          <w:noProof/>
        </w:rPr>
        <w:t xml:space="preserve">point 1.2.6 and Annex VIII of the WFD, which will be modified accordingly to take out the river basin specific pollutants from the definition of ecological status and make them part of the regime applicable to chemical status); 3) grant delegated powers to the Commission to adopt, where necessary, EU-wide EQS for river basin specific pollutants and list these in Part C of Annex II (the proposal lists in that Part C four priority substances which were previously included in Annex I but have been </w:t>
      </w:r>
      <w:r w:rsidR="006B467A" w:rsidRPr="00FD620F">
        <w:rPr>
          <w:noProof/>
        </w:rPr>
        <w:t xml:space="preserve">‘de-listed’ </w:t>
      </w:r>
      <w:r w:rsidRPr="00FD620F">
        <w:rPr>
          <w:noProof/>
        </w:rPr>
        <w:t xml:space="preserve">because no longer considered to be of EU wide concern); 4) clarify the central role to be played by the ECHA in devising EQS, in close cooperation with Member States and stakeholders, and its </w:t>
      </w:r>
      <w:r w:rsidR="006B467A" w:rsidRPr="00FD620F">
        <w:rPr>
          <w:noProof/>
        </w:rPr>
        <w:t xml:space="preserve">obligation to make scientific reports related to the amendment of the Annexes publicly available. </w:t>
      </w:r>
    </w:p>
    <w:p w14:paraId="4C73A77C" w14:textId="77777777" w:rsidR="005C53E6" w:rsidRPr="00FD620F" w:rsidRDefault="005C53E6" w:rsidP="005C53E6">
      <w:pPr>
        <w:rPr>
          <w:noProof/>
        </w:rPr>
      </w:pPr>
      <w:r w:rsidRPr="00FD620F">
        <w:rPr>
          <w:b/>
          <w:noProof/>
        </w:rPr>
        <w:t xml:space="preserve">Article 8a </w:t>
      </w:r>
      <w:r w:rsidRPr="00FD620F">
        <w:rPr>
          <w:noProof/>
        </w:rPr>
        <w:t xml:space="preserve">is amended to: 1) simplify the way in which Member States may present chemical status for ubiquitous PBTs separately from the overall chemical status; 2) allow Member States to carry out less intensive monitoring for some substances; 3) require Member States to carry out effect-based monitoring to assess the presence of estrogenic hormones in water bodies, in view of possible future setting of effect-based trigger values. </w:t>
      </w:r>
    </w:p>
    <w:p w14:paraId="0BED1E4F" w14:textId="77777777" w:rsidR="005C53E6" w:rsidRPr="00FD620F" w:rsidRDefault="005C53E6" w:rsidP="005C53E6">
      <w:pPr>
        <w:rPr>
          <w:noProof/>
        </w:rPr>
      </w:pPr>
      <w:r w:rsidRPr="00FD620F">
        <w:rPr>
          <w:b/>
          <w:noProof/>
        </w:rPr>
        <w:t>Article 8b</w:t>
      </w:r>
      <w:r w:rsidRPr="00FD620F">
        <w:rPr>
          <w:noProof/>
        </w:rPr>
        <w:t xml:space="preserve"> is amended to: 1) improve the monitoring and review cycle of the Watch List mechanism, setting a three year instead of the current two year cycle. This will give more time to process the data before revising the list, jointly with the proposed extension of the  monitoring cycle from 12 to 24 months to allow better consideration of different frequencies for pollutants with seasonal emission patterns (e.g. pesticides/biocides); 2) allow including micro-plastics and selected antimicrobial resistance genes in the next Watch List, subject to suitable monitoring and analysis methods being identified, with input from ECHA.</w:t>
      </w:r>
    </w:p>
    <w:p w14:paraId="22B08382" w14:textId="77777777" w:rsidR="005C53E6" w:rsidRPr="00FD620F" w:rsidRDefault="005C53E6" w:rsidP="005C53E6">
      <w:pPr>
        <w:rPr>
          <w:noProof/>
        </w:rPr>
      </w:pPr>
      <w:r w:rsidRPr="00FD620F">
        <w:rPr>
          <w:noProof/>
        </w:rPr>
        <w:t xml:space="preserve">The </w:t>
      </w:r>
      <w:r w:rsidRPr="00FD620F">
        <w:rPr>
          <w:b/>
          <w:noProof/>
        </w:rPr>
        <w:t>new Article 8d</w:t>
      </w:r>
      <w:r w:rsidRPr="00FD620F">
        <w:rPr>
          <w:noProof/>
        </w:rPr>
        <w:t xml:space="preserve"> includes the obligation for Member States to set EQS for the river basin specific pollutants listed in Part A of the new Annex II. This replaces the obligation currently formulated in point 1.2.6 of Annex V to the WFD, in tune with the proposal to secure that river basin specific pollutants become part of assessing the chemical, rather than the ecological, status of surface water bodies.  The provision also aims at ensuring that, where EU-wide EQS have been established for certain river basin specific pollutants, these shall take precedence over the EQS established at national level. Finally the amendment obliges Member States to inform ECHA to enable the latter to publicize any intention in respect of listing pollutants and/or setting EQS, to increase transparency and synergies.</w:t>
      </w:r>
    </w:p>
    <w:p w14:paraId="68B1DEA7" w14:textId="79B023E9" w:rsidR="005C53E6" w:rsidRPr="00FD620F" w:rsidRDefault="005C53E6" w:rsidP="00E60D4A">
      <w:pPr>
        <w:rPr>
          <w:noProof/>
        </w:rPr>
      </w:pPr>
      <w:r w:rsidRPr="00FD620F">
        <w:rPr>
          <w:b/>
          <w:noProof/>
        </w:rPr>
        <w:t>Article 10</w:t>
      </w:r>
      <w:r w:rsidRPr="00FD620F">
        <w:rPr>
          <w:noProof/>
        </w:rPr>
        <w:t xml:space="preserve"> which clarifie</w:t>
      </w:r>
      <w:r w:rsidR="00E60D4A" w:rsidRPr="00FD620F">
        <w:rPr>
          <w:noProof/>
        </w:rPr>
        <w:t>s</w:t>
      </w:r>
      <w:r w:rsidRPr="00FD620F">
        <w:rPr>
          <w:noProof/>
        </w:rPr>
        <w:t xml:space="preserve"> that Annex X to the WFD </w:t>
      </w:r>
      <w:r w:rsidR="006B467A" w:rsidRPr="00FD620F">
        <w:rPr>
          <w:noProof/>
        </w:rPr>
        <w:t xml:space="preserve">is to be </w:t>
      </w:r>
      <w:r w:rsidR="00E60D4A" w:rsidRPr="00FD620F">
        <w:rPr>
          <w:noProof/>
        </w:rPr>
        <w:t xml:space="preserve">replaced by the text set out in Annex II to Directive 2008/105/EC, is deleted because Annex II to Directive 2008/105/EC </w:t>
      </w:r>
      <w:r w:rsidR="006B467A" w:rsidRPr="00FD620F">
        <w:rPr>
          <w:noProof/>
        </w:rPr>
        <w:t>d</w:t>
      </w:r>
      <w:r w:rsidR="006B2571">
        <w:rPr>
          <w:noProof/>
        </w:rPr>
        <w:t>id</w:t>
      </w:r>
      <w:r w:rsidR="006B467A" w:rsidRPr="00FD620F">
        <w:rPr>
          <w:noProof/>
        </w:rPr>
        <w:t xml:space="preserve"> not exist </w:t>
      </w:r>
      <w:r w:rsidR="00E60D4A" w:rsidRPr="00FD620F">
        <w:rPr>
          <w:noProof/>
        </w:rPr>
        <w:t>and because Annex X is deleted</w:t>
      </w:r>
      <w:r w:rsidR="006B467A" w:rsidRPr="00FD620F">
        <w:rPr>
          <w:noProof/>
        </w:rPr>
        <w:t xml:space="preserve"> </w:t>
      </w:r>
      <w:r w:rsidR="00E60D4A" w:rsidRPr="00FD620F">
        <w:rPr>
          <w:noProof/>
        </w:rPr>
        <w:t xml:space="preserve">further to the inclusion, in Directive 2008/105/EC, of a procedure for delegated acts for adapting the list of priority substances and setting corresponding EQS.  </w:t>
      </w:r>
    </w:p>
    <w:p w14:paraId="0AB79100" w14:textId="77777777" w:rsidR="005C53E6" w:rsidRPr="00FD620F" w:rsidRDefault="005C53E6" w:rsidP="005C53E6">
      <w:pPr>
        <w:rPr>
          <w:noProof/>
        </w:rPr>
      </w:pPr>
      <w:r w:rsidRPr="00FD620F">
        <w:rPr>
          <w:b/>
          <w:noProof/>
        </w:rPr>
        <w:t>The title of Annex I</w:t>
      </w:r>
      <w:r w:rsidRPr="00FD620F">
        <w:rPr>
          <w:noProof/>
        </w:rPr>
        <w:t xml:space="preserve"> is modified to take out the notion of ‘other pollutants’ which has become obsolete, as it referred to substances that were covered by other legislation prior to the adoption of the EQSD; there is no longer a need to distinguish between priority substances and those ‘other pollutants’. Part A, which lists the substances and their EQS, is replaced with a new Annex listing now additional 2</w:t>
      </w:r>
      <w:r w:rsidR="00142A3E" w:rsidRPr="00FD620F">
        <w:rPr>
          <w:noProof/>
        </w:rPr>
        <w:t>3</w:t>
      </w:r>
      <w:r w:rsidRPr="00FD620F">
        <w:rPr>
          <w:noProof/>
        </w:rPr>
        <w:t xml:space="preserve"> substances to the list of priority substances: pharmaceuticals, industrial substances, pesticides and metals. The Annex also indicates the substances that are hazardous, those that are ubiquitous PBTs as well as those that require long-term trend assessment.  </w:t>
      </w:r>
    </w:p>
    <w:p w14:paraId="3F4268CB" w14:textId="071F5D56" w:rsidR="005C53E6" w:rsidRPr="00FD620F" w:rsidRDefault="005C53E6" w:rsidP="005C53E6">
      <w:pPr>
        <w:rPr>
          <w:noProof/>
        </w:rPr>
      </w:pPr>
      <w:r w:rsidRPr="00FD620F">
        <w:rPr>
          <w:noProof/>
        </w:rPr>
        <w:t xml:space="preserve">A </w:t>
      </w:r>
      <w:r w:rsidRPr="00FD620F">
        <w:rPr>
          <w:b/>
          <w:noProof/>
        </w:rPr>
        <w:t>new Annex II</w:t>
      </w:r>
      <w:r w:rsidRPr="00FD620F">
        <w:rPr>
          <w:noProof/>
        </w:rPr>
        <w:t xml:space="preserve"> is inserted, setting out in Part A an indicative list of river basin specific pollutants for which Member States must consider setting EQS and apply these where they are causing concern. Part B includes the general principles and refers to guidance for doing so, whereas Part C includes a repository of harmonised EQS for river basin specific pollutants. The latter will be </w:t>
      </w:r>
      <w:r w:rsidR="006B467A" w:rsidRPr="00FD620F">
        <w:rPr>
          <w:noProof/>
        </w:rPr>
        <w:t xml:space="preserve">adapted </w:t>
      </w:r>
      <w:r w:rsidRPr="00FD620F">
        <w:rPr>
          <w:noProof/>
        </w:rPr>
        <w:t xml:space="preserve">via future delegated acts through which the Commission will establish </w:t>
      </w:r>
      <w:r w:rsidR="00506BDF">
        <w:rPr>
          <w:noProof/>
        </w:rPr>
        <w:t xml:space="preserve">harmonised </w:t>
      </w:r>
      <w:r w:rsidRPr="00FD620F">
        <w:rPr>
          <w:noProof/>
        </w:rPr>
        <w:t xml:space="preserve">EQS for certain other river basin specific pollutants where this would prove necessary to ensure a sufficient and harmonised protection of the environment, even for pollutants which are not or not yet of EU-wide concern. </w:t>
      </w:r>
    </w:p>
    <w:p w14:paraId="71BB0BA2" w14:textId="77777777" w:rsidR="0047629D" w:rsidRPr="00FD620F" w:rsidRDefault="0047629D" w:rsidP="005C4F36">
      <w:pPr>
        <w:spacing w:before="0" w:after="0"/>
        <w:jc w:val="left"/>
        <w:rPr>
          <w:noProof/>
        </w:rPr>
        <w:sectPr w:rsidR="0047629D" w:rsidRPr="00FD620F" w:rsidSect="00A71C3C">
          <w:footerReference w:type="default" r:id="rId13"/>
          <w:footerReference w:type="first" r:id="rId14"/>
          <w:footnotePr>
            <w:numRestart w:val="eachSect"/>
          </w:footnotePr>
          <w:pgSz w:w="11907" w:h="16839"/>
          <w:pgMar w:top="1134" w:right="1417" w:bottom="1134" w:left="1417" w:header="709" w:footer="709" w:gutter="0"/>
          <w:cols w:space="708"/>
          <w:docGrid w:linePitch="360"/>
        </w:sectPr>
      </w:pPr>
    </w:p>
    <w:p w14:paraId="2FBA4887" w14:textId="32A5E7EE" w:rsidR="001A123C" w:rsidRDefault="00C340C3" w:rsidP="00C340C3">
      <w:pPr>
        <w:pStyle w:val="Rfrenceinterinstitutionnelle"/>
        <w:rPr>
          <w:noProof/>
        </w:rPr>
      </w:pPr>
      <w:r w:rsidRPr="00C340C3">
        <w:t>2022/0344 (COD)</w:t>
      </w:r>
    </w:p>
    <w:p w14:paraId="187D347E" w14:textId="307E810F" w:rsidR="0047629D" w:rsidRPr="00FD620F" w:rsidRDefault="00C64032" w:rsidP="00C64032">
      <w:pPr>
        <w:pStyle w:val="Statut"/>
        <w:rPr>
          <w:noProof/>
        </w:rPr>
      </w:pPr>
      <w:r w:rsidRPr="00C64032">
        <w:rPr>
          <w:noProof/>
        </w:rPr>
        <w:t>Proposal for a</w:t>
      </w:r>
    </w:p>
    <w:p w14:paraId="16538A43" w14:textId="354E6957" w:rsidR="0047629D" w:rsidRPr="00FD620F" w:rsidRDefault="00C64032" w:rsidP="00C64032">
      <w:pPr>
        <w:pStyle w:val="Typedudocument"/>
        <w:rPr>
          <w:noProof/>
        </w:rPr>
      </w:pPr>
      <w:r w:rsidRPr="00C64032">
        <w:rPr>
          <w:noProof/>
        </w:rPr>
        <w:t>DIRECTIVE OF THE EUROPEAN PARLIAMENT AND OF THE COUNCIL</w:t>
      </w:r>
    </w:p>
    <w:p w14:paraId="1DEBE091" w14:textId="0D1C7C0D" w:rsidR="0047629D" w:rsidRPr="00FD620F" w:rsidRDefault="00C64032" w:rsidP="00C64032">
      <w:pPr>
        <w:pStyle w:val="Titreobjet"/>
        <w:rPr>
          <w:noProof/>
        </w:rPr>
      </w:pPr>
      <w:r w:rsidRPr="00C64032">
        <w:rPr>
          <w:noProof/>
        </w:rPr>
        <w:t>amending Directive 2000/60/EC establishing a framework for Community action in the field of water policy, Directive 2006/118/EC on the protection of groundwater against pollution and deterioration and Directive 2008/105/EC on environmental quality standards in the field of water policy</w:t>
      </w:r>
    </w:p>
    <w:p w14:paraId="7D12E54D" w14:textId="067EC756" w:rsidR="0047629D" w:rsidRPr="00FD620F" w:rsidRDefault="00C64032" w:rsidP="00C64032">
      <w:pPr>
        <w:pStyle w:val="IntrtEEE"/>
        <w:rPr>
          <w:noProof/>
        </w:rPr>
      </w:pPr>
      <w:r w:rsidRPr="00C64032">
        <w:rPr>
          <w:noProof/>
        </w:rPr>
        <w:t>(Text with EEA relevance)</w:t>
      </w:r>
    </w:p>
    <w:p w14:paraId="58F3B7E0" w14:textId="77777777" w:rsidR="0047629D" w:rsidRPr="00FD620F" w:rsidRDefault="0047629D" w:rsidP="005C4F36">
      <w:pPr>
        <w:pStyle w:val="Institutionquiagit"/>
        <w:rPr>
          <w:noProof/>
        </w:rPr>
      </w:pPr>
      <w:r w:rsidRPr="00FD620F">
        <w:rPr>
          <w:noProof/>
        </w:rPr>
        <w:t>THE EUROPEAN PARLIAMENT AND THE COUNCIL OF THE EUROPEAN UNION,</w:t>
      </w:r>
    </w:p>
    <w:p w14:paraId="18E204CA" w14:textId="77777777" w:rsidR="0047629D" w:rsidRPr="00FD620F" w:rsidRDefault="0047629D" w:rsidP="005C4F36">
      <w:pPr>
        <w:rPr>
          <w:noProof/>
        </w:rPr>
      </w:pPr>
      <w:r w:rsidRPr="00FD620F">
        <w:rPr>
          <w:noProof/>
        </w:rPr>
        <w:t>Having regard to the Treaty on the Functioning of the European Union, and in particular Article </w:t>
      </w:r>
      <w:r w:rsidR="005C4F36" w:rsidRPr="00FD620F">
        <w:rPr>
          <w:noProof/>
        </w:rPr>
        <w:t xml:space="preserve">192(1) </w:t>
      </w:r>
      <w:r w:rsidRPr="00FD620F">
        <w:rPr>
          <w:noProof/>
        </w:rPr>
        <w:t>thereof,</w:t>
      </w:r>
    </w:p>
    <w:p w14:paraId="31DE68E3" w14:textId="77777777" w:rsidR="0047629D" w:rsidRPr="00FD620F" w:rsidRDefault="0047629D" w:rsidP="005C4F36">
      <w:pPr>
        <w:rPr>
          <w:noProof/>
        </w:rPr>
      </w:pPr>
      <w:r w:rsidRPr="00FD620F">
        <w:rPr>
          <w:noProof/>
        </w:rPr>
        <w:t>Having regard to the proposal from the European Commission,</w:t>
      </w:r>
    </w:p>
    <w:p w14:paraId="3C6AAC73" w14:textId="77777777" w:rsidR="0047629D" w:rsidRPr="00FD620F" w:rsidRDefault="0047629D" w:rsidP="005C4F36">
      <w:pPr>
        <w:rPr>
          <w:noProof/>
        </w:rPr>
      </w:pPr>
      <w:r w:rsidRPr="00FD620F">
        <w:rPr>
          <w:noProof/>
        </w:rPr>
        <w:t>After transmission of the draft legislative act to the national parliaments,</w:t>
      </w:r>
    </w:p>
    <w:p w14:paraId="63668567" w14:textId="77777777" w:rsidR="0047629D" w:rsidRPr="00FD620F" w:rsidRDefault="0047629D" w:rsidP="005C4F36">
      <w:pPr>
        <w:rPr>
          <w:noProof/>
        </w:rPr>
      </w:pPr>
      <w:r w:rsidRPr="00FD620F">
        <w:rPr>
          <w:noProof/>
        </w:rPr>
        <w:t>Having regard to the opinion of the European Economic and Social Committee</w:t>
      </w:r>
      <w:r w:rsidRPr="00FD620F">
        <w:rPr>
          <w:rStyle w:val="FootnoteReference"/>
          <w:noProof/>
        </w:rPr>
        <w:footnoteReference w:id="34"/>
      </w:r>
      <w:r w:rsidRPr="00FD620F">
        <w:rPr>
          <w:noProof/>
        </w:rPr>
        <w:t xml:space="preserve">, </w:t>
      </w:r>
    </w:p>
    <w:p w14:paraId="6F18A126" w14:textId="77777777" w:rsidR="0047629D" w:rsidRPr="00FD620F" w:rsidRDefault="0047629D" w:rsidP="005C4F36">
      <w:pPr>
        <w:rPr>
          <w:noProof/>
        </w:rPr>
      </w:pPr>
      <w:r w:rsidRPr="00FD620F">
        <w:rPr>
          <w:noProof/>
        </w:rPr>
        <w:t>Having regard to the opinion of the Committee of the Regions</w:t>
      </w:r>
      <w:r w:rsidRPr="00FD620F">
        <w:rPr>
          <w:rStyle w:val="FootnoteReference"/>
          <w:noProof/>
        </w:rPr>
        <w:footnoteReference w:id="35"/>
      </w:r>
      <w:r w:rsidRPr="00FD620F">
        <w:rPr>
          <w:noProof/>
        </w:rPr>
        <w:t>,</w:t>
      </w:r>
    </w:p>
    <w:p w14:paraId="1EEB1BC1" w14:textId="77777777" w:rsidR="0047629D" w:rsidRPr="00FD620F" w:rsidRDefault="0047629D" w:rsidP="005C4F36">
      <w:pPr>
        <w:rPr>
          <w:noProof/>
        </w:rPr>
      </w:pPr>
      <w:r w:rsidRPr="00FD620F">
        <w:rPr>
          <w:noProof/>
        </w:rPr>
        <w:t>Acting in accordance with the ordinary legislative procedure,</w:t>
      </w:r>
    </w:p>
    <w:p w14:paraId="3C9472C9" w14:textId="77777777" w:rsidR="0047629D" w:rsidRPr="00FD620F" w:rsidRDefault="0047629D" w:rsidP="005C4F36">
      <w:pPr>
        <w:rPr>
          <w:noProof/>
        </w:rPr>
      </w:pPr>
      <w:r w:rsidRPr="00FD620F">
        <w:rPr>
          <w:noProof/>
        </w:rPr>
        <w:t>Whereas:</w:t>
      </w:r>
    </w:p>
    <w:p w14:paraId="26046149" w14:textId="33F83761" w:rsidR="009C6F11" w:rsidRPr="00FD620F" w:rsidRDefault="00312D4D" w:rsidP="00312D4D">
      <w:pPr>
        <w:pStyle w:val="ManualConsidrant"/>
        <w:rPr>
          <w:noProof/>
        </w:rPr>
      </w:pPr>
      <w:r w:rsidRPr="00312D4D">
        <w:t>(1)</w:t>
      </w:r>
      <w:r w:rsidRPr="00312D4D">
        <w:tab/>
      </w:r>
      <w:r w:rsidR="009C6F11" w:rsidRPr="00FD620F">
        <w:rPr>
          <w:noProof/>
        </w:rPr>
        <w:t>Chemical pollution of surface</w:t>
      </w:r>
      <w:r w:rsidR="007147AD" w:rsidRPr="00FD620F">
        <w:rPr>
          <w:noProof/>
        </w:rPr>
        <w:t xml:space="preserve"> and ground</w:t>
      </w:r>
      <w:r w:rsidR="009C6F11" w:rsidRPr="00FD620F">
        <w:rPr>
          <w:noProof/>
        </w:rPr>
        <w:t>water poses a threat to the aquatic environment, with effects such as acute and chronic toxicity in aquatic organisms, accumulation of pollutants in the ecosystem and loss of habitats and biodiversity</w:t>
      </w:r>
      <w:r w:rsidR="00CE4577" w:rsidRPr="00FD620F">
        <w:rPr>
          <w:noProof/>
        </w:rPr>
        <w:t>, as well as</w:t>
      </w:r>
      <w:r w:rsidR="009C6F11" w:rsidRPr="00FD620F">
        <w:rPr>
          <w:noProof/>
        </w:rPr>
        <w:t xml:space="preserve"> to human health. </w:t>
      </w:r>
      <w:r w:rsidR="00F10F71" w:rsidRPr="00FD620F">
        <w:rPr>
          <w:noProof/>
        </w:rPr>
        <w:t>Setting environmental quality standards helps to implement the zero pollution ambition for a toxic-free environment.</w:t>
      </w:r>
    </w:p>
    <w:p w14:paraId="11150650" w14:textId="2A665C86" w:rsidR="009C6F11" w:rsidRPr="00FD620F" w:rsidRDefault="00312D4D" w:rsidP="00312D4D">
      <w:pPr>
        <w:pStyle w:val="ManualConsidrant"/>
        <w:rPr>
          <w:noProof/>
        </w:rPr>
      </w:pPr>
      <w:r w:rsidRPr="00312D4D">
        <w:t>(2)</w:t>
      </w:r>
      <w:r w:rsidRPr="00312D4D">
        <w:tab/>
      </w:r>
      <w:r w:rsidR="009C6F11" w:rsidRPr="00FD620F">
        <w:rPr>
          <w:noProof/>
        </w:rPr>
        <w:t>Pursuant to Article 191(2)</w:t>
      </w:r>
      <w:r w:rsidR="00F03DB5" w:rsidRPr="00FD620F">
        <w:rPr>
          <w:noProof/>
        </w:rPr>
        <w:t>,</w:t>
      </w:r>
      <w:r w:rsidR="009C6F11" w:rsidRPr="00FD620F">
        <w:rPr>
          <w:noProof/>
        </w:rPr>
        <w:t xml:space="preserve"> </w:t>
      </w:r>
      <w:r w:rsidR="00F03DB5" w:rsidRPr="00FD620F">
        <w:rPr>
          <w:noProof/>
        </w:rPr>
        <w:t xml:space="preserve">second sentence, </w:t>
      </w:r>
      <w:r w:rsidR="009C6F11" w:rsidRPr="00FD620F">
        <w:rPr>
          <w:noProof/>
        </w:rPr>
        <w:t xml:space="preserve">of the Treaty on the Functioning of the European Union (TFEU), Union policy on the environment is to be based on the precautionary principle and on the principles that preventive action </w:t>
      </w:r>
      <w:r w:rsidR="00F03DB5" w:rsidRPr="00FD620F">
        <w:rPr>
          <w:noProof/>
        </w:rPr>
        <w:t>is to</w:t>
      </w:r>
      <w:r w:rsidR="009C6F11" w:rsidRPr="00FD620F">
        <w:rPr>
          <w:noProof/>
        </w:rPr>
        <w:t xml:space="preserve"> be taken, that environmental damage </w:t>
      </w:r>
      <w:r w:rsidR="00F03DB5" w:rsidRPr="00FD620F">
        <w:rPr>
          <w:noProof/>
        </w:rPr>
        <w:t>is</w:t>
      </w:r>
      <w:r w:rsidR="009C6F11" w:rsidRPr="00FD620F">
        <w:rPr>
          <w:noProof/>
        </w:rPr>
        <w:t xml:space="preserve">, as a priority, </w:t>
      </w:r>
      <w:r w:rsidR="00F03DB5" w:rsidRPr="00FD620F">
        <w:rPr>
          <w:noProof/>
        </w:rPr>
        <w:t xml:space="preserve">to </w:t>
      </w:r>
      <w:r w:rsidR="009C6F11" w:rsidRPr="00FD620F">
        <w:rPr>
          <w:noProof/>
        </w:rPr>
        <w:t xml:space="preserve">be rectified at source and that the polluter </w:t>
      </w:r>
      <w:r w:rsidR="00F03DB5" w:rsidRPr="00FD620F">
        <w:rPr>
          <w:noProof/>
        </w:rPr>
        <w:t>is to</w:t>
      </w:r>
      <w:r w:rsidR="009C6F11" w:rsidRPr="00FD620F">
        <w:rPr>
          <w:noProof/>
        </w:rPr>
        <w:t xml:space="preserve"> pay. </w:t>
      </w:r>
    </w:p>
    <w:p w14:paraId="6E9FE7E7" w14:textId="1C4F546B" w:rsidR="003413A7" w:rsidRPr="00FD620F" w:rsidRDefault="00312D4D" w:rsidP="00312D4D">
      <w:pPr>
        <w:pStyle w:val="ManualConsidrant"/>
        <w:rPr>
          <w:noProof/>
        </w:rPr>
      </w:pPr>
      <w:r w:rsidRPr="00312D4D">
        <w:t>(3)</w:t>
      </w:r>
      <w:r w:rsidRPr="00312D4D">
        <w:tab/>
      </w:r>
      <w:r w:rsidR="003413A7" w:rsidRPr="00FD620F">
        <w:rPr>
          <w:noProof/>
        </w:rPr>
        <w:t>The European Green Deal</w:t>
      </w:r>
      <w:r w:rsidR="003413A7" w:rsidRPr="00FD620F">
        <w:rPr>
          <w:rStyle w:val="FootnoteReference"/>
          <w:noProof/>
        </w:rPr>
        <w:footnoteReference w:id="36"/>
      </w:r>
      <w:r w:rsidR="003413A7" w:rsidRPr="00FD620F">
        <w:rPr>
          <w:noProof/>
        </w:rPr>
        <w:t xml:space="preserve"> is </w:t>
      </w:r>
      <w:r w:rsidR="00F03DB5" w:rsidRPr="00FD620F">
        <w:rPr>
          <w:noProof/>
        </w:rPr>
        <w:t>the Union’s</w:t>
      </w:r>
      <w:r w:rsidR="003413A7" w:rsidRPr="00FD620F">
        <w:rPr>
          <w:noProof/>
        </w:rPr>
        <w:t xml:space="preserve"> strategy to ensure, by 2050, a climate-neutral, clean and circular economy, optimising resource management</w:t>
      </w:r>
      <w:r w:rsidR="00E07348" w:rsidRPr="00FD620F">
        <w:rPr>
          <w:noProof/>
        </w:rPr>
        <w:t xml:space="preserve"> while</w:t>
      </w:r>
      <w:r w:rsidR="003413A7" w:rsidRPr="00FD620F">
        <w:rPr>
          <w:noProof/>
        </w:rPr>
        <w:t xml:space="preserve"> minimising pollution. The EU Chemicals Strategy for Sustainability</w:t>
      </w:r>
      <w:r w:rsidR="003413A7" w:rsidRPr="00FD620F">
        <w:rPr>
          <w:rStyle w:val="FootnoteReference"/>
          <w:noProof/>
        </w:rPr>
        <w:footnoteReference w:id="37"/>
      </w:r>
      <w:r w:rsidR="003413A7" w:rsidRPr="00FD620F">
        <w:rPr>
          <w:noProof/>
        </w:rPr>
        <w:t xml:space="preserve"> and the Zero Pollution Action Plan</w:t>
      </w:r>
      <w:r w:rsidR="003413A7" w:rsidRPr="00FD620F">
        <w:rPr>
          <w:rStyle w:val="FootnoteReference"/>
          <w:noProof/>
        </w:rPr>
        <w:footnoteReference w:id="38"/>
      </w:r>
      <w:r w:rsidR="003413A7" w:rsidRPr="00FD620F">
        <w:rPr>
          <w:noProof/>
        </w:rPr>
        <w:t xml:space="preserve"> specifically address pollution aspects of the European Green Deal. Other particularly relevant </w:t>
      </w:r>
      <w:r w:rsidR="00C6507C" w:rsidRPr="00FD620F">
        <w:rPr>
          <w:noProof/>
        </w:rPr>
        <w:t xml:space="preserve">and complementary </w:t>
      </w:r>
      <w:r w:rsidR="003413A7" w:rsidRPr="00FD620F">
        <w:rPr>
          <w:noProof/>
        </w:rPr>
        <w:t>policies include the</w:t>
      </w:r>
      <w:r w:rsidR="00C6507C" w:rsidRPr="00FD620F">
        <w:rPr>
          <w:noProof/>
        </w:rPr>
        <w:t xml:space="preserve"> 2018</w:t>
      </w:r>
      <w:r w:rsidR="003413A7" w:rsidRPr="00FD620F">
        <w:rPr>
          <w:noProof/>
        </w:rPr>
        <w:t xml:space="preserve"> </w:t>
      </w:r>
      <w:r w:rsidR="00C6507C" w:rsidRPr="00FD620F">
        <w:rPr>
          <w:noProof/>
        </w:rPr>
        <w:t>EU Plastics Strategy</w:t>
      </w:r>
      <w:r w:rsidR="00C6507C" w:rsidRPr="00FD620F">
        <w:rPr>
          <w:rStyle w:val="FootnoteReference"/>
          <w:noProof/>
        </w:rPr>
        <w:footnoteReference w:id="39"/>
      </w:r>
      <w:r w:rsidR="00C6507C" w:rsidRPr="00FD620F">
        <w:rPr>
          <w:noProof/>
        </w:rPr>
        <w:t>, the 2021 Pharmaceuticals Strategy for Europe</w:t>
      </w:r>
      <w:r w:rsidR="00C6507C" w:rsidRPr="00FD620F">
        <w:rPr>
          <w:rStyle w:val="FootnoteReference"/>
          <w:noProof/>
        </w:rPr>
        <w:footnoteReference w:id="40"/>
      </w:r>
      <w:r w:rsidR="00C6507C" w:rsidRPr="00FD620F">
        <w:rPr>
          <w:noProof/>
        </w:rPr>
        <w:t xml:space="preserve">, </w:t>
      </w:r>
      <w:r w:rsidR="003413A7" w:rsidRPr="00FD620F">
        <w:rPr>
          <w:noProof/>
        </w:rPr>
        <w:t>the Biodiversity Strategy</w:t>
      </w:r>
      <w:r w:rsidR="003413A7" w:rsidRPr="00FD620F">
        <w:rPr>
          <w:rStyle w:val="FootnoteReference"/>
          <w:noProof/>
        </w:rPr>
        <w:footnoteReference w:id="41"/>
      </w:r>
      <w:r w:rsidR="00280282" w:rsidRPr="00FD620F">
        <w:rPr>
          <w:noProof/>
        </w:rPr>
        <w:t>,</w:t>
      </w:r>
      <w:r w:rsidR="00C6507C" w:rsidRPr="00FD620F">
        <w:rPr>
          <w:noProof/>
        </w:rPr>
        <w:t xml:space="preserve"> </w:t>
      </w:r>
      <w:r w:rsidR="003413A7" w:rsidRPr="00FD620F">
        <w:rPr>
          <w:noProof/>
        </w:rPr>
        <w:t xml:space="preserve">the Farm to Fork </w:t>
      </w:r>
      <w:r w:rsidR="00C82606" w:rsidRPr="00FD620F">
        <w:rPr>
          <w:noProof/>
        </w:rPr>
        <w:t>S</w:t>
      </w:r>
      <w:r w:rsidR="003413A7" w:rsidRPr="00FD620F">
        <w:rPr>
          <w:noProof/>
        </w:rPr>
        <w:t>trategy</w:t>
      </w:r>
      <w:r w:rsidR="003413A7" w:rsidRPr="00FD620F">
        <w:rPr>
          <w:rStyle w:val="FootnoteReference"/>
          <w:noProof/>
        </w:rPr>
        <w:footnoteReference w:id="42"/>
      </w:r>
      <w:r w:rsidR="00D935B6" w:rsidRPr="00FD620F">
        <w:rPr>
          <w:noProof/>
        </w:rPr>
        <w:t xml:space="preserve">, </w:t>
      </w:r>
      <w:r w:rsidR="00114857" w:rsidRPr="00FD620F">
        <w:rPr>
          <w:noProof/>
        </w:rPr>
        <w:t>the EU Soil Strategy for 2030</w:t>
      </w:r>
      <w:r w:rsidR="00BF48D1" w:rsidRPr="00FD620F">
        <w:rPr>
          <w:rStyle w:val="FootnoteReference"/>
          <w:noProof/>
        </w:rPr>
        <w:footnoteReference w:id="43"/>
      </w:r>
      <w:r w:rsidR="00F162C0" w:rsidRPr="00FD620F">
        <w:rPr>
          <w:noProof/>
        </w:rPr>
        <w:t>,</w:t>
      </w:r>
      <w:r w:rsidR="00114857" w:rsidRPr="00FD620F">
        <w:rPr>
          <w:noProof/>
        </w:rPr>
        <w:t xml:space="preserve"> </w:t>
      </w:r>
      <w:r w:rsidR="00280282" w:rsidRPr="00FD620F">
        <w:rPr>
          <w:noProof/>
        </w:rPr>
        <w:t xml:space="preserve">the </w:t>
      </w:r>
      <w:r w:rsidR="00FE120D" w:rsidRPr="00FD620F">
        <w:rPr>
          <w:noProof/>
        </w:rPr>
        <w:t xml:space="preserve">EU’s </w:t>
      </w:r>
      <w:r w:rsidR="00280282" w:rsidRPr="00FD620F">
        <w:rPr>
          <w:noProof/>
        </w:rPr>
        <w:t>Digital Strategy</w:t>
      </w:r>
      <w:r w:rsidR="00280282" w:rsidRPr="00FD620F">
        <w:rPr>
          <w:rStyle w:val="FootnoteReference"/>
          <w:noProof/>
        </w:rPr>
        <w:footnoteReference w:id="44"/>
      </w:r>
      <w:r w:rsidR="00D935B6" w:rsidRPr="00FD620F">
        <w:rPr>
          <w:noProof/>
        </w:rPr>
        <w:t xml:space="preserve"> and the EU’s Data Strategy</w:t>
      </w:r>
      <w:r w:rsidR="00D935B6" w:rsidRPr="00FD620F">
        <w:rPr>
          <w:rStyle w:val="FootnoteReference"/>
          <w:noProof/>
        </w:rPr>
        <w:footnoteReference w:id="45"/>
      </w:r>
      <w:r w:rsidR="00C6507C" w:rsidRPr="00FD620F">
        <w:rPr>
          <w:noProof/>
        </w:rPr>
        <w:t>.</w:t>
      </w:r>
      <w:r w:rsidR="0022429B" w:rsidRPr="00FD620F">
        <w:rPr>
          <w:noProof/>
        </w:rPr>
        <w:t xml:space="preserve"> </w:t>
      </w:r>
    </w:p>
    <w:p w14:paraId="079075A5" w14:textId="1B18AA70" w:rsidR="00DC3DB7" w:rsidRPr="00FD620F" w:rsidRDefault="00312D4D" w:rsidP="00312D4D">
      <w:pPr>
        <w:pStyle w:val="ManualConsidrant"/>
        <w:rPr>
          <w:noProof/>
        </w:rPr>
      </w:pPr>
      <w:r w:rsidRPr="00312D4D">
        <w:t>(4)</w:t>
      </w:r>
      <w:r w:rsidRPr="00312D4D">
        <w:tab/>
      </w:r>
      <w:r w:rsidR="005E138C" w:rsidRPr="00FD620F">
        <w:rPr>
          <w:noProof/>
        </w:rPr>
        <w:t>Directive 2000/60/EC</w:t>
      </w:r>
      <w:r w:rsidR="00BC23FC" w:rsidRPr="00FD620F">
        <w:rPr>
          <w:noProof/>
        </w:rPr>
        <w:t xml:space="preserve"> of the European Parliament and of the Council</w:t>
      </w:r>
      <w:r w:rsidR="00BC23FC" w:rsidRPr="00FD620F">
        <w:rPr>
          <w:rStyle w:val="FootnoteReference"/>
          <w:noProof/>
        </w:rPr>
        <w:footnoteReference w:id="46"/>
      </w:r>
      <w:r w:rsidR="005E138C" w:rsidRPr="00FD620F">
        <w:rPr>
          <w:noProof/>
        </w:rPr>
        <w:t xml:space="preserve"> </w:t>
      </w:r>
      <w:r w:rsidR="00F03DB5" w:rsidRPr="00FD620F">
        <w:rPr>
          <w:noProof/>
        </w:rPr>
        <w:t>establishes a framework for the protection of inland surface waters, transitional waters, coastal waters and groundwater</w:t>
      </w:r>
      <w:r w:rsidR="005E138C" w:rsidRPr="00FD620F">
        <w:rPr>
          <w:noProof/>
        </w:rPr>
        <w:t xml:space="preserve">. That </w:t>
      </w:r>
      <w:r w:rsidR="00F03DB5" w:rsidRPr="00FD620F">
        <w:rPr>
          <w:noProof/>
        </w:rPr>
        <w:t>framework</w:t>
      </w:r>
      <w:r w:rsidR="005E138C" w:rsidRPr="00FD620F">
        <w:rPr>
          <w:noProof/>
        </w:rPr>
        <w:t xml:space="preserve"> involves the identification of priority substances amongst those that pose a significant risk to, or via, the aquatic environment at Union level. Directive 2008/105/EC</w:t>
      </w:r>
      <w:r w:rsidR="00BC23FC" w:rsidRPr="00FD620F">
        <w:rPr>
          <w:noProof/>
        </w:rPr>
        <w:t xml:space="preserve"> of the European Parliament and of the Council</w:t>
      </w:r>
      <w:r w:rsidR="00BC23FC" w:rsidRPr="00FD620F">
        <w:rPr>
          <w:rStyle w:val="FootnoteReference"/>
          <w:noProof/>
        </w:rPr>
        <w:footnoteReference w:id="47"/>
      </w:r>
      <w:r w:rsidR="00A01865" w:rsidRPr="00FD620F">
        <w:rPr>
          <w:noProof/>
        </w:rPr>
        <w:t xml:space="preserve"> </w:t>
      </w:r>
      <w:r w:rsidR="005E138C" w:rsidRPr="00FD620F">
        <w:rPr>
          <w:noProof/>
        </w:rPr>
        <w:t xml:space="preserve">lays down </w:t>
      </w:r>
      <w:r w:rsidR="00E90314" w:rsidRPr="00FD620F">
        <w:rPr>
          <w:noProof/>
        </w:rPr>
        <w:t>Union-wide</w:t>
      </w:r>
      <w:r w:rsidR="00A01865" w:rsidRPr="00FD620F">
        <w:rPr>
          <w:noProof/>
        </w:rPr>
        <w:t xml:space="preserve"> </w:t>
      </w:r>
      <w:r w:rsidR="005E138C" w:rsidRPr="00FD620F">
        <w:rPr>
          <w:noProof/>
        </w:rPr>
        <w:t>environmental quality standards (EQS</w:t>
      </w:r>
      <w:r w:rsidR="00A01865" w:rsidRPr="00FD620F">
        <w:rPr>
          <w:noProof/>
        </w:rPr>
        <w:t>)</w:t>
      </w:r>
      <w:r w:rsidR="005E138C" w:rsidRPr="00FD620F">
        <w:rPr>
          <w:noProof/>
        </w:rPr>
        <w:t xml:space="preserve"> for </w:t>
      </w:r>
      <w:r w:rsidR="00E90314" w:rsidRPr="00FD620F">
        <w:rPr>
          <w:noProof/>
        </w:rPr>
        <w:t xml:space="preserve">the </w:t>
      </w:r>
      <w:r w:rsidR="005E138C" w:rsidRPr="00FD620F">
        <w:rPr>
          <w:noProof/>
        </w:rPr>
        <w:t xml:space="preserve">45 priority substances </w:t>
      </w:r>
      <w:r w:rsidR="00E90314" w:rsidRPr="00FD620F">
        <w:rPr>
          <w:noProof/>
        </w:rPr>
        <w:t>listed</w:t>
      </w:r>
      <w:r w:rsidR="005E138C" w:rsidRPr="00FD620F">
        <w:rPr>
          <w:noProof/>
        </w:rPr>
        <w:t xml:space="preserve"> in </w:t>
      </w:r>
      <w:r w:rsidR="00E90314" w:rsidRPr="00FD620F">
        <w:rPr>
          <w:noProof/>
        </w:rPr>
        <w:t>Annex X to Directive 2000/60/EC</w:t>
      </w:r>
      <w:r w:rsidR="005E138C" w:rsidRPr="00FD620F">
        <w:rPr>
          <w:noProof/>
        </w:rPr>
        <w:t xml:space="preserve"> and eight other pollutants that were already regulated at Union level</w:t>
      </w:r>
      <w:r w:rsidR="00E90314" w:rsidRPr="00FD620F">
        <w:rPr>
          <w:noProof/>
        </w:rPr>
        <w:t xml:space="preserve"> before Annex X was </w:t>
      </w:r>
      <w:r w:rsidR="00CE4577" w:rsidRPr="00FD620F">
        <w:rPr>
          <w:noProof/>
        </w:rPr>
        <w:t xml:space="preserve">introduced </w:t>
      </w:r>
      <w:r w:rsidR="00A9281E" w:rsidRPr="00FD620F">
        <w:rPr>
          <w:noProof/>
        </w:rPr>
        <w:t xml:space="preserve"> by Decision No 2455/2001/EC</w:t>
      </w:r>
      <w:r w:rsidR="00E314C9" w:rsidRPr="00FD620F">
        <w:rPr>
          <w:noProof/>
        </w:rPr>
        <w:t xml:space="preserve"> of the European Parliament and of the Council</w:t>
      </w:r>
      <w:r w:rsidR="00E314C9" w:rsidRPr="00FD620F">
        <w:rPr>
          <w:rStyle w:val="FootnoteReference"/>
          <w:noProof/>
        </w:rPr>
        <w:footnoteReference w:id="48"/>
      </w:r>
      <w:r w:rsidR="005E138C" w:rsidRPr="00FD620F">
        <w:rPr>
          <w:noProof/>
        </w:rPr>
        <w:t>. Directive 2006/118/EC</w:t>
      </w:r>
      <w:r w:rsidR="00BC23FC" w:rsidRPr="00FD620F">
        <w:rPr>
          <w:noProof/>
        </w:rPr>
        <w:t xml:space="preserve"> of the European Parliament and of the Council</w:t>
      </w:r>
      <w:r w:rsidR="00BC23FC" w:rsidRPr="00FD620F">
        <w:rPr>
          <w:rStyle w:val="FootnoteReference"/>
          <w:noProof/>
        </w:rPr>
        <w:footnoteReference w:id="49"/>
      </w:r>
      <w:r w:rsidR="005E138C" w:rsidRPr="00FD620F">
        <w:rPr>
          <w:noProof/>
        </w:rPr>
        <w:t xml:space="preserve"> lays down </w:t>
      </w:r>
      <w:r w:rsidR="00E90314" w:rsidRPr="00FD620F">
        <w:rPr>
          <w:noProof/>
        </w:rPr>
        <w:t>Union-</w:t>
      </w:r>
      <w:r w:rsidR="008E6037" w:rsidRPr="00FD620F">
        <w:rPr>
          <w:noProof/>
        </w:rPr>
        <w:t xml:space="preserve">wide groundwater quality standards </w:t>
      </w:r>
      <w:r w:rsidR="006C1B63" w:rsidRPr="00FD620F">
        <w:rPr>
          <w:noProof/>
        </w:rPr>
        <w:t xml:space="preserve">for nitrates and for active substances in pesticides </w:t>
      </w:r>
      <w:r w:rsidR="008E6037" w:rsidRPr="00FD620F">
        <w:rPr>
          <w:noProof/>
        </w:rPr>
        <w:t xml:space="preserve">and </w:t>
      </w:r>
      <w:r w:rsidR="00E314C9" w:rsidRPr="00FD620F">
        <w:rPr>
          <w:noProof/>
        </w:rPr>
        <w:t>criteria</w:t>
      </w:r>
      <w:r w:rsidR="008E6037" w:rsidRPr="00FD620F">
        <w:rPr>
          <w:noProof/>
        </w:rPr>
        <w:t xml:space="preserve"> for </w:t>
      </w:r>
      <w:r w:rsidR="006C1B63" w:rsidRPr="00FD620F">
        <w:rPr>
          <w:noProof/>
        </w:rPr>
        <w:t>establishing</w:t>
      </w:r>
      <w:r w:rsidR="008E6037" w:rsidRPr="00FD620F">
        <w:rPr>
          <w:noProof/>
        </w:rPr>
        <w:t xml:space="preserve"> national threshold values for other groundwater pollutants</w:t>
      </w:r>
      <w:r w:rsidR="00CE4577" w:rsidRPr="00FD620F">
        <w:rPr>
          <w:noProof/>
        </w:rPr>
        <w:t xml:space="preserve">. It also sets out </w:t>
      </w:r>
      <w:r w:rsidR="006C1B63" w:rsidRPr="00FD620F">
        <w:rPr>
          <w:noProof/>
        </w:rPr>
        <w:t xml:space="preserve">a minimum list of 12 pollutants and their indicators for which Member States </w:t>
      </w:r>
      <w:r w:rsidR="00CE4577" w:rsidRPr="00FD620F">
        <w:rPr>
          <w:noProof/>
        </w:rPr>
        <w:t xml:space="preserve">are required </w:t>
      </w:r>
      <w:r w:rsidR="006C1B63" w:rsidRPr="00FD620F">
        <w:rPr>
          <w:noProof/>
        </w:rPr>
        <w:t xml:space="preserve">to consider establishing such </w:t>
      </w:r>
      <w:r w:rsidR="00CE4577" w:rsidRPr="00FD620F">
        <w:rPr>
          <w:noProof/>
        </w:rPr>
        <w:t xml:space="preserve">national threshold </w:t>
      </w:r>
      <w:r w:rsidR="006C1B63" w:rsidRPr="00FD620F">
        <w:rPr>
          <w:noProof/>
        </w:rPr>
        <w:t>values</w:t>
      </w:r>
      <w:r w:rsidR="008E6037" w:rsidRPr="00FD620F">
        <w:rPr>
          <w:noProof/>
        </w:rPr>
        <w:t>.</w:t>
      </w:r>
      <w:r w:rsidR="00CE4577" w:rsidRPr="00FD620F">
        <w:rPr>
          <w:noProof/>
        </w:rPr>
        <w:t xml:space="preserve"> The groundwater quality standards are set out in Annex I to Directive 2006/118/EC. </w:t>
      </w:r>
    </w:p>
    <w:p w14:paraId="4BFDDDA2" w14:textId="207DF47A" w:rsidR="00DC3DB7" w:rsidRPr="00FD620F" w:rsidRDefault="00312D4D" w:rsidP="00312D4D">
      <w:pPr>
        <w:pStyle w:val="ManualConsidrant"/>
        <w:rPr>
          <w:noProof/>
        </w:rPr>
      </w:pPr>
      <w:r w:rsidRPr="00312D4D">
        <w:t>(5)</w:t>
      </w:r>
      <w:r w:rsidRPr="00312D4D">
        <w:tab/>
      </w:r>
      <w:r w:rsidR="00DC3DB7" w:rsidRPr="00FD620F">
        <w:rPr>
          <w:noProof/>
        </w:rPr>
        <w:t xml:space="preserve">Substances are considered for listing in Annex X to Directive 2000/60/EC or </w:t>
      </w:r>
      <w:r w:rsidR="00CE4577" w:rsidRPr="00FD620F">
        <w:rPr>
          <w:noProof/>
        </w:rPr>
        <w:t xml:space="preserve">in </w:t>
      </w:r>
      <w:r w:rsidR="00DC3DB7" w:rsidRPr="00FD620F">
        <w:rPr>
          <w:noProof/>
        </w:rPr>
        <w:t xml:space="preserve">Annex I or </w:t>
      </w:r>
      <w:r w:rsidR="008421B0" w:rsidRPr="00FD620F">
        <w:rPr>
          <w:noProof/>
        </w:rPr>
        <w:t>A</w:t>
      </w:r>
      <w:r w:rsidR="00CE4577" w:rsidRPr="00FD620F">
        <w:rPr>
          <w:noProof/>
        </w:rPr>
        <w:t xml:space="preserve">nnex </w:t>
      </w:r>
      <w:r w:rsidR="00DC3DB7" w:rsidRPr="00FD620F">
        <w:rPr>
          <w:noProof/>
        </w:rPr>
        <w:t xml:space="preserve">II to Directive 2006/118/EC based on </w:t>
      </w:r>
      <w:r w:rsidR="00674EA1" w:rsidRPr="00FD620F">
        <w:rPr>
          <w:noProof/>
        </w:rPr>
        <w:t xml:space="preserve">an assessment of </w:t>
      </w:r>
      <w:r w:rsidR="00DC3DB7" w:rsidRPr="00FD620F">
        <w:rPr>
          <w:noProof/>
        </w:rPr>
        <w:t>the risk they pose to humans and the aquatic environment. The key components of th</w:t>
      </w:r>
      <w:r w:rsidR="00674EA1" w:rsidRPr="00FD620F">
        <w:rPr>
          <w:noProof/>
        </w:rPr>
        <w:t>at</w:t>
      </w:r>
      <w:r w:rsidR="00DC3DB7" w:rsidRPr="00FD620F">
        <w:rPr>
          <w:noProof/>
        </w:rPr>
        <w:t xml:space="preserve"> assessment are</w:t>
      </w:r>
      <w:r w:rsidR="00E80366" w:rsidRPr="00FD620F">
        <w:rPr>
          <w:noProof/>
        </w:rPr>
        <w:t xml:space="preserve"> knowledge of the environmental concentrations of the substances, including </w:t>
      </w:r>
      <w:r w:rsidR="00CE4577" w:rsidRPr="00FD620F">
        <w:rPr>
          <w:noProof/>
        </w:rPr>
        <w:t xml:space="preserve">information collected </w:t>
      </w:r>
      <w:r w:rsidR="00E80366" w:rsidRPr="00FD620F">
        <w:rPr>
          <w:noProof/>
        </w:rPr>
        <w:t>from watch-list monitoring, and of the</w:t>
      </w:r>
      <w:r w:rsidR="00DC3DB7" w:rsidRPr="00FD620F">
        <w:rPr>
          <w:noProof/>
        </w:rPr>
        <w:t xml:space="preserve"> (eco)toxicolog</w:t>
      </w:r>
      <w:r w:rsidR="00E80366" w:rsidRPr="00FD620F">
        <w:rPr>
          <w:noProof/>
        </w:rPr>
        <w:t>y of the substances, as well as of their</w:t>
      </w:r>
      <w:r w:rsidR="00DC3DB7" w:rsidRPr="00FD620F">
        <w:rPr>
          <w:noProof/>
        </w:rPr>
        <w:t xml:space="preserve"> persistence, bioaccumulation, carcinogenicity, mutagenicity, reprotoxicity and endocrine disrupting potential. </w:t>
      </w:r>
    </w:p>
    <w:p w14:paraId="652C6D83" w14:textId="41BD915A" w:rsidR="00AF2EE4" w:rsidRPr="00FD620F" w:rsidRDefault="00312D4D" w:rsidP="00312D4D">
      <w:pPr>
        <w:pStyle w:val="ManualConsidrant"/>
        <w:rPr>
          <w:noProof/>
        </w:rPr>
      </w:pPr>
      <w:r w:rsidRPr="00312D4D">
        <w:t>(6)</w:t>
      </w:r>
      <w:r w:rsidRPr="00312D4D">
        <w:tab/>
      </w:r>
      <w:r w:rsidR="00AF2EE4" w:rsidRPr="00FD620F">
        <w:rPr>
          <w:noProof/>
        </w:rPr>
        <w:t>The Commission has conducted a review of the list of priority substances in</w:t>
      </w:r>
      <w:r w:rsidR="00AF2A87" w:rsidRPr="00FD620F">
        <w:rPr>
          <w:noProof/>
        </w:rPr>
        <w:t xml:space="preserve"> Annex X to Directive 2000/60/EC in</w:t>
      </w:r>
      <w:r w:rsidR="00AF2EE4" w:rsidRPr="00FD620F">
        <w:rPr>
          <w:noProof/>
        </w:rPr>
        <w:t xml:space="preserve"> accordance with Article 16(4) of </w:t>
      </w:r>
      <w:r w:rsidR="00AF2A87" w:rsidRPr="00FD620F">
        <w:rPr>
          <w:noProof/>
        </w:rPr>
        <w:t xml:space="preserve">that </w:t>
      </w:r>
      <w:r w:rsidR="00AF2EE4" w:rsidRPr="00FD620F">
        <w:rPr>
          <w:noProof/>
        </w:rPr>
        <w:t>Directive and with Article 8 of Directive 2008/105/EC</w:t>
      </w:r>
      <w:r w:rsidR="00AF2A87" w:rsidRPr="00FD620F">
        <w:rPr>
          <w:noProof/>
        </w:rPr>
        <w:t>,</w:t>
      </w:r>
      <w:r w:rsidR="00AF2EE4" w:rsidRPr="00FD620F">
        <w:rPr>
          <w:noProof/>
        </w:rPr>
        <w:t xml:space="preserve"> and </w:t>
      </w:r>
      <w:r w:rsidR="00AF2A87" w:rsidRPr="00FD620F">
        <w:rPr>
          <w:noProof/>
        </w:rPr>
        <w:t>a review of the list</w:t>
      </w:r>
      <w:r w:rsidR="00905051" w:rsidRPr="00FD620F">
        <w:rPr>
          <w:noProof/>
        </w:rPr>
        <w:t>s of substances</w:t>
      </w:r>
      <w:r w:rsidR="00AF2A87" w:rsidRPr="00FD620F">
        <w:rPr>
          <w:noProof/>
        </w:rPr>
        <w:t xml:space="preserve"> in Annexes I and II to Directive 2006/118/EC in accordance with </w:t>
      </w:r>
      <w:r w:rsidR="00AF2EE4" w:rsidRPr="00FD620F">
        <w:rPr>
          <w:noProof/>
        </w:rPr>
        <w:t xml:space="preserve">Article 10 of </w:t>
      </w:r>
      <w:r w:rsidR="00AF2A87" w:rsidRPr="00FD620F">
        <w:rPr>
          <w:noProof/>
        </w:rPr>
        <w:t xml:space="preserve">that </w:t>
      </w:r>
      <w:r w:rsidR="00AF2EE4" w:rsidRPr="00FD620F">
        <w:rPr>
          <w:noProof/>
        </w:rPr>
        <w:t xml:space="preserve">Directive and has </w:t>
      </w:r>
      <w:r w:rsidR="00905051" w:rsidRPr="00FD620F">
        <w:rPr>
          <w:noProof/>
        </w:rPr>
        <w:t>concluded</w:t>
      </w:r>
      <w:r w:rsidR="00167143" w:rsidRPr="00FD620F">
        <w:rPr>
          <w:noProof/>
        </w:rPr>
        <w:t>,</w:t>
      </w:r>
      <w:r w:rsidR="00E550AB" w:rsidRPr="00FD620F">
        <w:rPr>
          <w:noProof/>
        </w:rPr>
        <w:t xml:space="preserve"> in the light of new scientific knowledge</w:t>
      </w:r>
      <w:r w:rsidR="00167143" w:rsidRPr="00FD620F">
        <w:rPr>
          <w:noProof/>
        </w:rPr>
        <w:t>,</w:t>
      </w:r>
      <w:r w:rsidR="00AF2EE4" w:rsidRPr="00FD620F">
        <w:rPr>
          <w:noProof/>
        </w:rPr>
        <w:t xml:space="preserve"> that it is appropriate to amend th</w:t>
      </w:r>
      <w:r w:rsidR="00AF2A87" w:rsidRPr="00FD620F">
        <w:rPr>
          <w:noProof/>
        </w:rPr>
        <w:t>ose</w:t>
      </w:r>
      <w:r w:rsidR="00AF2EE4" w:rsidRPr="00FD620F">
        <w:rPr>
          <w:noProof/>
        </w:rPr>
        <w:t xml:space="preserve"> list</w:t>
      </w:r>
      <w:r w:rsidR="00AF2A87" w:rsidRPr="00FD620F">
        <w:rPr>
          <w:noProof/>
        </w:rPr>
        <w:t>s</w:t>
      </w:r>
      <w:r w:rsidR="00AF2EE4" w:rsidRPr="00FD620F">
        <w:rPr>
          <w:noProof/>
        </w:rPr>
        <w:t xml:space="preserve"> by </w:t>
      </w:r>
      <w:r w:rsidR="00905051" w:rsidRPr="00FD620F">
        <w:rPr>
          <w:noProof/>
        </w:rPr>
        <w:t xml:space="preserve">adding </w:t>
      </w:r>
      <w:r w:rsidR="00AF2EE4" w:rsidRPr="00FD620F">
        <w:rPr>
          <w:noProof/>
        </w:rPr>
        <w:t>new substances, setting EQS</w:t>
      </w:r>
      <w:r w:rsidR="00905051" w:rsidRPr="00FD620F">
        <w:rPr>
          <w:noProof/>
        </w:rPr>
        <w:t xml:space="preserve"> or groundwater quality standards</w:t>
      </w:r>
      <w:r w:rsidR="00AF2EE4" w:rsidRPr="00FD620F">
        <w:rPr>
          <w:noProof/>
        </w:rPr>
        <w:t xml:space="preserve"> for those newly </w:t>
      </w:r>
      <w:r w:rsidR="00905051" w:rsidRPr="00FD620F">
        <w:rPr>
          <w:noProof/>
        </w:rPr>
        <w:t>added</w:t>
      </w:r>
      <w:r w:rsidR="00AF2EE4" w:rsidRPr="00FD620F">
        <w:rPr>
          <w:noProof/>
        </w:rPr>
        <w:t xml:space="preserve"> substances, revising the EQS for some existing substances in line with scientific progress and setting biota EQS for some existing and newly </w:t>
      </w:r>
      <w:r w:rsidR="00905051" w:rsidRPr="00FD620F">
        <w:rPr>
          <w:noProof/>
        </w:rPr>
        <w:t>added</w:t>
      </w:r>
      <w:r w:rsidR="00AF2EE4" w:rsidRPr="00FD620F">
        <w:rPr>
          <w:noProof/>
        </w:rPr>
        <w:t xml:space="preserve"> substances.</w:t>
      </w:r>
      <w:r w:rsidR="00C817CA" w:rsidRPr="00FD620F">
        <w:rPr>
          <w:noProof/>
        </w:rPr>
        <w:t xml:space="preserve"> </w:t>
      </w:r>
      <w:r w:rsidR="00511B85" w:rsidRPr="00FD620F">
        <w:rPr>
          <w:noProof/>
        </w:rPr>
        <w:t xml:space="preserve">It has also identified which additional substances are likely to accumulate in sediment or biota, and clarified that trend monitoring of such substances should be conducted in </w:t>
      </w:r>
      <w:r w:rsidR="009C5058">
        <w:rPr>
          <w:noProof/>
        </w:rPr>
        <w:t>sediment or biota</w:t>
      </w:r>
      <w:r w:rsidR="00511B85" w:rsidRPr="00FD620F">
        <w:rPr>
          <w:noProof/>
        </w:rPr>
        <w:t xml:space="preserve">. </w:t>
      </w:r>
      <w:r w:rsidR="00C817CA" w:rsidRPr="00FD620F">
        <w:rPr>
          <w:noProof/>
        </w:rPr>
        <w:t>The review</w:t>
      </w:r>
      <w:r w:rsidR="00905051" w:rsidRPr="00FD620F">
        <w:rPr>
          <w:noProof/>
        </w:rPr>
        <w:t>s</w:t>
      </w:r>
      <w:r w:rsidR="00C817CA" w:rsidRPr="00FD620F">
        <w:rPr>
          <w:noProof/>
        </w:rPr>
        <w:t xml:space="preserve"> of the list</w:t>
      </w:r>
      <w:r w:rsidR="00905051" w:rsidRPr="00FD620F">
        <w:rPr>
          <w:noProof/>
        </w:rPr>
        <w:t>s of substances</w:t>
      </w:r>
      <w:r w:rsidR="00C817CA" w:rsidRPr="00FD620F">
        <w:rPr>
          <w:noProof/>
        </w:rPr>
        <w:t xml:space="preserve"> ha</w:t>
      </w:r>
      <w:r w:rsidR="00905051" w:rsidRPr="00FD620F">
        <w:rPr>
          <w:noProof/>
        </w:rPr>
        <w:t>ve</w:t>
      </w:r>
      <w:r w:rsidR="00C817CA" w:rsidRPr="00FD620F">
        <w:rPr>
          <w:noProof/>
        </w:rPr>
        <w:t xml:space="preserve"> been supported by an extensive consultation with experts from the Commission services, Member States, stakeholder</w:t>
      </w:r>
      <w:r w:rsidR="00905051" w:rsidRPr="00FD620F">
        <w:rPr>
          <w:noProof/>
        </w:rPr>
        <w:t xml:space="preserve"> groups</w:t>
      </w:r>
      <w:r w:rsidR="00C817CA" w:rsidRPr="00FD620F">
        <w:rPr>
          <w:noProof/>
        </w:rPr>
        <w:t xml:space="preserve"> and the Scientific Committee on Health</w:t>
      </w:r>
      <w:r w:rsidR="00905051" w:rsidRPr="00FD620F">
        <w:rPr>
          <w:noProof/>
        </w:rPr>
        <w:t>,</w:t>
      </w:r>
      <w:r w:rsidR="00C817CA" w:rsidRPr="00FD620F">
        <w:rPr>
          <w:noProof/>
        </w:rPr>
        <w:t xml:space="preserve"> Environmental</w:t>
      </w:r>
      <w:r w:rsidR="00905051" w:rsidRPr="00FD620F">
        <w:rPr>
          <w:noProof/>
        </w:rPr>
        <w:t xml:space="preserve"> and Emerging</w:t>
      </w:r>
      <w:r w:rsidR="00C817CA" w:rsidRPr="00FD620F">
        <w:rPr>
          <w:noProof/>
        </w:rPr>
        <w:t xml:space="preserve"> Risks.</w:t>
      </w:r>
    </w:p>
    <w:p w14:paraId="74721660" w14:textId="359C217D" w:rsidR="00E3706C" w:rsidRDefault="00312D4D" w:rsidP="00312D4D">
      <w:pPr>
        <w:pStyle w:val="ManualConsidrant"/>
        <w:rPr>
          <w:noProof/>
        </w:rPr>
      </w:pPr>
      <w:r w:rsidRPr="00312D4D">
        <w:t>(7)</w:t>
      </w:r>
      <w:r w:rsidRPr="00312D4D">
        <w:tab/>
      </w:r>
      <w:r w:rsidR="00E3706C" w:rsidRPr="00FD620F">
        <w:rPr>
          <w:noProof/>
        </w:rPr>
        <w:t>A combination of source-control and end-of-pipe measures is required to effectively deal with most pollutants across their life cycle, including, as relevant, chemical design, authorisation or approval, control of emissions during manufacturing and use or other processes, and waste handling. The setting of new or stricter quality standards in water bodies therefore complements and is coherent with other Union legislation that addresses or could address the pollution problem at one or more of those stages, including Regulation (EC) No 1907/2006 of the European Parliament and of the Council</w:t>
      </w:r>
      <w:r w:rsidR="00E3706C" w:rsidRPr="00FD620F">
        <w:rPr>
          <w:rStyle w:val="FootnoteReference"/>
          <w:noProof/>
        </w:rPr>
        <w:footnoteReference w:id="50"/>
      </w:r>
      <w:r w:rsidR="00E3706C" w:rsidRPr="00FD620F">
        <w:rPr>
          <w:noProof/>
        </w:rPr>
        <w:t>, Regulation (EC) No 1107/2009 of the European Parliament and of the Council</w:t>
      </w:r>
      <w:r w:rsidR="00E3706C" w:rsidRPr="00FD620F">
        <w:rPr>
          <w:rStyle w:val="FootnoteReference"/>
          <w:noProof/>
        </w:rPr>
        <w:footnoteReference w:id="51"/>
      </w:r>
      <w:r w:rsidR="00E3706C" w:rsidRPr="00FD620F">
        <w:rPr>
          <w:noProof/>
        </w:rPr>
        <w:t>, Regulation (EU) No 528/2012 of the European Parliament and of the Council</w:t>
      </w:r>
      <w:r w:rsidR="00E3706C" w:rsidRPr="00FD620F">
        <w:rPr>
          <w:rStyle w:val="FootnoteReference"/>
          <w:noProof/>
        </w:rPr>
        <w:footnoteReference w:id="52"/>
      </w:r>
      <w:r w:rsidR="00E3706C" w:rsidRPr="00FD620F">
        <w:rPr>
          <w:noProof/>
        </w:rPr>
        <w:t>, Regulation (EU) 2019/6 of the European Parliament and of the Council</w:t>
      </w:r>
      <w:r w:rsidR="00E3706C" w:rsidRPr="00FD620F">
        <w:rPr>
          <w:rStyle w:val="FootnoteReference"/>
          <w:noProof/>
        </w:rPr>
        <w:footnoteReference w:id="53"/>
      </w:r>
      <w:r w:rsidR="00E3706C" w:rsidRPr="00FD620F">
        <w:rPr>
          <w:noProof/>
        </w:rPr>
        <w:t>, Directive 2001/83/EC of the European Parliament and of the Council</w:t>
      </w:r>
      <w:r w:rsidR="00E3706C" w:rsidRPr="00FD620F">
        <w:rPr>
          <w:rStyle w:val="FootnoteReference"/>
          <w:noProof/>
        </w:rPr>
        <w:footnoteReference w:id="54"/>
      </w:r>
      <w:r w:rsidR="00E3706C" w:rsidRPr="00FD620F">
        <w:rPr>
          <w:noProof/>
        </w:rPr>
        <w:t>, Directive 2009/128/EC of the European Parliament and of the Council</w:t>
      </w:r>
      <w:r w:rsidR="00E3706C" w:rsidRPr="00FD620F">
        <w:rPr>
          <w:rStyle w:val="FootnoteReference"/>
          <w:noProof/>
        </w:rPr>
        <w:footnoteReference w:id="55"/>
      </w:r>
      <w:r w:rsidR="009C5058">
        <w:rPr>
          <w:noProof/>
        </w:rPr>
        <w:t xml:space="preserve">, </w:t>
      </w:r>
      <w:r w:rsidR="00E3706C" w:rsidRPr="00FD620F">
        <w:rPr>
          <w:noProof/>
        </w:rPr>
        <w:t>Directive 2010/75/EU of the European Parliament and of the Council</w:t>
      </w:r>
      <w:r w:rsidR="00E3706C" w:rsidRPr="00FD620F">
        <w:rPr>
          <w:rStyle w:val="FootnoteReference"/>
          <w:noProof/>
        </w:rPr>
        <w:footnoteReference w:id="56"/>
      </w:r>
      <w:r w:rsidR="00E3706C" w:rsidRPr="00FD620F">
        <w:rPr>
          <w:noProof/>
        </w:rPr>
        <w:t xml:space="preserve"> and Council Directive 91/271/EEC</w:t>
      </w:r>
      <w:r w:rsidR="00E3706C" w:rsidRPr="00FD620F">
        <w:rPr>
          <w:rStyle w:val="FootnoteReference"/>
          <w:noProof/>
        </w:rPr>
        <w:footnoteReference w:id="57"/>
      </w:r>
      <w:r w:rsidR="00E3706C" w:rsidRPr="00FD620F">
        <w:rPr>
          <w:noProof/>
        </w:rPr>
        <w:t xml:space="preserve">. </w:t>
      </w:r>
    </w:p>
    <w:p w14:paraId="57D14E45" w14:textId="39C42A6B" w:rsidR="004053CF" w:rsidRPr="00FD620F" w:rsidRDefault="00312D4D" w:rsidP="00312D4D">
      <w:pPr>
        <w:pStyle w:val="ManualConsidrant"/>
        <w:rPr>
          <w:noProof/>
        </w:rPr>
      </w:pPr>
      <w:r w:rsidRPr="00312D4D">
        <w:t>(8)</w:t>
      </w:r>
      <w:r w:rsidRPr="00312D4D">
        <w:tab/>
      </w:r>
      <w:r w:rsidR="004053CF" w:rsidRPr="00FD620F">
        <w:rPr>
          <w:noProof/>
        </w:rPr>
        <w:t xml:space="preserve">The </w:t>
      </w:r>
      <w:r w:rsidR="00E550AB" w:rsidRPr="00FD620F">
        <w:rPr>
          <w:noProof/>
        </w:rPr>
        <w:t xml:space="preserve">new </w:t>
      </w:r>
      <w:r w:rsidR="004053CF" w:rsidRPr="00FD620F">
        <w:rPr>
          <w:noProof/>
        </w:rPr>
        <w:t xml:space="preserve">scientific knowledge points to </w:t>
      </w:r>
      <w:r w:rsidR="00E550AB" w:rsidRPr="00FD620F">
        <w:rPr>
          <w:noProof/>
        </w:rPr>
        <w:t>a significant risk from</w:t>
      </w:r>
      <w:r w:rsidR="004053CF" w:rsidRPr="00FD620F">
        <w:rPr>
          <w:noProof/>
        </w:rPr>
        <w:t xml:space="preserve"> several other pollutants found in water bodies</w:t>
      </w:r>
      <w:r w:rsidR="00793F96" w:rsidRPr="00FD620F">
        <w:rPr>
          <w:noProof/>
        </w:rPr>
        <w:t xml:space="preserve">, in addition to those already regulated. </w:t>
      </w:r>
      <w:r w:rsidR="004053CF" w:rsidRPr="00FD620F">
        <w:rPr>
          <w:noProof/>
        </w:rPr>
        <w:t xml:space="preserve"> </w:t>
      </w:r>
      <w:r w:rsidR="009C4F0D" w:rsidRPr="00FD620F">
        <w:rPr>
          <w:noProof/>
        </w:rPr>
        <w:t>In groundwater, a particular</w:t>
      </w:r>
      <w:r w:rsidR="004053CF" w:rsidRPr="00FD620F">
        <w:rPr>
          <w:noProof/>
        </w:rPr>
        <w:t xml:space="preserve"> problem </w:t>
      </w:r>
      <w:r w:rsidR="009C4F0D" w:rsidRPr="00FD620F">
        <w:rPr>
          <w:noProof/>
        </w:rPr>
        <w:t>has been identified</w:t>
      </w:r>
      <w:r w:rsidR="00461110" w:rsidRPr="00FD620F">
        <w:rPr>
          <w:noProof/>
        </w:rPr>
        <w:t xml:space="preserve"> through voluntary monitoring</w:t>
      </w:r>
      <w:r w:rsidR="004053CF" w:rsidRPr="00FD620F">
        <w:rPr>
          <w:noProof/>
        </w:rPr>
        <w:t xml:space="preserve"> for </w:t>
      </w:r>
      <w:r w:rsidR="00AE5670" w:rsidRPr="00FD620F">
        <w:rPr>
          <w:noProof/>
        </w:rPr>
        <w:t>p</w:t>
      </w:r>
      <w:r w:rsidR="004053CF" w:rsidRPr="00FD620F">
        <w:rPr>
          <w:noProof/>
        </w:rPr>
        <w:t>er- and polyfluoroalkyl substances (PFAS) and pharmaceuticals. PFAS have been detected at more than 70% of the groundwater measuring points in the Union and existing national thresholds are clearly exceeded at a considerable number of locations</w:t>
      </w:r>
      <w:r w:rsidR="00461110" w:rsidRPr="00FD620F">
        <w:rPr>
          <w:noProof/>
        </w:rPr>
        <w:t>, and pharmaceutical substances are also widely found</w:t>
      </w:r>
      <w:r w:rsidR="004053CF" w:rsidRPr="00FD620F">
        <w:rPr>
          <w:noProof/>
        </w:rPr>
        <w:t xml:space="preserve">. </w:t>
      </w:r>
      <w:r w:rsidR="00461110" w:rsidRPr="00FD620F">
        <w:rPr>
          <w:noProof/>
        </w:rPr>
        <w:t>In</w:t>
      </w:r>
      <w:r w:rsidR="009C4F0D" w:rsidRPr="00FD620F">
        <w:rPr>
          <w:noProof/>
        </w:rPr>
        <w:t xml:space="preserve"> surface waters, perfluoro</w:t>
      </w:r>
      <w:r w:rsidR="00461110" w:rsidRPr="00FD620F">
        <w:rPr>
          <w:noProof/>
        </w:rPr>
        <w:t>octane sulfonic acid and its derivatives are already listed as priority substances, but other PFAS are now also recognised to pose a risk. Watch-list monitoring under Article 8b of Directive 2008/105/EC has confirmed a risk in surface waters from a number of p</w:t>
      </w:r>
      <w:r w:rsidR="004053CF" w:rsidRPr="00FD620F">
        <w:rPr>
          <w:noProof/>
        </w:rPr>
        <w:t xml:space="preserve">harmaceutical </w:t>
      </w:r>
      <w:r w:rsidR="00461110" w:rsidRPr="00FD620F">
        <w:rPr>
          <w:noProof/>
        </w:rPr>
        <w:t>substances which should therefore be added to the priority substances list</w:t>
      </w:r>
      <w:r w:rsidR="004053CF" w:rsidRPr="00FD620F">
        <w:rPr>
          <w:noProof/>
        </w:rPr>
        <w:t xml:space="preserve">. </w:t>
      </w:r>
    </w:p>
    <w:p w14:paraId="13B48E67" w14:textId="04E3FF42" w:rsidR="002B7922" w:rsidRPr="00FD620F" w:rsidRDefault="00312D4D" w:rsidP="00312D4D">
      <w:pPr>
        <w:pStyle w:val="ManualConsidrant"/>
        <w:rPr>
          <w:noProof/>
        </w:rPr>
      </w:pPr>
      <w:r w:rsidRPr="00312D4D">
        <w:t>(9)</w:t>
      </w:r>
      <w:r w:rsidRPr="00312D4D">
        <w:tab/>
      </w:r>
      <w:r w:rsidR="002B7922" w:rsidRPr="00FD620F">
        <w:rPr>
          <w:noProof/>
        </w:rPr>
        <w:t xml:space="preserve">Directive 2000/60/EC requires Member States to identify water bodies used for the abstraction of water intended for human consumption, to monitor them, and to take the necessary measures to avoid deterioration in their quality </w:t>
      </w:r>
      <w:r w:rsidR="00793F96" w:rsidRPr="00FD620F">
        <w:rPr>
          <w:noProof/>
        </w:rPr>
        <w:t xml:space="preserve">and  </w:t>
      </w:r>
      <w:r w:rsidR="002B7922" w:rsidRPr="00FD620F">
        <w:rPr>
          <w:noProof/>
        </w:rPr>
        <w:t>to reduce the level of purification treatment required in the production of water that is fit for human consumption. In this context, micro</w:t>
      </w:r>
      <w:r w:rsidR="00A933B1" w:rsidRPr="00FD620F">
        <w:rPr>
          <w:noProof/>
        </w:rPr>
        <w:t>-</w:t>
      </w:r>
      <w:r w:rsidR="002B7922" w:rsidRPr="00FD620F">
        <w:rPr>
          <w:noProof/>
        </w:rPr>
        <w:t>plastics have been identified as a potential risk to human health</w:t>
      </w:r>
      <w:r w:rsidR="008B7260" w:rsidRPr="00FD620F">
        <w:rPr>
          <w:noProof/>
        </w:rPr>
        <w:t xml:space="preserve">, but </w:t>
      </w:r>
      <w:r w:rsidR="00A538E2" w:rsidRPr="00FD620F">
        <w:rPr>
          <w:noProof/>
        </w:rPr>
        <w:t>more</w:t>
      </w:r>
      <w:r w:rsidR="008B7260" w:rsidRPr="00FD620F">
        <w:rPr>
          <w:noProof/>
        </w:rPr>
        <w:t xml:space="preserve"> monitoring data are required </w:t>
      </w:r>
      <w:r w:rsidR="00BB6E44" w:rsidRPr="00FD620F">
        <w:rPr>
          <w:noProof/>
        </w:rPr>
        <w:t xml:space="preserve">to confirm the need for </w:t>
      </w:r>
      <w:r w:rsidR="00793F96" w:rsidRPr="00FD620F">
        <w:rPr>
          <w:noProof/>
        </w:rPr>
        <w:t>setting an environmental quality standard for</w:t>
      </w:r>
      <w:r w:rsidR="00413F52" w:rsidRPr="00FD620F">
        <w:rPr>
          <w:noProof/>
        </w:rPr>
        <w:t xml:space="preserve"> micro-plastics in </w:t>
      </w:r>
      <w:r w:rsidR="008B7260" w:rsidRPr="00FD620F">
        <w:rPr>
          <w:noProof/>
        </w:rPr>
        <w:t xml:space="preserve">surface </w:t>
      </w:r>
      <w:r w:rsidR="00493588" w:rsidRPr="00FD620F">
        <w:rPr>
          <w:noProof/>
        </w:rPr>
        <w:t>and ground</w:t>
      </w:r>
      <w:r w:rsidR="008B7260" w:rsidRPr="00FD620F">
        <w:rPr>
          <w:noProof/>
        </w:rPr>
        <w:t>waters</w:t>
      </w:r>
      <w:r w:rsidR="002B7922" w:rsidRPr="00FD620F">
        <w:rPr>
          <w:noProof/>
        </w:rPr>
        <w:t>. Micro-plastics should therefore be included in the surface</w:t>
      </w:r>
      <w:r w:rsidR="00493588" w:rsidRPr="00FD620F">
        <w:rPr>
          <w:noProof/>
        </w:rPr>
        <w:t xml:space="preserve"> and groundwater </w:t>
      </w:r>
      <w:r w:rsidR="002B7922" w:rsidRPr="00FD620F">
        <w:rPr>
          <w:noProof/>
        </w:rPr>
        <w:t>watch list</w:t>
      </w:r>
      <w:r w:rsidR="00493588" w:rsidRPr="00FD620F">
        <w:rPr>
          <w:noProof/>
        </w:rPr>
        <w:t>s</w:t>
      </w:r>
      <w:r w:rsidR="002B7922" w:rsidRPr="00FD620F">
        <w:rPr>
          <w:noProof/>
        </w:rPr>
        <w:t xml:space="preserve"> </w:t>
      </w:r>
      <w:r w:rsidR="00493588" w:rsidRPr="00FD620F">
        <w:rPr>
          <w:noProof/>
        </w:rPr>
        <w:t>and s</w:t>
      </w:r>
      <w:r w:rsidR="00AA320A" w:rsidRPr="00FD620F">
        <w:rPr>
          <w:noProof/>
        </w:rPr>
        <w:t xml:space="preserve">hould be </w:t>
      </w:r>
      <w:r w:rsidR="002B7922" w:rsidRPr="00FD620F">
        <w:rPr>
          <w:noProof/>
        </w:rPr>
        <w:t xml:space="preserve">monitored as soon as </w:t>
      </w:r>
      <w:r w:rsidR="00793F96" w:rsidRPr="00FD620F">
        <w:rPr>
          <w:noProof/>
        </w:rPr>
        <w:t xml:space="preserve">the Commission </w:t>
      </w:r>
      <w:r w:rsidR="009C5058">
        <w:rPr>
          <w:noProof/>
        </w:rPr>
        <w:t>has</w:t>
      </w:r>
      <w:r w:rsidR="00793F96" w:rsidRPr="00FD620F">
        <w:rPr>
          <w:noProof/>
        </w:rPr>
        <w:t xml:space="preserve"> </w:t>
      </w:r>
      <w:r w:rsidR="009C5058">
        <w:rPr>
          <w:noProof/>
        </w:rPr>
        <w:t xml:space="preserve"> </w:t>
      </w:r>
      <w:r w:rsidR="00793F96" w:rsidRPr="00FD620F">
        <w:rPr>
          <w:noProof/>
        </w:rPr>
        <w:t xml:space="preserve">identified </w:t>
      </w:r>
      <w:r w:rsidR="002B7922" w:rsidRPr="00FD620F">
        <w:rPr>
          <w:noProof/>
        </w:rPr>
        <w:t xml:space="preserve">suitable monitoring methods. </w:t>
      </w:r>
      <w:r w:rsidR="00793F96" w:rsidRPr="00FD620F">
        <w:rPr>
          <w:noProof/>
        </w:rPr>
        <w:t xml:space="preserve">In this context </w:t>
      </w:r>
      <w:r w:rsidR="00413F52" w:rsidRPr="00FD620F">
        <w:rPr>
          <w:noProof/>
        </w:rPr>
        <w:t>, a</w:t>
      </w:r>
      <w:r w:rsidR="002B7922" w:rsidRPr="00FD620F">
        <w:rPr>
          <w:noProof/>
        </w:rPr>
        <w:t xml:space="preserve">ccount should be taken of the methodologies </w:t>
      </w:r>
      <w:r w:rsidR="00AA320A" w:rsidRPr="00FD620F">
        <w:rPr>
          <w:noProof/>
        </w:rPr>
        <w:t xml:space="preserve">for monitoring and assessing the risks </w:t>
      </w:r>
      <w:r w:rsidR="009C5058">
        <w:rPr>
          <w:noProof/>
        </w:rPr>
        <w:t>from</w:t>
      </w:r>
      <w:r w:rsidR="00AA320A" w:rsidRPr="00FD620F">
        <w:rPr>
          <w:noProof/>
        </w:rPr>
        <w:t xml:space="preserve"> micro-plastics in drinking water, </w:t>
      </w:r>
      <w:r w:rsidR="002B7922" w:rsidRPr="00FD620F">
        <w:rPr>
          <w:noProof/>
        </w:rPr>
        <w:t xml:space="preserve">developed </w:t>
      </w:r>
      <w:r w:rsidR="00AA320A" w:rsidRPr="00FD620F">
        <w:rPr>
          <w:noProof/>
        </w:rPr>
        <w:t>under</w:t>
      </w:r>
      <w:r w:rsidR="002B7922" w:rsidRPr="00FD620F">
        <w:rPr>
          <w:noProof/>
        </w:rPr>
        <w:t xml:space="preserve"> Directive (EU) 2020/2184</w:t>
      </w:r>
      <w:r w:rsidR="00C42577" w:rsidRPr="00FD620F">
        <w:rPr>
          <w:noProof/>
        </w:rPr>
        <w:t xml:space="preserve"> of the European Parliament and of the Council</w:t>
      </w:r>
      <w:r w:rsidR="00C42577" w:rsidRPr="00FD620F">
        <w:rPr>
          <w:rStyle w:val="FootnoteReference"/>
          <w:noProof/>
        </w:rPr>
        <w:footnoteReference w:id="58"/>
      </w:r>
      <w:r w:rsidR="002B7922" w:rsidRPr="00FD620F">
        <w:rPr>
          <w:noProof/>
        </w:rPr>
        <w:t xml:space="preserve">. </w:t>
      </w:r>
    </w:p>
    <w:p w14:paraId="10C7B706" w14:textId="5A297E6D" w:rsidR="00C96221" w:rsidRPr="00FD620F" w:rsidRDefault="00312D4D" w:rsidP="00312D4D">
      <w:pPr>
        <w:pStyle w:val="ManualConsidrant"/>
        <w:rPr>
          <w:noProof/>
        </w:rPr>
      </w:pPr>
      <w:r w:rsidRPr="00312D4D">
        <w:t>(10)</w:t>
      </w:r>
      <w:r w:rsidRPr="00312D4D">
        <w:tab/>
      </w:r>
      <w:r w:rsidR="00C96221" w:rsidRPr="00FD620F">
        <w:rPr>
          <w:noProof/>
        </w:rPr>
        <w:t>Concern has been expressed about the risk of antimicrobial resistance developing from the presence of antimicrobial resistant microorganisms and antimicrobial resistance genes in the aquatic environment,</w:t>
      </w:r>
      <w:r w:rsidR="00EF2AB9" w:rsidRPr="00FD620F">
        <w:rPr>
          <w:noProof/>
        </w:rPr>
        <w:t xml:space="preserve"> </w:t>
      </w:r>
      <w:r w:rsidR="00C96221" w:rsidRPr="00FD620F">
        <w:rPr>
          <w:noProof/>
        </w:rPr>
        <w:t>but little monitoring has taken place. Relevant antimicrobial re</w:t>
      </w:r>
      <w:r w:rsidR="00167143" w:rsidRPr="00FD620F">
        <w:rPr>
          <w:noProof/>
        </w:rPr>
        <w:t>s</w:t>
      </w:r>
      <w:r w:rsidR="00C96221" w:rsidRPr="00FD620F">
        <w:rPr>
          <w:noProof/>
        </w:rPr>
        <w:t>istance genes should also be included in the surface</w:t>
      </w:r>
      <w:r w:rsidR="00D155DE" w:rsidRPr="00FD620F">
        <w:rPr>
          <w:noProof/>
        </w:rPr>
        <w:t xml:space="preserve"> and ground </w:t>
      </w:r>
      <w:r w:rsidR="00C96221" w:rsidRPr="00FD620F">
        <w:rPr>
          <w:noProof/>
        </w:rPr>
        <w:t>water watch list</w:t>
      </w:r>
      <w:r w:rsidR="00D155DE" w:rsidRPr="00FD620F">
        <w:rPr>
          <w:noProof/>
        </w:rPr>
        <w:t>s</w:t>
      </w:r>
      <w:r w:rsidR="00C96221" w:rsidRPr="00FD620F">
        <w:rPr>
          <w:noProof/>
        </w:rPr>
        <w:t xml:space="preserve"> and monitored as soon as suitable monitoring methods have been developed.</w:t>
      </w:r>
      <w:r w:rsidR="00FB1C5D" w:rsidRPr="00FD620F">
        <w:rPr>
          <w:noProof/>
        </w:rPr>
        <w:t xml:space="preserve"> This </w:t>
      </w:r>
      <w:r w:rsidR="000E1125" w:rsidRPr="00FD620F">
        <w:rPr>
          <w:noProof/>
        </w:rPr>
        <w:t>is in line with</w:t>
      </w:r>
      <w:r w:rsidR="00FB1C5D" w:rsidRPr="00FD620F">
        <w:rPr>
          <w:noProof/>
        </w:rPr>
        <w:t xml:space="preserve"> the 'European One Health Action Plan against Antimicrobial Resistance</w:t>
      </w:r>
      <w:r w:rsidR="00A30EFB" w:rsidRPr="00FD620F">
        <w:rPr>
          <w:noProof/>
        </w:rPr>
        <w:t>’</w:t>
      </w:r>
      <w:r w:rsidR="00FB1C5D" w:rsidRPr="00FD620F">
        <w:rPr>
          <w:noProof/>
        </w:rPr>
        <w:t xml:space="preserve">, adopted by the Commission in June 2017, </w:t>
      </w:r>
      <w:r w:rsidR="00663424" w:rsidRPr="00FD620F">
        <w:rPr>
          <w:noProof/>
        </w:rPr>
        <w:t>and</w:t>
      </w:r>
      <w:r w:rsidR="00663424" w:rsidRPr="00FD620F">
        <w:rPr>
          <w:noProof/>
          <w:lang w:val="en-IE"/>
        </w:rPr>
        <w:t xml:space="preserve"> </w:t>
      </w:r>
      <w:r w:rsidR="00FB1C5D" w:rsidRPr="00FD620F">
        <w:rPr>
          <w:noProof/>
        </w:rPr>
        <w:t>with the Pharmaceutical Strategy for Europe</w:t>
      </w:r>
      <w:r w:rsidR="00FB2ADB" w:rsidRPr="00FD620F">
        <w:rPr>
          <w:noProof/>
        </w:rPr>
        <w:t>,</w:t>
      </w:r>
      <w:r w:rsidR="00A30EFB" w:rsidRPr="00FD620F">
        <w:rPr>
          <w:noProof/>
        </w:rPr>
        <w:t xml:space="preserve"> which also addresses this concern.</w:t>
      </w:r>
    </w:p>
    <w:p w14:paraId="58C51E18" w14:textId="61A6E198" w:rsidR="00A538E2" w:rsidRPr="00FD620F" w:rsidRDefault="00312D4D" w:rsidP="00312D4D">
      <w:pPr>
        <w:pStyle w:val="ManualConsidrant"/>
        <w:rPr>
          <w:noProof/>
        </w:rPr>
      </w:pPr>
      <w:r w:rsidRPr="00312D4D">
        <w:t>(11)</w:t>
      </w:r>
      <w:r w:rsidRPr="00312D4D">
        <w:tab/>
      </w:r>
      <w:r w:rsidR="006979B3" w:rsidRPr="00FD620F">
        <w:rPr>
          <w:noProof/>
        </w:rPr>
        <w:t>Considering the growing awareness of the relevance of mixtures</w:t>
      </w:r>
      <w:r w:rsidR="00135039" w:rsidRPr="00FD620F">
        <w:rPr>
          <w:noProof/>
        </w:rPr>
        <w:t xml:space="preserve"> and therefore of effect</w:t>
      </w:r>
      <w:r w:rsidR="009C5058">
        <w:rPr>
          <w:noProof/>
        </w:rPr>
        <w:t>-</w:t>
      </w:r>
      <w:r w:rsidR="00135039" w:rsidRPr="00FD620F">
        <w:rPr>
          <w:noProof/>
        </w:rPr>
        <w:t xml:space="preserve">based monitoring </w:t>
      </w:r>
      <w:r w:rsidR="00C42457" w:rsidRPr="00FD620F">
        <w:rPr>
          <w:noProof/>
        </w:rPr>
        <w:t xml:space="preserve">for </w:t>
      </w:r>
      <w:r w:rsidR="00793F96" w:rsidRPr="00FD620F">
        <w:rPr>
          <w:noProof/>
        </w:rPr>
        <w:t>determining chemical status</w:t>
      </w:r>
      <w:r w:rsidR="00135039" w:rsidRPr="00FD620F">
        <w:rPr>
          <w:noProof/>
        </w:rPr>
        <w:t xml:space="preserve">, </w:t>
      </w:r>
      <w:r w:rsidR="00793F96" w:rsidRPr="00FD620F">
        <w:rPr>
          <w:noProof/>
        </w:rPr>
        <w:t xml:space="preserve"> and considering that sufficiently robust effect-based monitoring methods </w:t>
      </w:r>
      <w:r w:rsidR="00135039" w:rsidRPr="00FD620F">
        <w:rPr>
          <w:noProof/>
        </w:rPr>
        <w:t xml:space="preserve">already exist for </w:t>
      </w:r>
      <w:r w:rsidR="00793F96" w:rsidRPr="00FD620F">
        <w:rPr>
          <w:noProof/>
        </w:rPr>
        <w:t>estrogenic substances</w:t>
      </w:r>
      <w:r w:rsidR="006979B3" w:rsidRPr="00FD620F">
        <w:rPr>
          <w:noProof/>
        </w:rPr>
        <w:t xml:space="preserve">, Member States should apply such methods </w:t>
      </w:r>
      <w:r w:rsidR="00135039" w:rsidRPr="00FD620F">
        <w:rPr>
          <w:noProof/>
        </w:rPr>
        <w:t xml:space="preserve">to assess the cumulative effects of </w:t>
      </w:r>
      <w:r w:rsidR="009C5058">
        <w:rPr>
          <w:noProof/>
        </w:rPr>
        <w:t>estrogenic</w:t>
      </w:r>
      <w:r w:rsidR="00135039" w:rsidRPr="00FD620F">
        <w:rPr>
          <w:noProof/>
        </w:rPr>
        <w:t xml:space="preserve"> substances </w:t>
      </w:r>
      <w:r w:rsidR="006979B3" w:rsidRPr="00FD620F">
        <w:rPr>
          <w:noProof/>
        </w:rPr>
        <w:t>in surface waters over a period of at least two years</w:t>
      </w:r>
      <w:r w:rsidR="009647DD" w:rsidRPr="00FD620F">
        <w:rPr>
          <w:noProof/>
        </w:rPr>
        <w:t>. This will allow</w:t>
      </w:r>
      <w:r w:rsidR="0097013A" w:rsidRPr="00FD620F">
        <w:rPr>
          <w:noProof/>
        </w:rPr>
        <w:t xml:space="preserve"> the comparison of effect-based</w:t>
      </w:r>
      <w:r w:rsidR="009647DD" w:rsidRPr="00FD620F">
        <w:rPr>
          <w:noProof/>
        </w:rPr>
        <w:t xml:space="preserve"> results </w:t>
      </w:r>
      <w:r w:rsidR="006979B3" w:rsidRPr="00FD620F">
        <w:rPr>
          <w:noProof/>
        </w:rPr>
        <w:t xml:space="preserve">with the </w:t>
      </w:r>
      <w:r w:rsidR="009647DD" w:rsidRPr="00FD620F">
        <w:rPr>
          <w:noProof/>
        </w:rPr>
        <w:t xml:space="preserve">results </w:t>
      </w:r>
      <w:r w:rsidR="009C5058">
        <w:rPr>
          <w:noProof/>
        </w:rPr>
        <w:t>obtained</w:t>
      </w:r>
      <w:r w:rsidR="009647DD" w:rsidRPr="00FD620F">
        <w:rPr>
          <w:noProof/>
        </w:rPr>
        <w:t xml:space="preserve"> </w:t>
      </w:r>
      <w:r w:rsidR="0097013A" w:rsidRPr="00FD620F">
        <w:rPr>
          <w:noProof/>
        </w:rPr>
        <w:t>using the</w:t>
      </w:r>
      <w:r w:rsidR="009647DD" w:rsidRPr="00FD620F">
        <w:rPr>
          <w:noProof/>
        </w:rPr>
        <w:t xml:space="preserve"> </w:t>
      </w:r>
      <w:r w:rsidR="006979B3" w:rsidRPr="00FD620F">
        <w:rPr>
          <w:noProof/>
        </w:rPr>
        <w:t xml:space="preserve">conventional methods for monitoring </w:t>
      </w:r>
      <w:r w:rsidR="009647DD" w:rsidRPr="00FD620F">
        <w:rPr>
          <w:noProof/>
        </w:rPr>
        <w:t>the three</w:t>
      </w:r>
      <w:r w:rsidR="006979B3" w:rsidRPr="00FD620F">
        <w:rPr>
          <w:noProof/>
        </w:rPr>
        <w:t xml:space="preserve"> estrogenic </w:t>
      </w:r>
      <w:r w:rsidR="009647DD" w:rsidRPr="00FD620F">
        <w:rPr>
          <w:noProof/>
        </w:rPr>
        <w:t xml:space="preserve">substances listed in Annex I to Directive 2008/105/EC. </w:t>
      </w:r>
      <w:r w:rsidR="009C5058">
        <w:rPr>
          <w:noProof/>
        </w:rPr>
        <w:t xml:space="preserve">That comparison will be used to assess whether </w:t>
      </w:r>
      <w:r w:rsidR="009647DD" w:rsidRPr="00FD620F">
        <w:rPr>
          <w:noProof/>
        </w:rPr>
        <w:t>effect-based monitoring methods</w:t>
      </w:r>
      <w:r w:rsidR="00135039" w:rsidRPr="00FD620F">
        <w:rPr>
          <w:noProof/>
        </w:rPr>
        <w:t xml:space="preserve"> </w:t>
      </w:r>
      <w:r w:rsidR="009C5058">
        <w:rPr>
          <w:noProof/>
        </w:rPr>
        <w:t xml:space="preserve">may be used </w:t>
      </w:r>
      <w:r w:rsidR="00135039" w:rsidRPr="00FD620F">
        <w:rPr>
          <w:noProof/>
        </w:rPr>
        <w:t>as</w:t>
      </w:r>
      <w:r w:rsidR="009C5058">
        <w:rPr>
          <w:noProof/>
        </w:rPr>
        <w:t xml:space="preserve"> </w:t>
      </w:r>
      <w:r w:rsidR="00135039" w:rsidRPr="00FD620F">
        <w:rPr>
          <w:noProof/>
        </w:rPr>
        <w:t>reliable screening method</w:t>
      </w:r>
      <w:r w:rsidR="009C5058">
        <w:rPr>
          <w:noProof/>
        </w:rPr>
        <w:t>s</w:t>
      </w:r>
      <w:r w:rsidR="00135039" w:rsidRPr="00FD620F">
        <w:rPr>
          <w:noProof/>
        </w:rPr>
        <w:t xml:space="preserve">. </w:t>
      </w:r>
      <w:r w:rsidR="009C5058">
        <w:rPr>
          <w:noProof/>
        </w:rPr>
        <w:t xml:space="preserve">Using </w:t>
      </w:r>
      <w:r w:rsidR="00135039" w:rsidRPr="00FD620F">
        <w:rPr>
          <w:noProof/>
        </w:rPr>
        <w:t>such screening method</w:t>
      </w:r>
      <w:r w:rsidR="009C5058">
        <w:rPr>
          <w:noProof/>
        </w:rPr>
        <w:t>s</w:t>
      </w:r>
      <w:r w:rsidR="00135039" w:rsidRPr="00FD620F">
        <w:rPr>
          <w:noProof/>
        </w:rPr>
        <w:t xml:space="preserve"> would </w:t>
      </w:r>
      <w:r w:rsidR="009C5058">
        <w:rPr>
          <w:noProof/>
        </w:rPr>
        <w:t xml:space="preserve">have the advantage of allowing </w:t>
      </w:r>
      <w:r w:rsidR="00135039" w:rsidRPr="00FD620F">
        <w:rPr>
          <w:noProof/>
        </w:rPr>
        <w:t xml:space="preserve">the effects of </w:t>
      </w:r>
      <w:r w:rsidR="009647DD" w:rsidRPr="00FD620F">
        <w:rPr>
          <w:noProof/>
        </w:rPr>
        <w:t>all estrogenic substances</w:t>
      </w:r>
      <w:r w:rsidR="00135039" w:rsidRPr="00FD620F">
        <w:rPr>
          <w:noProof/>
        </w:rPr>
        <w:t xml:space="preserve"> having similar effects</w:t>
      </w:r>
      <w:r w:rsidR="009647DD" w:rsidRPr="00FD620F">
        <w:rPr>
          <w:noProof/>
        </w:rPr>
        <w:t xml:space="preserve"> </w:t>
      </w:r>
      <w:r w:rsidR="009C5058">
        <w:rPr>
          <w:noProof/>
        </w:rPr>
        <w:t xml:space="preserve">to be covered, </w:t>
      </w:r>
      <w:r w:rsidR="009647DD" w:rsidRPr="00FD620F">
        <w:rPr>
          <w:noProof/>
        </w:rPr>
        <w:t>and not only those listed in Annex I to Directive 2008/105/EC</w:t>
      </w:r>
      <w:r w:rsidR="00135039" w:rsidRPr="00FD620F">
        <w:rPr>
          <w:noProof/>
        </w:rPr>
        <w:t>.</w:t>
      </w:r>
      <w:r w:rsidR="00CB3EB5" w:rsidRPr="00FD620F">
        <w:rPr>
          <w:noProof/>
        </w:rPr>
        <w:t xml:space="preserve"> The </w:t>
      </w:r>
      <w:r w:rsidR="008D3A77" w:rsidRPr="00FD620F">
        <w:rPr>
          <w:noProof/>
        </w:rPr>
        <w:t xml:space="preserve">definition of EQS in Directive 2000/60/EC </w:t>
      </w:r>
      <w:r w:rsidR="00CB3EB5" w:rsidRPr="00FD620F">
        <w:rPr>
          <w:noProof/>
        </w:rPr>
        <w:t xml:space="preserve">should be </w:t>
      </w:r>
      <w:r w:rsidR="009647DD" w:rsidRPr="00FD620F">
        <w:rPr>
          <w:noProof/>
        </w:rPr>
        <w:t xml:space="preserve">modified to ensure that it </w:t>
      </w:r>
      <w:r w:rsidR="00360D50" w:rsidRPr="00FD620F">
        <w:rPr>
          <w:noProof/>
        </w:rPr>
        <w:t xml:space="preserve">may, in the future, </w:t>
      </w:r>
      <w:r w:rsidR="009647DD" w:rsidRPr="00FD620F">
        <w:rPr>
          <w:noProof/>
        </w:rPr>
        <w:t xml:space="preserve">also cover </w:t>
      </w:r>
      <w:r w:rsidR="00CB3EB5" w:rsidRPr="00FD620F">
        <w:rPr>
          <w:noProof/>
        </w:rPr>
        <w:t xml:space="preserve"> trigger values that might be set for </w:t>
      </w:r>
      <w:r w:rsidR="009647DD" w:rsidRPr="00FD620F">
        <w:rPr>
          <w:noProof/>
        </w:rPr>
        <w:t>assessing</w:t>
      </w:r>
      <w:r w:rsidR="00CB3EB5" w:rsidRPr="00FD620F">
        <w:rPr>
          <w:noProof/>
        </w:rPr>
        <w:t xml:space="preserve"> the results of effect-based monitoring.</w:t>
      </w:r>
    </w:p>
    <w:p w14:paraId="1D207269" w14:textId="770A4FDE" w:rsidR="00A01865" w:rsidRPr="00FD620F" w:rsidRDefault="00312D4D" w:rsidP="00312D4D">
      <w:pPr>
        <w:pStyle w:val="ManualConsidrant"/>
        <w:rPr>
          <w:noProof/>
        </w:rPr>
      </w:pPr>
      <w:r w:rsidRPr="00312D4D">
        <w:t>(12)</w:t>
      </w:r>
      <w:r w:rsidRPr="00312D4D">
        <w:tab/>
      </w:r>
      <w:r w:rsidR="006A722E" w:rsidRPr="00FD620F">
        <w:rPr>
          <w:noProof/>
        </w:rPr>
        <w:t>The evaluation of U</w:t>
      </w:r>
      <w:r w:rsidR="00094939" w:rsidRPr="00FD620F">
        <w:rPr>
          <w:noProof/>
        </w:rPr>
        <w:t>nion</w:t>
      </w:r>
      <w:r w:rsidR="006A722E" w:rsidRPr="00FD620F">
        <w:rPr>
          <w:noProof/>
        </w:rPr>
        <w:t xml:space="preserve"> water l</w:t>
      </w:r>
      <w:r w:rsidR="00EF5BDA" w:rsidRPr="00FD620F">
        <w:rPr>
          <w:noProof/>
        </w:rPr>
        <w:t>egislation</w:t>
      </w:r>
      <w:r w:rsidR="007147AD" w:rsidRPr="00FD620F">
        <w:rPr>
          <w:rStyle w:val="FootnoteReference"/>
          <w:noProof/>
        </w:rPr>
        <w:footnoteReference w:id="59"/>
      </w:r>
      <w:r w:rsidR="00EF5BDA" w:rsidRPr="00FD620F">
        <w:rPr>
          <w:noProof/>
        </w:rPr>
        <w:t xml:space="preserve"> (the ‘evaluation’)</w:t>
      </w:r>
      <w:r w:rsidR="006A722E" w:rsidRPr="00FD620F">
        <w:rPr>
          <w:noProof/>
        </w:rPr>
        <w:t xml:space="preserve"> concluded that</w:t>
      </w:r>
      <w:r w:rsidR="001B4A31" w:rsidRPr="00FD620F">
        <w:rPr>
          <w:noProof/>
        </w:rPr>
        <w:t xml:space="preserve"> </w:t>
      </w:r>
      <w:r w:rsidR="006A722E" w:rsidRPr="00FD620F">
        <w:rPr>
          <w:noProof/>
        </w:rPr>
        <w:t xml:space="preserve">the process for identifying </w:t>
      </w:r>
      <w:r w:rsidR="007147AD" w:rsidRPr="00FD620F">
        <w:rPr>
          <w:noProof/>
        </w:rPr>
        <w:t xml:space="preserve">and </w:t>
      </w:r>
      <w:r w:rsidR="00976B7F" w:rsidRPr="00FD620F">
        <w:rPr>
          <w:noProof/>
        </w:rPr>
        <w:t>listing</w:t>
      </w:r>
      <w:r w:rsidR="007147AD" w:rsidRPr="00FD620F">
        <w:rPr>
          <w:noProof/>
        </w:rPr>
        <w:t xml:space="preserve"> </w:t>
      </w:r>
      <w:r w:rsidR="006A722E" w:rsidRPr="00FD620F">
        <w:rPr>
          <w:noProof/>
        </w:rPr>
        <w:t>pollutants</w:t>
      </w:r>
      <w:r w:rsidR="007147AD" w:rsidRPr="00FD620F">
        <w:rPr>
          <w:noProof/>
        </w:rPr>
        <w:t xml:space="preserve"> affecting surface and groundwater a</w:t>
      </w:r>
      <w:r w:rsidR="006A722E" w:rsidRPr="00FD620F">
        <w:rPr>
          <w:noProof/>
        </w:rPr>
        <w:t xml:space="preserve">nd </w:t>
      </w:r>
      <w:r w:rsidR="00976B7F" w:rsidRPr="00FD620F">
        <w:rPr>
          <w:noProof/>
        </w:rPr>
        <w:t>setting or revising quality standards for them in the light of new scientific knowledge could be</w:t>
      </w:r>
      <w:r w:rsidR="001B4A31" w:rsidRPr="00FD620F">
        <w:rPr>
          <w:noProof/>
        </w:rPr>
        <w:t xml:space="preserve"> accelerate</w:t>
      </w:r>
      <w:r w:rsidR="00976B7F" w:rsidRPr="00FD620F">
        <w:rPr>
          <w:noProof/>
        </w:rPr>
        <w:t>d</w:t>
      </w:r>
      <w:r w:rsidR="007147AD" w:rsidRPr="00FD620F">
        <w:rPr>
          <w:noProof/>
        </w:rPr>
        <w:t xml:space="preserve">. </w:t>
      </w:r>
      <w:r w:rsidR="00E64CEB" w:rsidRPr="00FD620F">
        <w:rPr>
          <w:noProof/>
        </w:rPr>
        <w:t>If those tasks were to be carried out by the Commission, rather than in the framework of the ordinary legislative procedure</w:t>
      </w:r>
      <w:r w:rsidR="004A5B50" w:rsidRPr="00FD620F">
        <w:rPr>
          <w:noProof/>
        </w:rPr>
        <w:t xml:space="preserve"> as currently provided for in Articles 16 and 17 of Directive 2000/60/EC and Article 10 of Directive 2006/118/EC, </w:t>
      </w:r>
      <w:r w:rsidR="00E64CEB" w:rsidRPr="00FD620F">
        <w:rPr>
          <w:noProof/>
        </w:rPr>
        <w:t>t</w:t>
      </w:r>
      <w:r w:rsidR="00770A97" w:rsidRPr="00FD620F">
        <w:rPr>
          <w:noProof/>
        </w:rPr>
        <w:t>he functioning of the surface and groundwater watch-list mechanisms</w:t>
      </w:r>
      <w:r w:rsidR="00CA77F6" w:rsidRPr="00FD620F">
        <w:rPr>
          <w:noProof/>
        </w:rPr>
        <w:t xml:space="preserve">, in particular in terms of </w:t>
      </w:r>
      <w:r w:rsidR="005D1974" w:rsidRPr="00FD620F">
        <w:rPr>
          <w:noProof/>
        </w:rPr>
        <w:t xml:space="preserve">timing and </w:t>
      </w:r>
      <w:r w:rsidR="00CA77F6" w:rsidRPr="00FD620F">
        <w:rPr>
          <w:noProof/>
        </w:rPr>
        <w:t>sequenc</w:t>
      </w:r>
      <w:r w:rsidR="009C5058">
        <w:rPr>
          <w:noProof/>
        </w:rPr>
        <w:t>e</w:t>
      </w:r>
      <w:r w:rsidR="005D1974" w:rsidRPr="00FD620F">
        <w:rPr>
          <w:noProof/>
        </w:rPr>
        <w:t xml:space="preserve"> </w:t>
      </w:r>
      <w:r w:rsidR="00CA77F6" w:rsidRPr="00FD620F">
        <w:rPr>
          <w:noProof/>
        </w:rPr>
        <w:t>of listing, monitoring and assessing results, could be improved</w:t>
      </w:r>
      <w:r w:rsidR="004C3841" w:rsidRPr="00FD620F">
        <w:rPr>
          <w:noProof/>
        </w:rPr>
        <w:t xml:space="preserve">, </w:t>
      </w:r>
      <w:r w:rsidR="00770A97" w:rsidRPr="00FD620F">
        <w:rPr>
          <w:noProof/>
        </w:rPr>
        <w:t xml:space="preserve">the links </w:t>
      </w:r>
      <w:r w:rsidR="00CA77F6" w:rsidRPr="00FD620F">
        <w:rPr>
          <w:noProof/>
        </w:rPr>
        <w:t xml:space="preserve">between the watch-list mechanism and the </w:t>
      </w:r>
      <w:r w:rsidR="00770A97" w:rsidRPr="00FD620F">
        <w:rPr>
          <w:noProof/>
        </w:rPr>
        <w:t xml:space="preserve">reviews of the lists of pollutants could be </w:t>
      </w:r>
      <w:r w:rsidR="00CA77F6" w:rsidRPr="00FD620F">
        <w:rPr>
          <w:noProof/>
        </w:rPr>
        <w:t>strengthened</w:t>
      </w:r>
      <w:r w:rsidR="004C3841" w:rsidRPr="00FD620F">
        <w:rPr>
          <w:noProof/>
        </w:rPr>
        <w:t>,</w:t>
      </w:r>
      <w:r w:rsidR="00CA77F6" w:rsidRPr="00FD620F">
        <w:rPr>
          <w:noProof/>
        </w:rPr>
        <w:t xml:space="preserve"> </w:t>
      </w:r>
      <w:r w:rsidR="00770A97" w:rsidRPr="00FD620F">
        <w:rPr>
          <w:noProof/>
        </w:rPr>
        <w:t>and c</w:t>
      </w:r>
      <w:r w:rsidR="008D115B" w:rsidRPr="00FD620F">
        <w:rPr>
          <w:noProof/>
        </w:rPr>
        <w:t xml:space="preserve">hanges to the lists </w:t>
      </w:r>
      <w:r w:rsidR="004C3841" w:rsidRPr="00FD620F">
        <w:rPr>
          <w:noProof/>
        </w:rPr>
        <w:t xml:space="preserve">of pollutants </w:t>
      </w:r>
      <w:r w:rsidR="008D115B" w:rsidRPr="00FD620F">
        <w:rPr>
          <w:noProof/>
        </w:rPr>
        <w:t>could</w:t>
      </w:r>
      <w:r w:rsidR="00CA77F6" w:rsidRPr="00FD620F">
        <w:rPr>
          <w:noProof/>
        </w:rPr>
        <w:t xml:space="preserve"> take account of scientific progress </w:t>
      </w:r>
      <w:r w:rsidR="008D115B" w:rsidRPr="00FD620F">
        <w:rPr>
          <w:noProof/>
        </w:rPr>
        <w:t xml:space="preserve">more </w:t>
      </w:r>
      <w:r w:rsidR="00CA77F6" w:rsidRPr="00FD620F">
        <w:rPr>
          <w:noProof/>
        </w:rPr>
        <w:t>swiftly</w:t>
      </w:r>
      <w:r w:rsidR="00E64CEB" w:rsidRPr="00FD620F">
        <w:rPr>
          <w:noProof/>
        </w:rPr>
        <w:t xml:space="preserve">. </w:t>
      </w:r>
      <w:r w:rsidR="00096997" w:rsidRPr="00FD620F">
        <w:rPr>
          <w:noProof/>
        </w:rPr>
        <w:t xml:space="preserve">Therefore, and given the need to amend the lists of pollutants </w:t>
      </w:r>
      <w:r w:rsidR="00031A7A" w:rsidRPr="00FD620F">
        <w:rPr>
          <w:noProof/>
        </w:rPr>
        <w:t xml:space="preserve">and their EQS </w:t>
      </w:r>
      <w:r w:rsidR="00096997" w:rsidRPr="00FD620F">
        <w:rPr>
          <w:noProof/>
        </w:rPr>
        <w:t xml:space="preserve">promptly in the light of new scientific and technical knowledge, the power to adopt acts in accordance with Article 290 TFEU should be delegated to the Commission to amend Annex I to Directive 2008/105/EC with regard to the list of priority substances and corresponding EQS set out in Part A of that Annex and </w:t>
      </w:r>
      <w:r w:rsidR="00031A7A" w:rsidRPr="00FD620F">
        <w:rPr>
          <w:noProof/>
        </w:rPr>
        <w:t xml:space="preserve">to amend </w:t>
      </w:r>
      <w:r w:rsidR="00096997" w:rsidRPr="00FD620F">
        <w:rPr>
          <w:noProof/>
        </w:rPr>
        <w:t xml:space="preserve">Annex I to Directive 2006/118/EC with regard to the list of groundwater pollutants and quality standards set out in that Annex. </w:t>
      </w:r>
      <w:r w:rsidR="00031A7A" w:rsidRPr="00FD620F">
        <w:rPr>
          <w:noProof/>
        </w:rPr>
        <w:t xml:space="preserve">In this context, the Commisison </w:t>
      </w:r>
      <w:r w:rsidR="00096997" w:rsidRPr="00FD620F">
        <w:rPr>
          <w:noProof/>
        </w:rPr>
        <w:t>should take</w:t>
      </w:r>
      <w:r w:rsidR="00031A7A" w:rsidRPr="00FD620F">
        <w:rPr>
          <w:noProof/>
        </w:rPr>
        <w:t xml:space="preserve"> account </w:t>
      </w:r>
      <w:r w:rsidR="00096997" w:rsidRPr="00FD620F">
        <w:rPr>
          <w:noProof/>
        </w:rPr>
        <w:t xml:space="preserve">of the results of </w:t>
      </w:r>
      <w:r w:rsidR="003949A6" w:rsidRPr="00FD620F">
        <w:rPr>
          <w:noProof/>
        </w:rPr>
        <w:t xml:space="preserve">the </w:t>
      </w:r>
      <w:r w:rsidR="00096997" w:rsidRPr="00FD620F">
        <w:rPr>
          <w:noProof/>
        </w:rPr>
        <w:t xml:space="preserve">monitoring of substances on the surface and groundwater watch lists. </w:t>
      </w:r>
      <w:r w:rsidR="004A5B50" w:rsidRPr="00FD620F">
        <w:rPr>
          <w:noProof/>
        </w:rPr>
        <w:t xml:space="preserve">As a consequence, </w:t>
      </w:r>
      <w:r w:rsidR="008E18E0" w:rsidRPr="00FD620F">
        <w:rPr>
          <w:noProof/>
        </w:rPr>
        <w:t xml:space="preserve">Articles 16 and 17 of Directive 2000/60/EC and </w:t>
      </w:r>
      <w:r w:rsidR="004A5B50" w:rsidRPr="00FD620F">
        <w:rPr>
          <w:noProof/>
        </w:rPr>
        <w:t xml:space="preserve">Annex X to </w:t>
      </w:r>
      <w:r w:rsidR="008E18E0" w:rsidRPr="00FD620F">
        <w:rPr>
          <w:noProof/>
        </w:rPr>
        <w:t>that Directive, as well as Article 10 of Directive 2006/118/EC, should be deleted.</w:t>
      </w:r>
    </w:p>
    <w:p w14:paraId="00D1EB02" w14:textId="2F65FF92" w:rsidR="00D8010D" w:rsidRPr="00FD620F" w:rsidRDefault="00312D4D" w:rsidP="00312D4D">
      <w:pPr>
        <w:pStyle w:val="ManualConsidrant"/>
        <w:rPr>
          <w:noProof/>
        </w:rPr>
      </w:pPr>
      <w:r w:rsidRPr="00312D4D">
        <w:t>(13)</w:t>
      </w:r>
      <w:r w:rsidRPr="00312D4D">
        <w:tab/>
      </w:r>
      <w:r w:rsidR="00691D3F" w:rsidRPr="00FD620F">
        <w:rPr>
          <w:noProof/>
        </w:rPr>
        <w:t>The evaluation also concluded that there is too much variation between Member States as regards the quality standards and threshold values set at national level</w:t>
      </w:r>
      <w:r w:rsidR="00360D50" w:rsidRPr="00FD620F">
        <w:rPr>
          <w:noProof/>
        </w:rPr>
        <w:t xml:space="preserve"> for river basin specific pollutants and groundwater pollutants respectively</w:t>
      </w:r>
      <w:r w:rsidR="006069D7" w:rsidRPr="00FD620F">
        <w:rPr>
          <w:noProof/>
        </w:rPr>
        <w:t xml:space="preserve">. </w:t>
      </w:r>
      <w:r w:rsidR="00A01865" w:rsidRPr="00FD620F">
        <w:rPr>
          <w:noProof/>
        </w:rPr>
        <w:t>U</w:t>
      </w:r>
      <w:r w:rsidR="00691D3F" w:rsidRPr="00FD620F">
        <w:rPr>
          <w:noProof/>
        </w:rPr>
        <w:t>ntil</w:t>
      </w:r>
      <w:r w:rsidR="00A01865" w:rsidRPr="00FD620F">
        <w:rPr>
          <w:noProof/>
        </w:rPr>
        <w:t xml:space="preserve"> now, </w:t>
      </w:r>
      <w:r w:rsidR="00691D3F" w:rsidRPr="00FD620F">
        <w:rPr>
          <w:noProof/>
        </w:rPr>
        <w:t xml:space="preserve">river basin </w:t>
      </w:r>
      <w:r w:rsidR="00A01865" w:rsidRPr="00FD620F">
        <w:rPr>
          <w:noProof/>
        </w:rPr>
        <w:t xml:space="preserve">specific pollutants not identified as priority substances under Directive </w:t>
      </w:r>
      <w:r w:rsidR="00691D3F" w:rsidRPr="00FD620F">
        <w:rPr>
          <w:noProof/>
        </w:rPr>
        <w:t>2000/60/EC</w:t>
      </w:r>
      <w:r w:rsidR="00A01865" w:rsidRPr="00FD620F">
        <w:rPr>
          <w:noProof/>
        </w:rPr>
        <w:t xml:space="preserve"> have been subject to national </w:t>
      </w:r>
      <w:r w:rsidR="00691D3F" w:rsidRPr="00FD620F">
        <w:rPr>
          <w:noProof/>
        </w:rPr>
        <w:t>EQS</w:t>
      </w:r>
      <w:r w:rsidR="00A01865" w:rsidRPr="00FD620F">
        <w:rPr>
          <w:noProof/>
        </w:rPr>
        <w:t xml:space="preserve"> and </w:t>
      </w:r>
      <w:r w:rsidR="00691D3F" w:rsidRPr="00FD620F">
        <w:rPr>
          <w:noProof/>
        </w:rPr>
        <w:t>been counted as</w:t>
      </w:r>
      <w:r w:rsidR="00A01865" w:rsidRPr="00FD620F">
        <w:rPr>
          <w:noProof/>
        </w:rPr>
        <w:t xml:space="preserve"> physico-chemical quality elements supporting </w:t>
      </w:r>
      <w:r w:rsidR="00691D3F" w:rsidRPr="00FD620F">
        <w:rPr>
          <w:noProof/>
        </w:rPr>
        <w:t xml:space="preserve">the assessment of </w:t>
      </w:r>
      <w:r w:rsidR="00A01865" w:rsidRPr="00FD620F">
        <w:rPr>
          <w:noProof/>
        </w:rPr>
        <w:t>ecological status</w:t>
      </w:r>
      <w:r w:rsidR="00691D3F" w:rsidRPr="00FD620F">
        <w:rPr>
          <w:noProof/>
        </w:rPr>
        <w:t xml:space="preserve"> in surface waters</w:t>
      </w:r>
      <w:r w:rsidR="00A01865" w:rsidRPr="00FD620F">
        <w:rPr>
          <w:noProof/>
        </w:rPr>
        <w:t>.</w:t>
      </w:r>
      <w:r w:rsidR="00691D3F" w:rsidRPr="00FD620F">
        <w:rPr>
          <w:noProof/>
        </w:rPr>
        <w:t xml:space="preserve"> In groundwaters, </w:t>
      </w:r>
      <w:r w:rsidR="002E221F" w:rsidRPr="00FD620F">
        <w:rPr>
          <w:noProof/>
        </w:rPr>
        <w:t>it has also been possible for Member States to set their own threshold values, even for man-made synthetic substances.</w:t>
      </w:r>
      <w:r w:rsidR="00A01865" w:rsidRPr="00FD620F">
        <w:rPr>
          <w:noProof/>
        </w:rPr>
        <w:t xml:space="preserve"> This flexibility has led to sub-optimal results in terms of comparability</w:t>
      </w:r>
      <w:r w:rsidR="001F77C4" w:rsidRPr="00FD620F">
        <w:rPr>
          <w:noProof/>
        </w:rPr>
        <w:t xml:space="preserve"> of </w:t>
      </w:r>
      <w:r w:rsidR="00A0117C" w:rsidRPr="00FD620F">
        <w:rPr>
          <w:noProof/>
        </w:rPr>
        <w:t xml:space="preserve">the </w:t>
      </w:r>
      <w:r w:rsidR="001F77C4" w:rsidRPr="00FD620F">
        <w:rPr>
          <w:noProof/>
        </w:rPr>
        <w:t>status of water bodies</w:t>
      </w:r>
      <w:r w:rsidR="00A0117C" w:rsidRPr="00FD620F">
        <w:rPr>
          <w:noProof/>
        </w:rPr>
        <w:t xml:space="preserve"> between Member States</w:t>
      </w:r>
      <w:r w:rsidR="001F77C4" w:rsidRPr="00FD620F">
        <w:rPr>
          <w:noProof/>
        </w:rPr>
        <w:t>, and in terms of</w:t>
      </w:r>
      <w:r w:rsidR="00A01865" w:rsidRPr="00FD620F">
        <w:rPr>
          <w:noProof/>
        </w:rPr>
        <w:t xml:space="preserve"> </w:t>
      </w:r>
      <w:r w:rsidR="00A47BC2" w:rsidRPr="00FD620F">
        <w:rPr>
          <w:noProof/>
        </w:rPr>
        <w:t>environmental protection</w:t>
      </w:r>
      <w:r w:rsidR="00A01865" w:rsidRPr="00FD620F">
        <w:rPr>
          <w:noProof/>
        </w:rPr>
        <w:t xml:space="preserve">. </w:t>
      </w:r>
      <w:r w:rsidR="005D1974" w:rsidRPr="00FD620F">
        <w:rPr>
          <w:noProof/>
        </w:rPr>
        <w:t xml:space="preserve">Therefore, it is necessary to provide for a procedure that allows </w:t>
      </w:r>
      <w:r w:rsidR="009606FB" w:rsidRPr="00FD620F">
        <w:rPr>
          <w:noProof/>
        </w:rPr>
        <w:t xml:space="preserve">for an agreement </w:t>
      </w:r>
      <w:r w:rsidR="002E221F" w:rsidRPr="00FD620F">
        <w:rPr>
          <w:noProof/>
        </w:rPr>
        <w:t>at U</w:t>
      </w:r>
      <w:r w:rsidR="00CA77F6" w:rsidRPr="00FD620F">
        <w:rPr>
          <w:noProof/>
        </w:rPr>
        <w:t>nion</w:t>
      </w:r>
      <w:r w:rsidR="002E221F" w:rsidRPr="00FD620F">
        <w:rPr>
          <w:noProof/>
        </w:rPr>
        <w:t xml:space="preserve"> level on EQS and threshold values that </w:t>
      </w:r>
      <w:r w:rsidR="00CA77F6" w:rsidRPr="00FD620F">
        <w:rPr>
          <w:noProof/>
        </w:rPr>
        <w:t>are to</w:t>
      </w:r>
      <w:r w:rsidR="002E221F" w:rsidRPr="00FD620F">
        <w:rPr>
          <w:noProof/>
        </w:rPr>
        <w:t xml:space="preserve"> be applied for th</w:t>
      </w:r>
      <w:r w:rsidR="00CA77F6" w:rsidRPr="00FD620F">
        <w:rPr>
          <w:noProof/>
        </w:rPr>
        <w:t>o</w:t>
      </w:r>
      <w:r w:rsidR="002E221F" w:rsidRPr="00FD620F">
        <w:rPr>
          <w:noProof/>
        </w:rPr>
        <w:t>se substances if they are identified as being of national concern</w:t>
      </w:r>
      <w:r w:rsidR="001F77C4" w:rsidRPr="00FD620F">
        <w:rPr>
          <w:noProof/>
        </w:rPr>
        <w:t xml:space="preserve"> </w:t>
      </w:r>
      <w:r w:rsidR="0055438A" w:rsidRPr="00FD620F">
        <w:rPr>
          <w:noProof/>
        </w:rPr>
        <w:t>and to establish repositories of the applicable EQS and threshold values.</w:t>
      </w:r>
      <w:r w:rsidR="002E221F" w:rsidRPr="00FD620F">
        <w:rPr>
          <w:noProof/>
        </w:rPr>
        <w:t xml:space="preserve"> </w:t>
      </w:r>
    </w:p>
    <w:p w14:paraId="10315C6F" w14:textId="02772228" w:rsidR="00C73A5A" w:rsidRPr="00FD620F" w:rsidRDefault="00312D4D" w:rsidP="00312D4D">
      <w:pPr>
        <w:pStyle w:val="ManualConsidrant"/>
        <w:rPr>
          <w:noProof/>
        </w:rPr>
      </w:pPr>
      <w:r w:rsidRPr="00312D4D">
        <w:t>(14)</w:t>
      </w:r>
      <w:r w:rsidRPr="00312D4D">
        <w:tab/>
      </w:r>
      <w:r w:rsidR="00C73A5A" w:rsidRPr="00FD620F">
        <w:rPr>
          <w:noProof/>
        </w:rPr>
        <w:t xml:space="preserve">Furthermore, integrating river basin specific pollutants into the definition of chemical status in surface waters ensures a more coordinated, coherent and transparent approach in terms of monitoring and assessment of chemical status of surface water bodies and of related information to the public. It also facilitates a more targeted approach to identifying and implementing measures to address all </w:t>
      </w:r>
      <w:r w:rsidR="009C5058">
        <w:rPr>
          <w:noProof/>
        </w:rPr>
        <w:t>‘</w:t>
      </w:r>
      <w:r w:rsidR="00C73A5A" w:rsidRPr="00FD620F">
        <w:rPr>
          <w:noProof/>
        </w:rPr>
        <w:t>chemical related</w:t>
      </w:r>
      <w:r w:rsidR="009C5058">
        <w:rPr>
          <w:noProof/>
        </w:rPr>
        <w:t>’</w:t>
      </w:r>
      <w:r w:rsidR="00C73A5A" w:rsidRPr="00FD620F">
        <w:rPr>
          <w:noProof/>
        </w:rPr>
        <w:t xml:space="preserve"> issues in a more holistic, effective and efficient way. Therefore, the definitions of </w:t>
      </w:r>
      <w:r w:rsidR="009C5058">
        <w:rPr>
          <w:noProof/>
        </w:rPr>
        <w:t>‘</w:t>
      </w:r>
      <w:r w:rsidR="00C73A5A" w:rsidRPr="00FD620F">
        <w:rPr>
          <w:noProof/>
        </w:rPr>
        <w:t>ecological status</w:t>
      </w:r>
      <w:r w:rsidR="009C5058">
        <w:rPr>
          <w:noProof/>
        </w:rPr>
        <w:t>’</w:t>
      </w:r>
      <w:r w:rsidR="00C73A5A" w:rsidRPr="00FD620F">
        <w:rPr>
          <w:noProof/>
        </w:rPr>
        <w:t xml:space="preserve"> and </w:t>
      </w:r>
      <w:r w:rsidR="009C5058">
        <w:rPr>
          <w:noProof/>
        </w:rPr>
        <w:t>‘</w:t>
      </w:r>
      <w:r w:rsidR="00C73A5A" w:rsidRPr="00FD620F">
        <w:rPr>
          <w:noProof/>
        </w:rPr>
        <w:t>chemical status</w:t>
      </w:r>
      <w:r w:rsidR="009C5058">
        <w:rPr>
          <w:noProof/>
        </w:rPr>
        <w:t>’</w:t>
      </w:r>
      <w:r w:rsidR="00C73A5A" w:rsidRPr="00FD620F">
        <w:rPr>
          <w:noProof/>
        </w:rPr>
        <w:t xml:space="preserve"> should be modified and the scope of </w:t>
      </w:r>
      <w:r w:rsidR="009C5058">
        <w:rPr>
          <w:noProof/>
        </w:rPr>
        <w:t>‘chemical status’</w:t>
      </w:r>
      <w:r w:rsidR="00C73A5A" w:rsidRPr="00FD620F">
        <w:rPr>
          <w:noProof/>
        </w:rPr>
        <w:t xml:space="preserve"> should be widened to cover also the river basin specific pollutants, hitherto part of the definition of ‘ecological status’ </w:t>
      </w:r>
      <w:r w:rsidR="009C5058">
        <w:rPr>
          <w:noProof/>
        </w:rPr>
        <w:t>in</w:t>
      </w:r>
      <w:r w:rsidR="00C73A5A" w:rsidRPr="00FD620F">
        <w:rPr>
          <w:noProof/>
        </w:rPr>
        <w:t xml:space="preserve"> Annex V to Directive 2000/60/EC. As a result, the concept of EQS for river basin specific pollutants and related procedures should be included in Directive 2008/105/EC.</w:t>
      </w:r>
    </w:p>
    <w:p w14:paraId="50B3C459" w14:textId="631D9F5A" w:rsidR="00C73A5A" w:rsidRPr="00FD620F" w:rsidRDefault="00312D4D" w:rsidP="00312D4D">
      <w:pPr>
        <w:pStyle w:val="ManualConsidrant"/>
        <w:rPr>
          <w:noProof/>
        </w:rPr>
      </w:pPr>
      <w:r w:rsidRPr="00312D4D">
        <w:t>(15)</w:t>
      </w:r>
      <w:r w:rsidRPr="00312D4D">
        <w:tab/>
      </w:r>
      <w:r w:rsidR="00C73A5A" w:rsidRPr="00FD620F">
        <w:rPr>
          <w:noProof/>
        </w:rPr>
        <w:t xml:space="preserve">In order to ensure a harmonised approach and level playing field in the Union, the power to adopt acts in accordance with Article 290 TFEU should be delegated to the Commission to </w:t>
      </w:r>
      <w:r w:rsidR="009C5058">
        <w:rPr>
          <w:noProof/>
        </w:rPr>
        <w:t>amend Part B of</w:t>
      </w:r>
      <w:r w:rsidR="00C73A5A" w:rsidRPr="00FD620F">
        <w:rPr>
          <w:noProof/>
        </w:rPr>
        <w:t xml:space="preserve"> Annex II to Directive 2006/118/EC </w:t>
      </w:r>
      <w:r w:rsidR="000F11FE" w:rsidRPr="00FD620F">
        <w:rPr>
          <w:noProof/>
        </w:rPr>
        <w:t xml:space="preserve">by </w:t>
      </w:r>
      <w:r w:rsidR="009C5058">
        <w:rPr>
          <w:noProof/>
        </w:rPr>
        <w:t>adapting</w:t>
      </w:r>
      <w:r w:rsidR="005E4EDD">
        <w:rPr>
          <w:noProof/>
        </w:rPr>
        <w:t xml:space="preserve"> the list of pollutants for which </w:t>
      </w:r>
      <w:r w:rsidR="009C5058">
        <w:rPr>
          <w:noProof/>
        </w:rPr>
        <w:t>Member States have</w:t>
      </w:r>
      <w:r w:rsidR="005E4EDD">
        <w:rPr>
          <w:noProof/>
        </w:rPr>
        <w:t xml:space="preserve"> to consider </w:t>
      </w:r>
      <w:r w:rsidR="009C5058">
        <w:rPr>
          <w:noProof/>
        </w:rPr>
        <w:t>establishing</w:t>
      </w:r>
      <w:r w:rsidR="005E4EDD">
        <w:rPr>
          <w:noProof/>
        </w:rPr>
        <w:t xml:space="preserve"> national threshold values</w:t>
      </w:r>
      <w:r w:rsidR="009C5058">
        <w:rPr>
          <w:noProof/>
        </w:rPr>
        <w:t>.</w:t>
      </w:r>
      <w:r w:rsidR="00C73A5A" w:rsidRPr="00FD620F">
        <w:rPr>
          <w:noProof/>
        </w:rPr>
        <w:t xml:space="preserve">  </w:t>
      </w:r>
    </w:p>
    <w:p w14:paraId="1B806E40" w14:textId="4864EE7A" w:rsidR="00D8010D" w:rsidRPr="00FD620F" w:rsidRDefault="00312D4D" w:rsidP="00312D4D">
      <w:pPr>
        <w:pStyle w:val="ManualConsidrant"/>
        <w:rPr>
          <w:noProof/>
        </w:rPr>
      </w:pPr>
      <w:r w:rsidRPr="00312D4D">
        <w:t>(16)</w:t>
      </w:r>
      <w:r w:rsidRPr="00312D4D">
        <w:tab/>
      </w:r>
      <w:r w:rsidR="00D8010D" w:rsidRPr="00FD620F">
        <w:rPr>
          <w:noProof/>
        </w:rPr>
        <w:t>Given the need to swiftly adapt to scientific and technical knowledge</w:t>
      </w:r>
      <w:r w:rsidR="00FA5E0C" w:rsidRPr="00FD620F">
        <w:rPr>
          <w:noProof/>
        </w:rPr>
        <w:t xml:space="preserve"> </w:t>
      </w:r>
      <w:r w:rsidR="001634D6" w:rsidRPr="00FD620F">
        <w:rPr>
          <w:noProof/>
        </w:rPr>
        <w:t xml:space="preserve">and </w:t>
      </w:r>
      <w:r w:rsidR="00FA5E0C" w:rsidRPr="00FD620F">
        <w:rPr>
          <w:noProof/>
        </w:rPr>
        <w:t>to ensure a harmonised approach and level playing field in the Union in respect of river basin specific pollutants,</w:t>
      </w:r>
      <w:r w:rsidR="001634D6" w:rsidRPr="00FD620F">
        <w:rPr>
          <w:noProof/>
        </w:rPr>
        <w:t xml:space="preserve"> </w:t>
      </w:r>
      <w:r w:rsidR="00D8010D" w:rsidRPr="00FD620F">
        <w:rPr>
          <w:noProof/>
        </w:rPr>
        <w:t>the power to adopt acts in accordance with Article 290 TFEU should be delegated to the Commission to a</w:t>
      </w:r>
      <w:r w:rsidR="001634D6" w:rsidRPr="00FD620F">
        <w:rPr>
          <w:noProof/>
        </w:rPr>
        <w:t>dapt</w:t>
      </w:r>
      <w:r w:rsidR="00D8010D" w:rsidRPr="00FD620F">
        <w:rPr>
          <w:noProof/>
        </w:rPr>
        <w:t xml:space="preserve"> Annex II to Directive 2008/105/EC with regard to the list of categories of pollutants set out in Part A of that Annex and to </w:t>
      </w:r>
      <w:r w:rsidR="001055D1" w:rsidRPr="00FD620F">
        <w:rPr>
          <w:noProof/>
        </w:rPr>
        <w:t>a</w:t>
      </w:r>
      <w:r w:rsidR="001634D6" w:rsidRPr="00FD620F">
        <w:rPr>
          <w:noProof/>
        </w:rPr>
        <w:t>dapt</w:t>
      </w:r>
      <w:r w:rsidR="00D8010D" w:rsidRPr="00FD620F">
        <w:rPr>
          <w:noProof/>
        </w:rPr>
        <w:t xml:space="preserve"> </w:t>
      </w:r>
      <w:r w:rsidR="009C5058">
        <w:rPr>
          <w:noProof/>
        </w:rPr>
        <w:t xml:space="preserve">Part C of </w:t>
      </w:r>
      <w:r w:rsidR="00D8010D" w:rsidRPr="00FD620F">
        <w:rPr>
          <w:noProof/>
        </w:rPr>
        <w:t xml:space="preserve">Annex II with </w:t>
      </w:r>
      <w:r w:rsidR="009C5058">
        <w:rPr>
          <w:noProof/>
        </w:rPr>
        <w:t xml:space="preserve">regard to </w:t>
      </w:r>
      <w:r w:rsidR="00D8010D" w:rsidRPr="00FD620F">
        <w:rPr>
          <w:noProof/>
        </w:rPr>
        <w:t>the harmonised EQS for river basin specific pollutants or groups thereof. Those</w:t>
      </w:r>
      <w:r w:rsidR="009C5058">
        <w:rPr>
          <w:noProof/>
        </w:rPr>
        <w:t xml:space="preserve"> harmonised</w:t>
      </w:r>
      <w:r w:rsidR="00D8010D" w:rsidRPr="00FD620F">
        <w:rPr>
          <w:noProof/>
        </w:rPr>
        <w:t xml:space="preserve"> EQS should be applied by Member States in assessing the status</w:t>
      </w:r>
      <w:r w:rsidR="009C5058">
        <w:rPr>
          <w:noProof/>
        </w:rPr>
        <w:t xml:space="preserve"> of their surface water bodies when a risk has been identified from those pollutants</w:t>
      </w:r>
      <w:r w:rsidR="00D8010D" w:rsidRPr="00FD620F">
        <w:rPr>
          <w:noProof/>
        </w:rPr>
        <w:t xml:space="preserve">. </w:t>
      </w:r>
    </w:p>
    <w:p w14:paraId="29125C3A" w14:textId="13F5665E" w:rsidR="002A3A98" w:rsidRPr="00FD620F" w:rsidRDefault="00312D4D" w:rsidP="00312D4D">
      <w:pPr>
        <w:pStyle w:val="ManualConsidrant"/>
        <w:rPr>
          <w:noProof/>
        </w:rPr>
      </w:pPr>
      <w:r w:rsidRPr="00312D4D">
        <w:t>(17)</w:t>
      </w:r>
      <w:r w:rsidRPr="00312D4D">
        <w:tab/>
      </w:r>
      <w:r w:rsidR="00D8010D" w:rsidRPr="00FD620F">
        <w:rPr>
          <w:noProof/>
        </w:rPr>
        <w:t xml:space="preserve">The review of the list of priority substances in Part A of Annex I to Directive 2008/105/EC has concluded that several priority substances are no longer of Union wide concern and should therefore no longer be included in Part A of Annex I to that Directive. Those substances should  therefore be considered as river basin specific pollutants and included in Part C of Annex II to Directive 2008/105/EC together with their corresponding  EQS. Considering that those pollutants are no longer considered to be of Union wide concern, the EQS </w:t>
      </w:r>
      <w:r w:rsidR="009C5058">
        <w:rPr>
          <w:noProof/>
        </w:rPr>
        <w:t>need</w:t>
      </w:r>
      <w:r w:rsidR="00D8010D" w:rsidRPr="00FD620F">
        <w:rPr>
          <w:noProof/>
        </w:rPr>
        <w:t xml:space="preserve"> only be applied where th</w:t>
      </w:r>
      <w:r w:rsidR="009C5058">
        <w:rPr>
          <w:noProof/>
        </w:rPr>
        <w:t xml:space="preserve">ose pollutants </w:t>
      </w:r>
      <w:r w:rsidR="00D8010D" w:rsidRPr="00FD620F">
        <w:rPr>
          <w:noProof/>
        </w:rPr>
        <w:t xml:space="preserve">could still be of national or regional </w:t>
      </w:r>
      <w:r w:rsidR="0079782F">
        <w:rPr>
          <w:noProof/>
        </w:rPr>
        <w:t xml:space="preserve">or local </w:t>
      </w:r>
      <w:r w:rsidR="00D8010D" w:rsidRPr="00FD620F">
        <w:rPr>
          <w:noProof/>
        </w:rPr>
        <w:t xml:space="preserve">concern. </w:t>
      </w:r>
    </w:p>
    <w:p w14:paraId="4068E1C8" w14:textId="4977CCB7" w:rsidR="002E0194" w:rsidRDefault="00312D4D" w:rsidP="00312D4D">
      <w:pPr>
        <w:pStyle w:val="ManualConsidrant"/>
        <w:rPr>
          <w:noProof/>
        </w:rPr>
      </w:pPr>
      <w:r w:rsidRPr="00312D4D">
        <w:t>(18)</w:t>
      </w:r>
      <w:r w:rsidRPr="00312D4D">
        <w:tab/>
      </w:r>
      <w:r w:rsidR="002E0194" w:rsidRPr="00FD620F">
        <w:rPr>
          <w:noProof/>
        </w:rPr>
        <w:t xml:space="preserve">In </w:t>
      </w:r>
      <w:r w:rsidR="009C5058">
        <w:rPr>
          <w:noProof/>
        </w:rPr>
        <w:t>order to ensure a level playing field and allow comparability of water body status between Member States, there is a</w:t>
      </w:r>
      <w:r w:rsidR="002E0194" w:rsidRPr="00FD620F">
        <w:rPr>
          <w:noProof/>
        </w:rPr>
        <w:t xml:space="preserve"> need to harmonise</w:t>
      </w:r>
      <w:r w:rsidR="009C5058">
        <w:rPr>
          <w:noProof/>
        </w:rPr>
        <w:t xml:space="preserve"> national</w:t>
      </w:r>
      <w:r w:rsidR="002E0194" w:rsidRPr="00FD620F">
        <w:rPr>
          <w:noProof/>
        </w:rPr>
        <w:t xml:space="preserve"> threshold values for some groundwater pollutants</w:t>
      </w:r>
      <w:r w:rsidR="009C5058">
        <w:rPr>
          <w:noProof/>
        </w:rPr>
        <w:t>. Therefore, a repository of</w:t>
      </w:r>
      <w:r w:rsidR="002E0194" w:rsidRPr="00FD620F">
        <w:rPr>
          <w:noProof/>
        </w:rPr>
        <w:t xml:space="preserve"> harmonised threshold value</w:t>
      </w:r>
      <w:r w:rsidR="009C5058">
        <w:rPr>
          <w:noProof/>
        </w:rPr>
        <w:t>s</w:t>
      </w:r>
      <w:r w:rsidR="002E0194" w:rsidRPr="00FD620F">
        <w:rPr>
          <w:noProof/>
        </w:rPr>
        <w:t xml:space="preserve"> </w:t>
      </w:r>
      <w:r w:rsidR="009C5058">
        <w:rPr>
          <w:noProof/>
        </w:rPr>
        <w:t>for groundwater pollutants of national, regional or local concern should be introduced as a new</w:t>
      </w:r>
      <w:r w:rsidR="002E0194" w:rsidRPr="00FD620F">
        <w:rPr>
          <w:noProof/>
        </w:rPr>
        <w:t xml:space="preserve"> Part D </w:t>
      </w:r>
      <w:r w:rsidR="009C5058">
        <w:rPr>
          <w:noProof/>
        </w:rPr>
        <w:t>in</w:t>
      </w:r>
      <w:r w:rsidR="002E0194" w:rsidRPr="00FD620F">
        <w:rPr>
          <w:noProof/>
        </w:rPr>
        <w:t xml:space="preserve"> Annex II to Directive 2006/118/EC</w:t>
      </w:r>
      <w:r w:rsidR="001B0D6C">
        <w:rPr>
          <w:noProof/>
        </w:rPr>
        <w:t xml:space="preserve">. </w:t>
      </w:r>
      <w:r w:rsidR="009B5F71">
        <w:rPr>
          <w:noProof/>
        </w:rPr>
        <w:t xml:space="preserve">The harmonised thresholds set out in that repository need </w:t>
      </w:r>
      <w:r w:rsidR="00FB0028">
        <w:rPr>
          <w:noProof/>
        </w:rPr>
        <w:t>to</w:t>
      </w:r>
      <w:r w:rsidR="009B5F71">
        <w:rPr>
          <w:noProof/>
        </w:rPr>
        <w:t xml:space="preserve"> be applied </w:t>
      </w:r>
      <w:r w:rsidR="00FB0028">
        <w:rPr>
          <w:noProof/>
        </w:rPr>
        <w:t xml:space="preserve">only </w:t>
      </w:r>
      <w:r w:rsidR="009B5F71">
        <w:rPr>
          <w:noProof/>
        </w:rPr>
        <w:t xml:space="preserve">in </w:t>
      </w:r>
      <w:r w:rsidR="00FB0028">
        <w:rPr>
          <w:noProof/>
        </w:rPr>
        <w:t xml:space="preserve">those </w:t>
      </w:r>
      <w:r w:rsidR="009B5F71">
        <w:rPr>
          <w:noProof/>
        </w:rPr>
        <w:t>Member States where the pollutants subject to those thresholds affect groundwater status. F</w:t>
      </w:r>
      <w:r w:rsidR="002E0194" w:rsidRPr="00FD620F">
        <w:rPr>
          <w:noProof/>
        </w:rPr>
        <w:t>or the sum of the two synthetic pollutants trichloroethylene and tetrachloroethylene</w:t>
      </w:r>
      <w:r w:rsidR="009B5F71">
        <w:rPr>
          <w:noProof/>
        </w:rPr>
        <w:t xml:space="preserve">, there is a need to harmonise the national threshold values since not all Member States where the pollutants are relevant apply a threshold value for the sum of these pollutants and the national threshold values set are not all the same. The harmonised threshold value should be consistent with the parametric value set for the sum </w:t>
      </w:r>
      <w:r w:rsidR="002E0194" w:rsidRPr="00FD620F">
        <w:rPr>
          <w:noProof/>
        </w:rPr>
        <w:t xml:space="preserve">of those </w:t>
      </w:r>
      <w:r w:rsidR="009B5F71">
        <w:rPr>
          <w:noProof/>
        </w:rPr>
        <w:t>pollutants</w:t>
      </w:r>
      <w:r w:rsidR="002E0194" w:rsidRPr="00FD620F">
        <w:rPr>
          <w:noProof/>
        </w:rPr>
        <w:t xml:space="preserve"> in drinking water under Directive (EU) 2020/2184.</w:t>
      </w:r>
    </w:p>
    <w:p w14:paraId="12AA7ECA" w14:textId="3A9A388A" w:rsidR="009B5F71" w:rsidRDefault="00312D4D" w:rsidP="00312D4D">
      <w:pPr>
        <w:pStyle w:val="ManualConsidrant"/>
        <w:rPr>
          <w:noProof/>
        </w:rPr>
      </w:pPr>
      <w:r w:rsidRPr="00312D4D">
        <w:t>(19)</w:t>
      </w:r>
      <w:r w:rsidRPr="00312D4D">
        <w:tab/>
      </w:r>
      <w:r w:rsidR="009B5F71">
        <w:rPr>
          <w:noProof/>
        </w:rPr>
        <w:t xml:space="preserve">In order to ensure a harmonised approach and level playing field in the Union, the  power to adopt acts in accordance with Article 290 TFEU should be delegated to the Commission to amend Part D of Annex II to Directive 2006/118/EC </w:t>
      </w:r>
      <w:r w:rsidR="00FB0028">
        <w:rPr>
          <w:noProof/>
        </w:rPr>
        <w:t xml:space="preserve">in order </w:t>
      </w:r>
      <w:r w:rsidR="009B5F71">
        <w:rPr>
          <w:noProof/>
        </w:rPr>
        <w:t>to adapt the repository of harmonised threshold values as regards the pollutants included and the harmonised threshold values</w:t>
      </w:r>
      <w:r w:rsidR="00EC5714">
        <w:rPr>
          <w:noProof/>
        </w:rPr>
        <w:t xml:space="preserve"> to technical and scientific progress</w:t>
      </w:r>
      <w:r w:rsidR="009B5F71">
        <w:rPr>
          <w:noProof/>
        </w:rPr>
        <w:t xml:space="preserve">. </w:t>
      </w:r>
    </w:p>
    <w:p w14:paraId="31CEC9A6" w14:textId="2D1FDE27" w:rsidR="009B5F71" w:rsidRPr="00FD620F" w:rsidRDefault="00312D4D" w:rsidP="00312D4D">
      <w:pPr>
        <w:pStyle w:val="ManualConsidrant"/>
        <w:rPr>
          <w:noProof/>
        </w:rPr>
      </w:pPr>
      <w:r w:rsidRPr="00312D4D">
        <w:t>(20)</w:t>
      </w:r>
      <w:r w:rsidRPr="00312D4D">
        <w:tab/>
      </w:r>
      <w:r w:rsidR="009B5F71">
        <w:rPr>
          <w:noProof/>
        </w:rPr>
        <w:t>All provisions of Directive 2006/118/EC relating to the assessment of groundwater chemical status should be adapted to the introduction of the third category of harmonised threshold values in Part D of Annex II to that Directive, in addition to the quality standards set out in Annex I to that Directive and the national threshold values set out in accordance with the methodology set out in Part A of Annex II to that Directive.</w:t>
      </w:r>
    </w:p>
    <w:p w14:paraId="651ABCF8" w14:textId="72F49C5F" w:rsidR="00A01865" w:rsidRPr="00FD620F" w:rsidRDefault="00312D4D" w:rsidP="00312D4D">
      <w:pPr>
        <w:pStyle w:val="ManualConsidrant"/>
        <w:rPr>
          <w:noProof/>
        </w:rPr>
      </w:pPr>
      <w:r w:rsidRPr="00312D4D">
        <w:t>(21)</w:t>
      </w:r>
      <w:r w:rsidRPr="00312D4D">
        <w:tab/>
      </w:r>
      <w:r w:rsidR="00707136" w:rsidRPr="00FD620F">
        <w:rPr>
          <w:noProof/>
        </w:rPr>
        <w:t>To ensure effective and coherent decision-making and develop synergies with the work carried out in the framework of other U</w:t>
      </w:r>
      <w:r w:rsidR="00CB2039" w:rsidRPr="00FD620F">
        <w:rPr>
          <w:noProof/>
        </w:rPr>
        <w:t>nion</w:t>
      </w:r>
      <w:r w:rsidR="00707136" w:rsidRPr="00FD620F">
        <w:rPr>
          <w:noProof/>
        </w:rPr>
        <w:t xml:space="preserve"> legislation</w:t>
      </w:r>
      <w:r w:rsidR="008421B0" w:rsidRPr="00FD620F">
        <w:rPr>
          <w:noProof/>
        </w:rPr>
        <w:t xml:space="preserve"> on chemicals</w:t>
      </w:r>
      <w:r w:rsidR="00707136" w:rsidRPr="00FD620F">
        <w:rPr>
          <w:noProof/>
        </w:rPr>
        <w:t xml:space="preserve">, the European Chemicals Agency </w:t>
      </w:r>
      <w:r w:rsidR="005D1974" w:rsidRPr="00FD620F">
        <w:rPr>
          <w:noProof/>
        </w:rPr>
        <w:t>(‘ECHA’)</w:t>
      </w:r>
      <w:r w:rsidR="008421B0" w:rsidRPr="00FD620F">
        <w:rPr>
          <w:noProof/>
        </w:rPr>
        <w:t>,</w:t>
      </w:r>
      <w:r w:rsidR="00707136" w:rsidRPr="00FD620F" w:rsidDel="005D1974">
        <w:rPr>
          <w:noProof/>
        </w:rPr>
        <w:t xml:space="preserve"> </w:t>
      </w:r>
      <w:r w:rsidR="005D1974" w:rsidRPr="00FD620F">
        <w:rPr>
          <w:noProof/>
        </w:rPr>
        <w:t xml:space="preserve"> </w:t>
      </w:r>
      <w:r w:rsidR="00707136" w:rsidRPr="00FD620F">
        <w:rPr>
          <w:noProof/>
        </w:rPr>
        <w:t xml:space="preserve">should be given a </w:t>
      </w:r>
      <w:r w:rsidR="005D1974" w:rsidRPr="00FD620F">
        <w:rPr>
          <w:noProof/>
        </w:rPr>
        <w:t xml:space="preserve">permanent and clearly </w:t>
      </w:r>
      <w:r w:rsidR="008421B0" w:rsidRPr="00FD620F">
        <w:rPr>
          <w:noProof/>
        </w:rPr>
        <w:t>circumscribed</w:t>
      </w:r>
      <w:r w:rsidR="00707136" w:rsidRPr="00FD620F">
        <w:rPr>
          <w:noProof/>
        </w:rPr>
        <w:t xml:space="preserve"> role in the prioritisation of </w:t>
      </w:r>
      <w:r w:rsidR="009B5F71">
        <w:rPr>
          <w:noProof/>
        </w:rPr>
        <w:t>substances</w:t>
      </w:r>
      <w:r w:rsidR="00707136" w:rsidRPr="00FD620F">
        <w:rPr>
          <w:noProof/>
        </w:rPr>
        <w:t xml:space="preserve"> to be included in the </w:t>
      </w:r>
      <w:r w:rsidR="00CB2039" w:rsidRPr="00FD620F">
        <w:rPr>
          <w:noProof/>
        </w:rPr>
        <w:t>w</w:t>
      </w:r>
      <w:r w:rsidR="00707136" w:rsidRPr="00FD620F">
        <w:rPr>
          <w:noProof/>
        </w:rPr>
        <w:t xml:space="preserve">atch </w:t>
      </w:r>
      <w:r w:rsidR="00CB2039" w:rsidRPr="00FD620F">
        <w:rPr>
          <w:noProof/>
        </w:rPr>
        <w:t>l</w:t>
      </w:r>
      <w:r w:rsidR="00707136" w:rsidRPr="00FD620F">
        <w:rPr>
          <w:noProof/>
        </w:rPr>
        <w:t xml:space="preserve">ists </w:t>
      </w:r>
      <w:r w:rsidR="00CB2039" w:rsidRPr="00FD620F">
        <w:rPr>
          <w:noProof/>
        </w:rPr>
        <w:t xml:space="preserve">and in the lists of </w:t>
      </w:r>
      <w:r w:rsidR="009B5F71">
        <w:rPr>
          <w:noProof/>
        </w:rPr>
        <w:t>substances</w:t>
      </w:r>
      <w:r w:rsidR="00CB2039" w:rsidRPr="00FD620F">
        <w:rPr>
          <w:noProof/>
        </w:rPr>
        <w:t xml:space="preserve"> in Annex</w:t>
      </w:r>
      <w:r w:rsidR="00A30FBF" w:rsidRPr="00FD620F">
        <w:rPr>
          <w:noProof/>
        </w:rPr>
        <w:t xml:space="preserve">es I and II to Directive 2008/105/EC </w:t>
      </w:r>
      <w:r w:rsidR="00CB2039" w:rsidRPr="00FD620F">
        <w:rPr>
          <w:noProof/>
        </w:rPr>
        <w:t xml:space="preserve">and </w:t>
      </w:r>
      <w:r w:rsidR="008421B0" w:rsidRPr="00FD620F">
        <w:rPr>
          <w:noProof/>
        </w:rPr>
        <w:t xml:space="preserve">Annexes </w:t>
      </w:r>
      <w:r w:rsidR="00276D8E" w:rsidRPr="00FD620F">
        <w:rPr>
          <w:noProof/>
        </w:rPr>
        <w:t xml:space="preserve">I and II </w:t>
      </w:r>
      <w:r w:rsidR="008421B0" w:rsidRPr="00FD620F">
        <w:rPr>
          <w:noProof/>
        </w:rPr>
        <w:t xml:space="preserve">to </w:t>
      </w:r>
      <w:r w:rsidR="00CB2039" w:rsidRPr="00FD620F">
        <w:rPr>
          <w:noProof/>
        </w:rPr>
        <w:t xml:space="preserve">Directive 2006/118/EC, </w:t>
      </w:r>
      <w:r w:rsidR="00707136" w:rsidRPr="00FD620F">
        <w:rPr>
          <w:noProof/>
        </w:rPr>
        <w:t xml:space="preserve">and </w:t>
      </w:r>
      <w:r w:rsidR="00CB2039" w:rsidRPr="00FD620F">
        <w:rPr>
          <w:noProof/>
        </w:rPr>
        <w:t>in</w:t>
      </w:r>
      <w:r w:rsidR="00707136" w:rsidRPr="00FD620F">
        <w:rPr>
          <w:noProof/>
        </w:rPr>
        <w:t xml:space="preserve"> the derivation of appropriate science</w:t>
      </w:r>
      <w:r w:rsidR="00CB2039" w:rsidRPr="00FD620F">
        <w:rPr>
          <w:noProof/>
        </w:rPr>
        <w:t>-</w:t>
      </w:r>
      <w:r w:rsidR="00707136" w:rsidRPr="00FD620F">
        <w:rPr>
          <w:noProof/>
        </w:rPr>
        <w:t xml:space="preserve">based </w:t>
      </w:r>
      <w:r w:rsidR="00CB2039" w:rsidRPr="00FD620F">
        <w:rPr>
          <w:noProof/>
        </w:rPr>
        <w:t>quality standards</w:t>
      </w:r>
      <w:r w:rsidR="00707136" w:rsidRPr="00FD620F">
        <w:rPr>
          <w:noProof/>
        </w:rPr>
        <w:t xml:space="preserve">. The Committee for Risk Assessment </w:t>
      </w:r>
      <w:r w:rsidR="00871908" w:rsidRPr="00FD620F">
        <w:rPr>
          <w:noProof/>
        </w:rPr>
        <w:t xml:space="preserve">(RAC) and the Committee for Socio-Economic Analysis (SEAC) </w:t>
      </w:r>
      <w:r w:rsidR="00707136" w:rsidRPr="00FD620F">
        <w:rPr>
          <w:noProof/>
        </w:rPr>
        <w:t>of ECHA</w:t>
      </w:r>
      <w:r w:rsidR="008421B0" w:rsidRPr="00FD620F">
        <w:rPr>
          <w:noProof/>
        </w:rPr>
        <w:t>,</w:t>
      </w:r>
      <w:r w:rsidR="00707136" w:rsidRPr="00FD620F">
        <w:rPr>
          <w:noProof/>
        </w:rPr>
        <w:t xml:space="preserve"> should facilitate the carrying out of certain tasks conferred on ECHA by providing opinions.</w:t>
      </w:r>
      <w:r w:rsidR="00871908" w:rsidRPr="00FD620F">
        <w:rPr>
          <w:noProof/>
        </w:rPr>
        <w:t xml:space="preserve"> ECHA should also </w:t>
      </w:r>
      <w:r w:rsidR="00BD7AF0" w:rsidRPr="00FD620F">
        <w:rPr>
          <w:noProof/>
        </w:rPr>
        <w:t xml:space="preserve">ensure </w:t>
      </w:r>
      <w:r w:rsidR="00871908" w:rsidRPr="00FD620F">
        <w:rPr>
          <w:noProof/>
        </w:rPr>
        <w:t xml:space="preserve">better </w:t>
      </w:r>
      <w:r w:rsidR="00BD7AF0" w:rsidRPr="00FD620F">
        <w:rPr>
          <w:noProof/>
        </w:rPr>
        <w:t xml:space="preserve">coordination </w:t>
      </w:r>
      <w:r w:rsidR="001E67B2" w:rsidRPr="00FD620F">
        <w:rPr>
          <w:noProof/>
        </w:rPr>
        <w:t xml:space="preserve">between various pieces of environmental law </w:t>
      </w:r>
      <w:r w:rsidR="00BD7AF0" w:rsidRPr="00FD620F">
        <w:rPr>
          <w:noProof/>
        </w:rPr>
        <w:t>through increased transparency</w:t>
      </w:r>
      <w:r w:rsidR="00235C1C" w:rsidRPr="00FD620F">
        <w:rPr>
          <w:noProof/>
        </w:rPr>
        <w:t xml:space="preserve"> as regards </w:t>
      </w:r>
      <w:r w:rsidR="00BD7AF0" w:rsidRPr="00FD620F">
        <w:rPr>
          <w:noProof/>
        </w:rPr>
        <w:t xml:space="preserve">pollutants on a watch list or </w:t>
      </w:r>
      <w:r w:rsidR="00235C1C" w:rsidRPr="00FD620F">
        <w:rPr>
          <w:noProof/>
        </w:rPr>
        <w:t xml:space="preserve">the </w:t>
      </w:r>
      <w:r w:rsidR="00BD7AF0" w:rsidRPr="00FD620F">
        <w:rPr>
          <w:noProof/>
        </w:rPr>
        <w:t>develop</w:t>
      </w:r>
      <w:r w:rsidR="00235C1C" w:rsidRPr="00FD620F">
        <w:rPr>
          <w:noProof/>
        </w:rPr>
        <w:t>ment of</w:t>
      </w:r>
      <w:r w:rsidR="00BD7AF0" w:rsidRPr="00FD620F">
        <w:rPr>
          <w:noProof/>
        </w:rPr>
        <w:t xml:space="preserve"> </w:t>
      </w:r>
      <w:r w:rsidR="008421B0" w:rsidRPr="00FD620F">
        <w:rPr>
          <w:noProof/>
        </w:rPr>
        <w:t xml:space="preserve">Union </w:t>
      </w:r>
      <w:r w:rsidR="00BD7AF0" w:rsidRPr="00FD620F">
        <w:rPr>
          <w:noProof/>
        </w:rPr>
        <w:t>wide or national EQS</w:t>
      </w:r>
      <w:r w:rsidR="00C7243B" w:rsidRPr="00FD620F">
        <w:rPr>
          <w:noProof/>
        </w:rPr>
        <w:t xml:space="preserve"> or thresholds</w:t>
      </w:r>
      <w:r w:rsidR="00BD7AF0" w:rsidRPr="00FD620F">
        <w:rPr>
          <w:noProof/>
        </w:rPr>
        <w:t xml:space="preserve">, by </w:t>
      </w:r>
      <w:r w:rsidR="001E67B2" w:rsidRPr="00FD620F">
        <w:rPr>
          <w:noProof/>
        </w:rPr>
        <w:t xml:space="preserve">making </w:t>
      </w:r>
      <w:r w:rsidR="000D1533" w:rsidRPr="00FD620F">
        <w:rPr>
          <w:noProof/>
        </w:rPr>
        <w:t xml:space="preserve">relevant </w:t>
      </w:r>
      <w:r w:rsidR="001E67B2" w:rsidRPr="00FD620F">
        <w:rPr>
          <w:noProof/>
        </w:rPr>
        <w:t xml:space="preserve">scientific reports </w:t>
      </w:r>
      <w:r w:rsidR="000D1533" w:rsidRPr="00FD620F">
        <w:rPr>
          <w:noProof/>
        </w:rPr>
        <w:t>pu</w:t>
      </w:r>
      <w:r w:rsidR="001E67B2" w:rsidRPr="00FD620F">
        <w:rPr>
          <w:noProof/>
        </w:rPr>
        <w:t>blicly available</w:t>
      </w:r>
      <w:r w:rsidR="00BD7AF0" w:rsidRPr="00FD620F">
        <w:rPr>
          <w:noProof/>
        </w:rPr>
        <w:t xml:space="preserve">.  </w:t>
      </w:r>
      <w:r w:rsidR="00871908" w:rsidRPr="00FD620F">
        <w:rPr>
          <w:noProof/>
        </w:rPr>
        <w:t xml:space="preserve"> </w:t>
      </w:r>
    </w:p>
    <w:p w14:paraId="4DD063DD" w14:textId="33E8543E" w:rsidR="0076660F" w:rsidRPr="00FD620F" w:rsidRDefault="00312D4D" w:rsidP="00312D4D">
      <w:pPr>
        <w:pStyle w:val="ManualConsidrant"/>
        <w:rPr>
          <w:noProof/>
        </w:rPr>
      </w:pPr>
      <w:r w:rsidRPr="00312D4D">
        <w:t>(22)</w:t>
      </w:r>
      <w:r w:rsidRPr="00312D4D">
        <w:tab/>
      </w:r>
      <w:r w:rsidR="006E0790" w:rsidRPr="00FD620F">
        <w:rPr>
          <w:noProof/>
        </w:rPr>
        <w:t xml:space="preserve">The evaluation concluded that more </w:t>
      </w:r>
      <w:r w:rsidR="00A77C64" w:rsidRPr="00FD620F">
        <w:rPr>
          <w:noProof/>
        </w:rPr>
        <w:t xml:space="preserve">frequent </w:t>
      </w:r>
      <w:r w:rsidR="006E0790" w:rsidRPr="00FD620F">
        <w:rPr>
          <w:noProof/>
        </w:rPr>
        <w:t xml:space="preserve">and </w:t>
      </w:r>
      <w:r w:rsidR="001B4A31" w:rsidRPr="00FD620F">
        <w:rPr>
          <w:noProof/>
        </w:rPr>
        <w:t xml:space="preserve">streamlined electronic reporting </w:t>
      </w:r>
      <w:r w:rsidR="00B47C2E" w:rsidRPr="00FD620F">
        <w:rPr>
          <w:noProof/>
        </w:rPr>
        <w:t>is necessary to</w:t>
      </w:r>
      <w:r w:rsidR="001B4A31" w:rsidRPr="00FD620F">
        <w:rPr>
          <w:noProof/>
        </w:rPr>
        <w:t xml:space="preserve"> foster better implementation and enforcement of the </w:t>
      </w:r>
      <w:r w:rsidR="00EF5BDA" w:rsidRPr="00FD620F">
        <w:rPr>
          <w:noProof/>
        </w:rPr>
        <w:t xml:space="preserve">Union water </w:t>
      </w:r>
      <w:r w:rsidR="001B4A31" w:rsidRPr="00FD620F">
        <w:rPr>
          <w:noProof/>
        </w:rPr>
        <w:t>legislation.</w:t>
      </w:r>
      <w:r w:rsidR="00B53F46" w:rsidRPr="00FD620F">
        <w:rPr>
          <w:noProof/>
        </w:rPr>
        <w:t xml:space="preserve"> </w:t>
      </w:r>
      <w:r w:rsidR="00EF2AB9" w:rsidRPr="00FD620F">
        <w:rPr>
          <w:noProof/>
        </w:rPr>
        <w:t>In view of its role also to more regularly monitor the state of pollution as described in the Zero Pollution Action Plan, t</w:t>
      </w:r>
      <w:r w:rsidR="00A01865" w:rsidRPr="00FD620F">
        <w:rPr>
          <w:noProof/>
        </w:rPr>
        <w:t>he</w:t>
      </w:r>
      <w:r w:rsidR="00B53F46" w:rsidRPr="00FD620F">
        <w:rPr>
          <w:noProof/>
        </w:rPr>
        <w:t xml:space="preserve"> European Environment Agency </w:t>
      </w:r>
      <w:r w:rsidR="00342D58" w:rsidRPr="00FD620F">
        <w:rPr>
          <w:noProof/>
        </w:rPr>
        <w:t xml:space="preserve">(EEA) </w:t>
      </w:r>
      <w:r w:rsidR="00A01865" w:rsidRPr="00FD620F">
        <w:rPr>
          <w:noProof/>
        </w:rPr>
        <w:t xml:space="preserve">should </w:t>
      </w:r>
      <w:r w:rsidR="00A77C64" w:rsidRPr="00FD620F">
        <w:rPr>
          <w:noProof/>
        </w:rPr>
        <w:t xml:space="preserve">facilitate such </w:t>
      </w:r>
      <w:r w:rsidR="00EF2AB9" w:rsidRPr="00FD620F">
        <w:rPr>
          <w:noProof/>
        </w:rPr>
        <w:t xml:space="preserve">more frequent </w:t>
      </w:r>
      <w:r w:rsidR="00EF5BDA" w:rsidRPr="00FD620F">
        <w:rPr>
          <w:noProof/>
        </w:rPr>
        <w:t xml:space="preserve">and streamlined </w:t>
      </w:r>
      <w:r w:rsidR="00A77C64" w:rsidRPr="00FD620F">
        <w:rPr>
          <w:noProof/>
        </w:rPr>
        <w:t>reporting</w:t>
      </w:r>
      <w:r w:rsidR="00EF2AB9" w:rsidRPr="00FD620F">
        <w:rPr>
          <w:noProof/>
        </w:rPr>
        <w:t xml:space="preserve"> by the Member States</w:t>
      </w:r>
      <w:r w:rsidR="00A77C64" w:rsidRPr="00FD620F">
        <w:rPr>
          <w:noProof/>
        </w:rPr>
        <w:t>.</w:t>
      </w:r>
      <w:r w:rsidR="00A01865" w:rsidRPr="00FD620F">
        <w:rPr>
          <w:noProof/>
        </w:rPr>
        <w:t xml:space="preserve"> </w:t>
      </w:r>
      <w:r w:rsidR="0076660F" w:rsidRPr="00FD620F">
        <w:rPr>
          <w:noProof/>
        </w:rPr>
        <w:t xml:space="preserve">It is important that environmental information on the status of Union surface </w:t>
      </w:r>
      <w:r w:rsidR="00EF5BDA" w:rsidRPr="00FD620F">
        <w:rPr>
          <w:noProof/>
        </w:rPr>
        <w:t xml:space="preserve">water </w:t>
      </w:r>
      <w:r w:rsidR="0076660F" w:rsidRPr="00FD620F">
        <w:rPr>
          <w:noProof/>
        </w:rPr>
        <w:t xml:space="preserve">and groundwater is made available to the public and to the Commission in a timely manner. Member States should therefore </w:t>
      </w:r>
      <w:r w:rsidR="00EF5BDA" w:rsidRPr="00FD620F">
        <w:rPr>
          <w:noProof/>
        </w:rPr>
        <w:t xml:space="preserve">be required to </w:t>
      </w:r>
      <w:r w:rsidR="0076660F" w:rsidRPr="00FD620F">
        <w:rPr>
          <w:noProof/>
        </w:rPr>
        <w:t xml:space="preserve">make </w:t>
      </w:r>
      <w:r w:rsidR="00B47C2E" w:rsidRPr="00FD620F">
        <w:rPr>
          <w:noProof/>
        </w:rPr>
        <w:t>available</w:t>
      </w:r>
      <w:r w:rsidR="0076660F" w:rsidRPr="00FD620F">
        <w:rPr>
          <w:noProof/>
        </w:rPr>
        <w:t xml:space="preserve"> to the Commission and the EEA the monitoring data collected in the framework of Directive 2000/60/EC, making use of automated reporting and data delivery mechanisms </w:t>
      </w:r>
      <w:r w:rsidR="00EF5BDA" w:rsidRPr="00FD620F">
        <w:rPr>
          <w:noProof/>
        </w:rPr>
        <w:t xml:space="preserve">by </w:t>
      </w:r>
      <w:r w:rsidR="0076660F" w:rsidRPr="00FD620F">
        <w:rPr>
          <w:noProof/>
        </w:rPr>
        <w:t>using Application Programming Interface or equivalent mechanisms.</w:t>
      </w:r>
      <w:r w:rsidR="000D1533" w:rsidRPr="00FD620F">
        <w:rPr>
          <w:noProof/>
        </w:rPr>
        <w:t xml:space="preserve"> </w:t>
      </w:r>
      <w:r w:rsidR="0076660F" w:rsidRPr="00FD620F">
        <w:rPr>
          <w:noProof/>
        </w:rPr>
        <w:t xml:space="preserve">The administrative burden </w:t>
      </w:r>
      <w:r w:rsidR="009B5F71">
        <w:rPr>
          <w:noProof/>
        </w:rPr>
        <w:t>is</w:t>
      </w:r>
      <w:r w:rsidR="0076660F" w:rsidRPr="00FD620F">
        <w:rPr>
          <w:noProof/>
        </w:rPr>
        <w:t xml:space="preserve"> expected to be limited insofar as Member States are already required to make publicly available spatial data themes within the scope of Directive 2007/2/EC</w:t>
      </w:r>
      <w:r w:rsidR="00952FD2" w:rsidRPr="00FD620F">
        <w:rPr>
          <w:noProof/>
        </w:rPr>
        <w:t xml:space="preserve"> of the European Parliament and of the Council</w:t>
      </w:r>
      <w:r w:rsidR="00952FD2" w:rsidRPr="00FD620F">
        <w:rPr>
          <w:rStyle w:val="FootnoteReference"/>
          <w:noProof/>
        </w:rPr>
        <w:footnoteReference w:id="60"/>
      </w:r>
      <w:r w:rsidR="0076660F" w:rsidRPr="00FD620F">
        <w:rPr>
          <w:noProof/>
        </w:rPr>
        <w:t xml:space="preserve"> </w:t>
      </w:r>
      <w:r w:rsidR="009E35B6" w:rsidRPr="00FD620F">
        <w:rPr>
          <w:noProof/>
        </w:rPr>
        <w:t xml:space="preserve">as well as </w:t>
      </w:r>
      <w:r w:rsidR="009314A7" w:rsidRPr="00FD620F">
        <w:rPr>
          <w:noProof/>
        </w:rPr>
        <w:t>under Directive (EU) 2019/1024 of the European Parliament and of the Council</w:t>
      </w:r>
      <w:r w:rsidR="00674832" w:rsidRPr="00FD620F">
        <w:rPr>
          <w:rStyle w:val="FootnoteReference"/>
          <w:noProof/>
        </w:rPr>
        <w:footnoteReference w:id="61"/>
      </w:r>
      <w:r w:rsidR="0076660F" w:rsidRPr="00FD620F">
        <w:rPr>
          <w:noProof/>
        </w:rPr>
        <w:t>. Th</w:t>
      </w:r>
      <w:r w:rsidR="00674832" w:rsidRPr="00FD620F">
        <w:rPr>
          <w:noProof/>
        </w:rPr>
        <w:t>o</w:t>
      </w:r>
      <w:r w:rsidR="0076660F" w:rsidRPr="00FD620F">
        <w:rPr>
          <w:noProof/>
        </w:rPr>
        <w:t>se spatial data themes include the location and operation of environmental monitoring facilities</w:t>
      </w:r>
      <w:r w:rsidR="00EF2AB9" w:rsidRPr="00FD620F">
        <w:rPr>
          <w:noProof/>
        </w:rPr>
        <w:t xml:space="preserve">, </w:t>
      </w:r>
      <w:r w:rsidR="0076660F" w:rsidRPr="00FD620F">
        <w:rPr>
          <w:noProof/>
        </w:rPr>
        <w:t xml:space="preserve">related measurements of emissions and the state of environmental media. </w:t>
      </w:r>
    </w:p>
    <w:p w14:paraId="4E93F318" w14:textId="3AE30FF7" w:rsidR="001B4A31" w:rsidRPr="00FD620F" w:rsidRDefault="00312D4D" w:rsidP="00312D4D">
      <w:pPr>
        <w:pStyle w:val="ManualConsidrant"/>
        <w:rPr>
          <w:noProof/>
        </w:rPr>
      </w:pPr>
      <w:r w:rsidRPr="00312D4D">
        <w:t>(23)</w:t>
      </w:r>
      <w:r w:rsidRPr="00312D4D">
        <w:tab/>
      </w:r>
      <w:r w:rsidR="00AD08E4" w:rsidRPr="00FD620F">
        <w:rPr>
          <w:noProof/>
        </w:rPr>
        <w:t>B</w:t>
      </w:r>
      <w:r w:rsidR="00951EBA" w:rsidRPr="00FD620F">
        <w:rPr>
          <w:noProof/>
        </w:rPr>
        <w:t>etter</w:t>
      </w:r>
      <w:r w:rsidR="00707136" w:rsidRPr="00FD620F">
        <w:rPr>
          <w:noProof/>
        </w:rPr>
        <w:t xml:space="preserve"> integrat</w:t>
      </w:r>
      <w:r w:rsidR="00951EBA" w:rsidRPr="00FD620F">
        <w:rPr>
          <w:noProof/>
        </w:rPr>
        <w:t>ion</w:t>
      </w:r>
      <w:r w:rsidR="00707136" w:rsidRPr="00FD620F">
        <w:rPr>
          <w:noProof/>
        </w:rPr>
        <w:t xml:space="preserve"> of data flows reported to the EEA under the </w:t>
      </w:r>
      <w:r w:rsidR="00312DEE" w:rsidRPr="00FD620F">
        <w:rPr>
          <w:noProof/>
        </w:rPr>
        <w:t>Union</w:t>
      </w:r>
      <w:r w:rsidR="00707136" w:rsidRPr="00FD620F">
        <w:rPr>
          <w:noProof/>
        </w:rPr>
        <w:t xml:space="preserve"> </w:t>
      </w:r>
      <w:r w:rsidR="00951EBA" w:rsidRPr="00FD620F">
        <w:rPr>
          <w:noProof/>
        </w:rPr>
        <w:t>w</w:t>
      </w:r>
      <w:r w:rsidR="00707136" w:rsidRPr="00FD620F">
        <w:rPr>
          <w:noProof/>
        </w:rPr>
        <w:t>ater legislation and</w:t>
      </w:r>
      <w:r w:rsidR="00C9656E" w:rsidRPr="00FD620F">
        <w:rPr>
          <w:noProof/>
        </w:rPr>
        <w:t xml:space="preserve">, </w:t>
      </w:r>
      <w:r w:rsidR="00707136" w:rsidRPr="00FD620F">
        <w:rPr>
          <w:noProof/>
        </w:rPr>
        <w:t xml:space="preserve">in </w:t>
      </w:r>
      <w:r w:rsidR="00951EBA" w:rsidRPr="00FD620F">
        <w:rPr>
          <w:noProof/>
        </w:rPr>
        <w:t>particular</w:t>
      </w:r>
      <w:r w:rsidR="00C9656E" w:rsidRPr="00FD620F">
        <w:rPr>
          <w:noProof/>
        </w:rPr>
        <w:t>,</w:t>
      </w:r>
      <w:r w:rsidR="00951EBA" w:rsidRPr="00FD620F">
        <w:rPr>
          <w:noProof/>
        </w:rPr>
        <w:t xml:space="preserve"> of the inventories of emissions required by Directive 2008/105/EC</w:t>
      </w:r>
      <w:r w:rsidR="00674832" w:rsidRPr="00FD620F">
        <w:rPr>
          <w:noProof/>
        </w:rPr>
        <w:t xml:space="preserve">, with the data flows </w:t>
      </w:r>
      <w:r w:rsidR="00707136" w:rsidRPr="00FD620F">
        <w:rPr>
          <w:noProof/>
        </w:rPr>
        <w:t>reported to the Industrial Emissions Portal</w:t>
      </w:r>
      <w:r w:rsidR="007E10DC" w:rsidRPr="00FD620F">
        <w:rPr>
          <w:noProof/>
        </w:rPr>
        <w:t xml:space="preserve"> under Directive 2010/75/EU and Regulation (EC) No 166/2006 of the European Parliament and of the Council</w:t>
      </w:r>
      <w:r w:rsidR="007E10DC" w:rsidRPr="00FD620F">
        <w:rPr>
          <w:rStyle w:val="FootnoteReference"/>
          <w:noProof/>
        </w:rPr>
        <w:footnoteReference w:id="62"/>
      </w:r>
      <w:r w:rsidR="00951EBA" w:rsidRPr="00FD620F">
        <w:rPr>
          <w:noProof/>
        </w:rPr>
        <w:t xml:space="preserve">, </w:t>
      </w:r>
      <w:r w:rsidR="00840C05" w:rsidRPr="00FD620F">
        <w:rPr>
          <w:noProof/>
        </w:rPr>
        <w:t xml:space="preserve">will </w:t>
      </w:r>
      <w:r w:rsidR="00951EBA" w:rsidRPr="00FD620F">
        <w:rPr>
          <w:noProof/>
        </w:rPr>
        <w:t>make the inventory reporting</w:t>
      </w:r>
      <w:r w:rsidR="007350F9" w:rsidRPr="00FD620F">
        <w:rPr>
          <w:noProof/>
        </w:rPr>
        <w:t xml:space="preserve"> </w:t>
      </w:r>
      <w:r w:rsidR="00674832" w:rsidRPr="00FD620F">
        <w:rPr>
          <w:noProof/>
        </w:rPr>
        <w:t xml:space="preserve">in accordance with Article 5 of Directive 2008/105/EC </w:t>
      </w:r>
      <w:r w:rsidR="007350F9" w:rsidRPr="00FD620F">
        <w:rPr>
          <w:noProof/>
        </w:rPr>
        <w:t>simpler and</w:t>
      </w:r>
      <w:r w:rsidR="00951EBA" w:rsidRPr="00FD620F">
        <w:rPr>
          <w:noProof/>
        </w:rPr>
        <w:t xml:space="preserve"> more efficient</w:t>
      </w:r>
      <w:r w:rsidR="007E299C" w:rsidRPr="00FD620F">
        <w:rPr>
          <w:noProof/>
        </w:rPr>
        <w:t xml:space="preserve">. </w:t>
      </w:r>
      <w:r w:rsidR="009314A7" w:rsidRPr="00FD620F">
        <w:rPr>
          <w:noProof/>
        </w:rPr>
        <w:t xml:space="preserve">At the same time, it will reduce administrative burden and peak work load in the preparations of the </w:t>
      </w:r>
      <w:r w:rsidR="009B5F71">
        <w:rPr>
          <w:noProof/>
        </w:rPr>
        <w:t>r</w:t>
      </w:r>
      <w:r w:rsidR="009314A7" w:rsidRPr="00FD620F">
        <w:rPr>
          <w:noProof/>
        </w:rPr>
        <w:t xml:space="preserve">iver </w:t>
      </w:r>
      <w:r w:rsidR="009B5F71">
        <w:rPr>
          <w:noProof/>
        </w:rPr>
        <w:t>b</w:t>
      </w:r>
      <w:r w:rsidR="009314A7" w:rsidRPr="00FD620F">
        <w:rPr>
          <w:noProof/>
        </w:rPr>
        <w:t xml:space="preserve">asin </w:t>
      </w:r>
      <w:r w:rsidR="009B5F71">
        <w:rPr>
          <w:noProof/>
        </w:rPr>
        <w:t>m</w:t>
      </w:r>
      <w:r w:rsidR="009314A7" w:rsidRPr="00FD620F">
        <w:rPr>
          <w:noProof/>
        </w:rPr>
        <w:t xml:space="preserve">anagement </w:t>
      </w:r>
      <w:r w:rsidR="009B5F71">
        <w:rPr>
          <w:noProof/>
        </w:rPr>
        <w:t>p</w:t>
      </w:r>
      <w:r w:rsidR="009314A7" w:rsidRPr="00FD620F">
        <w:rPr>
          <w:noProof/>
        </w:rPr>
        <w:t xml:space="preserve">lans. </w:t>
      </w:r>
      <w:r w:rsidR="007E299C" w:rsidRPr="00FD620F">
        <w:rPr>
          <w:noProof/>
        </w:rPr>
        <w:t xml:space="preserve">In combination with the abolition of interim reporting on </w:t>
      </w:r>
      <w:r w:rsidR="00D203CA" w:rsidRPr="00FD620F">
        <w:rPr>
          <w:noProof/>
        </w:rPr>
        <w:t xml:space="preserve">the </w:t>
      </w:r>
      <w:r w:rsidR="007E299C" w:rsidRPr="00FD620F">
        <w:rPr>
          <w:noProof/>
        </w:rPr>
        <w:t xml:space="preserve">progress of programmes of measures, which did not prove </w:t>
      </w:r>
      <w:r w:rsidR="002813A3" w:rsidRPr="00FD620F">
        <w:rPr>
          <w:noProof/>
        </w:rPr>
        <w:t>effective</w:t>
      </w:r>
      <w:r w:rsidR="00951EBA" w:rsidRPr="00FD620F">
        <w:rPr>
          <w:noProof/>
        </w:rPr>
        <w:t xml:space="preserve">, </w:t>
      </w:r>
      <w:r w:rsidR="008905FA" w:rsidRPr="00FD620F">
        <w:rPr>
          <w:noProof/>
        </w:rPr>
        <w:t xml:space="preserve">this simplified reporting </w:t>
      </w:r>
      <w:r w:rsidR="00D203CA" w:rsidRPr="00FD620F">
        <w:rPr>
          <w:noProof/>
        </w:rPr>
        <w:t xml:space="preserve">will </w:t>
      </w:r>
      <w:r w:rsidR="00951EBA" w:rsidRPr="00FD620F">
        <w:rPr>
          <w:noProof/>
        </w:rPr>
        <w:t xml:space="preserve">allow </w:t>
      </w:r>
      <w:r w:rsidR="007350F9" w:rsidRPr="00FD620F">
        <w:rPr>
          <w:noProof/>
        </w:rPr>
        <w:t xml:space="preserve">Member States to put </w:t>
      </w:r>
      <w:r w:rsidR="00951EBA" w:rsidRPr="00FD620F">
        <w:rPr>
          <w:noProof/>
        </w:rPr>
        <w:t xml:space="preserve">more effort into </w:t>
      </w:r>
      <w:r w:rsidR="007350F9" w:rsidRPr="00FD620F">
        <w:rPr>
          <w:noProof/>
        </w:rPr>
        <w:t xml:space="preserve">reporting </w:t>
      </w:r>
      <w:r w:rsidR="00CB3EB5" w:rsidRPr="00FD620F">
        <w:rPr>
          <w:noProof/>
        </w:rPr>
        <w:t xml:space="preserve">emissions </w:t>
      </w:r>
      <w:r w:rsidR="009B5F71">
        <w:rPr>
          <w:noProof/>
        </w:rPr>
        <w:t xml:space="preserve">that are </w:t>
      </w:r>
      <w:r w:rsidR="00CB3EB5" w:rsidRPr="00FD620F">
        <w:rPr>
          <w:noProof/>
        </w:rPr>
        <w:t xml:space="preserve">not covered by </w:t>
      </w:r>
      <w:r w:rsidR="001023CD" w:rsidRPr="00FD620F">
        <w:rPr>
          <w:noProof/>
        </w:rPr>
        <w:t>the legislation on industrial emissions</w:t>
      </w:r>
      <w:r w:rsidR="009B5F71">
        <w:rPr>
          <w:noProof/>
        </w:rPr>
        <w:t xml:space="preserve"> but</w:t>
      </w:r>
      <w:r w:rsidR="00674832" w:rsidRPr="00FD620F">
        <w:rPr>
          <w:noProof/>
        </w:rPr>
        <w:t xml:space="preserve"> </w:t>
      </w:r>
      <w:r w:rsidR="001023CD" w:rsidRPr="00FD620F">
        <w:rPr>
          <w:noProof/>
        </w:rPr>
        <w:t xml:space="preserve">which </w:t>
      </w:r>
      <w:r w:rsidR="00D203CA" w:rsidRPr="00FD620F">
        <w:rPr>
          <w:noProof/>
        </w:rPr>
        <w:t xml:space="preserve">are </w:t>
      </w:r>
      <w:r w:rsidR="001023CD" w:rsidRPr="00FD620F">
        <w:rPr>
          <w:noProof/>
        </w:rPr>
        <w:t>covered by the emission</w:t>
      </w:r>
      <w:r w:rsidR="009B5F71">
        <w:rPr>
          <w:noProof/>
        </w:rPr>
        <w:t>s</w:t>
      </w:r>
      <w:r w:rsidR="001023CD" w:rsidRPr="00FD620F">
        <w:rPr>
          <w:noProof/>
        </w:rPr>
        <w:t xml:space="preserve"> reporting under Article 5 of Directive 2008/105/EC</w:t>
      </w:r>
      <w:r w:rsidR="00707136" w:rsidRPr="00FD620F">
        <w:rPr>
          <w:noProof/>
        </w:rPr>
        <w:t xml:space="preserve">. </w:t>
      </w:r>
      <w:r w:rsidR="00B53F46" w:rsidRPr="00FD620F">
        <w:rPr>
          <w:noProof/>
        </w:rPr>
        <w:t xml:space="preserve"> </w:t>
      </w:r>
    </w:p>
    <w:p w14:paraId="1CE1C972" w14:textId="0ABE2020" w:rsidR="00FC37E6" w:rsidRPr="00FD620F" w:rsidRDefault="00312D4D" w:rsidP="00312D4D">
      <w:pPr>
        <w:pStyle w:val="ManualConsidrant"/>
        <w:rPr>
          <w:noProof/>
        </w:rPr>
      </w:pPr>
      <w:r w:rsidRPr="00312D4D">
        <w:t>(24)</w:t>
      </w:r>
      <w:r w:rsidRPr="00312D4D">
        <w:tab/>
      </w:r>
      <w:r w:rsidR="00FC37E6" w:rsidRPr="00FD620F">
        <w:rPr>
          <w:noProof/>
        </w:rPr>
        <w:t xml:space="preserve">The Treaty of Lisbon introduced a distinction between powers delegated to the Commission to adopt non-legislative acts of general application to supplement or amend certain non-essential elements of a legislative act (delegated acts), and the powers conferred upon the Commission to adopt acts to ensure uniform conditions for implementing legally binding Union acts (implementing acts). </w:t>
      </w:r>
      <w:r w:rsidR="00FF1497" w:rsidRPr="00FD620F">
        <w:rPr>
          <w:noProof/>
        </w:rPr>
        <w:t>Directive</w:t>
      </w:r>
      <w:r w:rsidR="00951750" w:rsidRPr="00FD620F">
        <w:rPr>
          <w:noProof/>
        </w:rPr>
        <w:t>s</w:t>
      </w:r>
      <w:r w:rsidR="00FF1497" w:rsidRPr="00FD620F">
        <w:rPr>
          <w:noProof/>
        </w:rPr>
        <w:t xml:space="preserve"> 2000/60/EC</w:t>
      </w:r>
      <w:r w:rsidR="00951750" w:rsidRPr="00FD620F">
        <w:rPr>
          <w:noProof/>
        </w:rPr>
        <w:t xml:space="preserve"> </w:t>
      </w:r>
      <w:r w:rsidR="00FF1497" w:rsidRPr="00FD620F">
        <w:rPr>
          <w:noProof/>
        </w:rPr>
        <w:t xml:space="preserve">and 2006/118/EC should be </w:t>
      </w:r>
      <w:r w:rsidR="00FC37E6" w:rsidRPr="00FD620F">
        <w:rPr>
          <w:noProof/>
        </w:rPr>
        <w:t xml:space="preserve">aligned to the legal framework introduced by </w:t>
      </w:r>
      <w:r w:rsidR="00FF1497" w:rsidRPr="00FD620F">
        <w:rPr>
          <w:noProof/>
        </w:rPr>
        <w:t>the Lisbon Treaty</w:t>
      </w:r>
      <w:r w:rsidR="00FC37E6" w:rsidRPr="00FD620F">
        <w:rPr>
          <w:noProof/>
        </w:rPr>
        <w:t xml:space="preserve">. </w:t>
      </w:r>
    </w:p>
    <w:p w14:paraId="1CF9D935" w14:textId="455FE417" w:rsidR="00950FFD" w:rsidRPr="00FD620F" w:rsidRDefault="00312D4D" w:rsidP="00312D4D">
      <w:pPr>
        <w:pStyle w:val="ManualConsidrant"/>
        <w:rPr>
          <w:noProof/>
        </w:rPr>
      </w:pPr>
      <w:r w:rsidRPr="00312D4D">
        <w:t>(25)</w:t>
      </w:r>
      <w:r w:rsidRPr="00312D4D">
        <w:tab/>
      </w:r>
      <w:r w:rsidR="00FC37E6" w:rsidRPr="00FD620F">
        <w:rPr>
          <w:noProof/>
        </w:rPr>
        <w:t xml:space="preserve">The empowerments in </w:t>
      </w:r>
      <w:r w:rsidR="0059743D" w:rsidRPr="00FD620F">
        <w:rPr>
          <w:noProof/>
        </w:rPr>
        <w:t xml:space="preserve">Article 20(1), first subparagraph, of </w:t>
      </w:r>
      <w:r w:rsidR="00FC37E6" w:rsidRPr="00FD620F">
        <w:rPr>
          <w:noProof/>
        </w:rPr>
        <w:t xml:space="preserve">Directive 2000/60/EC </w:t>
      </w:r>
      <w:r w:rsidR="0059743D" w:rsidRPr="00FD620F">
        <w:rPr>
          <w:noProof/>
        </w:rPr>
        <w:t xml:space="preserve">and in </w:t>
      </w:r>
      <w:r w:rsidR="008D1DFC" w:rsidRPr="00FD620F">
        <w:rPr>
          <w:noProof/>
        </w:rPr>
        <w:t xml:space="preserve">point 1.4.1(ix) of Annex V to that Directive </w:t>
      </w:r>
      <w:r w:rsidR="00FC37E6" w:rsidRPr="00FD620F">
        <w:rPr>
          <w:noProof/>
        </w:rPr>
        <w:t>which provide for the use of the regulatory procedure with scrutiny fulfil the criteria in Article 290(1) TFEU</w:t>
      </w:r>
      <w:r w:rsidR="00C53C43" w:rsidRPr="00FD620F">
        <w:rPr>
          <w:noProof/>
        </w:rPr>
        <w:t>, since they concern adaptation</w:t>
      </w:r>
      <w:r w:rsidR="0059743D" w:rsidRPr="00FD620F">
        <w:rPr>
          <w:noProof/>
        </w:rPr>
        <w:t>s</w:t>
      </w:r>
      <w:r w:rsidR="00C53C43" w:rsidRPr="00FD620F">
        <w:rPr>
          <w:noProof/>
        </w:rPr>
        <w:t xml:space="preserve"> of the Annexes to that Directive </w:t>
      </w:r>
      <w:r w:rsidR="0059743D" w:rsidRPr="00FD620F">
        <w:rPr>
          <w:noProof/>
        </w:rPr>
        <w:t>and adoption of rules supplementing</w:t>
      </w:r>
      <w:r w:rsidR="00FC37E6" w:rsidRPr="00FD620F">
        <w:rPr>
          <w:noProof/>
        </w:rPr>
        <w:t xml:space="preserve"> </w:t>
      </w:r>
      <w:r w:rsidR="0059743D" w:rsidRPr="00FD620F">
        <w:rPr>
          <w:noProof/>
        </w:rPr>
        <w:t xml:space="preserve">it. They should therefore </w:t>
      </w:r>
      <w:r w:rsidR="00FC37E6" w:rsidRPr="00FD620F">
        <w:rPr>
          <w:noProof/>
        </w:rPr>
        <w:t xml:space="preserve">be </w:t>
      </w:r>
      <w:r w:rsidR="00A92437" w:rsidRPr="00FD620F">
        <w:rPr>
          <w:noProof/>
        </w:rPr>
        <w:t>converted to empowerments for the Commission to adopt delegated acts</w:t>
      </w:r>
      <w:r w:rsidR="00950FFD" w:rsidRPr="00FD620F">
        <w:rPr>
          <w:noProof/>
        </w:rPr>
        <w:t>.</w:t>
      </w:r>
      <w:r w:rsidR="005D6832" w:rsidRPr="00FD620F">
        <w:rPr>
          <w:noProof/>
        </w:rPr>
        <w:t xml:space="preserve"> </w:t>
      </w:r>
      <w:r w:rsidR="00576DC2" w:rsidRPr="00FD620F">
        <w:rPr>
          <w:noProof/>
        </w:rPr>
        <w:t xml:space="preserve">   </w:t>
      </w:r>
    </w:p>
    <w:p w14:paraId="380E81F9" w14:textId="4943B412" w:rsidR="000D6735" w:rsidRPr="00FD620F" w:rsidRDefault="00312D4D" w:rsidP="00312D4D">
      <w:pPr>
        <w:pStyle w:val="ManualConsidrant"/>
        <w:rPr>
          <w:noProof/>
        </w:rPr>
      </w:pPr>
      <w:r w:rsidRPr="00312D4D">
        <w:t>(26)</w:t>
      </w:r>
      <w:r w:rsidRPr="00312D4D">
        <w:tab/>
      </w:r>
      <w:r w:rsidR="005D6832" w:rsidRPr="00FD620F">
        <w:rPr>
          <w:noProof/>
        </w:rPr>
        <w:t>The empowerment</w:t>
      </w:r>
      <w:r w:rsidR="00D24310" w:rsidRPr="00FD620F">
        <w:rPr>
          <w:noProof/>
        </w:rPr>
        <w:t xml:space="preserve"> </w:t>
      </w:r>
      <w:r w:rsidR="005D6832" w:rsidRPr="00FD620F">
        <w:rPr>
          <w:noProof/>
        </w:rPr>
        <w:t xml:space="preserve">in Article 8 of Directive 2006/118/EC </w:t>
      </w:r>
      <w:r w:rsidR="00C53C43" w:rsidRPr="00FD620F">
        <w:rPr>
          <w:noProof/>
        </w:rPr>
        <w:t>which provide</w:t>
      </w:r>
      <w:r w:rsidR="0059743D" w:rsidRPr="00FD620F">
        <w:rPr>
          <w:noProof/>
        </w:rPr>
        <w:t>s</w:t>
      </w:r>
      <w:r w:rsidR="00C53C43" w:rsidRPr="00FD620F">
        <w:rPr>
          <w:noProof/>
        </w:rPr>
        <w:t xml:space="preserve"> for the use of the regulatory procedure with scrutiny</w:t>
      </w:r>
      <w:r w:rsidR="00D3655A" w:rsidRPr="00FD620F">
        <w:rPr>
          <w:noProof/>
        </w:rPr>
        <w:t xml:space="preserve"> </w:t>
      </w:r>
      <w:r w:rsidR="005D6832" w:rsidRPr="00FD620F">
        <w:rPr>
          <w:noProof/>
        </w:rPr>
        <w:t>fulfil</w:t>
      </w:r>
      <w:r w:rsidR="00D24310" w:rsidRPr="00FD620F">
        <w:rPr>
          <w:noProof/>
        </w:rPr>
        <w:t>s</w:t>
      </w:r>
      <w:r w:rsidR="005D6832" w:rsidRPr="00FD620F">
        <w:rPr>
          <w:noProof/>
        </w:rPr>
        <w:t xml:space="preserve"> the criteria in Article 290(1) TFEU</w:t>
      </w:r>
      <w:r w:rsidR="0059743D" w:rsidRPr="00FD620F">
        <w:rPr>
          <w:noProof/>
        </w:rPr>
        <w:t xml:space="preserve">, since it concerns adaptations of the Annexes to that Directive. It </w:t>
      </w:r>
      <w:r w:rsidR="005D6832" w:rsidRPr="00FD620F">
        <w:rPr>
          <w:noProof/>
        </w:rPr>
        <w:t xml:space="preserve">should </w:t>
      </w:r>
      <w:r w:rsidR="0059743D" w:rsidRPr="00FD620F">
        <w:rPr>
          <w:noProof/>
        </w:rPr>
        <w:t xml:space="preserve">therefore </w:t>
      </w:r>
      <w:r w:rsidR="005D6832" w:rsidRPr="00FD620F">
        <w:rPr>
          <w:noProof/>
        </w:rPr>
        <w:t xml:space="preserve">be </w:t>
      </w:r>
      <w:r w:rsidR="00D24310" w:rsidRPr="00FD620F">
        <w:rPr>
          <w:noProof/>
        </w:rPr>
        <w:t xml:space="preserve">converted to </w:t>
      </w:r>
      <w:r w:rsidR="008D1DFC" w:rsidRPr="00FD620F">
        <w:rPr>
          <w:noProof/>
        </w:rPr>
        <w:t xml:space="preserve">an </w:t>
      </w:r>
      <w:r w:rsidR="00D24310" w:rsidRPr="00FD620F">
        <w:rPr>
          <w:noProof/>
        </w:rPr>
        <w:t>empowerment for the Commission to adopt delegated act</w:t>
      </w:r>
      <w:r w:rsidR="008D1DFC" w:rsidRPr="00FD620F">
        <w:rPr>
          <w:noProof/>
        </w:rPr>
        <w:t>s</w:t>
      </w:r>
      <w:r w:rsidR="00816F94" w:rsidRPr="00FD620F">
        <w:rPr>
          <w:noProof/>
        </w:rPr>
        <w:t>.</w:t>
      </w:r>
      <w:r w:rsidR="006D0ECC" w:rsidRPr="00FD620F">
        <w:rPr>
          <w:noProof/>
        </w:rPr>
        <w:t xml:space="preserve">  </w:t>
      </w:r>
    </w:p>
    <w:p w14:paraId="1F9CFE62" w14:textId="75BC061E" w:rsidR="00B7613E" w:rsidRPr="00FD620F" w:rsidRDefault="00312D4D" w:rsidP="00312D4D">
      <w:pPr>
        <w:pStyle w:val="ManualConsidrant"/>
        <w:rPr>
          <w:noProof/>
        </w:rPr>
      </w:pPr>
      <w:r w:rsidRPr="00312D4D">
        <w:t>(27)</w:t>
      </w:r>
      <w:r w:rsidRPr="00312D4D">
        <w:tab/>
      </w:r>
      <w:r w:rsidR="00B7613E" w:rsidRPr="00FD620F">
        <w:rPr>
          <w:noProof/>
        </w:rPr>
        <w:t xml:space="preserve">It is </w:t>
      </w:r>
      <w:r w:rsidR="00972245" w:rsidRPr="00FD620F">
        <w:rPr>
          <w:noProof/>
        </w:rPr>
        <w:t xml:space="preserve">of particular importance </w:t>
      </w:r>
      <w:r w:rsidR="00B7613E" w:rsidRPr="00FD620F">
        <w:rPr>
          <w:noProof/>
        </w:rPr>
        <w:t xml:space="preserve">that the Commission carry out appropriate consultations during the preparation of delegated acts, </w:t>
      </w:r>
      <w:r w:rsidR="00972245" w:rsidRPr="00FD620F">
        <w:rPr>
          <w:noProof/>
        </w:rPr>
        <w:t xml:space="preserve">its preparatory work, including at expert level, </w:t>
      </w:r>
      <w:r w:rsidR="00B7613E" w:rsidRPr="00FD620F">
        <w:rPr>
          <w:noProof/>
        </w:rPr>
        <w:t>and that those consultations be conducted in accordance with the principles laid down in the Interinstitutional Agreement on Better Law-Making</w:t>
      </w:r>
      <w:r w:rsidR="00972245" w:rsidRPr="00FD620F">
        <w:rPr>
          <w:noProof/>
        </w:rPr>
        <w:t xml:space="preserve"> of 13 April 2016</w:t>
      </w:r>
      <w:r w:rsidR="00B7613E" w:rsidRPr="00FD620F">
        <w:rPr>
          <w:noProof/>
        </w:rPr>
        <w:t xml:space="preserve">. In particular, to ensure equal participation in the preparation of delegated acts, the European Parliament and the Council receive all documents at the same time as </w:t>
      </w:r>
      <w:r w:rsidR="00133164" w:rsidRPr="00FD620F">
        <w:rPr>
          <w:noProof/>
        </w:rPr>
        <w:t xml:space="preserve">the </w:t>
      </w:r>
      <w:r w:rsidR="00B7613E" w:rsidRPr="00FD620F">
        <w:rPr>
          <w:noProof/>
        </w:rPr>
        <w:t xml:space="preserve">Member States’ experts, and their experts </w:t>
      </w:r>
      <w:r w:rsidR="009B5F71">
        <w:rPr>
          <w:noProof/>
        </w:rPr>
        <w:t>s</w:t>
      </w:r>
      <w:r w:rsidR="00B7613E" w:rsidRPr="00FD620F">
        <w:rPr>
          <w:noProof/>
        </w:rPr>
        <w:t>ystematically have access to meetings of Commission expert groups dealing with the preparation of delegated acts</w:t>
      </w:r>
      <w:r w:rsidR="007E10DC" w:rsidRPr="00FD620F">
        <w:rPr>
          <w:noProof/>
        </w:rPr>
        <w:t>.</w:t>
      </w:r>
    </w:p>
    <w:p w14:paraId="64D7AFAB" w14:textId="053FA57B" w:rsidR="00CB7AB4" w:rsidRPr="00FD620F" w:rsidRDefault="00312D4D" w:rsidP="00312D4D">
      <w:pPr>
        <w:pStyle w:val="ManualConsidrant"/>
        <w:rPr>
          <w:noProof/>
        </w:rPr>
      </w:pPr>
      <w:r w:rsidRPr="00312D4D">
        <w:t>(28)</w:t>
      </w:r>
      <w:r w:rsidRPr="00312D4D">
        <w:tab/>
      </w:r>
      <w:r w:rsidR="00CB7AB4" w:rsidRPr="00FD620F">
        <w:rPr>
          <w:noProof/>
        </w:rPr>
        <w:t xml:space="preserve">The empowerment </w:t>
      </w:r>
      <w:r w:rsidR="0059743D" w:rsidRPr="00FD620F">
        <w:rPr>
          <w:noProof/>
        </w:rPr>
        <w:t xml:space="preserve">in Article </w:t>
      </w:r>
      <w:r w:rsidR="008D1DFC" w:rsidRPr="00FD620F">
        <w:rPr>
          <w:noProof/>
        </w:rPr>
        <w:t xml:space="preserve">8(3) of Directive 2000/60/EC which provides for the use of the regulatory procedure with scrutiny fulfils the criteria in Article 290(2) TFEU, since it concerns the </w:t>
      </w:r>
      <w:r w:rsidR="00CB7AB4" w:rsidRPr="00FD620F">
        <w:rPr>
          <w:noProof/>
        </w:rPr>
        <w:t>adopt</w:t>
      </w:r>
      <w:r w:rsidR="008D1DFC" w:rsidRPr="00FD620F">
        <w:rPr>
          <w:noProof/>
        </w:rPr>
        <w:t>ion of</w:t>
      </w:r>
      <w:r w:rsidR="00CB7AB4" w:rsidRPr="00FD620F">
        <w:rPr>
          <w:noProof/>
        </w:rPr>
        <w:t xml:space="preserve"> technical specifications and standardised methods for analysis and monitoring of water status </w:t>
      </w:r>
      <w:r w:rsidR="008D1DFC" w:rsidRPr="00FD620F">
        <w:rPr>
          <w:noProof/>
        </w:rPr>
        <w:t xml:space="preserve">and therefore </w:t>
      </w:r>
      <w:r w:rsidR="00CB7AB4" w:rsidRPr="00FD620F">
        <w:rPr>
          <w:noProof/>
        </w:rPr>
        <w:t>aims at ensur</w:t>
      </w:r>
      <w:r w:rsidR="00326B3A" w:rsidRPr="00FD620F">
        <w:rPr>
          <w:noProof/>
        </w:rPr>
        <w:t>ing</w:t>
      </w:r>
      <w:r w:rsidR="00CB7AB4" w:rsidRPr="00FD620F">
        <w:rPr>
          <w:noProof/>
        </w:rPr>
        <w:t>uniform conditions for the harmonised implementation of that Directive</w:t>
      </w:r>
      <w:r w:rsidR="008D1DFC" w:rsidRPr="00FD620F">
        <w:rPr>
          <w:noProof/>
        </w:rPr>
        <w:t xml:space="preserve">. It should therefore be converted to an empowerment for the Commission to adopt </w:t>
      </w:r>
      <w:r w:rsidR="003A1D79" w:rsidRPr="00FD620F">
        <w:rPr>
          <w:noProof/>
        </w:rPr>
        <w:t xml:space="preserve">implementing </w:t>
      </w:r>
      <w:r w:rsidR="008D1DFC" w:rsidRPr="00FD620F">
        <w:rPr>
          <w:noProof/>
        </w:rPr>
        <w:t>acts</w:t>
      </w:r>
      <w:r w:rsidR="00CB7AB4" w:rsidRPr="00FD620F">
        <w:rPr>
          <w:noProof/>
        </w:rPr>
        <w:t xml:space="preserve">.  </w:t>
      </w:r>
      <w:r w:rsidR="009B5F71">
        <w:rPr>
          <w:noProof/>
        </w:rPr>
        <w:t xml:space="preserve">In order to ensure comparability of data, the empowerment should also be extended to include the </w:t>
      </w:r>
      <w:r w:rsidR="009B5F71" w:rsidRPr="00713273">
        <w:rPr>
          <w:noProof/>
        </w:rPr>
        <w:t>establish</w:t>
      </w:r>
      <w:r w:rsidR="009B5F71">
        <w:rPr>
          <w:noProof/>
        </w:rPr>
        <w:t>ment of</w:t>
      </w:r>
      <w:r w:rsidR="009B5F71" w:rsidRPr="00713273">
        <w:rPr>
          <w:noProof/>
        </w:rPr>
        <w:t xml:space="preserve"> formats for reporting monitoring and status data in accordance with</w:t>
      </w:r>
      <w:r w:rsidR="009B5F71">
        <w:rPr>
          <w:noProof/>
        </w:rPr>
        <w:t xml:space="preserve"> Article 8(4). The powers conferred on the Commission </w:t>
      </w:r>
      <w:r w:rsidR="009B5F71" w:rsidRPr="00FD620F">
        <w:rPr>
          <w:noProof/>
        </w:rPr>
        <w:t>should be exercised in accordance with Regulation (EU) No 182/2011 of the European Parliament and of the Council</w:t>
      </w:r>
      <w:r w:rsidR="009B5F71">
        <w:rPr>
          <w:rStyle w:val="FootnoteReference"/>
          <w:noProof/>
        </w:rPr>
        <w:footnoteReference w:id="63"/>
      </w:r>
      <w:r w:rsidR="009B5F71">
        <w:rPr>
          <w:noProof/>
        </w:rPr>
        <w:t>.</w:t>
      </w:r>
    </w:p>
    <w:p w14:paraId="417B2A8F" w14:textId="62056D51" w:rsidR="008D1DFC" w:rsidRPr="00FD620F" w:rsidRDefault="00312D4D" w:rsidP="00312D4D">
      <w:pPr>
        <w:pStyle w:val="ManualConsidrant"/>
        <w:rPr>
          <w:noProof/>
        </w:rPr>
      </w:pPr>
      <w:r w:rsidRPr="00312D4D">
        <w:t>(29)</w:t>
      </w:r>
      <w:r w:rsidRPr="00312D4D">
        <w:tab/>
      </w:r>
      <w:r w:rsidR="00972245" w:rsidRPr="00FD620F">
        <w:rPr>
          <w:noProof/>
        </w:rPr>
        <w:t xml:space="preserve">In order to </w:t>
      </w:r>
      <w:r w:rsidR="008D1DFC" w:rsidRPr="00FD620F">
        <w:rPr>
          <w:noProof/>
        </w:rPr>
        <w:t xml:space="preserve">ensure uniform conditions for the implementation of Directive 2000/60/EC, implementing powers should be conferred on the Commission </w:t>
      </w:r>
      <w:r w:rsidR="00972245" w:rsidRPr="00FD620F">
        <w:rPr>
          <w:noProof/>
        </w:rPr>
        <w:t>to</w:t>
      </w:r>
      <w:r w:rsidR="008D1DFC" w:rsidRPr="00FD620F">
        <w:rPr>
          <w:noProof/>
        </w:rPr>
        <w:t xml:space="preserve"> </w:t>
      </w:r>
      <w:r w:rsidR="00880943" w:rsidRPr="00FD620F">
        <w:rPr>
          <w:noProof/>
        </w:rPr>
        <w:t xml:space="preserve">adopt technical </w:t>
      </w:r>
      <w:r w:rsidR="00326B3A" w:rsidRPr="00FD620F">
        <w:rPr>
          <w:noProof/>
        </w:rPr>
        <w:t xml:space="preserve">formats for </w:t>
      </w:r>
      <w:r w:rsidR="00880943" w:rsidRPr="00FD620F">
        <w:rPr>
          <w:noProof/>
        </w:rPr>
        <w:t xml:space="preserve">reporting </w:t>
      </w:r>
      <w:r w:rsidR="007009A3" w:rsidRPr="00FD620F">
        <w:rPr>
          <w:noProof/>
        </w:rPr>
        <w:t>monitoring and water status data</w:t>
      </w:r>
      <w:r w:rsidR="00880943" w:rsidRPr="00FD620F">
        <w:rPr>
          <w:noProof/>
        </w:rPr>
        <w:t xml:space="preserve"> in accordance with Article 8(3) of Directive 2000/60/EC</w:t>
      </w:r>
      <w:r w:rsidR="008D1DFC" w:rsidRPr="00FD620F">
        <w:rPr>
          <w:noProof/>
        </w:rPr>
        <w:t>. Those powers should be exercised in accordance with Regulation (EU) No 182/2011</w:t>
      </w:r>
      <w:r w:rsidR="00A12E9C">
        <w:rPr>
          <w:noProof/>
        </w:rPr>
        <w:t>.</w:t>
      </w:r>
      <w:r w:rsidR="008D1DFC" w:rsidRPr="00FD620F">
        <w:rPr>
          <w:noProof/>
        </w:rPr>
        <w:t xml:space="preserve"> </w:t>
      </w:r>
    </w:p>
    <w:p w14:paraId="2D1C77F5" w14:textId="0A8D1904" w:rsidR="00D96E0F" w:rsidRPr="00FD620F" w:rsidRDefault="00312D4D" w:rsidP="00312D4D">
      <w:pPr>
        <w:pStyle w:val="ManualConsidrant"/>
        <w:rPr>
          <w:noProof/>
        </w:rPr>
      </w:pPr>
      <w:r w:rsidRPr="00312D4D">
        <w:t>(30)</w:t>
      </w:r>
      <w:r w:rsidRPr="00312D4D">
        <w:tab/>
      </w:r>
      <w:r w:rsidR="008D1DFC" w:rsidRPr="00FD620F">
        <w:rPr>
          <w:noProof/>
        </w:rPr>
        <w:t>In order to ensure uniform conditions for the implementation of Directive 2008/105/EC, implementing powe</w:t>
      </w:r>
      <w:r w:rsidR="007E6ADC" w:rsidRPr="00FD620F">
        <w:rPr>
          <w:noProof/>
        </w:rPr>
        <w:t>r</w:t>
      </w:r>
      <w:r w:rsidR="008D1DFC" w:rsidRPr="00FD620F">
        <w:rPr>
          <w:noProof/>
        </w:rPr>
        <w:t xml:space="preserve">s should be conferred on the Commission to </w:t>
      </w:r>
      <w:r w:rsidR="008E78F2" w:rsidRPr="00FD620F">
        <w:rPr>
          <w:noProof/>
        </w:rPr>
        <w:t>adopt standardised f</w:t>
      </w:r>
      <w:r w:rsidR="003C62A6" w:rsidRPr="00FD620F">
        <w:rPr>
          <w:noProof/>
        </w:rPr>
        <w:t xml:space="preserve">ormats </w:t>
      </w:r>
      <w:r w:rsidR="002D38C8" w:rsidRPr="00FD620F">
        <w:rPr>
          <w:noProof/>
        </w:rPr>
        <w:t>for</w:t>
      </w:r>
      <w:r w:rsidR="003C62A6" w:rsidRPr="00FD620F">
        <w:rPr>
          <w:noProof/>
        </w:rPr>
        <w:t xml:space="preserve"> </w:t>
      </w:r>
      <w:r w:rsidR="009A5970" w:rsidRPr="00FD620F">
        <w:rPr>
          <w:noProof/>
        </w:rPr>
        <w:t xml:space="preserve">the </w:t>
      </w:r>
      <w:r w:rsidR="008E78F2" w:rsidRPr="00FD620F">
        <w:rPr>
          <w:noProof/>
        </w:rPr>
        <w:t>reporting o</w:t>
      </w:r>
      <w:r w:rsidR="003C62A6" w:rsidRPr="00FD620F">
        <w:rPr>
          <w:noProof/>
        </w:rPr>
        <w:t xml:space="preserve">f </w:t>
      </w:r>
      <w:r w:rsidR="009A5970" w:rsidRPr="00FD620F">
        <w:rPr>
          <w:noProof/>
        </w:rPr>
        <w:t xml:space="preserve">point source </w:t>
      </w:r>
      <w:r w:rsidR="003C62A6" w:rsidRPr="00FD620F">
        <w:rPr>
          <w:noProof/>
        </w:rPr>
        <w:t xml:space="preserve">emissions </w:t>
      </w:r>
      <w:r w:rsidR="002D38C8" w:rsidRPr="00FD620F">
        <w:rPr>
          <w:noProof/>
        </w:rPr>
        <w:t xml:space="preserve">not </w:t>
      </w:r>
      <w:r w:rsidR="003C62A6" w:rsidRPr="00FD620F">
        <w:rPr>
          <w:noProof/>
        </w:rPr>
        <w:t xml:space="preserve">covered by Regulation </w:t>
      </w:r>
      <w:r w:rsidR="00797F30" w:rsidRPr="00FD620F">
        <w:rPr>
          <w:noProof/>
        </w:rPr>
        <w:t xml:space="preserve">(EU) </w:t>
      </w:r>
      <w:r w:rsidR="00A12E9C">
        <w:rPr>
          <w:noProof/>
        </w:rPr>
        <w:t xml:space="preserve">…/… </w:t>
      </w:r>
      <w:r w:rsidR="00A12E9C" w:rsidRPr="005810EF">
        <w:rPr>
          <w:noProof/>
        </w:rPr>
        <w:t>of the European Parliament and of the Council</w:t>
      </w:r>
      <w:r w:rsidR="00C40A8F" w:rsidRPr="005810EF">
        <w:rPr>
          <w:rStyle w:val="FootnoteReference"/>
          <w:noProof/>
        </w:rPr>
        <w:footnoteReference w:customMarkFollows="1" w:id="64"/>
        <w:t>+</w:t>
      </w:r>
      <w:r w:rsidR="00A12E9C" w:rsidRPr="005810EF">
        <w:rPr>
          <w:noProof/>
        </w:rPr>
        <w:t xml:space="preserve"> </w:t>
      </w:r>
      <w:r w:rsidR="002D38C8" w:rsidRPr="00FD620F">
        <w:rPr>
          <w:noProof/>
        </w:rPr>
        <w:t>,</w:t>
      </w:r>
      <w:r w:rsidR="007009A3" w:rsidRPr="00FD620F">
        <w:rPr>
          <w:noProof/>
        </w:rPr>
        <w:t xml:space="preserve"> to the EEA. </w:t>
      </w:r>
      <w:r w:rsidR="003C62A6" w:rsidRPr="00FD620F">
        <w:rPr>
          <w:noProof/>
        </w:rPr>
        <w:t>Those powers should be exercised in accordance with Regulation (EU) No 182/2011.</w:t>
      </w:r>
    </w:p>
    <w:p w14:paraId="0D366C80" w14:textId="0FB414C2" w:rsidR="00537B5D" w:rsidRPr="00FD620F" w:rsidRDefault="00312D4D" w:rsidP="00312D4D">
      <w:pPr>
        <w:pStyle w:val="ManualConsidrant"/>
        <w:rPr>
          <w:noProof/>
        </w:rPr>
      </w:pPr>
      <w:r w:rsidRPr="00312D4D">
        <w:t>(31)</w:t>
      </w:r>
      <w:r w:rsidRPr="00312D4D">
        <w:tab/>
      </w:r>
      <w:r w:rsidR="00CB7AB4" w:rsidRPr="00FD620F">
        <w:rPr>
          <w:noProof/>
        </w:rPr>
        <w:t>I</w:t>
      </w:r>
      <w:r w:rsidR="00537B5D" w:rsidRPr="00FD620F">
        <w:rPr>
          <w:noProof/>
        </w:rPr>
        <w:t xml:space="preserve">t is necessary to </w:t>
      </w:r>
      <w:r w:rsidR="00CB7AB4" w:rsidRPr="00FD620F">
        <w:rPr>
          <w:noProof/>
        </w:rPr>
        <w:t xml:space="preserve">take into account scientific and technical progress in the area of monitoring </w:t>
      </w:r>
      <w:r w:rsidR="007E6ADC" w:rsidRPr="00FD620F">
        <w:rPr>
          <w:noProof/>
        </w:rPr>
        <w:t>of the status of water bodies in accordance with the monitoring requirements set out in Annex V to Directive 2000/60/EC</w:t>
      </w:r>
      <w:r w:rsidR="007A73B7">
        <w:rPr>
          <w:noProof/>
        </w:rPr>
        <w:t xml:space="preserve">. Therefore, Member States should be </w:t>
      </w:r>
      <w:r w:rsidR="006314AF" w:rsidRPr="00FD620F">
        <w:rPr>
          <w:noProof/>
        </w:rPr>
        <w:t>allow</w:t>
      </w:r>
      <w:r w:rsidR="007A73B7">
        <w:rPr>
          <w:noProof/>
        </w:rPr>
        <w:t>ed to</w:t>
      </w:r>
      <w:r w:rsidR="008342D8" w:rsidRPr="00FD620F">
        <w:rPr>
          <w:noProof/>
        </w:rPr>
        <w:t xml:space="preserve"> use of </w:t>
      </w:r>
      <w:r w:rsidR="00D41907" w:rsidRPr="00FD620F">
        <w:rPr>
          <w:noProof/>
        </w:rPr>
        <w:t>data and services from remote sensing technologies, earth observation (Copernicus services), in-situ sens</w:t>
      </w:r>
      <w:r w:rsidR="00E84F30" w:rsidRPr="00FD620F">
        <w:rPr>
          <w:noProof/>
        </w:rPr>
        <w:t>o</w:t>
      </w:r>
      <w:r w:rsidR="00D41907" w:rsidRPr="00FD620F">
        <w:rPr>
          <w:noProof/>
        </w:rPr>
        <w:t xml:space="preserve">rs and devices, or citizen science data, leveraging the opportunities offered by artificial intelligence, advanced data analysis and processing. </w:t>
      </w:r>
      <w:r w:rsidR="00537B5D" w:rsidRPr="00FD620F">
        <w:rPr>
          <w:noProof/>
        </w:rPr>
        <w:t xml:space="preserve"> </w:t>
      </w:r>
    </w:p>
    <w:p w14:paraId="7BED2C49" w14:textId="3C5B2555" w:rsidR="000332E9" w:rsidRPr="00FD620F" w:rsidRDefault="00312D4D" w:rsidP="00312D4D">
      <w:pPr>
        <w:pStyle w:val="ManualConsidrant"/>
        <w:rPr>
          <w:noProof/>
        </w:rPr>
      </w:pPr>
      <w:r w:rsidRPr="00312D4D">
        <w:t>(32)</w:t>
      </w:r>
      <w:r w:rsidRPr="00312D4D">
        <w:tab/>
      </w:r>
      <w:r w:rsidR="000332E9" w:rsidRPr="00FD620F">
        <w:rPr>
          <w:noProof/>
        </w:rPr>
        <w:t xml:space="preserve">Considering </w:t>
      </w:r>
      <w:r w:rsidR="00AD08E4" w:rsidRPr="00FD620F">
        <w:rPr>
          <w:noProof/>
        </w:rPr>
        <w:t xml:space="preserve">the </w:t>
      </w:r>
      <w:r w:rsidR="000332E9" w:rsidRPr="00FD620F">
        <w:rPr>
          <w:noProof/>
        </w:rPr>
        <w:t>increase</w:t>
      </w:r>
      <w:r w:rsidR="00093561" w:rsidRPr="00FD620F">
        <w:rPr>
          <w:noProof/>
        </w:rPr>
        <w:t xml:space="preserve">s in </w:t>
      </w:r>
      <w:r w:rsidR="000332E9" w:rsidRPr="00FD620F">
        <w:rPr>
          <w:noProof/>
        </w:rPr>
        <w:t>unforeseeable weather events</w:t>
      </w:r>
      <w:r w:rsidR="00CB7AB4" w:rsidRPr="00FD620F">
        <w:rPr>
          <w:noProof/>
        </w:rPr>
        <w:t xml:space="preserve">, in particular extreme floods and prolonged droughts, </w:t>
      </w:r>
      <w:r w:rsidR="005D597B" w:rsidRPr="00FD620F">
        <w:rPr>
          <w:noProof/>
        </w:rPr>
        <w:t xml:space="preserve">and in </w:t>
      </w:r>
      <w:r w:rsidR="00CB7AB4" w:rsidRPr="00FD620F">
        <w:rPr>
          <w:noProof/>
        </w:rPr>
        <w:t>significant pollution incidents</w:t>
      </w:r>
      <w:r w:rsidR="00DF18E1" w:rsidRPr="00FD620F">
        <w:rPr>
          <w:noProof/>
        </w:rPr>
        <w:t xml:space="preserve">resulting in </w:t>
      </w:r>
      <w:r w:rsidR="00AD08E4" w:rsidRPr="00FD620F">
        <w:rPr>
          <w:noProof/>
        </w:rPr>
        <w:t xml:space="preserve">or exacerbating </w:t>
      </w:r>
      <w:r w:rsidR="00DF18E1" w:rsidRPr="00FD620F">
        <w:rPr>
          <w:noProof/>
        </w:rPr>
        <w:t>transboundary accidental pollution</w:t>
      </w:r>
      <w:r w:rsidR="000332E9" w:rsidRPr="00FD620F">
        <w:rPr>
          <w:noProof/>
        </w:rPr>
        <w:t xml:space="preserve">, Member States should </w:t>
      </w:r>
      <w:r w:rsidR="00F74113" w:rsidRPr="00FD620F">
        <w:rPr>
          <w:noProof/>
        </w:rPr>
        <w:t xml:space="preserve">be required to </w:t>
      </w:r>
      <w:r w:rsidR="000332E9" w:rsidRPr="00FD620F">
        <w:rPr>
          <w:noProof/>
        </w:rPr>
        <w:t xml:space="preserve">ensure </w:t>
      </w:r>
      <w:r w:rsidR="005D597B" w:rsidRPr="00FD620F">
        <w:rPr>
          <w:noProof/>
        </w:rPr>
        <w:t xml:space="preserve">that </w:t>
      </w:r>
      <w:r w:rsidR="0069134F" w:rsidRPr="00FD620F">
        <w:rPr>
          <w:noProof/>
        </w:rPr>
        <w:t>immediate information</w:t>
      </w:r>
      <w:r w:rsidR="000332E9" w:rsidRPr="00FD620F">
        <w:rPr>
          <w:noProof/>
        </w:rPr>
        <w:t xml:space="preserve"> o</w:t>
      </w:r>
      <w:r w:rsidR="0069134F" w:rsidRPr="00FD620F">
        <w:rPr>
          <w:noProof/>
        </w:rPr>
        <w:t>n</w:t>
      </w:r>
      <w:r w:rsidR="000332E9" w:rsidRPr="00FD620F">
        <w:rPr>
          <w:noProof/>
        </w:rPr>
        <w:t xml:space="preserve"> such incidents </w:t>
      </w:r>
      <w:r w:rsidR="005D597B" w:rsidRPr="00FD620F">
        <w:rPr>
          <w:noProof/>
        </w:rPr>
        <w:t xml:space="preserve">is provided to </w:t>
      </w:r>
      <w:r w:rsidR="007E6ADC" w:rsidRPr="00FD620F">
        <w:rPr>
          <w:noProof/>
        </w:rPr>
        <w:t xml:space="preserve">other potentially affected Member States </w:t>
      </w:r>
      <w:r w:rsidR="000332E9" w:rsidRPr="00FD620F">
        <w:rPr>
          <w:noProof/>
        </w:rPr>
        <w:t xml:space="preserve">and </w:t>
      </w:r>
      <w:r w:rsidR="00093561" w:rsidRPr="00FD620F">
        <w:rPr>
          <w:noProof/>
        </w:rPr>
        <w:t>effectiv</w:t>
      </w:r>
      <w:r w:rsidR="00E62A52" w:rsidRPr="00FD620F">
        <w:rPr>
          <w:noProof/>
        </w:rPr>
        <w:t>ely cooperate with potentially affected Member States to mitigate the effects</w:t>
      </w:r>
      <w:r w:rsidR="005D597B" w:rsidRPr="00FD620F">
        <w:rPr>
          <w:noProof/>
        </w:rPr>
        <w:t xml:space="preserve"> of the event or incident</w:t>
      </w:r>
      <w:r w:rsidR="000332E9" w:rsidRPr="00FD620F">
        <w:rPr>
          <w:noProof/>
        </w:rPr>
        <w:t xml:space="preserve">. </w:t>
      </w:r>
      <w:r w:rsidR="00A8521C" w:rsidRPr="00FD620F">
        <w:rPr>
          <w:noProof/>
        </w:rPr>
        <w:t>It is also necessary to reinforce co</w:t>
      </w:r>
      <w:r w:rsidR="00952DAA" w:rsidRPr="00FD620F">
        <w:rPr>
          <w:noProof/>
        </w:rPr>
        <w:t>operation between Member States</w:t>
      </w:r>
      <w:r w:rsidR="00A8521C" w:rsidRPr="00FD620F">
        <w:rPr>
          <w:noProof/>
        </w:rPr>
        <w:t xml:space="preserve"> and streamline procedures for transboundary cooperation in case of </w:t>
      </w:r>
      <w:r w:rsidR="00952DAA" w:rsidRPr="00FD620F">
        <w:rPr>
          <w:noProof/>
        </w:rPr>
        <w:t>more structural</w:t>
      </w:r>
      <w:r w:rsidR="00BF2CC8" w:rsidRPr="00FD620F">
        <w:rPr>
          <w:noProof/>
        </w:rPr>
        <w:t>, i.e. non accidental and longer term</w:t>
      </w:r>
      <w:r w:rsidR="00952DAA" w:rsidRPr="00FD620F">
        <w:rPr>
          <w:noProof/>
        </w:rPr>
        <w:t xml:space="preserve"> </w:t>
      </w:r>
      <w:r w:rsidR="007E6ADC" w:rsidRPr="00FD620F">
        <w:rPr>
          <w:noProof/>
        </w:rPr>
        <w:t xml:space="preserve">transboundary </w:t>
      </w:r>
      <w:r w:rsidR="00952DAA" w:rsidRPr="00FD620F">
        <w:rPr>
          <w:noProof/>
        </w:rPr>
        <w:t>issues which cannot be solved at Member State level</w:t>
      </w:r>
      <w:r w:rsidR="0069134F" w:rsidRPr="00FD620F">
        <w:rPr>
          <w:noProof/>
        </w:rPr>
        <w:t>, in accordance with Article 12 of Directive 2000/60/EC</w:t>
      </w:r>
      <w:r w:rsidR="00952DAA" w:rsidRPr="00FD620F">
        <w:rPr>
          <w:noProof/>
        </w:rPr>
        <w:t xml:space="preserve">. </w:t>
      </w:r>
      <w:r w:rsidR="009A19CE" w:rsidRPr="009A19CE">
        <w:rPr>
          <w:noProof/>
        </w:rPr>
        <w:t>In case European assistance is necessary, competent national authorities may send requests for assistance to the Emergency Response Coordination Centre of the Commission, which will coordinate possible offers of assistance and their deployment through the Union Civil Protection Mechanism, in accordance with Article 15 of Decision 1313/2013 of the European Parliament and of the Council</w:t>
      </w:r>
      <w:r w:rsidR="009A19CE">
        <w:rPr>
          <w:rStyle w:val="FootnoteReference"/>
          <w:noProof/>
        </w:rPr>
        <w:footnoteReference w:id="65"/>
      </w:r>
      <w:r w:rsidR="009A19CE" w:rsidRPr="009A19CE">
        <w:rPr>
          <w:noProof/>
        </w:rPr>
        <w:t>.</w:t>
      </w:r>
      <w:r w:rsidR="000332E9" w:rsidRPr="00FD620F">
        <w:rPr>
          <w:noProof/>
        </w:rPr>
        <w:t xml:space="preserve"> </w:t>
      </w:r>
    </w:p>
    <w:p w14:paraId="54C8D8CA" w14:textId="0A355DC6" w:rsidR="00D5680F" w:rsidRPr="00FD620F" w:rsidRDefault="00312D4D" w:rsidP="00312D4D">
      <w:pPr>
        <w:pStyle w:val="ManualConsidrant"/>
        <w:rPr>
          <w:noProof/>
        </w:rPr>
      </w:pPr>
      <w:r w:rsidRPr="00312D4D">
        <w:t>(33)</w:t>
      </w:r>
      <w:r w:rsidRPr="00312D4D">
        <w:tab/>
      </w:r>
      <w:r w:rsidR="00D5680F" w:rsidRPr="00FD620F">
        <w:rPr>
          <w:noProof/>
        </w:rPr>
        <w:t>Directives 2000/60/EU, 2006/118/EC and 2008/105/EC should therefore be amended accordingly.</w:t>
      </w:r>
    </w:p>
    <w:p w14:paraId="3831A95B" w14:textId="50FCB840" w:rsidR="0047629D" w:rsidRPr="00FD620F" w:rsidRDefault="00312D4D" w:rsidP="00312D4D">
      <w:pPr>
        <w:pStyle w:val="ManualConsidrant"/>
        <w:rPr>
          <w:noProof/>
        </w:rPr>
      </w:pPr>
      <w:r w:rsidRPr="00312D4D">
        <w:t>(34)</w:t>
      </w:r>
      <w:r w:rsidRPr="00312D4D">
        <w:tab/>
      </w:r>
      <w:r w:rsidR="00D5680F" w:rsidRPr="00FD620F">
        <w:rPr>
          <w:noProof/>
        </w:rPr>
        <w:t xml:space="preserve">Since the objectives of this Directive, namely to ensure a high level of environmental protection and </w:t>
      </w:r>
      <w:r w:rsidR="005D597B" w:rsidRPr="00FD620F">
        <w:rPr>
          <w:noProof/>
        </w:rPr>
        <w:t xml:space="preserve">an </w:t>
      </w:r>
      <w:r w:rsidR="00D5680F" w:rsidRPr="00FD620F">
        <w:rPr>
          <w:noProof/>
        </w:rPr>
        <w:t xml:space="preserve">improvement of </w:t>
      </w:r>
      <w:r w:rsidR="005D597B" w:rsidRPr="00FD620F">
        <w:rPr>
          <w:noProof/>
        </w:rPr>
        <w:t xml:space="preserve">the </w:t>
      </w:r>
      <w:r w:rsidR="00D5680F" w:rsidRPr="00FD620F">
        <w:rPr>
          <w:noProof/>
        </w:rPr>
        <w:t>environmental quality</w:t>
      </w:r>
      <w:r w:rsidR="00320CD5" w:rsidRPr="00FD620F">
        <w:rPr>
          <w:noProof/>
        </w:rPr>
        <w:t xml:space="preserve"> of European freshwaters</w:t>
      </w:r>
      <w:r w:rsidR="00D5680F" w:rsidRPr="00FD620F">
        <w:rPr>
          <w:noProof/>
        </w:rPr>
        <w:t xml:space="preserve">, cannot be sufficiently achieved by Member States </w:t>
      </w:r>
      <w:r w:rsidR="008342D8" w:rsidRPr="00FD620F">
        <w:rPr>
          <w:noProof/>
        </w:rPr>
        <w:t>alone but</w:t>
      </w:r>
      <w:r w:rsidR="00D5680F" w:rsidRPr="00FD620F">
        <w:rPr>
          <w:noProof/>
        </w:rPr>
        <w:t xml:space="preserve"> can</w:t>
      </w:r>
      <w:r w:rsidR="0069134F" w:rsidRPr="00FD620F">
        <w:rPr>
          <w:noProof/>
        </w:rPr>
        <w:t xml:space="preserve"> rather</w:t>
      </w:r>
      <w:r w:rsidR="00D5680F" w:rsidRPr="00FD620F">
        <w:rPr>
          <w:noProof/>
        </w:rPr>
        <w:t xml:space="preserve">, by reason of the transboundary nature of water pollution, be better achieved at Union level, the Union may adopt measures in accordance with the principle of subsidiarity as set out in Article 5 of the Treaty on European Union. </w:t>
      </w:r>
      <w:r w:rsidR="00D7476B" w:rsidRPr="00FD620F">
        <w:rPr>
          <w:noProof/>
        </w:rPr>
        <w:t>In accordance with the principle of proportionality, as set out in that Article, this Directive does not go beyond what is necessary in order to achieve those objectives</w:t>
      </w:r>
      <w:r w:rsidR="0053547E" w:rsidRPr="00FD620F">
        <w:rPr>
          <w:noProof/>
        </w:rPr>
        <w:t>,</w:t>
      </w:r>
      <w:r w:rsidR="00D7476B" w:rsidRPr="00FD620F">
        <w:rPr>
          <w:noProof/>
        </w:rPr>
        <w:t xml:space="preserve"> </w:t>
      </w:r>
    </w:p>
    <w:p w14:paraId="643AD815" w14:textId="77777777" w:rsidR="002627D3" w:rsidRPr="00FD620F" w:rsidRDefault="002627D3" w:rsidP="00403AE9">
      <w:pPr>
        <w:rPr>
          <w:noProof/>
        </w:rPr>
      </w:pPr>
    </w:p>
    <w:p w14:paraId="4080772B" w14:textId="77777777" w:rsidR="0047629D" w:rsidRPr="00FD620F" w:rsidRDefault="0047629D" w:rsidP="00731038">
      <w:pPr>
        <w:pStyle w:val="Formuledadoption"/>
        <w:rPr>
          <w:noProof/>
        </w:rPr>
      </w:pPr>
      <w:r w:rsidRPr="00FD620F">
        <w:rPr>
          <w:noProof/>
        </w:rPr>
        <w:t>HAVE ADOPTED THIS DIRECTIVE:</w:t>
      </w:r>
    </w:p>
    <w:p w14:paraId="1B6888C9" w14:textId="77777777" w:rsidR="00064ADB" w:rsidRPr="00FD620F" w:rsidRDefault="00064ADB" w:rsidP="00064ADB">
      <w:pPr>
        <w:pStyle w:val="Titrearticle"/>
        <w:rPr>
          <w:noProof/>
        </w:rPr>
      </w:pPr>
      <w:r w:rsidRPr="00FD620F">
        <w:rPr>
          <w:noProof/>
        </w:rPr>
        <w:t xml:space="preserve">Article </w:t>
      </w:r>
      <w:r w:rsidR="00EE4772" w:rsidRPr="00FD620F">
        <w:rPr>
          <w:noProof/>
        </w:rPr>
        <w:t>1</w:t>
      </w:r>
    </w:p>
    <w:p w14:paraId="14544A88" w14:textId="77777777" w:rsidR="00064ADB" w:rsidRPr="00FD620F" w:rsidRDefault="00064ADB" w:rsidP="00064ADB">
      <w:pPr>
        <w:jc w:val="center"/>
        <w:rPr>
          <w:i/>
          <w:noProof/>
        </w:rPr>
      </w:pPr>
      <w:r w:rsidRPr="00FD620F">
        <w:rPr>
          <w:i/>
          <w:noProof/>
        </w:rPr>
        <w:t>Amendments to Directive 2000/60/EC</w:t>
      </w:r>
    </w:p>
    <w:p w14:paraId="00BC1023" w14:textId="77777777" w:rsidR="00064ADB" w:rsidRPr="00FD620F" w:rsidRDefault="00064ADB" w:rsidP="00064ADB">
      <w:pPr>
        <w:rPr>
          <w:noProof/>
        </w:rPr>
      </w:pPr>
      <w:r w:rsidRPr="00FD620F">
        <w:rPr>
          <w:noProof/>
        </w:rPr>
        <w:t>Directive 2000/60/EC is amended as follows:</w:t>
      </w:r>
    </w:p>
    <w:p w14:paraId="49C3C231" w14:textId="75C2E5F4" w:rsidR="00064ADB" w:rsidRPr="00FD620F" w:rsidRDefault="00312D4D" w:rsidP="00312D4D">
      <w:pPr>
        <w:pStyle w:val="Point0"/>
        <w:rPr>
          <w:noProof/>
        </w:rPr>
      </w:pPr>
      <w:r w:rsidRPr="00312D4D">
        <w:t>(1)</w:t>
      </w:r>
      <w:r w:rsidRPr="00312D4D">
        <w:tab/>
      </w:r>
      <w:r w:rsidR="00064ADB" w:rsidRPr="00FD620F">
        <w:rPr>
          <w:noProof/>
        </w:rPr>
        <w:t xml:space="preserve">in Article 1, the fourth indent is replaced by the following: </w:t>
      </w:r>
    </w:p>
    <w:p w14:paraId="75FDA379" w14:textId="77777777" w:rsidR="00064ADB" w:rsidRPr="00FD620F" w:rsidRDefault="00064ADB" w:rsidP="00064ADB">
      <w:pPr>
        <w:pStyle w:val="Text1"/>
        <w:rPr>
          <w:i/>
          <w:noProof/>
        </w:rPr>
      </w:pPr>
      <w:r w:rsidRPr="00FD620F">
        <w:rPr>
          <w:noProof/>
        </w:rPr>
        <w:t>‘</w:t>
      </w:r>
      <w:r w:rsidRPr="00FD620F">
        <w:rPr>
          <w:noProof/>
        </w:rPr>
        <w:softHyphen/>
        <w:t xml:space="preserve">— achieving the objectives of relevant international agreements, including those which aim to prevent and eliminate pollution of the marine environment, by Union action to cease or phase out discharges, emissions and losses of priority hazardous substances, with the ultimate aim of achieving concentrations in the marine environment near background values for naturally occurring substances and close to zero for man-made synthetic substances.’; </w:t>
      </w:r>
      <w:r w:rsidRPr="00FD620F">
        <w:rPr>
          <w:i/>
          <w:noProof/>
        </w:rPr>
        <w:t xml:space="preserve"> </w:t>
      </w:r>
    </w:p>
    <w:p w14:paraId="1E753DD0" w14:textId="3CF09CFA" w:rsidR="00064ADB" w:rsidRPr="00FD620F" w:rsidRDefault="00312D4D" w:rsidP="00312D4D">
      <w:pPr>
        <w:pStyle w:val="Point0"/>
        <w:rPr>
          <w:noProof/>
        </w:rPr>
      </w:pPr>
      <w:r w:rsidRPr="00312D4D">
        <w:t>(2)</w:t>
      </w:r>
      <w:r w:rsidRPr="00312D4D">
        <w:tab/>
      </w:r>
      <w:r w:rsidR="00064ADB" w:rsidRPr="00FD620F">
        <w:rPr>
          <w:noProof/>
        </w:rPr>
        <w:t>Article 2 is amended as follows:</w:t>
      </w:r>
    </w:p>
    <w:p w14:paraId="12D11AEC" w14:textId="43696265" w:rsidR="00064ADB" w:rsidRPr="00FD620F" w:rsidRDefault="00312D4D" w:rsidP="00312D4D">
      <w:pPr>
        <w:pStyle w:val="Point1"/>
        <w:rPr>
          <w:noProof/>
        </w:rPr>
      </w:pPr>
      <w:r w:rsidRPr="00312D4D">
        <w:t>(a)</w:t>
      </w:r>
      <w:r w:rsidRPr="00312D4D">
        <w:tab/>
      </w:r>
      <w:r w:rsidR="00064ADB" w:rsidRPr="00FD620F">
        <w:rPr>
          <w:noProof/>
        </w:rPr>
        <w:t>point (24) is replaced by the following:</w:t>
      </w:r>
    </w:p>
    <w:p w14:paraId="7B0298B6" w14:textId="77777777" w:rsidR="00064ADB" w:rsidRPr="00FD620F" w:rsidRDefault="00064ADB" w:rsidP="00064ADB">
      <w:pPr>
        <w:pStyle w:val="Text1"/>
        <w:ind w:left="1418"/>
        <w:rPr>
          <w:noProof/>
        </w:rPr>
      </w:pPr>
      <w:r w:rsidRPr="00FD620F">
        <w:rPr>
          <w:noProof/>
        </w:rPr>
        <w:t xml:space="preserve">‘(24) ‘Good surface water chemical status’ means the chemical status required to meet the environmental objectives for surface waters set out in Article 4(1), point (a), of this Directive, that is the chemical status achieved by a body of surface water in which concentrations of pollutants do not exceed the environmental quality standards for priority substances listed in </w:t>
      </w:r>
      <w:r w:rsidRPr="00FD620F">
        <w:rPr>
          <w:bCs/>
          <w:noProof/>
        </w:rPr>
        <w:t>Part A of Annex I to Directive 2008/105/EC of the European Parliament and of the Council</w:t>
      </w:r>
      <w:r w:rsidRPr="00FD620F">
        <w:rPr>
          <w:noProof/>
        </w:rPr>
        <w:t xml:space="preserve">* </w:t>
      </w:r>
      <w:r w:rsidRPr="00FD620F">
        <w:rPr>
          <w:bCs/>
          <w:noProof/>
        </w:rPr>
        <w:t>and the environmental quality standards for river basin specific pollutants set in accordance with Article 8(2), point (c), and Article 8d(1) of that Directive.</w:t>
      </w:r>
    </w:p>
    <w:p w14:paraId="2DA97B2D" w14:textId="5A31CBEE" w:rsidR="00064ADB" w:rsidRPr="00FD620F" w:rsidRDefault="00312D4D" w:rsidP="00312D4D">
      <w:pPr>
        <w:pStyle w:val="Point1"/>
        <w:rPr>
          <w:noProof/>
        </w:rPr>
      </w:pPr>
      <w:r w:rsidRPr="00312D4D">
        <w:t>(b)</w:t>
      </w:r>
      <w:r w:rsidRPr="00312D4D">
        <w:tab/>
      </w:r>
      <w:r w:rsidR="00064ADB" w:rsidRPr="00FD620F">
        <w:rPr>
          <w:noProof/>
        </w:rPr>
        <w:t>point (30) is replaced by the following:</w:t>
      </w:r>
    </w:p>
    <w:p w14:paraId="59E726F7" w14:textId="15726DA2" w:rsidR="00064ADB" w:rsidRPr="00FD620F" w:rsidRDefault="00064ADB" w:rsidP="00064ADB">
      <w:pPr>
        <w:pStyle w:val="Text2"/>
        <w:rPr>
          <w:noProof/>
        </w:rPr>
      </w:pPr>
      <w:r w:rsidRPr="00FD620F">
        <w:rPr>
          <w:noProof/>
        </w:rPr>
        <w:t>‘(30) ‘Priority substances’ means substances listed in Part A of Annex I to Directive 2008/105/EC, that is sub</w:t>
      </w:r>
      <w:r w:rsidR="00F11F1A" w:rsidRPr="00FD620F">
        <w:rPr>
          <w:noProof/>
        </w:rPr>
        <w:t>s</w:t>
      </w:r>
      <w:r w:rsidRPr="00FD620F">
        <w:rPr>
          <w:noProof/>
        </w:rPr>
        <w:t>tances which present a significant risk to or via the aquatic environment in a high proportion of Member States</w:t>
      </w:r>
      <w:r w:rsidR="007A73B7">
        <w:rPr>
          <w:noProof/>
        </w:rPr>
        <w:t>.</w:t>
      </w:r>
      <w:r w:rsidRPr="00FD620F">
        <w:rPr>
          <w:noProof/>
        </w:rPr>
        <w:t xml:space="preserve">’;  </w:t>
      </w:r>
    </w:p>
    <w:p w14:paraId="13CEC5B9" w14:textId="0869B42D" w:rsidR="00064ADB" w:rsidRPr="00FD620F" w:rsidRDefault="00312D4D" w:rsidP="00312D4D">
      <w:pPr>
        <w:pStyle w:val="Point1"/>
        <w:rPr>
          <w:noProof/>
        </w:rPr>
      </w:pPr>
      <w:r w:rsidRPr="00312D4D">
        <w:t>(c)</w:t>
      </w:r>
      <w:r w:rsidRPr="00312D4D">
        <w:tab/>
      </w:r>
      <w:r w:rsidR="00064ADB" w:rsidRPr="00FD620F">
        <w:rPr>
          <w:noProof/>
        </w:rPr>
        <w:t>the following point</w:t>
      </w:r>
      <w:r w:rsidR="007A73B7">
        <w:rPr>
          <w:noProof/>
        </w:rPr>
        <w:t>s</w:t>
      </w:r>
      <w:r w:rsidR="00064ADB" w:rsidRPr="00FD620F">
        <w:rPr>
          <w:noProof/>
        </w:rPr>
        <w:t xml:space="preserve"> (30a) </w:t>
      </w:r>
      <w:r w:rsidR="007A73B7">
        <w:rPr>
          <w:noProof/>
        </w:rPr>
        <w:t>and (30b) are</w:t>
      </w:r>
      <w:r w:rsidR="00064ADB" w:rsidRPr="00FD620F">
        <w:rPr>
          <w:noProof/>
        </w:rPr>
        <w:t xml:space="preserve"> inserted: </w:t>
      </w:r>
    </w:p>
    <w:p w14:paraId="7E840493" w14:textId="1BDA6DD3" w:rsidR="00064ADB" w:rsidRPr="00FD620F" w:rsidRDefault="00064ADB" w:rsidP="00064ADB">
      <w:pPr>
        <w:pStyle w:val="Text2"/>
        <w:rPr>
          <w:noProof/>
        </w:rPr>
      </w:pPr>
      <w:r w:rsidRPr="00FD620F">
        <w:rPr>
          <w:noProof/>
        </w:rPr>
        <w:t xml:space="preserve">‘(30a) ‘Priority hazardous substances’ means priority substances which are marked as ‘hazardous’ on the basis that they are recognised in scientific reports, in relevant Union legislation, or in relevant international agreements, as being toxic, persistent and liable to bio-accumulate or as giving rise to an equivalent level of concern, where this concern is relevant to the aquatic environment. </w:t>
      </w:r>
    </w:p>
    <w:p w14:paraId="6F9FFC5D" w14:textId="25D06F7B" w:rsidR="00064ADB" w:rsidRPr="00FD620F" w:rsidRDefault="007A73B7" w:rsidP="00064ADB">
      <w:pPr>
        <w:pStyle w:val="Text2"/>
        <w:rPr>
          <w:noProof/>
        </w:rPr>
      </w:pPr>
      <w:r w:rsidRPr="00FD620F" w:rsidDel="007A73B7">
        <w:rPr>
          <w:noProof/>
        </w:rPr>
        <w:t xml:space="preserve"> </w:t>
      </w:r>
      <w:r w:rsidR="00064ADB" w:rsidRPr="00FD620F">
        <w:rPr>
          <w:noProof/>
        </w:rPr>
        <w:t>(30b) ‘River basin specific pollutants’ means pollutants that are not or no longer identified as priority substances but which Member States have identified, on the basis of the assessment of pressures and impacts on surface water bodies carried out in accordance with Annex II to this Directive, as posing a significant risk to or via the aquatic environment within their territory.’;</w:t>
      </w:r>
    </w:p>
    <w:p w14:paraId="67A17A69" w14:textId="7A1EBDF1" w:rsidR="00064ADB" w:rsidRPr="00FD620F" w:rsidRDefault="00312D4D" w:rsidP="00312D4D">
      <w:pPr>
        <w:pStyle w:val="Point1"/>
        <w:rPr>
          <w:noProof/>
        </w:rPr>
      </w:pPr>
      <w:r w:rsidRPr="00312D4D">
        <w:t>(d)</w:t>
      </w:r>
      <w:r w:rsidRPr="00312D4D">
        <w:tab/>
      </w:r>
      <w:r w:rsidR="00064ADB" w:rsidRPr="00FD620F">
        <w:rPr>
          <w:noProof/>
        </w:rPr>
        <w:t xml:space="preserve">point (35) is replaced by the following: </w:t>
      </w:r>
    </w:p>
    <w:p w14:paraId="38E20D73" w14:textId="485177A2" w:rsidR="00064ADB" w:rsidRPr="00FD620F" w:rsidRDefault="00064ADB" w:rsidP="00064ADB">
      <w:pPr>
        <w:pStyle w:val="Text2"/>
        <w:rPr>
          <w:bCs/>
          <w:noProof/>
        </w:rPr>
      </w:pPr>
      <w:r w:rsidRPr="00FD620F">
        <w:rPr>
          <w:noProof/>
        </w:rPr>
        <w:t>‘(35) ‘Environmental quality standard’ means the concentration of a particular pollutant or group of pollutants in water, sediment or biota not to be exceeded in order to protect human health and the environment or</w:t>
      </w:r>
      <w:r w:rsidRPr="00FD620F">
        <w:rPr>
          <w:bCs/>
          <w:noProof/>
        </w:rPr>
        <w:t xml:space="preserve"> a trigger value for the adverse effect on human health or the environment of such a pollutant or group of pollutants measured using an appropriate effect-based method.</w:t>
      </w:r>
      <w:r w:rsidR="002A143E" w:rsidRPr="00FD620F">
        <w:rPr>
          <w:bCs/>
          <w:noProof/>
        </w:rPr>
        <w:t>’;</w:t>
      </w:r>
    </w:p>
    <w:p w14:paraId="532ABF8E" w14:textId="77777777" w:rsidR="00064ADB" w:rsidRPr="00FD620F" w:rsidRDefault="00064ADB" w:rsidP="00064ADB">
      <w:pPr>
        <w:pStyle w:val="Text2"/>
        <w:rPr>
          <w:bCs/>
          <w:noProof/>
          <w:u w:val="single"/>
        </w:rPr>
      </w:pPr>
      <w:r w:rsidRPr="00FD620F">
        <w:rPr>
          <w:bCs/>
          <w:noProof/>
          <w:u w:val="single"/>
        </w:rPr>
        <w:tab/>
      </w:r>
      <w:r w:rsidRPr="00FD620F">
        <w:rPr>
          <w:bCs/>
          <w:noProof/>
          <w:u w:val="single"/>
        </w:rPr>
        <w:tab/>
      </w:r>
      <w:r w:rsidRPr="00FD620F">
        <w:rPr>
          <w:bCs/>
          <w:noProof/>
          <w:u w:val="single"/>
        </w:rPr>
        <w:tab/>
      </w:r>
      <w:r w:rsidRPr="00FD620F">
        <w:rPr>
          <w:bCs/>
          <w:noProof/>
          <w:u w:val="single"/>
        </w:rPr>
        <w:tab/>
      </w:r>
      <w:r w:rsidRPr="00FD620F">
        <w:rPr>
          <w:bCs/>
          <w:noProof/>
          <w:u w:val="single"/>
        </w:rPr>
        <w:tab/>
      </w:r>
      <w:r w:rsidRPr="00FD620F">
        <w:rPr>
          <w:bCs/>
          <w:noProof/>
          <w:u w:val="single"/>
        </w:rPr>
        <w:tab/>
      </w:r>
    </w:p>
    <w:p w14:paraId="2A038F11" w14:textId="77777777" w:rsidR="002A143E" w:rsidRPr="00FD620F" w:rsidRDefault="002A143E" w:rsidP="001E131C">
      <w:pPr>
        <w:ind w:left="1417"/>
        <w:rPr>
          <w:noProof/>
        </w:rPr>
      </w:pPr>
      <w:r w:rsidRPr="00FD620F">
        <w:rPr>
          <w:noProof/>
        </w:rPr>
        <w:t>* Directive 2008/105/EC of the European Parliament and of the Council on the prevention and control of surface water pollution, amending and subsequently repealing Council Directives 82/176/EEC, 83/513/EEC, 84/156/EEC, 84/491/EEC, 86/280/EEC and amending Directive 2000/60/EC of the European Parliament and of the Council (OJ L 348, 24.12.2008, p. 84)</w:t>
      </w:r>
      <w:r w:rsidR="00C06886">
        <w:rPr>
          <w:noProof/>
        </w:rPr>
        <w:t>.</w:t>
      </w:r>
      <w:r w:rsidRPr="00FD620F">
        <w:rPr>
          <w:noProof/>
        </w:rPr>
        <w:t>’;</w:t>
      </w:r>
    </w:p>
    <w:p w14:paraId="659448E7" w14:textId="6FD5DA25" w:rsidR="00064ADB" w:rsidRPr="00FD620F" w:rsidRDefault="00312D4D" w:rsidP="00312D4D">
      <w:pPr>
        <w:pStyle w:val="Point0"/>
        <w:rPr>
          <w:noProof/>
        </w:rPr>
      </w:pPr>
      <w:r w:rsidRPr="00312D4D">
        <w:t>(3)</w:t>
      </w:r>
      <w:r w:rsidRPr="00312D4D">
        <w:tab/>
      </w:r>
      <w:r w:rsidR="00064ADB" w:rsidRPr="00FD620F">
        <w:rPr>
          <w:noProof/>
        </w:rPr>
        <w:t>in Article 3, the following paragraph 4a is inserted:</w:t>
      </w:r>
    </w:p>
    <w:p w14:paraId="04BDBBEF" w14:textId="4E632206" w:rsidR="00064ADB" w:rsidRPr="00FD620F" w:rsidRDefault="00064ADB" w:rsidP="00064ADB">
      <w:pPr>
        <w:pStyle w:val="Text1"/>
        <w:rPr>
          <w:noProof/>
        </w:rPr>
      </w:pPr>
      <w:r w:rsidRPr="00FD620F">
        <w:rPr>
          <w:noProof/>
        </w:rPr>
        <w:t>‘</w:t>
      </w:r>
      <w:r w:rsidRPr="00FD620F">
        <w:rPr>
          <w:bCs/>
          <w:noProof/>
        </w:rPr>
        <w:t xml:space="preserve">4a. In the case of exceptional circumstances of natural origin or force majeure, in particular extreme floods and prolonged droughts, or significant pollution incidents, which could affect downstream water bodies situated in other Member States, Member States shall ensure that the competent authorities </w:t>
      </w:r>
      <w:r w:rsidR="00F90D93">
        <w:rPr>
          <w:bCs/>
          <w:noProof/>
        </w:rPr>
        <w:t>for</w:t>
      </w:r>
      <w:r w:rsidRPr="00FD620F">
        <w:rPr>
          <w:bCs/>
          <w:noProof/>
        </w:rPr>
        <w:t xml:space="preserve"> downstream water bodies in such Member States, as well as the Commission, are immediately informed and that the necessary cooperation is set up to investigate the causes and address the consequences of the exceptional circumstances or incidents.’</w:t>
      </w:r>
      <w:r w:rsidRPr="00FD620F">
        <w:rPr>
          <w:noProof/>
        </w:rPr>
        <w:t xml:space="preserve">; </w:t>
      </w:r>
    </w:p>
    <w:p w14:paraId="7DDF7685" w14:textId="1193D818" w:rsidR="00064ADB" w:rsidRPr="00FD620F" w:rsidRDefault="00312D4D" w:rsidP="00312D4D">
      <w:pPr>
        <w:pStyle w:val="Point0"/>
        <w:rPr>
          <w:noProof/>
        </w:rPr>
      </w:pPr>
      <w:r w:rsidRPr="00312D4D">
        <w:t>(4)</w:t>
      </w:r>
      <w:r w:rsidRPr="00312D4D">
        <w:tab/>
      </w:r>
      <w:r w:rsidR="00064ADB" w:rsidRPr="00FD620F">
        <w:rPr>
          <w:noProof/>
        </w:rPr>
        <w:t xml:space="preserve">Article 4(1) is amended as follows: </w:t>
      </w:r>
    </w:p>
    <w:p w14:paraId="00D2BD16" w14:textId="66CAEA85" w:rsidR="00064ADB" w:rsidRPr="00FD620F" w:rsidRDefault="00312D4D" w:rsidP="00312D4D">
      <w:pPr>
        <w:pStyle w:val="Point1"/>
        <w:rPr>
          <w:noProof/>
        </w:rPr>
      </w:pPr>
      <w:r w:rsidRPr="00312D4D">
        <w:t>(a)</w:t>
      </w:r>
      <w:r w:rsidRPr="00312D4D">
        <w:tab/>
      </w:r>
      <w:r w:rsidR="00064ADB" w:rsidRPr="00FD620F">
        <w:rPr>
          <w:noProof/>
        </w:rPr>
        <w:t xml:space="preserve">in point (a), point (iv) is replaced by the following: </w:t>
      </w:r>
    </w:p>
    <w:p w14:paraId="2FACB6B5" w14:textId="77777777" w:rsidR="00064ADB" w:rsidRPr="00FD620F" w:rsidRDefault="00064ADB" w:rsidP="00064ADB">
      <w:pPr>
        <w:ind w:left="1417"/>
        <w:rPr>
          <w:i/>
          <w:noProof/>
        </w:rPr>
      </w:pPr>
      <w:r w:rsidRPr="00FD620F">
        <w:rPr>
          <w:noProof/>
        </w:rPr>
        <w:t xml:space="preserve">‘(iv) Member States shall implement the necessary measures to progressively reduce pollution from priority substances </w:t>
      </w:r>
      <w:r w:rsidRPr="00FD620F">
        <w:rPr>
          <w:bCs/>
          <w:noProof/>
        </w:rPr>
        <w:t>and river basin specific pollutants,</w:t>
      </w:r>
      <w:r w:rsidRPr="00FD620F">
        <w:rPr>
          <w:noProof/>
        </w:rPr>
        <w:t xml:space="preserve"> and to cease or phase out emissions, discharges and losses of priority hazardous substances</w:t>
      </w:r>
      <w:r w:rsidR="00280FA9" w:rsidRPr="00FD620F">
        <w:rPr>
          <w:noProof/>
        </w:rPr>
        <w:t>.</w:t>
      </w:r>
      <w:r w:rsidRPr="00FD620F">
        <w:rPr>
          <w:noProof/>
        </w:rPr>
        <w:t>’;</w:t>
      </w:r>
      <w:r w:rsidRPr="00FD620F">
        <w:rPr>
          <w:i/>
          <w:noProof/>
        </w:rPr>
        <w:t xml:space="preserve"> </w:t>
      </w:r>
    </w:p>
    <w:p w14:paraId="0FE9FCB3" w14:textId="298ECFE9" w:rsidR="00064ADB" w:rsidRPr="00FD620F" w:rsidRDefault="00312D4D" w:rsidP="00312D4D">
      <w:pPr>
        <w:pStyle w:val="Point1"/>
        <w:rPr>
          <w:noProof/>
        </w:rPr>
      </w:pPr>
      <w:r w:rsidRPr="00312D4D">
        <w:t>(b)</w:t>
      </w:r>
      <w:r w:rsidRPr="00312D4D">
        <w:tab/>
      </w:r>
      <w:r w:rsidR="00064ADB" w:rsidRPr="00FD620F">
        <w:rPr>
          <w:noProof/>
        </w:rPr>
        <w:t xml:space="preserve">in point (b)(iii), the second subparagraph is replaced by the following: </w:t>
      </w:r>
    </w:p>
    <w:p w14:paraId="1E900DD3" w14:textId="77777777" w:rsidR="00064ADB" w:rsidRPr="00FD620F" w:rsidRDefault="00064ADB" w:rsidP="00064ADB">
      <w:pPr>
        <w:ind w:left="1417"/>
        <w:rPr>
          <w:noProof/>
          <w:u w:val="single"/>
        </w:rPr>
      </w:pPr>
      <w:r w:rsidRPr="00FD620F">
        <w:rPr>
          <w:noProof/>
        </w:rPr>
        <w:t xml:space="preserve">‘Measures to achieve trend reversal shall be implemented in accordance with </w:t>
      </w:r>
      <w:r w:rsidRPr="00FD620F">
        <w:rPr>
          <w:bCs/>
          <w:noProof/>
        </w:rPr>
        <w:t>Article 5 of Directive 2006/118/EC and Annex IV to that Directive,</w:t>
      </w:r>
      <w:r w:rsidRPr="00FD620F">
        <w:rPr>
          <w:noProof/>
        </w:rPr>
        <w:t xml:space="preserve"> subject to the application of paragraphs 6 and 7 of this Article and without prejudice to paragraph 8 of this Article.’;</w:t>
      </w:r>
    </w:p>
    <w:p w14:paraId="176F089F" w14:textId="6523CD7B" w:rsidR="00064ADB" w:rsidRPr="00FD620F" w:rsidRDefault="00312D4D" w:rsidP="00312D4D">
      <w:pPr>
        <w:pStyle w:val="Point0"/>
        <w:rPr>
          <w:noProof/>
        </w:rPr>
      </w:pPr>
      <w:r w:rsidRPr="00312D4D">
        <w:t>(5)</w:t>
      </w:r>
      <w:r w:rsidRPr="00312D4D">
        <w:tab/>
      </w:r>
      <w:r w:rsidR="00064ADB" w:rsidRPr="00FD620F">
        <w:rPr>
          <w:noProof/>
        </w:rPr>
        <w:t>in Article 7, paragraph 2 is replaced by the following:</w:t>
      </w:r>
    </w:p>
    <w:p w14:paraId="19AA76FF" w14:textId="77777777" w:rsidR="00064ADB" w:rsidRPr="00FD620F" w:rsidRDefault="00064ADB" w:rsidP="00064ADB">
      <w:pPr>
        <w:pStyle w:val="Text1"/>
        <w:rPr>
          <w:i/>
          <w:noProof/>
        </w:rPr>
      </w:pPr>
      <w:r w:rsidRPr="00FD620F">
        <w:rPr>
          <w:noProof/>
        </w:rPr>
        <w:t xml:space="preserve">‘2. For each body of water identified under paragraph 1, in addition to meeting the objectives of Article 4 in accordance with the requirements of this Directive, for surface water bodies including the quality standards established at Union level, Member States shall ensure that under the water treatment regime applied, and in accordance with Union legislation, the resulting water will meet the requirements </w:t>
      </w:r>
      <w:r w:rsidRPr="00FD620F">
        <w:rPr>
          <w:bCs/>
          <w:noProof/>
        </w:rPr>
        <w:t>of Directive (EU) 2020/2184 of the European Parliament and of the Council*.</w:t>
      </w:r>
      <w:r w:rsidRPr="00FD620F">
        <w:rPr>
          <w:noProof/>
        </w:rPr>
        <w:t xml:space="preserve"> </w:t>
      </w:r>
      <w:r w:rsidRPr="00FD620F">
        <w:rPr>
          <w:i/>
          <w:noProof/>
        </w:rPr>
        <w:t xml:space="preserve"> </w:t>
      </w:r>
    </w:p>
    <w:p w14:paraId="3BA3CB73" w14:textId="77777777" w:rsidR="00064ADB" w:rsidRPr="00FD620F" w:rsidRDefault="00064ADB" w:rsidP="00064ADB">
      <w:pPr>
        <w:pStyle w:val="Text1"/>
        <w:rPr>
          <w:noProof/>
          <w:u w:val="single"/>
        </w:rPr>
      </w:pPr>
      <w:r w:rsidRPr="00FD620F">
        <w:rPr>
          <w:noProof/>
          <w:u w:val="single"/>
        </w:rPr>
        <w:tab/>
      </w:r>
      <w:r w:rsidRPr="00FD620F">
        <w:rPr>
          <w:noProof/>
          <w:u w:val="single"/>
        </w:rPr>
        <w:tab/>
      </w:r>
      <w:r w:rsidRPr="00FD620F">
        <w:rPr>
          <w:noProof/>
          <w:u w:val="single"/>
        </w:rPr>
        <w:tab/>
      </w:r>
      <w:r w:rsidRPr="00FD620F">
        <w:rPr>
          <w:noProof/>
          <w:u w:val="single"/>
        </w:rPr>
        <w:tab/>
      </w:r>
    </w:p>
    <w:p w14:paraId="15C0BC74" w14:textId="77777777" w:rsidR="00064ADB" w:rsidRPr="00FD620F" w:rsidRDefault="00064ADB" w:rsidP="00064ADB">
      <w:pPr>
        <w:pStyle w:val="Text1"/>
        <w:rPr>
          <w:noProof/>
        </w:rPr>
      </w:pPr>
      <w:r w:rsidRPr="00FD620F">
        <w:rPr>
          <w:noProof/>
        </w:rPr>
        <w:tab/>
      </w:r>
      <w:r w:rsidRPr="00FD620F">
        <w:rPr>
          <w:noProof/>
        </w:rPr>
        <w:tab/>
      </w:r>
      <w:r w:rsidRPr="00FD620F">
        <w:rPr>
          <w:noProof/>
        </w:rPr>
        <w:tab/>
      </w:r>
      <w:r w:rsidRPr="00FD620F">
        <w:rPr>
          <w:noProof/>
        </w:rPr>
        <w:tab/>
      </w:r>
      <w:r w:rsidRPr="00FD620F">
        <w:rPr>
          <w:noProof/>
        </w:rPr>
        <w:tab/>
      </w:r>
      <w:r w:rsidRPr="00FD620F">
        <w:rPr>
          <w:noProof/>
        </w:rPr>
        <w:tab/>
      </w:r>
      <w:r w:rsidRPr="00FD620F">
        <w:rPr>
          <w:noProof/>
        </w:rPr>
        <w:tab/>
      </w:r>
    </w:p>
    <w:p w14:paraId="1E0A7CD1" w14:textId="77777777" w:rsidR="00064ADB" w:rsidRPr="00FD620F" w:rsidRDefault="00064ADB" w:rsidP="00064ADB">
      <w:pPr>
        <w:pStyle w:val="Text1"/>
        <w:rPr>
          <w:noProof/>
        </w:rPr>
      </w:pPr>
      <w:r w:rsidRPr="00FD620F">
        <w:rPr>
          <w:noProof/>
        </w:rPr>
        <w:t>* Directive (EU) 2020/2184 of the European Parliament and of the Council of 16 December 2020 on the quality of water intended for human consumption (OJ L 435, 23.12.2020, p. 1)’;</w:t>
      </w:r>
    </w:p>
    <w:p w14:paraId="13632D21" w14:textId="5FC008F0" w:rsidR="00064ADB" w:rsidRPr="00FD620F" w:rsidRDefault="00312D4D" w:rsidP="00312D4D">
      <w:pPr>
        <w:pStyle w:val="Point0"/>
        <w:rPr>
          <w:noProof/>
        </w:rPr>
      </w:pPr>
      <w:r w:rsidRPr="00312D4D">
        <w:t>(6)</w:t>
      </w:r>
      <w:r w:rsidRPr="00312D4D">
        <w:tab/>
      </w:r>
      <w:r w:rsidR="00064ADB" w:rsidRPr="00FD620F">
        <w:rPr>
          <w:noProof/>
        </w:rPr>
        <w:t xml:space="preserve">Article 8 is amended as follows: </w:t>
      </w:r>
    </w:p>
    <w:p w14:paraId="5EC6FE3D" w14:textId="67B32C86" w:rsidR="00064ADB" w:rsidRPr="00FD620F" w:rsidRDefault="00312D4D" w:rsidP="00312D4D">
      <w:pPr>
        <w:pStyle w:val="Point1"/>
        <w:rPr>
          <w:noProof/>
        </w:rPr>
      </w:pPr>
      <w:r w:rsidRPr="00312D4D">
        <w:t>(a)</w:t>
      </w:r>
      <w:r w:rsidRPr="00312D4D">
        <w:tab/>
      </w:r>
      <w:r w:rsidR="00064ADB" w:rsidRPr="00FD620F">
        <w:rPr>
          <w:noProof/>
        </w:rPr>
        <w:t>paragraph 3 is replaced by the following:</w:t>
      </w:r>
    </w:p>
    <w:p w14:paraId="13144D4B" w14:textId="77777777" w:rsidR="00064ADB" w:rsidRPr="00FD620F" w:rsidRDefault="00064ADB" w:rsidP="00064ADB">
      <w:pPr>
        <w:ind w:left="1417" w:firstLine="12"/>
        <w:rPr>
          <w:i/>
          <w:noProof/>
        </w:rPr>
      </w:pPr>
      <w:r w:rsidRPr="00FD620F">
        <w:rPr>
          <w:noProof/>
        </w:rPr>
        <w:t xml:space="preserve">‘3. </w:t>
      </w:r>
      <w:r w:rsidRPr="00FD620F">
        <w:rPr>
          <w:bCs/>
          <w:noProof/>
        </w:rPr>
        <w:t>The Commission is empowered to adopt implementing acts to set out</w:t>
      </w:r>
      <w:r w:rsidRPr="00FD620F">
        <w:rPr>
          <w:noProof/>
        </w:rPr>
        <w:t xml:space="preserve"> technical specifications and standardised methods for analysis and monitoring of water status </w:t>
      </w:r>
      <w:r w:rsidR="00A63E93">
        <w:rPr>
          <w:noProof/>
        </w:rPr>
        <w:t xml:space="preserve">in accordance with Annex V </w:t>
      </w:r>
      <w:r w:rsidRPr="00FD620F">
        <w:rPr>
          <w:noProof/>
        </w:rPr>
        <w:t xml:space="preserve">and for </w:t>
      </w:r>
      <w:r w:rsidR="00B27A17" w:rsidRPr="00FD620F">
        <w:rPr>
          <w:noProof/>
        </w:rPr>
        <w:t xml:space="preserve">establishing formats for </w:t>
      </w:r>
      <w:r w:rsidRPr="00FD620F">
        <w:rPr>
          <w:noProof/>
        </w:rPr>
        <w:t>reporting monitoring and status data</w:t>
      </w:r>
      <w:r w:rsidR="00A63E93">
        <w:rPr>
          <w:noProof/>
        </w:rPr>
        <w:t xml:space="preserve"> in accordance with paragraph 4</w:t>
      </w:r>
      <w:r w:rsidRPr="00FD620F">
        <w:rPr>
          <w:noProof/>
        </w:rPr>
        <w:t xml:space="preserve">. </w:t>
      </w:r>
      <w:r w:rsidRPr="00FD620F">
        <w:rPr>
          <w:bCs/>
          <w:noProof/>
        </w:rPr>
        <w:t>Those implementing acts shall be adopted in accordance with the examination procedure referred to in</w:t>
      </w:r>
      <w:r w:rsidRPr="00FD620F">
        <w:rPr>
          <w:noProof/>
        </w:rPr>
        <w:t xml:space="preserve"> Article 21(2).’; </w:t>
      </w:r>
      <w:r w:rsidRPr="00FD620F">
        <w:rPr>
          <w:i/>
          <w:noProof/>
        </w:rPr>
        <w:t xml:space="preserve"> </w:t>
      </w:r>
    </w:p>
    <w:p w14:paraId="0CE5F5A4" w14:textId="16BCE53E" w:rsidR="00064ADB" w:rsidRPr="00FD620F" w:rsidRDefault="00312D4D" w:rsidP="00312D4D">
      <w:pPr>
        <w:pStyle w:val="Point1"/>
        <w:rPr>
          <w:noProof/>
        </w:rPr>
      </w:pPr>
      <w:r w:rsidRPr="00312D4D">
        <w:t>(b)</w:t>
      </w:r>
      <w:r w:rsidRPr="00312D4D">
        <w:tab/>
      </w:r>
      <w:r w:rsidR="00064ADB" w:rsidRPr="00FD620F">
        <w:rPr>
          <w:noProof/>
        </w:rPr>
        <w:t xml:space="preserve">the following paragraphs 4 and 5 are added: </w:t>
      </w:r>
    </w:p>
    <w:p w14:paraId="6D0D3B50" w14:textId="20BEB4CD" w:rsidR="00064ADB" w:rsidRPr="00FD620F" w:rsidRDefault="00064ADB" w:rsidP="00064ADB">
      <w:pPr>
        <w:ind w:left="1417" w:firstLine="12"/>
        <w:rPr>
          <w:bCs/>
          <w:noProof/>
        </w:rPr>
      </w:pPr>
      <w:r w:rsidRPr="00FD620F">
        <w:rPr>
          <w:bCs/>
          <w:noProof/>
        </w:rPr>
        <w:t xml:space="preserve">‘4. Member States shall ensure that the available individual monitoring data collected in accordance with point 1.3.4 of Annex V and the resulting status in accordance with Annex V are made available to the public and to the European Environment Agency (EEA) at least once a year electronically in a machine-readable format in accordance with Directive 2003/4/EC of the European Parliament and of the Council*, Directive 2007/2/EC of the European Parliament and of the Council** and Directive (EU) 2019/1024 of the European Parliament and of the Council***. </w:t>
      </w:r>
      <w:r w:rsidR="00EC5714">
        <w:rPr>
          <w:bCs/>
          <w:noProof/>
        </w:rPr>
        <w:t xml:space="preserve">For those purposes, </w:t>
      </w:r>
      <w:r w:rsidR="00A63E93" w:rsidRPr="00A63E93">
        <w:rPr>
          <w:bCs/>
          <w:noProof/>
        </w:rPr>
        <w:t>Member States shall use the formats established in accordance with paragraph 3</w:t>
      </w:r>
      <w:r w:rsidR="00EC5714">
        <w:rPr>
          <w:bCs/>
          <w:noProof/>
        </w:rPr>
        <w:t xml:space="preserve"> of this Article</w:t>
      </w:r>
      <w:r w:rsidR="00A63E93" w:rsidRPr="00A63E93">
        <w:rPr>
          <w:bCs/>
          <w:noProof/>
        </w:rPr>
        <w:t xml:space="preserve">.  </w:t>
      </w:r>
    </w:p>
    <w:p w14:paraId="2FA968BF" w14:textId="77777777" w:rsidR="00064ADB" w:rsidRPr="00FD620F" w:rsidRDefault="00064ADB" w:rsidP="00064ADB">
      <w:pPr>
        <w:pStyle w:val="Text2"/>
        <w:rPr>
          <w:noProof/>
        </w:rPr>
      </w:pPr>
      <w:r w:rsidRPr="00FD620F">
        <w:rPr>
          <w:bCs/>
          <w:noProof/>
        </w:rPr>
        <w:t>5. The EEA shall ensure that the information made available in accordance with paragraph 4 is regularly processed and analysed for the purpose of making  it available, via relevant Union portals, for reuse by the Commission and relevant Union agencies and for the purpose of providing the Commission, the Member States and the public with up-to-date, objective, reliable and comparable information, in particular on status, in accordance with Regulation (EC) No 401/2009 of the European Parliament and of the Council****.</w:t>
      </w:r>
      <w:r w:rsidRPr="00FD620F">
        <w:rPr>
          <w:b/>
          <w:bCs/>
          <w:noProof/>
        </w:rPr>
        <w:t xml:space="preserve">  </w:t>
      </w:r>
      <w:r w:rsidRPr="00FD620F">
        <w:rPr>
          <w:noProof/>
        </w:rPr>
        <w:t xml:space="preserve">   </w:t>
      </w:r>
    </w:p>
    <w:p w14:paraId="11242475" w14:textId="77777777" w:rsidR="00064ADB" w:rsidRPr="00FD620F" w:rsidRDefault="00064ADB" w:rsidP="00064ADB">
      <w:pPr>
        <w:pStyle w:val="Text2"/>
        <w:rPr>
          <w:noProof/>
        </w:rPr>
      </w:pPr>
      <w:r w:rsidRPr="00FD620F">
        <w:rPr>
          <w:noProof/>
          <w:u w:val="single"/>
        </w:rPr>
        <w:tab/>
      </w:r>
      <w:r w:rsidRPr="00FD620F">
        <w:rPr>
          <w:noProof/>
          <w:u w:val="single"/>
        </w:rPr>
        <w:tab/>
      </w:r>
      <w:r w:rsidRPr="00FD620F">
        <w:rPr>
          <w:noProof/>
          <w:u w:val="single"/>
        </w:rPr>
        <w:tab/>
      </w:r>
      <w:r w:rsidRPr="00FD620F">
        <w:rPr>
          <w:noProof/>
          <w:u w:val="single"/>
        </w:rPr>
        <w:tab/>
      </w:r>
      <w:r w:rsidRPr="00FD620F">
        <w:rPr>
          <w:noProof/>
          <w:u w:val="single"/>
        </w:rPr>
        <w:tab/>
      </w:r>
      <w:r w:rsidRPr="00FD620F">
        <w:rPr>
          <w:noProof/>
          <w:u w:val="single"/>
        </w:rPr>
        <w:tab/>
      </w:r>
    </w:p>
    <w:p w14:paraId="32975168" w14:textId="77777777" w:rsidR="00064ADB" w:rsidRPr="00FD620F" w:rsidRDefault="00064ADB" w:rsidP="00064ADB">
      <w:pPr>
        <w:pStyle w:val="Text2"/>
        <w:rPr>
          <w:noProof/>
        </w:rPr>
      </w:pPr>
      <w:r w:rsidRPr="00FD620F">
        <w:rPr>
          <w:noProof/>
        </w:rPr>
        <w:t>* Directive 2003/4/EC of the European Parliament and of the Council of 28 January 2003 on public access to environmental information and repealing Council Directive 90/313/EEC (OJ L 41, 14.2.2003, p. 26).</w:t>
      </w:r>
    </w:p>
    <w:p w14:paraId="721ABF65" w14:textId="77777777" w:rsidR="00064ADB" w:rsidRPr="00FD620F" w:rsidRDefault="00064ADB" w:rsidP="00064ADB">
      <w:pPr>
        <w:pStyle w:val="Text2"/>
        <w:rPr>
          <w:noProof/>
        </w:rPr>
      </w:pPr>
      <w:r w:rsidRPr="00FD620F">
        <w:rPr>
          <w:noProof/>
        </w:rPr>
        <w:t>** Directive 2007/2/EC of the European Parliament and of the Council of 14 March 2007 establishing an Infrastructure for Spatial Information in the European Community (INSPIRE) (OJ L 108, 25.4.2007, p. 1).</w:t>
      </w:r>
    </w:p>
    <w:p w14:paraId="072D83E0" w14:textId="77777777" w:rsidR="00064ADB" w:rsidRPr="00FD620F" w:rsidRDefault="00064ADB" w:rsidP="00064ADB">
      <w:pPr>
        <w:pStyle w:val="Text2"/>
        <w:rPr>
          <w:noProof/>
        </w:rPr>
      </w:pPr>
      <w:r w:rsidRPr="00FD620F">
        <w:rPr>
          <w:noProof/>
        </w:rPr>
        <w:t>*** Directive (EU) 2019/1024 of the European Parliament and of the Council of 20 June 2019 on open data and the re-use of public sector information (OJ L 172, 26.6.2019, p. 56).</w:t>
      </w:r>
    </w:p>
    <w:p w14:paraId="7828D75A" w14:textId="77777777" w:rsidR="00064ADB" w:rsidRPr="00FD620F" w:rsidRDefault="00064ADB" w:rsidP="00064ADB">
      <w:pPr>
        <w:pStyle w:val="Text2"/>
        <w:rPr>
          <w:noProof/>
        </w:rPr>
      </w:pPr>
      <w:r w:rsidRPr="00FD620F">
        <w:rPr>
          <w:noProof/>
        </w:rPr>
        <w:t xml:space="preserve">**** Regulation (EC) No 401/2009 of the European Parliament and of the Council of 23  April 2009 on the European Environment Agency and the European Environment Information and Observation Network (OJ L 126,  21.5.2009, p. 13).’; </w:t>
      </w:r>
    </w:p>
    <w:p w14:paraId="51DA93A0" w14:textId="606B7D90" w:rsidR="00064ADB" w:rsidRPr="00FD620F" w:rsidRDefault="00312D4D" w:rsidP="00312D4D">
      <w:pPr>
        <w:pStyle w:val="Point0"/>
        <w:rPr>
          <w:noProof/>
        </w:rPr>
      </w:pPr>
      <w:r w:rsidRPr="00312D4D">
        <w:t>(7)</w:t>
      </w:r>
      <w:r w:rsidRPr="00312D4D">
        <w:tab/>
      </w:r>
      <w:r w:rsidR="00064ADB" w:rsidRPr="00FD620F">
        <w:rPr>
          <w:noProof/>
        </w:rPr>
        <w:t>Article 10 is amended as follows:</w:t>
      </w:r>
    </w:p>
    <w:p w14:paraId="495E4BBF" w14:textId="7CD7086F" w:rsidR="00064ADB" w:rsidRPr="00FD620F" w:rsidRDefault="00312D4D" w:rsidP="00312D4D">
      <w:pPr>
        <w:pStyle w:val="Point1"/>
        <w:rPr>
          <w:noProof/>
        </w:rPr>
      </w:pPr>
      <w:r w:rsidRPr="00312D4D">
        <w:t>(a)</w:t>
      </w:r>
      <w:r w:rsidRPr="00312D4D">
        <w:tab/>
      </w:r>
      <w:r w:rsidR="00064ADB" w:rsidRPr="00FD620F">
        <w:rPr>
          <w:noProof/>
        </w:rPr>
        <w:t>paragraph 2 is replaced by the following:</w:t>
      </w:r>
    </w:p>
    <w:p w14:paraId="418CCA6F" w14:textId="2EF37575" w:rsidR="00064ADB" w:rsidRPr="00FD620F" w:rsidRDefault="00064ADB" w:rsidP="00064ADB">
      <w:pPr>
        <w:pStyle w:val="Text2"/>
        <w:rPr>
          <w:noProof/>
        </w:rPr>
      </w:pPr>
      <w:r w:rsidRPr="00FD620F">
        <w:rPr>
          <w:noProof/>
        </w:rPr>
        <w:t>‘2. For the purpose of complying with the objectives, quality standards and thresholds established pursuant to this Directive, Member States shall ensure the establishment and implementation of the following:</w:t>
      </w:r>
    </w:p>
    <w:p w14:paraId="513EDB51" w14:textId="77777777" w:rsidR="00064ADB" w:rsidRPr="00FD620F" w:rsidRDefault="00064ADB" w:rsidP="00064ADB">
      <w:pPr>
        <w:pStyle w:val="Text2"/>
        <w:rPr>
          <w:noProof/>
        </w:rPr>
      </w:pPr>
      <w:r w:rsidRPr="00FD620F">
        <w:rPr>
          <w:noProof/>
        </w:rPr>
        <w:t>(a) emission controls based on best available techniques;</w:t>
      </w:r>
    </w:p>
    <w:p w14:paraId="737087D7" w14:textId="77777777" w:rsidR="00064ADB" w:rsidRPr="00403AE9" w:rsidRDefault="00064ADB" w:rsidP="00064ADB">
      <w:pPr>
        <w:pStyle w:val="Text2"/>
        <w:rPr>
          <w:noProof/>
          <w:lang w:val="en-US"/>
        </w:rPr>
      </w:pPr>
      <w:r w:rsidRPr="00403AE9">
        <w:rPr>
          <w:noProof/>
          <w:lang w:val="en-US"/>
        </w:rPr>
        <w:t>(b) relevant emission limit values;</w:t>
      </w:r>
    </w:p>
    <w:p w14:paraId="3F184601" w14:textId="77777777" w:rsidR="00064ADB" w:rsidRPr="00FD620F" w:rsidRDefault="00064ADB" w:rsidP="00064ADB">
      <w:pPr>
        <w:pStyle w:val="Text2"/>
        <w:rPr>
          <w:noProof/>
        </w:rPr>
      </w:pPr>
      <w:r w:rsidRPr="00FD620F">
        <w:rPr>
          <w:noProof/>
        </w:rPr>
        <w:t>(c) in the case of diffuse impacts, controls including, as appropriate, best environmental practices as set out in:</w:t>
      </w:r>
    </w:p>
    <w:p w14:paraId="21427ACB" w14:textId="4CEDE43E" w:rsidR="00B27A17" w:rsidRPr="00FD620F" w:rsidRDefault="00B27A17" w:rsidP="00755919">
      <w:pPr>
        <w:pStyle w:val="Tiret2"/>
        <w:numPr>
          <w:ilvl w:val="0"/>
          <w:numId w:val="22"/>
        </w:numPr>
        <w:rPr>
          <w:noProof/>
        </w:rPr>
      </w:pPr>
      <w:r w:rsidRPr="00FD620F">
        <w:rPr>
          <w:noProof/>
        </w:rPr>
        <w:t xml:space="preserve">Directive 2009/128/EC of the European Parliament and of the Council*; </w:t>
      </w:r>
    </w:p>
    <w:p w14:paraId="0E6D7CD7" w14:textId="77777777" w:rsidR="00064ADB" w:rsidRPr="00FD620F" w:rsidRDefault="00064ADB" w:rsidP="00403AE9">
      <w:pPr>
        <w:pStyle w:val="Tiret2"/>
        <w:rPr>
          <w:noProof/>
        </w:rPr>
      </w:pPr>
      <w:r w:rsidRPr="00FD620F">
        <w:rPr>
          <w:noProof/>
        </w:rPr>
        <w:t>Directive 2010/75/EU of the European Parliament and of the Council</w:t>
      </w:r>
      <w:r w:rsidR="00B27A17" w:rsidRPr="00FD620F">
        <w:rPr>
          <w:noProof/>
        </w:rPr>
        <w:t>**</w:t>
      </w:r>
      <w:r w:rsidRPr="00FD620F">
        <w:rPr>
          <w:noProof/>
        </w:rPr>
        <w:t>;</w:t>
      </w:r>
    </w:p>
    <w:p w14:paraId="195AF556" w14:textId="77777777" w:rsidR="00064ADB" w:rsidRPr="00FD620F" w:rsidRDefault="00064ADB" w:rsidP="00403AE9">
      <w:pPr>
        <w:pStyle w:val="Tiret2"/>
        <w:rPr>
          <w:noProof/>
        </w:rPr>
      </w:pPr>
      <w:r w:rsidRPr="00FD620F">
        <w:rPr>
          <w:noProof/>
        </w:rPr>
        <w:t>Council Directive 91/271/EEC</w:t>
      </w:r>
      <w:r w:rsidR="00B27A17" w:rsidRPr="00FD620F">
        <w:rPr>
          <w:noProof/>
        </w:rPr>
        <w:t>***</w:t>
      </w:r>
      <w:r w:rsidRPr="00FD620F">
        <w:rPr>
          <w:noProof/>
        </w:rPr>
        <w:t xml:space="preserve">; </w:t>
      </w:r>
    </w:p>
    <w:p w14:paraId="5182A4AE" w14:textId="77777777" w:rsidR="00064ADB" w:rsidRPr="00FD620F" w:rsidRDefault="00064ADB" w:rsidP="00403AE9">
      <w:pPr>
        <w:pStyle w:val="Tiret2"/>
        <w:rPr>
          <w:noProof/>
        </w:rPr>
      </w:pPr>
      <w:r w:rsidRPr="00FD620F">
        <w:rPr>
          <w:noProof/>
        </w:rPr>
        <w:t>Council Directive 91/676/EEC</w:t>
      </w:r>
      <w:r w:rsidR="00B27A17" w:rsidRPr="00FD620F">
        <w:rPr>
          <w:noProof/>
        </w:rPr>
        <w:t>****</w:t>
      </w:r>
      <w:r w:rsidRPr="00FD620F">
        <w:rPr>
          <w:noProof/>
        </w:rPr>
        <w:t>;</w:t>
      </w:r>
    </w:p>
    <w:p w14:paraId="1BF48925" w14:textId="77777777" w:rsidR="00064ADB" w:rsidRPr="00FD620F" w:rsidRDefault="00064ADB" w:rsidP="00403AE9">
      <w:pPr>
        <w:pStyle w:val="Tiret2"/>
        <w:rPr>
          <w:noProof/>
        </w:rPr>
      </w:pPr>
      <w:r w:rsidRPr="00FD620F">
        <w:rPr>
          <w:noProof/>
        </w:rPr>
        <w:t>any other Union legislation relevant for addressing point source or difuse pollution.</w:t>
      </w:r>
    </w:p>
    <w:p w14:paraId="0F3E136E" w14:textId="77777777" w:rsidR="00064ADB" w:rsidRPr="00FD620F" w:rsidRDefault="00064ADB" w:rsidP="00064ADB">
      <w:pPr>
        <w:pStyle w:val="Text2"/>
        <w:rPr>
          <w:noProof/>
          <w:u w:val="single"/>
        </w:rPr>
      </w:pPr>
      <w:r w:rsidRPr="00FD620F">
        <w:rPr>
          <w:noProof/>
        </w:rPr>
        <w:t xml:space="preserve"> </w:t>
      </w:r>
      <w:r w:rsidRPr="00FD620F">
        <w:rPr>
          <w:noProof/>
          <w:u w:val="single"/>
        </w:rPr>
        <w:tab/>
      </w:r>
      <w:r w:rsidRPr="00FD620F">
        <w:rPr>
          <w:noProof/>
          <w:u w:val="single"/>
        </w:rPr>
        <w:tab/>
      </w:r>
      <w:r w:rsidRPr="00FD620F">
        <w:rPr>
          <w:noProof/>
          <w:u w:val="single"/>
        </w:rPr>
        <w:tab/>
      </w:r>
      <w:r w:rsidRPr="00FD620F">
        <w:rPr>
          <w:noProof/>
          <w:u w:val="single"/>
        </w:rPr>
        <w:tab/>
      </w:r>
    </w:p>
    <w:p w14:paraId="5B7C2545" w14:textId="77777777" w:rsidR="00064ADB" w:rsidRPr="00FD620F" w:rsidRDefault="00064ADB" w:rsidP="00064ADB">
      <w:pPr>
        <w:ind w:left="850"/>
        <w:rPr>
          <w:noProof/>
        </w:rPr>
      </w:pPr>
      <w:r w:rsidRPr="00FD620F">
        <w:rPr>
          <w:noProof/>
        </w:rPr>
        <w:tab/>
      </w:r>
      <w:r w:rsidRPr="00FD620F">
        <w:rPr>
          <w:noProof/>
        </w:rPr>
        <w:tab/>
      </w:r>
      <w:r w:rsidRPr="00FD620F">
        <w:rPr>
          <w:noProof/>
        </w:rPr>
        <w:tab/>
      </w:r>
      <w:r w:rsidRPr="00FD620F">
        <w:rPr>
          <w:noProof/>
        </w:rPr>
        <w:tab/>
      </w:r>
    </w:p>
    <w:p w14:paraId="44AEBEC1" w14:textId="77777777" w:rsidR="00B27A17" w:rsidRPr="00FD620F" w:rsidRDefault="00B27A17" w:rsidP="00064ADB">
      <w:pPr>
        <w:pStyle w:val="Text2"/>
        <w:rPr>
          <w:noProof/>
        </w:rPr>
      </w:pPr>
      <w:r w:rsidRPr="00FD620F">
        <w:rPr>
          <w:noProof/>
        </w:rPr>
        <w:t>* Directive 2009/128/EC of the European Parliament and of the Council of 21 October 2009 establishing a framework for Community action to achieve the sustainable use of pesticides (OJ L 309, 24.11.2009, p. 71).</w:t>
      </w:r>
    </w:p>
    <w:p w14:paraId="7ED8C129" w14:textId="77777777" w:rsidR="00064ADB" w:rsidRPr="00FD620F" w:rsidRDefault="00B27A17" w:rsidP="00064ADB">
      <w:pPr>
        <w:pStyle w:val="Text2"/>
        <w:rPr>
          <w:noProof/>
        </w:rPr>
      </w:pPr>
      <w:r w:rsidRPr="00FD620F">
        <w:rPr>
          <w:noProof/>
        </w:rPr>
        <w:t>**</w:t>
      </w:r>
      <w:r w:rsidR="00064ADB" w:rsidRPr="00FD620F">
        <w:rPr>
          <w:noProof/>
        </w:rPr>
        <w:t xml:space="preserve"> Directive 2010/75/EU of the European Parliament and of the Council of 24 November 2010 on industrial emissions (OJ L 334, 17.12.2010, p. 17).</w:t>
      </w:r>
    </w:p>
    <w:p w14:paraId="5C7733EF" w14:textId="77777777" w:rsidR="00064ADB" w:rsidRPr="00FD620F" w:rsidRDefault="00B27A17" w:rsidP="00064ADB">
      <w:pPr>
        <w:pStyle w:val="Text2"/>
        <w:rPr>
          <w:noProof/>
        </w:rPr>
      </w:pPr>
      <w:r w:rsidRPr="00FD620F">
        <w:rPr>
          <w:noProof/>
        </w:rPr>
        <w:t xml:space="preserve">*** </w:t>
      </w:r>
      <w:r w:rsidR="00064ADB" w:rsidRPr="00FD620F">
        <w:rPr>
          <w:noProof/>
        </w:rPr>
        <w:t>Council Directive 91/271/EEC of 21 May 1991 concerning urban waste-water treatment (OJ L 135, 30.5.1991, p. 40).</w:t>
      </w:r>
    </w:p>
    <w:p w14:paraId="64104358" w14:textId="77777777" w:rsidR="00064ADB" w:rsidRPr="00FD620F" w:rsidRDefault="00B27A17" w:rsidP="00064ADB">
      <w:pPr>
        <w:pStyle w:val="Text2"/>
        <w:rPr>
          <w:noProof/>
        </w:rPr>
      </w:pPr>
      <w:r w:rsidRPr="00FD620F">
        <w:rPr>
          <w:noProof/>
        </w:rPr>
        <w:t>****</w:t>
      </w:r>
      <w:r w:rsidR="00064ADB" w:rsidRPr="00FD620F">
        <w:rPr>
          <w:noProof/>
        </w:rPr>
        <w:t xml:space="preserve"> Council Directive 91/676/EEC of 12 December 1991 concerning the protection of waters against pollution caused by nitrates from agricultural sources, (OJ L  375, 31.12.1991, p. 1).’;</w:t>
      </w:r>
    </w:p>
    <w:p w14:paraId="5EF479E8" w14:textId="65B571AE" w:rsidR="00064ADB" w:rsidRPr="00FD620F" w:rsidRDefault="00312D4D" w:rsidP="00312D4D">
      <w:pPr>
        <w:pStyle w:val="Point1"/>
        <w:rPr>
          <w:noProof/>
        </w:rPr>
      </w:pPr>
      <w:r w:rsidRPr="00312D4D">
        <w:t>(b)</w:t>
      </w:r>
      <w:r w:rsidRPr="00312D4D">
        <w:tab/>
      </w:r>
      <w:r w:rsidR="00064ADB" w:rsidRPr="00FD620F">
        <w:rPr>
          <w:noProof/>
        </w:rPr>
        <w:t>paragraph 3 is replaced by the following:</w:t>
      </w:r>
    </w:p>
    <w:p w14:paraId="63F5AB8C" w14:textId="77777777" w:rsidR="00064ADB" w:rsidRPr="00FD620F" w:rsidRDefault="00064ADB" w:rsidP="00064ADB">
      <w:pPr>
        <w:pStyle w:val="Text2"/>
        <w:rPr>
          <w:i/>
          <w:noProof/>
        </w:rPr>
      </w:pPr>
      <w:r w:rsidRPr="00FD620F">
        <w:rPr>
          <w:noProof/>
        </w:rPr>
        <w:t xml:space="preserve">‘3. Where a quality objective, quality standard </w:t>
      </w:r>
      <w:r w:rsidRPr="00FD620F">
        <w:rPr>
          <w:bCs/>
          <w:noProof/>
        </w:rPr>
        <w:t>or threshold, whether established pursuant to this Directive, to Directives 2006/118/EC or 2008/105/EC,</w:t>
      </w:r>
      <w:r w:rsidRPr="00FD620F">
        <w:rPr>
          <w:noProof/>
        </w:rPr>
        <w:t xml:space="preserve"> or pursuant to any other Union legislation, requires stricter conditions than those which would result from the application of paragraph 2, more stringent emission controls shall be set accordingly.’;</w:t>
      </w:r>
    </w:p>
    <w:p w14:paraId="62C2F3C6" w14:textId="54694629" w:rsidR="00064ADB" w:rsidRPr="00FD620F" w:rsidRDefault="00312D4D" w:rsidP="00312D4D">
      <w:pPr>
        <w:pStyle w:val="Point0"/>
        <w:rPr>
          <w:noProof/>
        </w:rPr>
      </w:pPr>
      <w:r w:rsidRPr="00312D4D">
        <w:t>(8)</w:t>
      </w:r>
      <w:r w:rsidRPr="00312D4D">
        <w:tab/>
      </w:r>
      <w:r w:rsidR="00064ADB" w:rsidRPr="00FD620F">
        <w:rPr>
          <w:noProof/>
        </w:rPr>
        <w:t>in Article 11(3), point (k) is replaced by the following:</w:t>
      </w:r>
    </w:p>
    <w:p w14:paraId="6C0ECB91" w14:textId="77777777" w:rsidR="00064ADB" w:rsidRPr="00FD620F" w:rsidRDefault="00064ADB" w:rsidP="00064ADB">
      <w:pPr>
        <w:pStyle w:val="Text1"/>
        <w:rPr>
          <w:noProof/>
        </w:rPr>
      </w:pPr>
      <w:r w:rsidRPr="00FD620F">
        <w:rPr>
          <w:noProof/>
        </w:rPr>
        <w:t xml:space="preserve">‘(k) </w:t>
      </w:r>
      <w:r w:rsidRPr="00FD620F">
        <w:rPr>
          <w:bCs/>
          <w:noProof/>
        </w:rPr>
        <w:t>measures to eliminate pollution of surface waters</w:t>
      </w:r>
      <w:r w:rsidR="006530FE" w:rsidRPr="00FD620F">
        <w:rPr>
          <w:bCs/>
          <w:noProof/>
        </w:rPr>
        <w:t xml:space="preserve"> by priority hazardous substances</w:t>
      </w:r>
      <w:r w:rsidRPr="00FD620F">
        <w:rPr>
          <w:bCs/>
          <w:noProof/>
        </w:rPr>
        <w:t xml:space="preserve"> and to progressively reduce pollution by other substances </w:t>
      </w:r>
      <w:r w:rsidRPr="00FD620F">
        <w:rPr>
          <w:noProof/>
        </w:rPr>
        <w:t>which would otherwise prevent Member States from achieving the environmental objectives for the bodies of surface waters set out in Article 4</w:t>
      </w:r>
      <w:r w:rsidR="00A63E93">
        <w:rPr>
          <w:noProof/>
        </w:rPr>
        <w:t>;</w:t>
      </w:r>
      <w:r w:rsidRPr="00FD620F">
        <w:rPr>
          <w:noProof/>
        </w:rPr>
        <w:t xml:space="preserve">’;  </w:t>
      </w:r>
      <w:r w:rsidRPr="00FD620F" w:rsidDel="00495518">
        <w:rPr>
          <w:noProof/>
        </w:rPr>
        <w:t xml:space="preserve"> </w:t>
      </w:r>
    </w:p>
    <w:p w14:paraId="0EA47550" w14:textId="02B427D8" w:rsidR="00064ADB" w:rsidRPr="00FD620F" w:rsidRDefault="00312D4D" w:rsidP="00312D4D">
      <w:pPr>
        <w:pStyle w:val="Point0"/>
        <w:rPr>
          <w:noProof/>
        </w:rPr>
      </w:pPr>
      <w:r w:rsidRPr="00312D4D">
        <w:t>(9)</w:t>
      </w:r>
      <w:r w:rsidRPr="00312D4D">
        <w:tab/>
      </w:r>
      <w:r w:rsidR="00064ADB" w:rsidRPr="00FD620F">
        <w:rPr>
          <w:noProof/>
        </w:rPr>
        <w:t>Article 12 is replaced by the following:</w:t>
      </w:r>
    </w:p>
    <w:p w14:paraId="56352673" w14:textId="77777777" w:rsidR="00064ADB" w:rsidRPr="00FD620F" w:rsidRDefault="00064ADB" w:rsidP="00064ADB">
      <w:pPr>
        <w:pStyle w:val="NormalCentered"/>
        <w:rPr>
          <w:noProof/>
        </w:rPr>
      </w:pPr>
      <w:r w:rsidRPr="00FD620F">
        <w:rPr>
          <w:noProof/>
        </w:rPr>
        <w:t>‘</w:t>
      </w:r>
      <w:r w:rsidRPr="00FD620F">
        <w:rPr>
          <w:i/>
          <w:noProof/>
        </w:rPr>
        <w:t>Article 12</w:t>
      </w:r>
    </w:p>
    <w:p w14:paraId="5010DFF2" w14:textId="5D59F716" w:rsidR="00064ADB" w:rsidRPr="00FD620F" w:rsidRDefault="00064ADB" w:rsidP="00064ADB">
      <w:pPr>
        <w:pStyle w:val="NormalCentered"/>
        <w:rPr>
          <w:b/>
          <w:noProof/>
        </w:rPr>
      </w:pPr>
      <w:r w:rsidRPr="00FD620F">
        <w:rPr>
          <w:noProof/>
        </w:rPr>
        <w:t xml:space="preserve"> </w:t>
      </w:r>
      <w:r w:rsidRPr="00FD620F">
        <w:rPr>
          <w:b/>
          <w:noProof/>
        </w:rPr>
        <w:t>Issues which cannot be dealt with at Member State level</w:t>
      </w:r>
    </w:p>
    <w:p w14:paraId="326C1C69" w14:textId="77777777" w:rsidR="00064ADB" w:rsidRPr="00FD620F" w:rsidRDefault="00064ADB" w:rsidP="00064ADB">
      <w:pPr>
        <w:pStyle w:val="Text1"/>
        <w:rPr>
          <w:noProof/>
        </w:rPr>
      </w:pPr>
      <w:r w:rsidRPr="00FD620F">
        <w:rPr>
          <w:noProof/>
        </w:rPr>
        <w:t>1. Where a Member State identifies an issue which has an impact on the management of its water but cannot be resolved by that Member State, it shall notify the issue to the Commission and any other Member State concerned and make recommendations for the resolution of it.</w:t>
      </w:r>
    </w:p>
    <w:p w14:paraId="788AA548" w14:textId="62BA6B63" w:rsidR="00064ADB" w:rsidRPr="00FD620F" w:rsidRDefault="00064ADB" w:rsidP="00064ADB">
      <w:pPr>
        <w:pStyle w:val="Text1"/>
        <w:rPr>
          <w:noProof/>
        </w:rPr>
      </w:pPr>
      <w:r w:rsidRPr="00FD620F">
        <w:rPr>
          <w:noProof/>
        </w:rPr>
        <w:t xml:space="preserve">2. The Member States concerned shall cooperate to identify the sources of the issues referred to in paragraph 1 and the measures required for addressing those issues. </w:t>
      </w:r>
    </w:p>
    <w:p w14:paraId="79F3C3BF" w14:textId="77777777" w:rsidR="00064ADB" w:rsidRPr="00FD620F" w:rsidRDefault="00064ADB" w:rsidP="00064ADB">
      <w:pPr>
        <w:pStyle w:val="Text1"/>
        <w:rPr>
          <w:noProof/>
        </w:rPr>
      </w:pPr>
      <w:r w:rsidRPr="00FD620F">
        <w:rPr>
          <w:noProof/>
        </w:rPr>
        <w:t>Member States shall respond to each other in a timely manner, and no later than 3 months after notification by another Member State in accordance with paragraph 1.</w:t>
      </w:r>
    </w:p>
    <w:p w14:paraId="509721DB" w14:textId="0D75FE94" w:rsidR="00F90D93" w:rsidRDefault="00312D4D" w:rsidP="00312D4D">
      <w:pPr>
        <w:pStyle w:val="Point0"/>
        <w:rPr>
          <w:noProof/>
        </w:rPr>
      </w:pPr>
      <w:r w:rsidRPr="00312D4D">
        <w:t>(10)</w:t>
      </w:r>
      <w:r w:rsidRPr="00312D4D">
        <w:tab/>
      </w:r>
      <w:r w:rsidR="00064ADB" w:rsidRPr="00FD620F">
        <w:rPr>
          <w:noProof/>
        </w:rPr>
        <w:t>3. The Commission shall be informed of, and invited to assist in, any cooperation referred to in paragraph 2. Where appropriate, the Commission shall, taking into account the reports established pursuant to Article 13, consider whether further action needs to be taken at Union level in order to reduce the transboundary impacts on water bodies.’;</w:t>
      </w:r>
    </w:p>
    <w:p w14:paraId="52233C3A" w14:textId="6F93A035" w:rsidR="00064ADB" w:rsidRPr="00FD620F" w:rsidRDefault="00312D4D" w:rsidP="00312D4D">
      <w:pPr>
        <w:pStyle w:val="Point0"/>
        <w:rPr>
          <w:noProof/>
        </w:rPr>
      </w:pPr>
      <w:r w:rsidRPr="00312D4D">
        <w:t>(11)</w:t>
      </w:r>
      <w:r w:rsidRPr="00312D4D">
        <w:tab/>
      </w:r>
      <w:r w:rsidR="00064ADB" w:rsidRPr="00FD620F">
        <w:rPr>
          <w:noProof/>
        </w:rPr>
        <w:t xml:space="preserve">in Article 15, paragraph 3 is deleted;  </w:t>
      </w:r>
    </w:p>
    <w:p w14:paraId="2CCA6645" w14:textId="79F9648E" w:rsidR="00064ADB" w:rsidRPr="00FD620F" w:rsidRDefault="00312D4D" w:rsidP="00312D4D">
      <w:pPr>
        <w:pStyle w:val="Point0"/>
        <w:rPr>
          <w:noProof/>
        </w:rPr>
      </w:pPr>
      <w:r w:rsidRPr="00312D4D">
        <w:t>(12)</w:t>
      </w:r>
      <w:r w:rsidRPr="00312D4D">
        <w:tab/>
      </w:r>
      <w:r w:rsidR="00064ADB" w:rsidRPr="00FD620F">
        <w:rPr>
          <w:noProof/>
        </w:rPr>
        <w:t xml:space="preserve">Articles 16 and 17 are deleted;  </w:t>
      </w:r>
    </w:p>
    <w:p w14:paraId="6BC23FCD" w14:textId="335FB6ED" w:rsidR="00064ADB" w:rsidRPr="00FD620F" w:rsidRDefault="00312D4D" w:rsidP="00312D4D">
      <w:pPr>
        <w:pStyle w:val="Point0"/>
        <w:rPr>
          <w:noProof/>
        </w:rPr>
      </w:pPr>
      <w:r w:rsidRPr="00312D4D">
        <w:t>(13)</w:t>
      </w:r>
      <w:r w:rsidRPr="00312D4D">
        <w:tab/>
      </w:r>
      <w:r w:rsidR="00064ADB" w:rsidRPr="00FD620F">
        <w:rPr>
          <w:noProof/>
        </w:rPr>
        <w:t>Article 18 is amended as follows:</w:t>
      </w:r>
    </w:p>
    <w:p w14:paraId="16169A67" w14:textId="603D868D" w:rsidR="00064ADB" w:rsidRPr="00FD620F" w:rsidRDefault="00312D4D" w:rsidP="00312D4D">
      <w:pPr>
        <w:pStyle w:val="Point1"/>
        <w:rPr>
          <w:i/>
          <w:noProof/>
        </w:rPr>
      </w:pPr>
      <w:r w:rsidRPr="00312D4D">
        <w:t>(a)</w:t>
      </w:r>
      <w:r w:rsidRPr="00312D4D">
        <w:tab/>
      </w:r>
      <w:r w:rsidR="00064ADB" w:rsidRPr="00FD620F">
        <w:rPr>
          <w:noProof/>
        </w:rPr>
        <w:t xml:space="preserve">in paragraph 2, point (e) is replaced by the following: </w:t>
      </w:r>
    </w:p>
    <w:p w14:paraId="7C2E2FDD" w14:textId="77777777" w:rsidR="00064ADB" w:rsidRPr="00FD620F" w:rsidRDefault="00064ADB" w:rsidP="00064ADB">
      <w:pPr>
        <w:pStyle w:val="Text2"/>
        <w:rPr>
          <w:i/>
          <w:noProof/>
        </w:rPr>
      </w:pPr>
      <w:r w:rsidRPr="00FD620F">
        <w:rPr>
          <w:noProof/>
        </w:rPr>
        <w:t>‘(e) a summary of any proposals, control measures and strategies to control chemical pollution or  cease or phase out hazardous substances;’;</w:t>
      </w:r>
      <w:r w:rsidRPr="00FD620F">
        <w:rPr>
          <w:i/>
          <w:noProof/>
        </w:rPr>
        <w:t xml:space="preserve"> </w:t>
      </w:r>
    </w:p>
    <w:p w14:paraId="12EF384F" w14:textId="5B3A222A" w:rsidR="00064ADB" w:rsidRPr="00FD620F" w:rsidRDefault="00312D4D" w:rsidP="00312D4D">
      <w:pPr>
        <w:pStyle w:val="Point1"/>
        <w:rPr>
          <w:i/>
          <w:noProof/>
        </w:rPr>
      </w:pPr>
      <w:r w:rsidRPr="00312D4D">
        <w:t>(b)</w:t>
      </w:r>
      <w:r w:rsidRPr="00312D4D">
        <w:tab/>
      </w:r>
      <w:r w:rsidR="00064ADB" w:rsidRPr="00FD620F">
        <w:rPr>
          <w:noProof/>
        </w:rPr>
        <w:t xml:space="preserve">paragraph 4 is deleted; </w:t>
      </w:r>
      <w:r w:rsidR="00064ADB" w:rsidRPr="00FD620F">
        <w:rPr>
          <w:i/>
          <w:noProof/>
        </w:rPr>
        <w:t xml:space="preserve"> </w:t>
      </w:r>
    </w:p>
    <w:p w14:paraId="7E4FEE76" w14:textId="0ABBA1C8" w:rsidR="00064ADB" w:rsidRPr="00FD620F" w:rsidRDefault="00312D4D" w:rsidP="00312D4D">
      <w:pPr>
        <w:pStyle w:val="Point0"/>
        <w:rPr>
          <w:noProof/>
        </w:rPr>
      </w:pPr>
      <w:r w:rsidRPr="00312D4D">
        <w:t>(14)</w:t>
      </w:r>
      <w:r w:rsidRPr="00312D4D">
        <w:tab/>
      </w:r>
      <w:r w:rsidR="00064ADB" w:rsidRPr="00FD620F">
        <w:rPr>
          <w:noProof/>
        </w:rPr>
        <w:t>Article 20 is replaced by the following:</w:t>
      </w:r>
    </w:p>
    <w:p w14:paraId="5B7C14CF" w14:textId="77777777" w:rsidR="00064ADB" w:rsidRPr="00FD620F" w:rsidRDefault="00064ADB" w:rsidP="00064ADB">
      <w:pPr>
        <w:pStyle w:val="Titrearticle"/>
        <w:rPr>
          <w:noProof/>
        </w:rPr>
      </w:pPr>
      <w:r w:rsidRPr="00FD620F">
        <w:rPr>
          <w:noProof/>
        </w:rPr>
        <w:t>‘Article 20</w:t>
      </w:r>
    </w:p>
    <w:p w14:paraId="4237316D" w14:textId="4C1D0D5B" w:rsidR="00064ADB" w:rsidRPr="00FD620F" w:rsidRDefault="00064ADB" w:rsidP="00064ADB">
      <w:pPr>
        <w:pStyle w:val="Titrearticle"/>
        <w:rPr>
          <w:b/>
          <w:noProof/>
        </w:rPr>
      </w:pPr>
      <w:r w:rsidRPr="00FD620F">
        <w:rPr>
          <w:b/>
          <w:i w:val="0"/>
          <w:noProof/>
        </w:rPr>
        <w:t>Technical adaptations</w:t>
      </w:r>
      <w:r w:rsidR="00A63E93">
        <w:rPr>
          <w:b/>
          <w:i w:val="0"/>
          <w:noProof/>
        </w:rPr>
        <w:t xml:space="preserve"> and implementation of</w:t>
      </w:r>
      <w:r w:rsidRPr="00FD620F">
        <w:rPr>
          <w:b/>
          <w:i w:val="0"/>
          <w:noProof/>
        </w:rPr>
        <w:t xml:space="preserve"> th</w:t>
      </w:r>
      <w:r w:rsidR="00EC5714">
        <w:rPr>
          <w:b/>
          <w:i w:val="0"/>
          <w:noProof/>
        </w:rPr>
        <w:t>is</w:t>
      </w:r>
      <w:r w:rsidRPr="00FD620F">
        <w:rPr>
          <w:b/>
          <w:i w:val="0"/>
          <w:noProof/>
        </w:rPr>
        <w:t xml:space="preserve"> Directive</w:t>
      </w:r>
    </w:p>
    <w:p w14:paraId="5A6FEF79" w14:textId="77777777" w:rsidR="00064ADB" w:rsidRPr="00FD620F" w:rsidRDefault="00064ADB" w:rsidP="00064ADB">
      <w:pPr>
        <w:pStyle w:val="Text1"/>
        <w:rPr>
          <w:noProof/>
        </w:rPr>
      </w:pPr>
      <w:r w:rsidRPr="00FD620F">
        <w:rPr>
          <w:noProof/>
        </w:rPr>
        <w:t xml:space="preserve"> ‘1. The Commission is empowered to adopt delegated acts in accordance with Article 20a to amend Annexes I and III and section 1.3.6  of Annex V in order to adapt the information requirements related to competent authorities, the content of the economic analysis and the selected monitoring standards, respectively,  to scientific and technical progress.</w:t>
      </w:r>
    </w:p>
    <w:p w14:paraId="1342DCBC" w14:textId="77777777" w:rsidR="00A63E93" w:rsidRDefault="00A63E93" w:rsidP="00064ADB">
      <w:pPr>
        <w:pStyle w:val="Text1"/>
        <w:rPr>
          <w:noProof/>
        </w:rPr>
      </w:pPr>
      <w:r>
        <w:rPr>
          <w:noProof/>
        </w:rPr>
        <w:t xml:space="preserve">2. </w:t>
      </w:r>
      <w:r w:rsidR="00064ADB" w:rsidRPr="00FD620F">
        <w:rPr>
          <w:noProof/>
        </w:rPr>
        <w:t>The Commission is empowered to adopt delegated acts in accordance with Article 20a to supplement this Directive by determining the values established for the Member State monitoring system classifications in accordance with the intercalibration procedure set out in point 1.4.1 of Annex V.</w:t>
      </w:r>
    </w:p>
    <w:p w14:paraId="071AE1BB" w14:textId="5B5816B3" w:rsidR="00064ADB" w:rsidRPr="00FD620F" w:rsidRDefault="00064ADB" w:rsidP="00064ADB">
      <w:pPr>
        <w:pStyle w:val="Text1"/>
        <w:rPr>
          <w:i/>
          <w:noProof/>
        </w:rPr>
      </w:pPr>
      <w:r w:rsidRPr="00FD620F">
        <w:rPr>
          <w:noProof/>
        </w:rPr>
        <w:t xml:space="preserve">3. The Commission is empowered to adopt implementing acts to set out the technical formats for the transmission of the data referred to in Article </w:t>
      </w:r>
      <w:r w:rsidR="00771DB1" w:rsidRPr="00FD620F">
        <w:rPr>
          <w:noProof/>
        </w:rPr>
        <w:t>8(4)</w:t>
      </w:r>
      <w:r w:rsidRPr="00FD620F">
        <w:rPr>
          <w:noProof/>
        </w:rPr>
        <w:t>.</w:t>
      </w:r>
      <w:r w:rsidR="00A63E93">
        <w:rPr>
          <w:noProof/>
        </w:rPr>
        <w:t xml:space="preserve">  </w:t>
      </w:r>
      <w:r w:rsidRPr="00FD620F">
        <w:rPr>
          <w:noProof/>
        </w:rPr>
        <w:t>Those implementing acts shall be adopted in accordance with the examination procedure referred to in Article 21(2).</w:t>
      </w:r>
      <w:r w:rsidR="00771DB1" w:rsidRPr="00FD620F">
        <w:rPr>
          <w:noProof/>
        </w:rPr>
        <w:t xml:space="preserve"> </w:t>
      </w:r>
      <w:r w:rsidRPr="00FD620F">
        <w:rPr>
          <w:noProof/>
        </w:rPr>
        <w:t xml:space="preserve">When establishing those formats, the Commission shall be assisted, where so required, by the EEA’;  </w:t>
      </w:r>
    </w:p>
    <w:p w14:paraId="2D5276B6" w14:textId="016E97A1" w:rsidR="00064ADB" w:rsidRPr="00FD620F" w:rsidRDefault="00312D4D" w:rsidP="00312D4D">
      <w:pPr>
        <w:pStyle w:val="Point0"/>
        <w:rPr>
          <w:noProof/>
        </w:rPr>
      </w:pPr>
      <w:r w:rsidRPr="00312D4D">
        <w:t>(15)</w:t>
      </w:r>
      <w:r w:rsidRPr="00312D4D">
        <w:tab/>
      </w:r>
      <w:r w:rsidR="00064ADB" w:rsidRPr="00FD620F">
        <w:rPr>
          <w:noProof/>
        </w:rPr>
        <w:t>the following Article 20a is inserted:</w:t>
      </w:r>
    </w:p>
    <w:p w14:paraId="4FA0EB4C" w14:textId="77777777" w:rsidR="00064ADB" w:rsidRPr="00FD620F" w:rsidRDefault="00064ADB" w:rsidP="00064ADB">
      <w:pPr>
        <w:ind w:left="709"/>
        <w:jc w:val="center"/>
        <w:rPr>
          <w:i/>
          <w:noProof/>
        </w:rPr>
      </w:pPr>
      <w:r w:rsidRPr="00FD620F">
        <w:rPr>
          <w:noProof/>
        </w:rPr>
        <w:t>‘</w:t>
      </w:r>
      <w:r w:rsidRPr="00FD620F">
        <w:rPr>
          <w:i/>
          <w:noProof/>
        </w:rPr>
        <w:t>Article 20a</w:t>
      </w:r>
    </w:p>
    <w:p w14:paraId="6B6FB1E0" w14:textId="77777777" w:rsidR="00064ADB" w:rsidRPr="00FD620F" w:rsidRDefault="00064ADB" w:rsidP="00064ADB">
      <w:pPr>
        <w:ind w:left="709"/>
        <w:jc w:val="center"/>
        <w:rPr>
          <w:b/>
          <w:noProof/>
        </w:rPr>
      </w:pPr>
      <w:r w:rsidRPr="00FD620F">
        <w:rPr>
          <w:b/>
          <w:noProof/>
        </w:rPr>
        <w:t>Exercise of the delegation</w:t>
      </w:r>
    </w:p>
    <w:p w14:paraId="3707D476" w14:textId="77777777" w:rsidR="00064ADB" w:rsidRPr="00FD620F" w:rsidRDefault="00064ADB" w:rsidP="00064ADB">
      <w:pPr>
        <w:ind w:left="709"/>
        <w:rPr>
          <w:noProof/>
        </w:rPr>
      </w:pPr>
      <w:r w:rsidRPr="00FD620F">
        <w:rPr>
          <w:noProof/>
        </w:rPr>
        <w:t>1. The power to adopt delegated acts is conferred on the Commission subject to the conditions laid down in this Article.</w:t>
      </w:r>
    </w:p>
    <w:p w14:paraId="426E96E6" w14:textId="5D6BC457" w:rsidR="00064ADB" w:rsidRPr="00FD620F" w:rsidRDefault="00064ADB" w:rsidP="00064ADB">
      <w:pPr>
        <w:ind w:left="709"/>
        <w:rPr>
          <w:noProof/>
        </w:rPr>
      </w:pPr>
      <w:r w:rsidRPr="00FD620F">
        <w:rPr>
          <w:noProof/>
        </w:rPr>
        <w:t>2. The power to adopt delegated acts referred to in Article 20(1) shall be conferred on the Commission for an indeterminate period of time from [OP please insert the date = the date of entry into force of this Directive].</w:t>
      </w:r>
    </w:p>
    <w:p w14:paraId="279FBBD7" w14:textId="77777777" w:rsidR="00064ADB" w:rsidRPr="00FD620F" w:rsidRDefault="00064ADB" w:rsidP="00064ADB">
      <w:pPr>
        <w:ind w:left="709"/>
        <w:rPr>
          <w:noProof/>
        </w:rPr>
      </w:pPr>
      <w:r w:rsidRPr="00FD620F">
        <w:rPr>
          <w:noProof/>
        </w:rPr>
        <w:t xml:space="preserve">3. The delegation of power referred to in Article 20(1) may be revoked at any time by the European Parliament and by the Council. A decision to revoke shall put an end to the delegation of the power specified in that decision. It shall take effect the day following the publication of the decision in the </w:t>
      </w:r>
      <w:r w:rsidRPr="00FD620F">
        <w:rPr>
          <w:i/>
          <w:noProof/>
        </w:rPr>
        <w:t>Official Journal of the European Union</w:t>
      </w:r>
      <w:r w:rsidRPr="00FD620F">
        <w:rPr>
          <w:noProof/>
        </w:rPr>
        <w:t xml:space="preserve"> or at a later date specified therein. It shall not affect the validity of the delegated acts already in force.</w:t>
      </w:r>
    </w:p>
    <w:p w14:paraId="35F5E91E" w14:textId="0A582C5A" w:rsidR="00064ADB" w:rsidRPr="00FD620F" w:rsidRDefault="00064ADB" w:rsidP="00064ADB">
      <w:pPr>
        <w:ind w:left="709"/>
        <w:rPr>
          <w:noProof/>
        </w:rPr>
      </w:pPr>
      <w:r w:rsidRPr="00FD620F">
        <w:rPr>
          <w:noProof/>
        </w:rPr>
        <w:t>4. Before adopting a delegated act, the Commission shall consult experts designated by each Member State in accordance with the principles laid down in the Interinstitutional Agreement on Better Law-Making of 13 April 2016.</w:t>
      </w:r>
    </w:p>
    <w:p w14:paraId="35FCFEB6" w14:textId="77777777" w:rsidR="00064ADB" w:rsidRPr="00FD620F" w:rsidRDefault="00064ADB" w:rsidP="00064ADB">
      <w:pPr>
        <w:ind w:left="709"/>
        <w:rPr>
          <w:noProof/>
        </w:rPr>
      </w:pPr>
      <w:r w:rsidRPr="00FD620F">
        <w:rPr>
          <w:noProof/>
        </w:rPr>
        <w:t>5. As soon as it adopts a delegated act, the Commission shall notify it simultaneously to the European Parliament and to the Council.</w:t>
      </w:r>
    </w:p>
    <w:p w14:paraId="45C46BA7" w14:textId="77777777" w:rsidR="00064ADB" w:rsidRPr="00FD620F" w:rsidRDefault="00064ADB" w:rsidP="00064ADB">
      <w:pPr>
        <w:ind w:left="709"/>
        <w:rPr>
          <w:noProof/>
        </w:rPr>
      </w:pPr>
      <w:r w:rsidRPr="00FD620F">
        <w:rPr>
          <w:noProof/>
        </w:rPr>
        <w:t>6. A delegated act adopted pursuant to Article 20(1)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1B62AFD9" w14:textId="7DE626E2" w:rsidR="00064ADB" w:rsidRPr="00FD620F" w:rsidRDefault="00312D4D" w:rsidP="00312D4D">
      <w:pPr>
        <w:pStyle w:val="Point0"/>
        <w:rPr>
          <w:noProof/>
        </w:rPr>
      </w:pPr>
      <w:r w:rsidRPr="00312D4D">
        <w:t>(16)</w:t>
      </w:r>
      <w:r w:rsidRPr="00312D4D">
        <w:tab/>
      </w:r>
      <w:r w:rsidR="00064ADB" w:rsidRPr="00FD620F">
        <w:rPr>
          <w:noProof/>
        </w:rPr>
        <w:t>Article 21 is replaced by the following:</w:t>
      </w:r>
    </w:p>
    <w:p w14:paraId="3400EAEE" w14:textId="77777777" w:rsidR="00064ADB" w:rsidRPr="00FD620F" w:rsidRDefault="00064ADB" w:rsidP="00064ADB">
      <w:pPr>
        <w:ind w:left="709"/>
        <w:jc w:val="center"/>
        <w:rPr>
          <w:noProof/>
        </w:rPr>
      </w:pPr>
      <w:r w:rsidRPr="00FD620F">
        <w:rPr>
          <w:noProof/>
        </w:rPr>
        <w:t>‘</w:t>
      </w:r>
      <w:r w:rsidRPr="00FD620F">
        <w:rPr>
          <w:i/>
          <w:noProof/>
        </w:rPr>
        <w:t>Article 21</w:t>
      </w:r>
    </w:p>
    <w:p w14:paraId="224170CC" w14:textId="77777777" w:rsidR="00064ADB" w:rsidRPr="00FD620F" w:rsidRDefault="00064ADB" w:rsidP="00064ADB">
      <w:pPr>
        <w:ind w:left="709"/>
        <w:jc w:val="center"/>
        <w:rPr>
          <w:b/>
          <w:noProof/>
        </w:rPr>
      </w:pPr>
      <w:r w:rsidRPr="00FD620F">
        <w:rPr>
          <w:b/>
          <w:noProof/>
        </w:rPr>
        <w:t>Committee procedure</w:t>
      </w:r>
    </w:p>
    <w:p w14:paraId="43910EC3" w14:textId="77777777" w:rsidR="00064ADB" w:rsidRPr="00FD620F" w:rsidRDefault="00064ADB" w:rsidP="00064ADB">
      <w:pPr>
        <w:ind w:left="709"/>
        <w:rPr>
          <w:noProof/>
        </w:rPr>
      </w:pPr>
      <w:r w:rsidRPr="00FD620F">
        <w:rPr>
          <w:noProof/>
        </w:rPr>
        <w:t>1. The Commission shall be assisted by a committee. That committee shall be a committee within the meaning of Regulation (EU) No 182/2011 of the European Parliament and of the Council*.</w:t>
      </w:r>
    </w:p>
    <w:p w14:paraId="2EF021B6" w14:textId="77777777" w:rsidR="00064ADB" w:rsidRPr="00FD620F" w:rsidRDefault="00064ADB" w:rsidP="00064ADB">
      <w:pPr>
        <w:ind w:left="709"/>
        <w:rPr>
          <w:noProof/>
        </w:rPr>
      </w:pPr>
      <w:r w:rsidRPr="00FD620F">
        <w:rPr>
          <w:noProof/>
        </w:rPr>
        <w:t>2. Where reference is made to this paragraph, Article 5 of Regulation (EU) No 182/2011 shall apply.</w:t>
      </w:r>
    </w:p>
    <w:p w14:paraId="4D4A18E9" w14:textId="77777777" w:rsidR="00064ADB" w:rsidRPr="00FD620F" w:rsidRDefault="00064ADB" w:rsidP="00064ADB">
      <w:pPr>
        <w:ind w:left="709"/>
        <w:rPr>
          <w:noProof/>
        </w:rPr>
      </w:pPr>
      <w:r w:rsidRPr="00FD620F">
        <w:rPr>
          <w:noProof/>
        </w:rPr>
        <w:t>Where the Committee delivers no opinion, the Commission shall not adopt the draft implementing act and Article 5(4), third subparagraph, of Regulation (EU) No 182/2011 shall apply.</w:t>
      </w:r>
    </w:p>
    <w:p w14:paraId="2EAA7BA9" w14:textId="77777777" w:rsidR="00064ADB" w:rsidRPr="00FD620F" w:rsidRDefault="00064ADB" w:rsidP="00064ADB">
      <w:pPr>
        <w:ind w:left="709"/>
        <w:rPr>
          <w:noProof/>
          <w:u w:val="single"/>
        </w:rPr>
      </w:pPr>
      <w:r w:rsidRPr="00FD620F">
        <w:rPr>
          <w:noProof/>
          <w:u w:val="single"/>
        </w:rPr>
        <w:tab/>
      </w:r>
      <w:r w:rsidRPr="00FD620F">
        <w:rPr>
          <w:noProof/>
          <w:u w:val="single"/>
        </w:rPr>
        <w:tab/>
      </w:r>
      <w:r w:rsidRPr="00FD620F">
        <w:rPr>
          <w:noProof/>
          <w:u w:val="single"/>
        </w:rPr>
        <w:tab/>
      </w:r>
      <w:r w:rsidRPr="00FD620F">
        <w:rPr>
          <w:noProof/>
          <w:u w:val="single"/>
        </w:rPr>
        <w:tab/>
      </w:r>
      <w:r w:rsidRPr="00FD620F">
        <w:rPr>
          <w:noProof/>
          <w:u w:val="single"/>
        </w:rPr>
        <w:tab/>
      </w:r>
      <w:r w:rsidRPr="00FD620F">
        <w:rPr>
          <w:noProof/>
          <w:u w:val="single"/>
        </w:rPr>
        <w:tab/>
      </w:r>
    </w:p>
    <w:p w14:paraId="5D56D424" w14:textId="77777777" w:rsidR="00064ADB" w:rsidRPr="00FD620F" w:rsidRDefault="00064ADB" w:rsidP="00064ADB">
      <w:pPr>
        <w:ind w:left="709"/>
        <w:rPr>
          <w:i/>
          <w:noProof/>
        </w:rPr>
      </w:pPr>
      <w:r w:rsidRPr="00FD620F">
        <w:rPr>
          <w:bCs/>
          <w:noProof/>
        </w:rPr>
        <w:t>* Regulation (EU) No 182/2011 of the European Parliament and of the Council of 16 February 2011 laying down the rules and general principles concerning mechanisms for control by Member States of the Commission’s exercise of implementing powers (OJ L 55, 28.2.2011, p. 13).</w:t>
      </w:r>
      <w:r w:rsidRPr="00FD620F">
        <w:rPr>
          <w:noProof/>
        </w:rPr>
        <w:t>’;</w:t>
      </w:r>
    </w:p>
    <w:p w14:paraId="6715496F" w14:textId="5CA9EC96" w:rsidR="00064ADB" w:rsidRPr="00FD620F" w:rsidRDefault="00312D4D" w:rsidP="00312D4D">
      <w:pPr>
        <w:pStyle w:val="Point0"/>
        <w:rPr>
          <w:noProof/>
        </w:rPr>
      </w:pPr>
      <w:r w:rsidRPr="00312D4D">
        <w:t>(17)</w:t>
      </w:r>
      <w:r w:rsidRPr="00312D4D">
        <w:tab/>
      </w:r>
      <w:r w:rsidR="00D54DDB" w:rsidRPr="00FD620F">
        <w:rPr>
          <w:noProof/>
        </w:rPr>
        <w:t xml:space="preserve">in </w:t>
      </w:r>
      <w:r w:rsidR="00064ADB" w:rsidRPr="00FD620F">
        <w:rPr>
          <w:noProof/>
        </w:rPr>
        <w:t>Article 22</w:t>
      </w:r>
      <w:r w:rsidR="00D54DDB" w:rsidRPr="00FD620F">
        <w:rPr>
          <w:noProof/>
        </w:rPr>
        <w:t>, paragraph 4 is replaced by the following</w:t>
      </w:r>
      <w:r w:rsidR="00064ADB" w:rsidRPr="00FD620F">
        <w:rPr>
          <w:noProof/>
        </w:rPr>
        <w:t>:</w:t>
      </w:r>
    </w:p>
    <w:p w14:paraId="36AF17CB" w14:textId="77777777" w:rsidR="00064ADB" w:rsidRPr="00FD620F" w:rsidRDefault="00D54DDB" w:rsidP="00064ADB">
      <w:pPr>
        <w:pStyle w:val="Text1"/>
        <w:rPr>
          <w:i/>
          <w:noProof/>
        </w:rPr>
      </w:pPr>
      <w:r w:rsidRPr="00FD620F" w:rsidDel="00D54DDB">
        <w:rPr>
          <w:i/>
          <w:noProof/>
        </w:rPr>
        <w:t xml:space="preserve"> </w:t>
      </w:r>
      <w:r w:rsidR="00064ADB" w:rsidRPr="00FD620F">
        <w:rPr>
          <w:noProof/>
        </w:rPr>
        <w:t>‘4. The environmental objectives in Article 4, the environmental quality standards set out in Part A of Annex I to Directive 2008/105/EC and the thresholds for river basin specific pollutants established pursuant to Articles 8 and 8d of that Directive shall be regarded as environmental quality standards for the purposes of Directive 2010/75/EU.’;</w:t>
      </w:r>
    </w:p>
    <w:p w14:paraId="763092DF" w14:textId="1C8CB289" w:rsidR="00064ADB" w:rsidRPr="00FD620F" w:rsidRDefault="00312D4D" w:rsidP="00312D4D">
      <w:pPr>
        <w:pStyle w:val="Point0"/>
        <w:rPr>
          <w:i/>
          <w:noProof/>
        </w:rPr>
      </w:pPr>
      <w:r w:rsidRPr="00312D4D">
        <w:t>(18)</w:t>
      </w:r>
      <w:r w:rsidRPr="00312D4D">
        <w:tab/>
      </w:r>
      <w:r w:rsidR="00064ADB" w:rsidRPr="00FD620F">
        <w:rPr>
          <w:noProof/>
        </w:rPr>
        <w:t xml:space="preserve">Annex V is amended in accordance with Annex </w:t>
      </w:r>
      <w:r w:rsidR="00CB3A0F" w:rsidRPr="00FD620F">
        <w:rPr>
          <w:noProof/>
        </w:rPr>
        <w:t>I</w:t>
      </w:r>
      <w:r w:rsidR="00064ADB" w:rsidRPr="00FD620F">
        <w:rPr>
          <w:noProof/>
        </w:rPr>
        <w:t xml:space="preserve"> to this Directive;</w:t>
      </w:r>
    </w:p>
    <w:p w14:paraId="407F63D5" w14:textId="12E5FFA2" w:rsidR="00064ADB" w:rsidRPr="00FD620F" w:rsidRDefault="00312D4D" w:rsidP="00312D4D">
      <w:pPr>
        <w:pStyle w:val="Point0"/>
        <w:rPr>
          <w:noProof/>
        </w:rPr>
      </w:pPr>
      <w:r w:rsidRPr="00312D4D">
        <w:t>(19)</w:t>
      </w:r>
      <w:r w:rsidRPr="00312D4D">
        <w:tab/>
      </w:r>
      <w:r w:rsidR="00FC3F20">
        <w:rPr>
          <w:noProof/>
        </w:rPr>
        <w:t>in Part A</w:t>
      </w:r>
      <w:r w:rsidR="00064ADB" w:rsidRPr="00FD620F">
        <w:rPr>
          <w:noProof/>
        </w:rPr>
        <w:t xml:space="preserve"> of Annex VII</w:t>
      </w:r>
      <w:r w:rsidR="00FC3F20">
        <w:rPr>
          <w:noProof/>
        </w:rPr>
        <w:t>, point</w:t>
      </w:r>
      <w:r w:rsidR="00064ADB" w:rsidRPr="00FD620F">
        <w:rPr>
          <w:noProof/>
        </w:rPr>
        <w:t xml:space="preserve"> </w:t>
      </w:r>
      <w:r w:rsidR="00FC3F20">
        <w:rPr>
          <w:noProof/>
        </w:rPr>
        <w:t>7.7.</w:t>
      </w:r>
      <w:r w:rsidR="00064ADB" w:rsidRPr="00FD620F">
        <w:rPr>
          <w:noProof/>
        </w:rPr>
        <w:t xml:space="preserve"> is replaced by the following: </w:t>
      </w:r>
    </w:p>
    <w:p w14:paraId="7225AEBA" w14:textId="143908B9" w:rsidR="00064ADB" w:rsidRPr="00FD620F" w:rsidRDefault="00064ADB" w:rsidP="00064ADB">
      <w:pPr>
        <w:pStyle w:val="Text1"/>
        <w:rPr>
          <w:noProof/>
        </w:rPr>
      </w:pPr>
      <w:r w:rsidRPr="00FD620F">
        <w:rPr>
          <w:noProof/>
        </w:rPr>
        <w:t xml:space="preserve">‘7.7. a summary of the measures taken </w:t>
      </w:r>
      <w:r w:rsidR="00FC3F20">
        <w:rPr>
          <w:noProof/>
        </w:rPr>
        <w:t>to reduce the emissions of</w:t>
      </w:r>
      <w:r w:rsidRPr="00FD620F">
        <w:rPr>
          <w:noProof/>
        </w:rPr>
        <w:t xml:space="preserve"> priority substances</w:t>
      </w:r>
      <w:r w:rsidR="00FC3F20">
        <w:rPr>
          <w:noProof/>
        </w:rPr>
        <w:t xml:space="preserve"> and to phase out the emissions of priority hazardous substances</w:t>
      </w:r>
      <w:r w:rsidRPr="00FD620F">
        <w:rPr>
          <w:noProof/>
        </w:rPr>
        <w:t xml:space="preserve">;’; </w:t>
      </w:r>
      <w:r w:rsidRPr="00FD620F">
        <w:rPr>
          <w:i/>
          <w:noProof/>
        </w:rPr>
        <w:t xml:space="preserve">  </w:t>
      </w:r>
      <w:r w:rsidRPr="00FD620F">
        <w:rPr>
          <w:noProof/>
        </w:rPr>
        <w:t xml:space="preserve"> </w:t>
      </w:r>
    </w:p>
    <w:p w14:paraId="2AAD194C" w14:textId="35337A42" w:rsidR="00992E87" w:rsidRPr="00FD620F" w:rsidRDefault="00312D4D" w:rsidP="00312D4D">
      <w:pPr>
        <w:pStyle w:val="Point0"/>
        <w:rPr>
          <w:noProof/>
        </w:rPr>
      </w:pPr>
      <w:r w:rsidRPr="00312D4D">
        <w:t>(20)</w:t>
      </w:r>
      <w:r w:rsidRPr="00312D4D">
        <w:tab/>
      </w:r>
      <w:r w:rsidR="00793BC6" w:rsidRPr="00FD620F">
        <w:rPr>
          <w:noProof/>
        </w:rPr>
        <w:t xml:space="preserve">Annex VIII is </w:t>
      </w:r>
      <w:r w:rsidR="00992E87" w:rsidRPr="00FD620F">
        <w:rPr>
          <w:noProof/>
        </w:rPr>
        <w:t xml:space="preserve">amended </w:t>
      </w:r>
      <w:r w:rsidR="00D86058">
        <w:rPr>
          <w:noProof/>
        </w:rPr>
        <w:t xml:space="preserve">in accordance with Annex II to this Directive; </w:t>
      </w:r>
      <w:r w:rsidR="00992E87" w:rsidRPr="00FD620F">
        <w:rPr>
          <w:noProof/>
        </w:rPr>
        <w:t xml:space="preserve"> </w:t>
      </w:r>
    </w:p>
    <w:p w14:paraId="66355C85" w14:textId="5BF73184" w:rsidR="00064ADB" w:rsidRPr="00FD620F" w:rsidRDefault="00312D4D" w:rsidP="00312D4D">
      <w:pPr>
        <w:pStyle w:val="Point0"/>
        <w:rPr>
          <w:i/>
          <w:noProof/>
        </w:rPr>
      </w:pPr>
      <w:r w:rsidRPr="00312D4D">
        <w:t>(21)</w:t>
      </w:r>
      <w:r w:rsidRPr="00312D4D">
        <w:tab/>
      </w:r>
      <w:r w:rsidR="00064ADB" w:rsidRPr="00FD620F">
        <w:rPr>
          <w:noProof/>
        </w:rPr>
        <w:t xml:space="preserve">Annex X </w:t>
      </w:r>
      <w:r w:rsidR="00E60D4A" w:rsidRPr="00FD620F">
        <w:rPr>
          <w:noProof/>
        </w:rPr>
        <w:t>is</w:t>
      </w:r>
      <w:r w:rsidR="00064ADB" w:rsidRPr="00FD620F">
        <w:rPr>
          <w:noProof/>
        </w:rPr>
        <w:t xml:space="preserve"> deleted. </w:t>
      </w:r>
    </w:p>
    <w:p w14:paraId="282B3F8C" w14:textId="77777777" w:rsidR="00EE492F" w:rsidRPr="00FD620F" w:rsidRDefault="009D4140" w:rsidP="009D4140">
      <w:pPr>
        <w:pStyle w:val="Titrearticle"/>
        <w:rPr>
          <w:noProof/>
        </w:rPr>
      </w:pPr>
      <w:r w:rsidRPr="00FD620F">
        <w:rPr>
          <w:noProof/>
        </w:rPr>
        <w:t>Article 2</w:t>
      </w:r>
    </w:p>
    <w:p w14:paraId="1E31A08C" w14:textId="77777777" w:rsidR="009D4140" w:rsidRPr="00FD620F" w:rsidRDefault="00F56605" w:rsidP="00FB7B4D">
      <w:pPr>
        <w:jc w:val="center"/>
        <w:rPr>
          <w:i/>
          <w:noProof/>
        </w:rPr>
      </w:pPr>
      <w:r w:rsidRPr="00FD620F">
        <w:rPr>
          <w:i/>
          <w:noProof/>
        </w:rPr>
        <w:t>Amendments to Directive 2006/118/EC</w:t>
      </w:r>
    </w:p>
    <w:p w14:paraId="70E8E7A9" w14:textId="77777777" w:rsidR="00F56605" w:rsidRPr="00FD620F" w:rsidRDefault="00F56605" w:rsidP="009D4140">
      <w:pPr>
        <w:rPr>
          <w:noProof/>
        </w:rPr>
      </w:pPr>
      <w:r w:rsidRPr="00FD620F">
        <w:rPr>
          <w:noProof/>
        </w:rPr>
        <w:t>Directive 2006/118/EC is amended as follows:</w:t>
      </w:r>
    </w:p>
    <w:p w14:paraId="320C1F34" w14:textId="10EFD626" w:rsidR="005C35CB" w:rsidRPr="00FD620F" w:rsidRDefault="00312D4D" w:rsidP="00312D4D">
      <w:pPr>
        <w:pStyle w:val="Point0"/>
        <w:rPr>
          <w:noProof/>
        </w:rPr>
      </w:pPr>
      <w:r w:rsidRPr="00312D4D">
        <w:t>(1)</w:t>
      </w:r>
      <w:r w:rsidRPr="00312D4D">
        <w:tab/>
      </w:r>
      <w:r w:rsidR="007117E3" w:rsidRPr="00FD620F">
        <w:rPr>
          <w:noProof/>
        </w:rPr>
        <w:t>t</w:t>
      </w:r>
      <w:r w:rsidR="005C35CB" w:rsidRPr="00FD620F">
        <w:rPr>
          <w:noProof/>
        </w:rPr>
        <w:t xml:space="preserve">he title is replaced by the following: </w:t>
      </w:r>
    </w:p>
    <w:p w14:paraId="1615DB72" w14:textId="77777777" w:rsidR="00147A70" w:rsidRPr="00FD620F" w:rsidRDefault="005C35CB" w:rsidP="003D2594">
      <w:pPr>
        <w:pStyle w:val="Text1"/>
        <w:rPr>
          <w:i/>
          <w:noProof/>
        </w:rPr>
      </w:pPr>
      <w:r w:rsidRPr="00FD620F">
        <w:rPr>
          <w:noProof/>
        </w:rPr>
        <w:t>‘D</w:t>
      </w:r>
      <w:r w:rsidR="00967D25" w:rsidRPr="00FD620F">
        <w:rPr>
          <w:noProof/>
        </w:rPr>
        <w:t xml:space="preserve">irective </w:t>
      </w:r>
      <w:r w:rsidRPr="00FD620F">
        <w:rPr>
          <w:noProof/>
        </w:rPr>
        <w:t xml:space="preserve">2006/118/EC </w:t>
      </w:r>
      <w:r w:rsidR="00967D25" w:rsidRPr="00FD620F">
        <w:rPr>
          <w:noProof/>
        </w:rPr>
        <w:t xml:space="preserve">of the </w:t>
      </w:r>
      <w:r w:rsidRPr="00FD620F">
        <w:rPr>
          <w:noProof/>
        </w:rPr>
        <w:t>E</w:t>
      </w:r>
      <w:r w:rsidR="00967D25" w:rsidRPr="00FD620F">
        <w:rPr>
          <w:noProof/>
        </w:rPr>
        <w:t>uropean</w:t>
      </w:r>
      <w:r w:rsidRPr="00FD620F">
        <w:rPr>
          <w:noProof/>
        </w:rPr>
        <w:t xml:space="preserve"> P</w:t>
      </w:r>
      <w:r w:rsidR="00967D25" w:rsidRPr="00FD620F">
        <w:rPr>
          <w:noProof/>
        </w:rPr>
        <w:t>arliament</w:t>
      </w:r>
      <w:r w:rsidRPr="00FD620F">
        <w:rPr>
          <w:noProof/>
        </w:rPr>
        <w:t xml:space="preserve"> </w:t>
      </w:r>
      <w:r w:rsidR="00967D25" w:rsidRPr="00FD620F">
        <w:rPr>
          <w:noProof/>
        </w:rPr>
        <w:t xml:space="preserve">and of the </w:t>
      </w:r>
      <w:r w:rsidRPr="00FD620F">
        <w:rPr>
          <w:noProof/>
        </w:rPr>
        <w:t>C</w:t>
      </w:r>
      <w:r w:rsidR="00967D25" w:rsidRPr="00FD620F">
        <w:rPr>
          <w:noProof/>
        </w:rPr>
        <w:t>ouncil</w:t>
      </w:r>
      <w:r w:rsidRPr="00FD620F">
        <w:rPr>
          <w:noProof/>
        </w:rPr>
        <w:t xml:space="preserve"> of 12 December 2006 on </w:t>
      </w:r>
      <w:r w:rsidR="00A700FC" w:rsidRPr="00FD620F">
        <w:rPr>
          <w:noProof/>
        </w:rPr>
        <w:t>the p</w:t>
      </w:r>
      <w:r w:rsidR="0094597A" w:rsidRPr="00FD620F">
        <w:rPr>
          <w:noProof/>
        </w:rPr>
        <w:t xml:space="preserve">revention </w:t>
      </w:r>
      <w:r w:rsidR="007225D5" w:rsidRPr="00FD620F">
        <w:rPr>
          <w:noProof/>
        </w:rPr>
        <w:t xml:space="preserve">and control </w:t>
      </w:r>
      <w:r w:rsidR="0094597A" w:rsidRPr="00FD620F">
        <w:rPr>
          <w:noProof/>
        </w:rPr>
        <w:t xml:space="preserve">of </w:t>
      </w:r>
      <w:r w:rsidR="00A700FC" w:rsidRPr="00FD620F">
        <w:rPr>
          <w:noProof/>
        </w:rPr>
        <w:t xml:space="preserve">groundwater </w:t>
      </w:r>
      <w:r w:rsidR="00967D25" w:rsidRPr="00FD620F">
        <w:rPr>
          <w:noProof/>
        </w:rPr>
        <w:t>pollution</w:t>
      </w:r>
      <w:r w:rsidR="00DE7BA6" w:rsidRPr="00FD620F">
        <w:rPr>
          <w:noProof/>
        </w:rPr>
        <w:t>’;</w:t>
      </w:r>
    </w:p>
    <w:p w14:paraId="5F9057D0" w14:textId="629533C4" w:rsidR="00680051" w:rsidRPr="00FD620F" w:rsidRDefault="00312D4D" w:rsidP="00312D4D">
      <w:pPr>
        <w:pStyle w:val="Point0"/>
        <w:rPr>
          <w:noProof/>
        </w:rPr>
      </w:pPr>
      <w:r w:rsidRPr="00312D4D">
        <w:t>(2)</w:t>
      </w:r>
      <w:r w:rsidRPr="00312D4D">
        <w:tab/>
      </w:r>
      <w:r w:rsidR="007117E3" w:rsidRPr="00FD620F">
        <w:rPr>
          <w:noProof/>
        </w:rPr>
        <w:t>i</w:t>
      </w:r>
      <w:r w:rsidR="003C0F05" w:rsidRPr="00FD620F">
        <w:rPr>
          <w:noProof/>
        </w:rPr>
        <w:t xml:space="preserve">n </w:t>
      </w:r>
      <w:r w:rsidR="00B03F56" w:rsidRPr="00FD620F">
        <w:rPr>
          <w:noProof/>
        </w:rPr>
        <w:t>Article 1</w:t>
      </w:r>
      <w:r w:rsidR="003C0F05" w:rsidRPr="00FD620F">
        <w:rPr>
          <w:noProof/>
        </w:rPr>
        <w:t>, paragraph 1</w:t>
      </w:r>
      <w:r w:rsidR="00B03F56" w:rsidRPr="00FD620F">
        <w:rPr>
          <w:noProof/>
        </w:rPr>
        <w:t xml:space="preserve"> is replaced by the following:</w:t>
      </w:r>
    </w:p>
    <w:p w14:paraId="3F85B7A1" w14:textId="79FDA27C" w:rsidR="00680051" w:rsidRPr="00FD620F" w:rsidRDefault="00B03F56" w:rsidP="00DE7BA6">
      <w:pPr>
        <w:pStyle w:val="Text1"/>
        <w:rPr>
          <w:noProof/>
        </w:rPr>
      </w:pPr>
      <w:r w:rsidRPr="00FD620F">
        <w:rPr>
          <w:noProof/>
        </w:rPr>
        <w:t xml:space="preserve">‘1. This Directive establishes specific measures </w:t>
      </w:r>
      <w:r w:rsidRPr="00FD620F">
        <w:rPr>
          <w:bCs/>
          <w:noProof/>
        </w:rPr>
        <w:t xml:space="preserve">to prevent and control groundwater pollution with the aim of achieving the environmental objectives </w:t>
      </w:r>
      <w:r w:rsidR="007225D5" w:rsidRPr="00FD620F">
        <w:rPr>
          <w:bCs/>
          <w:noProof/>
        </w:rPr>
        <w:t xml:space="preserve">set out </w:t>
      </w:r>
      <w:r w:rsidRPr="00FD620F">
        <w:rPr>
          <w:bCs/>
          <w:noProof/>
        </w:rPr>
        <w:t>in Article 4(1)</w:t>
      </w:r>
      <w:r w:rsidR="007225D5" w:rsidRPr="00FD620F">
        <w:rPr>
          <w:bCs/>
          <w:noProof/>
        </w:rPr>
        <w:t xml:space="preserve">, point </w:t>
      </w:r>
      <w:r w:rsidRPr="00FD620F">
        <w:rPr>
          <w:bCs/>
          <w:noProof/>
        </w:rPr>
        <w:t>(b)</w:t>
      </w:r>
      <w:r w:rsidR="007225D5" w:rsidRPr="00FD620F">
        <w:rPr>
          <w:bCs/>
          <w:noProof/>
        </w:rPr>
        <w:t>,</w:t>
      </w:r>
      <w:r w:rsidRPr="00FD620F">
        <w:rPr>
          <w:bCs/>
          <w:noProof/>
        </w:rPr>
        <w:t xml:space="preserve"> of Directive 2000/60/EC. </w:t>
      </w:r>
      <w:r w:rsidRPr="00FD620F">
        <w:rPr>
          <w:noProof/>
        </w:rPr>
        <w:t>Th</w:t>
      </w:r>
      <w:r w:rsidR="009E48BA">
        <w:rPr>
          <w:noProof/>
        </w:rPr>
        <w:t>o</w:t>
      </w:r>
      <w:r w:rsidR="0065224D" w:rsidRPr="00FD620F">
        <w:rPr>
          <w:noProof/>
        </w:rPr>
        <w:t>se</w:t>
      </w:r>
      <w:r w:rsidRPr="00FD620F">
        <w:rPr>
          <w:noProof/>
        </w:rPr>
        <w:t xml:space="preserve"> measures include </w:t>
      </w:r>
      <w:r w:rsidR="007225D5" w:rsidRPr="00FD620F">
        <w:rPr>
          <w:noProof/>
        </w:rPr>
        <w:t>the following</w:t>
      </w:r>
      <w:r w:rsidRPr="00FD620F">
        <w:rPr>
          <w:noProof/>
        </w:rPr>
        <w:t>:</w:t>
      </w:r>
    </w:p>
    <w:p w14:paraId="07E27901" w14:textId="77777777" w:rsidR="00680051" w:rsidRPr="00FD620F" w:rsidRDefault="00B03F56" w:rsidP="0053029D">
      <w:pPr>
        <w:pStyle w:val="Text2"/>
        <w:rPr>
          <w:noProof/>
        </w:rPr>
      </w:pPr>
      <w:r w:rsidRPr="00FD620F">
        <w:rPr>
          <w:noProof/>
        </w:rPr>
        <w:t>(a) criteria for the assessment of good groundwater chemical status</w:t>
      </w:r>
      <w:r w:rsidR="00680051" w:rsidRPr="00FD620F">
        <w:rPr>
          <w:noProof/>
        </w:rPr>
        <w:t>;</w:t>
      </w:r>
    </w:p>
    <w:p w14:paraId="1648C2DA" w14:textId="77777777" w:rsidR="00147A70" w:rsidRPr="00FD620F" w:rsidRDefault="00B03F56" w:rsidP="0053029D">
      <w:pPr>
        <w:pStyle w:val="Text2"/>
        <w:rPr>
          <w:i/>
          <w:noProof/>
        </w:rPr>
      </w:pPr>
      <w:r w:rsidRPr="00FD620F">
        <w:rPr>
          <w:noProof/>
        </w:rPr>
        <w:t>(b) criteria for the identification and reversal of significant and sustained upward trends and for the definition of starting points for trend reversals.’</w:t>
      </w:r>
      <w:r w:rsidR="00BD6E00" w:rsidRPr="00FD620F">
        <w:rPr>
          <w:noProof/>
        </w:rPr>
        <w:t>;</w:t>
      </w:r>
    </w:p>
    <w:p w14:paraId="0067F479" w14:textId="099CE1F5" w:rsidR="00C04E70" w:rsidRPr="00FD620F" w:rsidRDefault="00312D4D" w:rsidP="00312D4D">
      <w:pPr>
        <w:pStyle w:val="Point0"/>
        <w:rPr>
          <w:noProof/>
        </w:rPr>
      </w:pPr>
      <w:r w:rsidRPr="00312D4D">
        <w:t>(3)</w:t>
      </w:r>
      <w:r w:rsidRPr="00312D4D">
        <w:tab/>
      </w:r>
      <w:r w:rsidR="007117E3" w:rsidRPr="00FD620F">
        <w:rPr>
          <w:noProof/>
        </w:rPr>
        <w:t>i</w:t>
      </w:r>
      <w:r w:rsidR="00C32708" w:rsidRPr="00FD620F">
        <w:rPr>
          <w:noProof/>
        </w:rPr>
        <w:t xml:space="preserve">n </w:t>
      </w:r>
      <w:r w:rsidR="00C04E70" w:rsidRPr="00FD620F">
        <w:rPr>
          <w:noProof/>
        </w:rPr>
        <w:t xml:space="preserve"> Article 2</w:t>
      </w:r>
      <w:r w:rsidR="00C32708" w:rsidRPr="00FD620F">
        <w:rPr>
          <w:noProof/>
        </w:rPr>
        <w:t xml:space="preserve">, </w:t>
      </w:r>
      <w:r w:rsidR="007225D5" w:rsidRPr="00FD620F">
        <w:rPr>
          <w:noProof/>
        </w:rPr>
        <w:t>point</w:t>
      </w:r>
      <w:r w:rsidR="00C32708" w:rsidRPr="00FD620F">
        <w:rPr>
          <w:noProof/>
        </w:rPr>
        <w:t xml:space="preserve"> </w:t>
      </w:r>
      <w:r w:rsidR="007225D5" w:rsidRPr="00FD620F">
        <w:rPr>
          <w:noProof/>
        </w:rPr>
        <w:t>(</w:t>
      </w:r>
      <w:r w:rsidR="00C32708" w:rsidRPr="00FD620F">
        <w:rPr>
          <w:noProof/>
        </w:rPr>
        <w:t>2</w:t>
      </w:r>
      <w:r w:rsidR="007225D5" w:rsidRPr="00FD620F">
        <w:rPr>
          <w:noProof/>
        </w:rPr>
        <w:t>)</w:t>
      </w:r>
      <w:r w:rsidR="00C04E70" w:rsidRPr="00FD620F">
        <w:rPr>
          <w:noProof/>
        </w:rPr>
        <w:t xml:space="preserve"> is replaced by the following:</w:t>
      </w:r>
    </w:p>
    <w:p w14:paraId="2F1A802D" w14:textId="124F5986" w:rsidR="00147A70" w:rsidRPr="00FD620F" w:rsidRDefault="00C04E70" w:rsidP="00DE7BA6">
      <w:pPr>
        <w:pStyle w:val="Text1"/>
        <w:rPr>
          <w:i/>
          <w:noProof/>
        </w:rPr>
      </w:pPr>
      <w:r w:rsidRPr="00FD620F">
        <w:rPr>
          <w:noProof/>
        </w:rPr>
        <w:t>‘</w:t>
      </w:r>
      <w:r w:rsidR="0046472E" w:rsidRPr="00FD620F">
        <w:rPr>
          <w:noProof/>
        </w:rPr>
        <w:t>(</w:t>
      </w:r>
      <w:r w:rsidR="007225D5" w:rsidRPr="00FD620F">
        <w:rPr>
          <w:noProof/>
        </w:rPr>
        <w:t>2</w:t>
      </w:r>
      <w:r w:rsidR="0046472E" w:rsidRPr="00FD620F">
        <w:rPr>
          <w:noProof/>
        </w:rPr>
        <w:t>)</w:t>
      </w:r>
      <w:r w:rsidR="007225D5" w:rsidRPr="00FD620F">
        <w:rPr>
          <w:noProof/>
        </w:rPr>
        <w:t xml:space="preserve"> ‘</w:t>
      </w:r>
      <w:r w:rsidRPr="00FD620F">
        <w:rPr>
          <w:noProof/>
        </w:rPr>
        <w:t xml:space="preserve">threshold value’ means a groundwater quality standard </w:t>
      </w:r>
      <w:r w:rsidR="003A27DD" w:rsidRPr="00FD620F">
        <w:rPr>
          <w:bCs/>
          <w:noProof/>
        </w:rPr>
        <w:t>established</w:t>
      </w:r>
      <w:r w:rsidR="00BB5BF2" w:rsidRPr="00FD620F">
        <w:rPr>
          <w:noProof/>
        </w:rPr>
        <w:t xml:space="preserve"> by Member States in accordance with Article 3</w:t>
      </w:r>
      <w:r w:rsidR="00D84BED" w:rsidRPr="00FD620F">
        <w:rPr>
          <w:noProof/>
        </w:rPr>
        <w:t>(1)</w:t>
      </w:r>
      <w:r w:rsidR="00BB5BF2" w:rsidRPr="00FD620F">
        <w:rPr>
          <w:noProof/>
        </w:rPr>
        <w:t xml:space="preserve">, </w:t>
      </w:r>
      <w:r w:rsidR="007225D5" w:rsidRPr="00FD620F">
        <w:rPr>
          <w:noProof/>
        </w:rPr>
        <w:t xml:space="preserve">point (b), </w:t>
      </w:r>
      <w:r w:rsidR="00BB5BF2" w:rsidRPr="00FD620F">
        <w:rPr>
          <w:bCs/>
          <w:noProof/>
        </w:rPr>
        <w:t xml:space="preserve">or </w:t>
      </w:r>
      <w:r w:rsidR="003A27DD" w:rsidRPr="00FD620F">
        <w:rPr>
          <w:bCs/>
          <w:noProof/>
        </w:rPr>
        <w:t>at Union level</w:t>
      </w:r>
      <w:r w:rsidR="00BB5BF2" w:rsidRPr="00FD620F">
        <w:rPr>
          <w:bCs/>
          <w:noProof/>
        </w:rPr>
        <w:t xml:space="preserve"> in accordance with Article 8</w:t>
      </w:r>
      <w:r w:rsidR="00D84BED" w:rsidRPr="00FD620F">
        <w:rPr>
          <w:bCs/>
          <w:noProof/>
        </w:rPr>
        <w:t>(3)</w:t>
      </w:r>
      <w:r w:rsidR="009E48BA">
        <w:rPr>
          <w:bCs/>
          <w:noProof/>
        </w:rPr>
        <w:t>;</w:t>
      </w:r>
      <w:r w:rsidR="00B3521C" w:rsidRPr="00FD620F">
        <w:rPr>
          <w:noProof/>
        </w:rPr>
        <w:t>’</w:t>
      </w:r>
      <w:r w:rsidR="00BD6E00" w:rsidRPr="00FD620F">
        <w:rPr>
          <w:noProof/>
        </w:rPr>
        <w:t>;</w:t>
      </w:r>
      <w:r w:rsidR="00147A70" w:rsidRPr="00FD620F">
        <w:rPr>
          <w:i/>
          <w:noProof/>
        </w:rPr>
        <w:t xml:space="preserve"> </w:t>
      </w:r>
    </w:p>
    <w:p w14:paraId="26B41D5C" w14:textId="2F0FBB9A" w:rsidR="004458EE" w:rsidRPr="00FD620F" w:rsidRDefault="00312D4D" w:rsidP="00312D4D">
      <w:pPr>
        <w:pStyle w:val="Point0"/>
        <w:rPr>
          <w:noProof/>
        </w:rPr>
      </w:pPr>
      <w:r w:rsidRPr="00312D4D">
        <w:t>(4)</w:t>
      </w:r>
      <w:r w:rsidRPr="00312D4D">
        <w:tab/>
      </w:r>
      <w:r w:rsidR="004458EE" w:rsidRPr="00FD620F">
        <w:rPr>
          <w:noProof/>
        </w:rPr>
        <w:t xml:space="preserve">Article 3 is amended as follows: </w:t>
      </w:r>
    </w:p>
    <w:p w14:paraId="66D72092" w14:textId="3C33ECC9" w:rsidR="0088519F" w:rsidRPr="00FD620F" w:rsidRDefault="00312D4D" w:rsidP="00312D4D">
      <w:pPr>
        <w:pStyle w:val="Point1"/>
        <w:rPr>
          <w:noProof/>
        </w:rPr>
      </w:pPr>
      <w:r w:rsidRPr="00312D4D">
        <w:t>(a)</w:t>
      </w:r>
      <w:r w:rsidRPr="00312D4D">
        <w:tab/>
      </w:r>
      <w:r w:rsidR="007225D5" w:rsidRPr="00FD620F">
        <w:rPr>
          <w:noProof/>
        </w:rPr>
        <w:t>i</w:t>
      </w:r>
      <w:r w:rsidR="0088519F" w:rsidRPr="00FD620F">
        <w:rPr>
          <w:noProof/>
        </w:rPr>
        <w:t>n paragraph 1</w:t>
      </w:r>
      <w:r w:rsidR="004458EE" w:rsidRPr="00FD620F">
        <w:rPr>
          <w:noProof/>
        </w:rPr>
        <w:t>,</w:t>
      </w:r>
      <w:r w:rsidR="007225D5" w:rsidRPr="00FD620F">
        <w:rPr>
          <w:noProof/>
        </w:rPr>
        <w:t xml:space="preserve"> first subparagraph, the following</w:t>
      </w:r>
      <w:r w:rsidR="00BB5BF2" w:rsidRPr="00FD620F">
        <w:rPr>
          <w:noProof/>
        </w:rPr>
        <w:t xml:space="preserve"> </w:t>
      </w:r>
      <w:r w:rsidR="0088519F" w:rsidRPr="00FD620F">
        <w:rPr>
          <w:noProof/>
        </w:rPr>
        <w:t>p</w:t>
      </w:r>
      <w:r w:rsidR="00EB485B" w:rsidRPr="00FD620F">
        <w:rPr>
          <w:noProof/>
        </w:rPr>
        <w:t>oint (</w:t>
      </w:r>
      <w:r w:rsidR="00BB5BF2" w:rsidRPr="00FD620F">
        <w:rPr>
          <w:noProof/>
        </w:rPr>
        <w:t>c</w:t>
      </w:r>
      <w:r w:rsidR="00EB485B" w:rsidRPr="00FD620F">
        <w:rPr>
          <w:noProof/>
        </w:rPr>
        <w:t>) is</w:t>
      </w:r>
      <w:r w:rsidR="007225D5" w:rsidRPr="00FD620F">
        <w:rPr>
          <w:noProof/>
        </w:rPr>
        <w:t xml:space="preserve"> added</w:t>
      </w:r>
      <w:r w:rsidR="003A27DD" w:rsidRPr="00FD620F">
        <w:rPr>
          <w:noProof/>
        </w:rPr>
        <w:t>:</w:t>
      </w:r>
    </w:p>
    <w:p w14:paraId="66096C2F" w14:textId="77777777" w:rsidR="00EB485B" w:rsidRPr="00FD620F" w:rsidRDefault="00530D0F" w:rsidP="003D2594">
      <w:pPr>
        <w:pStyle w:val="Text2"/>
        <w:rPr>
          <w:noProof/>
        </w:rPr>
      </w:pPr>
      <w:r w:rsidRPr="00FD620F">
        <w:rPr>
          <w:noProof/>
        </w:rPr>
        <w:t>‘</w:t>
      </w:r>
      <w:r w:rsidR="0088519F" w:rsidRPr="00FD620F">
        <w:rPr>
          <w:noProof/>
        </w:rPr>
        <w:t>(c)</w:t>
      </w:r>
      <w:r w:rsidR="00EB485B" w:rsidRPr="00FD620F">
        <w:rPr>
          <w:noProof/>
        </w:rPr>
        <w:t xml:space="preserve"> </w:t>
      </w:r>
      <w:r w:rsidR="00BB5BF2" w:rsidRPr="00FD620F">
        <w:rPr>
          <w:noProof/>
        </w:rPr>
        <w:t xml:space="preserve">threshold values </w:t>
      </w:r>
      <w:r w:rsidR="003A27DD" w:rsidRPr="00FD620F">
        <w:rPr>
          <w:noProof/>
        </w:rPr>
        <w:t>established</w:t>
      </w:r>
      <w:r w:rsidR="00BB5BF2" w:rsidRPr="00FD620F">
        <w:rPr>
          <w:noProof/>
        </w:rPr>
        <w:t xml:space="preserve"> at Union level in accordance with Article 8</w:t>
      </w:r>
      <w:r w:rsidR="00D84BED" w:rsidRPr="00FD620F">
        <w:rPr>
          <w:noProof/>
        </w:rPr>
        <w:t>(3)</w:t>
      </w:r>
      <w:r w:rsidR="000F11FE" w:rsidRPr="00FD620F">
        <w:rPr>
          <w:noProof/>
        </w:rPr>
        <w:t xml:space="preserve"> and listed in Part D of Annex II to this Directive</w:t>
      </w:r>
      <w:r w:rsidR="00BB5BF2" w:rsidRPr="00FD620F">
        <w:rPr>
          <w:noProof/>
        </w:rPr>
        <w:t>.</w:t>
      </w:r>
      <w:r w:rsidR="00EB485B" w:rsidRPr="00FD620F">
        <w:rPr>
          <w:noProof/>
        </w:rPr>
        <w:t>’</w:t>
      </w:r>
      <w:r w:rsidR="00BD6E00" w:rsidRPr="00FD620F">
        <w:rPr>
          <w:noProof/>
        </w:rPr>
        <w:t>;</w:t>
      </w:r>
    </w:p>
    <w:p w14:paraId="12883D8A" w14:textId="680C555E" w:rsidR="00B3521C" w:rsidRPr="00FD620F" w:rsidRDefault="00312D4D" w:rsidP="00312D4D">
      <w:pPr>
        <w:pStyle w:val="Point1"/>
        <w:rPr>
          <w:noProof/>
        </w:rPr>
      </w:pPr>
      <w:r w:rsidRPr="00312D4D">
        <w:t>(b)</w:t>
      </w:r>
      <w:r w:rsidRPr="00312D4D">
        <w:tab/>
      </w:r>
      <w:r w:rsidR="007225D5" w:rsidRPr="00FD620F">
        <w:rPr>
          <w:noProof/>
        </w:rPr>
        <w:t>p</w:t>
      </w:r>
      <w:r w:rsidR="00B3521C" w:rsidRPr="00FD620F">
        <w:rPr>
          <w:noProof/>
        </w:rPr>
        <w:t>aragraph 2 is replaced by the following:</w:t>
      </w:r>
    </w:p>
    <w:p w14:paraId="0FAD9148" w14:textId="092A2181" w:rsidR="00B3521C" w:rsidRPr="00FD620F" w:rsidRDefault="00B3521C" w:rsidP="00AF3050">
      <w:pPr>
        <w:pStyle w:val="Text1"/>
        <w:ind w:left="1418"/>
        <w:rPr>
          <w:noProof/>
        </w:rPr>
      </w:pPr>
      <w:r w:rsidRPr="00FD620F">
        <w:rPr>
          <w:noProof/>
        </w:rPr>
        <w:t>‘</w:t>
      </w:r>
      <w:r w:rsidR="0044753B" w:rsidRPr="00FD620F">
        <w:rPr>
          <w:noProof/>
        </w:rPr>
        <w:t xml:space="preserve">2. </w:t>
      </w:r>
      <w:r w:rsidRPr="00FD620F">
        <w:rPr>
          <w:noProof/>
        </w:rPr>
        <w:t xml:space="preserve">Threshold values </w:t>
      </w:r>
      <w:r w:rsidR="0089412A" w:rsidRPr="00FD620F">
        <w:rPr>
          <w:noProof/>
        </w:rPr>
        <w:t>referred to</w:t>
      </w:r>
      <w:r w:rsidR="0089412A" w:rsidRPr="00FD620F">
        <w:rPr>
          <w:bCs/>
          <w:noProof/>
        </w:rPr>
        <w:t xml:space="preserve"> in</w:t>
      </w:r>
      <w:r w:rsidR="007225D5" w:rsidRPr="00FD620F">
        <w:rPr>
          <w:bCs/>
          <w:noProof/>
        </w:rPr>
        <w:t xml:space="preserve"> paragraph 1, </w:t>
      </w:r>
      <w:r w:rsidRPr="00FD620F">
        <w:rPr>
          <w:bCs/>
          <w:noProof/>
        </w:rPr>
        <w:t>point (b)</w:t>
      </w:r>
      <w:r w:rsidR="007225D5" w:rsidRPr="00FD620F">
        <w:rPr>
          <w:bCs/>
          <w:noProof/>
        </w:rPr>
        <w:t>,</w:t>
      </w:r>
      <w:r w:rsidR="0013709C" w:rsidRPr="00FD620F">
        <w:rPr>
          <w:bCs/>
          <w:noProof/>
        </w:rPr>
        <w:t xml:space="preserve"> may</w:t>
      </w:r>
      <w:r w:rsidRPr="00FD620F">
        <w:rPr>
          <w:bCs/>
          <w:noProof/>
        </w:rPr>
        <w:t xml:space="preserve"> be </w:t>
      </w:r>
      <w:r w:rsidRPr="00FD620F">
        <w:rPr>
          <w:noProof/>
        </w:rPr>
        <w:t>established at the national level, at the level of the river basin district or the part of the international river basin district falling within the territory of a Member State, or at the level of a body or a group of bodies of groundwater.’</w:t>
      </w:r>
      <w:r w:rsidR="00BD6E00" w:rsidRPr="00FD620F">
        <w:rPr>
          <w:noProof/>
        </w:rPr>
        <w:t>;</w:t>
      </w:r>
    </w:p>
    <w:p w14:paraId="10AB28D6" w14:textId="036F834A" w:rsidR="00EB485B" w:rsidRPr="00FD620F" w:rsidRDefault="00312D4D" w:rsidP="00312D4D">
      <w:pPr>
        <w:pStyle w:val="Point1"/>
        <w:rPr>
          <w:noProof/>
        </w:rPr>
      </w:pPr>
      <w:r w:rsidRPr="00312D4D">
        <w:t>(c)</w:t>
      </w:r>
      <w:r w:rsidRPr="00312D4D">
        <w:tab/>
      </w:r>
      <w:r w:rsidR="0089412A" w:rsidRPr="00FD620F">
        <w:rPr>
          <w:noProof/>
        </w:rPr>
        <w:t>p</w:t>
      </w:r>
      <w:r w:rsidR="00EB485B" w:rsidRPr="00FD620F">
        <w:rPr>
          <w:noProof/>
        </w:rPr>
        <w:t xml:space="preserve">aragraph 5 </w:t>
      </w:r>
      <w:r w:rsidR="00831B96" w:rsidRPr="00FD620F">
        <w:rPr>
          <w:noProof/>
        </w:rPr>
        <w:t>is replaced by the following:</w:t>
      </w:r>
    </w:p>
    <w:p w14:paraId="114A5DA1" w14:textId="77777777" w:rsidR="005472DC" w:rsidRPr="00FD620F" w:rsidRDefault="00831B96" w:rsidP="00DD039A">
      <w:pPr>
        <w:pStyle w:val="Text1"/>
        <w:ind w:left="1418"/>
        <w:rPr>
          <w:noProof/>
        </w:rPr>
      </w:pPr>
      <w:r w:rsidRPr="00FD620F">
        <w:rPr>
          <w:noProof/>
        </w:rPr>
        <w:t>‘</w:t>
      </w:r>
      <w:r w:rsidR="0089412A" w:rsidRPr="00FD620F">
        <w:rPr>
          <w:noProof/>
        </w:rPr>
        <w:t xml:space="preserve">5. </w:t>
      </w:r>
      <w:r w:rsidRPr="00FD620F">
        <w:rPr>
          <w:noProof/>
        </w:rPr>
        <w:t xml:space="preserve">All threshold values </w:t>
      </w:r>
      <w:r w:rsidR="00E673A7" w:rsidRPr="00FD620F">
        <w:rPr>
          <w:noProof/>
        </w:rPr>
        <w:t xml:space="preserve">referred to in </w:t>
      </w:r>
      <w:r w:rsidR="0089412A" w:rsidRPr="00FD620F">
        <w:rPr>
          <w:noProof/>
        </w:rPr>
        <w:t xml:space="preserve">paragraph 1 </w:t>
      </w:r>
      <w:r w:rsidRPr="00FD620F">
        <w:rPr>
          <w:noProof/>
        </w:rPr>
        <w:t xml:space="preserve">shall be published in the river basin management plans to be </w:t>
      </w:r>
      <w:r w:rsidRPr="00FD620F">
        <w:rPr>
          <w:bCs/>
          <w:noProof/>
        </w:rPr>
        <w:t>produced</w:t>
      </w:r>
      <w:r w:rsidRPr="00FD620F">
        <w:rPr>
          <w:noProof/>
        </w:rPr>
        <w:t xml:space="preserve"> </w:t>
      </w:r>
      <w:r w:rsidR="001B44F7" w:rsidRPr="00FD620F">
        <w:rPr>
          <w:noProof/>
        </w:rPr>
        <w:t xml:space="preserve">under </w:t>
      </w:r>
      <w:r w:rsidRPr="00FD620F">
        <w:rPr>
          <w:noProof/>
        </w:rPr>
        <w:t xml:space="preserve">Article 13 of Directive 2000/60/EC, </w:t>
      </w:r>
      <w:r w:rsidR="001B44F7" w:rsidRPr="00FD620F">
        <w:rPr>
          <w:noProof/>
        </w:rPr>
        <w:t xml:space="preserve">together with </w:t>
      </w:r>
      <w:r w:rsidRPr="00FD620F">
        <w:rPr>
          <w:noProof/>
        </w:rPr>
        <w:t>a summary of the information set out in Part C of Annex II to this Directive.</w:t>
      </w:r>
      <w:r w:rsidR="001D461D" w:rsidRPr="00FD620F">
        <w:rPr>
          <w:noProof/>
        </w:rPr>
        <w:t xml:space="preserve"> </w:t>
      </w:r>
    </w:p>
    <w:p w14:paraId="6CF6B2B1" w14:textId="11963959" w:rsidR="00831B96" w:rsidRPr="00FD620F" w:rsidRDefault="001D461D" w:rsidP="00DD039A">
      <w:pPr>
        <w:pStyle w:val="Text1"/>
        <w:ind w:left="1418"/>
        <w:rPr>
          <w:noProof/>
        </w:rPr>
      </w:pPr>
      <w:r w:rsidRPr="00FD620F">
        <w:rPr>
          <w:noProof/>
        </w:rPr>
        <w:t>Member States shall, by [OP please insert the date = the first day of the month following 1</w:t>
      </w:r>
      <w:r w:rsidR="0001385F">
        <w:rPr>
          <w:noProof/>
        </w:rPr>
        <w:t>8</w:t>
      </w:r>
      <w:r w:rsidRPr="00FD620F">
        <w:rPr>
          <w:noProof/>
        </w:rPr>
        <w:t xml:space="preserve"> months after the date of entry into force of this Directive], inform </w:t>
      </w:r>
      <w:r w:rsidR="00AF3050" w:rsidRPr="00FD620F">
        <w:rPr>
          <w:noProof/>
        </w:rPr>
        <w:t>the European Chemicals Agency (</w:t>
      </w:r>
      <w:r w:rsidRPr="00FD620F">
        <w:rPr>
          <w:noProof/>
        </w:rPr>
        <w:t>ECHA</w:t>
      </w:r>
      <w:r w:rsidR="00AF3050" w:rsidRPr="00FD620F">
        <w:rPr>
          <w:noProof/>
        </w:rPr>
        <w:t>)</w:t>
      </w:r>
      <w:r w:rsidRPr="00FD620F">
        <w:rPr>
          <w:noProof/>
        </w:rPr>
        <w:t xml:space="preserve"> of the national threshold values </w:t>
      </w:r>
      <w:r w:rsidR="00D54DDB" w:rsidRPr="00FD620F">
        <w:rPr>
          <w:noProof/>
        </w:rPr>
        <w:t xml:space="preserve">referred to in </w:t>
      </w:r>
      <w:r w:rsidR="00265147" w:rsidRPr="00FD620F">
        <w:rPr>
          <w:noProof/>
        </w:rPr>
        <w:t>paragraph 1</w:t>
      </w:r>
      <w:r w:rsidR="00E673A7" w:rsidRPr="00FD620F">
        <w:rPr>
          <w:noProof/>
        </w:rPr>
        <w:t>, point (b)</w:t>
      </w:r>
      <w:r w:rsidRPr="00FD620F">
        <w:rPr>
          <w:noProof/>
        </w:rPr>
        <w:t>.</w:t>
      </w:r>
      <w:r w:rsidR="00530D0F" w:rsidRPr="00FD620F">
        <w:rPr>
          <w:noProof/>
        </w:rPr>
        <w:t xml:space="preserve"> ECHA shall make th</w:t>
      </w:r>
      <w:r w:rsidR="00AF3050" w:rsidRPr="00FD620F">
        <w:rPr>
          <w:noProof/>
        </w:rPr>
        <w:t>at</w:t>
      </w:r>
      <w:r w:rsidR="00530D0F" w:rsidRPr="00FD620F">
        <w:rPr>
          <w:noProof/>
        </w:rPr>
        <w:t xml:space="preserve"> information publicly available.</w:t>
      </w:r>
      <w:r w:rsidR="00831B96" w:rsidRPr="00FD620F">
        <w:rPr>
          <w:noProof/>
        </w:rPr>
        <w:t>’</w:t>
      </w:r>
      <w:r w:rsidR="00BD6E00" w:rsidRPr="00FD620F">
        <w:rPr>
          <w:noProof/>
        </w:rPr>
        <w:t>;</w:t>
      </w:r>
    </w:p>
    <w:p w14:paraId="4F321BE6" w14:textId="748A947D" w:rsidR="0013709C" w:rsidRPr="00FD620F" w:rsidRDefault="00312D4D" w:rsidP="00312D4D">
      <w:pPr>
        <w:pStyle w:val="Point1"/>
        <w:rPr>
          <w:noProof/>
        </w:rPr>
      </w:pPr>
      <w:r w:rsidRPr="00312D4D">
        <w:t>(d)</w:t>
      </w:r>
      <w:r w:rsidRPr="00312D4D">
        <w:tab/>
      </w:r>
      <w:r w:rsidR="00265147" w:rsidRPr="00FD620F">
        <w:rPr>
          <w:noProof/>
        </w:rPr>
        <w:t>i</w:t>
      </w:r>
      <w:r w:rsidR="00CC23E9" w:rsidRPr="00FD620F">
        <w:rPr>
          <w:noProof/>
        </w:rPr>
        <w:t xml:space="preserve">n paragraph 6, </w:t>
      </w:r>
      <w:r w:rsidR="00265147" w:rsidRPr="00FD620F">
        <w:rPr>
          <w:noProof/>
        </w:rPr>
        <w:t xml:space="preserve">the first </w:t>
      </w:r>
      <w:r w:rsidR="00CC23E9" w:rsidRPr="00FD620F">
        <w:rPr>
          <w:noProof/>
        </w:rPr>
        <w:t>sub</w:t>
      </w:r>
      <w:r w:rsidR="000A6BA2" w:rsidRPr="00FD620F">
        <w:rPr>
          <w:noProof/>
        </w:rPr>
        <w:t xml:space="preserve">paragraph </w:t>
      </w:r>
      <w:r w:rsidR="0012302C" w:rsidRPr="00FD620F">
        <w:rPr>
          <w:noProof/>
        </w:rPr>
        <w:t xml:space="preserve">is </w:t>
      </w:r>
      <w:r w:rsidR="000A6BA2" w:rsidRPr="00FD620F">
        <w:rPr>
          <w:noProof/>
        </w:rPr>
        <w:t>replaced by the following:</w:t>
      </w:r>
    </w:p>
    <w:p w14:paraId="50651A19" w14:textId="77777777" w:rsidR="005454EF" w:rsidRPr="00FD620F" w:rsidRDefault="005454EF" w:rsidP="00AF3050">
      <w:pPr>
        <w:pStyle w:val="Text1"/>
        <w:ind w:left="1418"/>
        <w:rPr>
          <w:noProof/>
        </w:rPr>
      </w:pPr>
      <w:r w:rsidRPr="00FD620F">
        <w:rPr>
          <w:noProof/>
        </w:rPr>
        <w:t>‘</w:t>
      </w:r>
      <w:r w:rsidR="000A6BA2" w:rsidRPr="00FD620F">
        <w:rPr>
          <w:noProof/>
        </w:rPr>
        <w:t xml:space="preserve">Member States shall amend the list of threshold values applied in their territories whenever new information on pollutants, groups of pollutants, or indicators of pollution indicates that a threshold value </w:t>
      </w:r>
      <w:r w:rsidR="00AF3050" w:rsidRPr="00FD620F">
        <w:rPr>
          <w:noProof/>
        </w:rPr>
        <w:t xml:space="preserve">needs </w:t>
      </w:r>
      <w:r w:rsidR="00265147" w:rsidRPr="00FD620F">
        <w:rPr>
          <w:noProof/>
        </w:rPr>
        <w:t xml:space="preserve">to </w:t>
      </w:r>
      <w:r w:rsidR="000A6BA2" w:rsidRPr="00FD620F">
        <w:rPr>
          <w:noProof/>
        </w:rPr>
        <w:t xml:space="preserve">be set for an additional substance, that an existing threshold value </w:t>
      </w:r>
      <w:r w:rsidR="00AF3050" w:rsidRPr="00FD620F">
        <w:rPr>
          <w:noProof/>
        </w:rPr>
        <w:t xml:space="preserve">needs </w:t>
      </w:r>
      <w:r w:rsidR="00265147" w:rsidRPr="00FD620F">
        <w:rPr>
          <w:noProof/>
        </w:rPr>
        <w:t>to be modified</w:t>
      </w:r>
      <w:r w:rsidR="000A6BA2" w:rsidRPr="00FD620F">
        <w:rPr>
          <w:noProof/>
        </w:rPr>
        <w:t>, or that a threshold value previously removed from th</w:t>
      </w:r>
      <w:r w:rsidR="00AF3050" w:rsidRPr="00FD620F">
        <w:rPr>
          <w:noProof/>
        </w:rPr>
        <w:t>e</w:t>
      </w:r>
      <w:r w:rsidR="000A6BA2" w:rsidRPr="00FD620F">
        <w:rPr>
          <w:noProof/>
        </w:rPr>
        <w:t xml:space="preserve"> list </w:t>
      </w:r>
      <w:r w:rsidR="00AF3050" w:rsidRPr="00FD620F">
        <w:rPr>
          <w:noProof/>
        </w:rPr>
        <w:t xml:space="preserve">needs </w:t>
      </w:r>
      <w:r w:rsidR="00265147" w:rsidRPr="00FD620F">
        <w:rPr>
          <w:noProof/>
        </w:rPr>
        <w:t>to be</w:t>
      </w:r>
      <w:r w:rsidR="000A6BA2" w:rsidRPr="00FD620F">
        <w:rPr>
          <w:noProof/>
        </w:rPr>
        <w:t xml:space="preserve"> re-inserted. </w:t>
      </w:r>
      <w:r w:rsidR="000A6BA2" w:rsidRPr="00FD620F">
        <w:rPr>
          <w:bCs/>
          <w:noProof/>
        </w:rPr>
        <w:t xml:space="preserve">If relevant threshold values are </w:t>
      </w:r>
      <w:r w:rsidR="00920CF4" w:rsidRPr="00FD620F">
        <w:rPr>
          <w:bCs/>
          <w:noProof/>
        </w:rPr>
        <w:t>established</w:t>
      </w:r>
      <w:r w:rsidR="000A6BA2" w:rsidRPr="00FD620F">
        <w:rPr>
          <w:bCs/>
          <w:noProof/>
        </w:rPr>
        <w:t xml:space="preserve"> or amended at U</w:t>
      </w:r>
      <w:r w:rsidR="00F73306" w:rsidRPr="00FD620F">
        <w:rPr>
          <w:bCs/>
          <w:noProof/>
        </w:rPr>
        <w:t>nion</w:t>
      </w:r>
      <w:r w:rsidR="000A6BA2" w:rsidRPr="00FD620F">
        <w:rPr>
          <w:bCs/>
          <w:noProof/>
        </w:rPr>
        <w:t xml:space="preserve"> level, </w:t>
      </w:r>
      <w:r w:rsidRPr="00FD620F">
        <w:rPr>
          <w:bCs/>
          <w:noProof/>
        </w:rPr>
        <w:t>Member States shall</w:t>
      </w:r>
      <w:r w:rsidR="00265147" w:rsidRPr="00FD620F">
        <w:rPr>
          <w:bCs/>
          <w:noProof/>
        </w:rPr>
        <w:t xml:space="preserve"> adapt the list of threshold values applied in their territories to those valu</w:t>
      </w:r>
      <w:r w:rsidR="00AF3050" w:rsidRPr="00FD620F">
        <w:rPr>
          <w:bCs/>
          <w:noProof/>
        </w:rPr>
        <w:t>e</w:t>
      </w:r>
      <w:r w:rsidR="00265147" w:rsidRPr="00FD620F">
        <w:rPr>
          <w:bCs/>
          <w:noProof/>
        </w:rPr>
        <w:t xml:space="preserve">s. </w:t>
      </w:r>
      <w:r w:rsidRPr="00FD620F">
        <w:rPr>
          <w:noProof/>
        </w:rPr>
        <w:t>’</w:t>
      </w:r>
      <w:r w:rsidR="00BD6E00" w:rsidRPr="00FD620F">
        <w:rPr>
          <w:noProof/>
        </w:rPr>
        <w:t>;</w:t>
      </w:r>
    </w:p>
    <w:p w14:paraId="51A71F3A" w14:textId="151F8052" w:rsidR="005454EF" w:rsidRPr="00FD620F" w:rsidRDefault="00312D4D" w:rsidP="00312D4D">
      <w:pPr>
        <w:pStyle w:val="Point0"/>
        <w:rPr>
          <w:noProof/>
        </w:rPr>
      </w:pPr>
      <w:r w:rsidRPr="00312D4D">
        <w:t>(5)</w:t>
      </w:r>
      <w:r w:rsidRPr="00312D4D">
        <w:tab/>
      </w:r>
      <w:r w:rsidR="007117E3" w:rsidRPr="00FD620F">
        <w:rPr>
          <w:noProof/>
        </w:rPr>
        <w:t>i</w:t>
      </w:r>
      <w:r w:rsidR="004458EE" w:rsidRPr="00FD620F">
        <w:rPr>
          <w:noProof/>
        </w:rPr>
        <w:t>n Article 4</w:t>
      </w:r>
      <w:r w:rsidR="0044753B" w:rsidRPr="00FD620F">
        <w:rPr>
          <w:noProof/>
        </w:rPr>
        <w:t>(2)</w:t>
      </w:r>
      <w:r w:rsidR="004458EE" w:rsidRPr="00FD620F">
        <w:rPr>
          <w:noProof/>
        </w:rPr>
        <w:t>, p</w:t>
      </w:r>
      <w:r w:rsidR="005454EF" w:rsidRPr="00FD620F">
        <w:rPr>
          <w:noProof/>
        </w:rPr>
        <w:t>oint (b) is replaced by</w:t>
      </w:r>
      <w:r w:rsidR="0044753B" w:rsidRPr="00FD620F">
        <w:rPr>
          <w:noProof/>
        </w:rPr>
        <w:t xml:space="preserve"> the following</w:t>
      </w:r>
      <w:r w:rsidR="005454EF" w:rsidRPr="00FD620F">
        <w:rPr>
          <w:noProof/>
        </w:rPr>
        <w:t>:</w:t>
      </w:r>
    </w:p>
    <w:p w14:paraId="1365CE5D" w14:textId="77777777" w:rsidR="000A56F9" w:rsidRPr="00FD620F" w:rsidRDefault="005454EF" w:rsidP="008D3AC6">
      <w:pPr>
        <w:pStyle w:val="Text1"/>
        <w:rPr>
          <w:noProof/>
        </w:rPr>
      </w:pPr>
      <w:r w:rsidRPr="00FD620F">
        <w:rPr>
          <w:noProof/>
        </w:rPr>
        <w:t>‘</w:t>
      </w:r>
      <w:r w:rsidR="00B33721" w:rsidRPr="00FD620F">
        <w:rPr>
          <w:noProof/>
        </w:rPr>
        <w:t xml:space="preserve">(b) </w:t>
      </w:r>
      <w:r w:rsidRPr="00FD620F">
        <w:rPr>
          <w:noProof/>
        </w:rPr>
        <w:t>the values for the groundwater quality standards listed in Annex I</w:t>
      </w:r>
      <w:r w:rsidR="00B33721" w:rsidRPr="00FD620F">
        <w:rPr>
          <w:noProof/>
        </w:rPr>
        <w:t xml:space="preserve"> and </w:t>
      </w:r>
      <w:r w:rsidRPr="00FD620F">
        <w:rPr>
          <w:noProof/>
        </w:rPr>
        <w:t xml:space="preserve">the threshold values </w:t>
      </w:r>
      <w:r w:rsidR="00530D0F" w:rsidRPr="00FD620F">
        <w:rPr>
          <w:noProof/>
        </w:rPr>
        <w:t>referred to in</w:t>
      </w:r>
      <w:r w:rsidR="00686B6E" w:rsidRPr="00FD620F">
        <w:rPr>
          <w:noProof/>
        </w:rPr>
        <w:t xml:space="preserve"> Article 3(1)</w:t>
      </w:r>
      <w:r w:rsidR="0091470D" w:rsidRPr="00FD620F">
        <w:rPr>
          <w:noProof/>
        </w:rPr>
        <w:t>,</w:t>
      </w:r>
      <w:r w:rsidRPr="00FD620F">
        <w:rPr>
          <w:noProof/>
        </w:rPr>
        <w:t xml:space="preserve"> </w:t>
      </w:r>
      <w:r w:rsidR="0091470D" w:rsidRPr="00FD620F">
        <w:rPr>
          <w:bCs/>
          <w:noProof/>
        </w:rPr>
        <w:t>points (b) and (c)</w:t>
      </w:r>
      <w:r w:rsidR="00530D0F" w:rsidRPr="00FD620F">
        <w:rPr>
          <w:noProof/>
        </w:rPr>
        <w:t>, a</w:t>
      </w:r>
      <w:r w:rsidRPr="00FD620F">
        <w:rPr>
          <w:noProof/>
        </w:rPr>
        <w:t xml:space="preserve">re not exceeded at any </w:t>
      </w:r>
      <w:r w:rsidR="00777639" w:rsidRPr="00FD620F">
        <w:rPr>
          <w:noProof/>
        </w:rPr>
        <w:t>monitoring point in that body or group of bodies of groundwater; or’</w:t>
      </w:r>
      <w:r w:rsidR="00BD6E00" w:rsidRPr="00FD620F">
        <w:rPr>
          <w:noProof/>
        </w:rPr>
        <w:t>;</w:t>
      </w:r>
    </w:p>
    <w:p w14:paraId="43AA748A" w14:textId="5A6FFBE6" w:rsidR="00F56605" w:rsidRPr="00FD620F" w:rsidRDefault="00312D4D" w:rsidP="00312D4D">
      <w:pPr>
        <w:pStyle w:val="Point0"/>
        <w:rPr>
          <w:noProof/>
        </w:rPr>
      </w:pPr>
      <w:r w:rsidRPr="00312D4D">
        <w:t>(6)</w:t>
      </w:r>
      <w:r w:rsidRPr="00312D4D">
        <w:tab/>
      </w:r>
      <w:r w:rsidR="0091470D" w:rsidRPr="00FD620F">
        <w:rPr>
          <w:noProof/>
        </w:rPr>
        <w:t xml:space="preserve">the following </w:t>
      </w:r>
      <w:r w:rsidR="005C35CB" w:rsidRPr="00FD620F">
        <w:rPr>
          <w:noProof/>
        </w:rPr>
        <w:t xml:space="preserve">Article </w:t>
      </w:r>
      <w:r w:rsidR="0076188D" w:rsidRPr="00FD620F">
        <w:rPr>
          <w:noProof/>
        </w:rPr>
        <w:t>6</w:t>
      </w:r>
      <w:r w:rsidR="005C35CB" w:rsidRPr="00FD620F">
        <w:rPr>
          <w:noProof/>
        </w:rPr>
        <w:t xml:space="preserve">a </w:t>
      </w:r>
      <w:r w:rsidR="005472DC" w:rsidRPr="00FD620F">
        <w:rPr>
          <w:noProof/>
        </w:rPr>
        <w:t xml:space="preserve">is </w:t>
      </w:r>
      <w:r w:rsidR="0044753B" w:rsidRPr="00FD620F">
        <w:rPr>
          <w:noProof/>
        </w:rPr>
        <w:t>inserted</w:t>
      </w:r>
      <w:r w:rsidR="005C35CB" w:rsidRPr="00FD620F">
        <w:rPr>
          <w:noProof/>
        </w:rPr>
        <w:t>:</w:t>
      </w:r>
    </w:p>
    <w:p w14:paraId="7D45B928" w14:textId="77777777" w:rsidR="005C35CB" w:rsidRPr="00FD620F" w:rsidRDefault="000A2A0D" w:rsidP="00A27730">
      <w:pPr>
        <w:pStyle w:val="NormalCentered"/>
        <w:rPr>
          <w:i/>
          <w:noProof/>
        </w:rPr>
      </w:pPr>
      <w:r w:rsidRPr="00FD620F">
        <w:rPr>
          <w:noProof/>
        </w:rPr>
        <w:t>‘</w:t>
      </w:r>
      <w:r w:rsidRPr="00FD620F">
        <w:rPr>
          <w:i/>
          <w:noProof/>
        </w:rPr>
        <w:t xml:space="preserve">Article </w:t>
      </w:r>
      <w:r w:rsidR="00EC36EB" w:rsidRPr="00FD620F">
        <w:rPr>
          <w:i/>
          <w:noProof/>
        </w:rPr>
        <w:t>6</w:t>
      </w:r>
      <w:r w:rsidRPr="00FD620F">
        <w:rPr>
          <w:i/>
          <w:noProof/>
        </w:rPr>
        <w:t>a</w:t>
      </w:r>
    </w:p>
    <w:p w14:paraId="76DD2A5D" w14:textId="77777777" w:rsidR="000A2A0D" w:rsidRPr="00FD620F" w:rsidRDefault="00BD6E00" w:rsidP="00A27730">
      <w:pPr>
        <w:pStyle w:val="NormalCentered"/>
        <w:rPr>
          <w:b/>
          <w:noProof/>
        </w:rPr>
      </w:pPr>
      <w:r w:rsidRPr="00FD620F">
        <w:rPr>
          <w:b/>
          <w:noProof/>
        </w:rPr>
        <w:t>Watch list</w:t>
      </w:r>
    </w:p>
    <w:p w14:paraId="1DAF3549" w14:textId="4B22C447" w:rsidR="000A2A0D" w:rsidRPr="00FD620F" w:rsidRDefault="00BD6E00" w:rsidP="00BD6E00">
      <w:pPr>
        <w:pStyle w:val="Text1"/>
        <w:rPr>
          <w:bCs/>
          <w:noProof/>
        </w:rPr>
      </w:pPr>
      <w:r w:rsidRPr="00FD620F">
        <w:rPr>
          <w:bCs/>
          <w:noProof/>
        </w:rPr>
        <w:t>1. T</w:t>
      </w:r>
      <w:r w:rsidR="000A2A0D" w:rsidRPr="00FD620F">
        <w:rPr>
          <w:bCs/>
          <w:noProof/>
        </w:rPr>
        <w:t>he Commission</w:t>
      </w:r>
      <w:r w:rsidR="008A0887" w:rsidRPr="00FD620F">
        <w:rPr>
          <w:bCs/>
          <w:noProof/>
        </w:rPr>
        <w:t xml:space="preserve"> is empowered</w:t>
      </w:r>
      <w:r w:rsidR="000A2A0D" w:rsidRPr="00FD620F">
        <w:rPr>
          <w:bCs/>
          <w:noProof/>
        </w:rPr>
        <w:t xml:space="preserve"> </w:t>
      </w:r>
      <w:r w:rsidR="000E39F2" w:rsidRPr="00FD620F">
        <w:rPr>
          <w:bCs/>
          <w:noProof/>
        </w:rPr>
        <w:t>to</w:t>
      </w:r>
      <w:r w:rsidR="000A2A0D" w:rsidRPr="00FD620F">
        <w:rPr>
          <w:bCs/>
          <w:noProof/>
        </w:rPr>
        <w:t xml:space="preserve"> </w:t>
      </w:r>
      <w:r w:rsidR="008A0887" w:rsidRPr="00FD620F">
        <w:rPr>
          <w:bCs/>
          <w:noProof/>
        </w:rPr>
        <w:t xml:space="preserve">adopt implementing acts to </w:t>
      </w:r>
      <w:r w:rsidR="000A2A0D" w:rsidRPr="00FD620F">
        <w:rPr>
          <w:bCs/>
          <w:noProof/>
        </w:rPr>
        <w:t>establish</w:t>
      </w:r>
      <w:r w:rsidR="00AF3050" w:rsidRPr="00FD620F">
        <w:rPr>
          <w:bCs/>
          <w:noProof/>
        </w:rPr>
        <w:t>,</w:t>
      </w:r>
      <w:r w:rsidR="000A2A0D" w:rsidRPr="00FD620F">
        <w:rPr>
          <w:bCs/>
          <w:noProof/>
        </w:rPr>
        <w:t xml:space="preserve"> </w:t>
      </w:r>
      <w:r w:rsidR="00AF3050" w:rsidRPr="00FD620F">
        <w:rPr>
          <w:bCs/>
          <w:noProof/>
        </w:rPr>
        <w:t xml:space="preserve">having regard to scientific reports prepared by ECHA, </w:t>
      </w:r>
      <w:r w:rsidR="000A2A0D" w:rsidRPr="00FD620F">
        <w:rPr>
          <w:bCs/>
          <w:noProof/>
        </w:rPr>
        <w:t xml:space="preserve">a watch list of </w:t>
      </w:r>
      <w:r w:rsidR="00297B7E" w:rsidRPr="00FD620F">
        <w:rPr>
          <w:bCs/>
          <w:noProof/>
        </w:rPr>
        <w:t>substances</w:t>
      </w:r>
      <w:r w:rsidR="000A2A0D" w:rsidRPr="00FD620F">
        <w:rPr>
          <w:bCs/>
          <w:noProof/>
        </w:rPr>
        <w:t xml:space="preserve"> for which Union</w:t>
      </w:r>
      <w:r w:rsidR="00F90D93">
        <w:rPr>
          <w:bCs/>
          <w:noProof/>
        </w:rPr>
        <w:t>-</w:t>
      </w:r>
      <w:r w:rsidR="000A2A0D" w:rsidRPr="00FD620F">
        <w:rPr>
          <w:bCs/>
          <w:noProof/>
        </w:rPr>
        <w:t>wide monitoring data are to be gathered</w:t>
      </w:r>
      <w:r w:rsidR="00AF3050" w:rsidRPr="00FD620F">
        <w:rPr>
          <w:bCs/>
          <w:noProof/>
        </w:rPr>
        <w:t xml:space="preserve"> by the Member States and to lay down the </w:t>
      </w:r>
      <w:r w:rsidR="008A0887" w:rsidRPr="00FD620F">
        <w:rPr>
          <w:bCs/>
          <w:noProof/>
        </w:rPr>
        <w:t xml:space="preserve">formats </w:t>
      </w:r>
      <w:r w:rsidR="00AF3050" w:rsidRPr="00FD620F">
        <w:rPr>
          <w:bCs/>
          <w:noProof/>
        </w:rPr>
        <w:t xml:space="preserve">to be used by the Member States </w:t>
      </w:r>
      <w:r w:rsidR="008A0887" w:rsidRPr="00FD620F">
        <w:rPr>
          <w:bCs/>
          <w:noProof/>
        </w:rPr>
        <w:t xml:space="preserve">for reporting the results </w:t>
      </w:r>
      <w:r w:rsidR="00AF3050" w:rsidRPr="00FD620F">
        <w:rPr>
          <w:bCs/>
          <w:noProof/>
        </w:rPr>
        <w:t xml:space="preserve">of that monitoring </w:t>
      </w:r>
      <w:r w:rsidR="008A0887" w:rsidRPr="00FD620F">
        <w:rPr>
          <w:bCs/>
          <w:noProof/>
        </w:rPr>
        <w:t xml:space="preserve">and related information to the Commission. Those implementing acts shall be adopted in accordance with the examination procedure referred to in Article 9(2).  </w:t>
      </w:r>
    </w:p>
    <w:p w14:paraId="659C02F7" w14:textId="77777777" w:rsidR="000A2A0D" w:rsidRPr="00FD620F" w:rsidRDefault="000A2A0D" w:rsidP="00BD6E00">
      <w:pPr>
        <w:pStyle w:val="Text1"/>
        <w:rPr>
          <w:bCs/>
          <w:noProof/>
        </w:rPr>
      </w:pPr>
      <w:r w:rsidRPr="00FD620F">
        <w:rPr>
          <w:bCs/>
          <w:noProof/>
        </w:rPr>
        <w:t xml:space="preserve">The watch list shall contain a maximum of </w:t>
      </w:r>
      <w:r w:rsidR="00297B7E" w:rsidRPr="00FD620F">
        <w:rPr>
          <w:bCs/>
          <w:noProof/>
        </w:rPr>
        <w:t>five</w:t>
      </w:r>
      <w:r w:rsidRPr="00FD620F">
        <w:rPr>
          <w:bCs/>
          <w:noProof/>
        </w:rPr>
        <w:t xml:space="preserve"> </w:t>
      </w:r>
      <w:r w:rsidR="00297B7E" w:rsidRPr="00FD620F">
        <w:rPr>
          <w:bCs/>
          <w:noProof/>
        </w:rPr>
        <w:t>substances</w:t>
      </w:r>
      <w:r w:rsidRPr="00FD620F">
        <w:rPr>
          <w:bCs/>
          <w:noProof/>
        </w:rPr>
        <w:t xml:space="preserve"> or groups of </w:t>
      </w:r>
      <w:r w:rsidR="00297B7E" w:rsidRPr="00FD620F">
        <w:rPr>
          <w:bCs/>
          <w:noProof/>
        </w:rPr>
        <w:t>substances</w:t>
      </w:r>
      <w:r w:rsidRPr="00FD620F">
        <w:rPr>
          <w:bCs/>
          <w:noProof/>
        </w:rPr>
        <w:t xml:space="preserve"> and shall indicate the monitoring matrices and the possible methods of analysis </w:t>
      </w:r>
      <w:r w:rsidR="00E868E6" w:rsidRPr="00FD620F">
        <w:rPr>
          <w:bCs/>
          <w:noProof/>
        </w:rPr>
        <w:t xml:space="preserve">for each </w:t>
      </w:r>
      <w:r w:rsidR="00297B7E" w:rsidRPr="00FD620F">
        <w:rPr>
          <w:bCs/>
          <w:noProof/>
        </w:rPr>
        <w:t>substance</w:t>
      </w:r>
      <w:r w:rsidR="00E868E6" w:rsidRPr="00FD620F">
        <w:rPr>
          <w:bCs/>
          <w:noProof/>
        </w:rPr>
        <w:t xml:space="preserve">. </w:t>
      </w:r>
      <w:r w:rsidR="00BF2FB0" w:rsidRPr="00FD620F">
        <w:rPr>
          <w:noProof/>
        </w:rPr>
        <w:t>Th</w:t>
      </w:r>
      <w:r w:rsidR="000E39F2" w:rsidRPr="00FD620F">
        <w:rPr>
          <w:noProof/>
        </w:rPr>
        <w:t>o</w:t>
      </w:r>
      <w:r w:rsidR="00BF2FB0" w:rsidRPr="00FD620F">
        <w:rPr>
          <w:noProof/>
        </w:rPr>
        <w:t>se</w:t>
      </w:r>
      <w:r w:rsidR="00BF2FB0" w:rsidRPr="00FD620F">
        <w:rPr>
          <w:bCs/>
          <w:noProof/>
        </w:rPr>
        <w:t xml:space="preserve"> </w:t>
      </w:r>
      <w:r w:rsidR="00AF3050" w:rsidRPr="00FD620F">
        <w:rPr>
          <w:bCs/>
          <w:noProof/>
        </w:rPr>
        <w:t xml:space="preserve">monitoring matrices and </w:t>
      </w:r>
      <w:r w:rsidR="003C1F46" w:rsidRPr="00FD620F">
        <w:rPr>
          <w:bCs/>
          <w:noProof/>
        </w:rPr>
        <w:t xml:space="preserve">methods </w:t>
      </w:r>
      <w:r w:rsidR="00E868E6" w:rsidRPr="00FD620F">
        <w:rPr>
          <w:bCs/>
          <w:noProof/>
        </w:rPr>
        <w:t xml:space="preserve">shall </w:t>
      </w:r>
      <w:r w:rsidRPr="00FD620F">
        <w:rPr>
          <w:bCs/>
          <w:noProof/>
        </w:rPr>
        <w:t>not entail excessive costs</w:t>
      </w:r>
      <w:r w:rsidR="00AF3050" w:rsidRPr="00FD620F">
        <w:rPr>
          <w:bCs/>
          <w:noProof/>
        </w:rPr>
        <w:t xml:space="preserve"> for </w:t>
      </w:r>
      <w:r w:rsidR="0026519D" w:rsidRPr="00FD620F">
        <w:rPr>
          <w:bCs/>
          <w:noProof/>
        </w:rPr>
        <w:t>the competent authorities</w:t>
      </w:r>
      <w:r w:rsidRPr="00FD620F">
        <w:rPr>
          <w:bCs/>
          <w:noProof/>
        </w:rPr>
        <w:t xml:space="preserve">. The </w:t>
      </w:r>
      <w:r w:rsidR="00297B7E" w:rsidRPr="00FD620F">
        <w:rPr>
          <w:bCs/>
          <w:noProof/>
        </w:rPr>
        <w:t>substances</w:t>
      </w:r>
      <w:r w:rsidRPr="00FD620F">
        <w:rPr>
          <w:bCs/>
          <w:noProof/>
        </w:rPr>
        <w:t xml:space="preserve"> to be included in the watch list shall be selected from amongst those </w:t>
      </w:r>
      <w:r w:rsidR="00297B7E" w:rsidRPr="00FD620F">
        <w:rPr>
          <w:bCs/>
          <w:noProof/>
        </w:rPr>
        <w:t>substances</w:t>
      </w:r>
      <w:r w:rsidR="00E868E6" w:rsidRPr="00FD620F">
        <w:rPr>
          <w:bCs/>
          <w:noProof/>
        </w:rPr>
        <w:t xml:space="preserve"> </w:t>
      </w:r>
      <w:r w:rsidRPr="00FD620F">
        <w:rPr>
          <w:bCs/>
          <w:noProof/>
        </w:rPr>
        <w:t>for which the information available indicates that they may pose a significant risk at Union level to, or via, the aquatic environment and for which monitoring data</w:t>
      </w:r>
      <w:r w:rsidR="005D282D" w:rsidRPr="00FD620F">
        <w:rPr>
          <w:bCs/>
          <w:noProof/>
        </w:rPr>
        <w:t xml:space="preserve"> are insufficient. This watch list </w:t>
      </w:r>
      <w:r w:rsidR="00297B7E" w:rsidRPr="00FD620F">
        <w:rPr>
          <w:bCs/>
          <w:noProof/>
        </w:rPr>
        <w:t xml:space="preserve">shall </w:t>
      </w:r>
      <w:r w:rsidR="00E868E6" w:rsidRPr="00FD620F">
        <w:rPr>
          <w:bCs/>
          <w:noProof/>
        </w:rPr>
        <w:t>includ</w:t>
      </w:r>
      <w:r w:rsidR="00297B7E" w:rsidRPr="00FD620F">
        <w:rPr>
          <w:bCs/>
          <w:noProof/>
        </w:rPr>
        <w:t>e</w:t>
      </w:r>
      <w:r w:rsidR="00E868E6" w:rsidRPr="00FD620F">
        <w:rPr>
          <w:bCs/>
          <w:noProof/>
        </w:rPr>
        <w:t xml:space="preserve"> </w:t>
      </w:r>
      <w:r w:rsidR="005D282D" w:rsidRPr="00FD620F">
        <w:rPr>
          <w:bCs/>
          <w:noProof/>
        </w:rPr>
        <w:t xml:space="preserve">substances </w:t>
      </w:r>
      <w:r w:rsidR="00987061" w:rsidRPr="00FD620F">
        <w:rPr>
          <w:bCs/>
          <w:noProof/>
        </w:rPr>
        <w:t>of emerging concern</w:t>
      </w:r>
      <w:r w:rsidRPr="00FD620F">
        <w:rPr>
          <w:bCs/>
          <w:noProof/>
        </w:rPr>
        <w:t>.</w:t>
      </w:r>
    </w:p>
    <w:p w14:paraId="2D2AA894" w14:textId="77777777" w:rsidR="009E48BA" w:rsidRDefault="008A0887" w:rsidP="00BD6E00">
      <w:pPr>
        <w:pStyle w:val="Text1"/>
        <w:rPr>
          <w:bCs/>
          <w:noProof/>
        </w:rPr>
      </w:pPr>
      <w:r w:rsidRPr="00FD620F">
        <w:rPr>
          <w:bCs/>
          <w:noProof/>
        </w:rPr>
        <w:t xml:space="preserve">As soon as suitable monitoring methods for micro-plastics and selected antimicrobial resistance genes have been identified, those </w:t>
      </w:r>
      <w:r w:rsidR="0026519D" w:rsidRPr="00FD620F">
        <w:rPr>
          <w:bCs/>
          <w:noProof/>
        </w:rPr>
        <w:t>substances</w:t>
      </w:r>
      <w:r w:rsidR="0026519D" w:rsidRPr="00FD620F">
        <w:rPr>
          <w:noProof/>
        </w:rPr>
        <w:t xml:space="preserve"> </w:t>
      </w:r>
      <w:r w:rsidRPr="00FD620F">
        <w:rPr>
          <w:bCs/>
          <w:noProof/>
        </w:rPr>
        <w:t>shall be included in the watch list.</w:t>
      </w:r>
      <w:r w:rsidR="009E48BA">
        <w:rPr>
          <w:bCs/>
          <w:noProof/>
        </w:rPr>
        <w:t xml:space="preserve"> </w:t>
      </w:r>
    </w:p>
    <w:p w14:paraId="5892105A" w14:textId="77777777" w:rsidR="000A2A0D" w:rsidRPr="00FD620F" w:rsidRDefault="005713A7" w:rsidP="00BD6E00">
      <w:pPr>
        <w:pStyle w:val="Text1"/>
        <w:rPr>
          <w:bCs/>
          <w:noProof/>
        </w:rPr>
      </w:pPr>
      <w:r w:rsidRPr="00FD620F">
        <w:rPr>
          <w:bCs/>
          <w:noProof/>
        </w:rPr>
        <w:t xml:space="preserve">ECHA shall prepare </w:t>
      </w:r>
      <w:r w:rsidR="009570CF" w:rsidRPr="00FD620F">
        <w:rPr>
          <w:bCs/>
          <w:noProof/>
        </w:rPr>
        <w:t xml:space="preserve">scientific </w:t>
      </w:r>
      <w:r w:rsidRPr="00FD620F">
        <w:rPr>
          <w:bCs/>
          <w:noProof/>
        </w:rPr>
        <w:t>report</w:t>
      </w:r>
      <w:r w:rsidR="009570CF" w:rsidRPr="00FD620F">
        <w:rPr>
          <w:bCs/>
          <w:noProof/>
        </w:rPr>
        <w:t>s</w:t>
      </w:r>
      <w:r w:rsidRPr="00FD620F">
        <w:rPr>
          <w:bCs/>
          <w:noProof/>
        </w:rPr>
        <w:t xml:space="preserve"> to assist the Commission i</w:t>
      </w:r>
      <w:r w:rsidR="000A2A0D" w:rsidRPr="00FD620F">
        <w:rPr>
          <w:bCs/>
          <w:noProof/>
        </w:rPr>
        <w:t xml:space="preserve">n selecting the </w:t>
      </w:r>
      <w:r w:rsidR="00297B7E" w:rsidRPr="00FD620F">
        <w:rPr>
          <w:bCs/>
          <w:noProof/>
        </w:rPr>
        <w:t xml:space="preserve">substances </w:t>
      </w:r>
      <w:r w:rsidR="000A2A0D" w:rsidRPr="00FD620F">
        <w:rPr>
          <w:bCs/>
          <w:noProof/>
        </w:rPr>
        <w:t>for the watch list, tak</w:t>
      </w:r>
      <w:r w:rsidR="008A0887" w:rsidRPr="00FD620F">
        <w:rPr>
          <w:bCs/>
          <w:noProof/>
        </w:rPr>
        <w:t>ing</w:t>
      </w:r>
      <w:r w:rsidR="000A2A0D" w:rsidRPr="00FD620F">
        <w:rPr>
          <w:bCs/>
          <w:noProof/>
        </w:rPr>
        <w:t xml:space="preserve"> into account </w:t>
      </w:r>
      <w:r w:rsidR="00E868E6" w:rsidRPr="00FD620F">
        <w:rPr>
          <w:bCs/>
          <w:noProof/>
        </w:rPr>
        <w:t>the following</w:t>
      </w:r>
      <w:r w:rsidR="005D282D" w:rsidRPr="00FD620F">
        <w:rPr>
          <w:bCs/>
          <w:noProof/>
        </w:rPr>
        <w:t xml:space="preserve"> information</w:t>
      </w:r>
      <w:r w:rsidR="000A2A0D" w:rsidRPr="00FD620F">
        <w:rPr>
          <w:bCs/>
          <w:noProof/>
        </w:rPr>
        <w:t>:</w:t>
      </w:r>
    </w:p>
    <w:p w14:paraId="768A3DAF" w14:textId="6027302C" w:rsidR="000A2A0D" w:rsidRPr="00FD620F" w:rsidRDefault="00312D4D" w:rsidP="00312D4D">
      <w:pPr>
        <w:pStyle w:val="Point2"/>
        <w:rPr>
          <w:noProof/>
        </w:rPr>
      </w:pPr>
      <w:r w:rsidRPr="00312D4D">
        <w:t>(a)</w:t>
      </w:r>
      <w:r w:rsidRPr="00312D4D">
        <w:tab/>
      </w:r>
      <w:r w:rsidR="000A2A0D" w:rsidRPr="00FD620F">
        <w:rPr>
          <w:noProof/>
        </w:rPr>
        <w:t xml:space="preserve">Annex I </w:t>
      </w:r>
      <w:r w:rsidR="00CB6C4D" w:rsidRPr="00FD620F">
        <w:rPr>
          <w:noProof/>
        </w:rPr>
        <w:t>t</w:t>
      </w:r>
      <w:r w:rsidR="000A2A0D" w:rsidRPr="00FD620F">
        <w:rPr>
          <w:noProof/>
        </w:rPr>
        <w:t>o Directive 2008/105/EC</w:t>
      </w:r>
      <w:r w:rsidR="009E48BA">
        <w:rPr>
          <w:noProof/>
        </w:rPr>
        <w:t xml:space="preserve"> of the European Parliament and of the Council</w:t>
      </w:r>
      <w:r w:rsidR="0026519D" w:rsidRPr="00FD620F">
        <w:rPr>
          <w:noProof/>
        </w:rPr>
        <w:t>*</w:t>
      </w:r>
      <w:r w:rsidR="00686BF2" w:rsidRPr="00FD620F">
        <w:rPr>
          <w:noProof/>
        </w:rPr>
        <w:t xml:space="preserve"> and the results of the most recent review of that Annex </w:t>
      </w:r>
      <w:r w:rsidR="000A2A0D" w:rsidRPr="00FD620F">
        <w:rPr>
          <w:noProof/>
        </w:rPr>
        <w:t>;</w:t>
      </w:r>
    </w:p>
    <w:p w14:paraId="306D5F7B" w14:textId="71262A07" w:rsidR="000A2A0D" w:rsidRPr="00FD620F" w:rsidRDefault="00312D4D" w:rsidP="00312D4D">
      <w:pPr>
        <w:pStyle w:val="Point2"/>
        <w:rPr>
          <w:noProof/>
        </w:rPr>
      </w:pPr>
      <w:r w:rsidRPr="00312D4D">
        <w:t>(b)</w:t>
      </w:r>
      <w:r w:rsidRPr="00312D4D">
        <w:tab/>
      </w:r>
      <w:r w:rsidR="000A2A0D" w:rsidRPr="00FD620F">
        <w:rPr>
          <w:noProof/>
        </w:rPr>
        <w:t xml:space="preserve">the watch lists established </w:t>
      </w:r>
      <w:r w:rsidR="00E868E6" w:rsidRPr="00FD620F">
        <w:rPr>
          <w:noProof/>
        </w:rPr>
        <w:t xml:space="preserve">in accordance with </w:t>
      </w:r>
      <w:r w:rsidR="000A2A0D" w:rsidRPr="00FD620F">
        <w:rPr>
          <w:noProof/>
        </w:rPr>
        <w:t>Directive 2008/105/EC and Directive (EU) 2020/2184</w:t>
      </w:r>
      <w:r w:rsidR="009E48BA">
        <w:rPr>
          <w:noProof/>
        </w:rPr>
        <w:t xml:space="preserve"> of the European Parliament and of the Council</w:t>
      </w:r>
      <w:r w:rsidR="0026519D" w:rsidRPr="00FD620F">
        <w:rPr>
          <w:noProof/>
        </w:rPr>
        <w:t>**</w:t>
      </w:r>
      <w:r w:rsidR="000A2A0D" w:rsidRPr="00FD620F">
        <w:rPr>
          <w:noProof/>
        </w:rPr>
        <w:t>;</w:t>
      </w:r>
    </w:p>
    <w:p w14:paraId="6EF4C3BA" w14:textId="0C88A4C7" w:rsidR="007114E4" w:rsidRPr="00FD620F" w:rsidRDefault="00312D4D" w:rsidP="00312D4D">
      <w:pPr>
        <w:pStyle w:val="Point2"/>
        <w:rPr>
          <w:noProof/>
        </w:rPr>
      </w:pPr>
      <w:r w:rsidRPr="00312D4D">
        <w:t>(c)</w:t>
      </w:r>
      <w:r w:rsidRPr="00312D4D">
        <w:tab/>
      </w:r>
      <w:r w:rsidR="00CF6A2E" w:rsidRPr="00FD620F">
        <w:rPr>
          <w:noProof/>
        </w:rPr>
        <w:t>requirements to address soil pollution, including related monitoring data</w:t>
      </w:r>
      <w:r w:rsidR="007114E4" w:rsidRPr="00FD620F">
        <w:rPr>
          <w:noProof/>
        </w:rPr>
        <w:t xml:space="preserve">; </w:t>
      </w:r>
    </w:p>
    <w:p w14:paraId="3F05B2CD" w14:textId="1A215A0F" w:rsidR="000A2A0D" w:rsidRPr="00FD620F" w:rsidRDefault="00312D4D" w:rsidP="00312D4D">
      <w:pPr>
        <w:pStyle w:val="Point2"/>
        <w:rPr>
          <w:noProof/>
        </w:rPr>
      </w:pPr>
      <w:r w:rsidRPr="00312D4D">
        <w:t>(d)</w:t>
      </w:r>
      <w:r w:rsidRPr="00312D4D">
        <w:tab/>
      </w:r>
      <w:r w:rsidR="000A2A0D" w:rsidRPr="00FD620F">
        <w:rPr>
          <w:noProof/>
        </w:rPr>
        <w:t xml:space="preserve">Member States’ characterisation of river basin districts </w:t>
      </w:r>
      <w:r w:rsidR="00E868E6" w:rsidRPr="00FD620F">
        <w:rPr>
          <w:noProof/>
        </w:rPr>
        <w:t xml:space="preserve">in accordance with Article 5 of Directive 2000/60/EC </w:t>
      </w:r>
      <w:r w:rsidR="000A2A0D" w:rsidRPr="00FD620F">
        <w:rPr>
          <w:noProof/>
        </w:rPr>
        <w:t>and the results of monitoring programmes</w:t>
      </w:r>
      <w:r w:rsidR="00E868E6" w:rsidRPr="00FD620F">
        <w:rPr>
          <w:noProof/>
        </w:rPr>
        <w:t xml:space="preserve"> established in accordance with Article</w:t>
      </w:r>
      <w:r w:rsidR="000A2A0D" w:rsidRPr="00FD620F">
        <w:rPr>
          <w:noProof/>
        </w:rPr>
        <w:t xml:space="preserve"> 8 of </w:t>
      </w:r>
      <w:r w:rsidR="00E868E6" w:rsidRPr="00FD620F">
        <w:rPr>
          <w:noProof/>
        </w:rPr>
        <w:t xml:space="preserve">that </w:t>
      </w:r>
      <w:r w:rsidR="000A2A0D" w:rsidRPr="00FD620F">
        <w:rPr>
          <w:noProof/>
        </w:rPr>
        <w:t>Directive;</w:t>
      </w:r>
    </w:p>
    <w:p w14:paraId="58A9429B" w14:textId="5DE0F4EF" w:rsidR="000A2A0D" w:rsidRPr="00FD620F" w:rsidRDefault="00312D4D" w:rsidP="00312D4D">
      <w:pPr>
        <w:pStyle w:val="Point2"/>
        <w:rPr>
          <w:noProof/>
        </w:rPr>
      </w:pPr>
      <w:r w:rsidRPr="00312D4D">
        <w:t>(e)</w:t>
      </w:r>
      <w:r w:rsidRPr="00312D4D">
        <w:tab/>
      </w:r>
      <w:r w:rsidR="000A2A0D" w:rsidRPr="00FD620F">
        <w:rPr>
          <w:noProof/>
        </w:rPr>
        <w:t>information on production volumes, use patterns, intrinsic properties (including</w:t>
      </w:r>
      <w:r w:rsidR="00702F3D" w:rsidRPr="00FD620F">
        <w:rPr>
          <w:noProof/>
        </w:rPr>
        <w:t xml:space="preserve"> mobility in soils and</w:t>
      </w:r>
      <w:r w:rsidR="000A2A0D" w:rsidRPr="00FD620F">
        <w:rPr>
          <w:noProof/>
        </w:rPr>
        <w:t xml:space="preserve">, where relevant, particle size), concentrations in the environment and </w:t>
      </w:r>
      <w:r w:rsidR="005C5453" w:rsidRPr="00FD620F">
        <w:rPr>
          <w:noProof/>
        </w:rPr>
        <w:t xml:space="preserve">adverse </w:t>
      </w:r>
      <w:r w:rsidR="000A2A0D" w:rsidRPr="00FD620F">
        <w:rPr>
          <w:noProof/>
        </w:rPr>
        <w:t>effects</w:t>
      </w:r>
      <w:r w:rsidR="005C5453" w:rsidRPr="00FD620F">
        <w:rPr>
          <w:noProof/>
        </w:rPr>
        <w:t xml:space="preserve"> to human health and the </w:t>
      </w:r>
      <w:r w:rsidR="001E36E5" w:rsidRPr="00FD620F">
        <w:rPr>
          <w:noProof/>
        </w:rPr>
        <w:t xml:space="preserve">aquatic </w:t>
      </w:r>
      <w:r w:rsidR="005C5453" w:rsidRPr="00FD620F">
        <w:rPr>
          <w:noProof/>
        </w:rPr>
        <w:t xml:space="preserve">environment of a particular </w:t>
      </w:r>
      <w:r w:rsidR="001E36E5" w:rsidRPr="00FD620F">
        <w:rPr>
          <w:noProof/>
        </w:rPr>
        <w:t xml:space="preserve">substance </w:t>
      </w:r>
      <w:r w:rsidR="005C5453" w:rsidRPr="00FD620F">
        <w:rPr>
          <w:noProof/>
        </w:rPr>
        <w:t xml:space="preserve">or group of </w:t>
      </w:r>
      <w:r w:rsidR="001E36E5" w:rsidRPr="00FD620F">
        <w:rPr>
          <w:noProof/>
        </w:rPr>
        <w:t>substances</w:t>
      </w:r>
      <w:r w:rsidR="000A2A0D" w:rsidRPr="00FD620F">
        <w:rPr>
          <w:noProof/>
        </w:rPr>
        <w:t>, including information gathered in accordance with</w:t>
      </w:r>
      <w:r w:rsidR="00EC4CE7" w:rsidRPr="00FD620F">
        <w:rPr>
          <w:noProof/>
        </w:rPr>
        <w:t xml:space="preserve"> </w:t>
      </w:r>
      <w:r w:rsidR="005D1D03" w:rsidRPr="00FD620F">
        <w:rPr>
          <w:noProof/>
        </w:rPr>
        <w:t xml:space="preserve">Regulation (EC) No 1907/2006 of the European Parliament and of the Council***,  Regulation (EC) No 1107/2009 of the European Parliament and of the Council****,  Regulation (EU) No 528/2012 of the European Parliament and of the Council*****, Regulation (EU) 2019/6 of the European Parliament and of the Council******, </w:t>
      </w:r>
      <w:r w:rsidR="00EC4CE7" w:rsidRPr="00FD620F">
        <w:rPr>
          <w:noProof/>
        </w:rPr>
        <w:t xml:space="preserve">Directive 2001/83/EC </w:t>
      </w:r>
      <w:r w:rsidR="00504BDE" w:rsidRPr="00FD620F">
        <w:rPr>
          <w:noProof/>
        </w:rPr>
        <w:t>of the European Parliament and of the Council*</w:t>
      </w:r>
      <w:r w:rsidR="0026519D" w:rsidRPr="00FD620F">
        <w:rPr>
          <w:noProof/>
        </w:rPr>
        <w:t>**</w:t>
      </w:r>
      <w:r w:rsidR="005D1D03" w:rsidRPr="00FD620F">
        <w:rPr>
          <w:noProof/>
        </w:rPr>
        <w:t>**** and</w:t>
      </w:r>
      <w:r w:rsidR="00EC4CE7" w:rsidRPr="00FD620F">
        <w:rPr>
          <w:noProof/>
        </w:rPr>
        <w:t xml:space="preserve"> </w:t>
      </w:r>
      <w:r w:rsidR="00504BDE" w:rsidRPr="00FD620F">
        <w:rPr>
          <w:noProof/>
        </w:rPr>
        <w:t xml:space="preserve">Directive </w:t>
      </w:r>
      <w:r w:rsidR="00EC4CE7" w:rsidRPr="00FD620F">
        <w:rPr>
          <w:noProof/>
        </w:rPr>
        <w:t xml:space="preserve">2009/128/EC </w:t>
      </w:r>
      <w:r w:rsidR="00504BDE" w:rsidRPr="00FD620F">
        <w:rPr>
          <w:noProof/>
        </w:rPr>
        <w:t>of the European Parliament and of the Council**</w:t>
      </w:r>
      <w:r w:rsidR="005472DC" w:rsidRPr="00FD620F">
        <w:rPr>
          <w:noProof/>
        </w:rPr>
        <w:t>******</w:t>
      </w:r>
      <w:r w:rsidR="007114E4" w:rsidRPr="00FD620F">
        <w:rPr>
          <w:noProof/>
        </w:rPr>
        <w:t>;</w:t>
      </w:r>
    </w:p>
    <w:p w14:paraId="706D0FDE" w14:textId="023C499E" w:rsidR="007114E4" w:rsidRPr="00FD620F" w:rsidRDefault="00312D4D" w:rsidP="00312D4D">
      <w:pPr>
        <w:pStyle w:val="Point2"/>
        <w:rPr>
          <w:noProof/>
        </w:rPr>
      </w:pPr>
      <w:r w:rsidRPr="00312D4D">
        <w:t>(f)</w:t>
      </w:r>
      <w:r w:rsidRPr="00312D4D">
        <w:tab/>
      </w:r>
      <w:r w:rsidR="007114E4" w:rsidRPr="00FD620F">
        <w:rPr>
          <w:noProof/>
        </w:rPr>
        <w:t>research projects and scientific publications</w:t>
      </w:r>
      <w:r w:rsidR="0090742E" w:rsidRPr="00FD620F">
        <w:rPr>
          <w:noProof/>
        </w:rPr>
        <w:t>, including information on trends and predictions based on modelling or other predictive assessments and data and information from remote sensing technologies, earth observation (Copernicus services), in-situ sensors and devices, or citizen science data, leveraging the opportunities offered by artificial intelligence, advanced data analysis and processing</w:t>
      </w:r>
      <w:r w:rsidR="007114E4" w:rsidRPr="00FD620F">
        <w:rPr>
          <w:noProof/>
        </w:rPr>
        <w:t>;</w:t>
      </w:r>
    </w:p>
    <w:p w14:paraId="2306B681" w14:textId="37B3A7E2" w:rsidR="007114E4" w:rsidRPr="00FD620F" w:rsidRDefault="00312D4D" w:rsidP="00312D4D">
      <w:pPr>
        <w:pStyle w:val="Point2"/>
        <w:rPr>
          <w:noProof/>
        </w:rPr>
      </w:pPr>
      <w:r w:rsidRPr="00312D4D">
        <w:t>(g)</w:t>
      </w:r>
      <w:r w:rsidRPr="00312D4D">
        <w:tab/>
      </w:r>
      <w:r w:rsidR="007114E4" w:rsidRPr="00FD620F">
        <w:rPr>
          <w:noProof/>
        </w:rPr>
        <w:t xml:space="preserve">recommendations from stakeholders. </w:t>
      </w:r>
    </w:p>
    <w:p w14:paraId="53943A45" w14:textId="77777777" w:rsidR="005713A7" w:rsidRPr="00FD620F" w:rsidRDefault="005713A7" w:rsidP="005713A7">
      <w:pPr>
        <w:pStyle w:val="Text1"/>
        <w:rPr>
          <w:noProof/>
        </w:rPr>
      </w:pPr>
      <w:r w:rsidRPr="00FD620F">
        <w:rPr>
          <w:noProof/>
        </w:rPr>
        <w:t xml:space="preserve">ECHA shall </w:t>
      </w:r>
      <w:r w:rsidR="009570CF" w:rsidRPr="00FD620F">
        <w:rPr>
          <w:noProof/>
        </w:rPr>
        <w:t xml:space="preserve">every three years </w:t>
      </w:r>
      <w:r w:rsidRPr="00FD620F">
        <w:rPr>
          <w:noProof/>
        </w:rPr>
        <w:t xml:space="preserve">prepare a report summarizing </w:t>
      </w:r>
      <w:r w:rsidR="009570CF" w:rsidRPr="00FD620F">
        <w:rPr>
          <w:noProof/>
        </w:rPr>
        <w:t xml:space="preserve">the </w:t>
      </w:r>
      <w:r w:rsidRPr="00FD620F">
        <w:rPr>
          <w:noProof/>
        </w:rPr>
        <w:t xml:space="preserve">findings </w:t>
      </w:r>
      <w:r w:rsidR="009570CF" w:rsidRPr="00FD620F">
        <w:rPr>
          <w:noProof/>
        </w:rPr>
        <w:t xml:space="preserve">of the scientific reports established under the fourth subparagraph </w:t>
      </w:r>
      <w:r w:rsidRPr="00FD620F">
        <w:rPr>
          <w:noProof/>
        </w:rPr>
        <w:t xml:space="preserve">and shall make that report publicly available. The first report shall be made available </w:t>
      </w:r>
      <w:r w:rsidR="005472DC" w:rsidRPr="00FD620F">
        <w:rPr>
          <w:noProof/>
        </w:rPr>
        <w:t xml:space="preserve">by X [OP please insert the date = </w:t>
      </w:r>
      <w:r w:rsidRPr="00FD620F">
        <w:rPr>
          <w:noProof/>
        </w:rPr>
        <w:t xml:space="preserve"> </w:t>
      </w:r>
      <w:r w:rsidR="00C71B72" w:rsidRPr="00FD620F">
        <w:rPr>
          <w:noProof/>
        </w:rPr>
        <w:t xml:space="preserve">the </w:t>
      </w:r>
      <w:r w:rsidR="005472DC" w:rsidRPr="00FD620F">
        <w:rPr>
          <w:noProof/>
        </w:rPr>
        <w:t xml:space="preserve">first day of the </w:t>
      </w:r>
      <w:r w:rsidR="00C71B72" w:rsidRPr="00FD620F">
        <w:rPr>
          <w:noProof/>
        </w:rPr>
        <w:t xml:space="preserve">twenty first </w:t>
      </w:r>
      <w:r w:rsidR="005472DC" w:rsidRPr="00FD620F">
        <w:rPr>
          <w:noProof/>
        </w:rPr>
        <w:t>m</w:t>
      </w:r>
      <w:r w:rsidRPr="00FD620F">
        <w:rPr>
          <w:noProof/>
        </w:rPr>
        <w:t>onth</w:t>
      </w:r>
      <w:r w:rsidR="00C71B72" w:rsidRPr="00FD620F">
        <w:rPr>
          <w:noProof/>
        </w:rPr>
        <w:t xml:space="preserve"> after the date of entry into force of this Directive]</w:t>
      </w:r>
      <w:r w:rsidRPr="00FD620F">
        <w:rPr>
          <w:noProof/>
        </w:rPr>
        <w:t>.</w:t>
      </w:r>
    </w:p>
    <w:p w14:paraId="788C46E0" w14:textId="06E1FFC2" w:rsidR="005B710D" w:rsidRPr="00FD620F" w:rsidRDefault="00BD6E00" w:rsidP="00BD6E00">
      <w:pPr>
        <w:pStyle w:val="Text1"/>
        <w:rPr>
          <w:bCs/>
          <w:noProof/>
        </w:rPr>
      </w:pPr>
      <w:r w:rsidRPr="00FD620F">
        <w:rPr>
          <w:bCs/>
          <w:noProof/>
        </w:rPr>
        <w:t xml:space="preserve">2. </w:t>
      </w:r>
      <w:r w:rsidR="008A0887" w:rsidRPr="00FD620F">
        <w:rPr>
          <w:bCs/>
          <w:noProof/>
        </w:rPr>
        <w:t xml:space="preserve">A </w:t>
      </w:r>
      <w:r w:rsidR="00FE1AD7" w:rsidRPr="00FD620F">
        <w:rPr>
          <w:bCs/>
          <w:noProof/>
        </w:rPr>
        <w:t>first</w:t>
      </w:r>
      <w:r w:rsidR="008A0887" w:rsidRPr="00FD620F">
        <w:rPr>
          <w:bCs/>
          <w:noProof/>
        </w:rPr>
        <w:t xml:space="preserve"> watch list shall be established</w:t>
      </w:r>
      <w:r w:rsidR="005B710D" w:rsidRPr="00FD620F">
        <w:rPr>
          <w:bCs/>
          <w:noProof/>
        </w:rPr>
        <w:t xml:space="preserve"> by </w:t>
      </w:r>
      <w:r w:rsidR="009E48BA">
        <w:rPr>
          <w:bCs/>
          <w:noProof/>
        </w:rPr>
        <w:t xml:space="preserve">.. </w:t>
      </w:r>
      <w:r w:rsidR="005B710D" w:rsidRPr="00FD620F">
        <w:rPr>
          <w:bCs/>
          <w:noProof/>
        </w:rPr>
        <w:t>[OP please insert the date = the first day of the month following 2</w:t>
      </w:r>
      <w:r w:rsidR="009E48BA">
        <w:rPr>
          <w:bCs/>
          <w:noProof/>
        </w:rPr>
        <w:t>4 months</w:t>
      </w:r>
      <w:r w:rsidR="005B710D" w:rsidRPr="00FD620F">
        <w:rPr>
          <w:bCs/>
          <w:noProof/>
        </w:rPr>
        <w:t xml:space="preserve"> af</w:t>
      </w:r>
      <w:r w:rsidR="009E48BA">
        <w:rPr>
          <w:bCs/>
          <w:noProof/>
        </w:rPr>
        <w:t>t</w:t>
      </w:r>
      <w:r w:rsidR="005B710D" w:rsidRPr="00FD620F">
        <w:rPr>
          <w:bCs/>
          <w:noProof/>
        </w:rPr>
        <w:t>er the date of entry into force of this Directive]</w:t>
      </w:r>
      <w:r w:rsidR="009E48BA">
        <w:rPr>
          <w:bCs/>
          <w:noProof/>
        </w:rPr>
        <w:t>. The watch list shall be</w:t>
      </w:r>
      <w:r w:rsidR="00FE1AD7" w:rsidRPr="00FD620F">
        <w:rPr>
          <w:bCs/>
          <w:noProof/>
        </w:rPr>
        <w:t xml:space="preserve"> </w:t>
      </w:r>
      <w:r w:rsidR="001159B2" w:rsidRPr="00FD620F">
        <w:rPr>
          <w:bCs/>
          <w:noProof/>
        </w:rPr>
        <w:t xml:space="preserve">updated </w:t>
      </w:r>
      <w:r w:rsidR="00FE1AD7" w:rsidRPr="00FD620F">
        <w:rPr>
          <w:bCs/>
          <w:noProof/>
        </w:rPr>
        <w:t>every 36 months thereafter</w:t>
      </w:r>
      <w:r w:rsidR="000A2A0D" w:rsidRPr="00FD620F">
        <w:rPr>
          <w:bCs/>
          <w:noProof/>
        </w:rPr>
        <w:t xml:space="preserve">. </w:t>
      </w:r>
    </w:p>
    <w:p w14:paraId="3887E919" w14:textId="5480626B" w:rsidR="000A2A0D" w:rsidRPr="00FD620F" w:rsidRDefault="000A2A0D" w:rsidP="00BD6E00">
      <w:pPr>
        <w:pStyle w:val="Text1"/>
        <w:rPr>
          <w:bCs/>
          <w:noProof/>
        </w:rPr>
      </w:pPr>
      <w:r w:rsidRPr="00FD620F">
        <w:rPr>
          <w:bCs/>
          <w:noProof/>
        </w:rPr>
        <w:t xml:space="preserve">When </w:t>
      </w:r>
      <w:r w:rsidR="00826ED3" w:rsidRPr="00FD620F">
        <w:rPr>
          <w:bCs/>
          <w:noProof/>
        </w:rPr>
        <w:t>updating</w:t>
      </w:r>
      <w:r w:rsidR="00FE1AD7" w:rsidRPr="00FD620F">
        <w:rPr>
          <w:bCs/>
          <w:noProof/>
        </w:rPr>
        <w:t xml:space="preserve"> </w:t>
      </w:r>
      <w:r w:rsidR="00F90D93">
        <w:rPr>
          <w:bCs/>
          <w:noProof/>
        </w:rPr>
        <w:t>the</w:t>
      </w:r>
      <w:r w:rsidR="00FE1AD7" w:rsidRPr="00FD620F">
        <w:rPr>
          <w:bCs/>
          <w:noProof/>
        </w:rPr>
        <w:t xml:space="preserve"> </w:t>
      </w:r>
      <w:r w:rsidRPr="00FD620F">
        <w:rPr>
          <w:bCs/>
          <w:noProof/>
        </w:rPr>
        <w:t xml:space="preserve">watch list, the Commission shall remove any </w:t>
      </w:r>
      <w:r w:rsidR="006734A3" w:rsidRPr="00FD620F">
        <w:rPr>
          <w:bCs/>
          <w:noProof/>
        </w:rPr>
        <w:t>substance</w:t>
      </w:r>
      <w:r w:rsidR="00D56CF9" w:rsidRPr="00FD620F">
        <w:rPr>
          <w:bCs/>
          <w:noProof/>
        </w:rPr>
        <w:t xml:space="preserve"> or group of </w:t>
      </w:r>
      <w:r w:rsidR="006734A3" w:rsidRPr="00FD620F">
        <w:rPr>
          <w:bCs/>
          <w:noProof/>
        </w:rPr>
        <w:t>substances</w:t>
      </w:r>
      <w:r w:rsidRPr="00FD620F">
        <w:rPr>
          <w:bCs/>
          <w:noProof/>
        </w:rPr>
        <w:t xml:space="preserve"> </w:t>
      </w:r>
      <w:r w:rsidR="008A0887" w:rsidRPr="00FD620F">
        <w:rPr>
          <w:bCs/>
          <w:noProof/>
        </w:rPr>
        <w:t>from the existing watch list, for which it considers</w:t>
      </w:r>
      <w:r w:rsidR="001E36E5" w:rsidRPr="00FD620F">
        <w:rPr>
          <w:bCs/>
          <w:noProof/>
        </w:rPr>
        <w:t xml:space="preserve"> it</w:t>
      </w:r>
      <w:r w:rsidR="008A0887" w:rsidRPr="00FD620F">
        <w:rPr>
          <w:bCs/>
          <w:noProof/>
        </w:rPr>
        <w:t xml:space="preserve"> possible to assess its risk for the aquatic environment</w:t>
      </w:r>
      <w:r w:rsidRPr="00FD620F">
        <w:rPr>
          <w:bCs/>
          <w:noProof/>
        </w:rPr>
        <w:t xml:space="preserve"> without additional monitoring data. </w:t>
      </w:r>
      <w:r w:rsidR="00D06D85" w:rsidRPr="00FD620F">
        <w:rPr>
          <w:bCs/>
          <w:noProof/>
        </w:rPr>
        <w:t>When the watch list is updated, a</w:t>
      </w:r>
      <w:r w:rsidR="00A13F87" w:rsidRPr="00FD620F">
        <w:rPr>
          <w:bCs/>
          <w:noProof/>
        </w:rPr>
        <w:t>n</w:t>
      </w:r>
      <w:r w:rsidRPr="00FD620F">
        <w:rPr>
          <w:bCs/>
          <w:noProof/>
        </w:rPr>
        <w:t xml:space="preserve"> individual </w:t>
      </w:r>
      <w:r w:rsidR="006734A3" w:rsidRPr="00FD620F">
        <w:rPr>
          <w:bCs/>
          <w:noProof/>
        </w:rPr>
        <w:t xml:space="preserve">substance </w:t>
      </w:r>
      <w:r w:rsidR="00D56CF9" w:rsidRPr="00FD620F">
        <w:rPr>
          <w:bCs/>
          <w:noProof/>
        </w:rPr>
        <w:t xml:space="preserve">or group of </w:t>
      </w:r>
      <w:r w:rsidR="006734A3" w:rsidRPr="00FD620F">
        <w:rPr>
          <w:bCs/>
          <w:noProof/>
        </w:rPr>
        <w:t>substances</w:t>
      </w:r>
      <w:r w:rsidR="00D56CF9" w:rsidRPr="00FD620F">
        <w:rPr>
          <w:bCs/>
          <w:noProof/>
        </w:rPr>
        <w:t xml:space="preserve"> </w:t>
      </w:r>
      <w:r w:rsidR="00A13F87" w:rsidRPr="00FD620F">
        <w:rPr>
          <w:bCs/>
          <w:noProof/>
        </w:rPr>
        <w:t xml:space="preserve">may be </w:t>
      </w:r>
      <w:r w:rsidR="00D06D85" w:rsidRPr="00FD620F">
        <w:rPr>
          <w:bCs/>
          <w:noProof/>
        </w:rPr>
        <w:t>kept on the watch list for another period of three years</w:t>
      </w:r>
      <w:r w:rsidR="008A0887" w:rsidRPr="00FD620F">
        <w:rPr>
          <w:bCs/>
          <w:noProof/>
        </w:rPr>
        <w:t xml:space="preserve"> where additional monitoring data are needed to assess the risk</w:t>
      </w:r>
      <w:r w:rsidR="001E36E5" w:rsidRPr="00FD620F">
        <w:rPr>
          <w:bCs/>
          <w:noProof/>
        </w:rPr>
        <w:t xml:space="preserve"> to the aquatic environment</w:t>
      </w:r>
      <w:r w:rsidR="00D06D85" w:rsidRPr="00FD620F">
        <w:rPr>
          <w:bCs/>
          <w:noProof/>
        </w:rPr>
        <w:t xml:space="preserve">. </w:t>
      </w:r>
      <w:r w:rsidR="00990F44" w:rsidRPr="00FD620F">
        <w:rPr>
          <w:bCs/>
          <w:noProof/>
        </w:rPr>
        <w:t xml:space="preserve">The </w:t>
      </w:r>
      <w:r w:rsidR="00826ED3" w:rsidRPr="00FD620F">
        <w:rPr>
          <w:bCs/>
          <w:noProof/>
        </w:rPr>
        <w:t xml:space="preserve"> updated watch list shall also include </w:t>
      </w:r>
      <w:r w:rsidR="00990F44" w:rsidRPr="00FD620F">
        <w:rPr>
          <w:bCs/>
          <w:noProof/>
        </w:rPr>
        <w:t>o</w:t>
      </w:r>
      <w:r w:rsidR="00416A23" w:rsidRPr="00FD620F">
        <w:rPr>
          <w:bCs/>
          <w:noProof/>
        </w:rPr>
        <w:t>n</w:t>
      </w:r>
      <w:r w:rsidR="00990F44" w:rsidRPr="00FD620F">
        <w:rPr>
          <w:bCs/>
          <w:noProof/>
        </w:rPr>
        <w:t xml:space="preserve">e or more </w:t>
      </w:r>
      <w:r w:rsidR="001159B2" w:rsidRPr="00FD620F">
        <w:rPr>
          <w:bCs/>
          <w:noProof/>
        </w:rPr>
        <w:t>additional</w:t>
      </w:r>
      <w:r w:rsidR="00826ED3" w:rsidRPr="00FD620F">
        <w:rPr>
          <w:bCs/>
          <w:noProof/>
        </w:rPr>
        <w:t xml:space="preserve"> substances for which the Commission considers, </w:t>
      </w:r>
      <w:r w:rsidR="001159B2" w:rsidRPr="00FD620F">
        <w:rPr>
          <w:bCs/>
          <w:noProof/>
        </w:rPr>
        <w:t xml:space="preserve">having regard to </w:t>
      </w:r>
      <w:r w:rsidR="00826ED3" w:rsidRPr="00FD620F">
        <w:rPr>
          <w:bCs/>
          <w:noProof/>
        </w:rPr>
        <w:t xml:space="preserve">the scientific reports of ECHA, that there </w:t>
      </w:r>
      <w:r w:rsidR="001159B2" w:rsidRPr="00FD620F">
        <w:rPr>
          <w:bCs/>
          <w:noProof/>
        </w:rPr>
        <w:t>could be</w:t>
      </w:r>
      <w:r w:rsidR="00826ED3" w:rsidRPr="00FD620F">
        <w:rPr>
          <w:bCs/>
          <w:noProof/>
        </w:rPr>
        <w:t xml:space="preserve"> a risk </w:t>
      </w:r>
      <w:r w:rsidR="00416A23" w:rsidRPr="00FD620F">
        <w:rPr>
          <w:bCs/>
          <w:noProof/>
        </w:rPr>
        <w:t>t</w:t>
      </w:r>
      <w:r w:rsidR="00826ED3" w:rsidRPr="00FD620F">
        <w:rPr>
          <w:bCs/>
          <w:noProof/>
        </w:rPr>
        <w:t>o the aquatic environment.</w:t>
      </w:r>
    </w:p>
    <w:p w14:paraId="5106494F" w14:textId="77777777" w:rsidR="001E36E5" w:rsidRPr="00FD620F" w:rsidRDefault="008A0887" w:rsidP="00BD6E00">
      <w:pPr>
        <w:pStyle w:val="Text1"/>
        <w:rPr>
          <w:bCs/>
          <w:noProof/>
        </w:rPr>
      </w:pPr>
      <w:r w:rsidRPr="00FD620F">
        <w:rPr>
          <w:bCs/>
          <w:noProof/>
        </w:rPr>
        <w:t>3.</w:t>
      </w:r>
      <w:r w:rsidR="00BD6E00" w:rsidRPr="00FD620F">
        <w:rPr>
          <w:bCs/>
          <w:noProof/>
        </w:rPr>
        <w:t xml:space="preserve"> M</w:t>
      </w:r>
      <w:r w:rsidR="000A2A0D" w:rsidRPr="00FD620F">
        <w:rPr>
          <w:bCs/>
          <w:noProof/>
        </w:rPr>
        <w:t xml:space="preserve">ember States shall monitor each </w:t>
      </w:r>
      <w:r w:rsidR="00684FF3" w:rsidRPr="00FD620F">
        <w:rPr>
          <w:bCs/>
          <w:noProof/>
        </w:rPr>
        <w:t xml:space="preserve">substance or group of substances </w:t>
      </w:r>
      <w:r w:rsidR="000A2A0D" w:rsidRPr="00FD620F">
        <w:rPr>
          <w:bCs/>
          <w:noProof/>
        </w:rPr>
        <w:t xml:space="preserve">in the watch list at selected representative monitoring stations over a 24-month period. The monitoring period shall commence within six months of the establishment of the watch list. </w:t>
      </w:r>
    </w:p>
    <w:p w14:paraId="793744BF" w14:textId="77777777" w:rsidR="000A2A0D" w:rsidRPr="00FD620F" w:rsidRDefault="000A2A0D" w:rsidP="00BD6E00">
      <w:pPr>
        <w:pStyle w:val="Text1"/>
        <w:rPr>
          <w:bCs/>
          <w:noProof/>
        </w:rPr>
      </w:pPr>
      <w:r w:rsidRPr="00FD620F">
        <w:rPr>
          <w:bCs/>
          <w:noProof/>
        </w:rPr>
        <w:t xml:space="preserve">Each Member State shall select at least one monitoring station, plus the number of stations equal to its </w:t>
      </w:r>
      <w:r w:rsidR="00C922F3" w:rsidRPr="00FD620F">
        <w:rPr>
          <w:bCs/>
          <w:noProof/>
        </w:rPr>
        <w:t>total</w:t>
      </w:r>
      <w:r w:rsidRPr="00FD620F">
        <w:rPr>
          <w:bCs/>
          <w:noProof/>
        </w:rPr>
        <w:t xml:space="preserve"> area in km2 </w:t>
      </w:r>
      <w:r w:rsidR="00C922F3" w:rsidRPr="00FD620F">
        <w:rPr>
          <w:bCs/>
          <w:noProof/>
        </w:rPr>
        <w:t xml:space="preserve">of groundwater bodies </w:t>
      </w:r>
      <w:r w:rsidRPr="00FD620F">
        <w:rPr>
          <w:bCs/>
          <w:noProof/>
        </w:rPr>
        <w:t xml:space="preserve">divided by 60 000 (rounded to the nearest integer). </w:t>
      </w:r>
    </w:p>
    <w:p w14:paraId="5855468D" w14:textId="77777777" w:rsidR="000A2A0D" w:rsidRPr="00FD620F" w:rsidRDefault="000A2A0D" w:rsidP="00BD6E00">
      <w:pPr>
        <w:pStyle w:val="Text1"/>
        <w:rPr>
          <w:bCs/>
          <w:noProof/>
        </w:rPr>
      </w:pPr>
      <w:r w:rsidRPr="00FD620F">
        <w:rPr>
          <w:bCs/>
          <w:noProof/>
        </w:rPr>
        <w:t xml:space="preserve">In selecting the representative monitoring stations, the monitoring frequency and </w:t>
      </w:r>
      <w:r w:rsidR="005D6B17" w:rsidRPr="00FD620F">
        <w:rPr>
          <w:bCs/>
          <w:noProof/>
        </w:rPr>
        <w:t xml:space="preserve">the </w:t>
      </w:r>
      <w:r w:rsidR="00C666EB" w:rsidRPr="00FD620F">
        <w:rPr>
          <w:bCs/>
          <w:noProof/>
        </w:rPr>
        <w:t xml:space="preserve">seasonal </w:t>
      </w:r>
      <w:r w:rsidRPr="00FD620F">
        <w:rPr>
          <w:bCs/>
          <w:noProof/>
        </w:rPr>
        <w:t xml:space="preserve">timing for each </w:t>
      </w:r>
      <w:r w:rsidR="003F487C" w:rsidRPr="00FD620F">
        <w:rPr>
          <w:bCs/>
          <w:noProof/>
        </w:rPr>
        <w:t>substance</w:t>
      </w:r>
      <w:r w:rsidR="00FF1162" w:rsidRPr="00FD620F">
        <w:rPr>
          <w:bCs/>
          <w:noProof/>
        </w:rPr>
        <w:t xml:space="preserve"> or group of </w:t>
      </w:r>
      <w:r w:rsidR="003F487C" w:rsidRPr="00FD620F">
        <w:rPr>
          <w:bCs/>
          <w:noProof/>
        </w:rPr>
        <w:t>substances</w:t>
      </w:r>
      <w:r w:rsidRPr="00FD620F">
        <w:rPr>
          <w:bCs/>
          <w:noProof/>
        </w:rPr>
        <w:t xml:space="preserve">, Member States shall take into account the use patterns and possible occurrence of the </w:t>
      </w:r>
      <w:r w:rsidR="007510FB" w:rsidRPr="00FD620F">
        <w:rPr>
          <w:bCs/>
          <w:noProof/>
        </w:rPr>
        <w:t>substance</w:t>
      </w:r>
      <w:r w:rsidRPr="00FD620F">
        <w:rPr>
          <w:bCs/>
          <w:noProof/>
        </w:rPr>
        <w:t xml:space="preserve"> </w:t>
      </w:r>
      <w:r w:rsidR="00FF1162" w:rsidRPr="00FD620F">
        <w:rPr>
          <w:bCs/>
          <w:noProof/>
        </w:rPr>
        <w:t xml:space="preserve">or group of </w:t>
      </w:r>
      <w:r w:rsidR="007510FB" w:rsidRPr="00FD620F">
        <w:rPr>
          <w:bCs/>
          <w:noProof/>
        </w:rPr>
        <w:t>substances</w:t>
      </w:r>
      <w:r w:rsidRPr="00FD620F">
        <w:rPr>
          <w:bCs/>
          <w:noProof/>
        </w:rPr>
        <w:t xml:space="preserve">. </w:t>
      </w:r>
      <w:r w:rsidR="00C0493E" w:rsidRPr="00FD620F">
        <w:rPr>
          <w:bCs/>
          <w:noProof/>
        </w:rPr>
        <w:t>The frequency of monitoring shall be no less than once per year.</w:t>
      </w:r>
      <w:r w:rsidRPr="00FD620F">
        <w:rPr>
          <w:bCs/>
          <w:noProof/>
        </w:rPr>
        <w:t xml:space="preserve"> </w:t>
      </w:r>
    </w:p>
    <w:p w14:paraId="5A80701B" w14:textId="77777777" w:rsidR="000A2A0D" w:rsidRPr="00FD620F" w:rsidRDefault="000A2A0D" w:rsidP="00BD6E00">
      <w:pPr>
        <w:pStyle w:val="Text1"/>
        <w:rPr>
          <w:bCs/>
          <w:noProof/>
        </w:rPr>
      </w:pPr>
      <w:r w:rsidRPr="00FD620F">
        <w:rPr>
          <w:bCs/>
          <w:noProof/>
        </w:rPr>
        <w:t xml:space="preserve">Where a Member State </w:t>
      </w:r>
      <w:r w:rsidR="00FE1AD7" w:rsidRPr="00FD620F">
        <w:rPr>
          <w:bCs/>
          <w:noProof/>
        </w:rPr>
        <w:t>is in a position to generate</w:t>
      </w:r>
      <w:r w:rsidRPr="00FD620F">
        <w:rPr>
          <w:bCs/>
          <w:noProof/>
        </w:rPr>
        <w:t xml:space="preserve"> sufficient, comparable, representative and recent monitoring data for a particular </w:t>
      </w:r>
      <w:r w:rsidR="007510FB" w:rsidRPr="00FD620F">
        <w:rPr>
          <w:bCs/>
          <w:noProof/>
        </w:rPr>
        <w:t>substance</w:t>
      </w:r>
      <w:r w:rsidRPr="00FD620F">
        <w:rPr>
          <w:bCs/>
          <w:noProof/>
        </w:rPr>
        <w:t xml:space="preserve"> </w:t>
      </w:r>
      <w:r w:rsidR="00AD7460" w:rsidRPr="00FD620F">
        <w:rPr>
          <w:bCs/>
          <w:noProof/>
        </w:rPr>
        <w:t xml:space="preserve">or group of </w:t>
      </w:r>
      <w:r w:rsidR="007510FB" w:rsidRPr="00FD620F">
        <w:rPr>
          <w:bCs/>
          <w:noProof/>
        </w:rPr>
        <w:t>substances</w:t>
      </w:r>
      <w:r w:rsidRPr="00FD620F">
        <w:rPr>
          <w:bCs/>
          <w:noProof/>
        </w:rPr>
        <w:t xml:space="preserve"> from existing monitoring programmes or studies, it may decide not to undertake additional monitoring under the watch list mechanism for that </w:t>
      </w:r>
      <w:r w:rsidR="007510FB" w:rsidRPr="00FD620F">
        <w:rPr>
          <w:bCs/>
          <w:noProof/>
        </w:rPr>
        <w:t>substance</w:t>
      </w:r>
      <w:r w:rsidRPr="00FD620F">
        <w:rPr>
          <w:bCs/>
          <w:noProof/>
        </w:rPr>
        <w:t xml:space="preserve"> </w:t>
      </w:r>
      <w:r w:rsidR="00AD7460" w:rsidRPr="00FD620F">
        <w:rPr>
          <w:bCs/>
          <w:noProof/>
        </w:rPr>
        <w:t xml:space="preserve">or group of </w:t>
      </w:r>
      <w:r w:rsidR="007510FB" w:rsidRPr="00FD620F">
        <w:rPr>
          <w:bCs/>
          <w:noProof/>
        </w:rPr>
        <w:t>substances</w:t>
      </w:r>
      <w:r w:rsidRPr="00FD620F">
        <w:rPr>
          <w:bCs/>
          <w:noProof/>
        </w:rPr>
        <w:t xml:space="preserve">, provided that </w:t>
      </w:r>
      <w:r w:rsidR="00F12EC6" w:rsidRPr="00FD620F">
        <w:rPr>
          <w:bCs/>
          <w:noProof/>
        </w:rPr>
        <w:t>the substance or group of substances was monitored using a methodology that is compliant with the monitoring matrices and the methods of analysis referred to in the implementing act establishing the watch list</w:t>
      </w:r>
      <w:r w:rsidR="00640492" w:rsidRPr="00FD620F">
        <w:rPr>
          <w:bCs/>
          <w:noProof/>
        </w:rPr>
        <w:t xml:space="preserve">. </w:t>
      </w:r>
      <w:r w:rsidR="007703AC" w:rsidRPr="00FD620F">
        <w:rPr>
          <w:bCs/>
          <w:noProof/>
        </w:rPr>
        <w:t xml:space="preserve"> </w:t>
      </w:r>
      <w:r w:rsidRPr="00FD620F">
        <w:rPr>
          <w:bCs/>
          <w:noProof/>
        </w:rPr>
        <w:t xml:space="preserve"> </w:t>
      </w:r>
    </w:p>
    <w:p w14:paraId="0C599055" w14:textId="77777777" w:rsidR="000A2A0D" w:rsidRPr="00FD620F" w:rsidRDefault="000E39F2" w:rsidP="00BD6E00">
      <w:pPr>
        <w:pStyle w:val="Text1"/>
        <w:rPr>
          <w:noProof/>
        </w:rPr>
      </w:pPr>
      <w:r w:rsidRPr="00FD620F">
        <w:rPr>
          <w:noProof/>
        </w:rPr>
        <w:t>4</w:t>
      </w:r>
      <w:r w:rsidR="00BD6E00" w:rsidRPr="00FD620F">
        <w:rPr>
          <w:noProof/>
        </w:rPr>
        <w:t>. M</w:t>
      </w:r>
      <w:r w:rsidR="000A2A0D" w:rsidRPr="00FD620F">
        <w:rPr>
          <w:noProof/>
        </w:rPr>
        <w:t xml:space="preserve">ember States shall make available </w:t>
      </w:r>
      <w:r w:rsidR="001C2405" w:rsidRPr="00FD620F">
        <w:rPr>
          <w:noProof/>
        </w:rPr>
        <w:t xml:space="preserve">the results of the </w:t>
      </w:r>
      <w:r w:rsidR="000A2A0D" w:rsidRPr="00FD620F">
        <w:rPr>
          <w:noProof/>
        </w:rPr>
        <w:t xml:space="preserve">monitoring </w:t>
      </w:r>
      <w:r w:rsidR="001C2405" w:rsidRPr="00FD620F">
        <w:rPr>
          <w:noProof/>
        </w:rPr>
        <w:t xml:space="preserve">referred to in paragraph </w:t>
      </w:r>
      <w:r w:rsidRPr="00FD620F">
        <w:rPr>
          <w:noProof/>
        </w:rPr>
        <w:t>3</w:t>
      </w:r>
      <w:r w:rsidR="001C2405" w:rsidRPr="00FD620F">
        <w:rPr>
          <w:bCs/>
          <w:noProof/>
        </w:rPr>
        <w:t xml:space="preserve"> of this Article </w:t>
      </w:r>
      <w:r w:rsidR="000A2A0D" w:rsidRPr="00FD620F">
        <w:rPr>
          <w:bCs/>
          <w:noProof/>
        </w:rPr>
        <w:t xml:space="preserve">in accordance with </w:t>
      </w:r>
      <w:r w:rsidR="00AD7460" w:rsidRPr="00FD620F">
        <w:rPr>
          <w:bCs/>
          <w:noProof/>
        </w:rPr>
        <w:t>Article 8(</w:t>
      </w:r>
      <w:r w:rsidR="0077192E" w:rsidRPr="00FD620F">
        <w:rPr>
          <w:bCs/>
          <w:noProof/>
        </w:rPr>
        <w:t>4</w:t>
      </w:r>
      <w:r w:rsidR="00AD7460" w:rsidRPr="00FD620F">
        <w:rPr>
          <w:bCs/>
          <w:noProof/>
        </w:rPr>
        <w:t>)</w:t>
      </w:r>
      <w:r w:rsidR="000A2A0D" w:rsidRPr="00FD620F">
        <w:rPr>
          <w:bCs/>
          <w:noProof/>
        </w:rPr>
        <w:t xml:space="preserve"> of Directive 2000/60/EC</w:t>
      </w:r>
      <w:r w:rsidR="00C23F99" w:rsidRPr="00FD620F">
        <w:rPr>
          <w:bCs/>
          <w:noProof/>
        </w:rPr>
        <w:t xml:space="preserve"> and with the implementing act establishing the watch list as adopted pursuant to paragraph 1. They shall also make available </w:t>
      </w:r>
      <w:r w:rsidR="00C23F99" w:rsidRPr="00FD620F">
        <w:rPr>
          <w:noProof/>
        </w:rPr>
        <w:t>information on the representativeness of the monitoring stations and on the monitoring strategy</w:t>
      </w:r>
      <w:r w:rsidR="000A2A0D" w:rsidRPr="00FD620F">
        <w:rPr>
          <w:noProof/>
        </w:rPr>
        <w:t xml:space="preserve">. </w:t>
      </w:r>
    </w:p>
    <w:p w14:paraId="6302BC28" w14:textId="77777777" w:rsidR="00F12EC6" w:rsidRPr="00FD620F" w:rsidRDefault="000E39F2" w:rsidP="00BD6E00">
      <w:pPr>
        <w:pStyle w:val="Text1"/>
        <w:rPr>
          <w:bCs/>
          <w:noProof/>
        </w:rPr>
      </w:pPr>
      <w:r w:rsidRPr="00FD620F">
        <w:rPr>
          <w:noProof/>
        </w:rPr>
        <w:t>5</w:t>
      </w:r>
      <w:r w:rsidR="00BD6E00" w:rsidRPr="00FD620F">
        <w:rPr>
          <w:noProof/>
        </w:rPr>
        <w:t xml:space="preserve">. </w:t>
      </w:r>
      <w:r w:rsidR="000A2A0D" w:rsidRPr="00FD620F">
        <w:rPr>
          <w:noProof/>
        </w:rPr>
        <w:t>ECHA</w:t>
      </w:r>
      <w:r w:rsidR="0090742E" w:rsidRPr="00FD620F">
        <w:rPr>
          <w:noProof/>
        </w:rPr>
        <w:t xml:space="preserve"> shall </w:t>
      </w:r>
      <w:r w:rsidR="000A2A0D" w:rsidRPr="00FD620F">
        <w:rPr>
          <w:noProof/>
        </w:rPr>
        <w:t xml:space="preserve">review the monitoring results at the end of the 24-month period </w:t>
      </w:r>
      <w:r w:rsidR="001C2405" w:rsidRPr="00FD620F">
        <w:rPr>
          <w:noProof/>
        </w:rPr>
        <w:t xml:space="preserve">referred to in paragraph </w:t>
      </w:r>
      <w:r w:rsidRPr="00FD620F">
        <w:rPr>
          <w:noProof/>
        </w:rPr>
        <w:t>3</w:t>
      </w:r>
      <w:r w:rsidR="001C2405" w:rsidRPr="00FD620F">
        <w:rPr>
          <w:bCs/>
          <w:noProof/>
        </w:rPr>
        <w:t xml:space="preserve"> </w:t>
      </w:r>
      <w:r w:rsidR="000A2A0D" w:rsidRPr="00FD620F">
        <w:rPr>
          <w:bCs/>
          <w:noProof/>
        </w:rPr>
        <w:t>and asses</w:t>
      </w:r>
      <w:r w:rsidR="00516D15" w:rsidRPr="00FD620F">
        <w:rPr>
          <w:bCs/>
          <w:noProof/>
        </w:rPr>
        <w:t>s</w:t>
      </w:r>
      <w:r w:rsidR="000A2A0D" w:rsidRPr="00FD620F">
        <w:rPr>
          <w:bCs/>
          <w:noProof/>
        </w:rPr>
        <w:t xml:space="preserve"> </w:t>
      </w:r>
      <w:r w:rsidR="00516D15" w:rsidRPr="00FD620F">
        <w:rPr>
          <w:bCs/>
          <w:noProof/>
        </w:rPr>
        <w:t xml:space="preserve">which </w:t>
      </w:r>
      <w:r w:rsidR="00061B4B" w:rsidRPr="00FD620F">
        <w:rPr>
          <w:bCs/>
          <w:noProof/>
        </w:rPr>
        <w:t>substances</w:t>
      </w:r>
      <w:r w:rsidR="00516D15" w:rsidRPr="00FD620F">
        <w:rPr>
          <w:bCs/>
          <w:noProof/>
        </w:rPr>
        <w:t xml:space="preserve"> or groups of </w:t>
      </w:r>
      <w:r w:rsidR="00061B4B" w:rsidRPr="00FD620F">
        <w:rPr>
          <w:bCs/>
          <w:noProof/>
        </w:rPr>
        <w:t>substances</w:t>
      </w:r>
      <w:r w:rsidR="00516D15" w:rsidRPr="00FD620F">
        <w:rPr>
          <w:bCs/>
          <w:noProof/>
        </w:rPr>
        <w:t xml:space="preserve"> </w:t>
      </w:r>
      <w:r w:rsidR="00F12EC6" w:rsidRPr="00FD620F">
        <w:rPr>
          <w:bCs/>
          <w:noProof/>
        </w:rPr>
        <w:t xml:space="preserve">need to </w:t>
      </w:r>
      <w:r w:rsidR="00516D15" w:rsidRPr="00FD620F">
        <w:rPr>
          <w:bCs/>
          <w:noProof/>
        </w:rPr>
        <w:t xml:space="preserve">be monitored for another 24-month period and therefore </w:t>
      </w:r>
      <w:r w:rsidR="00F12EC6" w:rsidRPr="00FD620F">
        <w:rPr>
          <w:bCs/>
          <w:noProof/>
        </w:rPr>
        <w:t xml:space="preserve">are to </w:t>
      </w:r>
      <w:r w:rsidR="00516D15" w:rsidRPr="00FD620F">
        <w:rPr>
          <w:bCs/>
          <w:noProof/>
        </w:rPr>
        <w:t xml:space="preserve">be </w:t>
      </w:r>
      <w:r w:rsidR="001C2405" w:rsidRPr="00FD620F">
        <w:rPr>
          <w:bCs/>
          <w:noProof/>
        </w:rPr>
        <w:t xml:space="preserve">kept </w:t>
      </w:r>
      <w:r w:rsidR="00F12EC6" w:rsidRPr="00FD620F">
        <w:rPr>
          <w:bCs/>
          <w:noProof/>
        </w:rPr>
        <w:t>i</w:t>
      </w:r>
      <w:r w:rsidR="00516D15" w:rsidRPr="00FD620F">
        <w:rPr>
          <w:bCs/>
          <w:noProof/>
        </w:rPr>
        <w:t xml:space="preserve">n the </w:t>
      </w:r>
      <w:r w:rsidR="00DE3874" w:rsidRPr="00FD620F">
        <w:rPr>
          <w:bCs/>
          <w:noProof/>
        </w:rPr>
        <w:t>w</w:t>
      </w:r>
      <w:r w:rsidR="00516D15" w:rsidRPr="00FD620F">
        <w:rPr>
          <w:bCs/>
          <w:noProof/>
        </w:rPr>
        <w:t xml:space="preserve">atch </w:t>
      </w:r>
      <w:r w:rsidR="00DE3874" w:rsidRPr="00FD620F">
        <w:rPr>
          <w:bCs/>
          <w:noProof/>
        </w:rPr>
        <w:t>l</w:t>
      </w:r>
      <w:r w:rsidR="00516D15" w:rsidRPr="00FD620F">
        <w:rPr>
          <w:bCs/>
          <w:noProof/>
        </w:rPr>
        <w:t>ist</w:t>
      </w:r>
      <w:r w:rsidR="00F12EC6" w:rsidRPr="00FD620F">
        <w:rPr>
          <w:bCs/>
          <w:noProof/>
        </w:rPr>
        <w:t xml:space="preserve"> and which substances or groups of substances can be removed from the watch list</w:t>
      </w:r>
      <w:r w:rsidR="00AD7460" w:rsidRPr="00FD620F">
        <w:rPr>
          <w:bCs/>
          <w:noProof/>
        </w:rPr>
        <w:t xml:space="preserve">. </w:t>
      </w:r>
    </w:p>
    <w:p w14:paraId="7AF93BF8" w14:textId="77777777" w:rsidR="000E39F2" w:rsidRPr="00FD620F" w:rsidRDefault="00516D15" w:rsidP="00BD6E00">
      <w:pPr>
        <w:pStyle w:val="Text1"/>
        <w:rPr>
          <w:bCs/>
          <w:noProof/>
        </w:rPr>
      </w:pPr>
      <w:r w:rsidRPr="00FD620F">
        <w:rPr>
          <w:bCs/>
          <w:noProof/>
        </w:rPr>
        <w:t xml:space="preserve">Where </w:t>
      </w:r>
      <w:r w:rsidR="001C2405" w:rsidRPr="00FD620F">
        <w:rPr>
          <w:bCs/>
          <w:noProof/>
        </w:rPr>
        <w:t>the Commission</w:t>
      </w:r>
      <w:r w:rsidR="0090742E" w:rsidRPr="00FD620F">
        <w:rPr>
          <w:bCs/>
          <w:noProof/>
        </w:rPr>
        <w:t xml:space="preserve">, </w:t>
      </w:r>
      <w:r w:rsidR="00F03AA9" w:rsidRPr="00FD620F">
        <w:rPr>
          <w:bCs/>
          <w:noProof/>
        </w:rPr>
        <w:t xml:space="preserve">having regard to the assessment by </w:t>
      </w:r>
      <w:r w:rsidR="0090742E" w:rsidRPr="00FD620F">
        <w:rPr>
          <w:bCs/>
          <w:noProof/>
        </w:rPr>
        <w:t>ECHA</w:t>
      </w:r>
      <w:r w:rsidR="00F12EC6" w:rsidRPr="00FD620F">
        <w:rPr>
          <w:bCs/>
          <w:noProof/>
        </w:rPr>
        <w:t xml:space="preserve"> referred to in the first subparagraph</w:t>
      </w:r>
      <w:r w:rsidR="0090742E" w:rsidRPr="00FD620F">
        <w:rPr>
          <w:bCs/>
          <w:noProof/>
        </w:rPr>
        <w:t>,</w:t>
      </w:r>
      <w:r w:rsidR="001C2405" w:rsidRPr="00FD620F">
        <w:rPr>
          <w:bCs/>
          <w:noProof/>
        </w:rPr>
        <w:t xml:space="preserve"> </w:t>
      </w:r>
      <w:r w:rsidR="00F03AA9" w:rsidRPr="00FD620F">
        <w:rPr>
          <w:bCs/>
          <w:noProof/>
        </w:rPr>
        <w:t xml:space="preserve">concludes </w:t>
      </w:r>
      <w:r w:rsidRPr="00FD620F">
        <w:rPr>
          <w:bCs/>
          <w:noProof/>
        </w:rPr>
        <w:t>that no further monitoring is required</w:t>
      </w:r>
      <w:r w:rsidR="00DE3874" w:rsidRPr="00FD620F">
        <w:rPr>
          <w:bCs/>
          <w:noProof/>
        </w:rPr>
        <w:t xml:space="preserve"> to </w:t>
      </w:r>
      <w:r w:rsidR="00017B15" w:rsidRPr="00FD620F">
        <w:rPr>
          <w:bCs/>
          <w:noProof/>
        </w:rPr>
        <w:t>further assess the risk to the aquatic environment</w:t>
      </w:r>
      <w:r w:rsidR="00DE3874" w:rsidRPr="00FD620F">
        <w:rPr>
          <w:bCs/>
          <w:noProof/>
        </w:rPr>
        <w:t xml:space="preserve">, </w:t>
      </w:r>
      <w:r w:rsidR="00F12EC6" w:rsidRPr="00FD620F">
        <w:rPr>
          <w:bCs/>
          <w:noProof/>
        </w:rPr>
        <w:t>th</w:t>
      </w:r>
      <w:r w:rsidR="009A200E" w:rsidRPr="00FD620F">
        <w:rPr>
          <w:bCs/>
          <w:noProof/>
        </w:rPr>
        <w:t>at</w:t>
      </w:r>
      <w:r w:rsidR="00F03AA9" w:rsidRPr="00FD620F">
        <w:rPr>
          <w:bCs/>
          <w:noProof/>
        </w:rPr>
        <w:t xml:space="preserve"> </w:t>
      </w:r>
      <w:r w:rsidR="00DE3874" w:rsidRPr="00FD620F">
        <w:rPr>
          <w:bCs/>
          <w:noProof/>
        </w:rPr>
        <w:t xml:space="preserve">assessment </w:t>
      </w:r>
      <w:r w:rsidR="009A200E" w:rsidRPr="00FD620F">
        <w:rPr>
          <w:bCs/>
          <w:noProof/>
        </w:rPr>
        <w:t>shall</w:t>
      </w:r>
      <w:r w:rsidR="00AD7460" w:rsidRPr="00FD620F">
        <w:rPr>
          <w:bCs/>
          <w:noProof/>
        </w:rPr>
        <w:t xml:space="preserve"> be taken into account </w:t>
      </w:r>
      <w:r w:rsidR="001C2405" w:rsidRPr="00FD620F">
        <w:rPr>
          <w:bCs/>
          <w:noProof/>
        </w:rPr>
        <w:t xml:space="preserve">in the review </w:t>
      </w:r>
      <w:r w:rsidR="000A2A0D" w:rsidRPr="00FD620F">
        <w:rPr>
          <w:bCs/>
          <w:noProof/>
        </w:rPr>
        <w:t xml:space="preserve">of Annex I or II </w:t>
      </w:r>
      <w:r w:rsidR="001C2405" w:rsidRPr="00FD620F">
        <w:rPr>
          <w:bCs/>
          <w:noProof/>
        </w:rPr>
        <w:t xml:space="preserve">referred to </w:t>
      </w:r>
      <w:r w:rsidR="000A2A0D" w:rsidRPr="00FD620F">
        <w:rPr>
          <w:bCs/>
          <w:noProof/>
        </w:rPr>
        <w:t>in Article 8.</w:t>
      </w:r>
    </w:p>
    <w:p w14:paraId="467E9972" w14:textId="77777777" w:rsidR="000E39F2" w:rsidRPr="00FD620F" w:rsidRDefault="000E39F2" w:rsidP="000E39F2">
      <w:pPr>
        <w:pStyle w:val="Text2"/>
        <w:rPr>
          <w:noProof/>
          <w:u w:val="single"/>
        </w:rPr>
      </w:pPr>
      <w:r w:rsidRPr="00FD620F">
        <w:rPr>
          <w:noProof/>
        </w:rPr>
        <w:tab/>
      </w:r>
      <w:r w:rsidRPr="00FD620F">
        <w:rPr>
          <w:noProof/>
          <w:u w:val="single"/>
        </w:rPr>
        <w:tab/>
      </w:r>
      <w:r w:rsidRPr="00FD620F">
        <w:rPr>
          <w:noProof/>
          <w:u w:val="single"/>
        </w:rPr>
        <w:tab/>
      </w:r>
      <w:r w:rsidRPr="00FD620F">
        <w:rPr>
          <w:noProof/>
          <w:u w:val="single"/>
        </w:rPr>
        <w:tab/>
      </w:r>
      <w:r w:rsidRPr="00FD620F">
        <w:rPr>
          <w:noProof/>
          <w:u w:val="single"/>
        </w:rPr>
        <w:tab/>
      </w:r>
    </w:p>
    <w:p w14:paraId="01D18A1A" w14:textId="77777777" w:rsidR="000E39F2" w:rsidRPr="00FD620F" w:rsidRDefault="000E39F2" w:rsidP="000E39F2">
      <w:pPr>
        <w:pStyle w:val="Text2"/>
        <w:rPr>
          <w:noProof/>
        </w:rPr>
      </w:pPr>
      <w:r w:rsidRPr="00FD620F">
        <w:rPr>
          <w:noProof/>
        </w:rPr>
        <w:tab/>
      </w:r>
      <w:r w:rsidRPr="00FD620F">
        <w:rPr>
          <w:noProof/>
        </w:rPr>
        <w:tab/>
      </w:r>
      <w:r w:rsidRPr="00FD620F">
        <w:rPr>
          <w:noProof/>
        </w:rPr>
        <w:tab/>
      </w:r>
      <w:r w:rsidRPr="00FD620F">
        <w:rPr>
          <w:noProof/>
        </w:rPr>
        <w:tab/>
      </w:r>
      <w:r w:rsidRPr="00FD620F">
        <w:rPr>
          <w:noProof/>
        </w:rPr>
        <w:tab/>
      </w:r>
    </w:p>
    <w:p w14:paraId="5EABB932" w14:textId="77777777" w:rsidR="005B710D" w:rsidRPr="00FD620F" w:rsidRDefault="005B710D" w:rsidP="000E39F2">
      <w:pPr>
        <w:pStyle w:val="Text2"/>
        <w:rPr>
          <w:noProof/>
        </w:rPr>
      </w:pPr>
      <w:r w:rsidRPr="00FD620F">
        <w:rPr>
          <w:noProof/>
        </w:rPr>
        <w:t>*</w:t>
      </w:r>
      <w:r w:rsidR="007D0085" w:rsidRPr="00FD620F">
        <w:rPr>
          <w:noProof/>
        </w:rPr>
        <w:t xml:space="preserve"> Directive 2008/105/EC of the European Parliament and of the Council on the prevention and control of surface water pollution, amending and subsequently repealing Council Directives 82/176/EEC, 83/513/EEC, 84/156/EEC, 84/491/EEC, 86/280/EEC and amending Directive 2000/60/EC of the European Parliament and of the Council (OJ L 348, 24.12.2008, p. 84).</w:t>
      </w:r>
    </w:p>
    <w:p w14:paraId="7CECA461" w14:textId="77777777" w:rsidR="007D0085" w:rsidRPr="00FD620F" w:rsidRDefault="007D0085" w:rsidP="000E39F2">
      <w:pPr>
        <w:pStyle w:val="Text2"/>
        <w:rPr>
          <w:noProof/>
        </w:rPr>
      </w:pPr>
      <w:r w:rsidRPr="00FD620F">
        <w:rPr>
          <w:noProof/>
        </w:rPr>
        <w:t>**</w:t>
      </w:r>
      <w:r w:rsidR="00D902AA" w:rsidRPr="00FD620F">
        <w:rPr>
          <w:noProof/>
        </w:rPr>
        <w:t xml:space="preserve"> Directive (EU) 2020/2184 of the European Parliament and of the Council of 16 December 2020 on the quality of water intended for human consumption (OJ L 435, 23.12.2020, p. 1).</w:t>
      </w:r>
    </w:p>
    <w:p w14:paraId="1D6B1FB1" w14:textId="77777777" w:rsidR="005D1D03" w:rsidRPr="00FD620F" w:rsidRDefault="005D1D03" w:rsidP="005D1D03">
      <w:pPr>
        <w:pStyle w:val="Text2"/>
        <w:rPr>
          <w:noProof/>
        </w:rPr>
      </w:pPr>
      <w:r w:rsidRPr="00FD620F">
        <w:rPr>
          <w:noProof/>
        </w:rPr>
        <w:t>*** Regulation (EC) No 1907/2006 of the European Parliament and of the Council of 18 December 2006 concerning the Registration, Evaluation, Authorisation and Restriction of Chemicals (OJ L 396, 30.12.2006, p. 1).</w:t>
      </w:r>
    </w:p>
    <w:p w14:paraId="31AB85EB" w14:textId="77777777" w:rsidR="005D1D03" w:rsidRPr="00FD620F" w:rsidRDefault="005D1D03" w:rsidP="005D1D03">
      <w:pPr>
        <w:pStyle w:val="Text2"/>
        <w:rPr>
          <w:noProof/>
        </w:rPr>
      </w:pPr>
      <w:r w:rsidRPr="00FD620F">
        <w:rPr>
          <w:noProof/>
        </w:rPr>
        <w:t>**** Regulation (EC) No 1107/2009, of the European Parliament and of the Council of 21 October 2009 concerning the placing of plant protection products on the market (OJ L 309, 24.11.2009, p. 1).</w:t>
      </w:r>
    </w:p>
    <w:p w14:paraId="1C3D6031" w14:textId="77777777" w:rsidR="005D1D03" w:rsidRPr="00FD620F" w:rsidRDefault="005D1D03" w:rsidP="005D1D03">
      <w:pPr>
        <w:pStyle w:val="Text2"/>
        <w:rPr>
          <w:noProof/>
        </w:rPr>
      </w:pPr>
      <w:r w:rsidRPr="00FD620F">
        <w:rPr>
          <w:noProof/>
        </w:rPr>
        <w:t>***** Regulation (EU) No 528/2012 of the European Parliament and of the Council of 22 May 2012 concerning the making available on the market and use of biocidal products (OJ L 167, 27.6.2012, p. 1).</w:t>
      </w:r>
    </w:p>
    <w:p w14:paraId="799FE6C7" w14:textId="77777777" w:rsidR="005D1D03" w:rsidRPr="00FD620F" w:rsidRDefault="005D1D03" w:rsidP="000E39F2">
      <w:pPr>
        <w:pStyle w:val="Text2"/>
        <w:rPr>
          <w:noProof/>
        </w:rPr>
      </w:pPr>
      <w:r w:rsidRPr="00FD620F">
        <w:rPr>
          <w:noProof/>
        </w:rPr>
        <w:t>****** Regulation (EU) 2019/6 of the European Parliament and of the Council of 11 December 2018 on veterinary medicinal products (OJ L 4, 7.1.2019, p. 43).</w:t>
      </w:r>
    </w:p>
    <w:p w14:paraId="06655C3A" w14:textId="77777777" w:rsidR="005D1D03" w:rsidRPr="00FD620F" w:rsidRDefault="005D1D03" w:rsidP="005D1D03">
      <w:pPr>
        <w:pStyle w:val="Text2"/>
        <w:rPr>
          <w:noProof/>
        </w:rPr>
      </w:pPr>
      <w:r w:rsidRPr="00FD620F">
        <w:rPr>
          <w:noProof/>
        </w:rPr>
        <w:t>******* Directive 2001/83/EC of the European Parliament and of the Council of 6 November 2001 on the Community code relating to medicinal products for human use (OJ L 311, 28.11.2001, p. 67).</w:t>
      </w:r>
    </w:p>
    <w:p w14:paraId="798FE154" w14:textId="77777777" w:rsidR="005D1D03" w:rsidRPr="00FD620F" w:rsidRDefault="005D1D03" w:rsidP="005D1D03">
      <w:pPr>
        <w:pStyle w:val="Text2"/>
        <w:rPr>
          <w:noProof/>
        </w:rPr>
      </w:pPr>
      <w:r w:rsidRPr="00FD620F">
        <w:rPr>
          <w:noProof/>
        </w:rPr>
        <w:t xml:space="preserve">******** Directive 2009/128/EC of the European Parliament and of the Council of 21 October 2009 establishing a framework for Community action to achieve the sustainable use of pesticides (OJ L 309, 24.11.2009, p. 71). </w:t>
      </w:r>
    </w:p>
    <w:p w14:paraId="1FC43F91" w14:textId="77777777" w:rsidR="00C40326" w:rsidRPr="00FD620F" w:rsidRDefault="005D1D03" w:rsidP="00DC7B52">
      <w:pPr>
        <w:pStyle w:val="Text2"/>
        <w:rPr>
          <w:i/>
          <w:noProof/>
        </w:rPr>
      </w:pPr>
      <w:r w:rsidRPr="00FD620F" w:rsidDel="005D1D03">
        <w:rPr>
          <w:noProof/>
        </w:rPr>
        <w:t xml:space="preserve"> </w:t>
      </w:r>
      <w:r w:rsidR="00C40326" w:rsidRPr="00FD620F">
        <w:rPr>
          <w:i/>
          <w:noProof/>
        </w:rPr>
        <w:t xml:space="preserve"> </w:t>
      </w:r>
    </w:p>
    <w:p w14:paraId="46C74E74" w14:textId="7C7F38D1" w:rsidR="00B95B85" w:rsidRPr="00FD620F" w:rsidRDefault="00312D4D" w:rsidP="00312D4D">
      <w:pPr>
        <w:pStyle w:val="Point0"/>
        <w:rPr>
          <w:noProof/>
        </w:rPr>
      </w:pPr>
      <w:r w:rsidRPr="00312D4D">
        <w:t>(7)</w:t>
      </w:r>
      <w:r w:rsidRPr="00312D4D">
        <w:tab/>
      </w:r>
      <w:r w:rsidR="00B95B85" w:rsidRPr="00FD620F">
        <w:rPr>
          <w:noProof/>
        </w:rPr>
        <w:t xml:space="preserve">Article </w:t>
      </w:r>
      <w:r w:rsidR="00296C68" w:rsidRPr="00FD620F">
        <w:rPr>
          <w:noProof/>
        </w:rPr>
        <w:t>8</w:t>
      </w:r>
      <w:r w:rsidR="00B95B85" w:rsidRPr="00FD620F">
        <w:rPr>
          <w:noProof/>
        </w:rPr>
        <w:t xml:space="preserve"> is replaced </w:t>
      </w:r>
      <w:r w:rsidR="009326EA" w:rsidRPr="00FD620F">
        <w:rPr>
          <w:noProof/>
        </w:rPr>
        <w:t>by</w:t>
      </w:r>
      <w:r w:rsidR="00B95B85" w:rsidRPr="00FD620F">
        <w:rPr>
          <w:noProof/>
        </w:rPr>
        <w:t xml:space="preserve"> the following:</w:t>
      </w:r>
    </w:p>
    <w:p w14:paraId="67199B7E" w14:textId="77777777" w:rsidR="00296C68" w:rsidRPr="00FD620F" w:rsidRDefault="004F0A0B" w:rsidP="00F756F5">
      <w:pPr>
        <w:pStyle w:val="NormalCentered"/>
        <w:rPr>
          <w:i/>
          <w:noProof/>
        </w:rPr>
      </w:pPr>
      <w:r w:rsidRPr="00FD620F">
        <w:rPr>
          <w:noProof/>
        </w:rPr>
        <w:t>‘</w:t>
      </w:r>
      <w:r w:rsidR="00296C68" w:rsidRPr="00FD620F">
        <w:rPr>
          <w:i/>
          <w:noProof/>
        </w:rPr>
        <w:t>Article 8</w:t>
      </w:r>
    </w:p>
    <w:p w14:paraId="5C6F2B6E" w14:textId="77777777" w:rsidR="00296C68" w:rsidRPr="00FD620F" w:rsidRDefault="006825D3" w:rsidP="00F756F5">
      <w:pPr>
        <w:pStyle w:val="NormalCentered"/>
        <w:rPr>
          <w:b/>
          <w:bCs/>
          <w:noProof/>
        </w:rPr>
      </w:pPr>
      <w:r w:rsidRPr="00FD620F">
        <w:rPr>
          <w:b/>
          <w:bCs/>
          <w:noProof/>
        </w:rPr>
        <w:t>Review of Annexes</w:t>
      </w:r>
      <w:r w:rsidR="00C93F01" w:rsidRPr="00FD620F">
        <w:rPr>
          <w:b/>
          <w:bCs/>
          <w:noProof/>
        </w:rPr>
        <w:t xml:space="preserve"> I </w:t>
      </w:r>
      <w:r w:rsidR="001C1660" w:rsidRPr="00FD620F">
        <w:rPr>
          <w:b/>
          <w:bCs/>
          <w:noProof/>
        </w:rPr>
        <w:t>to</w:t>
      </w:r>
      <w:r w:rsidR="00C93F01" w:rsidRPr="00FD620F">
        <w:rPr>
          <w:b/>
          <w:bCs/>
          <w:noProof/>
        </w:rPr>
        <w:t xml:space="preserve"> </w:t>
      </w:r>
      <w:r w:rsidR="001C1660" w:rsidRPr="00FD620F">
        <w:rPr>
          <w:b/>
          <w:bCs/>
          <w:noProof/>
        </w:rPr>
        <w:t>IV</w:t>
      </w:r>
      <w:r w:rsidR="007767F8" w:rsidRPr="00FD620F">
        <w:rPr>
          <w:b/>
          <w:bCs/>
          <w:noProof/>
        </w:rPr>
        <w:t xml:space="preserve"> </w:t>
      </w:r>
    </w:p>
    <w:p w14:paraId="2FE20210" w14:textId="77777777" w:rsidR="00296C68" w:rsidRPr="00FD620F" w:rsidRDefault="007767F8" w:rsidP="00296C68">
      <w:pPr>
        <w:ind w:left="709"/>
        <w:rPr>
          <w:bCs/>
          <w:noProof/>
        </w:rPr>
      </w:pPr>
      <w:r w:rsidRPr="00FD620F">
        <w:rPr>
          <w:bCs/>
          <w:noProof/>
        </w:rPr>
        <w:t>1. The Commission shall review</w:t>
      </w:r>
      <w:r w:rsidR="00110369" w:rsidRPr="00FD620F">
        <w:rPr>
          <w:bCs/>
          <w:noProof/>
        </w:rPr>
        <w:t>,</w:t>
      </w:r>
      <w:r w:rsidRPr="00FD620F">
        <w:rPr>
          <w:bCs/>
          <w:noProof/>
        </w:rPr>
        <w:t xml:space="preserve"> </w:t>
      </w:r>
      <w:r w:rsidR="000C2605" w:rsidRPr="00FD620F">
        <w:rPr>
          <w:bCs/>
          <w:noProof/>
        </w:rPr>
        <w:t>for the first time</w:t>
      </w:r>
      <w:r w:rsidR="00110369" w:rsidRPr="00FD620F">
        <w:rPr>
          <w:bCs/>
          <w:noProof/>
        </w:rPr>
        <w:t xml:space="preserve"> </w:t>
      </w:r>
      <w:r w:rsidR="00110CA9" w:rsidRPr="00FD620F">
        <w:rPr>
          <w:bCs/>
          <w:noProof/>
        </w:rPr>
        <w:t xml:space="preserve">by … [OP: please insert </w:t>
      </w:r>
      <w:r w:rsidR="0059173E" w:rsidRPr="00FD620F">
        <w:rPr>
          <w:bCs/>
          <w:noProof/>
        </w:rPr>
        <w:t xml:space="preserve">the </w:t>
      </w:r>
      <w:r w:rsidR="00110CA9" w:rsidRPr="00FD620F">
        <w:rPr>
          <w:bCs/>
          <w:noProof/>
        </w:rPr>
        <w:t xml:space="preserve">date = </w:t>
      </w:r>
      <w:r w:rsidR="0054586A" w:rsidRPr="00FD620F">
        <w:rPr>
          <w:bCs/>
          <w:noProof/>
        </w:rPr>
        <w:t xml:space="preserve"> </w:t>
      </w:r>
      <w:r w:rsidR="00110CA9" w:rsidRPr="00FD620F">
        <w:rPr>
          <w:bCs/>
          <w:noProof/>
        </w:rPr>
        <w:t xml:space="preserve">six years after </w:t>
      </w:r>
      <w:r w:rsidR="0059173E" w:rsidRPr="00FD620F">
        <w:rPr>
          <w:bCs/>
          <w:noProof/>
        </w:rPr>
        <w:t xml:space="preserve">the date of </w:t>
      </w:r>
      <w:r w:rsidR="00110CA9" w:rsidRPr="00FD620F">
        <w:rPr>
          <w:bCs/>
          <w:noProof/>
        </w:rPr>
        <w:t xml:space="preserve">entry into force of this </w:t>
      </w:r>
      <w:r w:rsidR="0059173E" w:rsidRPr="00FD620F">
        <w:rPr>
          <w:bCs/>
          <w:noProof/>
        </w:rPr>
        <w:t>D</w:t>
      </w:r>
      <w:r w:rsidR="00110CA9" w:rsidRPr="00FD620F">
        <w:rPr>
          <w:bCs/>
          <w:noProof/>
        </w:rPr>
        <w:t>irective]</w:t>
      </w:r>
      <w:r w:rsidR="00110369" w:rsidRPr="00FD620F">
        <w:rPr>
          <w:bCs/>
          <w:noProof/>
        </w:rPr>
        <w:t xml:space="preserve"> and </w:t>
      </w:r>
      <w:r w:rsidR="001545D4" w:rsidRPr="00FD620F">
        <w:rPr>
          <w:bCs/>
          <w:noProof/>
        </w:rPr>
        <w:t xml:space="preserve">every six years </w:t>
      </w:r>
      <w:r w:rsidR="00110369" w:rsidRPr="00FD620F">
        <w:rPr>
          <w:bCs/>
          <w:noProof/>
        </w:rPr>
        <w:t>thereafter,</w:t>
      </w:r>
      <w:r w:rsidR="000C2605" w:rsidRPr="00FD620F">
        <w:rPr>
          <w:bCs/>
          <w:noProof/>
        </w:rPr>
        <w:t xml:space="preserve"> </w:t>
      </w:r>
      <w:r w:rsidRPr="00FD620F">
        <w:rPr>
          <w:bCs/>
          <w:noProof/>
        </w:rPr>
        <w:t xml:space="preserve">the list of pollutants </w:t>
      </w:r>
      <w:r w:rsidR="00E175A4" w:rsidRPr="00FD620F">
        <w:rPr>
          <w:bCs/>
          <w:noProof/>
        </w:rPr>
        <w:t xml:space="preserve">set out in Annex I </w:t>
      </w:r>
      <w:r w:rsidRPr="00FD620F">
        <w:rPr>
          <w:bCs/>
          <w:noProof/>
        </w:rPr>
        <w:t xml:space="preserve">and the quality standards </w:t>
      </w:r>
      <w:r w:rsidR="001C1660" w:rsidRPr="00FD620F">
        <w:rPr>
          <w:bCs/>
          <w:noProof/>
        </w:rPr>
        <w:t>for those pollutants</w:t>
      </w:r>
      <w:r w:rsidR="00E175A4" w:rsidRPr="00FD620F">
        <w:rPr>
          <w:bCs/>
          <w:noProof/>
        </w:rPr>
        <w:t xml:space="preserve"> </w:t>
      </w:r>
      <w:r w:rsidRPr="00FD620F">
        <w:rPr>
          <w:bCs/>
          <w:noProof/>
        </w:rPr>
        <w:t xml:space="preserve">set out in </w:t>
      </w:r>
      <w:r w:rsidR="00E175A4" w:rsidRPr="00FD620F">
        <w:rPr>
          <w:bCs/>
          <w:noProof/>
        </w:rPr>
        <w:t xml:space="preserve">that </w:t>
      </w:r>
      <w:r w:rsidRPr="00FD620F">
        <w:rPr>
          <w:bCs/>
          <w:noProof/>
        </w:rPr>
        <w:t xml:space="preserve">Annex, </w:t>
      </w:r>
      <w:r w:rsidR="000C2605" w:rsidRPr="00FD620F">
        <w:rPr>
          <w:bCs/>
          <w:noProof/>
        </w:rPr>
        <w:t>as well as t</w:t>
      </w:r>
      <w:r w:rsidRPr="00FD620F">
        <w:rPr>
          <w:bCs/>
          <w:noProof/>
        </w:rPr>
        <w:t>he list of pollutants and indicators</w:t>
      </w:r>
      <w:r w:rsidR="00587698" w:rsidRPr="00FD620F">
        <w:rPr>
          <w:bCs/>
          <w:noProof/>
        </w:rPr>
        <w:t xml:space="preserve"> set out</w:t>
      </w:r>
      <w:r w:rsidRPr="00FD620F">
        <w:rPr>
          <w:bCs/>
          <w:noProof/>
        </w:rPr>
        <w:t xml:space="preserve"> in Part </w:t>
      </w:r>
      <w:r w:rsidR="00587698" w:rsidRPr="00FD620F">
        <w:rPr>
          <w:bCs/>
          <w:noProof/>
        </w:rPr>
        <w:t>B</w:t>
      </w:r>
      <w:r w:rsidRPr="00FD620F">
        <w:rPr>
          <w:bCs/>
          <w:noProof/>
        </w:rPr>
        <w:t xml:space="preserve"> o</w:t>
      </w:r>
      <w:r w:rsidR="00E175A4" w:rsidRPr="00FD620F">
        <w:rPr>
          <w:bCs/>
          <w:noProof/>
        </w:rPr>
        <w:t>f</w:t>
      </w:r>
      <w:r w:rsidRPr="00FD620F">
        <w:rPr>
          <w:bCs/>
          <w:noProof/>
        </w:rPr>
        <w:t xml:space="preserve"> Annex II</w:t>
      </w:r>
      <w:r w:rsidR="00C15F7D" w:rsidRPr="00FD620F">
        <w:rPr>
          <w:bCs/>
          <w:noProof/>
        </w:rPr>
        <w:t xml:space="preserve">. </w:t>
      </w:r>
    </w:p>
    <w:p w14:paraId="0C75F742" w14:textId="4F82A4C8" w:rsidR="006825D3" w:rsidRPr="00FD620F" w:rsidRDefault="00296C68" w:rsidP="00296C68">
      <w:pPr>
        <w:ind w:left="709"/>
        <w:rPr>
          <w:bCs/>
          <w:noProof/>
        </w:rPr>
      </w:pPr>
      <w:r w:rsidRPr="00FD620F">
        <w:rPr>
          <w:bCs/>
          <w:noProof/>
        </w:rPr>
        <w:t>2. The Commission is empowered to adopt delegated acts</w:t>
      </w:r>
      <w:r w:rsidR="00AD2D8D" w:rsidRPr="00FD620F">
        <w:rPr>
          <w:bCs/>
          <w:noProof/>
        </w:rPr>
        <w:t>,</w:t>
      </w:r>
      <w:r w:rsidR="00AD2D8D" w:rsidRPr="00FD620F">
        <w:rPr>
          <w:noProof/>
        </w:rPr>
        <w:t xml:space="preserve"> </w:t>
      </w:r>
      <w:r w:rsidRPr="00FD620F">
        <w:rPr>
          <w:bCs/>
          <w:noProof/>
        </w:rPr>
        <w:t xml:space="preserve">in accordance with Article </w:t>
      </w:r>
      <w:r w:rsidR="006825D3" w:rsidRPr="00FD620F">
        <w:rPr>
          <w:bCs/>
          <w:noProof/>
        </w:rPr>
        <w:t>8a</w:t>
      </w:r>
      <w:r w:rsidR="009A200E" w:rsidRPr="00FD620F">
        <w:rPr>
          <w:bCs/>
          <w:noProof/>
        </w:rPr>
        <w:t>,</w:t>
      </w:r>
      <w:r w:rsidRPr="00FD620F">
        <w:rPr>
          <w:bCs/>
          <w:noProof/>
        </w:rPr>
        <w:t xml:space="preserve"> </w:t>
      </w:r>
      <w:r w:rsidR="005D1F0F" w:rsidRPr="00FD620F">
        <w:rPr>
          <w:bCs/>
          <w:noProof/>
        </w:rPr>
        <w:t xml:space="preserve">to amend </w:t>
      </w:r>
      <w:r w:rsidRPr="00FD620F">
        <w:rPr>
          <w:bCs/>
          <w:noProof/>
        </w:rPr>
        <w:t xml:space="preserve">Annex I </w:t>
      </w:r>
      <w:r w:rsidR="009B0EDA" w:rsidRPr="009B0EDA">
        <w:rPr>
          <w:bCs/>
          <w:noProof/>
        </w:rPr>
        <w:t xml:space="preserve">to adapt it to technical and scientific progress by </w:t>
      </w:r>
      <w:r w:rsidR="005D1F0F" w:rsidRPr="00FD620F">
        <w:rPr>
          <w:bCs/>
          <w:noProof/>
        </w:rPr>
        <w:t>add</w:t>
      </w:r>
      <w:r w:rsidR="009B0EDA">
        <w:rPr>
          <w:bCs/>
          <w:noProof/>
        </w:rPr>
        <w:t>ing</w:t>
      </w:r>
      <w:r w:rsidR="005D1F0F" w:rsidRPr="00FD620F">
        <w:rPr>
          <w:bCs/>
          <w:noProof/>
        </w:rPr>
        <w:t xml:space="preserve"> </w:t>
      </w:r>
      <w:r w:rsidR="00F9081D">
        <w:rPr>
          <w:bCs/>
          <w:noProof/>
        </w:rPr>
        <w:t xml:space="preserve">or removing </w:t>
      </w:r>
      <w:r w:rsidR="005D1F0F" w:rsidRPr="00FD620F">
        <w:rPr>
          <w:bCs/>
          <w:noProof/>
        </w:rPr>
        <w:t xml:space="preserve">groundwater pollutants and </w:t>
      </w:r>
      <w:r w:rsidR="00BC7A7A" w:rsidRPr="00FD620F">
        <w:rPr>
          <w:bCs/>
          <w:noProof/>
        </w:rPr>
        <w:t>q</w:t>
      </w:r>
      <w:r w:rsidR="005D1F0F" w:rsidRPr="00FD620F">
        <w:rPr>
          <w:bCs/>
          <w:noProof/>
        </w:rPr>
        <w:t xml:space="preserve">uality standards </w:t>
      </w:r>
      <w:r w:rsidR="0059173E" w:rsidRPr="00FD620F">
        <w:rPr>
          <w:bCs/>
          <w:noProof/>
        </w:rPr>
        <w:t xml:space="preserve">for those pollutants </w:t>
      </w:r>
      <w:r w:rsidR="00F9081D">
        <w:rPr>
          <w:bCs/>
          <w:noProof/>
        </w:rPr>
        <w:t xml:space="preserve">set out in that Annex </w:t>
      </w:r>
      <w:r w:rsidRPr="00FD620F">
        <w:rPr>
          <w:bCs/>
          <w:noProof/>
        </w:rPr>
        <w:t xml:space="preserve">and </w:t>
      </w:r>
      <w:r w:rsidR="006E6E74" w:rsidRPr="00FD620F">
        <w:rPr>
          <w:bCs/>
          <w:noProof/>
        </w:rPr>
        <w:t xml:space="preserve">to amend </w:t>
      </w:r>
      <w:r w:rsidRPr="00FD620F">
        <w:rPr>
          <w:bCs/>
          <w:noProof/>
        </w:rPr>
        <w:t xml:space="preserve">Part B </w:t>
      </w:r>
      <w:r w:rsidR="00F9081D">
        <w:rPr>
          <w:bCs/>
          <w:noProof/>
        </w:rPr>
        <w:t xml:space="preserve">in order to adapt it to technical and scientific progress by adding </w:t>
      </w:r>
      <w:r w:rsidRPr="00FD620F">
        <w:rPr>
          <w:bCs/>
          <w:noProof/>
        </w:rPr>
        <w:t>pollutants or indicators</w:t>
      </w:r>
      <w:r w:rsidR="00F9081D">
        <w:rPr>
          <w:bCs/>
          <w:noProof/>
        </w:rPr>
        <w:t xml:space="preserve"> for which Member States have to consider establishing national thresholds</w:t>
      </w:r>
      <w:r w:rsidRPr="00FD620F">
        <w:rPr>
          <w:bCs/>
          <w:noProof/>
        </w:rPr>
        <w:t>.</w:t>
      </w:r>
    </w:p>
    <w:p w14:paraId="249B517B" w14:textId="5C4C8C72" w:rsidR="00EC4CE7" w:rsidRPr="00FD620F" w:rsidRDefault="00EC4CE7" w:rsidP="006825D3">
      <w:pPr>
        <w:ind w:left="709"/>
        <w:rPr>
          <w:bCs/>
          <w:noProof/>
        </w:rPr>
      </w:pPr>
      <w:r w:rsidRPr="00FD620F">
        <w:rPr>
          <w:bCs/>
          <w:noProof/>
        </w:rPr>
        <w:t>3. The Commission is empowered to adopt delegated acts</w:t>
      </w:r>
      <w:r w:rsidR="00AD2D8D" w:rsidRPr="00FD620F">
        <w:rPr>
          <w:bCs/>
          <w:noProof/>
        </w:rPr>
        <w:t>,</w:t>
      </w:r>
      <w:r w:rsidR="00AD2D8D" w:rsidRPr="00FD620F">
        <w:rPr>
          <w:noProof/>
        </w:rPr>
        <w:t xml:space="preserve"> </w:t>
      </w:r>
      <w:r w:rsidRPr="00FD620F">
        <w:rPr>
          <w:bCs/>
          <w:noProof/>
        </w:rPr>
        <w:t>in accordance with Article 8a</w:t>
      </w:r>
      <w:r w:rsidR="009A200E" w:rsidRPr="00FD620F">
        <w:rPr>
          <w:bCs/>
          <w:noProof/>
        </w:rPr>
        <w:t>,</w:t>
      </w:r>
      <w:r w:rsidRPr="00FD620F">
        <w:rPr>
          <w:bCs/>
          <w:noProof/>
        </w:rPr>
        <w:t xml:space="preserve"> </w:t>
      </w:r>
      <w:r w:rsidR="005D1F0F" w:rsidRPr="00FD620F">
        <w:rPr>
          <w:bCs/>
          <w:noProof/>
        </w:rPr>
        <w:t>to</w:t>
      </w:r>
      <w:r w:rsidR="001315B0" w:rsidRPr="00FD620F">
        <w:rPr>
          <w:bCs/>
          <w:noProof/>
        </w:rPr>
        <w:t xml:space="preserve"> </w:t>
      </w:r>
      <w:r w:rsidR="00F9081D">
        <w:rPr>
          <w:bCs/>
          <w:noProof/>
        </w:rPr>
        <w:t>amend Part D of</w:t>
      </w:r>
      <w:r w:rsidR="005D1F0F" w:rsidRPr="00FD620F">
        <w:rPr>
          <w:bCs/>
          <w:noProof/>
        </w:rPr>
        <w:t xml:space="preserve"> Annex II </w:t>
      </w:r>
      <w:r w:rsidR="00F9081D">
        <w:rPr>
          <w:bCs/>
          <w:noProof/>
        </w:rPr>
        <w:t xml:space="preserve">in order to adapt it to scientific and technical progress </w:t>
      </w:r>
      <w:r w:rsidR="002E0194" w:rsidRPr="00FD620F">
        <w:rPr>
          <w:bCs/>
          <w:noProof/>
        </w:rPr>
        <w:t xml:space="preserve">by </w:t>
      </w:r>
      <w:r w:rsidR="001B7139">
        <w:rPr>
          <w:bCs/>
          <w:noProof/>
        </w:rPr>
        <w:t xml:space="preserve">adding or amending </w:t>
      </w:r>
      <w:r w:rsidR="00F9081D">
        <w:rPr>
          <w:bCs/>
          <w:noProof/>
        </w:rPr>
        <w:t>harmonised</w:t>
      </w:r>
      <w:r w:rsidR="00F90D93">
        <w:rPr>
          <w:bCs/>
          <w:noProof/>
        </w:rPr>
        <w:t xml:space="preserve"> </w:t>
      </w:r>
      <w:r w:rsidR="004D3B1A" w:rsidRPr="00FD620F">
        <w:rPr>
          <w:bCs/>
          <w:noProof/>
        </w:rPr>
        <w:t>threshold values</w:t>
      </w:r>
      <w:r w:rsidRPr="00FD620F">
        <w:rPr>
          <w:bCs/>
          <w:noProof/>
        </w:rPr>
        <w:t xml:space="preserve"> for </w:t>
      </w:r>
      <w:r w:rsidR="0054586A" w:rsidRPr="00FD620F">
        <w:rPr>
          <w:bCs/>
          <w:noProof/>
        </w:rPr>
        <w:t xml:space="preserve">one or more </w:t>
      </w:r>
      <w:r w:rsidRPr="00FD620F">
        <w:rPr>
          <w:bCs/>
          <w:noProof/>
        </w:rPr>
        <w:t xml:space="preserve">pollutants </w:t>
      </w:r>
      <w:r w:rsidR="0054586A" w:rsidRPr="00FD620F">
        <w:rPr>
          <w:bCs/>
          <w:noProof/>
        </w:rPr>
        <w:t>listed</w:t>
      </w:r>
      <w:r w:rsidR="00E10108" w:rsidRPr="00FD620F">
        <w:rPr>
          <w:bCs/>
          <w:noProof/>
        </w:rPr>
        <w:t xml:space="preserve"> </w:t>
      </w:r>
      <w:r w:rsidRPr="00FD620F">
        <w:rPr>
          <w:bCs/>
          <w:noProof/>
        </w:rPr>
        <w:t xml:space="preserve">in Part B of </w:t>
      </w:r>
      <w:r w:rsidR="005D1F0F" w:rsidRPr="00FD620F">
        <w:rPr>
          <w:bCs/>
          <w:noProof/>
        </w:rPr>
        <w:t xml:space="preserve">that </w:t>
      </w:r>
      <w:r w:rsidRPr="00FD620F">
        <w:rPr>
          <w:bCs/>
          <w:noProof/>
        </w:rPr>
        <w:t>Annex</w:t>
      </w:r>
      <w:r w:rsidR="00F9081D">
        <w:rPr>
          <w:bCs/>
          <w:noProof/>
        </w:rPr>
        <w:t xml:space="preserve">. </w:t>
      </w:r>
      <w:r w:rsidRPr="00FD620F">
        <w:rPr>
          <w:bCs/>
          <w:noProof/>
        </w:rPr>
        <w:t xml:space="preserve"> </w:t>
      </w:r>
    </w:p>
    <w:p w14:paraId="75919F7E" w14:textId="77777777" w:rsidR="00F9081D" w:rsidRPr="00FD620F" w:rsidRDefault="00F9081D" w:rsidP="00F9081D">
      <w:pPr>
        <w:ind w:left="709"/>
        <w:rPr>
          <w:bCs/>
          <w:noProof/>
        </w:rPr>
      </w:pPr>
      <w:r>
        <w:rPr>
          <w:bCs/>
          <w:noProof/>
        </w:rPr>
        <w:t xml:space="preserve">4. When adopting delegated acts as referred to in paragraphs 2 and 3, the Commission shall take the scientific reports prepared by ECHA pursuant to paragraph 6 of this Article into account. </w:t>
      </w:r>
    </w:p>
    <w:p w14:paraId="6EA08D5F" w14:textId="4CBCA985" w:rsidR="007767F8" w:rsidRPr="00FD620F" w:rsidRDefault="00F9081D" w:rsidP="006825D3">
      <w:pPr>
        <w:ind w:left="709"/>
        <w:rPr>
          <w:bCs/>
          <w:noProof/>
        </w:rPr>
      </w:pPr>
      <w:r>
        <w:rPr>
          <w:bCs/>
          <w:noProof/>
        </w:rPr>
        <w:t>5</w:t>
      </w:r>
      <w:r w:rsidR="007767F8" w:rsidRPr="00FD620F">
        <w:rPr>
          <w:bCs/>
          <w:noProof/>
        </w:rPr>
        <w:t>. The Commission is empowered to adopt delegated acts in accordance with Article 8a to amend Parts A and C of Annex II and Annexes III and IV in order to adapt them to scientific and technical progress.</w:t>
      </w:r>
    </w:p>
    <w:p w14:paraId="205C653B" w14:textId="7CC0267C" w:rsidR="005D1F0F" w:rsidRPr="00FD620F" w:rsidRDefault="00F9081D" w:rsidP="006825D3">
      <w:pPr>
        <w:ind w:left="709"/>
        <w:rPr>
          <w:bCs/>
          <w:noProof/>
        </w:rPr>
      </w:pPr>
      <w:r>
        <w:rPr>
          <w:bCs/>
          <w:noProof/>
        </w:rPr>
        <w:t>6</w:t>
      </w:r>
      <w:r w:rsidR="006825D3" w:rsidRPr="00FD620F">
        <w:rPr>
          <w:bCs/>
          <w:noProof/>
        </w:rPr>
        <w:t xml:space="preserve">. </w:t>
      </w:r>
      <w:r w:rsidR="00C93F01" w:rsidRPr="00FD620F">
        <w:rPr>
          <w:bCs/>
          <w:noProof/>
        </w:rPr>
        <w:t xml:space="preserve">For the purpose of </w:t>
      </w:r>
      <w:r w:rsidR="00732A71" w:rsidRPr="00FD620F">
        <w:rPr>
          <w:bCs/>
          <w:noProof/>
        </w:rPr>
        <w:t>assisting the Commissi</w:t>
      </w:r>
      <w:r w:rsidR="00274A6C" w:rsidRPr="00FD620F">
        <w:rPr>
          <w:bCs/>
          <w:noProof/>
        </w:rPr>
        <w:t>o</w:t>
      </w:r>
      <w:r w:rsidR="00732A71" w:rsidRPr="00FD620F">
        <w:rPr>
          <w:bCs/>
          <w:noProof/>
        </w:rPr>
        <w:t xml:space="preserve">n with regard to </w:t>
      </w:r>
      <w:r w:rsidR="00C93F01" w:rsidRPr="00FD620F">
        <w:rPr>
          <w:bCs/>
          <w:noProof/>
        </w:rPr>
        <w:t xml:space="preserve">the review of Annexes I and II, </w:t>
      </w:r>
      <w:r w:rsidR="001315B0" w:rsidRPr="00FD620F">
        <w:rPr>
          <w:bCs/>
          <w:noProof/>
        </w:rPr>
        <w:t xml:space="preserve">ECHA shall </w:t>
      </w:r>
      <w:r w:rsidR="000C0A87" w:rsidRPr="00FD620F">
        <w:rPr>
          <w:bCs/>
          <w:noProof/>
        </w:rPr>
        <w:t xml:space="preserve">prepare </w:t>
      </w:r>
      <w:r w:rsidR="00E26B4C" w:rsidRPr="00FD620F">
        <w:rPr>
          <w:bCs/>
          <w:noProof/>
        </w:rPr>
        <w:t xml:space="preserve">scientific </w:t>
      </w:r>
      <w:r w:rsidR="000C0A87" w:rsidRPr="00FD620F">
        <w:rPr>
          <w:bCs/>
          <w:noProof/>
        </w:rPr>
        <w:t>report</w:t>
      </w:r>
      <w:r w:rsidR="00520987" w:rsidRPr="00FD620F">
        <w:rPr>
          <w:bCs/>
          <w:noProof/>
        </w:rPr>
        <w:t>s</w:t>
      </w:r>
      <w:r w:rsidR="00CF6A2E" w:rsidRPr="00FD620F">
        <w:rPr>
          <w:bCs/>
          <w:noProof/>
        </w:rPr>
        <w:t xml:space="preserve">. Those </w:t>
      </w:r>
      <w:r w:rsidR="00732A71" w:rsidRPr="00FD620F">
        <w:rPr>
          <w:bCs/>
          <w:noProof/>
        </w:rPr>
        <w:t>report</w:t>
      </w:r>
      <w:r w:rsidR="00CF6A2E" w:rsidRPr="00FD620F">
        <w:rPr>
          <w:bCs/>
          <w:noProof/>
        </w:rPr>
        <w:t>s</w:t>
      </w:r>
      <w:r w:rsidR="00732A71" w:rsidRPr="00FD620F">
        <w:rPr>
          <w:bCs/>
          <w:noProof/>
        </w:rPr>
        <w:t xml:space="preserve"> shall </w:t>
      </w:r>
      <w:r w:rsidR="005778F1" w:rsidRPr="00FD620F">
        <w:rPr>
          <w:bCs/>
          <w:noProof/>
        </w:rPr>
        <w:t xml:space="preserve">take account of </w:t>
      </w:r>
      <w:r w:rsidR="005D1F0F" w:rsidRPr="00FD620F">
        <w:rPr>
          <w:bCs/>
          <w:noProof/>
        </w:rPr>
        <w:t>the following:</w:t>
      </w:r>
    </w:p>
    <w:p w14:paraId="13A45BAF" w14:textId="77777777" w:rsidR="005D1F0F" w:rsidRPr="00FD620F" w:rsidRDefault="005D1F0F" w:rsidP="00F756F5">
      <w:pPr>
        <w:pStyle w:val="Text2"/>
        <w:rPr>
          <w:noProof/>
        </w:rPr>
      </w:pPr>
      <w:r w:rsidRPr="00FD620F">
        <w:rPr>
          <w:noProof/>
        </w:rPr>
        <w:t xml:space="preserve">(a) </w:t>
      </w:r>
      <w:r w:rsidR="005778F1" w:rsidRPr="00FD620F">
        <w:rPr>
          <w:noProof/>
        </w:rPr>
        <w:t xml:space="preserve">the opinion of the </w:t>
      </w:r>
      <w:r w:rsidR="000C0A87" w:rsidRPr="00FD620F">
        <w:rPr>
          <w:noProof/>
        </w:rPr>
        <w:t>Committee for Risk Assessment and the Committee for Socio-Economic Analysis</w:t>
      </w:r>
      <w:r w:rsidR="001B7139">
        <w:rPr>
          <w:noProof/>
        </w:rPr>
        <w:t xml:space="preserve"> </w:t>
      </w:r>
      <w:r w:rsidR="00732A71" w:rsidRPr="00FD620F">
        <w:rPr>
          <w:noProof/>
        </w:rPr>
        <w:t>of ECHA</w:t>
      </w:r>
      <w:r w:rsidRPr="00FD620F">
        <w:rPr>
          <w:noProof/>
        </w:rPr>
        <w:t>;</w:t>
      </w:r>
    </w:p>
    <w:p w14:paraId="235DF47C" w14:textId="77777777" w:rsidR="005D1F0F" w:rsidRPr="00FD620F" w:rsidRDefault="005D1F0F" w:rsidP="00F756F5">
      <w:pPr>
        <w:pStyle w:val="Text2"/>
        <w:rPr>
          <w:noProof/>
        </w:rPr>
      </w:pPr>
      <w:r w:rsidRPr="00FD620F">
        <w:rPr>
          <w:noProof/>
        </w:rPr>
        <w:t xml:space="preserve">(b) </w:t>
      </w:r>
      <w:r w:rsidR="005778F1" w:rsidRPr="00FD620F">
        <w:rPr>
          <w:noProof/>
        </w:rPr>
        <w:t xml:space="preserve">the results of the monitoring programmes </w:t>
      </w:r>
      <w:r w:rsidRPr="00FD620F">
        <w:rPr>
          <w:noProof/>
        </w:rPr>
        <w:t xml:space="preserve">established in accordance with </w:t>
      </w:r>
      <w:r w:rsidR="005778F1" w:rsidRPr="00FD620F">
        <w:rPr>
          <w:noProof/>
        </w:rPr>
        <w:t>Article 8 of Directive 2000/60/EC</w:t>
      </w:r>
      <w:r w:rsidRPr="00FD620F">
        <w:rPr>
          <w:noProof/>
        </w:rPr>
        <w:t>;</w:t>
      </w:r>
    </w:p>
    <w:p w14:paraId="6678FD74" w14:textId="77777777" w:rsidR="0084742E" w:rsidRPr="00FD620F" w:rsidRDefault="005D1F0F" w:rsidP="00F756F5">
      <w:pPr>
        <w:pStyle w:val="Text2"/>
        <w:rPr>
          <w:noProof/>
        </w:rPr>
      </w:pPr>
      <w:r w:rsidRPr="00FD620F">
        <w:rPr>
          <w:noProof/>
        </w:rPr>
        <w:t>(c) the monitoring da</w:t>
      </w:r>
      <w:r w:rsidR="004D3B1A" w:rsidRPr="00FD620F">
        <w:rPr>
          <w:noProof/>
        </w:rPr>
        <w:t>t</w:t>
      </w:r>
      <w:r w:rsidRPr="00FD620F">
        <w:rPr>
          <w:noProof/>
        </w:rPr>
        <w:t xml:space="preserve">a collected in accordance with </w:t>
      </w:r>
      <w:r w:rsidR="005778F1" w:rsidRPr="00FD620F">
        <w:rPr>
          <w:noProof/>
        </w:rPr>
        <w:t xml:space="preserve">Article </w:t>
      </w:r>
      <w:r w:rsidR="0079670C" w:rsidRPr="00FD620F">
        <w:rPr>
          <w:noProof/>
        </w:rPr>
        <w:t>6</w:t>
      </w:r>
      <w:r w:rsidR="005778F1" w:rsidRPr="00FD620F">
        <w:rPr>
          <w:noProof/>
        </w:rPr>
        <w:t>a</w:t>
      </w:r>
      <w:r w:rsidR="00BD1CEE" w:rsidRPr="00FD620F">
        <w:rPr>
          <w:noProof/>
        </w:rPr>
        <w:t>(</w:t>
      </w:r>
      <w:r w:rsidR="00C10158" w:rsidRPr="00FD620F">
        <w:rPr>
          <w:noProof/>
        </w:rPr>
        <w:t>4</w:t>
      </w:r>
      <w:r w:rsidR="00BD1CEE" w:rsidRPr="00FD620F">
        <w:rPr>
          <w:noProof/>
        </w:rPr>
        <w:t>)</w:t>
      </w:r>
      <w:r w:rsidR="002E47FB" w:rsidRPr="00FD620F">
        <w:rPr>
          <w:noProof/>
        </w:rPr>
        <w:t xml:space="preserve"> of this Directive</w:t>
      </w:r>
      <w:r w:rsidR="0084742E" w:rsidRPr="00FD620F">
        <w:rPr>
          <w:noProof/>
        </w:rPr>
        <w:t>;</w:t>
      </w:r>
    </w:p>
    <w:p w14:paraId="4AA04520" w14:textId="77777777" w:rsidR="00A519BB" w:rsidRPr="00FD620F" w:rsidRDefault="00A519BB" w:rsidP="00F756F5">
      <w:pPr>
        <w:pStyle w:val="Text2"/>
        <w:rPr>
          <w:noProof/>
        </w:rPr>
      </w:pPr>
      <w:r w:rsidRPr="00FD620F">
        <w:rPr>
          <w:noProof/>
        </w:rPr>
        <w:t xml:space="preserve">(d) the outcome of the reviews of the Annexes to Directive 2008/105/EC and </w:t>
      </w:r>
      <w:r w:rsidR="00D75DD8" w:rsidRPr="00FD620F">
        <w:rPr>
          <w:noProof/>
        </w:rPr>
        <w:t xml:space="preserve">Directive </w:t>
      </w:r>
      <w:r w:rsidRPr="00FD620F">
        <w:rPr>
          <w:noProof/>
        </w:rPr>
        <w:t>(EU) 2020/2184;</w:t>
      </w:r>
    </w:p>
    <w:p w14:paraId="0188AB61" w14:textId="77777777" w:rsidR="00F756F5" w:rsidRPr="00FD620F" w:rsidRDefault="008D4508" w:rsidP="00F756F5">
      <w:pPr>
        <w:pStyle w:val="Text2"/>
        <w:rPr>
          <w:noProof/>
        </w:rPr>
      </w:pPr>
      <w:r w:rsidRPr="00FD620F">
        <w:rPr>
          <w:noProof/>
        </w:rPr>
        <w:t>(e )</w:t>
      </w:r>
      <w:r w:rsidR="00E62FDE" w:rsidRPr="00FD620F">
        <w:rPr>
          <w:noProof/>
        </w:rPr>
        <w:t xml:space="preserve"> </w:t>
      </w:r>
      <w:r w:rsidR="00E1787C" w:rsidRPr="00FD620F">
        <w:rPr>
          <w:noProof/>
        </w:rPr>
        <w:t>information and requirements to address soil pollution</w:t>
      </w:r>
      <w:r w:rsidR="00D375F3" w:rsidRPr="00FD620F">
        <w:rPr>
          <w:noProof/>
        </w:rPr>
        <w:t>;</w:t>
      </w:r>
      <w:r w:rsidR="00F756F5" w:rsidRPr="00FD620F">
        <w:rPr>
          <w:noProof/>
        </w:rPr>
        <w:t xml:space="preserve"> </w:t>
      </w:r>
    </w:p>
    <w:p w14:paraId="7323580A" w14:textId="77777777" w:rsidR="0084742E" w:rsidRPr="00FD620F" w:rsidRDefault="0084742E" w:rsidP="00F756F5">
      <w:pPr>
        <w:pStyle w:val="Text2"/>
        <w:rPr>
          <w:noProof/>
        </w:rPr>
      </w:pPr>
      <w:r w:rsidRPr="00FD620F">
        <w:rPr>
          <w:noProof/>
        </w:rPr>
        <w:t>(</w:t>
      </w:r>
      <w:r w:rsidR="00F756F5" w:rsidRPr="00FD620F">
        <w:rPr>
          <w:noProof/>
        </w:rPr>
        <w:t>f</w:t>
      </w:r>
      <w:r w:rsidRPr="00FD620F">
        <w:rPr>
          <w:noProof/>
        </w:rPr>
        <w:t xml:space="preserve">) </w:t>
      </w:r>
      <w:r w:rsidR="00D75DD8" w:rsidRPr="00FD620F">
        <w:rPr>
          <w:noProof/>
        </w:rPr>
        <w:t>Union</w:t>
      </w:r>
      <w:r w:rsidR="005778F1" w:rsidRPr="00FD620F">
        <w:rPr>
          <w:noProof/>
        </w:rPr>
        <w:t xml:space="preserve"> research programmes</w:t>
      </w:r>
      <w:r w:rsidR="003539C2" w:rsidRPr="00FD620F">
        <w:rPr>
          <w:noProof/>
        </w:rPr>
        <w:t xml:space="preserve"> and scientific publications</w:t>
      </w:r>
      <w:r w:rsidR="008D4508" w:rsidRPr="00FD620F">
        <w:rPr>
          <w:noProof/>
        </w:rPr>
        <w:t>, including information resulting from remote sensing technologies, earth observation (Copernicus services), in-situ sensors and devices</w:t>
      </w:r>
      <w:r w:rsidR="00D75DD8" w:rsidRPr="00FD620F">
        <w:rPr>
          <w:noProof/>
        </w:rPr>
        <w:t xml:space="preserve"> and/</w:t>
      </w:r>
      <w:r w:rsidR="008D4508" w:rsidRPr="00FD620F">
        <w:rPr>
          <w:noProof/>
        </w:rPr>
        <w:t>or citizen science data, leveraging the opportunities offered by artificial intelligence, advanced data analysis and processing</w:t>
      </w:r>
      <w:r w:rsidRPr="00FD620F">
        <w:rPr>
          <w:noProof/>
        </w:rPr>
        <w:t>;</w:t>
      </w:r>
    </w:p>
    <w:p w14:paraId="2DF5737E" w14:textId="77777777" w:rsidR="0084742E" w:rsidRPr="00FD620F" w:rsidRDefault="0084742E" w:rsidP="00F756F5">
      <w:pPr>
        <w:pStyle w:val="Text2"/>
        <w:rPr>
          <w:noProof/>
        </w:rPr>
      </w:pPr>
      <w:r w:rsidRPr="00FD620F">
        <w:rPr>
          <w:noProof/>
        </w:rPr>
        <w:t>(</w:t>
      </w:r>
      <w:r w:rsidR="00D75DD8" w:rsidRPr="00FD620F">
        <w:rPr>
          <w:noProof/>
        </w:rPr>
        <w:t>g</w:t>
      </w:r>
      <w:r w:rsidRPr="00FD620F">
        <w:rPr>
          <w:noProof/>
        </w:rPr>
        <w:t xml:space="preserve">) </w:t>
      </w:r>
      <w:r w:rsidR="005778F1" w:rsidRPr="00FD620F">
        <w:rPr>
          <w:noProof/>
        </w:rPr>
        <w:t>comments and information from relevant stakeholders</w:t>
      </w:r>
      <w:r w:rsidR="00D75DD8" w:rsidRPr="00FD620F">
        <w:rPr>
          <w:noProof/>
        </w:rPr>
        <w:t>.</w:t>
      </w:r>
      <w:r w:rsidR="008232C8" w:rsidRPr="00FD620F">
        <w:rPr>
          <w:noProof/>
        </w:rPr>
        <w:t xml:space="preserve"> </w:t>
      </w:r>
    </w:p>
    <w:p w14:paraId="3C5C7188" w14:textId="64C2AE46" w:rsidR="00887BDB" w:rsidRPr="00FD620F" w:rsidRDefault="007767F8" w:rsidP="00C520F3">
      <w:pPr>
        <w:ind w:left="709"/>
        <w:rPr>
          <w:i/>
          <w:noProof/>
        </w:rPr>
      </w:pPr>
      <w:r w:rsidRPr="00FD620F">
        <w:rPr>
          <w:bCs/>
          <w:noProof/>
        </w:rPr>
        <w:t>6</w:t>
      </w:r>
      <w:r w:rsidR="00E431C7" w:rsidRPr="00FD620F">
        <w:rPr>
          <w:bCs/>
          <w:noProof/>
        </w:rPr>
        <w:t>.</w:t>
      </w:r>
      <w:r w:rsidR="000C0A87" w:rsidRPr="00FD620F">
        <w:rPr>
          <w:noProof/>
        </w:rPr>
        <w:t xml:space="preserve"> </w:t>
      </w:r>
      <w:r w:rsidR="000C0A87" w:rsidRPr="00FD620F">
        <w:rPr>
          <w:bCs/>
          <w:noProof/>
        </w:rPr>
        <w:t>ECHA shall</w:t>
      </w:r>
      <w:r w:rsidR="00C42980" w:rsidRPr="00FD620F">
        <w:rPr>
          <w:bCs/>
          <w:noProof/>
        </w:rPr>
        <w:t>,</w:t>
      </w:r>
      <w:r w:rsidR="000C0A87" w:rsidRPr="00FD620F">
        <w:rPr>
          <w:bCs/>
          <w:noProof/>
        </w:rPr>
        <w:t xml:space="preserve"> </w:t>
      </w:r>
      <w:r w:rsidR="00732A71" w:rsidRPr="00FD620F">
        <w:rPr>
          <w:bCs/>
          <w:noProof/>
        </w:rPr>
        <w:t>every six years</w:t>
      </w:r>
      <w:r w:rsidR="00C42980" w:rsidRPr="00FD620F">
        <w:rPr>
          <w:bCs/>
          <w:noProof/>
        </w:rPr>
        <w:t>,</w:t>
      </w:r>
      <w:r w:rsidR="00732A71" w:rsidRPr="00FD620F">
        <w:rPr>
          <w:bCs/>
          <w:noProof/>
        </w:rPr>
        <w:t xml:space="preserve"> </w:t>
      </w:r>
      <w:r w:rsidR="000C0A87" w:rsidRPr="00FD620F">
        <w:rPr>
          <w:bCs/>
          <w:noProof/>
        </w:rPr>
        <w:t xml:space="preserve">prepare </w:t>
      </w:r>
      <w:r w:rsidR="00D375F3" w:rsidRPr="00FD620F">
        <w:rPr>
          <w:noProof/>
        </w:rPr>
        <w:t xml:space="preserve">and make publicly </w:t>
      </w:r>
      <w:r w:rsidR="00DB0185" w:rsidRPr="00FD620F">
        <w:rPr>
          <w:noProof/>
        </w:rPr>
        <w:t xml:space="preserve">available </w:t>
      </w:r>
      <w:r w:rsidR="00F9081D">
        <w:rPr>
          <w:noProof/>
        </w:rPr>
        <w:t xml:space="preserve">a </w:t>
      </w:r>
      <w:r w:rsidR="000C0A87" w:rsidRPr="00FD620F">
        <w:rPr>
          <w:noProof/>
        </w:rPr>
        <w:t>report</w:t>
      </w:r>
      <w:r w:rsidR="006412D2" w:rsidRPr="00FD620F">
        <w:rPr>
          <w:noProof/>
        </w:rPr>
        <w:t xml:space="preserve">, </w:t>
      </w:r>
      <w:r w:rsidR="000C0A87" w:rsidRPr="00FD620F">
        <w:rPr>
          <w:noProof/>
        </w:rPr>
        <w:t xml:space="preserve">summarizing the </w:t>
      </w:r>
      <w:r w:rsidR="00732A71" w:rsidRPr="00FD620F">
        <w:rPr>
          <w:noProof/>
        </w:rPr>
        <w:t xml:space="preserve">findings of the </w:t>
      </w:r>
      <w:r w:rsidR="00110CA9" w:rsidRPr="00FD620F">
        <w:rPr>
          <w:noProof/>
        </w:rPr>
        <w:t>review referred to in paragraphs 2 and 3.</w:t>
      </w:r>
      <w:r w:rsidR="000C0A87" w:rsidRPr="00FD620F">
        <w:rPr>
          <w:noProof/>
        </w:rPr>
        <w:t xml:space="preserve"> The first report shall be submitted </w:t>
      </w:r>
      <w:r w:rsidR="00732A71" w:rsidRPr="00FD620F">
        <w:rPr>
          <w:noProof/>
        </w:rPr>
        <w:t xml:space="preserve">to the Commission </w:t>
      </w:r>
      <w:r w:rsidR="000C0A87" w:rsidRPr="00FD620F">
        <w:rPr>
          <w:noProof/>
        </w:rPr>
        <w:t xml:space="preserve">on </w:t>
      </w:r>
      <w:r w:rsidR="00732A71" w:rsidRPr="00FD620F">
        <w:rPr>
          <w:noProof/>
        </w:rPr>
        <w:t>…</w:t>
      </w:r>
      <w:r w:rsidR="000C0A87" w:rsidRPr="00FD620F">
        <w:rPr>
          <w:noProof/>
        </w:rPr>
        <w:t xml:space="preserve"> [</w:t>
      </w:r>
      <w:r w:rsidR="00732A71" w:rsidRPr="00FD620F">
        <w:rPr>
          <w:noProof/>
        </w:rPr>
        <w:t xml:space="preserve">OP: Please insert the date = </w:t>
      </w:r>
      <w:r w:rsidR="00F73BA6" w:rsidRPr="00FD620F">
        <w:rPr>
          <w:noProof/>
        </w:rPr>
        <w:t xml:space="preserve">five </w:t>
      </w:r>
      <w:r w:rsidR="000C0A87" w:rsidRPr="00FD620F">
        <w:rPr>
          <w:noProof/>
        </w:rPr>
        <w:t>year</w:t>
      </w:r>
      <w:r w:rsidR="00F73BA6" w:rsidRPr="00FD620F">
        <w:rPr>
          <w:noProof/>
        </w:rPr>
        <w:t>s</w:t>
      </w:r>
      <w:r w:rsidR="000C0A87" w:rsidRPr="00FD620F">
        <w:rPr>
          <w:noProof/>
        </w:rPr>
        <w:t xml:space="preserve"> </w:t>
      </w:r>
      <w:r w:rsidR="008C6F3D" w:rsidRPr="00FD620F">
        <w:rPr>
          <w:noProof/>
        </w:rPr>
        <w:t>after the date of entry into force of this Directive</w:t>
      </w:r>
      <w:r w:rsidR="000C0A87" w:rsidRPr="00FD620F">
        <w:rPr>
          <w:noProof/>
        </w:rPr>
        <w:t>].</w:t>
      </w:r>
    </w:p>
    <w:p w14:paraId="417C3032" w14:textId="33FFEEF7" w:rsidR="005E1637" w:rsidRPr="00FD620F" w:rsidRDefault="00312D4D" w:rsidP="00312D4D">
      <w:pPr>
        <w:pStyle w:val="Point0"/>
        <w:rPr>
          <w:noProof/>
        </w:rPr>
      </w:pPr>
      <w:r w:rsidRPr="00312D4D">
        <w:t>(8)</w:t>
      </w:r>
      <w:r w:rsidRPr="00312D4D">
        <w:tab/>
      </w:r>
      <w:r w:rsidR="00085D30" w:rsidRPr="00FD620F">
        <w:rPr>
          <w:noProof/>
        </w:rPr>
        <w:t>t</w:t>
      </w:r>
      <w:r w:rsidR="00151078" w:rsidRPr="00FD620F">
        <w:rPr>
          <w:noProof/>
        </w:rPr>
        <w:t xml:space="preserve">he following </w:t>
      </w:r>
      <w:r w:rsidR="005E1637" w:rsidRPr="00FD620F">
        <w:rPr>
          <w:noProof/>
        </w:rPr>
        <w:t xml:space="preserve">Article </w:t>
      </w:r>
      <w:r w:rsidR="006825D3" w:rsidRPr="00FD620F">
        <w:rPr>
          <w:noProof/>
        </w:rPr>
        <w:t xml:space="preserve">8a is </w:t>
      </w:r>
      <w:r w:rsidR="00151078" w:rsidRPr="00FD620F">
        <w:rPr>
          <w:noProof/>
        </w:rPr>
        <w:t>inserted</w:t>
      </w:r>
      <w:r w:rsidR="005E1637" w:rsidRPr="00FD620F">
        <w:rPr>
          <w:noProof/>
        </w:rPr>
        <w:t>:</w:t>
      </w:r>
    </w:p>
    <w:p w14:paraId="5451B412" w14:textId="77777777" w:rsidR="005E1637" w:rsidRPr="00FD620F" w:rsidRDefault="0084742E" w:rsidP="0079670C">
      <w:pPr>
        <w:ind w:left="709"/>
        <w:jc w:val="center"/>
        <w:rPr>
          <w:bCs/>
          <w:i/>
          <w:noProof/>
        </w:rPr>
      </w:pPr>
      <w:r w:rsidRPr="00FD620F">
        <w:rPr>
          <w:bCs/>
          <w:noProof/>
        </w:rPr>
        <w:t>’</w:t>
      </w:r>
      <w:r w:rsidR="005E1637" w:rsidRPr="00FD620F">
        <w:rPr>
          <w:bCs/>
          <w:i/>
          <w:noProof/>
        </w:rPr>
        <w:t xml:space="preserve">Article </w:t>
      </w:r>
      <w:r w:rsidR="006825D3" w:rsidRPr="00FD620F">
        <w:rPr>
          <w:bCs/>
          <w:i/>
          <w:noProof/>
        </w:rPr>
        <w:t>8a</w:t>
      </w:r>
    </w:p>
    <w:p w14:paraId="5D76026F" w14:textId="77777777" w:rsidR="0084742E" w:rsidRPr="00FD620F" w:rsidRDefault="0084742E" w:rsidP="00FB7B4D">
      <w:pPr>
        <w:ind w:left="709"/>
        <w:jc w:val="center"/>
        <w:rPr>
          <w:b/>
          <w:bCs/>
          <w:noProof/>
        </w:rPr>
      </w:pPr>
      <w:r w:rsidRPr="00FD620F">
        <w:rPr>
          <w:b/>
          <w:bCs/>
          <w:noProof/>
        </w:rPr>
        <w:t>Exercise of the delegation</w:t>
      </w:r>
    </w:p>
    <w:p w14:paraId="13484BBF" w14:textId="77777777" w:rsidR="005E1637" w:rsidRPr="00FD620F" w:rsidRDefault="005E1637" w:rsidP="005E1637">
      <w:pPr>
        <w:ind w:left="709"/>
        <w:rPr>
          <w:bCs/>
          <w:noProof/>
        </w:rPr>
      </w:pPr>
      <w:r w:rsidRPr="00FD620F">
        <w:rPr>
          <w:bCs/>
          <w:noProof/>
        </w:rPr>
        <w:t>1. The power to adopt delegated acts is conferred on the Commission subject to the conditions laid down in this Article.</w:t>
      </w:r>
    </w:p>
    <w:p w14:paraId="578E95AF" w14:textId="77777777" w:rsidR="005E1637" w:rsidRPr="00FD620F" w:rsidRDefault="005E1637" w:rsidP="005E1637">
      <w:pPr>
        <w:ind w:left="709"/>
        <w:rPr>
          <w:bCs/>
          <w:noProof/>
        </w:rPr>
      </w:pPr>
      <w:r w:rsidRPr="00FD620F">
        <w:rPr>
          <w:bCs/>
          <w:noProof/>
        </w:rPr>
        <w:t xml:space="preserve">2. The </w:t>
      </w:r>
      <w:r w:rsidR="0084742E" w:rsidRPr="00FD620F">
        <w:rPr>
          <w:bCs/>
          <w:noProof/>
        </w:rPr>
        <w:t xml:space="preserve">power to adopt delegated acts </w:t>
      </w:r>
      <w:r w:rsidRPr="00FD620F">
        <w:rPr>
          <w:bCs/>
          <w:noProof/>
        </w:rPr>
        <w:t xml:space="preserve">referred to in Article 8(1) and (2) shall be conferred on the Commission for an indeterminate period of time from </w:t>
      </w:r>
      <w:r w:rsidR="0084742E" w:rsidRPr="00FD620F">
        <w:rPr>
          <w:bCs/>
          <w:noProof/>
        </w:rPr>
        <w:t xml:space="preserve">[OP please insert the date = the date of </w:t>
      </w:r>
      <w:r w:rsidRPr="00FD620F">
        <w:rPr>
          <w:bCs/>
          <w:noProof/>
        </w:rPr>
        <w:t>entry into force of this Directive</w:t>
      </w:r>
      <w:r w:rsidR="0084742E" w:rsidRPr="00FD620F">
        <w:rPr>
          <w:bCs/>
          <w:noProof/>
        </w:rPr>
        <w:t>]</w:t>
      </w:r>
      <w:r w:rsidRPr="00FD620F">
        <w:rPr>
          <w:bCs/>
          <w:noProof/>
        </w:rPr>
        <w:t>.</w:t>
      </w:r>
    </w:p>
    <w:p w14:paraId="1411365D" w14:textId="77777777" w:rsidR="005E1637" w:rsidRPr="00FD620F" w:rsidRDefault="005E1637" w:rsidP="005E1637">
      <w:pPr>
        <w:ind w:left="709"/>
        <w:rPr>
          <w:bCs/>
          <w:noProof/>
        </w:rPr>
      </w:pPr>
      <w:r w:rsidRPr="00FD620F">
        <w:rPr>
          <w:bCs/>
          <w:noProof/>
        </w:rPr>
        <w:t xml:space="preserve">3. The delegation of power referred to in Article 8(1) and (2) may be revoked at any time by the European Parliament and the Council. A decision to revoke shall put an end to the delegation of the power specified </w:t>
      </w:r>
      <w:r w:rsidR="0084742E" w:rsidRPr="00FD620F">
        <w:rPr>
          <w:bCs/>
          <w:noProof/>
        </w:rPr>
        <w:t xml:space="preserve">in </w:t>
      </w:r>
      <w:r w:rsidRPr="00FD620F">
        <w:rPr>
          <w:bCs/>
          <w:noProof/>
        </w:rPr>
        <w:t xml:space="preserve">that decision. It shall take effect the day following the publication of the decision in the </w:t>
      </w:r>
      <w:r w:rsidRPr="00FD620F">
        <w:rPr>
          <w:bCs/>
          <w:i/>
          <w:noProof/>
        </w:rPr>
        <w:t>Official Journal of the European Union</w:t>
      </w:r>
      <w:r w:rsidRPr="00FD620F">
        <w:rPr>
          <w:bCs/>
          <w:noProof/>
        </w:rPr>
        <w:t xml:space="preserve"> or at a later date specified therein. It shall not affect the validity of the delegated acts already in force.</w:t>
      </w:r>
    </w:p>
    <w:p w14:paraId="735F54D0" w14:textId="77777777" w:rsidR="005E1637" w:rsidRPr="00FD620F" w:rsidRDefault="005E1637" w:rsidP="005E1637">
      <w:pPr>
        <w:ind w:left="709"/>
        <w:rPr>
          <w:bCs/>
          <w:noProof/>
        </w:rPr>
      </w:pPr>
      <w:r w:rsidRPr="00FD620F">
        <w:rPr>
          <w:bCs/>
          <w:noProof/>
        </w:rPr>
        <w:t xml:space="preserve">4. Before adopting a delegated act, the Commission shall consult experts designated by each Member State in accordance with the principles laid down in the Interinstitutional Agreement </w:t>
      </w:r>
      <w:r w:rsidR="0084742E" w:rsidRPr="00FD620F">
        <w:rPr>
          <w:bCs/>
          <w:noProof/>
        </w:rPr>
        <w:t xml:space="preserve">of 13 April 2016 </w:t>
      </w:r>
      <w:r w:rsidRPr="00FD620F">
        <w:rPr>
          <w:bCs/>
          <w:noProof/>
        </w:rPr>
        <w:t>on Better Law-Marking.</w:t>
      </w:r>
    </w:p>
    <w:p w14:paraId="2B45B742" w14:textId="77777777" w:rsidR="005E1637" w:rsidRPr="00FD620F" w:rsidRDefault="005E1637" w:rsidP="005E1637">
      <w:pPr>
        <w:ind w:left="709"/>
        <w:rPr>
          <w:bCs/>
          <w:noProof/>
        </w:rPr>
      </w:pPr>
      <w:r w:rsidRPr="00FD620F">
        <w:rPr>
          <w:bCs/>
          <w:noProof/>
        </w:rPr>
        <w:t xml:space="preserve">5. As soon as it adopts a delegated act, the Commission shall notify it simultaneously to the European Parliament and </w:t>
      </w:r>
      <w:r w:rsidR="0084742E" w:rsidRPr="00FD620F">
        <w:rPr>
          <w:bCs/>
          <w:noProof/>
        </w:rPr>
        <w:t xml:space="preserve">to </w:t>
      </w:r>
      <w:r w:rsidRPr="00FD620F">
        <w:rPr>
          <w:bCs/>
          <w:noProof/>
        </w:rPr>
        <w:t>the Council.</w:t>
      </w:r>
    </w:p>
    <w:p w14:paraId="2C943705" w14:textId="77777777" w:rsidR="005E1637" w:rsidRPr="00FD620F" w:rsidRDefault="005E1637" w:rsidP="005E1637">
      <w:pPr>
        <w:ind w:left="709"/>
        <w:rPr>
          <w:b/>
          <w:bCs/>
          <w:noProof/>
        </w:rPr>
      </w:pPr>
      <w:r w:rsidRPr="00FD620F">
        <w:rPr>
          <w:bCs/>
          <w:noProof/>
        </w:rPr>
        <w:t xml:space="preserve">6. A delegated act adopted pursuant to Article 8(1) </w:t>
      </w:r>
      <w:r w:rsidR="0084742E" w:rsidRPr="00FD620F">
        <w:rPr>
          <w:bCs/>
          <w:noProof/>
        </w:rPr>
        <w:t xml:space="preserve">or </w:t>
      </w:r>
      <w:r w:rsidRPr="00FD620F">
        <w:rPr>
          <w:bCs/>
          <w:noProof/>
        </w:rPr>
        <w:t>(2)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r w:rsidR="0084742E" w:rsidRPr="00FD620F">
        <w:rPr>
          <w:bCs/>
          <w:noProof/>
        </w:rPr>
        <w:t>’;</w:t>
      </w:r>
    </w:p>
    <w:p w14:paraId="4D0F7EB3" w14:textId="1A5E701E" w:rsidR="00BE587E" w:rsidRPr="00FD620F" w:rsidRDefault="00312D4D" w:rsidP="00312D4D">
      <w:pPr>
        <w:pStyle w:val="Point0"/>
        <w:rPr>
          <w:noProof/>
        </w:rPr>
      </w:pPr>
      <w:r w:rsidRPr="00312D4D">
        <w:t>(9)</w:t>
      </w:r>
      <w:r w:rsidRPr="00312D4D">
        <w:tab/>
      </w:r>
      <w:r w:rsidR="006825D3" w:rsidRPr="00FD620F">
        <w:rPr>
          <w:noProof/>
        </w:rPr>
        <w:t xml:space="preserve">Article 9 is replaced </w:t>
      </w:r>
      <w:r w:rsidR="007117E3" w:rsidRPr="00FD620F">
        <w:rPr>
          <w:noProof/>
        </w:rPr>
        <w:t>by</w:t>
      </w:r>
      <w:r w:rsidR="006825D3" w:rsidRPr="00FD620F">
        <w:rPr>
          <w:noProof/>
        </w:rPr>
        <w:t xml:space="preserve"> the following:</w:t>
      </w:r>
    </w:p>
    <w:p w14:paraId="667C8898" w14:textId="77777777" w:rsidR="006825D3" w:rsidRPr="00FD620F" w:rsidRDefault="0079670C" w:rsidP="0079670C">
      <w:pPr>
        <w:ind w:left="709"/>
        <w:jc w:val="center"/>
        <w:rPr>
          <w:noProof/>
        </w:rPr>
      </w:pPr>
      <w:r w:rsidRPr="00FD620F">
        <w:rPr>
          <w:noProof/>
        </w:rPr>
        <w:t>‘</w:t>
      </w:r>
      <w:r w:rsidR="006825D3" w:rsidRPr="00FD620F">
        <w:rPr>
          <w:i/>
          <w:noProof/>
        </w:rPr>
        <w:t>Article 9</w:t>
      </w:r>
    </w:p>
    <w:p w14:paraId="52911AD1" w14:textId="77777777" w:rsidR="006825D3" w:rsidRPr="00FD620F" w:rsidRDefault="006825D3" w:rsidP="00FB7B4D">
      <w:pPr>
        <w:ind w:left="709"/>
        <w:jc w:val="center"/>
        <w:rPr>
          <w:b/>
          <w:noProof/>
        </w:rPr>
      </w:pPr>
      <w:r w:rsidRPr="00FD620F">
        <w:rPr>
          <w:b/>
          <w:noProof/>
        </w:rPr>
        <w:t>Committee procedure</w:t>
      </w:r>
    </w:p>
    <w:p w14:paraId="23BE9779" w14:textId="77777777" w:rsidR="006825D3" w:rsidRPr="00FD620F" w:rsidRDefault="006825D3" w:rsidP="006825D3">
      <w:pPr>
        <w:ind w:left="709"/>
        <w:rPr>
          <w:bCs/>
          <w:noProof/>
        </w:rPr>
      </w:pPr>
      <w:r w:rsidRPr="00FD620F">
        <w:rPr>
          <w:noProof/>
        </w:rPr>
        <w:t xml:space="preserve">1. The Commission shall be assisted by a </w:t>
      </w:r>
      <w:r w:rsidR="00187E50" w:rsidRPr="00FD620F">
        <w:rPr>
          <w:noProof/>
        </w:rPr>
        <w:t>Committee</w:t>
      </w:r>
      <w:r w:rsidRPr="00FD620F">
        <w:rPr>
          <w:noProof/>
        </w:rPr>
        <w:t xml:space="preserve">. </w:t>
      </w:r>
      <w:r w:rsidRPr="00FD620F">
        <w:rPr>
          <w:bCs/>
          <w:noProof/>
        </w:rPr>
        <w:t>That committee shall be a committee within the meaning of Regulation (EU) No 182/2011</w:t>
      </w:r>
      <w:r w:rsidR="007C36D6" w:rsidRPr="00FD620F">
        <w:rPr>
          <w:bCs/>
          <w:noProof/>
        </w:rPr>
        <w:t xml:space="preserve"> of the European Parliament and of the Council*</w:t>
      </w:r>
      <w:r w:rsidRPr="00FD620F">
        <w:rPr>
          <w:bCs/>
          <w:noProof/>
        </w:rPr>
        <w:t>.</w:t>
      </w:r>
    </w:p>
    <w:p w14:paraId="61C5C4BD" w14:textId="77777777" w:rsidR="006825D3" w:rsidRPr="00FD620F" w:rsidRDefault="006825D3" w:rsidP="006825D3">
      <w:pPr>
        <w:ind w:left="709"/>
        <w:rPr>
          <w:bCs/>
          <w:noProof/>
        </w:rPr>
      </w:pPr>
      <w:r w:rsidRPr="00FD620F">
        <w:rPr>
          <w:noProof/>
        </w:rPr>
        <w:t xml:space="preserve">2. Where reference is made to this paragraph, </w:t>
      </w:r>
      <w:r w:rsidRPr="00FD620F">
        <w:rPr>
          <w:bCs/>
          <w:noProof/>
        </w:rPr>
        <w:t>Article 5 of Regulation (EU) No 182/2011 shall apply.</w:t>
      </w:r>
    </w:p>
    <w:p w14:paraId="7B1960F2" w14:textId="77777777" w:rsidR="00DD317F" w:rsidRPr="00FD620F" w:rsidRDefault="006825D3" w:rsidP="006825D3">
      <w:pPr>
        <w:ind w:left="709"/>
        <w:rPr>
          <w:i/>
          <w:noProof/>
        </w:rPr>
      </w:pPr>
      <w:r w:rsidRPr="00FD620F">
        <w:rPr>
          <w:bCs/>
          <w:noProof/>
        </w:rPr>
        <w:t>Where the Committee delivers no opinion, the Commission shall not adopt the draft implementing act and Article 5(4)</w:t>
      </w:r>
      <w:r w:rsidR="00085D30" w:rsidRPr="00FD620F">
        <w:rPr>
          <w:bCs/>
          <w:noProof/>
        </w:rPr>
        <w:t>, third subparagraph,</w:t>
      </w:r>
      <w:r w:rsidRPr="00FD620F">
        <w:rPr>
          <w:bCs/>
          <w:noProof/>
        </w:rPr>
        <w:t xml:space="preserve"> of Regulation (EU) No 182/2011 shall apply.</w:t>
      </w:r>
      <w:r w:rsidR="0084742E" w:rsidRPr="00FD620F">
        <w:rPr>
          <w:bCs/>
          <w:noProof/>
        </w:rPr>
        <w:t>’;</w:t>
      </w:r>
      <w:r w:rsidR="00DD317F" w:rsidRPr="00FD620F">
        <w:rPr>
          <w:i/>
          <w:noProof/>
        </w:rPr>
        <w:t xml:space="preserve"> </w:t>
      </w:r>
    </w:p>
    <w:p w14:paraId="17A91F66" w14:textId="77777777" w:rsidR="007C36D6" w:rsidRPr="00FD620F" w:rsidRDefault="007C36D6" w:rsidP="007C36D6">
      <w:pPr>
        <w:ind w:left="709"/>
        <w:rPr>
          <w:bCs/>
          <w:noProof/>
          <w:u w:val="single"/>
        </w:rPr>
      </w:pPr>
      <w:r w:rsidRPr="00FD620F">
        <w:rPr>
          <w:bCs/>
          <w:noProof/>
          <w:u w:val="single"/>
        </w:rPr>
        <w:tab/>
      </w:r>
      <w:r w:rsidRPr="00FD620F">
        <w:rPr>
          <w:bCs/>
          <w:noProof/>
          <w:u w:val="single"/>
        </w:rPr>
        <w:tab/>
      </w:r>
      <w:r w:rsidRPr="00FD620F">
        <w:rPr>
          <w:bCs/>
          <w:noProof/>
          <w:u w:val="single"/>
        </w:rPr>
        <w:tab/>
      </w:r>
      <w:r w:rsidRPr="00FD620F">
        <w:rPr>
          <w:bCs/>
          <w:noProof/>
          <w:u w:val="single"/>
        </w:rPr>
        <w:tab/>
      </w:r>
      <w:r w:rsidRPr="00FD620F">
        <w:rPr>
          <w:bCs/>
          <w:noProof/>
          <w:u w:val="single"/>
        </w:rPr>
        <w:tab/>
      </w:r>
      <w:r w:rsidRPr="00FD620F">
        <w:rPr>
          <w:bCs/>
          <w:noProof/>
          <w:u w:val="single"/>
        </w:rPr>
        <w:tab/>
      </w:r>
      <w:r w:rsidRPr="00FD620F">
        <w:rPr>
          <w:bCs/>
          <w:noProof/>
          <w:u w:val="single"/>
        </w:rPr>
        <w:tab/>
      </w:r>
      <w:r w:rsidRPr="00FD620F">
        <w:rPr>
          <w:bCs/>
          <w:noProof/>
          <w:u w:val="single"/>
        </w:rPr>
        <w:tab/>
      </w:r>
    </w:p>
    <w:p w14:paraId="4E264CB8" w14:textId="77777777" w:rsidR="00F9081D" w:rsidRDefault="007C36D6" w:rsidP="00AA4E33">
      <w:pPr>
        <w:pStyle w:val="Text1"/>
        <w:rPr>
          <w:i/>
          <w:noProof/>
        </w:rPr>
      </w:pPr>
      <w:r w:rsidRPr="00FD620F">
        <w:rPr>
          <w:noProof/>
        </w:rPr>
        <w:t>* Regulation (EU) No 182/2011 of the European Parliament and of the Council of 16 February 2011 laying down the rules and general principles concerning mechanisms for control by Member States of the Commission’s exercise of implementing powers (OJ L 55, 28.2.2011, p. 13).’;</w:t>
      </w:r>
      <w:r w:rsidRPr="00FD620F">
        <w:rPr>
          <w:i/>
          <w:noProof/>
        </w:rPr>
        <w:t xml:space="preserve"> </w:t>
      </w:r>
    </w:p>
    <w:p w14:paraId="2E59FF51" w14:textId="768D00A3" w:rsidR="00F569D1" w:rsidRPr="00FD620F" w:rsidRDefault="00312D4D" w:rsidP="00312D4D">
      <w:pPr>
        <w:pStyle w:val="Point0"/>
        <w:rPr>
          <w:noProof/>
        </w:rPr>
      </w:pPr>
      <w:r w:rsidRPr="00312D4D">
        <w:t>(10)</w:t>
      </w:r>
      <w:r w:rsidRPr="00312D4D">
        <w:tab/>
      </w:r>
      <w:r w:rsidR="00E241F3" w:rsidRPr="00FD620F">
        <w:rPr>
          <w:noProof/>
        </w:rPr>
        <w:t>Article 10 is deleted</w:t>
      </w:r>
      <w:r w:rsidR="0084742E" w:rsidRPr="00FD620F">
        <w:rPr>
          <w:noProof/>
        </w:rPr>
        <w:t>;</w:t>
      </w:r>
    </w:p>
    <w:p w14:paraId="4DA4A369" w14:textId="2F12928D" w:rsidR="007C36D6" w:rsidRPr="00FD620F" w:rsidRDefault="00312D4D" w:rsidP="00312D4D">
      <w:pPr>
        <w:pStyle w:val="Point0"/>
        <w:rPr>
          <w:noProof/>
        </w:rPr>
      </w:pPr>
      <w:r w:rsidRPr="00312D4D">
        <w:t>(11)</w:t>
      </w:r>
      <w:r w:rsidRPr="00312D4D">
        <w:tab/>
      </w:r>
      <w:r w:rsidR="00EC1621" w:rsidRPr="00FD620F">
        <w:rPr>
          <w:noProof/>
        </w:rPr>
        <w:t xml:space="preserve">Annex I is replaced </w:t>
      </w:r>
      <w:r w:rsidR="007117E3" w:rsidRPr="00FD620F">
        <w:rPr>
          <w:noProof/>
        </w:rPr>
        <w:t xml:space="preserve">by </w:t>
      </w:r>
      <w:r w:rsidR="00EC1621" w:rsidRPr="00FD620F">
        <w:rPr>
          <w:noProof/>
        </w:rPr>
        <w:t xml:space="preserve">the </w:t>
      </w:r>
      <w:r w:rsidR="0084742E" w:rsidRPr="00FD620F">
        <w:rPr>
          <w:noProof/>
        </w:rPr>
        <w:t xml:space="preserve">text in Annex </w:t>
      </w:r>
      <w:r w:rsidR="007C36D6" w:rsidRPr="00FD620F">
        <w:rPr>
          <w:noProof/>
        </w:rPr>
        <w:t>II</w:t>
      </w:r>
      <w:r w:rsidR="00F9081D">
        <w:rPr>
          <w:noProof/>
        </w:rPr>
        <w:t>I</w:t>
      </w:r>
      <w:r w:rsidR="0084742E" w:rsidRPr="00FD620F">
        <w:rPr>
          <w:noProof/>
        </w:rPr>
        <w:t xml:space="preserve"> to this Directive</w:t>
      </w:r>
      <w:r w:rsidR="001D279A" w:rsidRPr="00FD620F">
        <w:rPr>
          <w:noProof/>
        </w:rPr>
        <w:t>;</w:t>
      </w:r>
      <w:r w:rsidR="00EC1621" w:rsidRPr="00FD620F">
        <w:rPr>
          <w:noProof/>
        </w:rPr>
        <w:t xml:space="preserve"> </w:t>
      </w:r>
    </w:p>
    <w:p w14:paraId="401DDCF2" w14:textId="5215F2DB" w:rsidR="00D76065" w:rsidRPr="00FD620F" w:rsidRDefault="00312D4D" w:rsidP="00312D4D">
      <w:pPr>
        <w:pStyle w:val="Point0"/>
        <w:rPr>
          <w:noProof/>
        </w:rPr>
      </w:pPr>
      <w:r w:rsidRPr="00312D4D">
        <w:t>(12)</w:t>
      </w:r>
      <w:r w:rsidRPr="00312D4D">
        <w:tab/>
      </w:r>
      <w:r w:rsidR="007C36D6" w:rsidRPr="00FD620F">
        <w:rPr>
          <w:noProof/>
        </w:rPr>
        <w:t>Annex II is amended in accordance with Annex I</w:t>
      </w:r>
      <w:r w:rsidR="00F9081D">
        <w:rPr>
          <w:noProof/>
        </w:rPr>
        <w:t>V</w:t>
      </w:r>
      <w:r w:rsidR="007C36D6" w:rsidRPr="00FD620F">
        <w:rPr>
          <w:noProof/>
        </w:rPr>
        <w:t xml:space="preserve"> to this Directive;</w:t>
      </w:r>
      <w:r w:rsidR="00881891" w:rsidRPr="00FD620F">
        <w:rPr>
          <w:noProof/>
        </w:rPr>
        <w:t xml:space="preserve">  </w:t>
      </w:r>
    </w:p>
    <w:p w14:paraId="54B1F5AC" w14:textId="0F73371C" w:rsidR="00816750" w:rsidRPr="00FD620F" w:rsidRDefault="00312D4D" w:rsidP="00312D4D">
      <w:pPr>
        <w:pStyle w:val="Point0"/>
        <w:rPr>
          <w:noProof/>
        </w:rPr>
      </w:pPr>
      <w:r w:rsidRPr="00312D4D">
        <w:t>(13)</w:t>
      </w:r>
      <w:r w:rsidRPr="00312D4D">
        <w:tab/>
      </w:r>
      <w:r w:rsidR="00816750" w:rsidRPr="00FD620F">
        <w:rPr>
          <w:noProof/>
        </w:rPr>
        <w:t xml:space="preserve">in Annex III, point </w:t>
      </w:r>
      <w:r w:rsidR="0038083F" w:rsidRPr="00FD620F">
        <w:rPr>
          <w:noProof/>
        </w:rPr>
        <w:t>2</w:t>
      </w:r>
      <w:r w:rsidR="00816750" w:rsidRPr="00FD620F">
        <w:rPr>
          <w:noProof/>
        </w:rPr>
        <w:t>(c) is replaced by the following:</w:t>
      </w:r>
    </w:p>
    <w:p w14:paraId="4A2AA572" w14:textId="14C64AFB" w:rsidR="00881891" w:rsidRPr="00FD620F" w:rsidRDefault="00816750" w:rsidP="008A166C">
      <w:pPr>
        <w:pStyle w:val="Text1"/>
        <w:rPr>
          <w:i/>
          <w:noProof/>
        </w:rPr>
      </w:pPr>
      <w:r w:rsidRPr="00FD620F">
        <w:rPr>
          <w:noProof/>
        </w:rPr>
        <w:t>‘(c) any other relevant information including a comparison of the annual arithmetic mean concentration of the relevant pollutants at a monitoring point with the groundwater quality standards set out in Annex I</w:t>
      </w:r>
      <w:r w:rsidR="00FB08E9" w:rsidRPr="00FD620F">
        <w:rPr>
          <w:noProof/>
        </w:rPr>
        <w:t xml:space="preserve"> and with</w:t>
      </w:r>
      <w:r w:rsidR="00286297" w:rsidRPr="00FD620F">
        <w:rPr>
          <w:noProof/>
        </w:rPr>
        <w:t xml:space="preserve"> </w:t>
      </w:r>
      <w:r w:rsidRPr="00FD620F">
        <w:rPr>
          <w:noProof/>
        </w:rPr>
        <w:t xml:space="preserve">the threshold values </w:t>
      </w:r>
      <w:r w:rsidR="001E7EB5" w:rsidRPr="00FD620F">
        <w:rPr>
          <w:noProof/>
        </w:rPr>
        <w:t xml:space="preserve">referred to in </w:t>
      </w:r>
      <w:r w:rsidRPr="00FD620F">
        <w:rPr>
          <w:noProof/>
        </w:rPr>
        <w:t>Article 3</w:t>
      </w:r>
      <w:r w:rsidR="001E7EB5" w:rsidRPr="00FD620F">
        <w:rPr>
          <w:noProof/>
        </w:rPr>
        <w:t>(1), point</w:t>
      </w:r>
      <w:r w:rsidR="00F9081D">
        <w:rPr>
          <w:noProof/>
        </w:rPr>
        <w:t>s</w:t>
      </w:r>
      <w:r w:rsidR="001E7EB5" w:rsidRPr="00FD620F">
        <w:rPr>
          <w:noProof/>
        </w:rPr>
        <w:t xml:space="preserve"> (b)</w:t>
      </w:r>
      <w:r w:rsidR="00FB08E9" w:rsidRPr="00FD620F">
        <w:rPr>
          <w:noProof/>
        </w:rPr>
        <w:t xml:space="preserve"> and (c)</w:t>
      </w:r>
      <w:r w:rsidRPr="00FD620F">
        <w:rPr>
          <w:bCs/>
          <w:noProof/>
        </w:rPr>
        <w:t>.</w:t>
      </w:r>
      <w:r w:rsidRPr="00FD620F">
        <w:rPr>
          <w:noProof/>
        </w:rPr>
        <w:t>’;</w:t>
      </w:r>
    </w:p>
    <w:p w14:paraId="6119D7B6" w14:textId="22EA3EAD" w:rsidR="00816750" w:rsidRPr="00FD620F" w:rsidRDefault="00312D4D" w:rsidP="00312D4D">
      <w:pPr>
        <w:pStyle w:val="Point0"/>
        <w:rPr>
          <w:noProof/>
        </w:rPr>
      </w:pPr>
      <w:r w:rsidRPr="00312D4D">
        <w:t>(14)</w:t>
      </w:r>
      <w:r w:rsidRPr="00312D4D">
        <w:tab/>
      </w:r>
      <w:r w:rsidR="00816750" w:rsidRPr="00FD620F">
        <w:rPr>
          <w:noProof/>
        </w:rPr>
        <w:t xml:space="preserve">in Annex IV, </w:t>
      </w:r>
      <w:r w:rsidR="00AA6F1C" w:rsidRPr="00FD620F">
        <w:rPr>
          <w:noProof/>
        </w:rPr>
        <w:t xml:space="preserve">part B, point 1, </w:t>
      </w:r>
      <w:r w:rsidR="00816750" w:rsidRPr="00FD620F">
        <w:rPr>
          <w:noProof/>
        </w:rPr>
        <w:t xml:space="preserve">the </w:t>
      </w:r>
      <w:r w:rsidR="00AA6F1C" w:rsidRPr="00FD620F">
        <w:rPr>
          <w:noProof/>
        </w:rPr>
        <w:t>introductory sentence</w:t>
      </w:r>
      <w:r w:rsidR="00816750" w:rsidRPr="00FD620F">
        <w:rPr>
          <w:noProof/>
        </w:rPr>
        <w:t xml:space="preserve"> is replaced by the following: </w:t>
      </w:r>
    </w:p>
    <w:p w14:paraId="37753E07" w14:textId="163735CF" w:rsidR="00816750" w:rsidRPr="00FD620F" w:rsidRDefault="00816750" w:rsidP="004D78C0">
      <w:pPr>
        <w:pStyle w:val="Text1"/>
        <w:rPr>
          <w:noProof/>
        </w:rPr>
      </w:pPr>
      <w:r w:rsidRPr="00FD620F">
        <w:rPr>
          <w:noProof/>
        </w:rPr>
        <w:t>‘the starting point for implementing measures to reverse significant and sustained upward trends will be when the concentration of the pollutant reaches 75 % of the parametric values of the groundwater quality standards set out in Annex I</w:t>
      </w:r>
      <w:r w:rsidR="00FB08E9" w:rsidRPr="00FD620F">
        <w:rPr>
          <w:noProof/>
        </w:rPr>
        <w:t xml:space="preserve"> and of </w:t>
      </w:r>
      <w:r w:rsidRPr="00FD620F">
        <w:rPr>
          <w:noProof/>
        </w:rPr>
        <w:t xml:space="preserve">the threshold values </w:t>
      </w:r>
      <w:r w:rsidR="00AA6F1C" w:rsidRPr="00FD620F">
        <w:rPr>
          <w:noProof/>
        </w:rPr>
        <w:t>referred to in</w:t>
      </w:r>
      <w:r w:rsidRPr="00FD620F">
        <w:rPr>
          <w:noProof/>
        </w:rPr>
        <w:t xml:space="preserve"> Article 3</w:t>
      </w:r>
      <w:r w:rsidR="00AA6F1C" w:rsidRPr="00FD620F">
        <w:rPr>
          <w:noProof/>
        </w:rPr>
        <w:t>(1)</w:t>
      </w:r>
      <w:r w:rsidR="001E7EB5" w:rsidRPr="00FD620F">
        <w:rPr>
          <w:noProof/>
        </w:rPr>
        <w:t>, point</w:t>
      </w:r>
      <w:r w:rsidR="00F9081D">
        <w:rPr>
          <w:noProof/>
        </w:rPr>
        <w:t>s</w:t>
      </w:r>
      <w:r w:rsidR="001E7EB5" w:rsidRPr="00FD620F">
        <w:rPr>
          <w:noProof/>
        </w:rPr>
        <w:t xml:space="preserve"> (b)</w:t>
      </w:r>
      <w:r w:rsidR="00C42980" w:rsidRPr="00FD620F">
        <w:rPr>
          <w:noProof/>
        </w:rPr>
        <w:t xml:space="preserve"> </w:t>
      </w:r>
      <w:r w:rsidR="00FB08E9" w:rsidRPr="00FD620F">
        <w:rPr>
          <w:noProof/>
        </w:rPr>
        <w:t>and (c)</w:t>
      </w:r>
      <w:r w:rsidR="00565873" w:rsidRPr="00FD620F">
        <w:rPr>
          <w:noProof/>
        </w:rPr>
        <w:t xml:space="preserve">, </w:t>
      </w:r>
      <w:r w:rsidRPr="00FD620F">
        <w:rPr>
          <w:noProof/>
        </w:rPr>
        <w:t>unless:’</w:t>
      </w:r>
      <w:r w:rsidR="00793235" w:rsidRPr="00FD620F">
        <w:rPr>
          <w:noProof/>
        </w:rPr>
        <w:t>.</w:t>
      </w:r>
    </w:p>
    <w:p w14:paraId="27D97560" w14:textId="77777777" w:rsidR="00064ADB" w:rsidRPr="00FD620F" w:rsidRDefault="00064ADB" w:rsidP="00064ADB">
      <w:pPr>
        <w:pStyle w:val="Titrearticle"/>
        <w:rPr>
          <w:noProof/>
        </w:rPr>
      </w:pPr>
      <w:r w:rsidRPr="00FD620F">
        <w:rPr>
          <w:noProof/>
        </w:rPr>
        <w:t xml:space="preserve">Article </w:t>
      </w:r>
      <w:r w:rsidR="00565873" w:rsidRPr="00FD620F">
        <w:rPr>
          <w:noProof/>
        </w:rPr>
        <w:t>3</w:t>
      </w:r>
    </w:p>
    <w:p w14:paraId="5C78ADC1" w14:textId="77777777" w:rsidR="00064ADB" w:rsidRPr="00FD620F" w:rsidRDefault="00064ADB" w:rsidP="00064ADB">
      <w:pPr>
        <w:jc w:val="center"/>
        <w:rPr>
          <w:i/>
          <w:noProof/>
        </w:rPr>
      </w:pPr>
      <w:r w:rsidRPr="00FD620F">
        <w:rPr>
          <w:i/>
          <w:noProof/>
        </w:rPr>
        <w:t>Amendments to Directive 2008/105/EC</w:t>
      </w:r>
    </w:p>
    <w:p w14:paraId="1CAEA2B4" w14:textId="77777777" w:rsidR="00064ADB" w:rsidRPr="00FD620F" w:rsidRDefault="00064ADB" w:rsidP="00064ADB">
      <w:pPr>
        <w:rPr>
          <w:noProof/>
        </w:rPr>
      </w:pPr>
      <w:r w:rsidRPr="00FD620F">
        <w:rPr>
          <w:noProof/>
        </w:rPr>
        <w:t>Directive 2008/105/EC is amended as follows:</w:t>
      </w:r>
    </w:p>
    <w:p w14:paraId="72A481D8" w14:textId="6F86D6C5" w:rsidR="00064ADB" w:rsidRPr="00FD620F" w:rsidRDefault="00312D4D" w:rsidP="00312D4D">
      <w:pPr>
        <w:pStyle w:val="Point0"/>
        <w:rPr>
          <w:noProof/>
        </w:rPr>
      </w:pPr>
      <w:r w:rsidRPr="00312D4D">
        <w:t>(1)</w:t>
      </w:r>
      <w:r w:rsidRPr="00312D4D">
        <w:tab/>
      </w:r>
      <w:r w:rsidR="00064ADB" w:rsidRPr="00FD620F">
        <w:rPr>
          <w:noProof/>
        </w:rPr>
        <w:t xml:space="preserve">the title is replaced by the following: </w:t>
      </w:r>
    </w:p>
    <w:p w14:paraId="2C162CFD" w14:textId="77777777" w:rsidR="00064ADB" w:rsidRPr="00FD620F" w:rsidRDefault="00064ADB" w:rsidP="00064ADB">
      <w:pPr>
        <w:pStyle w:val="Text1"/>
        <w:rPr>
          <w:i/>
          <w:noProof/>
        </w:rPr>
      </w:pPr>
      <w:r w:rsidRPr="00FD620F">
        <w:rPr>
          <w:noProof/>
        </w:rPr>
        <w:t xml:space="preserve">’Directive 2008/105/EC of the European Parliament and of the Council of 16 December 2008 on the prevention and control of surface water pollution, amending and subsequently repealing Council Directives 82/176/EEC, 83/513/EEC, 84/156/EEC, 84/491/EEC, 86/280/EEC and amending Directive 2000/60/EC of the European Parliament and of the Council’; </w:t>
      </w:r>
    </w:p>
    <w:p w14:paraId="69C8A094" w14:textId="14DFFA02" w:rsidR="00064ADB" w:rsidRPr="00FD620F" w:rsidRDefault="00312D4D" w:rsidP="00312D4D">
      <w:pPr>
        <w:pStyle w:val="Point0"/>
        <w:rPr>
          <w:noProof/>
        </w:rPr>
      </w:pPr>
      <w:r w:rsidRPr="00312D4D">
        <w:t>(2)</w:t>
      </w:r>
      <w:r w:rsidRPr="00312D4D">
        <w:tab/>
      </w:r>
      <w:r w:rsidR="00064ADB" w:rsidRPr="00FD620F">
        <w:rPr>
          <w:noProof/>
        </w:rPr>
        <w:t xml:space="preserve">Article 3 is amended as follows: </w:t>
      </w:r>
    </w:p>
    <w:p w14:paraId="50C53038" w14:textId="169608E5" w:rsidR="00064ADB" w:rsidRPr="00FD620F" w:rsidRDefault="00312D4D" w:rsidP="00312D4D">
      <w:pPr>
        <w:pStyle w:val="Point1"/>
        <w:rPr>
          <w:noProof/>
        </w:rPr>
      </w:pPr>
      <w:r w:rsidRPr="00312D4D">
        <w:t>(a)</w:t>
      </w:r>
      <w:r w:rsidRPr="00312D4D">
        <w:tab/>
      </w:r>
      <w:r w:rsidR="00064ADB" w:rsidRPr="00FD620F">
        <w:rPr>
          <w:noProof/>
        </w:rPr>
        <w:t>in paragraph 1a, first subparagraph, the following point (iii) is added:</w:t>
      </w:r>
    </w:p>
    <w:p w14:paraId="37D7C81C" w14:textId="7FB4C8A1" w:rsidR="00064ADB" w:rsidRPr="00FD620F" w:rsidRDefault="00064ADB" w:rsidP="00064ADB">
      <w:pPr>
        <w:pStyle w:val="Text1"/>
        <w:rPr>
          <w:noProof/>
        </w:rPr>
      </w:pPr>
      <w:r w:rsidRPr="00FD620F">
        <w:rPr>
          <w:bCs/>
          <w:noProof/>
        </w:rPr>
        <w:t xml:space="preserve">‘(iii) the substances numbered </w:t>
      </w:r>
      <w:r w:rsidR="00454B24" w:rsidRPr="00454B24">
        <w:rPr>
          <w:bCs/>
          <w:noProof/>
        </w:rPr>
        <w:t xml:space="preserve">5, 9, 13, 15, 17, 21, 23, 24, 28, 30, 34, 37, 41, 44 </w:t>
      </w:r>
      <w:r w:rsidRPr="00FD620F">
        <w:rPr>
          <w:bCs/>
          <w:noProof/>
        </w:rPr>
        <w:t xml:space="preserve"> in Part A of Annex I, for which revised EQS are set, and the newly identified substances numbered </w:t>
      </w:r>
      <w:r w:rsidR="00454B24">
        <w:rPr>
          <w:bCs/>
          <w:noProof/>
        </w:rPr>
        <w:t>46 to 70</w:t>
      </w:r>
      <w:r w:rsidRPr="00FD620F">
        <w:rPr>
          <w:bCs/>
          <w:noProof/>
        </w:rPr>
        <w:t xml:space="preserve"> in Part A of Annex I, with effect from … [OP please insert the date = the first day of the month following 1</w:t>
      </w:r>
      <w:r w:rsidR="001F486A">
        <w:rPr>
          <w:bCs/>
          <w:noProof/>
        </w:rPr>
        <w:t>8</w:t>
      </w:r>
      <w:r w:rsidRPr="00FD620F">
        <w:rPr>
          <w:bCs/>
          <w:noProof/>
        </w:rPr>
        <w:t xml:space="preserve"> months after the date of entry into force of this Directive], with the aim of preventing deterioration in the chemical status of surface water bodies and of achieving good surface water chemical status in relation to those substances</w:t>
      </w:r>
      <w:r w:rsidRPr="00FD620F">
        <w:rPr>
          <w:noProof/>
        </w:rPr>
        <w:t xml:space="preserve">.’; </w:t>
      </w:r>
    </w:p>
    <w:p w14:paraId="6C24A5FF" w14:textId="255A5C5C" w:rsidR="00064ADB" w:rsidRPr="00FD620F" w:rsidRDefault="00312D4D" w:rsidP="00312D4D">
      <w:pPr>
        <w:pStyle w:val="Point1"/>
        <w:rPr>
          <w:noProof/>
        </w:rPr>
      </w:pPr>
      <w:r w:rsidRPr="00312D4D">
        <w:t>(b)</w:t>
      </w:r>
      <w:r w:rsidRPr="00312D4D">
        <w:tab/>
      </w:r>
      <w:r w:rsidR="00064ADB" w:rsidRPr="00FD620F">
        <w:rPr>
          <w:noProof/>
        </w:rPr>
        <w:t>paragraph 2 is replaced by the following:</w:t>
      </w:r>
    </w:p>
    <w:p w14:paraId="550120F2" w14:textId="77777777" w:rsidR="00064ADB" w:rsidRPr="00FD620F" w:rsidRDefault="00064ADB" w:rsidP="00064ADB">
      <w:pPr>
        <w:pStyle w:val="Text1"/>
        <w:rPr>
          <w:noProof/>
        </w:rPr>
      </w:pPr>
      <w:r w:rsidRPr="00FD620F">
        <w:rPr>
          <w:noProof/>
        </w:rPr>
        <w:t xml:space="preserve">‘2. With regard to substances for which a biota EQS or a sediment EQS is laid down </w:t>
      </w:r>
      <w:r w:rsidRPr="00FD620F">
        <w:rPr>
          <w:bCs/>
          <w:noProof/>
        </w:rPr>
        <w:t>in Part A of Annex I,  Member States shall apply such biota EQS or sediment EQS</w:t>
      </w:r>
      <w:r w:rsidRPr="00FD620F">
        <w:rPr>
          <w:noProof/>
        </w:rPr>
        <w:t xml:space="preserve">. </w:t>
      </w:r>
    </w:p>
    <w:p w14:paraId="2759C0C1" w14:textId="77777777" w:rsidR="00064ADB" w:rsidRPr="00FD620F" w:rsidRDefault="00064ADB" w:rsidP="00064ADB">
      <w:pPr>
        <w:pStyle w:val="Text1"/>
        <w:rPr>
          <w:i/>
          <w:noProof/>
        </w:rPr>
      </w:pPr>
      <w:r w:rsidRPr="00FD620F">
        <w:rPr>
          <w:noProof/>
        </w:rPr>
        <w:t xml:space="preserve">With regard to substances other than those referred to in the first subparagraph, Member States shall apply the water EQS laid down in Part A of Annex I.’; </w:t>
      </w:r>
      <w:r w:rsidRPr="00FD620F">
        <w:rPr>
          <w:i/>
          <w:noProof/>
        </w:rPr>
        <w:t xml:space="preserve"> </w:t>
      </w:r>
    </w:p>
    <w:p w14:paraId="3944619D" w14:textId="67AE50B0" w:rsidR="00064ADB" w:rsidRPr="00FD620F" w:rsidRDefault="00312D4D" w:rsidP="00312D4D">
      <w:pPr>
        <w:pStyle w:val="Point1"/>
        <w:rPr>
          <w:noProof/>
        </w:rPr>
      </w:pPr>
      <w:r w:rsidRPr="00312D4D">
        <w:t>(c)</w:t>
      </w:r>
      <w:r w:rsidRPr="00312D4D">
        <w:tab/>
      </w:r>
      <w:r w:rsidR="00064ADB" w:rsidRPr="00FD620F">
        <w:rPr>
          <w:noProof/>
        </w:rPr>
        <w:t>in paragraph 6, first subparagraph, the first sentence is replaced by the following:</w:t>
      </w:r>
    </w:p>
    <w:p w14:paraId="0F61920A" w14:textId="1CA5696B" w:rsidR="00064ADB" w:rsidRPr="00FD620F" w:rsidRDefault="00064ADB" w:rsidP="00064ADB">
      <w:pPr>
        <w:pStyle w:val="Text1"/>
        <w:rPr>
          <w:i/>
          <w:noProof/>
          <w:lang w:val="en-US"/>
        </w:rPr>
      </w:pPr>
      <w:r w:rsidRPr="00FD620F">
        <w:rPr>
          <w:noProof/>
        </w:rPr>
        <w:t xml:space="preserve">‘Member States shall arrange for the long-term trend analysis of concentrations of those priority substances identified in Part A of Annex I as substances that tend to accumulate in sediment and/or biota, on the basis of </w:t>
      </w:r>
      <w:r w:rsidR="00046C3E" w:rsidRPr="00FD620F">
        <w:rPr>
          <w:noProof/>
        </w:rPr>
        <w:t xml:space="preserve">monitoring in </w:t>
      </w:r>
      <w:r w:rsidR="001B7139">
        <w:rPr>
          <w:noProof/>
        </w:rPr>
        <w:t>sediment or biota</w:t>
      </w:r>
      <w:r w:rsidR="00046C3E" w:rsidRPr="00FD620F">
        <w:rPr>
          <w:noProof/>
        </w:rPr>
        <w:t xml:space="preserve"> as part of </w:t>
      </w:r>
      <w:r w:rsidRPr="00FD620F">
        <w:rPr>
          <w:noProof/>
        </w:rPr>
        <w:t>the monitoring of surface water status carried out in accordance with Article 8 of Directive 2000/60/EC.’;</w:t>
      </w:r>
      <w:r w:rsidRPr="00FD620F">
        <w:rPr>
          <w:i/>
          <w:noProof/>
        </w:rPr>
        <w:t xml:space="preserve">  </w:t>
      </w:r>
    </w:p>
    <w:p w14:paraId="2D2C407B" w14:textId="702C1F01" w:rsidR="00064ADB" w:rsidRPr="00FD620F" w:rsidRDefault="00312D4D" w:rsidP="00312D4D">
      <w:pPr>
        <w:pStyle w:val="Point1"/>
        <w:rPr>
          <w:noProof/>
        </w:rPr>
      </w:pPr>
      <w:r w:rsidRPr="00312D4D">
        <w:t>(d)</w:t>
      </w:r>
      <w:r w:rsidRPr="00312D4D">
        <w:tab/>
      </w:r>
      <w:r w:rsidR="00064ADB" w:rsidRPr="00FD620F">
        <w:rPr>
          <w:noProof/>
        </w:rPr>
        <w:t xml:space="preserve">paragraph 7 is deleted; </w:t>
      </w:r>
    </w:p>
    <w:p w14:paraId="15B28707" w14:textId="0FE570FC" w:rsidR="00064ADB" w:rsidRPr="00FD620F" w:rsidRDefault="00312D4D" w:rsidP="00312D4D">
      <w:pPr>
        <w:pStyle w:val="Point1"/>
        <w:rPr>
          <w:noProof/>
        </w:rPr>
      </w:pPr>
      <w:r w:rsidRPr="00312D4D">
        <w:t>(e)</w:t>
      </w:r>
      <w:r w:rsidRPr="00312D4D">
        <w:tab/>
      </w:r>
      <w:r w:rsidR="00064ADB" w:rsidRPr="00FD620F">
        <w:rPr>
          <w:noProof/>
        </w:rPr>
        <w:t xml:space="preserve">paragraph 8 is replaced by the following: </w:t>
      </w:r>
    </w:p>
    <w:p w14:paraId="7CF2D0EF" w14:textId="77777777" w:rsidR="00064ADB" w:rsidRPr="00FD620F" w:rsidRDefault="00064ADB" w:rsidP="00AA4E33">
      <w:pPr>
        <w:pStyle w:val="Text1"/>
        <w:rPr>
          <w:noProof/>
        </w:rPr>
      </w:pPr>
      <w:r w:rsidRPr="00FD620F">
        <w:rPr>
          <w:noProof/>
        </w:rPr>
        <w:t xml:space="preserve">’8. The Commission is empowered to adopt delegated acts in accordance with </w:t>
      </w:r>
      <w:r w:rsidRPr="00FD620F">
        <w:rPr>
          <w:bCs/>
          <w:noProof/>
        </w:rPr>
        <w:t>Article 9a to amend Part B, point 3, of Annex I in order to adapt it</w:t>
      </w:r>
      <w:r w:rsidRPr="00FD620F">
        <w:rPr>
          <w:noProof/>
        </w:rPr>
        <w:t xml:space="preserve"> to scientific or technical </w:t>
      </w:r>
      <w:r w:rsidR="00436307" w:rsidRPr="00FD620F">
        <w:rPr>
          <w:noProof/>
        </w:rPr>
        <w:t>progress</w:t>
      </w:r>
      <w:r w:rsidRPr="00FD620F">
        <w:rPr>
          <w:noProof/>
        </w:rPr>
        <w:t>.’;</w:t>
      </w:r>
    </w:p>
    <w:p w14:paraId="0A466646" w14:textId="16BA9B53" w:rsidR="00064ADB" w:rsidRPr="00FD620F" w:rsidRDefault="00312D4D" w:rsidP="00312D4D">
      <w:pPr>
        <w:pStyle w:val="Point0"/>
        <w:rPr>
          <w:noProof/>
        </w:rPr>
      </w:pPr>
      <w:r w:rsidRPr="00312D4D">
        <w:t>(3)</w:t>
      </w:r>
      <w:r w:rsidRPr="00312D4D">
        <w:tab/>
      </w:r>
      <w:r w:rsidR="00064ADB" w:rsidRPr="00FD620F">
        <w:rPr>
          <w:noProof/>
        </w:rPr>
        <w:t>Article 5 is amended as follows:</w:t>
      </w:r>
    </w:p>
    <w:p w14:paraId="49CE523D" w14:textId="3EAD3AEE" w:rsidR="00064ADB" w:rsidRPr="00FD620F" w:rsidRDefault="00312D4D" w:rsidP="00312D4D">
      <w:pPr>
        <w:pStyle w:val="Point1"/>
        <w:rPr>
          <w:noProof/>
        </w:rPr>
      </w:pPr>
      <w:r w:rsidRPr="00312D4D">
        <w:t>(a)</w:t>
      </w:r>
      <w:r w:rsidRPr="00312D4D">
        <w:tab/>
      </w:r>
      <w:r w:rsidR="00064ADB" w:rsidRPr="00FD620F">
        <w:rPr>
          <w:noProof/>
        </w:rPr>
        <w:t xml:space="preserve">paragraph 1 is replaced by the following: </w:t>
      </w:r>
    </w:p>
    <w:p w14:paraId="0B35BA97" w14:textId="77777777" w:rsidR="00064ADB" w:rsidRPr="00FD620F" w:rsidRDefault="00064ADB" w:rsidP="00064ADB">
      <w:pPr>
        <w:pStyle w:val="Text1"/>
        <w:rPr>
          <w:noProof/>
        </w:rPr>
      </w:pPr>
      <w:r w:rsidRPr="00FD620F">
        <w:rPr>
          <w:noProof/>
        </w:rPr>
        <w:t xml:space="preserve">‘1. On the basis of the information collected in accordance with Articles 5 and 8 of Directive 2000/60/EC, and other available data, Member States shall establish an inventory, including maps, if available, of emissions, discharges and losses of all priority substances listed in Part A of Annex I to this Directive </w:t>
      </w:r>
      <w:r w:rsidRPr="00FD620F">
        <w:rPr>
          <w:bCs/>
          <w:noProof/>
        </w:rPr>
        <w:t xml:space="preserve">and all pollutants listed in Part A of Annex II to this Directive </w:t>
      </w:r>
      <w:r w:rsidRPr="00FD620F">
        <w:rPr>
          <w:noProof/>
        </w:rPr>
        <w:t xml:space="preserve">for each river basin district or part of a river basin district lying within their territory, including their concentrations in sediment and biota, as appropriate. </w:t>
      </w:r>
    </w:p>
    <w:p w14:paraId="2743F0D3" w14:textId="10C9FF2C" w:rsidR="00064ADB" w:rsidRPr="00FD620F" w:rsidRDefault="00064ADB" w:rsidP="00064ADB">
      <w:pPr>
        <w:pStyle w:val="Text1"/>
        <w:rPr>
          <w:i/>
          <w:noProof/>
        </w:rPr>
      </w:pPr>
      <w:r w:rsidRPr="00FD620F">
        <w:rPr>
          <w:bCs/>
          <w:noProof/>
        </w:rPr>
        <w:t>The first subparagraph shall not apply to emissions, discharges and losses reported to the Commission electronically in accordance with Regulation (EU) .../… of the European Parliament and of the Council</w:t>
      </w:r>
      <w:r w:rsidR="00454B24">
        <w:rPr>
          <w:rStyle w:val="FootnoteReference"/>
          <w:bCs/>
          <w:noProof/>
        </w:rPr>
        <w:footnoteReference w:customMarkFollows="1" w:id="66"/>
        <w:t>+</w:t>
      </w:r>
      <w:r w:rsidR="00454B24">
        <w:rPr>
          <w:bCs/>
          <w:noProof/>
        </w:rPr>
        <w:t xml:space="preserve">. </w:t>
      </w:r>
      <w:r w:rsidRPr="00FD620F">
        <w:rPr>
          <w:bCs/>
          <w:noProof/>
        </w:rPr>
        <w:t>’;</w:t>
      </w:r>
    </w:p>
    <w:p w14:paraId="747A8A71" w14:textId="035A6A50" w:rsidR="00064ADB" w:rsidRPr="00FD620F" w:rsidRDefault="00312D4D" w:rsidP="00312D4D">
      <w:pPr>
        <w:pStyle w:val="Point1"/>
        <w:rPr>
          <w:i/>
          <w:noProof/>
        </w:rPr>
      </w:pPr>
      <w:r w:rsidRPr="00312D4D">
        <w:t>(b)</w:t>
      </w:r>
      <w:r w:rsidRPr="00312D4D">
        <w:tab/>
      </w:r>
      <w:r w:rsidR="00064ADB" w:rsidRPr="00FD620F">
        <w:rPr>
          <w:noProof/>
        </w:rPr>
        <w:t xml:space="preserve">paragraphs 2 and 3 are deleted; </w:t>
      </w:r>
    </w:p>
    <w:p w14:paraId="1C1E0F4F" w14:textId="049FD927" w:rsidR="00064ADB" w:rsidRPr="00FD620F" w:rsidRDefault="00312D4D" w:rsidP="00312D4D">
      <w:pPr>
        <w:pStyle w:val="Point1"/>
        <w:rPr>
          <w:noProof/>
        </w:rPr>
      </w:pPr>
      <w:r w:rsidRPr="00312D4D">
        <w:t>(c)</w:t>
      </w:r>
      <w:r w:rsidRPr="00312D4D">
        <w:tab/>
      </w:r>
      <w:r w:rsidR="00064ADB" w:rsidRPr="00FD620F">
        <w:rPr>
          <w:noProof/>
        </w:rPr>
        <w:t xml:space="preserve">paragraph 4 is replaced by the following:  </w:t>
      </w:r>
    </w:p>
    <w:p w14:paraId="483DFFB9" w14:textId="304EF189" w:rsidR="00064ADB" w:rsidRPr="00FD620F" w:rsidRDefault="00064ADB" w:rsidP="00064ADB">
      <w:pPr>
        <w:pStyle w:val="Text1"/>
        <w:rPr>
          <w:noProof/>
        </w:rPr>
      </w:pPr>
      <w:r w:rsidRPr="00FD620F">
        <w:rPr>
          <w:noProof/>
        </w:rPr>
        <w:t xml:space="preserve">‘4. Member States shall update their inventories as part of the reviews of the analyses specified in Article 5(2) of Directive 2000/60/EC </w:t>
      </w:r>
      <w:r w:rsidRPr="00FD620F">
        <w:rPr>
          <w:bCs/>
          <w:noProof/>
        </w:rPr>
        <w:t xml:space="preserve">and shall ensure that the emissions not reported </w:t>
      </w:r>
      <w:r w:rsidR="0056033B" w:rsidRPr="00FD620F">
        <w:rPr>
          <w:bCs/>
          <w:noProof/>
        </w:rPr>
        <w:t xml:space="preserve">to the Industrial Emissions Portal established under </w:t>
      </w:r>
      <w:r w:rsidRPr="00FD620F">
        <w:rPr>
          <w:bCs/>
          <w:noProof/>
        </w:rPr>
        <w:t>Regulation (EU)</w:t>
      </w:r>
      <w:r w:rsidR="00CF26E5" w:rsidRPr="00FD620F">
        <w:rPr>
          <w:bCs/>
          <w:noProof/>
        </w:rPr>
        <w:t xml:space="preserve"> .../…</w:t>
      </w:r>
      <w:r w:rsidR="00FF643B">
        <w:rPr>
          <w:bCs/>
          <w:noProof/>
        </w:rPr>
        <w:t>++</w:t>
      </w:r>
      <w:r w:rsidR="00CF26E5" w:rsidRPr="00FD620F">
        <w:rPr>
          <w:bCs/>
          <w:noProof/>
        </w:rPr>
        <w:t xml:space="preserve">, </w:t>
      </w:r>
      <w:r w:rsidRPr="00FD620F">
        <w:rPr>
          <w:noProof/>
        </w:rPr>
        <w:t xml:space="preserve">are published in their river basin management plans as updated in accordance with Article 13(7) of that Directive. </w:t>
      </w:r>
    </w:p>
    <w:p w14:paraId="0D8834A0" w14:textId="77777777" w:rsidR="00064ADB" w:rsidRPr="00FD620F" w:rsidRDefault="00064ADB" w:rsidP="00064ADB">
      <w:pPr>
        <w:pStyle w:val="Text1"/>
        <w:rPr>
          <w:noProof/>
        </w:rPr>
      </w:pPr>
      <w:r w:rsidRPr="00FD620F">
        <w:rPr>
          <w:noProof/>
        </w:rPr>
        <w:t xml:space="preserve">The reference period for the establishment of values in the updated inventories shall be the year before the year in which the analyses referred to in the first subparagraph are to be completed. </w:t>
      </w:r>
    </w:p>
    <w:p w14:paraId="3D579E7D" w14:textId="77777777" w:rsidR="00064ADB" w:rsidRPr="00FD620F" w:rsidRDefault="00064ADB" w:rsidP="00064ADB">
      <w:pPr>
        <w:pStyle w:val="Text1"/>
        <w:rPr>
          <w:noProof/>
        </w:rPr>
      </w:pPr>
      <w:r w:rsidRPr="00FD620F">
        <w:rPr>
          <w:noProof/>
        </w:rPr>
        <w:t>For priority substances or pollutants covered by Regulation (EC) No 1107/2009, the entries may be calculated as the average of the three years before the completion of the analysis referred to in the first subparagraph.</w:t>
      </w:r>
    </w:p>
    <w:p w14:paraId="6567FC5F" w14:textId="77777777" w:rsidR="00064ADB" w:rsidRPr="00FD620F" w:rsidRDefault="00064ADB" w:rsidP="00064ADB">
      <w:pPr>
        <w:pStyle w:val="Text1"/>
        <w:rPr>
          <w:bCs/>
          <w:noProof/>
        </w:rPr>
      </w:pPr>
      <w:r w:rsidRPr="00FD620F">
        <w:rPr>
          <w:bCs/>
          <w:noProof/>
        </w:rPr>
        <w:t>For point source emissions not reported in accordance with Regulation (EU) ../…</w:t>
      </w:r>
      <w:r w:rsidR="005810EF" w:rsidRPr="005810EF">
        <w:rPr>
          <w:rStyle w:val="FootnoteReference"/>
          <w:bCs/>
          <w:noProof/>
        </w:rPr>
        <w:t xml:space="preserve"> </w:t>
      </w:r>
      <w:r w:rsidR="00FF643B">
        <w:rPr>
          <w:bCs/>
          <w:noProof/>
        </w:rPr>
        <w:t>+++</w:t>
      </w:r>
      <w:r w:rsidRPr="00FD620F">
        <w:rPr>
          <w:bCs/>
          <w:noProof/>
        </w:rPr>
        <w:t xml:space="preserve">, because they do not fall under the scope of that Regulation or because they are below the annual reporting thresholds set out in that Regulation, the reporting obligation set out in the first subparagraph of this Article shall be fulfilled by electronic reporting to the Industrial Emissions Portal established under that Regulation. </w:t>
      </w:r>
    </w:p>
    <w:p w14:paraId="6149B5FB" w14:textId="77777777" w:rsidR="00064ADB" w:rsidRPr="00FD620F" w:rsidRDefault="00064ADB" w:rsidP="00064ADB">
      <w:pPr>
        <w:pStyle w:val="Text1"/>
        <w:rPr>
          <w:noProof/>
        </w:rPr>
      </w:pPr>
      <w:r w:rsidRPr="00FD620F">
        <w:rPr>
          <w:bCs/>
          <w:noProof/>
        </w:rPr>
        <w:t>The Commission shall, assisted by the European Environment Agency , adopt an implementing act establishing the format, level of granularity and frequency of the reporting referred to in the fourth subparagraph. That implementing act shall be adopted in accordance with the examination procedure referred to in Article 9(2).</w:t>
      </w:r>
      <w:r w:rsidRPr="00FD620F">
        <w:rPr>
          <w:noProof/>
        </w:rPr>
        <w:t xml:space="preserve">’;   </w:t>
      </w:r>
    </w:p>
    <w:p w14:paraId="63D7467B" w14:textId="228287C8" w:rsidR="00064ADB" w:rsidRPr="00FD620F" w:rsidRDefault="00312D4D" w:rsidP="00312D4D">
      <w:pPr>
        <w:pStyle w:val="Point1"/>
        <w:rPr>
          <w:noProof/>
        </w:rPr>
      </w:pPr>
      <w:r w:rsidRPr="00312D4D">
        <w:t>(d)</w:t>
      </w:r>
      <w:r w:rsidRPr="00312D4D">
        <w:tab/>
      </w:r>
      <w:r w:rsidR="00064ADB" w:rsidRPr="00FD620F">
        <w:rPr>
          <w:noProof/>
        </w:rPr>
        <w:t xml:space="preserve">paragraph 5 is deleted; </w:t>
      </w:r>
    </w:p>
    <w:p w14:paraId="5EA07ADA" w14:textId="3FF48441" w:rsidR="00064ADB" w:rsidRPr="00FD620F" w:rsidRDefault="00312D4D" w:rsidP="00312D4D">
      <w:pPr>
        <w:pStyle w:val="Point0"/>
        <w:rPr>
          <w:noProof/>
        </w:rPr>
      </w:pPr>
      <w:r w:rsidRPr="00312D4D">
        <w:t>(4)</w:t>
      </w:r>
      <w:r w:rsidRPr="00312D4D">
        <w:tab/>
      </w:r>
      <w:r w:rsidR="008245BD" w:rsidRPr="00FD620F">
        <w:rPr>
          <w:noProof/>
        </w:rPr>
        <w:t xml:space="preserve">In </w:t>
      </w:r>
      <w:r w:rsidR="00064ADB" w:rsidRPr="00FD620F">
        <w:rPr>
          <w:noProof/>
        </w:rPr>
        <w:t>Article 7a</w:t>
      </w:r>
      <w:r w:rsidR="008245BD" w:rsidRPr="00FD620F">
        <w:rPr>
          <w:noProof/>
        </w:rPr>
        <w:t xml:space="preserve">(1), the first subparagraph </w:t>
      </w:r>
      <w:r w:rsidR="00064ADB" w:rsidRPr="00FD620F">
        <w:rPr>
          <w:noProof/>
        </w:rPr>
        <w:t xml:space="preserve">is replaced by the following: </w:t>
      </w:r>
    </w:p>
    <w:p w14:paraId="4D95D3D0" w14:textId="77777777" w:rsidR="00064ADB" w:rsidRPr="00FD620F" w:rsidRDefault="008245BD" w:rsidP="00064ADB">
      <w:pPr>
        <w:pStyle w:val="Text1"/>
        <w:rPr>
          <w:noProof/>
        </w:rPr>
      </w:pPr>
      <w:r w:rsidRPr="00FD620F">
        <w:rPr>
          <w:noProof/>
        </w:rPr>
        <w:t>‘</w:t>
      </w:r>
      <w:r w:rsidR="00064ADB" w:rsidRPr="00FD620F">
        <w:rPr>
          <w:noProof/>
        </w:rPr>
        <w:t>1. For priority substances that fall within the scope of Regulation (EC) No 1907/2006, Regulation (EC) No 1107/2009,  Regulation (EU) No 528/2012</w:t>
      </w:r>
      <w:r w:rsidRPr="00FD620F">
        <w:rPr>
          <w:noProof/>
        </w:rPr>
        <w:t>,</w:t>
      </w:r>
      <w:r w:rsidR="00064ADB" w:rsidRPr="00FD620F">
        <w:rPr>
          <w:noProof/>
        </w:rPr>
        <w:t xml:space="preserve"> Regulation (EU) 2019/6 of the European Parliament and of the Council*, or within the scope of Directive 2001/83/EC of the European Parliament and of the Council**, Directive 2009/128/EC of the European Parliament and of the Council*** or Directive 2010/75/EU, the Commission shall, as part of the report referred to in Article 18(1) of Directive 2000/60/EC, assess whether the measures in place at Union and Member State level are sufficient to achieve the EQS for priority substances and the cessation or phasing-out objective for discharges, emissions and losses of priority hazardous substances in accordance with Article 4(1), point (a), of Directive 2000/60/EC.</w:t>
      </w:r>
    </w:p>
    <w:p w14:paraId="07EBAB82" w14:textId="77777777" w:rsidR="00064ADB" w:rsidRPr="00FD620F" w:rsidRDefault="00064ADB" w:rsidP="00064ADB">
      <w:pPr>
        <w:ind w:left="1417"/>
        <w:rPr>
          <w:noProof/>
          <w:u w:val="single"/>
        </w:rPr>
      </w:pPr>
      <w:r w:rsidRPr="00FD620F">
        <w:rPr>
          <w:noProof/>
        </w:rPr>
        <w:tab/>
      </w:r>
      <w:r w:rsidRPr="00FD620F">
        <w:rPr>
          <w:noProof/>
          <w:u w:val="single"/>
        </w:rPr>
        <w:tab/>
      </w:r>
      <w:r w:rsidRPr="00FD620F">
        <w:rPr>
          <w:noProof/>
          <w:u w:val="single"/>
        </w:rPr>
        <w:tab/>
      </w:r>
      <w:r w:rsidRPr="00FD620F">
        <w:rPr>
          <w:noProof/>
          <w:u w:val="single"/>
        </w:rPr>
        <w:tab/>
      </w:r>
      <w:r w:rsidRPr="00FD620F">
        <w:rPr>
          <w:noProof/>
          <w:u w:val="single"/>
        </w:rPr>
        <w:tab/>
      </w:r>
    </w:p>
    <w:p w14:paraId="771F3EA4" w14:textId="77777777" w:rsidR="00064ADB" w:rsidRPr="00FD620F" w:rsidRDefault="00064ADB" w:rsidP="00064ADB">
      <w:pPr>
        <w:pStyle w:val="Text1"/>
        <w:rPr>
          <w:noProof/>
        </w:rPr>
      </w:pPr>
      <w:r w:rsidRPr="00FD620F">
        <w:rPr>
          <w:noProof/>
        </w:rPr>
        <w:tab/>
      </w:r>
      <w:r w:rsidRPr="00FD620F">
        <w:rPr>
          <w:i/>
          <w:noProof/>
        </w:rPr>
        <w:t xml:space="preserve"> </w:t>
      </w:r>
      <w:r w:rsidRPr="00FD620F">
        <w:rPr>
          <w:noProof/>
        </w:rPr>
        <w:tab/>
      </w:r>
      <w:r w:rsidRPr="00FD620F">
        <w:rPr>
          <w:noProof/>
        </w:rPr>
        <w:tab/>
      </w:r>
    </w:p>
    <w:p w14:paraId="04B2FE10" w14:textId="77777777" w:rsidR="00064ADB" w:rsidRPr="00FD620F" w:rsidRDefault="00064ADB" w:rsidP="00064ADB">
      <w:pPr>
        <w:pStyle w:val="Text1"/>
        <w:rPr>
          <w:noProof/>
        </w:rPr>
      </w:pPr>
      <w:r w:rsidRPr="00FD620F">
        <w:rPr>
          <w:noProof/>
        </w:rPr>
        <w:t>* Regulation (EU) 2019/6 of the European Parliament and of the Council of 11 December 2018 on veterinary medicinal products and repealing Directive 2001/82/EC (OJ L 4, 7.1.2019, p. 43).</w:t>
      </w:r>
    </w:p>
    <w:p w14:paraId="61C94F40" w14:textId="77777777" w:rsidR="00064ADB" w:rsidRPr="00FD620F" w:rsidRDefault="00064ADB" w:rsidP="00064ADB">
      <w:pPr>
        <w:pStyle w:val="Text1"/>
        <w:rPr>
          <w:noProof/>
        </w:rPr>
      </w:pPr>
      <w:r w:rsidRPr="00FD620F">
        <w:rPr>
          <w:noProof/>
        </w:rPr>
        <w:t xml:space="preserve">** Directive 2001/83/EC of the European Parliament and of the Council of 6 November 2001 on the Community code relating to medicinal products for human use (OJ L 311, 28.11.2001, p. 67). </w:t>
      </w:r>
    </w:p>
    <w:p w14:paraId="02F2473C" w14:textId="77777777" w:rsidR="00064ADB" w:rsidRPr="00FD620F" w:rsidRDefault="00064ADB" w:rsidP="00064ADB">
      <w:pPr>
        <w:pStyle w:val="Text1"/>
        <w:rPr>
          <w:noProof/>
        </w:rPr>
      </w:pPr>
      <w:r w:rsidRPr="00FD620F">
        <w:rPr>
          <w:noProof/>
        </w:rPr>
        <w:t>*** Directive 2009/128/EC of the European Parliament and of the Council of 21 October 2009 establishing a framework for Community action to achieve the sustainable use of pesticides (OJ L 309, 24.11.2009, p. 71).</w:t>
      </w:r>
      <w:r w:rsidR="008245BD" w:rsidRPr="00FD620F">
        <w:rPr>
          <w:noProof/>
        </w:rPr>
        <w:t>;</w:t>
      </w:r>
    </w:p>
    <w:p w14:paraId="23A37B60" w14:textId="32D21175" w:rsidR="00064ADB" w:rsidRPr="00FD620F" w:rsidRDefault="00312D4D" w:rsidP="00312D4D">
      <w:pPr>
        <w:pStyle w:val="Point0"/>
        <w:rPr>
          <w:noProof/>
        </w:rPr>
      </w:pPr>
      <w:r w:rsidRPr="00312D4D">
        <w:t>(5)</w:t>
      </w:r>
      <w:r w:rsidRPr="00312D4D">
        <w:tab/>
      </w:r>
      <w:r w:rsidR="00064ADB" w:rsidRPr="00FD620F">
        <w:rPr>
          <w:noProof/>
        </w:rPr>
        <w:t>Article 8 is replaced by the following:</w:t>
      </w:r>
    </w:p>
    <w:p w14:paraId="51C0DCA8" w14:textId="77777777" w:rsidR="00064ADB" w:rsidRPr="00FD620F" w:rsidRDefault="00064ADB" w:rsidP="00064ADB">
      <w:pPr>
        <w:ind w:left="709"/>
        <w:jc w:val="center"/>
        <w:rPr>
          <w:noProof/>
        </w:rPr>
      </w:pPr>
      <w:r w:rsidRPr="00FD620F">
        <w:rPr>
          <w:i/>
          <w:noProof/>
        </w:rPr>
        <w:t>‘Article 8</w:t>
      </w:r>
    </w:p>
    <w:p w14:paraId="6EDDEE26" w14:textId="77777777" w:rsidR="00064ADB" w:rsidRPr="00FD620F" w:rsidRDefault="00064ADB" w:rsidP="00064ADB">
      <w:pPr>
        <w:ind w:left="709"/>
        <w:jc w:val="center"/>
        <w:rPr>
          <w:b/>
          <w:bCs/>
          <w:noProof/>
        </w:rPr>
      </w:pPr>
      <w:r w:rsidRPr="00FD620F">
        <w:rPr>
          <w:b/>
          <w:noProof/>
        </w:rPr>
        <w:t xml:space="preserve">Review of </w:t>
      </w:r>
      <w:r w:rsidRPr="00FD620F">
        <w:rPr>
          <w:b/>
          <w:bCs/>
          <w:noProof/>
        </w:rPr>
        <w:t>Annexes I and II</w:t>
      </w:r>
    </w:p>
    <w:p w14:paraId="53060ED5" w14:textId="77777777" w:rsidR="00064ADB" w:rsidRPr="00FD620F" w:rsidRDefault="00064ADB" w:rsidP="00064ADB">
      <w:pPr>
        <w:ind w:left="709"/>
        <w:rPr>
          <w:bCs/>
          <w:noProof/>
        </w:rPr>
      </w:pPr>
      <w:r w:rsidRPr="00FD620F">
        <w:rPr>
          <w:noProof/>
        </w:rPr>
        <w:t xml:space="preserve">‘1. The Commission shall </w:t>
      </w:r>
      <w:r w:rsidRPr="00FD620F">
        <w:rPr>
          <w:bCs/>
          <w:noProof/>
        </w:rPr>
        <w:t>review, for the first time by … [OP: Please insert the date = six years after the date of entry into force of this Directive] and every six years thereafter, the list of priority substances and the corresponding EQS for those substances set out in Part A of Annex I and the list of pollutants set out in Part A of Annex II.</w:t>
      </w:r>
    </w:p>
    <w:p w14:paraId="2A73D1EE" w14:textId="77777777" w:rsidR="00064ADB" w:rsidRPr="00FD620F" w:rsidRDefault="00064ADB" w:rsidP="00064ADB">
      <w:pPr>
        <w:ind w:left="709"/>
        <w:rPr>
          <w:bCs/>
          <w:noProof/>
        </w:rPr>
      </w:pPr>
      <w:r w:rsidRPr="00FD620F">
        <w:rPr>
          <w:bCs/>
          <w:noProof/>
        </w:rPr>
        <w:t xml:space="preserve">2. The Commission is empowered to adopt delegated acts, having regard to  the scientific reports prepared by the European Chemicals Agency (ECHA) pursuant to paragraph 6 of this Article, in accordance with Article 9a to amend Annex I in order to adapt it to scientific and technological progress by: </w:t>
      </w:r>
    </w:p>
    <w:p w14:paraId="3849550E" w14:textId="77777777" w:rsidR="00064ADB" w:rsidRPr="00FD620F" w:rsidRDefault="00064ADB" w:rsidP="00064ADB">
      <w:pPr>
        <w:ind w:left="709"/>
        <w:rPr>
          <w:noProof/>
        </w:rPr>
      </w:pPr>
      <w:r w:rsidRPr="00FD620F">
        <w:rPr>
          <w:noProof/>
        </w:rPr>
        <w:t xml:space="preserve">(a) </w:t>
      </w:r>
      <w:r w:rsidRPr="00FD620F">
        <w:rPr>
          <w:noProof/>
        </w:rPr>
        <w:tab/>
        <w:t xml:space="preserve">adding or removing substances from the list of priority substances; </w:t>
      </w:r>
    </w:p>
    <w:p w14:paraId="7050B966" w14:textId="77777777" w:rsidR="00064ADB" w:rsidRPr="00FD620F" w:rsidRDefault="00064ADB" w:rsidP="00064ADB">
      <w:pPr>
        <w:ind w:left="709"/>
        <w:rPr>
          <w:noProof/>
        </w:rPr>
      </w:pPr>
      <w:r w:rsidRPr="00FD620F">
        <w:rPr>
          <w:noProof/>
        </w:rPr>
        <w:t xml:space="preserve">(b) </w:t>
      </w:r>
      <w:r w:rsidRPr="00FD620F">
        <w:rPr>
          <w:noProof/>
        </w:rPr>
        <w:tab/>
        <w:t>designating or undesignating selected substances as priority hazardous substances and/or as ubiquitous Persistent Bio-accumulative and Toxic substances (uPBTs) and/or as substances that tend to accumulate in sediment and/or biota in that list;</w:t>
      </w:r>
    </w:p>
    <w:p w14:paraId="63E56A8D" w14:textId="77777777" w:rsidR="00064ADB" w:rsidRPr="00FD620F" w:rsidRDefault="00064ADB" w:rsidP="00064ADB">
      <w:pPr>
        <w:ind w:left="709"/>
        <w:rPr>
          <w:noProof/>
        </w:rPr>
      </w:pPr>
      <w:r w:rsidRPr="00FD620F">
        <w:rPr>
          <w:noProof/>
        </w:rPr>
        <w:t xml:space="preserve">(c) </w:t>
      </w:r>
      <w:r w:rsidRPr="00FD620F">
        <w:rPr>
          <w:noProof/>
        </w:rPr>
        <w:tab/>
        <w:t>setting corresponding EQS for surface water, sediment or biota, as appropriate.</w:t>
      </w:r>
    </w:p>
    <w:p w14:paraId="73357DA9" w14:textId="77777777" w:rsidR="00064ADB" w:rsidRPr="00FD620F" w:rsidRDefault="00064ADB" w:rsidP="00064ADB">
      <w:pPr>
        <w:ind w:left="709"/>
        <w:rPr>
          <w:rFonts w:eastAsia="Calibri"/>
          <w:bCs/>
          <w:noProof/>
        </w:rPr>
      </w:pPr>
      <w:r w:rsidRPr="00FD620F">
        <w:rPr>
          <w:rFonts w:eastAsia="Calibri"/>
          <w:bCs/>
          <w:noProof/>
        </w:rPr>
        <w:t>3. The Commission is empowered to adopt delegated acts,</w:t>
      </w:r>
      <w:r w:rsidRPr="00FD620F">
        <w:rPr>
          <w:noProof/>
        </w:rPr>
        <w:t xml:space="preserve"> </w:t>
      </w:r>
      <w:r w:rsidRPr="00FD620F">
        <w:rPr>
          <w:rFonts w:eastAsia="Calibri"/>
          <w:bCs/>
          <w:noProof/>
        </w:rPr>
        <w:t>having regard to the scientific reports prepared by ECHA pursuant to paragraph 6 of this Article, in accordance with Article 9a to amend Annex II in order to adapt it to scientific and technological progress by:</w:t>
      </w:r>
    </w:p>
    <w:p w14:paraId="66229F73" w14:textId="413BEBCE" w:rsidR="00064ADB" w:rsidRPr="00FD620F" w:rsidRDefault="00312D4D" w:rsidP="00312D4D">
      <w:pPr>
        <w:pStyle w:val="Point1"/>
        <w:rPr>
          <w:noProof/>
        </w:rPr>
      </w:pPr>
      <w:r w:rsidRPr="00312D4D">
        <w:t>(a)</w:t>
      </w:r>
      <w:r w:rsidRPr="00312D4D">
        <w:tab/>
      </w:r>
      <w:r w:rsidR="00064ADB" w:rsidRPr="00FD620F">
        <w:rPr>
          <w:noProof/>
        </w:rPr>
        <w:t xml:space="preserve">adding or removing pollutants from the list of </w:t>
      </w:r>
      <w:r w:rsidR="0079782F">
        <w:rPr>
          <w:noProof/>
        </w:rPr>
        <w:t xml:space="preserve">categories </w:t>
      </w:r>
      <w:r w:rsidR="00064ADB" w:rsidRPr="00FD620F">
        <w:rPr>
          <w:noProof/>
        </w:rPr>
        <w:t>pollutants set out in Part A of Annex II;</w:t>
      </w:r>
    </w:p>
    <w:p w14:paraId="594BDDB6" w14:textId="1EE7E4A9" w:rsidR="00064ADB" w:rsidRPr="00FD620F" w:rsidRDefault="00312D4D" w:rsidP="00312D4D">
      <w:pPr>
        <w:pStyle w:val="Point1"/>
        <w:rPr>
          <w:noProof/>
        </w:rPr>
      </w:pPr>
      <w:r w:rsidRPr="00312D4D">
        <w:t>(b)</w:t>
      </w:r>
      <w:r w:rsidRPr="00312D4D">
        <w:tab/>
      </w:r>
      <w:r w:rsidR="00064ADB" w:rsidRPr="00FD620F">
        <w:rPr>
          <w:noProof/>
        </w:rPr>
        <w:t>updating the methodology set out in Part B of Annex II;</w:t>
      </w:r>
    </w:p>
    <w:p w14:paraId="4E856E47" w14:textId="118B0FC0" w:rsidR="00064ADB" w:rsidRPr="00FD620F" w:rsidRDefault="00312D4D" w:rsidP="00312D4D">
      <w:pPr>
        <w:pStyle w:val="Point1"/>
        <w:rPr>
          <w:noProof/>
        </w:rPr>
      </w:pPr>
      <w:r w:rsidRPr="00312D4D">
        <w:t>(c)</w:t>
      </w:r>
      <w:r w:rsidRPr="00312D4D">
        <w:tab/>
      </w:r>
      <w:r w:rsidR="00064ADB" w:rsidRPr="00FD620F">
        <w:rPr>
          <w:noProof/>
        </w:rPr>
        <w:t xml:space="preserve">listing in Part C of Annex II to this Directive those river basin specific pollutants for which it has established that EQS set at Union level are to be applied, where relevant, to ensure a harmonised and science-based implementation of the objectives set out in Article 4 of Directive 2000/60/EC, and by listing the corresponding EQS for those pollutants in Part C of Annex II to this Directive. </w:t>
      </w:r>
    </w:p>
    <w:p w14:paraId="6FE4677E" w14:textId="77777777" w:rsidR="00064ADB" w:rsidRPr="00FD620F" w:rsidRDefault="00064ADB" w:rsidP="00064ADB">
      <w:pPr>
        <w:ind w:left="709"/>
        <w:rPr>
          <w:rFonts w:eastAsia="Calibri"/>
          <w:bCs/>
          <w:noProof/>
        </w:rPr>
      </w:pPr>
      <w:r w:rsidRPr="00FD620F">
        <w:rPr>
          <w:rFonts w:eastAsia="Calibri"/>
          <w:bCs/>
          <w:noProof/>
        </w:rPr>
        <w:t xml:space="preserve">4. When identifying river basin specific pollutants for which it </w:t>
      </w:r>
      <w:r w:rsidRPr="00FD620F">
        <w:rPr>
          <w:rFonts w:eastAsia="Calibri"/>
          <w:noProof/>
        </w:rPr>
        <w:t>could</w:t>
      </w:r>
      <w:r w:rsidRPr="00FD620F">
        <w:rPr>
          <w:rFonts w:eastAsia="Calibri"/>
          <w:bCs/>
          <w:noProof/>
        </w:rPr>
        <w:t xml:space="preserve"> be necessary to set EQS at Union level, the Commission shall take into account the following criteria:</w:t>
      </w:r>
    </w:p>
    <w:p w14:paraId="2863347A" w14:textId="77777777" w:rsidR="00064ADB" w:rsidRPr="00FD620F" w:rsidRDefault="00064ADB" w:rsidP="00064ADB">
      <w:pPr>
        <w:pStyle w:val="Text2"/>
        <w:rPr>
          <w:noProof/>
        </w:rPr>
      </w:pPr>
      <w:r w:rsidRPr="00FD620F">
        <w:rPr>
          <w:noProof/>
        </w:rPr>
        <w:t>(a) the risk posed by the pollutants, including their hazard, their environmental concentrations and the concentration above which effects might be expected;</w:t>
      </w:r>
    </w:p>
    <w:p w14:paraId="00E0EEC9" w14:textId="77777777" w:rsidR="00064ADB" w:rsidRPr="00FD620F" w:rsidRDefault="00064ADB" w:rsidP="00064ADB">
      <w:pPr>
        <w:pStyle w:val="Text2"/>
        <w:rPr>
          <w:noProof/>
        </w:rPr>
      </w:pPr>
      <w:r w:rsidRPr="00FD620F">
        <w:rPr>
          <w:noProof/>
        </w:rPr>
        <w:t>(b) the disparity between the national EQS set for river basin specific pollutants by different Member States and the degree to which such disparity is justifiable;</w:t>
      </w:r>
    </w:p>
    <w:p w14:paraId="50354CEA" w14:textId="77777777" w:rsidR="00064ADB" w:rsidRPr="00FD620F" w:rsidRDefault="00064ADB" w:rsidP="00064ADB">
      <w:pPr>
        <w:pStyle w:val="Text2"/>
        <w:rPr>
          <w:noProof/>
        </w:rPr>
      </w:pPr>
      <w:r w:rsidRPr="00FD620F">
        <w:rPr>
          <w:noProof/>
        </w:rPr>
        <w:t xml:space="preserve">(c) the number of Member States already implementing an EQS for the river basin specific pollutants under consideration. </w:t>
      </w:r>
    </w:p>
    <w:p w14:paraId="27D49A2E" w14:textId="5581B2CF" w:rsidR="00064ADB" w:rsidRPr="00FD620F" w:rsidRDefault="00064ADB" w:rsidP="00064ADB">
      <w:pPr>
        <w:ind w:left="709"/>
        <w:rPr>
          <w:bCs/>
          <w:noProof/>
        </w:rPr>
      </w:pPr>
      <w:r w:rsidRPr="00FD620F">
        <w:rPr>
          <w:bCs/>
          <w:noProof/>
        </w:rPr>
        <w:t xml:space="preserve">5. Priority substances which have, as a result of the review referred to in paragraph 1, been removed from the list of priority substances because they are no longer posing a Union-wide risk, shall be included in Part C of Annex II, listing the river basin specific pollutants and related </w:t>
      </w:r>
      <w:r w:rsidR="00F90D93">
        <w:rPr>
          <w:bCs/>
          <w:noProof/>
        </w:rPr>
        <w:t xml:space="preserve">harmonised </w:t>
      </w:r>
      <w:r w:rsidRPr="00FD620F">
        <w:rPr>
          <w:bCs/>
          <w:noProof/>
        </w:rPr>
        <w:t>EQS which are to be implemented where the pollutants are of national or regional concern</w:t>
      </w:r>
      <w:r w:rsidR="00F06845" w:rsidRPr="00FD620F">
        <w:rPr>
          <w:bCs/>
          <w:noProof/>
        </w:rPr>
        <w:t>,</w:t>
      </w:r>
      <w:r w:rsidR="008C1FC5" w:rsidRPr="00FD620F">
        <w:rPr>
          <w:bCs/>
          <w:noProof/>
        </w:rPr>
        <w:t xml:space="preserve"> in accordance with Article 8d</w:t>
      </w:r>
      <w:r w:rsidRPr="00FD620F">
        <w:rPr>
          <w:bCs/>
          <w:noProof/>
        </w:rPr>
        <w:t xml:space="preserve">.  </w:t>
      </w:r>
    </w:p>
    <w:p w14:paraId="222BAE9B" w14:textId="77777777" w:rsidR="00064ADB" w:rsidRPr="00FD620F" w:rsidRDefault="00064ADB" w:rsidP="00064ADB">
      <w:pPr>
        <w:ind w:left="709"/>
        <w:rPr>
          <w:bCs/>
          <w:noProof/>
        </w:rPr>
      </w:pPr>
      <w:r w:rsidRPr="00FD620F">
        <w:rPr>
          <w:bCs/>
          <w:noProof/>
        </w:rPr>
        <w:t>6. For the purpose of assisting the Commission with regard to the review of Annexes I and II, ECHA shall prepare scientific reports. Those scientific reports shall take account of the following:</w:t>
      </w:r>
    </w:p>
    <w:p w14:paraId="00D62643" w14:textId="0769F1B8" w:rsidR="00064ADB" w:rsidRPr="00FD620F" w:rsidRDefault="00064ADB" w:rsidP="00064ADB">
      <w:pPr>
        <w:pStyle w:val="Text2"/>
        <w:rPr>
          <w:noProof/>
        </w:rPr>
      </w:pPr>
      <w:r w:rsidRPr="00FD620F">
        <w:rPr>
          <w:noProof/>
        </w:rPr>
        <w:t>(a) the opinions of the Committee for Risk Assessment and the Committee for Socio-Economic Analysis of ECHA;</w:t>
      </w:r>
    </w:p>
    <w:p w14:paraId="3286836D" w14:textId="77777777" w:rsidR="00064ADB" w:rsidRPr="00FD620F" w:rsidRDefault="00064ADB" w:rsidP="00064ADB">
      <w:pPr>
        <w:pStyle w:val="Text2"/>
        <w:rPr>
          <w:noProof/>
        </w:rPr>
      </w:pPr>
      <w:r w:rsidRPr="00FD620F">
        <w:rPr>
          <w:noProof/>
        </w:rPr>
        <w:t>(b) the results of the monitoring programmes established in accordance with Article 8 of Directive 2000/60/EC;</w:t>
      </w:r>
    </w:p>
    <w:p w14:paraId="6D6CB115" w14:textId="77777777" w:rsidR="00064ADB" w:rsidRPr="00FD620F" w:rsidRDefault="00064ADB" w:rsidP="00064ADB">
      <w:pPr>
        <w:pStyle w:val="Text2"/>
        <w:rPr>
          <w:noProof/>
        </w:rPr>
      </w:pPr>
      <w:r w:rsidRPr="00FD620F">
        <w:rPr>
          <w:noProof/>
        </w:rPr>
        <w:t>(c) the monitoring data collected in accordance with Article 8b</w:t>
      </w:r>
      <w:r w:rsidR="00520987" w:rsidRPr="00FD620F">
        <w:rPr>
          <w:noProof/>
        </w:rPr>
        <w:t>(4)</w:t>
      </w:r>
      <w:r w:rsidRPr="00FD620F">
        <w:rPr>
          <w:noProof/>
        </w:rPr>
        <w:t xml:space="preserve"> of this Directive;</w:t>
      </w:r>
    </w:p>
    <w:p w14:paraId="7DD258B7" w14:textId="77777777" w:rsidR="00064ADB" w:rsidRPr="00FD620F" w:rsidRDefault="00064ADB" w:rsidP="00064ADB">
      <w:pPr>
        <w:pStyle w:val="Text2"/>
        <w:rPr>
          <w:noProof/>
        </w:rPr>
      </w:pPr>
      <w:r w:rsidRPr="00FD620F">
        <w:rPr>
          <w:noProof/>
        </w:rPr>
        <w:t>(d) the outcome of the reviews of the Annexes to Directive 2006/118/EC of the European Parliament and of the Council* and Directive (EU) 2020/2184 of the European Parliament and of the Council</w:t>
      </w:r>
      <w:r w:rsidRPr="00FD620F">
        <w:rPr>
          <w:bCs/>
          <w:noProof/>
        </w:rPr>
        <w:t>**</w:t>
      </w:r>
      <w:r w:rsidRPr="00FD620F">
        <w:rPr>
          <w:noProof/>
        </w:rPr>
        <w:t>;</w:t>
      </w:r>
    </w:p>
    <w:p w14:paraId="09A2643D" w14:textId="77777777" w:rsidR="00064ADB" w:rsidRPr="00FD620F" w:rsidRDefault="00064ADB" w:rsidP="00064ADB">
      <w:pPr>
        <w:pStyle w:val="Text2"/>
        <w:rPr>
          <w:noProof/>
        </w:rPr>
      </w:pPr>
      <w:r w:rsidRPr="00FD620F">
        <w:rPr>
          <w:noProof/>
        </w:rPr>
        <w:t>(e ) requirements to address soil pollution, including related monitoring data;</w:t>
      </w:r>
    </w:p>
    <w:p w14:paraId="35EC2019" w14:textId="77777777" w:rsidR="00064ADB" w:rsidRPr="00FD620F" w:rsidRDefault="00064ADB" w:rsidP="00064ADB">
      <w:pPr>
        <w:pStyle w:val="Text2"/>
        <w:rPr>
          <w:noProof/>
        </w:rPr>
      </w:pPr>
      <w:r w:rsidRPr="00FD620F">
        <w:rPr>
          <w:noProof/>
        </w:rPr>
        <w:t>(f) Union research programmes and scientific publications, including information resulting from remote sensing technologies, earth observation (Copernicus services), in-situ sensors and devices, and/or citizen science data, leveraging the opportunities offered by artificial intelligence, advanced data analysis and processing;</w:t>
      </w:r>
      <w:r w:rsidRPr="00FD620F">
        <w:rPr>
          <w:noProof/>
        </w:rPr>
        <w:tab/>
      </w:r>
    </w:p>
    <w:p w14:paraId="3E9831CE" w14:textId="77777777" w:rsidR="00064ADB" w:rsidRPr="00FD620F" w:rsidRDefault="00064ADB" w:rsidP="00064ADB">
      <w:pPr>
        <w:pStyle w:val="Text2"/>
        <w:rPr>
          <w:noProof/>
        </w:rPr>
      </w:pPr>
      <w:r w:rsidRPr="00FD620F">
        <w:rPr>
          <w:noProof/>
        </w:rPr>
        <w:t>(e) comments and information from relevant stakeholders.</w:t>
      </w:r>
    </w:p>
    <w:p w14:paraId="6FBB73B1" w14:textId="066AD6B2" w:rsidR="00064ADB" w:rsidRPr="00FD620F" w:rsidRDefault="00064ADB" w:rsidP="00064ADB">
      <w:pPr>
        <w:ind w:left="709"/>
        <w:rPr>
          <w:bCs/>
          <w:noProof/>
        </w:rPr>
      </w:pPr>
      <w:r w:rsidRPr="00FD620F">
        <w:rPr>
          <w:bCs/>
          <w:noProof/>
        </w:rPr>
        <w:t xml:space="preserve">7. </w:t>
      </w:r>
      <w:r w:rsidRPr="00FD620F">
        <w:rPr>
          <w:noProof/>
        </w:rPr>
        <w:t>ECHA shall every six years prepare and make publicly available a report summarizing the findings of the scientific reports established under paragraph 6. The first report shall be submitted to the Commission on … [OP: Please insert the date = five years after the date of entry into force of this Directive]</w:t>
      </w:r>
      <w:r w:rsidR="009856AE" w:rsidRPr="00FD620F">
        <w:rPr>
          <w:noProof/>
        </w:rPr>
        <w:t>.</w:t>
      </w:r>
    </w:p>
    <w:p w14:paraId="05522E90" w14:textId="77777777" w:rsidR="00064ADB" w:rsidRPr="00FD620F" w:rsidRDefault="00064ADB" w:rsidP="00064ADB">
      <w:pPr>
        <w:ind w:left="709"/>
        <w:rPr>
          <w:bCs/>
          <w:noProof/>
          <w:u w:val="single"/>
        </w:rPr>
      </w:pPr>
      <w:r w:rsidRPr="00FD620F">
        <w:rPr>
          <w:i/>
          <w:noProof/>
        </w:rPr>
        <w:t xml:space="preserve"> </w:t>
      </w:r>
      <w:r w:rsidRPr="00FD620F">
        <w:rPr>
          <w:bCs/>
          <w:noProof/>
          <w:u w:val="single"/>
        </w:rPr>
        <w:tab/>
      </w:r>
      <w:r w:rsidRPr="00FD620F">
        <w:rPr>
          <w:bCs/>
          <w:noProof/>
          <w:u w:val="single"/>
        </w:rPr>
        <w:tab/>
      </w:r>
      <w:r w:rsidRPr="00FD620F">
        <w:rPr>
          <w:bCs/>
          <w:noProof/>
          <w:u w:val="single"/>
        </w:rPr>
        <w:tab/>
      </w:r>
      <w:r w:rsidRPr="00FD620F">
        <w:rPr>
          <w:bCs/>
          <w:noProof/>
          <w:u w:val="single"/>
        </w:rPr>
        <w:tab/>
      </w:r>
      <w:r w:rsidRPr="00FD620F">
        <w:rPr>
          <w:bCs/>
          <w:noProof/>
          <w:u w:val="single"/>
        </w:rPr>
        <w:tab/>
      </w:r>
    </w:p>
    <w:p w14:paraId="3CD0F519" w14:textId="77777777" w:rsidR="00064ADB" w:rsidRPr="00FD620F" w:rsidRDefault="00064ADB" w:rsidP="00064ADB">
      <w:pPr>
        <w:ind w:left="709"/>
        <w:rPr>
          <w:bCs/>
          <w:noProof/>
        </w:rPr>
      </w:pPr>
      <w:r w:rsidRPr="00FD620F">
        <w:rPr>
          <w:bCs/>
          <w:noProof/>
        </w:rPr>
        <w:t>* Directive 2006/118/EC of the European Parliament and of the Council of 12 December 2006 on the prevention and control of groundwater pollution (OJ L 372, 27.12.2006, p. 19).</w:t>
      </w:r>
    </w:p>
    <w:p w14:paraId="37578F0F" w14:textId="77777777" w:rsidR="00064ADB" w:rsidRPr="00FD620F" w:rsidRDefault="00064ADB" w:rsidP="00064ADB">
      <w:pPr>
        <w:ind w:left="709"/>
        <w:rPr>
          <w:noProof/>
        </w:rPr>
      </w:pPr>
      <w:r w:rsidRPr="00FD620F">
        <w:rPr>
          <w:bCs/>
          <w:noProof/>
        </w:rPr>
        <w:t>** Directive (EU) 2020/2184 of the European Parliament and of the Council of 16 December 2020 on the quality of water intended for human consumption (OJ L 435, 23.12.2020, p. 1).’;</w:t>
      </w:r>
      <w:r w:rsidRPr="00FD620F">
        <w:rPr>
          <w:noProof/>
        </w:rPr>
        <w:t xml:space="preserve"> </w:t>
      </w:r>
    </w:p>
    <w:p w14:paraId="3517F729" w14:textId="77777777" w:rsidR="00064ADB" w:rsidRPr="00FD620F" w:rsidRDefault="00064ADB" w:rsidP="00064ADB">
      <w:pPr>
        <w:ind w:left="709"/>
        <w:rPr>
          <w:i/>
          <w:noProof/>
        </w:rPr>
      </w:pPr>
    </w:p>
    <w:p w14:paraId="7371A906" w14:textId="0D8A6681" w:rsidR="00064ADB" w:rsidRPr="00FD620F" w:rsidRDefault="00312D4D" w:rsidP="00312D4D">
      <w:pPr>
        <w:pStyle w:val="Point0"/>
        <w:rPr>
          <w:noProof/>
        </w:rPr>
      </w:pPr>
      <w:r w:rsidRPr="00312D4D">
        <w:t>(6)</w:t>
      </w:r>
      <w:r w:rsidRPr="00312D4D">
        <w:tab/>
      </w:r>
      <w:r w:rsidR="00064ADB" w:rsidRPr="00FD620F">
        <w:rPr>
          <w:noProof/>
        </w:rPr>
        <w:t>Article 8a is replaced by the following:</w:t>
      </w:r>
    </w:p>
    <w:p w14:paraId="6A6E2FCE" w14:textId="77777777" w:rsidR="00064ADB" w:rsidRPr="00FD620F" w:rsidRDefault="00064ADB" w:rsidP="009856AE">
      <w:pPr>
        <w:pStyle w:val="Titrearticle"/>
        <w:rPr>
          <w:noProof/>
        </w:rPr>
      </w:pPr>
      <w:r w:rsidRPr="00FD620F">
        <w:rPr>
          <w:noProof/>
        </w:rPr>
        <w:t>‘Article 8a</w:t>
      </w:r>
    </w:p>
    <w:p w14:paraId="202CEFF1" w14:textId="77777777" w:rsidR="00064ADB" w:rsidRPr="00FD620F" w:rsidRDefault="00064ADB" w:rsidP="009856AE">
      <w:pPr>
        <w:pStyle w:val="Titrearticle"/>
        <w:rPr>
          <w:b/>
          <w:noProof/>
        </w:rPr>
      </w:pPr>
      <w:r w:rsidRPr="00FD620F">
        <w:rPr>
          <w:b/>
          <w:i w:val="0"/>
          <w:noProof/>
        </w:rPr>
        <w:t>Specific provisions for certain substances</w:t>
      </w:r>
    </w:p>
    <w:p w14:paraId="76FDBEEC" w14:textId="77777777" w:rsidR="00064ADB" w:rsidRPr="00FD620F" w:rsidRDefault="00064ADB" w:rsidP="00064ADB">
      <w:pPr>
        <w:pStyle w:val="Text1"/>
        <w:rPr>
          <w:noProof/>
        </w:rPr>
      </w:pPr>
      <w:r w:rsidRPr="00FD620F">
        <w:rPr>
          <w:noProof/>
        </w:rPr>
        <w:t xml:space="preserve">1. In the river basin management plans produced in accordance with Article 13 of Directive 2000/60/EC, without prejudice to the requirements of Section 1.4.3 of Annex V to that Directive regarding the presentation of the overall chemical status and the objectives and obligations laid down in Article 4(1), point (a), of that Directive, Member States may provide additional maps that present the chemical status information for one or more of the following substances separately from the information for the rest of the substances identified in Part A of Annex I to this Directive: </w:t>
      </w:r>
    </w:p>
    <w:p w14:paraId="7F9263C9" w14:textId="7C3B6479" w:rsidR="00064ADB" w:rsidRPr="00FD620F" w:rsidRDefault="00312D4D" w:rsidP="00312D4D">
      <w:pPr>
        <w:pStyle w:val="Point2"/>
        <w:rPr>
          <w:noProof/>
        </w:rPr>
      </w:pPr>
      <w:r w:rsidRPr="00312D4D">
        <w:t>(a)</w:t>
      </w:r>
      <w:r w:rsidRPr="00312D4D">
        <w:tab/>
      </w:r>
      <w:r w:rsidR="00064ADB" w:rsidRPr="00FD620F">
        <w:rPr>
          <w:noProof/>
        </w:rPr>
        <w:t xml:space="preserve">substances </w:t>
      </w:r>
      <w:r w:rsidR="00064ADB" w:rsidRPr="00FD620F">
        <w:rPr>
          <w:bCs/>
          <w:noProof/>
        </w:rPr>
        <w:t>identified in Part A of Annex I as</w:t>
      </w:r>
      <w:r w:rsidR="00064ADB" w:rsidRPr="00FD620F">
        <w:rPr>
          <w:noProof/>
        </w:rPr>
        <w:t xml:space="preserve"> substances behaving like ubiquitous PBTs; </w:t>
      </w:r>
    </w:p>
    <w:p w14:paraId="2E0B0032" w14:textId="251A47A6" w:rsidR="00064ADB" w:rsidRPr="00FD620F" w:rsidRDefault="00312D4D" w:rsidP="00312D4D">
      <w:pPr>
        <w:pStyle w:val="Point2"/>
        <w:rPr>
          <w:noProof/>
        </w:rPr>
      </w:pPr>
      <w:r w:rsidRPr="00312D4D">
        <w:t>(b)</w:t>
      </w:r>
      <w:r w:rsidRPr="00312D4D">
        <w:tab/>
      </w:r>
      <w:r w:rsidR="00064ADB" w:rsidRPr="00FD620F">
        <w:rPr>
          <w:noProof/>
        </w:rPr>
        <w:t xml:space="preserve">substances newly identified in the latest review in accordance with Article 8; </w:t>
      </w:r>
    </w:p>
    <w:p w14:paraId="77134079" w14:textId="6C0208D8" w:rsidR="00064ADB" w:rsidRPr="00FD620F" w:rsidRDefault="00312D4D" w:rsidP="00312D4D">
      <w:pPr>
        <w:pStyle w:val="Point2"/>
        <w:rPr>
          <w:noProof/>
        </w:rPr>
      </w:pPr>
      <w:r w:rsidRPr="00312D4D">
        <w:t>(c)</w:t>
      </w:r>
      <w:r w:rsidRPr="00312D4D">
        <w:tab/>
      </w:r>
      <w:r w:rsidR="00064ADB" w:rsidRPr="00FD620F">
        <w:rPr>
          <w:noProof/>
        </w:rPr>
        <w:t>substances for which a stricter EQS has been set in the latest review in accordance with Article 8.</w:t>
      </w:r>
    </w:p>
    <w:p w14:paraId="389D58A5" w14:textId="77777777" w:rsidR="00064ADB" w:rsidRPr="00FD620F" w:rsidRDefault="00064ADB" w:rsidP="00064ADB">
      <w:pPr>
        <w:pStyle w:val="Text1"/>
        <w:rPr>
          <w:noProof/>
        </w:rPr>
      </w:pPr>
      <w:r w:rsidRPr="00FD620F">
        <w:rPr>
          <w:noProof/>
        </w:rPr>
        <w:t xml:space="preserve">Member States may present the extent of any deviation from the EQS value for the substances referred to in the first subparagraph, points (a), (b) and (c), in the river basin management plans produced in accordance with Article 13 of Directive 2000/60/EC. Member States providing additional maps as referred to in the first subparagraph shall seek to ensure their inter-comparability at river basin and Union level </w:t>
      </w:r>
      <w:r w:rsidRPr="00FD620F">
        <w:rPr>
          <w:bCs/>
          <w:noProof/>
        </w:rPr>
        <w:t>and shall make the data available in accordance with Directive 2003/4/EC, Directive 2007/2/EC of the European Parliament and of the Council* and Directive (EU) 2019/1024 of the European Parliament and of the Council**</w:t>
      </w:r>
      <w:r w:rsidRPr="00FD620F">
        <w:rPr>
          <w:noProof/>
        </w:rPr>
        <w:t xml:space="preserve">. </w:t>
      </w:r>
    </w:p>
    <w:p w14:paraId="075E80FF" w14:textId="6C527F87" w:rsidR="00064ADB" w:rsidRPr="00FD620F" w:rsidRDefault="00064ADB" w:rsidP="00064ADB">
      <w:pPr>
        <w:pStyle w:val="Text1"/>
        <w:rPr>
          <w:noProof/>
        </w:rPr>
      </w:pPr>
      <w:r w:rsidRPr="00FD620F">
        <w:rPr>
          <w:noProof/>
        </w:rPr>
        <w:t xml:space="preserve">2. Member States may monitor substances </w:t>
      </w:r>
      <w:r w:rsidRPr="00FD620F">
        <w:rPr>
          <w:bCs/>
          <w:noProof/>
        </w:rPr>
        <w:t>identified in Part A of Annex I as substances behaving like ubiquitous PBTs</w:t>
      </w:r>
      <w:r w:rsidRPr="00FD620F">
        <w:rPr>
          <w:noProof/>
        </w:rPr>
        <w:t xml:space="preserve"> less intensively than </w:t>
      </w:r>
      <w:r w:rsidR="00F90D93">
        <w:rPr>
          <w:noProof/>
        </w:rPr>
        <w:t>i</w:t>
      </w:r>
      <w:r w:rsidRPr="00FD620F">
        <w:rPr>
          <w:noProof/>
        </w:rPr>
        <w:t xml:space="preserve">s required for priority substances in accordance with Article 3(4) of this Directive and Annex V to Directive 2000/60/EC, provided that the monitoring is representative and a statistically robust baseline is available regarding the presence of those substances in the aquatic environment. As a guideline, in accordance with Article 3(6), second subparagraph, of this Directive, monitoring should take place every three years, unless technical knowledge and expert judgment justify another interval. </w:t>
      </w:r>
    </w:p>
    <w:p w14:paraId="4F875BF3" w14:textId="6BB5A5CF" w:rsidR="00064ADB" w:rsidRPr="00FD620F" w:rsidRDefault="00064ADB" w:rsidP="00064ADB">
      <w:pPr>
        <w:pStyle w:val="Text1"/>
        <w:rPr>
          <w:bCs/>
          <w:noProof/>
        </w:rPr>
      </w:pPr>
      <w:r w:rsidRPr="00FD620F">
        <w:rPr>
          <w:bCs/>
          <w:noProof/>
        </w:rPr>
        <w:t>3. Member States shall, from … [OP please insert the date = the first day of the month following 1</w:t>
      </w:r>
      <w:r w:rsidR="0001385F">
        <w:rPr>
          <w:bCs/>
          <w:noProof/>
        </w:rPr>
        <w:t>8</w:t>
      </w:r>
      <w:r w:rsidRPr="00FD620F">
        <w:rPr>
          <w:bCs/>
          <w:noProof/>
        </w:rPr>
        <w:t xml:space="preserve"> months after the date of entry into force of this Directive], for a period of two years, monitor the presence of estrogenic substances  in water bodies, using effect-based monitoring methods. They shall conduct the monitoring at least four times during each of the two years at locations where the three estrogenic hormones </w:t>
      </w:r>
      <w:r w:rsidRPr="00FD620F">
        <w:rPr>
          <w:noProof/>
        </w:rPr>
        <w:t xml:space="preserve">7-Beta estradiol (E2), Estrone (E1) and Alpha-Ethinyl estradiol (EE2) </w:t>
      </w:r>
      <w:r w:rsidRPr="00FD620F">
        <w:rPr>
          <w:bCs/>
          <w:noProof/>
        </w:rPr>
        <w:t>listed in Part A to Annex I to this Directive, are being monitored using conventional analytical methods in accordance with Article 8 of Directive 2000/60/EC and Annex V to that Directive. Member States may use the network of monitoring sites identified for the surveillance monitoring of representative surface water bodies in accordance with point 1.3.1 of Annex V to Directive 2000/60/EC.</w:t>
      </w:r>
    </w:p>
    <w:p w14:paraId="16DF64A7" w14:textId="77777777" w:rsidR="00064ADB" w:rsidRPr="00FD620F" w:rsidRDefault="00064ADB" w:rsidP="00064ADB">
      <w:pPr>
        <w:ind w:left="1417"/>
        <w:rPr>
          <w:noProof/>
          <w:u w:val="single"/>
        </w:rPr>
      </w:pPr>
      <w:r w:rsidRPr="00FD620F">
        <w:rPr>
          <w:i/>
          <w:noProof/>
        </w:rPr>
        <w:t xml:space="preserve">  </w:t>
      </w:r>
      <w:r w:rsidRPr="00FD620F">
        <w:rPr>
          <w:noProof/>
        </w:rPr>
        <w:tab/>
      </w:r>
      <w:r w:rsidRPr="00FD620F">
        <w:rPr>
          <w:noProof/>
          <w:u w:val="single"/>
        </w:rPr>
        <w:tab/>
      </w:r>
      <w:r w:rsidRPr="00FD620F">
        <w:rPr>
          <w:noProof/>
          <w:u w:val="single"/>
        </w:rPr>
        <w:tab/>
      </w:r>
      <w:r w:rsidRPr="00FD620F">
        <w:rPr>
          <w:noProof/>
          <w:u w:val="single"/>
        </w:rPr>
        <w:tab/>
      </w:r>
      <w:r w:rsidRPr="00FD620F">
        <w:rPr>
          <w:noProof/>
          <w:u w:val="single"/>
        </w:rPr>
        <w:tab/>
      </w:r>
    </w:p>
    <w:p w14:paraId="13251950" w14:textId="77777777" w:rsidR="00064ADB" w:rsidRPr="00FD620F" w:rsidRDefault="00064ADB" w:rsidP="00064ADB">
      <w:pPr>
        <w:pStyle w:val="Text1"/>
        <w:rPr>
          <w:noProof/>
        </w:rPr>
      </w:pPr>
      <w:r w:rsidRPr="00FD620F">
        <w:rPr>
          <w:noProof/>
        </w:rPr>
        <w:t>* Directive 2007/2/EC of the European Parliament and of the Council of 14 March 2007 establishing an Infrastructure for Spatial Information in the European Community (INSPIRE), OJ L 108, 25.4.2007, p. 1</w:t>
      </w:r>
      <w:r w:rsidR="00FF643B">
        <w:rPr>
          <w:noProof/>
        </w:rPr>
        <w:t>)</w:t>
      </w:r>
      <w:r w:rsidRPr="00FD620F">
        <w:rPr>
          <w:noProof/>
        </w:rPr>
        <w:t>.</w:t>
      </w:r>
    </w:p>
    <w:p w14:paraId="1148BFD9" w14:textId="77777777" w:rsidR="00064ADB" w:rsidRPr="00FD620F" w:rsidRDefault="00064ADB" w:rsidP="00064ADB">
      <w:pPr>
        <w:pStyle w:val="Text1"/>
        <w:rPr>
          <w:i/>
          <w:noProof/>
        </w:rPr>
      </w:pPr>
      <w:r w:rsidRPr="00FD620F">
        <w:rPr>
          <w:noProof/>
        </w:rPr>
        <w:t>** Directive (EU) 2019/1024 of the European Parliament and of the Council of 20 June 2019 on open data and the re-use of public sector information, OJ L 172, 26.6.2019, p. 56</w:t>
      </w:r>
      <w:r w:rsidR="00FF643B">
        <w:rPr>
          <w:noProof/>
        </w:rPr>
        <w:t>)</w:t>
      </w:r>
      <w:r w:rsidRPr="00FD620F">
        <w:rPr>
          <w:noProof/>
        </w:rPr>
        <w:t xml:space="preserve">.’; </w:t>
      </w:r>
    </w:p>
    <w:p w14:paraId="2EF49AA3" w14:textId="5CF988CD" w:rsidR="00064ADB" w:rsidRPr="00FD620F" w:rsidRDefault="00312D4D" w:rsidP="00312D4D">
      <w:pPr>
        <w:pStyle w:val="Point0"/>
        <w:rPr>
          <w:noProof/>
        </w:rPr>
      </w:pPr>
      <w:r w:rsidRPr="00312D4D">
        <w:t>(7)</w:t>
      </w:r>
      <w:r w:rsidRPr="00312D4D">
        <w:tab/>
      </w:r>
      <w:r w:rsidR="00064ADB" w:rsidRPr="00FD620F">
        <w:rPr>
          <w:noProof/>
        </w:rPr>
        <w:t xml:space="preserve">Article 8b is replaced by the following: </w:t>
      </w:r>
    </w:p>
    <w:p w14:paraId="78DD1888" w14:textId="77777777" w:rsidR="00064ADB" w:rsidRPr="00FD620F" w:rsidRDefault="00064ADB" w:rsidP="00064ADB">
      <w:pPr>
        <w:pStyle w:val="Titrearticle"/>
        <w:rPr>
          <w:noProof/>
        </w:rPr>
      </w:pPr>
      <w:r w:rsidRPr="00FD620F">
        <w:rPr>
          <w:noProof/>
        </w:rPr>
        <w:t>’Article 8b</w:t>
      </w:r>
    </w:p>
    <w:p w14:paraId="550317E2" w14:textId="77777777" w:rsidR="00064ADB" w:rsidRPr="00FD620F" w:rsidRDefault="00064ADB" w:rsidP="00064ADB">
      <w:pPr>
        <w:pStyle w:val="Titrearticle"/>
        <w:rPr>
          <w:b/>
          <w:i w:val="0"/>
          <w:noProof/>
        </w:rPr>
      </w:pPr>
      <w:r w:rsidRPr="00FD620F">
        <w:rPr>
          <w:b/>
          <w:i w:val="0"/>
          <w:noProof/>
        </w:rPr>
        <w:t>Watch list</w:t>
      </w:r>
    </w:p>
    <w:p w14:paraId="72B82A51" w14:textId="6F2792B5" w:rsidR="00064ADB" w:rsidRPr="00FD620F" w:rsidRDefault="00064ADB" w:rsidP="00064ADB">
      <w:pPr>
        <w:pStyle w:val="Text1"/>
        <w:rPr>
          <w:bCs/>
          <w:noProof/>
        </w:rPr>
      </w:pPr>
      <w:r w:rsidRPr="00FD620F">
        <w:rPr>
          <w:noProof/>
        </w:rPr>
        <w:t xml:space="preserve"> ‘1. The Commission is empowered to adopt implementing acts to establish, having regard to scientific reports prepared by ECHA, a watch list of substances for which </w:t>
      </w:r>
      <w:r w:rsidR="00DC6A35" w:rsidRPr="00FD620F">
        <w:rPr>
          <w:noProof/>
        </w:rPr>
        <w:t>i</w:t>
      </w:r>
      <w:r w:rsidR="00FF643B">
        <w:rPr>
          <w:noProof/>
        </w:rPr>
        <w:t>t</w:t>
      </w:r>
      <w:r w:rsidR="00DC6A35" w:rsidRPr="00FD620F">
        <w:rPr>
          <w:noProof/>
        </w:rPr>
        <w:t xml:space="preserve"> is necessary to gather </w:t>
      </w:r>
      <w:r w:rsidRPr="00FD620F">
        <w:rPr>
          <w:noProof/>
        </w:rPr>
        <w:t xml:space="preserve">Union wide monitoring data </w:t>
      </w:r>
      <w:r w:rsidR="00DC6A35" w:rsidRPr="00FD620F">
        <w:rPr>
          <w:noProof/>
        </w:rPr>
        <w:t xml:space="preserve">from </w:t>
      </w:r>
      <w:r w:rsidRPr="00FD620F">
        <w:rPr>
          <w:noProof/>
        </w:rPr>
        <w:t xml:space="preserve">the Member States and to lay down the formats to be used by the Member States for reporting the results of that monitoring and related information to the Commission. Those implementing acts shall be adopted in accordance with the examination procedure referred to in Article 9(2). </w:t>
      </w:r>
    </w:p>
    <w:p w14:paraId="1E3C50E0" w14:textId="5C341234" w:rsidR="00064ADB" w:rsidRPr="00FD620F" w:rsidRDefault="00064ADB" w:rsidP="00064ADB">
      <w:pPr>
        <w:pStyle w:val="Text1"/>
        <w:rPr>
          <w:noProof/>
        </w:rPr>
      </w:pPr>
      <w:r w:rsidRPr="00FD620F">
        <w:rPr>
          <w:bCs/>
          <w:noProof/>
        </w:rPr>
        <w:t>The watch list shall contain a maximum of 10 substances or groups of substances at any one time, and shall indicate the monitoring matrices and the possible methods of analysis for each substance. Th</w:t>
      </w:r>
      <w:r w:rsidRPr="00FD620F">
        <w:rPr>
          <w:noProof/>
        </w:rPr>
        <w:t>o</w:t>
      </w:r>
      <w:r w:rsidRPr="00FD620F">
        <w:rPr>
          <w:bCs/>
          <w:noProof/>
        </w:rPr>
        <w:t xml:space="preserve">se monitoring matrices and methods shall not entail excessive costs for </w:t>
      </w:r>
      <w:r w:rsidR="00DC6A35" w:rsidRPr="00FD620F">
        <w:rPr>
          <w:bCs/>
          <w:noProof/>
        </w:rPr>
        <w:t xml:space="preserve">the competent authorities. </w:t>
      </w:r>
      <w:r w:rsidRPr="00FD620F">
        <w:rPr>
          <w:bCs/>
          <w:noProof/>
        </w:rPr>
        <w:t>The substances to be included in the watch list shall be selected from amongst the substances for which the information available indicates that they may pose a significant risk at Union level to, or via, the aquatic environment and for which monitoring data are insufficient.</w:t>
      </w:r>
      <w:r w:rsidR="00CF6A2E" w:rsidRPr="00FD620F">
        <w:rPr>
          <w:noProof/>
        </w:rPr>
        <w:t xml:space="preserve"> </w:t>
      </w:r>
      <w:r w:rsidR="00CF6A2E" w:rsidRPr="00FD620F">
        <w:rPr>
          <w:bCs/>
          <w:noProof/>
        </w:rPr>
        <w:t>The watch list shall include substances of emerging concern.</w:t>
      </w:r>
    </w:p>
    <w:p w14:paraId="0AF76723" w14:textId="77777777" w:rsidR="00064ADB" w:rsidRPr="00FD620F" w:rsidRDefault="00064ADB" w:rsidP="00064ADB">
      <w:pPr>
        <w:pStyle w:val="Text1"/>
        <w:rPr>
          <w:noProof/>
        </w:rPr>
      </w:pPr>
      <w:r w:rsidRPr="00FD620F">
        <w:rPr>
          <w:noProof/>
        </w:rPr>
        <w:t>As soon as suitable monitoring methods for micro-plastics and selected antimicrobial resistance genes have been identified, those</w:t>
      </w:r>
      <w:r w:rsidR="00DC6A35" w:rsidRPr="00FD620F">
        <w:rPr>
          <w:noProof/>
        </w:rPr>
        <w:t xml:space="preserve"> </w:t>
      </w:r>
      <w:r w:rsidRPr="00FD620F">
        <w:rPr>
          <w:noProof/>
        </w:rPr>
        <w:t>substances shall be included in the watch list.</w:t>
      </w:r>
    </w:p>
    <w:p w14:paraId="503C6150" w14:textId="77777777" w:rsidR="00064ADB" w:rsidRPr="00FD620F" w:rsidRDefault="00064ADB" w:rsidP="00064ADB">
      <w:pPr>
        <w:pStyle w:val="Text1"/>
        <w:rPr>
          <w:noProof/>
        </w:rPr>
      </w:pPr>
      <w:r w:rsidRPr="00FD620F">
        <w:rPr>
          <w:noProof/>
        </w:rPr>
        <w:t xml:space="preserve">ECHA shall prepare scientific reports to assist the Commission in selecting the substances for the watch list, taking into account </w:t>
      </w:r>
      <w:r w:rsidR="00FF643B">
        <w:rPr>
          <w:noProof/>
        </w:rPr>
        <w:t>t</w:t>
      </w:r>
      <w:r w:rsidRPr="00FD620F">
        <w:rPr>
          <w:noProof/>
        </w:rPr>
        <w:t>he following information:</w:t>
      </w:r>
    </w:p>
    <w:p w14:paraId="376E0B5C" w14:textId="1167FA49" w:rsidR="00064ADB" w:rsidRPr="00FD620F" w:rsidRDefault="00312D4D" w:rsidP="00312D4D">
      <w:pPr>
        <w:pStyle w:val="Point2"/>
        <w:rPr>
          <w:noProof/>
        </w:rPr>
      </w:pPr>
      <w:r w:rsidRPr="00312D4D">
        <w:t>(a)</w:t>
      </w:r>
      <w:r w:rsidRPr="00312D4D">
        <w:tab/>
      </w:r>
      <w:r w:rsidR="00064ADB" w:rsidRPr="00FD620F">
        <w:rPr>
          <w:noProof/>
        </w:rPr>
        <w:t xml:space="preserve">the results of the most recent regular review </w:t>
      </w:r>
      <w:r w:rsidR="00064ADB" w:rsidRPr="00FD620F">
        <w:rPr>
          <w:bCs/>
          <w:noProof/>
        </w:rPr>
        <w:t>of Annex I to this Directive</w:t>
      </w:r>
      <w:r w:rsidR="00064ADB" w:rsidRPr="00FD620F">
        <w:rPr>
          <w:noProof/>
        </w:rPr>
        <w:t>;</w:t>
      </w:r>
    </w:p>
    <w:p w14:paraId="13B6A556" w14:textId="09836936" w:rsidR="00064ADB" w:rsidRPr="00FD620F" w:rsidRDefault="00312D4D" w:rsidP="00312D4D">
      <w:pPr>
        <w:pStyle w:val="Point2"/>
        <w:rPr>
          <w:noProof/>
        </w:rPr>
      </w:pPr>
      <w:r w:rsidRPr="00312D4D">
        <w:t>(b)</w:t>
      </w:r>
      <w:r w:rsidRPr="00312D4D">
        <w:tab/>
      </w:r>
      <w:r w:rsidR="00064ADB" w:rsidRPr="00FD620F">
        <w:rPr>
          <w:noProof/>
        </w:rPr>
        <w:t xml:space="preserve">recommendations from the stakeholders referred to in </w:t>
      </w:r>
      <w:r w:rsidR="00064ADB" w:rsidRPr="00FD620F">
        <w:rPr>
          <w:bCs/>
          <w:noProof/>
        </w:rPr>
        <w:t>Article 8 of Directive 2008/105/EC</w:t>
      </w:r>
      <w:r w:rsidR="00064ADB" w:rsidRPr="00FD620F">
        <w:rPr>
          <w:noProof/>
        </w:rPr>
        <w:t>;</w:t>
      </w:r>
      <w:r w:rsidR="0031717F" w:rsidRPr="00FD620F">
        <w:rPr>
          <w:noProof/>
        </w:rPr>
        <w:t xml:space="preserve"> </w:t>
      </w:r>
    </w:p>
    <w:p w14:paraId="60F190B5" w14:textId="33FCEFAC" w:rsidR="00064ADB" w:rsidRPr="00FD620F" w:rsidRDefault="00312D4D" w:rsidP="00312D4D">
      <w:pPr>
        <w:pStyle w:val="Point2"/>
        <w:rPr>
          <w:noProof/>
        </w:rPr>
      </w:pPr>
      <w:r w:rsidRPr="00312D4D">
        <w:t>(c)</w:t>
      </w:r>
      <w:r w:rsidRPr="00312D4D">
        <w:tab/>
      </w:r>
      <w:r w:rsidR="00064ADB" w:rsidRPr="00FD620F">
        <w:rPr>
          <w:noProof/>
        </w:rPr>
        <w:t>Member States’ characterisation of river basin districts in accordance with Article 5 of Directive 2000/60/EC and the results of monitoring programmes established in accordance with Article 8 of that Directive;</w:t>
      </w:r>
    </w:p>
    <w:p w14:paraId="2E495FFF" w14:textId="4D904D93" w:rsidR="00064ADB" w:rsidRPr="00FD620F" w:rsidRDefault="00312D4D" w:rsidP="00312D4D">
      <w:pPr>
        <w:pStyle w:val="Point2"/>
        <w:rPr>
          <w:noProof/>
        </w:rPr>
      </w:pPr>
      <w:r w:rsidRPr="00312D4D">
        <w:t>(d)</w:t>
      </w:r>
      <w:r w:rsidRPr="00312D4D">
        <w:tab/>
      </w:r>
      <w:r w:rsidR="00064ADB" w:rsidRPr="00FD620F">
        <w:rPr>
          <w:bCs/>
          <w:noProof/>
        </w:rPr>
        <w:t xml:space="preserve">information </w:t>
      </w:r>
      <w:r w:rsidR="00064ADB" w:rsidRPr="00FD620F">
        <w:rPr>
          <w:noProof/>
        </w:rPr>
        <w:t xml:space="preserve">on production volumes, use patterns, intrinsic properties (including, where relevant, particle size), concentrations in the environment and adverse effects to human health and the aquatic environment of a substance, including information gathered in accordance with </w:t>
      </w:r>
      <w:r w:rsidR="00DC6A35" w:rsidRPr="00FD620F">
        <w:rPr>
          <w:noProof/>
        </w:rPr>
        <w:t xml:space="preserve">Regulation (EC) No 1907/2006, </w:t>
      </w:r>
      <w:r w:rsidR="009856AE" w:rsidRPr="00FD620F">
        <w:rPr>
          <w:noProof/>
        </w:rPr>
        <w:t>Regulation (EC) No 1107/2009,</w:t>
      </w:r>
      <w:r w:rsidR="00DC6A35" w:rsidRPr="00FD620F">
        <w:rPr>
          <w:noProof/>
        </w:rPr>
        <w:t xml:space="preserve"> Regulation (EU) No 528/2012, Regulation (EU) 2019/6, </w:t>
      </w:r>
      <w:r w:rsidR="00064ADB" w:rsidRPr="00FD620F">
        <w:rPr>
          <w:noProof/>
        </w:rPr>
        <w:t>Directive 2001/83/EC and Directive 2009/128/EC</w:t>
      </w:r>
      <w:r w:rsidR="009856AE" w:rsidRPr="00FD620F">
        <w:rPr>
          <w:noProof/>
        </w:rPr>
        <w:t>;</w:t>
      </w:r>
      <w:r w:rsidR="00064ADB" w:rsidRPr="00FD620F">
        <w:rPr>
          <w:noProof/>
        </w:rPr>
        <w:t xml:space="preserve">  </w:t>
      </w:r>
      <w:r w:rsidR="00064ADB" w:rsidRPr="00FD620F">
        <w:rPr>
          <w:noProof/>
        </w:rPr>
        <w:tab/>
      </w:r>
    </w:p>
    <w:p w14:paraId="4FF49739" w14:textId="40A9CFA9" w:rsidR="00064ADB" w:rsidRPr="00FD620F" w:rsidRDefault="00312D4D" w:rsidP="00312D4D">
      <w:pPr>
        <w:pStyle w:val="Point2"/>
        <w:rPr>
          <w:noProof/>
        </w:rPr>
      </w:pPr>
      <w:r w:rsidRPr="00312D4D">
        <w:t>(e)</w:t>
      </w:r>
      <w:r w:rsidRPr="00312D4D">
        <w:tab/>
      </w:r>
      <w:r w:rsidR="00064ADB" w:rsidRPr="00FD620F">
        <w:rPr>
          <w:noProof/>
        </w:rPr>
        <w:t>research projects and scientific publications, including information on trends and predictions based on modelling or other predictive assessments and data and information from remote sensing technologies, earth observation (Copernicus services), in-situ sensors and devices, or citizen science data, leveraging the opportunities offered by artificial intelligence, advanced data analysis and processing.</w:t>
      </w:r>
      <w:r w:rsidR="00064ADB" w:rsidRPr="00FD620F">
        <w:rPr>
          <w:noProof/>
        </w:rPr>
        <w:tab/>
      </w:r>
    </w:p>
    <w:p w14:paraId="755A3A86" w14:textId="3BF5F8E4" w:rsidR="00064ADB" w:rsidRPr="00FD620F" w:rsidRDefault="00064ADB" w:rsidP="00064ADB">
      <w:pPr>
        <w:pStyle w:val="Text1"/>
        <w:rPr>
          <w:noProof/>
        </w:rPr>
      </w:pPr>
      <w:r w:rsidRPr="00FD620F">
        <w:rPr>
          <w:noProof/>
        </w:rPr>
        <w:t xml:space="preserve">ECHA shall every three years prepare a report summarizing the findings of the scientific reports established under the fourth subparagraph and shall make that report publicly available. The </w:t>
      </w:r>
      <w:r w:rsidR="0057795F" w:rsidRPr="00FD620F">
        <w:rPr>
          <w:noProof/>
        </w:rPr>
        <w:t xml:space="preserve">first ECHA </w:t>
      </w:r>
      <w:r w:rsidR="00984210" w:rsidRPr="00FD620F">
        <w:rPr>
          <w:noProof/>
        </w:rPr>
        <w:t xml:space="preserve">report shall be made available </w:t>
      </w:r>
      <w:r w:rsidR="0057795F" w:rsidRPr="00FD620F">
        <w:rPr>
          <w:noProof/>
        </w:rPr>
        <w:t xml:space="preserve">by </w:t>
      </w:r>
      <w:r w:rsidR="00FF643B">
        <w:rPr>
          <w:noProof/>
        </w:rPr>
        <w:t>…</w:t>
      </w:r>
      <w:r w:rsidR="0057795F" w:rsidRPr="00FD620F">
        <w:rPr>
          <w:noProof/>
        </w:rPr>
        <w:t xml:space="preserve"> [OP: please insert the date = first day of the twenty first month after the </w:t>
      </w:r>
      <w:r w:rsidR="00FF643B">
        <w:rPr>
          <w:noProof/>
        </w:rPr>
        <w:t xml:space="preserve">date of </w:t>
      </w:r>
      <w:r w:rsidR="0057795F" w:rsidRPr="00FD620F">
        <w:rPr>
          <w:noProof/>
        </w:rPr>
        <w:t xml:space="preserve">entry into force of this </w:t>
      </w:r>
      <w:r w:rsidR="00FF643B">
        <w:rPr>
          <w:noProof/>
        </w:rPr>
        <w:t>D</w:t>
      </w:r>
      <w:r w:rsidR="0057795F" w:rsidRPr="00FD620F">
        <w:rPr>
          <w:noProof/>
        </w:rPr>
        <w:t>irective]</w:t>
      </w:r>
      <w:r w:rsidRPr="00FD620F">
        <w:rPr>
          <w:noProof/>
        </w:rPr>
        <w:t>.</w:t>
      </w:r>
    </w:p>
    <w:p w14:paraId="21841833" w14:textId="6B4413B7" w:rsidR="00064ADB" w:rsidRPr="00FD620F" w:rsidRDefault="00064ADB" w:rsidP="00064ADB">
      <w:pPr>
        <w:pStyle w:val="Text1"/>
        <w:rPr>
          <w:noProof/>
        </w:rPr>
      </w:pPr>
      <w:r w:rsidRPr="00FD620F">
        <w:rPr>
          <w:noProof/>
        </w:rPr>
        <w:t xml:space="preserve">2.  </w:t>
      </w:r>
      <w:r w:rsidR="00C604A2" w:rsidRPr="00FD620F">
        <w:rPr>
          <w:noProof/>
        </w:rPr>
        <w:t xml:space="preserve">The </w:t>
      </w:r>
      <w:r w:rsidRPr="00FD620F">
        <w:rPr>
          <w:noProof/>
        </w:rPr>
        <w:t>watch list shall be</w:t>
      </w:r>
      <w:r w:rsidR="00C604A2" w:rsidRPr="00FD620F">
        <w:rPr>
          <w:noProof/>
        </w:rPr>
        <w:t xml:space="preserve"> updated by</w:t>
      </w:r>
      <w:r w:rsidR="00984210" w:rsidRPr="00FD620F">
        <w:rPr>
          <w:noProof/>
        </w:rPr>
        <w:t xml:space="preserve"> X [OP please insert date = </w:t>
      </w:r>
      <w:r w:rsidR="001B7139">
        <w:rPr>
          <w:noProof/>
        </w:rPr>
        <w:t xml:space="preserve">the last day of the twentythird </w:t>
      </w:r>
      <w:r w:rsidR="00984210" w:rsidRPr="00FD620F">
        <w:rPr>
          <w:noProof/>
        </w:rPr>
        <w:t xml:space="preserve">month after </w:t>
      </w:r>
      <w:r w:rsidR="001B7139">
        <w:rPr>
          <w:noProof/>
        </w:rPr>
        <w:t xml:space="preserve">the date of </w:t>
      </w:r>
      <w:r w:rsidR="00984210" w:rsidRPr="00FD620F">
        <w:rPr>
          <w:noProof/>
        </w:rPr>
        <w:t xml:space="preserve">entry into force of this </w:t>
      </w:r>
      <w:r w:rsidR="001B7139">
        <w:rPr>
          <w:noProof/>
        </w:rPr>
        <w:t>D</w:t>
      </w:r>
      <w:r w:rsidR="00984210" w:rsidRPr="00FD620F">
        <w:rPr>
          <w:noProof/>
        </w:rPr>
        <w:t>irective]</w:t>
      </w:r>
      <w:r w:rsidR="001B7139">
        <w:rPr>
          <w:noProof/>
        </w:rPr>
        <w:t xml:space="preserve">, </w:t>
      </w:r>
      <w:r w:rsidR="00984210" w:rsidRPr="00FD620F">
        <w:rPr>
          <w:noProof/>
        </w:rPr>
        <w:t xml:space="preserve">and </w:t>
      </w:r>
      <w:r w:rsidRPr="00FD620F">
        <w:rPr>
          <w:noProof/>
        </w:rPr>
        <w:t>every 36 months</w:t>
      </w:r>
      <w:r w:rsidR="00C604A2" w:rsidRPr="00FD620F">
        <w:rPr>
          <w:noProof/>
        </w:rPr>
        <w:t xml:space="preserve"> thereafter</w:t>
      </w:r>
      <w:r w:rsidRPr="00FD620F">
        <w:rPr>
          <w:noProof/>
        </w:rPr>
        <w:t>.</w:t>
      </w:r>
      <w:r w:rsidR="00C604A2" w:rsidRPr="00FD620F">
        <w:rPr>
          <w:noProof/>
        </w:rPr>
        <w:t xml:space="preserve"> </w:t>
      </w:r>
      <w:r w:rsidRPr="00FD620F">
        <w:rPr>
          <w:noProof/>
        </w:rPr>
        <w:t xml:space="preserve">When </w:t>
      </w:r>
      <w:r w:rsidR="00826ED3" w:rsidRPr="00FD620F">
        <w:rPr>
          <w:noProof/>
        </w:rPr>
        <w:t xml:space="preserve">updating  the </w:t>
      </w:r>
      <w:r w:rsidRPr="00FD620F">
        <w:rPr>
          <w:noProof/>
        </w:rPr>
        <w:t xml:space="preserve">watch list, the Commission shall remove any substance from the existing watch list for which it considers it possible to assess its risk for the aquatic environment without additional monitoring data. When </w:t>
      </w:r>
      <w:r w:rsidR="00E66E9F" w:rsidRPr="00FD620F">
        <w:rPr>
          <w:noProof/>
        </w:rPr>
        <w:t>the wat</w:t>
      </w:r>
      <w:r w:rsidR="00817C15" w:rsidRPr="00FD620F">
        <w:rPr>
          <w:noProof/>
        </w:rPr>
        <w:t>ch list is updated,</w:t>
      </w:r>
      <w:r w:rsidRPr="00FD620F">
        <w:rPr>
          <w:noProof/>
        </w:rPr>
        <w:t xml:space="preserve"> an individual substance or group of substances may be kept on the watch list for another period of maximum three years where additional monitoring data are needed to assess the risk to the aquatic environment. </w:t>
      </w:r>
      <w:r w:rsidR="00826ED3" w:rsidRPr="00FD620F">
        <w:rPr>
          <w:noProof/>
        </w:rPr>
        <w:t>Each updated</w:t>
      </w:r>
      <w:r w:rsidR="00500001" w:rsidRPr="00FD620F">
        <w:rPr>
          <w:noProof/>
        </w:rPr>
        <w:t xml:space="preserve"> watch </w:t>
      </w:r>
      <w:r w:rsidR="00DF62A3" w:rsidRPr="00FD620F">
        <w:rPr>
          <w:noProof/>
        </w:rPr>
        <w:t>l</w:t>
      </w:r>
      <w:r w:rsidR="00500001" w:rsidRPr="00FD620F">
        <w:rPr>
          <w:noProof/>
        </w:rPr>
        <w:t xml:space="preserve">ist shall also include </w:t>
      </w:r>
      <w:r w:rsidR="00817C15" w:rsidRPr="00FD620F">
        <w:rPr>
          <w:noProof/>
        </w:rPr>
        <w:t>one or more new</w:t>
      </w:r>
      <w:r w:rsidR="00500001" w:rsidRPr="00FD620F">
        <w:rPr>
          <w:noProof/>
        </w:rPr>
        <w:t xml:space="preserve"> substances for which the Commission considers, on the basis of the scientific reports of ECHA, that there is a risk</w:t>
      </w:r>
      <w:r w:rsidR="00DF62A3" w:rsidRPr="00FD620F">
        <w:rPr>
          <w:noProof/>
        </w:rPr>
        <w:t xml:space="preserve"> for the aquatic environment</w:t>
      </w:r>
      <w:r w:rsidR="00500001" w:rsidRPr="00FD620F">
        <w:rPr>
          <w:noProof/>
        </w:rPr>
        <w:t xml:space="preserve">. </w:t>
      </w:r>
    </w:p>
    <w:p w14:paraId="63A11732" w14:textId="77777777" w:rsidR="00064ADB" w:rsidRPr="00FD620F" w:rsidRDefault="00064ADB" w:rsidP="00064ADB">
      <w:pPr>
        <w:pStyle w:val="Text1"/>
        <w:rPr>
          <w:noProof/>
        </w:rPr>
      </w:pPr>
      <w:r w:rsidRPr="00FD620F">
        <w:rPr>
          <w:noProof/>
        </w:rPr>
        <w:t xml:space="preserve">3. Member States shall monitor each substance or group of substances in the watch list at selected representative monitoring stations over a </w:t>
      </w:r>
      <w:r w:rsidRPr="00FD620F">
        <w:rPr>
          <w:bCs/>
          <w:noProof/>
        </w:rPr>
        <w:t>24-month period</w:t>
      </w:r>
      <w:r w:rsidRPr="00FD620F">
        <w:rPr>
          <w:noProof/>
        </w:rPr>
        <w:t>. The monitoring period shall commence within six months of the inclusion of the substance in the list.</w:t>
      </w:r>
    </w:p>
    <w:p w14:paraId="3603BB9F" w14:textId="77777777" w:rsidR="00064ADB" w:rsidRPr="00FD620F" w:rsidRDefault="00064ADB" w:rsidP="00064ADB">
      <w:pPr>
        <w:pStyle w:val="Text1"/>
        <w:rPr>
          <w:noProof/>
        </w:rPr>
      </w:pPr>
      <w:r w:rsidRPr="00FD620F">
        <w:rPr>
          <w:noProof/>
        </w:rPr>
        <w:t>Each Member State shall select at least one monitoring station, plus one station if it has more than one million inhabitants, plus the number of stations equal to its geographical area in km2 divided by 60 000 (rounded to the nearest integer), plus the number of stations equal to its population divided by five million (rounded to the nearest integer).</w:t>
      </w:r>
    </w:p>
    <w:p w14:paraId="4841902A" w14:textId="77777777" w:rsidR="00064ADB" w:rsidRPr="00FD620F" w:rsidRDefault="00064ADB" w:rsidP="00064ADB">
      <w:pPr>
        <w:pStyle w:val="Text1"/>
        <w:rPr>
          <w:b/>
          <w:bCs/>
          <w:noProof/>
        </w:rPr>
      </w:pPr>
      <w:r w:rsidRPr="00FD620F">
        <w:rPr>
          <w:noProof/>
        </w:rPr>
        <w:t>In selecting the representative monitoring stations, the monitoring frequency and the seasonal timing for each substance or group of substances, Member States shall take into account the use patterns and possible occurrence of the substance or group of substances. The frequency of monitoring shall be no less than twice per year</w:t>
      </w:r>
      <w:r w:rsidRPr="00FD620F">
        <w:rPr>
          <w:bCs/>
          <w:noProof/>
        </w:rPr>
        <w:t>, except for substances that are sensitive to climatic or seasonal variabilities, for which the monitoring shall be carried out more frequently</w:t>
      </w:r>
      <w:r w:rsidR="00500001" w:rsidRPr="00FD620F">
        <w:rPr>
          <w:bCs/>
          <w:noProof/>
        </w:rPr>
        <w:t>, as set out in the implementing act establishing the watch list</w:t>
      </w:r>
      <w:r w:rsidR="00C604A2" w:rsidRPr="00FD620F">
        <w:rPr>
          <w:bCs/>
          <w:noProof/>
        </w:rPr>
        <w:t xml:space="preserve"> adopted pursuant to </w:t>
      </w:r>
      <w:r w:rsidR="00F401D6" w:rsidRPr="00FD620F">
        <w:rPr>
          <w:bCs/>
          <w:noProof/>
        </w:rPr>
        <w:t>paragraph 1.</w:t>
      </w:r>
    </w:p>
    <w:p w14:paraId="16446717" w14:textId="2DB54BAB" w:rsidR="00064ADB" w:rsidRPr="00FD620F" w:rsidRDefault="00064ADB" w:rsidP="00064ADB">
      <w:pPr>
        <w:pStyle w:val="Text1"/>
        <w:rPr>
          <w:noProof/>
        </w:rPr>
      </w:pPr>
      <w:r w:rsidRPr="00FD620F">
        <w:rPr>
          <w:noProof/>
        </w:rPr>
        <w:t xml:space="preserve">Where a Member State </w:t>
      </w:r>
      <w:r w:rsidR="00500001" w:rsidRPr="00FD620F">
        <w:rPr>
          <w:noProof/>
        </w:rPr>
        <w:t xml:space="preserve">is able to generate and provide the Commission with </w:t>
      </w:r>
      <w:r w:rsidRPr="00FD620F">
        <w:rPr>
          <w:noProof/>
        </w:rPr>
        <w:t xml:space="preserve"> sufficient, comparable, representative and recent monitoring data for a particular substance or group of substances from existing monitoring programmes or studies, it may decide not to undertake additional monitoring under the watch list mechanism for that substance or group of substances, provided that the substance or group of substances was monitored using a methodology that is compliant with the monitoring matrices and the methods of analysis referred to in the implementing act establishing the watch list, as well as with Directive 2009/90/EC*. </w:t>
      </w:r>
    </w:p>
    <w:p w14:paraId="593389F0" w14:textId="77777777" w:rsidR="00064ADB" w:rsidRPr="00FD620F" w:rsidRDefault="00064ADB" w:rsidP="00064ADB">
      <w:pPr>
        <w:pStyle w:val="Text1"/>
        <w:rPr>
          <w:noProof/>
        </w:rPr>
      </w:pPr>
      <w:r w:rsidRPr="00FD620F">
        <w:rPr>
          <w:noProof/>
        </w:rPr>
        <w:t>4. Member States shall make available the results of the monitoring referred to in paragraph 3 of this Article in accordance with Article 8(4) of Directive 2000/60/EC</w:t>
      </w:r>
      <w:r w:rsidR="008C3418" w:rsidRPr="00FD620F">
        <w:rPr>
          <w:noProof/>
        </w:rPr>
        <w:t xml:space="preserve"> and with the implementing act </w:t>
      </w:r>
      <w:r w:rsidR="00FE1AD7" w:rsidRPr="00FD620F">
        <w:rPr>
          <w:noProof/>
        </w:rPr>
        <w:t>establishing</w:t>
      </w:r>
      <w:r w:rsidR="008C3418" w:rsidRPr="00FD620F">
        <w:rPr>
          <w:noProof/>
        </w:rPr>
        <w:t xml:space="preserve"> the watch list</w:t>
      </w:r>
      <w:r w:rsidR="00C604A2" w:rsidRPr="00FD620F">
        <w:rPr>
          <w:noProof/>
        </w:rPr>
        <w:t xml:space="preserve"> adopted pursuant to</w:t>
      </w:r>
      <w:r w:rsidR="00C23F99" w:rsidRPr="00FD620F">
        <w:rPr>
          <w:noProof/>
        </w:rPr>
        <w:t xml:space="preserve"> paragraph 1. They shall also make available information on the representativeness of the monitoring stations and on the monitoring strategy</w:t>
      </w:r>
      <w:r w:rsidRPr="00FD620F">
        <w:rPr>
          <w:noProof/>
        </w:rPr>
        <w:t xml:space="preserve">. </w:t>
      </w:r>
    </w:p>
    <w:p w14:paraId="293F98F3" w14:textId="77777777" w:rsidR="00064ADB" w:rsidRPr="00FD620F" w:rsidRDefault="00064ADB" w:rsidP="00064ADB">
      <w:pPr>
        <w:pStyle w:val="Text1"/>
        <w:rPr>
          <w:noProof/>
        </w:rPr>
      </w:pPr>
      <w:r w:rsidRPr="00FD620F">
        <w:rPr>
          <w:noProof/>
        </w:rPr>
        <w:t xml:space="preserve">5. ECHA shall review the monitoring results at the end of the 24-month period referred to in paragraph 3 and assess which substances or groups of substances need to be monitored for another 24-month period and therefore are to be kept in the watch list and which substances or groups of substances can be removed from the watch list. </w:t>
      </w:r>
    </w:p>
    <w:p w14:paraId="07DB772D" w14:textId="1F24A016" w:rsidR="00064ADB" w:rsidRPr="00FD620F" w:rsidRDefault="00064ADB" w:rsidP="00064ADB">
      <w:pPr>
        <w:pStyle w:val="Text1"/>
        <w:rPr>
          <w:noProof/>
        </w:rPr>
      </w:pPr>
      <w:r w:rsidRPr="00FD620F">
        <w:rPr>
          <w:noProof/>
        </w:rPr>
        <w:t xml:space="preserve">Where the Commission, having regard to the assessment by ECHA referred to in the first subparagraph,, concludes that no </w:t>
      </w:r>
      <w:r w:rsidR="00A60D3E" w:rsidRPr="00FD620F">
        <w:rPr>
          <w:noProof/>
        </w:rPr>
        <w:t xml:space="preserve">further monitoring is required to further assess the risk to the aquatic environment, </w:t>
      </w:r>
      <w:r w:rsidR="00CD7821" w:rsidRPr="00FD620F">
        <w:rPr>
          <w:noProof/>
        </w:rPr>
        <w:t>this</w:t>
      </w:r>
      <w:r w:rsidR="00A60D3E" w:rsidRPr="00FD620F">
        <w:rPr>
          <w:noProof/>
        </w:rPr>
        <w:t xml:space="preserve"> assessment </w:t>
      </w:r>
      <w:r w:rsidRPr="00FD620F">
        <w:rPr>
          <w:noProof/>
        </w:rPr>
        <w:t>shall be taken into account in the review of Annex I or II referred to in Article 8.</w:t>
      </w:r>
      <w:r w:rsidR="00946547" w:rsidRPr="00FD620F">
        <w:rPr>
          <w:noProof/>
        </w:rPr>
        <w:t xml:space="preserve">’ </w:t>
      </w:r>
      <w:r w:rsidRPr="00FD620F">
        <w:rPr>
          <w:noProof/>
        </w:rPr>
        <w:t xml:space="preserve"> </w:t>
      </w:r>
    </w:p>
    <w:p w14:paraId="0977A51C" w14:textId="77777777" w:rsidR="00946547" w:rsidRPr="00FD620F" w:rsidRDefault="00946547" w:rsidP="00946547">
      <w:pPr>
        <w:ind w:left="1417"/>
        <w:rPr>
          <w:noProof/>
          <w:u w:val="single"/>
        </w:rPr>
      </w:pPr>
      <w:r w:rsidRPr="00FD620F">
        <w:rPr>
          <w:i/>
          <w:noProof/>
        </w:rPr>
        <w:t xml:space="preserve">  </w:t>
      </w:r>
      <w:r w:rsidRPr="00FD620F">
        <w:rPr>
          <w:noProof/>
        </w:rPr>
        <w:tab/>
      </w:r>
      <w:r w:rsidRPr="00FD620F">
        <w:rPr>
          <w:noProof/>
          <w:u w:val="single"/>
        </w:rPr>
        <w:tab/>
      </w:r>
      <w:r w:rsidRPr="00FD620F">
        <w:rPr>
          <w:noProof/>
          <w:u w:val="single"/>
        </w:rPr>
        <w:tab/>
      </w:r>
      <w:r w:rsidRPr="00FD620F">
        <w:rPr>
          <w:noProof/>
          <w:u w:val="single"/>
        </w:rPr>
        <w:tab/>
      </w:r>
      <w:r w:rsidRPr="00FD620F">
        <w:rPr>
          <w:noProof/>
          <w:u w:val="single"/>
        </w:rPr>
        <w:tab/>
      </w:r>
    </w:p>
    <w:p w14:paraId="4E05D9A5" w14:textId="77777777" w:rsidR="00064ADB" w:rsidRPr="00FD620F" w:rsidRDefault="00064ADB" w:rsidP="00064ADB">
      <w:pPr>
        <w:pStyle w:val="Text1"/>
        <w:rPr>
          <w:rFonts w:eastAsia="Calibri"/>
          <w:noProof/>
        </w:rPr>
      </w:pPr>
      <w:r w:rsidRPr="00FD620F">
        <w:rPr>
          <w:noProof/>
        </w:rPr>
        <w:t xml:space="preserve">* Commission Directive 2009/90/EC of 31 July 2009 laying down, pursuant to Directive 2000/60/EC of the European Parliament and of the Council, technical specifications for chemical analysis and monitoring of water status (OJ L 201, 1.8.2009, p. 36).’; </w:t>
      </w:r>
    </w:p>
    <w:p w14:paraId="517B6ACE" w14:textId="680FC948" w:rsidR="00064ADB" w:rsidRPr="00FD620F" w:rsidRDefault="00312D4D" w:rsidP="00312D4D">
      <w:pPr>
        <w:pStyle w:val="Point0"/>
        <w:rPr>
          <w:noProof/>
        </w:rPr>
      </w:pPr>
      <w:r w:rsidRPr="00312D4D">
        <w:t>(8)</w:t>
      </w:r>
      <w:r w:rsidRPr="00312D4D">
        <w:tab/>
      </w:r>
      <w:r w:rsidR="00064ADB" w:rsidRPr="00FD620F">
        <w:rPr>
          <w:noProof/>
        </w:rPr>
        <w:t xml:space="preserve">the following Article 8d is inserted: </w:t>
      </w:r>
    </w:p>
    <w:p w14:paraId="06BD2ED7" w14:textId="77777777" w:rsidR="00064ADB" w:rsidRPr="00FD620F" w:rsidRDefault="00064ADB" w:rsidP="00064ADB">
      <w:pPr>
        <w:pStyle w:val="NormalCentered"/>
        <w:rPr>
          <w:noProof/>
          <w:lang w:val="en-US"/>
        </w:rPr>
      </w:pPr>
      <w:r w:rsidRPr="00FD620F">
        <w:rPr>
          <w:noProof/>
          <w:lang w:val="en-US"/>
        </w:rPr>
        <w:t>‘Article 8d</w:t>
      </w:r>
    </w:p>
    <w:p w14:paraId="22BAA4F5" w14:textId="77777777" w:rsidR="00064ADB" w:rsidRPr="00FD620F" w:rsidRDefault="00064ADB" w:rsidP="00064ADB">
      <w:pPr>
        <w:pStyle w:val="NormalCentered"/>
        <w:rPr>
          <w:noProof/>
          <w:lang w:val="en-US"/>
        </w:rPr>
      </w:pPr>
      <w:r w:rsidRPr="00FD620F">
        <w:rPr>
          <w:noProof/>
          <w:lang w:val="en-US"/>
        </w:rPr>
        <w:t>River Basin Specific Pollutants</w:t>
      </w:r>
    </w:p>
    <w:p w14:paraId="6D56FCFB" w14:textId="77777777" w:rsidR="00064ADB" w:rsidRPr="00FD620F" w:rsidRDefault="00064ADB" w:rsidP="00064ADB">
      <w:pPr>
        <w:pStyle w:val="Text1"/>
        <w:rPr>
          <w:noProof/>
        </w:rPr>
      </w:pPr>
      <w:r w:rsidRPr="00FD620F">
        <w:rPr>
          <w:noProof/>
        </w:rPr>
        <w:t xml:space="preserve">‘1. Member States shall set and apply EQS for the river basin specific pollutants </w:t>
      </w:r>
      <w:r w:rsidR="0079782F">
        <w:rPr>
          <w:noProof/>
        </w:rPr>
        <w:t xml:space="preserve">covered by the categories </w:t>
      </w:r>
      <w:r w:rsidRPr="00FD620F">
        <w:rPr>
          <w:noProof/>
        </w:rPr>
        <w:t xml:space="preserve">listed in Part A of Annex II to this Directive, where those pollutants pose a risk to water bodies in one or more of their river basin districts based on the analyses and reviews under Article 5 of Directive 2000/60/EU, in accordance with the procedure set out in Part B of Annex II to this Directive. </w:t>
      </w:r>
    </w:p>
    <w:p w14:paraId="3D3408F1" w14:textId="32A6E4A5" w:rsidR="00064ADB" w:rsidRPr="00FD620F" w:rsidRDefault="00064ADB" w:rsidP="00064ADB">
      <w:pPr>
        <w:pStyle w:val="Text1"/>
        <w:rPr>
          <w:noProof/>
        </w:rPr>
      </w:pPr>
      <w:r w:rsidRPr="00FD620F">
        <w:rPr>
          <w:noProof/>
        </w:rPr>
        <w:t>Member States shall, by [OP please insert the date = the first day of the month following 1</w:t>
      </w:r>
      <w:r w:rsidR="00FB0028">
        <w:rPr>
          <w:noProof/>
        </w:rPr>
        <w:t>8</w:t>
      </w:r>
      <w:r w:rsidRPr="00FD620F">
        <w:rPr>
          <w:noProof/>
        </w:rPr>
        <w:t xml:space="preserve"> months after the date of entry into force of this Directive], inform ECHA of the EQS referred to in the first subparagraph. ECHA shall make that information publicly available. </w:t>
      </w:r>
    </w:p>
    <w:p w14:paraId="1047E4CA" w14:textId="77777777" w:rsidR="00064ADB" w:rsidRPr="00FD620F" w:rsidRDefault="00064ADB" w:rsidP="00064ADB">
      <w:pPr>
        <w:pStyle w:val="Text1"/>
        <w:rPr>
          <w:noProof/>
        </w:rPr>
      </w:pPr>
      <w:r w:rsidRPr="00FD620F">
        <w:rPr>
          <w:noProof/>
        </w:rPr>
        <w:t>2. Where EQS for river basin specific pollutants have been set at Union level and listed in Part C of Annex II, in accordance with Article 8, those EQS shall take precedence over EQS for river basin specific pollutants established at national level in accordance with paragraph 1. Th</w:t>
      </w:r>
      <w:r w:rsidR="00DF62A3" w:rsidRPr="00FD620F">
        <w:rPr>
          <w:noProof/>
        </w:rPr>
        <w:t xml:space="preserve">ose </w:t>
      </w:r>
      <w:r w:rsidRPr="00FD620F">
        <w:rPr>
          <w:noProof/>
        </w:rPr>
        <w:t xml:space="preserve">EQS </w:t>
      </w:r>
      <w:r w:rsidR="00DF62A3" w:rsidRPr="00FD620F">
        <w:rPr>
          <w:noProof/>
        </w:rPr>
        <w:t>set at Union level</w:t>
      </w:r>
      <w:r w:rsidR="00946547" w:rsidRPr="00FD620F">
        <w:rPr>
          <w:noProof/>
        </w:rPr>
        <w:t xml:space="preserve"> </w:t>
      </w:r>
      <w:r w:rsidRPr="00FD620F">
        <w:rPr>
          <w:noProof/>
        </w:rPr>
        <w:t xml:space="preserve">shall </w:t>
      </w:r>
      <w:r w:rsidR="00DF62A3" w:rsidRPr="00FD620F">
        <w:rPr>
          <w:noProof/>
        </w:rPr>
        <w:t xml:space="preserve">also </w:t>
      </w:r>
      <w:r w:rsidRPr="00FD620F">
        <w:rPr>
          <w:noProof/>
        </w:rPr>
        <w:t>be applied by</w:t>
      </w:r>
      <w:r w:rsidR="00946547" w:rsidRPr="00FD620F">
        <w:rPr>
          <w:noProof/>
        </w:rPr>
        <w:t xml:space="preserve"> </w:t>
      </w:r>
      <w:r w:rsidRPr="00FD620F">
        <w:rPr>
          <w:noProof/>
        </w:rPr>
        <w:t xml:space="preserve">the Member States to establish whether the river basin specific pollutants listed in Part C of Annex II  pose a risk. </w:t>
      </w:r>
    </w:p>
    <w:p w14:paraId="3120C7B1" w14:textId="77777777" w:rsidR="00064ADB" w:rsidRPr="00FD620F" w:rsidRDefault="00064ADB" w:rsidP="00064ADB">
      <w:pPr>
        <w:pStyle w:val="Text1"/>
        <w:rPr>
          <w:i/>
          <w:noProof/>
        </w:rPr>
      </w:pPr>
      <w:r w:rsidRPr="00FD620F">
        <w:rPr>
          <w:noProof/>
        </w:rPr>
        <w:t xml:space="preserve">3. Compliance with the applicable national EQS or EQS set at Union level, where relevant, is required for a water body to be in good chemical status, in accordance with the definition set out in Article 2(24) of Directive 2000/60/EC.’; </w:t>
      </w:r>
      <w:r w:rsidRPr="00FD620F">
        <w:rPr>
          <w:i/>
          <w:noProof/>
        </w:rPr>
        <w:t xml:space="preserve"> </w:t>
      </w:r>
    </w:p>
    <w:p w14:paraId="51998E84" w14:textId="2B39EB97" w:rsidR="00946547" w:rsidRPr="00FD620F" w:rsidRDefault="00312D4D" w:rsidP="00312D4D">
      <w:pPr>
        <w:pStyle w:val="Point0"/>
        <w:rPr>
          <w:noProof/>
        </w:rPr>
      </w:pPr>
      <w:r w:rsidRPr="00312D4D">
        <w:t>(9)</w:t>
      </w:r>
      <w:r w:rsidRPr="00312D4D">
        <w:tab/>
      </w:r>
      <w:r w:rsidR="00064ADB" w:rsidRPr="00FD620F">
        <w:rPr>
          <w:noProof/>
        </w:rPr>
        <w:t>Article 10 is deleted</w:t>
      </w:r>
      <w:r w:rsidR="00946547" w:rsidRPr="00FD620F">
        <w:rPr>
          <w:noProof/>
        </w:rPr>
        <w:t>;</w:t>
      </w:r>
    </w:p>
    <w:p w14:paraId="0AFD4728" w14:textId="212F3611" w:rsidR="00064ADB" w:rsidRPr="00FD620F" w:rsidRDefault="00312D4D" w:rsidP="00312D4D">
      <w:pPr>
        <w:pStyle w:val="Point0"/>
        <w:rPr>
          <w:noProof/>
        </w:rPr>
      </w:pPr>
      <w:r w:rsidRPr="00312D4D">
        <w:t>(10)</w:t>
      </w:r>
      <w:r w:rsidRPr="00312D4D">
        <w:tab/>
      </w:r>
      <w:r w:rsidR="00064ADB" w:rsidRPr="00FD620F">
        <w:rPr>
          <w:noProof/>
        </w:rPr>
        <w:t xml:space="preserve">Annex I is amended in accordance with Annex </w:t>
      </w:r>
      <w:r w:rsidR="00C150B9" w:rsidRPr="00FD620F">
        <w:rPr>
          <w:noProof/>
        </w:rPr>
        <w:t>V</w:t>
      </w:r>
      <w:r w:rsidR="00064ADB" w:rsidRPr="00FD620F">
        <w:rPr>
          <w:noProof/>
        </w:rPr>
        <w:t xml:space="preserve"> to this Directive; </w:t>
      </w:r>
    </w:p>
    <w:p w14:paraId="319F7DE8" w14:textId="16ED1AF0" w:rsidR="00064ADB" w:rsidRPr="00FD620F" w:rsidRDefault="00312D4D" w:rsidP="00312D4D">
      <w:pPr>
        <w:pStyle w:val="Point0"/>
        <w:rPr>
          <w:noProof/>
        </w:rPr>
      </w:pPr>
      <w:r w:rsidRPr="00312D4D">
        <w:t>(11)</w:t>
      </w:r>
      <w:r w:rsidRPr="00312D4D">
        <w:tab/>
      </w:r>
      <w:r w:rsidR="00064ADB" w:rsidRPr="00FD620F">
        <w:rPr>
          <w:noProof/>
        </w:rPr>
        <w:t xml:space="preserve">Annex II, as set out in Annex </w:t>
      </w:r>
      <w:r w:rsidR="00C150B9" w:rsidRPr="00FD620F">
        <w:rPr>
          <w:noProof/>
        </w:rPr>
        <w:t>V</w:t>
      </w:r>
      <w:r w:rsidR="001B7139">
        <w:rPr>
          <w:noProof/>
        </w:rPr>
        <w:t>I</w:t>
      </w:r>
      <w:r w:rsidR="00C150B9" w:rsidRPr="00FD620F">
        <w:rPr>
          <w:noProof/>
        </w:rPr>
        <w:t xml:space="preserve"> </w:t>
      </w:r>
      <w:r w:rsidR="00064ADB" w:rsidRPr="00FD620F">
        <w:rPr>
          <w:noProof/>
        </w:rPr>
        <w:t xml:space="preserve"> to this Directive, is added.</w:t>
      </w:r>
    </w:p>
    <w:p w14:paraId="4EAE05D9" w14:textId="77777777" w:rsidR="00BE0263" w:rsidRPr="00FD620F" w:rsidRDefault="00BE0263" w:rsidP="00BE0263">
      <w:pPr>
        <w:keepNext/>
        <w:keepLines/>
        <w:spacing w:before="360"/>
        <w:jc w:val="center"/>
        <w:rPr>
          <w:i/>
          <w:noProof/>
        </w:rPr>
      </w:pPr>
      <w:r w:rsidRPr="00FD620F">
        <w:rPr>
          <w:i/>
          <w:noProof/>
        </w:rPr>
        <w:t>Article 4</w:t>
      </w:r>
    </w:p>
    <w:p w14:paraId="05232423" w14:textId="77777777" w:rsidR="00BE0263" w:rsidRPr="00FD620F" w:rsidRDefault="001B7139" w:rsidP="00B72FB9">
      <w:pPr>
        <w:rPr>
          <w:noProof/>
        </w:rPr>
      </w:pPr>
      <w:r>
        <w:rPr>
          <w:noProof/>
        </w:rPr>
        <w:t xml:space="preserve">1. </w:t>
      </w:r>
      <w:r w:rsidR="00BE0263" w:rsidRPr="00FD620F">
        <w:rPr>
          <w:noProof/>
        </w:rPr>
        <w:t xml:space="preserve">Member States shall bring into force the laws, regulations and administrative provisions necessary to comply with this Directive by [OP please insert the date = the first day of the month following 18 months after the date of entry into force of this Directive]. </w:t>
      </w:r>
    </w:p>
    <w:p w14:paraId="302DFF13" w14:textId="77777777" w:rsidR="00BE0263" w:rsidRPr="00FD620F" w:rsidRDefault="001B7139" w:rsidP="00B72FB9">
      <w:pPr>
        <w:rPr>
          <w:noProof/>
        </w:rPr>
      </w:pPr>
      <w:r>
        <w:rPr>
          <w:noProof/>
        </w:rPr>
        <w:t xml:space="preserve">2. </w:t>
      </w:r>
      <w:r w:rsidR="00BE0263" w:rsidRPr="00FD620F">
        <w:rPr>
          <w:noProof/>
        </w:rPr>
        <w:t>They shall forthwith communicate to the Commission the text of those provisions. When Member States adopt those provisions, they shall contain a reference to this Directive or be accompanied by such a reference on the occasion of their official publication. Member States shall determine how such reference is to be made. Member States shall communicate to the Commission the text of the main provisions of national law which they adopt in the field covered by this Directive</w:t>
      </w:r>
    </w:p>
    <w:p w14:paraId="6F9F43C2" w14:textId="77777777" w:rsidR="00BE0263" w:rsidRPr="00FD620F" w:rsidRDefault="00BE0263" w:rsidP="00BE0263">
      <w:pPr>
        <w:keepNext/>
        <w:spacing w:before="360"/>
        <w:jc w:val="center"/>
        <w:rPr>
          <w:i/>
          <w:noProof/>
        </w:rPr>
      </w:pPr>
      <w:r w:rsidRPr="00FD620F">
        <w:rPr>
          <w:i/>
          <w:noProof/>
        </w:rPr>
        <w:t>Article 5</w:t>
      </w:r>
    </w:p>
    <w:p w14:paraId="4BF74ABC" w14:textId="77777777" w:rsidR="00BE0263" w:rsidRPr="00FD620F" w:rsidRDefault="00BE0263" w:rsidP="00BE0263">
      <w:pPr>
        <w:rPr>
          <w:noProof/>
        </w:rPr>
      </w:pPr>
      <w:r w:rsidRPr="00FD620F">
        <w:rPr>
          <w:noProof/>
        </w:rPr>
        <w:t xml:space="preserve">This Directive shall enter into force on the twentieth day following that of its publication in the </w:t>
      </w:r>
      <w:r w:rsidRPr="00FD620F">
        <w:rPr>
          <w:i/>
          <w:noProof/>
        </w:rPr>
        <w:t>Official Journal of the European Union</w:t>
      </w:r>
      <w:r w:rsidRPr="00FD620F">
        <w:rPr>
          <w:noProof/>
        </w:rPr>
        <w:t>.</w:t>
      </w:r>
    </w:p>
    <w:p w14:paraId="68FADF71" w14:textId="77777777" w:rsidR="00BE0263" w:rsidRPr="00FD620F" w:rsidRDefault="00BE0263" w:rsidP="00BE0263">
      <w:pPr>
        <w:keepNext/>
        <w:spacing w:before="360"/>
        <w:jc w:val="center"/>
        <w:rPr>
          <w:i/>
          <w:noProof/>
        </w:rPr>
      </w:pPr>
      <w:r w:rsidRPr="00FD620F">
        <w:rPr>
          <w:i/>
          <w:noProof/>
        </w:rPr>
        <w:t>Article 6</w:t>
      </w:r>
    </w:p>
    <w:p w14:paraId="7B5AE763" w14:textId="77777777" w:rsidR="00BE0263" w:rsidRPr="00FD620F" w:rsidRDefault="00BE0263" w:rsidP="00BE0263">
      <w:pPr>
        <w:keepNext/>
        <w:keepLines/>
        <w:rPr>
          <w:noProof/>
        </w:rPr>
      </w:pPr>
      <w:r w:rsidRPr="00FD620F">
        <w:rPr>
          <w:noProof/>
        </w:rPr>
        <w:t>This Directive is addressed to the Member States.</w:t>
      </w:r>
    </w:p>
    <w:p w14:paraId="696BAC09" w14:textId="0ACE4C87" w:rsidR="00BE0263" w:rsidRPr="00FD620F" w:rsidRDefault="0004391B" w:rsidP="00B0314F">
      <w:pPr>
        <w:pStyle w:val="Fait"/>
        <w:rPr>
          <w:noProof/>
        </w:rPr>
      </w:pPr>
      <w:r w:rsidRPr="0004391B">
        <w:t>Done at Brussels,</w:t>
      </w:r>
    </w:p>
    <w:p w14:paraId="62B3C4D6" w14:textId="77777777" w:rsidR="00BE0263" w:rsidRPr="00FD620F" w:rsidRDefault="00BE0263" w:rsidP="00B0314F">
      <w:pPr>
        <w:pStyle w:val="Institutionquisigne"/>
        <w:rPr>
          <w:noProof/>
        </w:rPr>
      </w:pPr>
      <w:r w:rsidRPr="00FD620F">
        <w:rPr>
          <w:noProof/>
        </w:rPr>
        <w:t>For the European Parliament</w:t>
      </w:r>
      <w:r w:rsidRPr="00FD620F">
        <w:rPr>
          <w:noProof/>
        </w:rPr>
        <w:tab/>
        <w:t>For the Council</w:t>
      </w:r>
    </w:p>
    <w:p w14:paraId="25933157" w14:textId="5C851E3D" w:rsidR="00BE0263" w:rsidRPr="00FD620F" w:rsidRDefault="00BE0263" w:rsidP="00D27CA9">
      <w:pPr>
        <w:pStyle w:val="Personnequisigne"/>
        <w:rPr>
          <w:noProof/>
        </w:rPr>
      </w:pPr>
      <w:r w:rsidRPr="00FD620F">
        <w:rPr>
          <w:noProof/>
        </w:rPr>
        <w:t>The President</w:t>
      </w:r>
      <w:r w:rsidRPr="00FD620F">
        <w:rPr>
          <w:noProof/>
        </w:rPr>
        <w:tab/>
        <w:t>The President</w:t>
      </w:r>
    </w:p>
    <w:p w14:paraId="1AD8AA27" w14:textId="77777777" w:rsidR="001C0111" w:rsidRPr="00FD620F" w:rsidRDefault="001C0111" w:rsidP="001C0111">
      <w:pPr>
        <w:spacing w:before="0" w:after="0"/>
        <w:jc w:val="left"/>
        <w:rPr>
          <w:noProof/>
        </w:rPr>
        <w:sectPr w:rsidR="001C0111" w:rsidRPr="00FD620F" w:rsidSect="00A71C3C">
          <w:footnotePr>
            <w:numRestart w:val="eachSect"/>
          </w:footnotePr>
          <w:pgSz w:w="11907" w:h="16839"/>
          <w:pgMar w:top="1134" w:right="1417" w:bottom="1134" w:left="1417" w:header="709" w:footer="709" w:gutter="0"/>
          <w:cols w:space="708"/>
          <w:docGrid w:linePitch="360"/>
        </w:sectPr>
      </w:pPr>
    </w:p>
    <w:p w14:paraId="572D6CCB" w14:textId="479E5DE4" w:rsidR="001C0111" w:rsidRPr="00FD620F" w:rsidRDefault="001C0111" w:rsidP="00D27CA9">
      <w:pPr>
        <w:pStyle w:val="Fichefinanciretitre"/>
        <w:rPr>
          <w:noProof/>
          <w:lang w:val="en-IE" w:eastAsia="en-GB"/>
        </w:rPr>
      </w:pPr>
      <w:r w:rsidRPr="00FD620F">
        <w:rPr>
          <w:noProof/>
          <w:lang w:val="en-IE" w:eastAsia="en-GB"/>
        </w:rPr>
        <w:t xml:space="preserve">LEGISLATIVE FINANCIAL STATEMENT for the </w:t>
      </w:r>
      <w:r w:rsidR="000C386F">
        <w:rPr>
          <w:noProof/>
          <w:lang w:val="en-IE" w:eastAsia="en-GB"/>
        </w:rPr>
        <w:br/>
      </w:r>
      <w:r w:rsidRPr="00FD620F">
        <w:rPr>
          <w:noProof/>
          <w:lang w:val="en-IE" w:eastAsia="en-GB"/>
        </w:rPr>
        <w:t>ZERO POLLUTION PACKAGE</w:t>
      </w:r>
    </w:p>
    <w:p w14:paraId="04B38EC7" w14:textId="77777777" w:rsidR="001C0111" w:rsidRPr="00FD620F" w:rsidRDefault="001C0111" w:rsidP="002A2DB0">
      <w:pPr>
        <w:keepNext/>
        <w:spacing w:before="360"/>
        <w:outlineLvl w:val="0"/>
        <w:rPr>
          <w:rFonts w:eastAsiaTheme="majorEastAsia"/>
          <w:b/>
          <w:bCs/>
          <w:smallCaps/>
          <w:noProof/>
          <w:szCs w:val="28"/>
          <w:lang w:val="en-IE" w:eastAsia="en-GB"/>
        </w:rPr>
      </w:pPr>
      <w:bookmarkStart w:id="2" w:name="_Toc514938007"/>
      <w:bookmarkStart w:id="3" w:name="_Toc520485025"/>
      <w:r w:rsidRPr="00FD620F">
        <w:rPr>
          <w:rFonts w:eastAsiaTheme="majorEastAsia"/>
          <w:b/>
          <w:bCs/>
          <w:smallCaps/>
          <w:noProof/>
          <w:szCs w:val="28"/>
          <w:lang w:val="en-IE" w:eastAsia="en-GB"/>
        </w:rPr>
        <w:t>FRAMEWORK OF THE PROPOSAL/INITIATIVE</w:t>
      </w:r>
      <w:bookmarkEnd w:id="2"/>
      <w:bookmarkEnd w:id="3"/>
      <w:r w:rsidRPr="00FD620F">
        <w:rPr>
          <w:rFonts w:eastAsiaTheme="majorEastAsia"/>
          <w:b/>
          <w:bCs/>
          <w:smallCaps/>
          <w:noProof/>
          <w:szCs w:val="28"/>
          <w:lang w:val="en-IE" w:eastAsia="en-GB"/>
        </w:rPr>
        <w:t xml:space="preserve"> </w:t>
      </w:r>
    </w:p>
    <w:p w14:paraId="77791266" w14:textId="77777777" w:rsidR="001C0111" w:rsidRPr="00FD620F" w:rsidRDefault="001C0111" w:rsidP="002A2DB0">
      <w:pPr>
        <w:keepNext/>
        <w:outlineLvl w:val="1"/>
        <w:rPr>
          <w:rFonts w:eastAsiaTheme="majorEastAsia"/>
          <w:b/>
          <w:bCs/>
          <w:noProof/>
          <w:szCs w:val="26"/>
          <w:lang w:val="en-IE" w:eastAsia="en-GB"/>
        </w:rPr>
      </w:pPr>
      <w:bookmarkStart w:id="4" w:name="_Toc514938008"/>
      <w:bookmarkStart w:id="5" w:name="_Toc520485026"/>
      <w:r w:rsidRPr="00FD620F">
        <w:rPr>
          <w:rFonts w:eastAsiaTheme="majorEastAsia"/>
          <w:b/>
          <w:bCs/>
          <w:noProof/>
          <w:szCs w:val="26"/>
          <w:lang w:val="en-IE" w:eastAsia="en-GB"/>
        </w:rPr>
        <w:t>Title of the proposal/initiative</w:t>
      </w:r>
      <w:bookmarkEnd w:id="4"/>
      <w:bookmarkEnd w:id="5"/>
    </w:p>
    <w:p w14:paraId="7AC3D667"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b/>
          <w:noProof/>
          <w:lang w:eastAsia="en-GB"/>
        </w:rPr>
        <w:t xml:space="preserve">Zero pollution package: </w:t>
      </w:r>
    </w:p>
    <w:p w14:paraId="4605174B"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This financial legislative statement includes the following proposals: </w:t>
      </w:r>
    </w:p>
    <w:p w14:paraId="4C5B650C"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w:t>
      </w:r>
      <w:r w:rsidRPr="00FD620F">
        <w:rPr>
          <w:noProof/>
          <w:lang w:eastAsia="en-GB"/>
        </w:rPr>
        <w:tab/>
      </w:r>
      <w:r w:rsidRPr="00FD620F">
        <w:rPr>
          <w:b/>
          <w:noProof/>
          <w:lang w:eastAsia="en-GB"/>
        </w:rPr>
        <w:t>Integrated water management</w:t>
      </w:r>
      <w:r w:rsidRPr="00FD620F">
        <w:rPr>
          <w:noProof/>
          <w:lang w:eastAsia="en-GB"/>
        </w:rPr>
        <w:t xml:space="preserve">: proposal for a Directive of the European Parliament and of the Council amending Directive 2000/60/EC establishing a framework for Community action in the field of water policy, Directive 2006/118/EC on the protection of groundwater against pollution and deterioration and Directive 2008/105/EC on environmental quality standards in the field of water policy; </w:t>
      </w:r>
    </w:p>
    <w:p w14:paraId="69405E2A"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w:t>
      </w:r>
      <w:r w:rsidRPr="00FD620F">
        <w:rPr>
          <w:noProof/>
          <w:lang w:eastAsia="en-GB"/>
        </w:rPr>
        <w:tab/>
      </w:r>
      <w:r w:rsidRPr="00FD620F">
        <w:rPr>
          <w:b/>
          <w:noProof/>
          <w:lang w:eastAsia="en-GB"/>
        </w:rPr>
        <w:t>Review of the urban wastewater treatment directive</w:t>
      </w:r>
      <w:r w:rsidRPr="00FD620F">
        <w:rPr>
          <w:noProof/>
          <w:lang w:eastAsia="en-GB"/>
        </w:rPr>
        <w:t xml:space="preserve">: Proposal for a Directive of the European Parliament and of the Council on urban waste water treatment (Recast of Directive 91271/EEC); </w:t>
      </w:r>
    </w:p>
    <w:p w14:paraId="6569652B"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w:t>
      </w:r>
      <w:r w:rsidRPr="00FD620F">
        <w:rPr>
          <w:noProof/>
          <w:lang w:eastAsia="en-GB"/>
        </w:rPr>
        <w:tab/>
        <w:t xml:space="preserve"> </w:t>
      </w:r>
      <w:r w:rsidRPr="00FD620F">
        <w:rPr>
          <w:b/>
          <w:noProof/>
          <w:lang w:eastAsia="en-GB"/>
        </w:rPr>
        <w:t>Revision of EU ambient air quality legislation</w:t>
      </w:r>
      <w:r w:rsidRPr="00FD620F">
        <w:rPr>
          <w:noProof/>
          <w:lang w:eastAsia="en-GB"/>
        </w:rPr>
        <w:t>: Proposal for a Directive of the European Parliament and of the Council amending Directive 2004/107/EC relating to arsenic, cadmium, mercury, nickel and polycyclic aromatic hydrocarbons in ambient air and Directive 2008/50/EC on ambient air quality and cleaner air for Europe;</w:t>
      </w:r>
    </w:p>
    <w:p w14:paraId="175B22C0" w14:textId="77777777" w:rsidR="001C0111" w:rsidRPr="00FD620F" w:rsidRDefault="001C0111" w:rsidP="002A2DB0">
      <w:pPr>
        <w:keepNext/>
        <w:outlineLvl w:val="1"/>
        <w:rPr>
          <w:rFonts w:eastAsiaTheme="majorEastAsia"/>
          <w:b/>
          <w:bCs/>
          <w:i/>
          <w:noProof/>
          <w:szCs w:val="26"/>
          <w:lang w:val="en-IE" w:eastAsia="en-GB"/>
        </w:rPr>
      </w:pPr>
      <w:bookmarkStart w:id="6" w:name="_Toc514938011"/>
      <w:bookmarkStart w:id="7" w:name="_Toc520485027"/>
      <w:r w:rsidRPr="00FD620F">
        <w:rPr>
          <w:rFonts w:eastAsiaTheme="majorEastAsia"/>
          <w:b/>
          <w:bCs/>
          <w:noProof/>
          <w:szCs w:val="26"/>
          <w:lang w:val="en-IE" w:eastAsia="en-GB"/>
        </w:rPr>
        <w:t>Policy area(s) concerned</w:t>
      </w:r>
      <w:bookmarkEnd w:id="6"/>
      <w:bookmarkEnd w:id="7"/>
      <w:r w:rsidRPr="00FD620F">
        <w:rPr>
          <w:rFonts w:eastAsiaTheme="majorEastAsia"/>
          <w:b/>
          <w:bCs/>
          <w:i/>
          <w:noProof/>
          <w:szCs w:val="26"/>
          <w:lang w:val="en-IE" w:eastAsia="en-GB"/>
        </w:rPr>
        <w:t xml:space="preserve"> </w:t>
      </w:r>
    </w:p>
    <w:p w14:paraId="1E50EA75"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val="en-IE" w:eastAsia="en-GB"/>
        </w:rPr>
      </w:pPr>
      <w:r w:rsidRPr="00FD620F">
        <w:rPr>
          <w:noProof/>
          <w:lang w:val="en-IE" w:eastAsia="en-GB"/>
        </w:rPr>
        <w:t>09 - Environment &amp; Climate Change</w:t>
      </w:r>
    </w:p>
    <w:p w14:paraId="213F41A7" w14:textId="77777777" w:rsidR="001C0111" w:rsidRPr="00FD620F" w:rsidRDefault="001C0111" w:rsidP="002A2DB0">
      <w:pPr>
        <w:keepNext/>
        <w:outlineLvl w:val="1"/>
        <w:rPr>
          <w:rFonts w:eastAsiaTheme="majorEastAsia"/>
          <w:b/>
          <w:noProof/>
          <w:szCs w:val="24"/>
          <w:lang w:val="en-IE" w:eastAsia="en-GB"/>
        </w:rPr>
      </w:pPr>
      <w:bookmarkStart w:id="8" w:name="_Toc514938014"/>
      <w:bookmarkStart w:id="9" w:name="_Toc520485028"/>
      <w:r w:rsidRPr="00FD620F">
        <w:rPr>
          <w:rFonts w:eastAsiaTheme="majorEastAsia"/>
          <w:b/>
          <w:bCs/>
          <w:noProof/>
          <w:szCs w:val="26"/>
          <w:lang w:val="en-IE" w:eastAsia="en-GB"/>
        </w:rPr>
        <w:t>The proposal/initiative relates to:</w:t>
      </w:r>
      <w:bookmarkEnd w:id="8"/>
      <w:bookmarkEnd w:id="9"/>
      <w:r w:rsidRPr="00FD620F">
        <w:rPr>
          <w:rFonts w:eastAsiaTheme="majorEastAsia"/>
          <w:b/>
          <w:bCs/>
          <w:noProof/>
          <w:szCs w:val="26"/>
          <w:lang w:val="en-IE" w:eastAsia="en-GB"/>
        </w:rPr>
        <w:t xml:space="preserve"> </w:t>
      </w:r>
    </w:p>
    <w:p w14:paraId="12C67186" w14:textId="77777777" w:rsidR="001C0111" w:rsidRPr="00FD620F" w:rsidRDefault="001C0111" w:rsidP="001C0111">
      <w:pPr>
        <w:ind w:left="850"/>
        <w:rPr>
          <w:b/>
          <w:noProof/>
          <w:sz w:val="22"/>
          <w:lang w:val="en-IE" w:eastAsia="en-GB"/>
        </w:rPr>
      </w:pPr>
      <w:r w:rsidRPr="00FD620F">
        <w:rPr>
          <w:rFonts w:ascii="Wingdings" w:eastAsia="Wingdings" w:hAnsi="Wingdings" w:cs="Wingdings"/>
          <w:noProof/>
          <w:sz w:val="22"/>
          <w:lang w:eastAsia="en-GB"/>
        </w:rPr>
        <w:t></w:t>
      </w:r>
      <w:r w:rsidRPr="00FD620F">
        <w:rPr>
          <w:noProof/>
          <w:sz w:val="22"/>
          <w:lang w:eastAsia="en-GB"/>
        </w:rPr>
        <w:t xml:space="preserve"> </w:t>
      </w:r>
      <w:r w:rsidRPr="00FD620F">
        <w:rPr>
          <w:b/>
          <w:noProof/>
          <w:lang w:val="en-IE" w:eastAsia="en-GB"/>
        </w:rPr>
        <w:t>a new action</w:t>
      </w:r>
      <w:r w:rsidRPr="00FD620F">
        <w:rPr>
          <w:b/>
          <w:noProof/>
          <w:sz w:val="22"/>
          <w:lang w:val="en-IE" w:eastAsia="en-GB"/>
        </w:rPr>
        <w:t xml:space="preserve"> </w:t>
      </w:r>
    </w:p>
    <w:p w14:paraId="61FDCA97" w14:textId="77777777" w:rsidR="001C0111" w:rsidRPr="00FD620F" w:rsidRDefault="001C0111" w:rsidP="001C0111">
      <w:pPr>
        <w:ind w:left="850"/>
        <w:rPr>
          <w:noProof/>
          <w:sz w:val="22"/>
          <w:lang w:val="en-IE" w:eastAsia="en-GB"/>
        </w:rPr>
      </w:pPr>
      <w:r w:rsidRPr="00FD620F">
        <w:rPr>
          <w:rFonts w:ascii="Wingdings" w:eastAsia="Wingdings" w:hAnsi="Wingdings" w:cs="Wingdings"/>
          <w:noProof/>
          <w:sz w:val="22"/>
          <w:lang w:val="en-IE" w:eastAsia="en-GB"/>
        </w:rPr>
        <w:t></w:t>
      </w:r>
      <w:r w:rsidRPr="00FD620F">
        <w:rPr>
          <w:i/>
          <w:noProof/>
          <w:sz w:val="22"/>
          <w:lang w:val="en-IE" w:eastAsia="en-GB"/>
        </w:rPr>
        <w:t xml:space="preserve"> </w:t>
      </w:r>
      <w:r w:rsidRPr="00FD620F">
        <w:rPr>
          <w:b/>
          <w:noProof/>
          <w:lang w:val="en-IE" w:eastAsia="en-GB"/>
        </w:rPr>
        <w:t>a new action following a pilot project/preparatory action</w:t>
      </w:r>
      <w:r w:rsidRPr="006C662D">
        <w:rPr>
          <w:rStyle w:val="FootnoteReference"/>
          <w:noProof/>
        </w:rPr>
        <w:footnoteReference w:id="67"/>
      </w:r>
      <w:r w:rsidRPr="00FD620F">
        <w:rPr>
          <w:noProof/>
          <w:sz w:val="22"/>
          <w:lang w:val="en-IE" w:eastAsia="en-GB"/>
        </w:rPr>
        <w:t xml:space="preserve"> </w:t>
      </w:r>
    </w:p>
    <w:p w14:paraId="6051E370" w14:textId="77777777" w:rsidR="001C0111" w:rsidRPr="00FD620F" w:rsidRDefault="001C0111" w:rsidP="001C0111">
      <w:pPr>
        <w:ind w:left="850"/>
        <w:rPr>
          <w:noProof/>
          <w:sz w:val="22"/>
          <w:lang w:val="en-IE" w:eastAsia="en-GB"/>
        </w:rPr>
      </w:pPr>
      <w:r w:rsidRPr="00FD620F">
        <w:rPr>
          <w:rFonts w:ascii="Wingdings" w:eastAsia="Wingdings" w:hAnsi="Wingdings" w:cs="Wingdings"/>
          <w:noProof/>
          <w:sz w:val="22"/>
          <w:lang w:eastAsia="en-GB"/>
        </w:rPr>
        <w:t></w:t>
      </w:r>
      <w:r w:rsidRPr="00FD620F">
        <w:rPr>
          <w:i/>
          <w:noProof/>
          <w:sz w:val="22"/>
          <w:lang w:val="en-IE" w:eastAsia="en-GB"/>
        </w:rPr>
        <w:t xml:space="preserve"> </w:t>
      </w:r>
      <w:r w:rsidRPr="00FD620F">
        <w:rPr>
          <w:b/>
          <w:noProof/>
          <w:lang w:val="en-IE" w:eastAsia="en-GB"/>
        </w:rPr>
        <w:t>the extension of an existing action</w:t>
      </w:r>
      <w:r w:rsidRPr="00FD620F">
        <w:rPr>
          <w:noProof/>
          <w:sz w:val="22"/>
          <w:lang w:val="en-IE" w:eastAsia="en-GB"/>
        </w:rPr>
        <w:t xml:space="preserve"> </w:t>
      </w:r>
    </w:p>
    <w:p w14:paraId="408F1EB2" w14:textId="77777777" w:rsidR="001C0111" w:rsidRPr="00FD620F" w:rsidRDefault="001C0111" w:rsidP="001C0111">
      <w:pPr>
        <w:ind w:left="850"/>
        <w:rPr>
          <w:noProof/>
          <w:lang w:val="en-IE" w:eastAsia="en-GB"/>
        </w:rPr>
      </w:pPr>
      <w:r w:rsidRPr="00FD620F">
        <w:rPr>
          <w:rFonts w:ascii="Wingdings" w:eastAsia="Wingdings" w:hAnsi="Wingdings" w:cs="Wingdings"/>
          <w:noProof/>
          <w:sz w:val="22"/>
          <w:lang w:val="en-IE" w:eastAsia="en-GB"/>
        </w:rPr>
        <w:t></w:t>
      </w:r>
      <w:r w:rsidRPr="00FD620F">
        <w:rPr>
          <w:i/>
          <w:noProof/>
          <w:sz w:val="22"/>
          <w:lang w:val="en-IE" w:eastAsia="en-GB"/>
        </w:rPr>
        <w:t xml:space="preserve"> </w:t>
      </w:r>
      <w:r w:rsidRPr="00FD620F">
        <w:rPr>
          <w:b/>
          <w:noProof/>
          <w:lang w:val="en-IE" w:eastAsia="en-GB"/>
        </w:rPr>
        <w:t>a merger or redirection of one or more actions towards another/a new action</w:t>
      </w:r>
      <w:r w:rsidRPr="00FD620F">
        <w:rPr>
          <w:noProof/>
          <w:lang w:val="en-IE" w:eastAsia="en-GB"/>
        </w:rPr>
        <w:t xml:space="preserve"> </w:t>
      </w:r>
    </w:p>
    <w:p w14:paraId="4D9978CA" w14:textId="77777777" w:rsidR="001C0111" w:rsidRPr="00FD620F" w:rsidRDefault="001C0111" w:rsidP="002A2DB0">
      <w:pPr>
        <w:keepNext/>
        <w:outlineLvl w:val="1"/>
        <w:rPr>
          <w:rFonts w:eastAsiaTheme="majorEastAsia"/>
          <w:b/>
          <w:noProof/>
          <w:szCs w:val="24"/>
          <w:lang w:val="en-IE" w:eastAsia="en-GB"/>
        </w:rPr>
      </w:pPr>
      <w:bookmarkStart w:id="10" w:name="_Toc514938015"/>
      <w:bookmarkStart w:id="11" w:name="_Toc520485029"/>
      <w:r w:rsidRPr="00FD620F">
        <w:rPr>
          <w:rFonts w:eastAsiaTheme="majorEastAsia"/>
          <w:b/>
          <w:bCs/>
          <w:noProof/>
          <w:szCs w:val="26"/>
          <w:lang w:val="en-IE" w:eastAsia="en-GB"/>
        </w:rPr>
        <w:t>Objective(s)</w:t>
      </w:r>
      <w:bookmarkEnd w:id="10"/>
      <w:bookmarkEnd w:id="11"/>
    </w:p>
    <w:p w14:paraId="13BBCD54" w14:textId="77777777" w:rsidR="001C0111" w:rsidRPr="00FD620F" w:rsidRDefault="001C0111" w:rsidP="002A2DB0">
      <w:pPr>
        <w:keepNext/>
        <w:outlineLvl w:val="2"/>
        <w:rPr>
          <w:rFonts w:eastAsiaTheme="majorEastAsia"/>
          <w:bCs/>
          <w:i/>
          <w:noProof/>
          <w:lang w:val="en-IE" w:eastAsia="en-GB"/>
        </w:rPr>
      </w:pPr>
      <w:bookmarkStart w:id="12" w:name="_Toc514938016"/>
      <w:bookmarkStart w:id="13" w:name="_Toc520485030"/>
      <w:r w:rsidRPr="00FD620F">
        <w:rPr>
          <w:rFonts w:eastAsiaTheme="majorEastAsia"/>
          <w:bCs/>
          <w:i/>
          <w:noProof/>
          <w:lang w:val="en-IE" w:eastAsia="en-GB"/>
        </w:rPr>
        <w:t>General objectives</w:t>
      </w:r>
      <w:bookmarkEnd w:id="12"/>
      <w:bookmarkEnd w:id="13"/>
    </w:p>
    <w:p w14:paraId="26C0D13B"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val="en-IE" w:eastAsia="en-GB"/>
        </w:rPr>
        <w:t xml:space="preserve">1) </w:t>
      </w:r>
      <w:r w:rsidRPr="00FD620F">
        <w:rPr>
          <w:noProof/>
          <w:lang w:eastAsia="en-GB"/>
        </w:rPr>
        <w:t>Increase the protection of EU citizens and natural ecosystems in line with the Biodiversity Strategy and the Zero Pollution ambition embedded in the European Green Deal;</w:t>
      </w:r>
    </w:p>
    <w:p w14:paraId="4E27835F"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2) Increase the effectiveness and reduce the administrative burden of the legislation, hence facilitating a quicker response to emerging risks; </w:t>
      </w:r>
    </w:p>
    <w:p w14:paraId="5CE7C387"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3) Protecting the environment and public health from the adverse effects of hazardous chemicals and air pollution.</w:t>
      </w:r>
    </w:p>
    <w:p w14:paraId="42450116" w14:textId="77777777" w:rsidR="001C0111" w:rsidRPr="00FD620F" w:rsidRDefault="001C0111" w:rsidP="002A2DB0">
      <w:pPr>
        <w:keepNext/>
        <w:outlineLvl w:val="2"/>
        <w:rPr>
          <w:rFonts w:eastAsiaTheme="majorEastAsia"/>
          <w:i/>
          <w:noProof/>
          <w:szCs w:val="24"/>
          <w:lang w:val="en-IE" w:eastAsia="en-GB"/>
        </w:rPr>
      </w:pPr>
      <w:bookmarkStart w:id="14" w:name="_Toc514938018"/>
      <w:bookmarkStart w:id="15" w:name="_Toc520485031"/>
      <w:r w:rsidRPr="00FD620F">
        <w:rPr>
          <w:rFonts w:eastAsiaTheme="majorEastAsia"/>
          <w:bCs/>
          <w:i/>
          <w:noProof/>
          <w:lang w:val="en-IE" w:eastAsia="en-GB"/>
        </w:rPr>
        <w:t>Specific objectives</w:t>
      </w:r>
      <w:bookmarkEnd w:id="14"/>
      <w:bookmarkEnd w:id="15"/>
    </w:p>
    <w:p w14:paraId="6C478A2C"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b/>
          <w:i/>
          <w:noProof/>
          <w:color w:val="0000FF"/>
          <w:lang w:val="en-IE" w:eastAsia="en-GB"/>
        </w:rPr>
      </w:pPr>
      <w:r w:rsidRPr="00FD620F">
        <w:rPr>
          <w:b/>
          <w:i/>
          <w:noProof/>
          <w:u w:val="single"/>
          <w:lang w:val="en-IE" w:eastAsia="en-GB"/>
        </w:rPr>
        <w:t xml:space="preserve">Integrated Water Management: </w:t>
      </w:r>
    </w:p>
    <w:p w14:paraId="0F8CAA61"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val="en-IE" w:eastAsia="en-GB"/>
        </w:rPr>
        <w:t xml:space="preserve">1) </w:t>
      </w:r>
      <w:r w:rsidRPr="00FD620F">
        <w:rPr>
          <w:noProof/>
          <w:lang w:eastAsia="en-GB"/>
        </w:rPr>
        <w:t>Update the lists of pollutants affecting surface and groundwater by adding and removing substances and revising the quality standards for some already-listed substances;</w:t>
      </w:r>
    </w:p>
    <w:p w14:paraId="22711066"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2) Improve the transparency, access to, and re-use of data, thereby facilitating implementation in the Member States, as well as reducing the administrative burden and improving the efficiency and coherence of the wider legal framework dealing with chemicals;</w:t>
      </w:r>
    </w:p>
    <w:p w14:paraId="668EE5A1"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3) Provide a legal framework that can be more swiftly and easily aligned with scientific findings and more promptly respond to contaminants of emerging concern;</w:t>
      </w:r>
    </w:p>
    <w:p w14:paraId="130C43C2"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4) Improve the monitoring of chemical mixtures to better assess combination effects, and the monitoring of seasonal variations in pollutant concentrations; </w:t>
      </w:r>
    </w:p>
    <w:p w14:paraId="58901D07"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5) Harmonise how pollutants in surface and groundwater are addressed across the EU where to date no quality standards or threshold values have been established at EU-level; </w:t>
      </w:r>
    </w:p>
    <w:p w14:paraId="2BB66E2F"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6) Create the conditions for increasing water reuse and better managing sludge and waste, in close synergy with the new Water Reuse Regulation, the Sewage Sludge Directive and the EU waste acquis;</w:t>
      </w:r>
    </w:p>
    <w:p w14:paraId="10ADD659"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u w:val="single"/>
          <w:lang w:eastAsia="en-GB"/>
        </w:rPr>
      </w:pPr>
    </w:p>
    <w:p w14:paraId="7804BC91"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b/>
          <w:i/>
          <w:noProof/>
          <w:u w:val="single"/>
          <w:lang w:val="en-IE" w:eastAsia="en-GB"/>
        </w:rPr>
      </w:pPr>
      <w:r w:rsidRPr="00FD620F">
        <w:rPr>
          <w:b/>
          <w:i/>
          <w:noProof/>
          <w:u w:val="single"/>
          <w:lang w:val="en-IE" w:eastAsia="en-GB"/>
        </w:rPr>
        <w:t>Urban wastewater treatment directive:</w:t>
      </w:r>
    </w:p>
    <w:p w14:paraId="68C2F545"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1) Contribute to identifying and then preventing pollution reaching wastewater treatment plants;</w:t>
      </w:r>
    </w:p>
    <w:p w14:paraId="1A4835CE"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2) Further reduce nutrient (N and P), micro-pollutants and micro-plastics pollution as well as ‘remaining sources’ of pollution (storm water overflows, urban runoff, smaller agglomerations and IAS);</w:t>
      </w:r>
    </w:p>
    <w:p w14:paraId="5F44DC3A"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3) Move towards energy neutrality of wastewater sector;  </w:t>
      </w:r>
    </w:p>
    <w:p w14:paraId="6FC18658"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4) Create the conditions for increasing water reuse and better managing sludge and waste, in close synergy with the new Water Reuse Regulation, the Sewage Sludge Directive and the EU waste acquis;</w:t>
      </w:r>
    </w:p>
    <w:p w14:paraId="6E4BBFAC"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5) Improve access to sanitation particularly for vulnerable and marginalised people;</w:t>
      </w:r>
    </w:p>
    <w:p w14:paraId="6B05244A"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6) </w:t>
      </w:r>
      <w:r w:rsidRPr="00FD620F">
        <w:rPr>
          <w:bCs/>
          <w:noProof/>
          <w:lang w:eastAsia="en-GB"/>
        </w:rPr>
        <w:t>Strengthen, modernise, simplify and adapt monitoring and reporting obligations</w:t>
      </w:r>
      <w:r w:rsidRPr="00FD620F">
        <w:rPr>
          <w:noProof/>
          <w:lang w:eastAsia="en-GB"/>
        </w:rPr>
        <w:t>.</w:t>
      </w:r>
    </w:p>
    <w:p w14:paraId="3F4E1FFF"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 </w:t>
      </w:r>
    </w:p>
    <w:p w14:paraId="332E4FE1"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b/>
          <w:i/>
          <w:noProof/>
          <w:u w:val="single"/>
          <w:lang w:val="en-IE" w:eastAsia="en-GB"/>
        </w:rPr>
      </w:pPr>
      <w:r w:rsidRPr="00FD620F">
        <w:rPr>
          <w:b/>
          <w:i/>
          <w:noProof/>
          <w:u w:val="single"/>
          <w:lang w:val="en-IE" w:eastAsia="en-GB"/>
        </w:rPr>
        <w:t>Air quality legislation:</w:t>
      </w:r>
    </w:p>
    <w:p w14:paraId="12BB4734"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1)Revise EU air quality standards to align them more closely with WHO recommendations, to the extent possible take into account the latest scientific advice, feasibility, costs, and benefits – and ensure legislation can respond in an appropriate and effective manner to future changes in underlying evidence base;</w:t>
      </w:r>
    </w:p>
    <w:p w14:paraId="35A74EE9"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2) Assure air quality plans are an effective means of identifying, planning and mitigating an exceedance situation – and include clearer provisions on stakeholder participation, access to justice, penalties and compensation linked to clean air in EU legislation;  </w:t>
      </w:r>
    </w:p>
    <w:p w14:paraId="6E8B233F"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3) Further strengthen provisions on air quality monitoring, air quality modelling and air quality plans to help local authorities achieve cleaner air; </w:t>
      </w:r>
    </w:p>
    <w:p w14:paraId="6AD42996"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4) Provide information to citizens around health impacts of air pollution issues; </w:t>
      </w:r>
    </w:p>
    <w:p w14:paraId="684C4983"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5) Simplify existing provisions where feasible to improve the effectiveness and efficiency of air quality management.</w:t>
      </w:r>
    </w:p>
    <w:p w14:paraId="51AD27B1"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p>
    <w:p w14:paraId="7AD889DD" w14:textId="77777777" w:rsidR="001C0111" w:rsidRPr="00FD620F" w:rsidRDefault="001C0111" w:rsidP="002A2DB0">
      <w:pPr>
        <w:keepNext/>
        <w:outlineLvl w:val="2"/>
        <w:rPr>
          <w:rFonts w:eastAsiaTheme="majorEastAsia"/>
          <w:bCs/>
          <w:i/>
          <w:noProof/>
          <w:lang w:val="en-IE" w:eastAsia="en-GB"/>
        </w:rPr>
      </w:pPr>
      <w:bookmarkStart w:id="16" w:name="_Toc514938019"/>
      <w:bookmarkStart w:id="17" w:name="_Toc520485032"/>
      <w:r w:rsidRPr="00FD620F">
        <w:rPr>
          <w:rFonts w:eastAsiaTheme="majorEastAsia"/>
          <w:bCs/>
          <w:i/>
          <w:noProof/>
          <w:lang w:val="en-IE" w:eastAsia="en-GB"/>
        </w:rPr>
        <w:t>Expected result(s) and impact</w:t>
      </w:r>
      <w:bookmarkEnd w:id="16"/>
      <w:bookmarkEnd w:id="17"/>
    </w:p>
    <w:p w14:paraId="602DD7F2"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color w:val="0000FF"/>
          <w:lang w:val="en-IE" w:eastAsia="en-GB"/>
        </w:rPr>
      </w:pPr>
      <w:bookmarkStart w:id="18" w:name="_Toc514938023"/>
      <w:bookmarkStart w:id="19" w:name="_Toc520485033"/>
      <w:r w:rsidRPr="00FD620F">
        <w:rPr>
          <w:noProof/>
          <w:u w:val="single"/>
          <w:lang w:val="en-IE" w:eastAsia="en-GB"/>
        </w:rPr>
        <w:t xml:space="preserve">Integrated Water Management: </w:t>
      </w:r>
    </w:p>
    <w:p w14:paraId="59C25812"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The proposed Directive will lead specifically to an update of the lists of polluting groundwater and surface water substances. It will also address several of the shortcomings related to chemicals in water highlighted by the 2019 Fitness Check of Water Legislation.</w:t>
      </w:r>
    </w:p>
    <w:p w14:paraId="0FB99FBB"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It will lead to lower levels of pollution in Europe’s freshwater, coastal water, transitional water and groundwater. </w:t>
      </w:r>
    </w:p>
    <w:p w14:paraId="5F317FB4"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It will provide more up to date and relevant information on the state of water, more reliable information on emerging pollutants in groundwater, the ability to ensure regular updates of the lists of substances on the basis of streamlined monitoring information and integrated science based knowledge, and it will result in monitoring of pollution resulting from micro-plastics and anti microbial resistance genes. </w:t>
      </w:r>
    </w:p>
    <w:p w14:paraId="08FD1421"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It will also create the conditions for increasing water reuse and better managing sludge and waste, in close synergy with the new Water Reuse Regulation, the Sewage Sludge Directive and the EU waste acquis;</w:t>
      </w:r>
    </w:p>
    <w:p w14:paraId="6FF9F380"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62FF7A92"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r w:rsidRPr="00FD620F">
        <w:rPr>
          <w:noProof/>
          <w:u w:val="single"/>
          <w:lang w:val="en-IE" w:eastAsia="en-GB"/>
        </w:rPr>
        <w:t>Urban wastewater treatment directive:</w:t>
      </w:r>
    </w:p>
    <w:p w14:paraId="7E0E23A7"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The quality of the EU rivers, lakes and seas is expected to be preserved and improved. Emissions of pollutants from remaining urban sources (including small agglomerations, polluted rain waters, smaller decentralised facilities) as well as emissions of nitrogen and phosphorus will further decrease, with more stringent limit values  where eutrophication remain an issue. </w:t>
      </w:r>
    </w:p>
    <w:p w14:paraId="7F7ABE17"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New investments will also be achieved to reduce the pollution from micro-pollutants. These investments are expected to be covered by a new system of extended producer responsibility making those placing products generating micro-pollutants financially responsible for the additional treatment needed to preserve the quality of the EU receiving waters.   </w:t>
      </w:r>
    </w:p>
    <w:p w14:paraId="22DB8573"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The sector is expected to become energy neutral (meaning that the fossil energy used would be compensated by the renewable energy produced by the sector). </w:t>
      </w:r>
    </w:p>
    <w:p w14:paraId="5A9B4173"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The revision will be a crucial driver for the development of a globally competitive EU water industry. Further modernising the EU standards, for instance with new requirements on micro-pollutants or energy use would further stimulate innovation and ultimately economies of scale.</w:t>
      </w:r>
    </w:p>
    <w:p w14:paraId="112ACD38"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320F9B29"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r w:rsidRPr="00FD620F">
        <w:rPr>
          <w:noProof/>
          <w:u w:val="single"/>
          <w:lang w:val="en-IE" w:eastAsia="en-GB"/>
        </w:rPr>
        <w:t>Air quality legislation:</w:t>
      </w:r>
    </w:p>
    <w:p w14:paraId="1BC0481E"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r w:rsidRPr="00FD620F">
        <w:rPr>
          <w:noProof/>
          <w:lang w:eastAsia="en-GB"/>
        </w:rPr>
        <w:t>The proposed revised Directive contributes to the zero pollution ambition embedded in the European Green Deal, to align EU air quality standards more closely with recommendations by the World Health Organization, and to a sustained improvement of air quality across the European Union.</w:t>
      </w:r>
    </w:p>
    <w:p w14:paraId="3A9B60AB"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The proposed revised Directive will also strengthen provisions on monitoring, modelling and air quality plans to help local authorities achieve cleaner air. Adressing these shortcomings will result in lower levels and exposure to air pollution in ambient air, improved governance and enforcement of air quality plan, better monitoring and modelling by improving its reliability and comparability and by expanding the pollutants to be monitored, improved access to air quality data and information with a particular focus on enhancing the use of digital tools and the possibility to keep EU air quality standards under regular review.</w:t>
      </w:r>
    </w:p>
    <w:p w14:paraId="75D85BAE"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color w:val="000000"/>
          <w:shd w:val="clear" w:color="auto" w:fill="FFFFFF"/>
          <w:lang w:eastAsia="en-GB"/>
        </w:rPr>
      </w:pPr>
      <w:r w:rsidRPr="00FD620F">
        <w:rPr>
          <w:noProof/>
          <w:color w:val="000000"/>
          <w:shd w:val="clear" w:color="auto" w:fill="FFFFFF"/>
          <w:lang w:val="en-IE" w:eastAsia="en-GB"/>
        </w:rPr>
        <w:t xml:space="preserve">EU </w:t>
      </w:r>
      <w:r w:rsidRPr="00FD620F">
        <w:rPr>
          <w:noProof/>
          <w:color w:val="000000"/>
          <w:shd w:val="clear" w:color="auto" w:fill="FFFFFF"/>
          <w:lang w:eastAsia="en-GB"/>
        </w:rPr>
        <w:t xml:space="preserve">citizens will see health benefits from improved air quality. Businesses, economic </w:t>
      </w:r>
      <w:r w:rsidRPr="00FD620F">
        <w:rPr>
          <w:noProof/>
          <w:color w:val="000000"/>
          <w:shd w:val="clear" w:color="auto" w:fill="FFFFFF"/>
          <w:lang w:val="en-IE" w:eastAsia="en-GB"/>
        </w:rPr>
        <w:t>actors</w:t>
      </w:r>
      <w:r w:rsidRPr="00FD620F">
        <w:rPr>
          <w:noProof/>
          <w:color w:val="000000"/>
          <w:shd w:val="clear" w:color="auto" w:fill="FFFFFF"/>
          <w:lang w:eastAsia="en-GB"/>
        </w:rPr>
        <w:t xml:space="preserve"> including </w:t>
      </w:r>
      <w:r w:rsidRPr="00FD620F">
        <w:rPr>
          <w:noProof/>
          <w:color w:val="000000"/>
          <w:shd w:val="clear" w:color="auto" w:fill="FFFFFF"/>
          <w:lang w:val="en-IE" w:eastAsia="en-GB"/>
        </w:rPr>
        <w:t xml:space="preserve">in </w:t>
      </w:r>
      <w:r w:rsidRPr="00FD620F">
        <w:rPr>
          <w:noProof/>
          <w:color w:val="000000"/>
          <w:shd w:val="clear" w:color="auto" w:fill="FFFFFF"/>
          <w:lang w:eastAsia="en-GB"/>
        </w:rPr>
        <w:t xml:space="preserve">agriculture and more generally employers will benefit from the reduction of negative health and (though less significant) non-health impacts associated with poor air quality. </w:t>
      </w:r>
    </w:p>
    <w:p w14:paraId="08422111"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color w:val="000000"/>
          <w:shd w:val="clear" w:color="auto" w:fill="FFFFFF"/>
          <w:lang w:eastAsia="en-GB"/>
        </w:rPr>
      </w:pPr>
      <w:r w:rsidRPr="00FD620F">
        <w:rPr>
          <w:noProof/>
          <w:color w:val="000000"/>
          <w:shd w:val="clear" w:color="auto" w:fill="FFFFFF"/>
          <w:lang w:val="en-IE" w:eastAsia="en-GB"/>
        </w:rPr>
        <w:t xml:space="preserve">Meanwhile, public </w:t>
      </w:r>
      <w:r w:rsidRPr="00FD620F">
        <w:rPr>
          <w:noProof/>
          <w:color w:val="000000"/>
          <w:shd w:val="clear" w:color="auto" w:fill="FFFFFF"/>
          <w:lang w:eastAsia="en-GB"/>
        </w:rPr>
        <w:t xml:space="preserve">authorities </w:t>
      </w:r>
      <w:r w:rsidRPr="00FD620F">
        <w:rPr>
          <w:noProof/>
          <w:color w:val="000000"/>
          <w:shd w:val="clear" w:color="auto" w:fill="FFFFFF"/>
          <w:lang w:val="en-IE" w:eastAsia="en-GB"/>
        </w:rPr>
        <w:t>will be</w:t>
      </w:r>
      <w:r w:rsidRPr="00FD620F">
        <w:rPr>
          <w:noProof/>
          <w:color w:val="000000"/>
          <w:shd w:val="clear" w:color="auto" w:fill="FFFFFF"/>
          <w:lang w:eastAsia="en-GB"/>
        </w:rPr>
        <w:t xml:space="preserve"> affected by </w:t>
      </w:r>
      <w:r w:rsidRPr="00FD620F">
        <w:rPr>
          <w:noProof/>
          <w:color w:val="000000"/>
          <w:shd w:val="clear" w:color="auto" w:fill="FFFFFF"/>
          <w:lang w:val="en-IE" w:eastAsia="en-GB"/>
        </w:rPr>
        <w:t>revised</w:t>
      </w:r>
      <w:r w:rsidRPr="00FD620F">
        <w:rPr>
          <w:noProof/>
          <w:color w:val="000000"/>
          <w:shd w:val="clear" w:color="auto" w:fill="FFFFFF"/>
          <w:lang w:eastAsia="en-GB"/>
        </w:rPr>
        <w:t xml:space="preserve"> </w:t>
      </w:r>
      <w:r w:rsidRPr="00FD620F">
        <w:rPr>
          <w:noProof/>
          <w:color w:val="000000"/>
          <w:shd w:val="clear" w:color="auto" w:fill="FFFFFF"/>
          <w:lang w:val="en-IE" w:eastAsia="en-GB"/>
        </w:rPr>
        <w:t xml:space="preserve">EU </w:t>
      </w:r>
      <w:r w:rsidRPr="00FD620F">
        <w:rPr>
          <w:noProof/>
          <w:color w:val="000000"/>
          <w:shd w:val="clear" w:color="auto" w:fill="FFFFFF"/>
          <w:lang w:eastAsia="en-GB"/>
        </w:rPr>
        <w:t>air quality standards</w:t>
      </w:r>
      <w:r w:rsidRPr="00FD620F">
        <w:rPr>
          <w:noProof/>
          <w:color w:val="000000"/>
          <w:shd w:val="clear" w:color="auto" w:fill="FFFFFF"/>
          <w:lang w:val="en-IE" w:eastAsia="en-GB"/>
        </w:rPr>
        <w:t xml:space="preserve"> and strengthened provisions for air quality monitoring</w:t>
      </w:r>
      <w:r w:rsidRPr="00FD620F">
        <w:rPr>
          <w:noProof/>
          <w:color w:val="000000"/>
          <w:shd w:val="clear" w:color="auto" w:fill="FFFFFF"/>
          <w:lang w:eastAsia="en-GB"/>
        </w:rPr>
        <w:t xml:space="preserve"> </w:t>
      </w:r>
      <w:r w:rsidRPr="00FD620F">
        <w:rPr>
          <w:noProof/>
          <w:color w:val="000000"/>
          <w:shd w:val="clear" w:color="auto" w:fill="FFFFFF"/>
          <w:lang w:val="en-IE" w:eastAsia="en-GB"/>
        </w:rPr>
        <w:t xml:space="preserve">largely </w:t>
      </w:r>
      <w:r w:rsidRPr="00FD620F">
        <w:rPr>
          <w:noProof/>
          <w:color w:val="000000"/>
          <w:shd w:val="clear" w:color="auto" w:fill="FFFFFF"/>
          <w:lang w:eastAsia="en-GB"/>
        </w:rPr>
        <w:t xml:space="preserve">depending on their </w:t>
      </w:r>
      <w:r w:rsidRPr="00FD620F">
        <w:rPr>
          <w:noProof/>
          <w:color w:val="000000"/>
          <w:shd w:val="clear" w:color="auto" w:fill="FFFFFF"/>
          <w:lang w:val="en-IE" w:eastAsia="en-GB"/>
        </w:rPr>
        <w:t xml:space="preserve">current </w:t>
      </w:r>
      <w:r w:rsidRPr="00FD620F">
        <w:rPr>
          <w:noProof/>
          <w:color w:val="000000"/>
          <w:shd w:val="clear" w:color="auto" w:fill="FFFFFF"/>
          <w:lang w:eastAsia="en-GB"/>
        </w:rPr>
        <w:t>air quality situation</w:t>
      </w:r>
      <w:r w:rsidRPr="00FD620F">
        <w:rPr>
          <w:noProof/>
          <w:color w:val="000000"/>
          <w:shd w:val="clear" w:color="auto" w:fill="FFFFFF"/>
          <w:lang w:val="en-IE" w:eastAsia="en-GB"/>
        </w:rPr>
        <w:t>:</w:t>
      </w:r>
      <w:r w:rsidRPr="00FD620F">
        <w:rPr>
          <w:noProof/>
          <w:color w:val="000000"/>
          <w:shd w:val="clear" w:color="auto" w:fill="FFFFFF"/>
          <w:lang w:eastAsia="en-GB"/>
        </w:rPr>
        <w:t xml:space="preserve"> </w:t>
      </w:r>
      <w:r w:rsidRPr="00FD620F">
        <w:rPr>
          <w:noProof/>
          <w:color w:val="000000"/>
          <w:shd w:val="clear" w:color="auto" w:fill="FFFFFF"/>
          <w:lang w:val="en-IE" w:eastAsia="en-GB"/>
        </w:rPr>
        <w:t xml:space="preserve">the revised rules may </w:t>
      </w:r>
      <w:r w:rsidRPr="00FD620F">
        <w:rPr>
          <w:noProof/>
          <w:color w:val="000000"/>
          <w:shd w:val="clear" w:color="auto" w:fill="FFFFFF"/>
          <w:lang w:eastAsia="en-GB"/>
        </w:rPr>
        <w:t>imply an increase in the competent authorities’ administrative burden for improved air quality monitoring.</w:t>
      </w:r>
    </w:p>
    <w:p w14:paraId="6BFB5095"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234F41F1" w14:textId="77777777" w:rsidR="001C0111" w:rsidRPr="00FD620F" w:rsidRDefault="001C0111" w:rsidP="002A2DB0">
      <w:pPr>
        <w:keepNext/>
        <w:outlineLvl w:val="2"/>
        <w:rPr>
          <w:rFonts w:eastAsiaTheme="majorEastAsia"/>
          <w:bCs/>
          <w:i/>
          <w:noProof/>
          <w:szCs w:val="24"/>
          <w:lang w:val="en-IE" w:eastAsia="en-GB"/>
        </w:rPr>
      </w:pPr>
      <w:r w:rsidRPr="00FD620F">
        <w:rPr>
          <w:rFonts w:eastAsiaTheme="majorEastAsia"/>
          <w:bCs/>
          <w:i/>
          <w:noProof/>
          <w:lang w:val="en-IE" w:eastAsia="en-GB"/>
        </w:rPr>
        <w:t>Indicators of performance</w:t>
      </w:r>
      <w:bookmarkEnd w:id="18"/>
      <w:bookmarkEnd w:id="19"/>
    </w:p>
    <w:p w14:paraId="32A17DEA"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color w:val="0000FF"/>
          <w:lang w:val="en-IE" w:eastAsia="en-GB"/>
        </w:rPr>
      </w:pPr>
      <w:bookmarkStart w:id="20" w:name="_Toc514938025"/>
      <w:bookmarkStart w:id="21" w:name="_Toc520485034"/>
      <w:r w:rsidRPr="00FD620F">
        <w:rPr>
          <w:noProof/>
          <w:u w:val="single"/>
          <w:lang w:val="en-IE" w:eastAsia="en-GB"/>
        </w:rPr>
        <w:t xml:space="preserve">Integrated Water Management: </w:t>
      </w:r>
    </w:p>
    <w:p w14:paraId="786838CB"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The increase of the number of substances monitored under the Directive, as a result of the introduction of a mandatory watch list for the purpose of monitoring groundwater pollutants of concern, as well as the increased frequency of reporting of monitoring and status data, will allow for a more granular tracking of progress and achievements.</w:t>
      </w:r>
    </w:p>
    <w:p w14:paraId="5157CC31"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Core indicators of success will include the number of Member States for which complete monitoring time series for relevant substances are available (in particular for groundwater substances), the number of substances or pollutants for which good status is achieved, as well as the degree of harmonisation of threshold values set by Member States for River Basins Specific Pollutants. </w:t>
      </w:r>
    </w:p>
    <w:p w14:paraId="304144CD"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 xml:space="preserve">The inclusion of micro-plastics and antimicrobial resistance genes in the watch lists, subject to identifying appropriate monitoring and assessment methodologies guidelines, will allow for the monitoring of progress in dealing with these emerging types of pollution and subsequent identification of quality standards as appropriate. Moreover, the procedures are simplified to ensure a faster reaction on the emergence of new water pollution issues. </w:t>
      </w:r>
    </w:p>
    <w:p w14:paraId="52F92D82"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3C53C78B"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r w:rsidRPr="00FD620F">
        <w:rPr>
          <w:noProof/>
          <w:u w:val="single"/>
          <w:lang w:val="en-IE" w:eastAsia="en-GB"/>
        </w:rPr>
        <w:t>Urban wastewater treatment directive:</w:t>
      </w:r>
    </w:p>
    <w:p w14:paraId="751AE7E0"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w:t>
      </w:r>
      <w:r w:rsidRPr="00FD620F">
        <w:rPr>
          <w:noProof/>
          <w:lang w:eastAsia="en-GB"/>
        </w:rPr>
        <w:tab/>
        <w:t xml:space="preserve">Compliance rate and distance to target per MS and per treatment level will provide an excellent overview on the implementation of the Directive;  </w:t>
      </w:r>
    </w:p>
    <w:p w14:paraId="243E680D"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w:t>
      </w:r>
      <w:r w:rsidRPr="00FD620F">
        <w:rPr>
          <w:noProof/>
          <w:lang w:eastAsia="en-GB"/>
        </w:rPr>
        <w:tab/>
        <w:t xml:space="preserve">Number of facilities equipped with additional treatment for N/P and micro-pollutants; and the related reduction of N/P releases and toxic load at MS and EU levels; </w:t>
      </w:r>
    </w:p>
    <w:p w14:paraId="092A6EF4" w14:textId="77777777" w:rsidR="001C0111" w:rsidRPr="00FD620F"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w:t>
      </w:r>
      <w:r w:rsidRPr="00FD620F">
        <w:rPr>
          <w:noProof/>
          <w:lang w:eastAsia="en-GB"/>
        </w:rPr>
        <w:tab/>
        <w:t xml:space="preserve">Energy use by MS and the related GHG emissions; </w:t>
      </w:r>
    </w:p>
    <w:p w14:paraId="3BEF2AE8"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FD620F">
        <w:rPr>
          <w:noProof/>
          <w:lang w:eastAsia="en-GB"/>
        </w:rPr>
        <w:t>•</w:t>
      </w:r>
      <w:r w:rsidRPr="00FD620F">
        <w:rPr>
          <w:noProof/>
          <w:lang w:eastAsia="en-GB"/>
        </w:rPr>
        <w:tab/>
        <w:t>Number</w:t>
      </w:r>
      <w:r w:rsidRPr="001C0111">
        <w:rPr>
          <w:noProof/>
          <w:lang w:eastAsia="en-GB"/>
        </w:rPr>
        <w:t xml:space="preserve"> of agglomerations covered by integrated management plans for storm-water overflows and urban run-off and their compliance with the EU objective; </w:t>
      </w:r>
    </w:p>
    <w:p w14:paraId="614DDCD2"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w:t>
      </w:r>
      <w:r w:rsidRPr="001C0111">
        <w:rPr>
          <w:noProof/>
          <w:lang w:eastAsia="en-GB"/>
        </w:rPr>
        <w:tab/>
        <w:t xml:space="preserve">Measures taken by MS to improve access to sanitation and better control IAS and a summary of the main health indicators surveyed in the MS;    </w:t>
      </w:r>
    </w:p>
    <w:p w14:paraId="031D5CA1"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w:t>
      </w:r>
      <w:r w:rsidRPr="001C0111">
        <w:rPr>
          <w:noProof/>
          <w:lang w:eastAsia="en-GB"/>
        </w:rPr>
        <w:tab/>
        <w:t>Other data notably on the water quality of the receiving waters (rivers, lakes and seas) coming from the Water and the Marine Framework Directives will be used to concretely measure the impacts of the UWWTD. More details on possible parameters to be reported for assessing compliance and measure the success of the Directive are provided in Annex 10 of the IA;</w:t>
      </w:r>
    </w:p>
    <w:p w14:paraId="18773507"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w:t>
      </w:r>
      <w:r w:rsidRPr="001C0111">
        <w:rPr>
          <w:noProof/>
          <w:lang w:eastAsia="en-GB"/>
        </w:rPr>
        <w:tab/>
        <w:t>Inclusion of wastewater surveillance through monitoring allowing defining new indicators on relevant scientific, analytical and epidemiological data.</w:t>
      </w:r>
    </w:p>
    <w:p w14:paraId="303A0B4A"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3DCFD3C6"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r w:rsidRPr="001C0111">
        <w:rPr>
          <w:noProof/>
          <w:u w:val="single"/>
          <w:lang w:val="en-IE" w:eastAsia="en-GB"/>
        </w:rPr>
        <w:t>Air quality legislation:</w:t>
      </w:r>
    </w:p>
    <w:p w14:paraId="68FC2E1E"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color w:val="000000"/>
          <w:shd w:val="clear" w:color="auto" w:fill="FFFFFF"/>
          <w:lang w:eastAsia="en-GB"/>
        </w:rPr>
      </w:pPr>
      <w:r w:rsidRPr="001C0111">
        <w:rPr>
          <w:noProof/>
          <w:color w:val="000000"/>
          <w:shd w:val="clear" w:color="auto" w:fill="FFFFFF"/>
          <w:lang w:eastAsia="en-GB"/>
        </w:rPr>
        <w:t xml:space="preserve">EU Member States have established an air quality monitoring network with some 16 000 sampling points for specific pollutants (often grouped at more than 4 000 monitoring locations) based on common criteria defined by the current Ambient Air Quality Directives. The modification suggested to the assessment regimes, monitoring and modelling of air quality will provide additional comparable and objective information that allows to regularly monitor and evaluate the development of air quality across the EU, including at lower pollution levels, which increasingly are seen as having health impacts also. It will also require Member States to increase the monitoring to </w:t>
      </w:r>
      <w:r w:rsidRPr="001C0111">
        <w:rPr>
          <w:noProof/>
          <w:color w:val="000000"/>
          <w:bdr w:val="none" w:sz="0" w:space="0" w:color="auto" w:frame="1"/>
          <w:lang w:eastAsia="en-GB"/>
        </w:rPr>
        <w:t>pollutants of emerging concern, to keep under observation several air pollutants for which to date no harmonised EU-wide air quality monitoring exist.</w:t>
      </w:r>
    </w:p>
    <w:p w14:paraId="2D8210E9"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color w:val="0000FF"/>
          <w:lang w:eastAsia="en-GB"/>
        </w:rPr>
      </w:pPr>
      <w:r w:rsidRPr="001C0111">
        <w:rPr>
          <w:noProof/>
          <w:color w:val="000000"/>
          <w:shd w:val="clear" w:color="auto" w:fill="FFFFFF"/>
          <w:lang w:eastAsia="en-GB"/>
        </w:rPr>
        <w:t>Air quality data reported by Member States is made available to the public as a digital service by the European Environment Agency, including via the European Air Quality Index based on near-real time data.</w:t>
      </w:r>
      <w:r w:rsidRPr="001C0111">
        <w:rPr>
          <w:noProof/>
          <w:color w:val="0000FF"/>
          <w:lang w:eastAsia="en-GB"/>
        </w:rPr>
        <w:t xml:space="preserve"> </w:t>
      </w:r>
      <w:r w:rsidRPr="001C0111">
        <w:rPr>
          <w:noProof/>
          <w:color w:val="000000"/>
          <w:shd w:val="clear" w:color="auto" w:fill="FFFFFF"/>
          <w:lang w:eastAsia="en-GB"/>
        </w:rPr>
        <w:t>The availability of this data, and more precise requirements for information to be included in air quality plans, will also allow to keep the effectiveness of specific (often local) air quality measures under constant review. Clearer specific requirements on public information will make it easier and faster for citizens to access the outcomes of monitoring and evaluation of air quality data and related policy action. </w:t>
      </w:r>
    </w:p>
    <w:p w14:paraId="71CF9694"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This will allow for a more granular tracking of progress and achievements, by which the core indicator of success is the achievement by all Member States of the established EU air quality standards, including progress towards reaching these.</w:t>
      </w:r>
    </w:p>
    <w:p w14:paraId="43D0A719"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 </w:t>
      </w:r>
    </w:p>
    <w:p w14:paraId="36A74353" w14:textId="77777777" w:rsidR="001C0111" w:rsidRPr="001C0111" w:rsidRDefault="001C0111" w:rsidP="002A2DB0">
      <w:pPr>
        <w:keepNext/>
        <w:outlineLvl w:val="1"/>
        <w:rPr>
          <w:rFonts w:eastAsiaTheme="majorEastAsia"/>
          <w:b/>
          <w:noProof/>
          <w:szCs w:val="24"/>
          <w:lang w:val="en-IE" w:eastAsia="en-GB"/>
        </w:rPr>
      </w:pPr>
      <w:r w:rsidRPr="001C0111">
        <w:rPr>
          <w:rFonts w:eastAsiaTheme="majorEastAsia"/>
          <w:b/>
          <w:bCs/>
          <w:noProof/>
          <w:szCs w:val="26"/>
          <w:lang w:val="en-IE" w:eastAsia="en-GB"/>
        </w:rPr>
        <w:t>Grounds for the proposals / initiative</w:t>
      </w:r>
      <w:bookmarkEnd w:id="20"/>
      <w:bookmarkEnd w:id="21"/>
      <w:r w:rsidRPr="001C0111">
        <w:rPr>
          <w:rFonts w:eastAsiaTheme="majorEastAsia"/>
          <w:b/>
          <w:bCs/>
          <w:noProof/>
          <w:szCs w:val="26"/>
          <w:lang w:val="en-IE" w:eastAsia="en-GB"/>
        </w:rPr>
        <w:t xml:space="preserve">s </w:t>
      </w:r>
    </w:p>
    <w:p w14:paraId="49CE8771" w14:textId="77777777" w:rsidR="001C0111" w:rsidRPr="001C0111" w:rsidRDefault="001C0111" w:rsidP="002A2DB0">
      <w:pPr>
        <w:keepNext/>
        <w:outlineLvl w:val="2"/>
        <w:rPr>
          <w:rFonts w:eastAsiaTheme="majorEastAsia"/>
          <w:bCs/>
          <w:i/>
          <w:noProof/>
          <w:lang w:val="en-IE" w:eastAsia="en-GB"/>
        </w:rPr>
      </w:pPr>
      <w:bookmarkStart w:id="22" w:name="_Toc514938026"/>
      <w:bookmarkStart w:id="23" w:name="_Toc520485035"/>
      <w:r w:rsidRPr="001C0111">
        <w:rPr>
          <w:rFonts w:eastAsiaTheme="majorEastAsia"/>
          <w:bCs/>
          <w:i/>
          <w:noProof/>
          <w:lang w:val="en-IE" w:eastAsia="en-GB"/>
        </w:rPr>
        <w:t>Requirement(s) to be met in the short or long term including a detailed timeline for roll-out of the implementation of the initiative</w:t>
      </w:r>
      <w:bookmarkEnd w:id="22"/>
      <w:bookmarkEnd w:id="23"/>
    </w:p>
    <w:p w14:paraId="132ECE0C"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color w:val="0000FF"/>
          <w:lang w:val="en-IE" w:eastAsia="en-GB"/>
        </w:rPr>
      </w:pPr>
      <w:r w:rsidRPr="001C0111">
        <w:rPr>
          <w:noProof/>
          <w:u w:val="single"/>
          <w:lang w:val="en-IE" w:eastAsia="en-GB"/>
        </w:rPr>
        <w:t xml:space="preserve">Integrated Water Management: </w:t>
      </w:r>
    </w:p>
    <w:p w14:paraId="05A36D97"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The EEA will be the ‘one stop shop’ for processing and making available on a more regular basis (then currently the case) all monitoring and water status data coming from the Member States and this information will feed into the tasks of ECHA, which will be the ‘one stop shop’ for the provision of scientific support essential for the further development of standards to protect the aquatic environment. Some new tasks are resulting from the need to better and more systematically address groundwater pollution and to ensure more harmonised and better protection in respect of pollutants not of EU wide concern.</w:t>
      </w:r>
    </w:p>
    <w:p w14:paraId="69AFFB6A"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In more detail, it will require: </w:t>
      </w:r>
    </w:p>
    <w:p w14:paraId="1F4D0F3D"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One-off tasks linked to the setting up, by the EEA, of the system to directly access data generated under this proposal from Member States and to the identification or development, by ECHA, of several guidance documents and methodologies for monitoring and analysis of micro plastics and antimicrobial resistance genes; as well as the inclusion of national environmental quality standards for pollutants at River Basin District level in a repository of health based limit values managed by ECHA;</w:t>
      </w:r>
    </w:p>
    <w:p w14:paraId="6A4E690E"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Recurrent tasks, linked to the increased frequency and digitalisation / automated delivery mechanism of monitoring and status data to the EEA, the maintenance of the repository of standards for pollutants at River Basin District level by ECHA and  the continuous scientific support by ECHA in the framework of the development/adaptation, every three years, of the surface and groundwater watch lists (for the purpose of monitoring and assessing pollutants of concern); and of the development/adaptation, every six years, of lists of substances/pollutants and corresponding EU wide EQS, every six years, for both surface water and groundwater, as well as for the identification, every six years, of EU wide standards for (surface and groundwater) pollutants currently regulated at River Basin District level where so required for the purpose of environmental protection and harmonised implementation.</w:t>
      </w:r>
    </w:p>
    <w:p w14:paraId="5D212C61"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u w:val="single"/>
          <w:lang w:eastAsia="en-GB"/>
        </w:rPr>
      </w:pPr>
      <w:r w:rsidRPr="001C0111">
        <w:rPr>
          <w:noProof/>
          <w:u w:val="single"/>
          <w:lang w:eastAsia="en-GB"/>
        </w:rPr>
        <w:t>Timeline</w:t>
      </w:r>
    </w:p>
    <w:p w14:paraId="5CB06D76"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sidRPr="001C0111">
        <w:rPr>
          <w:rFonts w:eastAsia="Times New Roman"/>
          <w:noProof/>
          <w:szCs w:val="24"/>
          <w:lang w:eastAsia="en-GB"/>
        </w:rPr>
        <w:t>Q1 2023 – Q4 2023: inter institutional negotiation of the proposal</w:t>
      </w:r>
    </w:p>
    <w:p w14:paraId="77643B1B"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lang w:eastAsia="en-GB"/>
        </w:rPr>
      </w:pPr>
      <w:r w:rsidRPr="001C0111">
        <w:rPr>
          <w:rFonts w:eastAsia="Times New Roman"/>
          <w:noProof/>
          <w:lang w:eastAsia="en-GB"/>
        </w:rPr>
        <w:t xml:space="preserve"> Q1/2 2024: entry into force.</w:t>
      </w:r>
    </w:p>
    <w:p w14:paraId="5B3C6295"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sidRPr="001C0111">
        <w:rPr>
          <w:rFonts w:eastAsia="Times New Roman"/>
          <w:noProof/>
          <w:szCs w:val="24"/>
          <w:lang w:eastAsia="en-GB"/>
        </w:rPr>
        <w:t>Q2 2024 – Q4 2025: Development of the system to directly access data generated under this proposal from Member States, led by EEA and to be set out in an implementing act</w:t>
      </w:r>
    </w:p>
    <w:p w14:paraId="369EDDFF"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sidRPr="001C0111">
        <w:rPr>
          <w:rFonts w:eastAsia="Times New Roman"/>
          <w:noProof/>
          <w:szCs w:val="24"/>
          <w:lang w:eastAsia="en-GB"/>
        </w:rPr>
        <w:t xml:space="preserve">Q2 2024 – Q4 2025: Development of the technical specifications (format, granularity, frequency) for the purpose of emission reporting (point source emissions not covered by the Regulation of the Industrial Emissions Portal, as well as diffuse emissions) to the EEA (Industrial Emissions Portal), led by the EEA and to be adopted by implementing act </w:t>
      </w:r>
    </w:p>
    <w:p w14:paraId="07B760BF"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sidRPr="001C0111">
        <w:rPr>
          <w:rFonts w:eastAsia="Times New Roman"/>
          <w:noProof/>
          <w:szCs w:val="24"/>
          <w:lang w:eastAsia="en-GB"/>
        </w:rPr>
        <w:t>Q1 2024 – Q4 2025: Identification and/or development of guidance documents and methodologies for measuring and analysing concentrations of micro-plastics and antimicrobial resistance genes in surface and groundwater bodies (to be identified/listed in the implementing act adopting the Watch lists), led by ECHA</w:t>
      </w:r>
    </w:p>
    <w:p w14:paraId="21074273"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sidRPr="001C0111">
        <w:rPr>
          <w:rFonts w:eastAsia="Times New Roman"/>
          <w:noProof/>
          <w:szCs w:val="24"/>
          <w:lang w:eastAsia="en-GB"/>
        </w:rPr>
        <w:t>Q2 2024 – Q3 2027: Development of 6th Freshwater Watch list and 1st Groundwater Watch list, and analyse and report on 5th Freshwater Watch list, led by ECHA and to be adopted by implementing act.</w:t>
      </w:r>
    </w:p>
    <w:p w14:paraId="2E8CFF0F"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r w:rsidRPr="001C0111">
        <w:rPr>
          <w:rFonts w:eastAsia="Times New Roman"/>
          <w:noProof/>
          <w:szCs w:val="24"/>
          <w:lang w:eastAsia="en-GB"/>
        </w:rPr>
        <w:t xml:space="preserve">Q1 2026 onwards: annual retrieval of chemical pollution data by EEA and scientific support by ECHA to Watch list mechanism and to the preparation of delegated acts to adopt new EU wide environmental quality standards for additional substances (both for groundwater and surface water) </w:t>
      </w:r>
    </w:p>
    <w:p w14:paraId="7221AEA6"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r w:rsidRPr="001C0111">
        <w:rPr>
          <w:rFonts w:eastAsia="Times New Roman"/>
          <w:noProof/>
          <w:szCs w:val="24"/>
          <w:lang w:eastAsia="en-GB"/>
        </w:rPr>
        <w:t xml:space="preserve">Q1 2024 onwards: scientific support by ECHA for the review and update, every six years, of the lists of priority substances and corresponding EQS in Annex I to Directive 2008/105/EC; of pollutants and corresponding EU wide quality standards in Annex I to Directive 2006/118/EC; of the lists of pollutants in part A of Annex II to Directive 2008/105/EC and possible development of EU wide standards for (some) pollutants on that list, as well as of the list of pollutants in Annex II to Directive 2006/118/EC; all lists and EQS to be set out in delegated acts.  </w:t>
      </w:r>
    </w:p>
    <w:p w14:paraId="11360C18"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4"/>
          <w:lang w:eastAsia="en-GB"/>
        </w:rPr>
      </w:pPr>
    </w:p>
    <w:p w14:paraId="617ABCDF"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r w:rsidRPr="001C0111">
        <w:rPr>
          <w:noProof/>
          <w:u w:val="single"/>
          <w:lang w:val="en-IE" w:eastAsia="en-GB"/>
        </w:rPr>
        <w:t>Urban wastewater treatment directive:</w:t>
      </w:r>
    </w:p>
    <w:p w14:paraId="3CACB424"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The implementation planning for the main actions included in the preferred option are summarised in the table below:</w:t>
      </w:r>
    </w:p>
    <w:p w14:paraId="4887AFF4" w14:textId="77777777" w:rsidR="001C0111" w:rsidRPr="001C0111" w:rsidRDefault="00D27CA9" w:rsidP="001C0111">
      <w:pPr>
        <w:pBdr>
          <w:top w:val="single" w:sz="4" w:space="1" w:color="auto"/>
          <w:left w:val="single" w:sz="4" w:space="4" w:color="auto"/>
          <w:bottom w:val="single" w:sz="4" w:space="1" w:color="auto"/>
          <w:right w:val="single" w:sz="4" w:space="4" w:color="auto"/>
        </w:pBdr>
        <w:ind w:left="850"/>
        <w:rPr>
          <w:noProof/>
          <w:lang w:eastAsia="en-GB"/>
        </w:rPr>
      </w:pPr>
      <w:r>
        <w:rPr>
          <w:noProof/>
          <w:color w:val="0000FF"/>
          <w:lang w:eastAsia="en-GB"/>
        </w:rPr>
        <w:pict w14:anchorId="108F913E">
          <v:shape id="_x0000_i1026" type="#_x0000_t75" style="width:411.75pt;height:462.75pt">
            <v:imagedata r:id="rId15" o:title=""/>
          </v:shape>
        </w:pict>
      </w:r>
      <w:r w:rsidR="001C0111" w:rsidRPr="001C0111">
        <w:rPr>
          <w:noProof/>
          <w:lang w:eastAsia="en-GB"/>
        </w:rPr>
        <w:t>By 2025 additional monitoring activities would be in place: this concerns non-domestic releases, health related parameters, key performance operator indicators together with actions to improve transparency.</w:t>
      </w:r>
    </w:p>
    <w:p w14:paraId="18760C8B"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National and EU databases including all the elements necessary to check compliance will be in place, and ‘vulnerable and marginalised people’ will be identified together with actions to improve access to sanitation.</w:t>
      </w:r>
    </w:p>
    <w:p w14:paraId="03CBEF5D"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This financial statement will secure funding for the EEA to provide a number of new activities foreseen in the UWWTD proposal.</w:t>
      </w:r>
    </w:p>
    <w:p w14:paraId="41AA8579"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lang w:eastAsia="en-GB"/>
        </w:rPr>
      </w:pPr>
      <w:r w:rsidRPr="001C0111">
        <w:rPr>
          <w:noProof/>
          <w:lang w:eastAsia="en-GB"/>
        </w:rPr>
        <w:t>These activities are of a different nature:</w:t>
      </w:r>
    </w:p>
    <w:p w14:paraId="45CF3FC2"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lang w:eastAsia="en-GB"/>
        </w:rPr>
      </w:pPr>
      <w:r w:rsidRPr="001C0111">
        <w:rPr>
          <w:noProof/>
          <w:lang w:eastAsia="en-GB"/>
        </w:rPr>
        <w:t xml:space="preserve">- </w:t>
      </w:r>
      <w:r w:rsidRPr="001C0111">
        <w:rPr>
          <w:b/>
          <w:bCs/>
          <w:noProof/>
          <w:lang w:eastAsia="en-GB"/>
        </w:rPr>
        <w:t>Create and adapt the databases referred to in article 20 on monitoring of the legislative proposal</w:t>
      </w:r>
      <w:r w:rsidRPr="001C0111">
        <w:rPr>
          <w:noProof/>
          <w:lang w:eastAsia="en-GB"/>
        </w:rPr>
        <w:t>;</w:t>
      </w:r>
    </w:p>
    <w:p w14:paraId="3ACDD649"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lang w:eastAsia="en-GB"/>
        </w:rPr>
      </w:pPr>
      <w:r w:rsidRPr="001C0111">
        <w:rPr>
          <w:noProof/>
          <w:lang w:eastAsia="en-GB"/>
        </w:rPr>
        <w:t xml:space="preserve">- </w:t>
      </w:r>
      <w:r w:rsidRPr="001C0111">
        <w:rPr>
          <w:b/>
          <w:bCs/>
          <w:noProof/>
          <w:lang w:eastAsia="en-GB"/>
        </w:rPr>
        <w:t>Allocate an expert on UWWTD to follow the file and make reports when needed</w:t>
      </w:r>
    </w:p>
    <w:p w14:paraId="05A27C13"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lang w:eastAsia="en-GB"/>
        </w:rPr>
      </w:pPr>
      <w:r w:rsidRPr="001C0111">
        <w:rPr>
          <w:noProof/>
          <w:lang w:eastAsia="en-GB"/>
        </w:rPr>
        <w:t>- One-off activities linked to preparation and negotiation of delegated/implemented acts</w:t>
      </w:r>
    </w:p>
    <w:p w14:paraId="457E984E"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lang w:eastAsia="en-GB"/>
        </w:rPr>
      </w:pPr>
      <w:r w:rsidRPr="001C0111">
        <w:rPr>
          <w:noProof/>
          <w:lang w:eastAsia="en-GB"/>
        </w:rPr>
        <w:t>-  Tasks related to the data treatment and analysis.</w:t>
      </w:r>
    </w:p>
    <w:p w14:paraId="24A5B30B"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lang w:eastAsia="en-GB"/>
        </w:rPr>
      </w:pPr>
      <w:r w:rsidRPr="001C0111">
        <w:rPr>
          <w:b/>
          <w:noProof/>
          <w:lang w:eastAsia="en-GB"/>
        </w:rPr>
        <w:t>Timeline:</w:t>
      </w:r>
    </w:p>
    <w:p w14:paraId="03D26426"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lang w:eastAsia="en-GB"/>
        </w:rPr>
      </w:pPr>
      <w:r w:rsidRPr="001C0111">
        <w:rPr>
          <w:noProof/>
          <w:szCs w:val="24"/>
          <w:lang w:eastAsia="en-GB"/>
        </w:rPr>
        <w:t>Q4 2022 - Q4 2023: negotiating the proposal. Due to a high ambitious proposal and the</w:t>
      </w:r>
      <w:r w:rsidRPr="001C0111">
        <w:rPr>
          <w:noProof/>
          <w:lang w:eastAsia="en-GB"/>
        </w:rPr>
        <w:t xml:space="preserve"> </w:t>
      </w:r>
      <w:r w:rsidRPr="001C0111">
        <w:rPr>
          <w:noProof/>
          <w:szCs w:val="24"/>
          <w:lang w:eastAsia="en-GB"/>
        </w:rPr>
        <w:t>introduction of an Extended Producer Responsibility scheme, negotiations may require more resources and time than average</w:t>
      </w:r>
    </w:p>
    <w:p w14:paraId="3958AD4B"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szCs w:val="24"/>
          <w:lang w:eastAsia="en-GB"/>
        </w:rPr>
      </w:pPr>
      <w:r w:rsidRPr="001C0111">
        <w:rPr>
          <w:noProof/>
          <w:szCs w:val="24"/>
          <w:lang w:eastAsia="en-GB"/>
        </w:rPr>
        <w:t>Q2 2024: kicking-off and working out.</w:t>
      </w:r>
    </w:p>
    <w:p w14:paraId="19FCE586"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lang w:eastAsia="en-GB"/>
        </w:rPr>
      </w:pPr>
    </w:p>
    <w:p w14:paraId="15FDFFE7"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lang w:eastAsia="en-GB"/>
        </w:rPr>
      </w:pPr>
      <w:r w:rsidRPr="001C0111">
        <w:rPr>
          <w:noProof/>
          <w:lang w:eastAsia="en-GB"/>
        </w:rPr>
        <w:t>Air quality legislation:</w:t>
      </w:r>
    </w:p>
    <w:p w14:paraId="4C4EF990"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szCs w:val="24"/>
          <w:lang w:eastAsia="en-GB"/>
        </w:rPr>
      </w:pPr>
      <w:r w:rsidRPr="001C0111">
        <w:rPr>
          <w:b/>
          <w:bCs/>
          <w:noProof/>
          <w:szCs w:val="24"/>
        </w:rPr>
        <w:t>Tasks related to the reporting and exchange of information of air quality data</w:t>
      </w:r>
      <w:r w:rsidRPr="001C0111">
        <w:rPr>
          <w:noProof/>
          <w:szCs w:val="24"/>
        </w:rPr>
        <w:t xml:space="preserve">. Additional efforts are needed to expand </w:t>
      </w:r>
      <w:r w:rsidRPr="001C0111">
        <w:rPr>
          <w:noProof/>
          <w:szCs w:val="24"/>
          <w:lang w:eastAsia="en-GB"/>
        </w:rPr>
        <w:t>the infrastructure for and support the continuous reporting to also include air pollutants of emerging concerns as well as average exposure reduction obligations covering pollutants PM</w:t>
      </w:r>
      <w:r w:rsidRPr="001C0111">
        <w:rPr>
          <w:noProof/>
          <w:szCs w:val="24"/>
          <w:vertAlign w:val="subscript"/>
          <w:lang w:eastAsia="en-GB"/>
        </w:rPr>
        <w:t xml:space="preserve">2.5 </w:t>
      </w:r>
      <w:r w:rsidRPr="001C0111">
        <w:rPr>
          <w:noProof/>
          <w:szCs w:val="24"/>
          <w:lang w:eastAsia="en-GB"/>
        </w:rPr>
        <w:t>and NO</w:t>
      </w:r>
      <w:r w:rsidRPr="001C0111">
        <w:rPr>
          <w:noProof/>
          <w:szCs w:val="24"/>
          <w:vertAlign w:val="subscript"/>
          <w:lang w:eastAsia="en-GB"/>
        </w:rPr>
        <w:t>2</w:t>
      </w:r>
      <w:r w:rsidRPr="001C0111">
        <w:rPr>
          <w:noProof/>
          <w:szCs w:val="24"/>
          <w:lang w:eastAsia="en-GB"/>
        </w:rPr>
        <w:t>, to further expand the reporting infrastructure for up-to-date information from additional sampling points and modelling data as well as for air quality plans. (EEA support).</w:t>
      </w:r>
    </w:p>
    <w:p w14:paraId="0CC8EF71"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szCs w:val="24"/>
        </w:rPr>
      </w:pPr>
      <w:r w:rsidRPr="001C0111">
        <w:rPr>
          <w:b/>
          <w:bCs/>
          <w:noProof/>
          <w:szCs w:val="24"/>
        </w:rPr>
        <w:t>Tasks related to the assessment of ambient air quality</w:t>
      </w:r>
      <w:r w:rsidRPr="001C0111">
        <w:rPr>
          <w:noProof/>
          <w:szCs w:val="24"/>
        </w:rPr>
        <w:t xml:space="preserve">: As the scientific understanding of air quality challenges, including the adverse health impacts at low concentration levels and by additional air pollutants </w:t>
      </w:r>
      <w:r w:rsidRPr="001C0111">
        <w:rPr>
          <w:noProof/>
          <w:szCs w:val="24"/>
          <w:lang w:eastAsia="en-GB"/>
        </w:rPr>
        <w:t xml:space="preserve">of emerging concerns grows, </w:t>
      </w:r>
      <w:r w:rsidRPr="001C0111">
        <w:rPr>
          <w:noProof/>
          <w:szCs w:val="24"/>
        </w:rPr>
        <w:t xml:space="preserve">additional support is needed to ensure policy action is underpinned by sound assessments of air quality data reported (including additional data that strengthened air quality monitoring and modelling will deliver). Furthermore, </w:t>
      </w:r>
      <w:r w:rsidRPr="001C0111">
        <w:rPr>
          <w:noProof/>
          <w:szCs w:val="24"/>
          <w:lang w:eastAsia="en-GB"/>
        </w:rPr>
        <w:t>assessment of the links between air pollution, climate change, human and ecosystem health will need to be strengthened. (EEA support).</w:t>
      </w:r>
    </w:p>
    <w:p w14:paraId="13968BA2"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noProof/>
          <w:szCs w:val="24"/>
          <w:lang w:eastAsia="en-GB"/>
        </w:rPr>
      </w:pPr>
      <w:r w:rsidRPr="001C0111">
        <w:rPr>
          <w:b/>
          <w:bCs/>
          <w:noProof/>
          <w:szCs w:val="24"/>
        </w:rPr>
        <w:t>Tasks related to the scientific and technical support to air quality monitoring and modelling:</w:t>
      </w:r>
      <w:r w:rsidRPr="001C0111">
        <w:rPr>
          <w:noProof/>
          <w:szCs w:val="24"/>
        </w:rPr>
        <w:t xml:space="preserve"> As strengthened air quality monitoring and modelling is implemented, </w:t>
      </w:r>
      <w:r w:rsidRPr="001C0111">
        <w:rPr>
          <w:noProof/>
          <w:szCs w:val="24"/>
          <w:lang w:eastAsia="en-GB"/>
        </w:rPr>
        <w:t>continued support will be required. Such support, fully complementary to work on air quality reporting and air quality assessments, focusses on the technical aspects of monitoring and modelling by competent authorities and includes the management and chairing of two key expert networks: the network of the national reference laboratories (AQUILA) and the forum of air quality modelling in Europe (FAIRMODE). The JRC has over the past decade supported these aspects of implementation of clean air legislation in Europe - including via a series of Administrative Arrangements. Note that JRC's input is also essential for the development of guidance documents that support the implementation of the revised Directives, and for the establishing of standards related to air quality monitoring and modelling in collaboration with the European Committee for Standardization (CEN).</w:t>
      </w:r>
    </w:p>
    <w:p w14:paraId="11778791"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b/>
          <w:iCs/>
          <w:noProof/>
          <w:szCs w:val="24"/>
          <w:lang w:eastAsia="en-GB"/>
        </w:rPr>
      </w:pPr>
      <w:bookmarkStart w:id="24" w:name="_Hlk114819828"/>
      <w:r w:rsidRPr="001C0111">
        <w:rPr>
          <w:b/>
          <w:iCs/>
          <w:noProof/>
          <w:szCs w:val="24"/>
          <w:lang w:eastAsia="en-GB"/>
        </w:rPr>
        <w:t>Timeline:</w:t>
      </w:r>
    </w:p>
    <w:p w14:paraId="3198849E"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iCs/>
          <w:noProof/>
          <w:lang w:eastAsia="en-GB"/>
        </w:rPr>
      </w:pPr>
      <w:r w:rsidRPr="001C0111">
        <w:rPr>
          <w:iCs/>
          <w:noProof/>
          <w:lang w:eastAsia="en-GB"/>
        </w:rPr>
        <w:t>Q1 2023 to Q2 2024 (est.): inter institutional negotiation of the proposal</w:t>
      </w:r>
    </w:p>
    <w:p w14:paraId="43246B0E" w14:textId="77777777" w:rsidR="001C0111" w:rsidRPr="001C0111" w:rsidRDefault="001C0111" w:rsidP="001C0111">
      <w:pPr>
        <w:pBdr>
          <w:top w:val="single" w:sz="4" w:space="1" w:color="auto"/>
          <w:left w:val="single" w:sz="4" w:space="0" w:color="auto"/>
          <w:bottom w:val="single" w:sz="4" w:space="1" w:color="auto"/>
          <w:right w:val="single" w:sz="4" w:space="4" w:color="auto"/>
        </w:pBdr>
        <w:ind w:left="720"/>
        <w:rPr>
          <w:iCs/>
          <w:noProof/>
          <w:lang w:eastAsia="en-GB"/>
        </w:rPr>
      </w:pPr>
      <w:r w:rsidRPr="001C0111">
        <w:rPr>
          <w:iCs/>
          <w:noProof/>
          <w:lang w:eastAsia="en-GB"/>
        </w:rPr>
        <w:t>Q2 2024 (est.): entry into force</w:t>
      </w:r>
    </w:p>
    <w:p w14:paraId="672BC0C4"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jc w:val="left"/>
        <w:rPr>
          <w:iCs/>
          <w:noProof/>
          <w:lang w:eastAsia="en-GB"/>
        </w:rPr>
      </w:pPr>
      <w:r w:rsidRPr="001C0111">
        <w:rPr>
          <w:iCs/>
          <w:noProof/>
          <w:lang w:eastAsia="en-GB"/>
        </w:rPr>
        <w:t>Q1 2023 to Q4 2025: development of additional guidance documents in the areas of monitoring, modelling and air quality plans (</w:t>
      </w:r>
      <w:r w:rsidRPr="001C0111">
        <w:rPr>
          <w:b/>
          <w:bCs/>
          <w:iCs/>
          <w:noProof/>
          <w:lang w:eastAsia="en-GB"/>
        </w:rPr>
        <w:t>DG ENV</w:t>
      </w:r>
      <w:r w:rsidRPr="001C0111">
        <w:rPr>
          <w:iCs/>
          <w:noProof/>
          <w:lang w:eastAsia="en-GB"/>
        </w:rPr>
        <w:t xml:space="preserve"> with </w:t>
      </w:r>
      <w:r w:rsidRPr="001C0111">
        <w:rPr>
          <w:b/>
          <w:bCs/>
          <w:iCs/>
          <w:noProof/>
          <w:lang w:eastAsia="en-GB"/>
        </w:rPr>
        <w:t>JRC</w:t>
      </w:r>
      <w:r w:rsidRPr="001C0111">
        <w:rPr>
          <w:iCs/>
          <w:noProof/>
          <w:lang w:eastAsia="en-GB"/>
        </w:rPr>
        <w:t>)</w:t>
      </w:r>
    </w:p>
    <w:p w14:paraId="148F0063"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jc w:val="left"/>
        <w:rPr>
          <w:iCs/>
          <w:noProof/>
          <w:lang w:eastAsia="en-GB"/>
        </w:rPr>
      </w:pPr>
      <w:r w:rsidRPr="001C0111">
        <w:rPr>
          <w:iCs/>
          <w:noProof/>
          <w:lang w:eastAsia="en-GB"/>
        </w:rPr>
        <w:t xml:space="preserve">Q1 2023 to Q4 2025: development of standards in close cooperation with </w:t>
      </w:r>
      <w:r w:rsidRPr="001C0111">
        <w:rPr>
          <w:iCs/>
          <w:noProof/>
          <w:szCs w:val="24"/>
          <w:lang w:eastAsia="en-GB"/>
        </w:rPr>
        <w:t>the European Committee for Standardization in the areas of monitoring, indicative measurements and modelling quality objectives (</w:t>
      </w:r>
      <w:r w:rsidRPr="001C0111">
        <w:rPr>
          <w:b/>
          <w:bCs/>
          <w:iCs/>
          <w:noProof/>
          <w:szCs w:val="24"/>
          <w:lang w:eastAsia="en-GB"/>
        </w:rPr>
        <w:t xml:space="preserve">JRC </w:t>
      </w:r>
      <w:r w:rsidRPr="001C0111">
        <w:rPr>
          <w:iCs/>
          <w:noProof/>
          <w:szCs w:val="24"/>
          <w:lang w:eastAsia="en-GB"/>
        </w:rPr>
        <w:t>with</w:t>
      </w:r>
      <w:r w:rsidRPr="001C0111">
        <w:rPr>
          <w:b/>
          <w:bCs/>
          <w:iCs/>
          <w:noProof/>
          <w:szCs w:val="24"/>
          <w:lang w:eastAsia="en-GB"/>
        </w:rPr>
        <w:t xml:space="preserve"> </w:t>
      </w:r>
      <w:r w:rsidRPr="001C0111">
        <w:rPr>
          <w:b/>
          <w:bCs/>
          <w:iCs/>
          <w:noProof/>
          <w:lang w:eastAsia="en-GB"/>
        </w:rPr>
        <w:t>DG ENV</w:t>
      </w:r>
      <w:r w:rsidRPr="001C0111">
        <w:rPr>
          <w:iCs/>
          <w:noProof/>
          <w:szCs w:val="24"/>
          <w:lang w:eastAsia="en-GB"/>
        </w:rPr>
        <w:t>)</w:t>
      </w:r>
    </w:p>
    <w:p w14:paraId="4D0E9FFE"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jc w:val="left"/>
        <w:rPr>
          <w:iCs/>
          <w:noProof/>
          <w:szCs w:val="24"/>
          <w:lang w:eastAsia="en-GB"/>
        </w:rPr>
      </w:pPr>
      <w:r w:rsidRPr="001C0111">
        <w:rPr>
          <w:iCs/>
          <w:noProof/>
          <w:lang w:eastAsia="en-GB"/>
        </w:rPr>
        <w:t xml:space="preserve">Q3 2024 onwards: regular assessments by the </w:t>
      </w:r>
      <w:r w:rsidRPr="001C0111">
        <w:rPr>
          <w:b/>
          <w:bCs/>
          <w:iCs/>
          <w:noProof/>
          <w:lang w:eastAsia="en-GB"/>
        </w:rPr>
        <w:t>EEA</w:t>
      </w:r>
      <w:r w:rsidRPr="001C0111">
        <w:rPr>
          <w:iCs/>
          <w:noProof/>
          <w:lang w:eastAsia="en-GB"/>
        </w:rPr>
        <w:t xml:space="preserve"> on progress in meeting the </w:t>
      </w:r>
      <w:r w:rsidRPr="001C0111">
        <w:rPr>
          <w:iCs/>
          <w:noProof/>
          <w:szCs w:val="24"/>
          <w:lang w:eastAsia="en-GB"/>
        </w:rPr>
        <w:t>average exposure reduction obligations covering pollutants PM</w:t>
      </w:r>
      <w:r w:rsidRPr="001C0111">
        <w:rPr>
          <w:iCs/>
          <w:noProof/>
          <w:szCs w:val="24"/>
          <w:vertAlign w:val="subscript"/>
          <w:lang w:eastAsia="en-GB"/>
        </w:rPr>
        <w:t xml:space="preserve">2.5 </w:t>
      </w:r>
      <w:r w:rsidRPr="001C0111">
        <w:rPr>
          <w:iCs/>
          <w:noProof/>
          <w:szCs w:val="24"/>
          <w:lang w:eastAsia="en-GB"/>
        </w:rPr>
        <w:t>and NO</w:t>
      </w:r>
      <w:r w:rsidRPr="001C0111">
        <w:rPr>
          <w:iCs/>
          <w:noProof/>
          <w:szCs w:val="24"/>
          <w:vertAlign w:val="subscript"/>
          <w:lang w:eastAsia="en-GB"/>
        </w:rPr>
        <w:t>2.</w:t>
      </w:r>
    </w:p>
    <w:p w14:paraId="451CBECC"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jc w:val="left"/>
        <w:rPr>
          <w:iCs/>
          <w:noProof/>
          <w:szCs w:val="24"/>
          <w:lang w:eastAsia="en-GB"/>
        </w:rPr>
      </w:pPr>
      <w:r w:rsidRPr="001C0111">
        <w:rPr>
          <w:iCs/>
          <w:noProof/>
          <w:szCs w:val="24"/>
          <w:lang w:eastAsia="en-GB"/>
        </w:rPr>
        <w:t xml:space="preserve">Q3 2024 onwards: regular assessment by the </w:t>
      </w:r>
      <w:r w:rsidRPr="001C0111">
        <w:rPr>
          <w:b/>
          <w:bCs/>
          <w:iCs/>
          <w:noProof/>
          <w:szCs w:val="24"/>
          <w:lang w:eastAsia="en-GB"/>
        </w:rPr>
        <w:t>EEA</w:t>
      </w:r>
      <w:r w:rsidRPr="001C0111">
        <w:rPr>
          <w:iCs/>
          <w:noProof/>
          <w:szCs w:val="24"/>
          <w:lang w:eastAsia="en-GB"/>
        </w:rPr>
        <w:t xml:space="preserve"> of air pollutants of emerging concern, and on the links between air pollution, climate change, and health</w:t>
      </w:r>
    </w:p>
    <w:p w14:paraId="7AD064AF"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jc w:val="left"/>
        <w:rPr>
          <w:iCs/>
          <w:noProof/>
          <w:lang w:eastAsia="en-GB"/>
        </w:rPr>
      </w:pPr>
      <w:r w:rsidRPr="001C0111">
        <w:rPr>
          <w:iCs/>
          <w:noProof/>
          <w:lang w:eastAsia="en-GB"/>
        </w:rPr>
        <w:t>Q3 2024 to Q4 2025: revision of the Commission’s implementing rules as regards the reciprocal exchange of information and reporting on ambient air (</w:t>
      </w:r>
      <w:r w:rsidRPr="001C0111">
        <w:rPr>
          <w:b/>
          <w:bCs/>
          <w:iCs/>
          <w:noProof/>
          <w:lang w:eastAsia="en-GB"/>
        </w:rPr>
        <w:t>DG ENV</w:t>
      </w:r>
      <w:r w:rsidRPr="001C0111">
        <w:rPr>
          <w:iCs/>
          <w:noProof/>
          <w:lang w:eastAsia="en-GB"/>
        </w:rPr>
        <w:t>)</w:t>
      </w:r>
    </w:p>
    <w:p w14:paraId="27B37FD7"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jc w:val="left"/>
        <w:rPr>
          <w:iCs/>
          <w:noProof/>
          <w:szCs w:val="24"/>
          <w:lang w:eastAsia="en-GB"/>
        </w:rPr>
      </w:pPr>
      <w:r w:rsidRPr="001C0111">
        <w:rPr>
          <w:iCs/>
          <w:noProof/>
          <w:szCs w:val="24"/>
          <w:lang w:eastAsia="en-GB"/>
        </w:rPr>
        <w:t xml:space="preserve">Q1 2026 (est.): revised reporting obligations for Member States (to the </w:t>
      </w:r>
      <w:r w:rsidRPr="001C0111">
        <w:rPr>
          <w:b/>
          <w:bCs/>
          <w:iCs/>
          <w:noProof/>
          <w:szCs w:val="24"/>
          <w:lang w:eastAsia="en-GB"/>
        </w:rPr>
        <w:t>EEA</w:t>
      </w:r>
      <w:r w:rsidRPr="001C0111">
        <w:rPr>
          <w:iCs/>
          <w:noProof/>
          <w:szCs w:val="24"/>
          <w:lang w:eastAsia="en-GB"/>
        </w:rPr>
        <w:t xml:space="preserve">) start (i.e. depends on transposition timelines – important to have infrastructure ready) </w:t>
      </w:r>
    </w:p>
    <w:p w14:paraId="2C3C3519"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jc w:val="left"/>
        <w:rPr>
          <w:iCs/>
          <w:noProof/>
          <w:lang w:eastAsia="en-GB"/>
        </w:rPr>
      </w:pPr>
      <w:r w:rsidRPr="001C0111">
        <w:rPr>
          <w:iCs/>
          <w:noProof/>
          <w:lang w:eastAsia="en-GB"/>
        </w:rPr>
        <w:t xml:space="preserve">Q3 2024 to Q4 2026: adjustments to the air quality data repository managed by the </w:t>
      </w:r>
      <w:r w:rsidRPr="001C0111">
        <w:rPr>
          <w:b/>
          <w:bCs/>
          <w:iCs/>
          <w:noProof/>
          <w:lang w:eastAsia="en-GB"/>
        </w:rPr>
        <w:t>EEA</w:t>
      </w:r>
      <w:r w:rsidRPr="001C0111">
        <w:rPr>
          <w:iCs/>
          <w:noProof/>
          <w:lang w:eastAsia="en-GB"/>
        </w:rPr>
        <w:t xml:space="preserve">, to include additional data made available through national data reporting </w:t>
      </w:r>
    </w:p>
    <w:p w14:paraId="1CCDB954"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jc w:val="left"/>
        <w:rPr>
          <w:noProof/>
          <w:u w:val="single"/>
          <w:lang w:val="en-IE" w:eastAsia="en-GB"/>
        </w:rPr>
      </w:pPr>
      <w:r w:rsidRPr="001C0111">
        <w:rPr>
          <w:iCs/>
          <w:noProof/>
          <w:szCs w:val="24"/>
          <w:lang w:eastAsia="en-GB"/>
        </w:rPr>
        <w:t xml:space="preserve">Q4 2028 (est.): first round of reporting of revised air quality plans to address risks of exceedances of revised air quality standards in 2030 (reporting to the </w:t>
      </w:r>
      <w:r w:rsidRPr="001C0111">
        <w:rPr>
          <w:b/>
          <w:bCs/>
          <w:iCs/>
          <w:noProof/>
          <w:szCs w:val="24"/>
          <w:lang w:eastAsia="en-GB"/>
        </w:rPr>
        <w:t>EEA</w:t>
      </w:r>
      <w:r w:rsidRPr="001C0111">
        <w:rPr>
          <w:iCs/>
          <w:noProof/>
          <w:szCs w:val="24"/>
          <w:lang w:eastAsia="en-GB"/>
        </w:rPr>
        <w:t>)</w:t>
      </w:r>
      <w:bookmarkEnd w:id="24"/>
      <w:r w:rsidRPr="001C0111">
        <w:rPr>
          <w:noProof/>
          <w:lang w:eastAsia="en-GB"/>
        </w:rPr>
        <w:t>.</w:t>
      </w:r>
    </w:p>
    <w:p w14:paraId="1B4B9CAA" w14:textId="77777777" w:rsidR="001C0111" w:rsidRPr="001C0111" w:rsidRDefault="001C0111" w:rsidP="002A2DB0">
      <w:pPr>
        <w:keepNext/>
        <w:outlineLvl w:val="2"/>
        <w:rPr>
          <w:rFonts w:eastAsiaTheme="majorEastAsia"/>
          <w:i/>
          <w:noProof/>
          <w:szCs w:val="24"/>
          <w:lang w:val="en-IE" w:eastAsia="en-GB"/>
        </w:rPr>
      </w:pPr>
      <w:bookmarkStart w:id="25" w:name="_Toc514938029"/>
      <w:bookmarkStart w:id="26" w:name="_Toc520485036"/>
      <w:r w:rsidRPr="001C0111">
        <w:rPr>
          <w:rFonts w:eastAsiaTheme="majorEastAsia"/>
          <w:bCs/>
          <w:i/>
          <w:noProof/>
          <w:lang w:val="en-IE" w:eastAsia="en-GB"/>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5"/>
      <w:bookmarkEnd w:id="26"/>
    </w:p>
    <w:p w14:paraId="3EC5F4BC"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bookmarkStart w:id="27" w:name="_Toc514938030"/>
      <w:bookmarkStart w:id="28" w:name="_Toc520485037"/>
      <w:r w:rsidRPr="001C0111">
        <w:rPr>
          <w:noProof/>
          <w:u w:val="single"/>
          <w:lang w:val="en-IE" w:eastAsia="en-GB"/>
        </w:rPr>
        <w:t xml:space="preserve">Integrated Water Management: </w:t>
      </w:r>
    </w:p>
    <w:p w14:paraId="4B4A9501"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Surface and groundwater bodies in the EU are polluted by a range of different pollutants. As pollution travels downstream and 60% of European River Basin Districts are international, cooperation between Member States is essential and action at EU level necessary to address pollution and other transboundary impacts through the setting of harmonised standards and harmonised data collection and sharing systems between Member States. It is also important to increase transparency of data on chemicals and enable their use and re-use by the Commission and its agencies, in particular EEA and ECHA to increase scientific knowledge enabling further targeted action and enforcement. </w:t>
      </w:r>
    </w:p>
    <w:p w14:paraId="074336DC"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Without action at EU level, it would become prohibitively expensive, especially for downstream Member States, to address pollution. </w:t>
      </w:r>
    </w:p>
    <w:p w14:paraId="389C5430"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Harmonised standards will result in overall better environmental and human health protection, cost-effective and proportionate action by Member States and a level playing field for activities having to address potential impacts on water bodies across the EU. </w:t>
      </w:r>
    </w:p>
    <w:p w14:paraId="60568D1A"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The more regular sharing of monitoring and status data by means of automated data sharing mechanisms will enable more frequent and targeted controls and better preparedness to address potential issues of emerging concern. Access to streamlined data information bases will improve coherence of assessments and implementation across legislation. </w:t>
      </w:r>
    </w:p>
    <w:p w14:paraId="73700C36"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The EEA will centralise data, process these and make them available for re-use for the purpose of policy making and implementation. ECHA will provide scientific support on the basis of an increasingly robust scientific database, thanks to centralising of cross-cutting scientific information in the field of chemicals and more streamlined monitoring and status data being made available by the EEA. Both agencies will play a pivotal role in the further implementation of water legislation, with synergies and up-to-date scientific data enabling for swifter adaptation to new areas of concern as well as better identification and prioritisation of most cost effective measures to address pollution. </w:t>
      </w:r>
    </w:p>
    <w:p w14:paraId="2C9177CB"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On the other hand, the proposal will reduce the overall administrative burden by taking out those reporting obligations, which have not shown effective, i.e. which have not delivered the expected improved implementation. Other reporting obligations are simplified and better coherence is ensured with reporting under other instruments. </w:t>
      </w:r>
    </w:p>
    <w:p w14:paraId="63AD6A1B"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Finally the proposal aims at introducing more effective procedures for adapting the lists of substances and related environmental quality standards to scientific progress, whilst ensuring that these procedures will benefit from solid scientific data, based on streamlined reporting and close cooperation with the agencies. </w:t>
      </w:r>
    </w:p>
    <w:p w14:paraId="0ECC72F7"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54632973"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u w:val="single"/>
          <w:lang w:val="en-IE" w:eastAsia="en-GB"/>
        </w:rPr>
        <w:t>Urban wastewater treatment directive:</w:t>
      </w:r>
      <w:r w:rsidRPr="001C0111">
        <w:rPr>
          <w:noProof/>
          <w:lang w:eastAsia="en-GB"/>
        </w:rPr>
        <w:tab/>
      </w:r>
    </w:p>
    <w:p w14:paraId="7B39F1B2"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r w:rsidRPr="001C0111">
        <w:rPr>
          <w:noProof/>
          <w:lang w:eastAsia="en-GB"/>
        </w:rPr>
        <w:t xml:space="preserve">EU action remains essential to ensure that all EU citizens can draw benefits from improved water quality of rivers, lakes, ground-waters and seas. As 60% of the EU water bodies are transboundary, it is necessary to ensure the same level of protection everywhere and at the same rhythm, to avoid the risk that efforts made by some MS are jeopardised by the lack of progress of others. The REFIT evaluation has shown that in most MS the Directive was the unique driver for investing in the required infrastructures.  </w:t>
      </w:r>
    </w:p>
    <w:p w14:paraId="78FA4075"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The Directive would be fully aligned with all other key European Green Deal objectives, including the overarching climate-neutrality goal, while being fully consistent with several ongoing/planned legislative proposals such as the reviews of the Environmental Quality Standard Directive, the Bathing Water Directive, the Marine Strategy Framework Directive and the Evaluation of the Sewage Sludge Directive. It will also directly contribute to a better implementation of the SDG 6 on access to adequate and equitable sanitation.</w:t>
      </w:r>
    </w:p>
    <w:p w14:paraId="3387C004"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79DE2880"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u w:val="single"/>
          <w:lang w:eastAsia="en-GB"/>
        </w:rPr>
      </w:pPr>
      <w:r w:rsidRPr="001C0111">
        <w:rPr>
          <w:noProof/>
          <w:szCs w:val="24"/>
          <w:u w:val="single"/>
          <w:lang w:eastAsia="en-GB"/>
        </w:rPr>
        <w:t>Air quality legislation:</w:t>
      </w:r>
    </w:p>
    <w:p w14:paraId="5AC4A88A"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The objectives of the initiative cannot be sufficiently achieved at Member State level alone. This is due, firstly, to the transboundary nature of air pollution, as emissions from one Member State can contribute to ambient air pollution in other Member States. EU-wide action is necessary to ensure that all Member States take measures in order to reduce the risks to the population in each Member State. </w:t>
      </w:r>
    </w:p>
    <w:p w14:paraId="4582A1A8"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Secondly, the Treaty requires to aim for a high level of protection taking into account the diversity of situations across the EU. The existing Directives and the proposed directive establish common air quality standards but leave the choice of means to the Member States, so that these can be adapted to local, regional and national circumstances.</w:t>
      </w:r>
    </w:p>
    <w:p w14:paraId="3F80769C"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Thirdly, equal treatment must be ensured as regards the economic implications of air pollution throughout all Member States </w:t>
      </w:r>
      <w:r w:rsidRPr="001C0111">
        <w:rPr>
          <w:noProof/>
          <w:lang w:val="en-IE" w:eastAsia="en-GB"/>
        </w:rPr>
        <w:t xml:space="preserve">and the ambient air quality experience by citizens across the Union. </w:t>
      </w:r>
    </w:p>
    <w:p w14:paraId="3E530A93"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val="en-IE" w:eastAsia="en-GB"/>
        </w:rPr>
      </w:pPr>
      <w:r w:rsidRPr="001C0111">
        <w:rPr>
          <w:noProof/>
          <w:lang w:val="en-IE" w:eastAsia="en-GB"/>
        </w:rPr>
        <w:t xml:space="preserve">Revised air quality standards and clearer rules for air quality monitoring will ensure a higher level of protection to EU citizens and better ambient air for the environment. </w:t>
      </w:r>
    </w:p>
    <w:p w14:paraId="12C98352"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val="en-IE" w:eastAsia="en-GB"/>
        </w:rPr>
        <w:t>This will improve the information available of air quality challenges,</w:t>
      </w:r>
      <w:r w:rsidRPr="001C0111">
        <w:rPr>
          <w:noProof/>
          <w:lang w:eastAsia="en-GB"/>
        </w:rPr>
        <w:t xml:space="preserve"> </w:t>
      </w:r>
      <w:r w:rsidRPr="001C0111">
        <w:rPr>
          <w:noProof/>
          <w:lang w:val="en-IE" w:eastAsia="en-GB"/>
        </w:rPr>
        <w:t xml:space="preserve">and improve health (and thus decrease healthcare expenditures), </w:t>
      </w:r>
      <w:r w:rsidRPr="001C0111">
        <w:rPr>
          <w:noProof/>
          <w:lang w:eastAsia="en-GB"/>
        </w:rPr>
        <w:t xml:space="preserve">decrease </w:t>
      </w:r>
      <w:r w:rsidRPr="001C0111">
        <w:rPr>
          <w:noProof/>
          <w:lang w:val="en-IE" w:eastAsia="en-GB"/>
        </w:rPr>
        <w:t xml:space="preserve">crop yield losses due to ozone, </w:t>
      </w:r>
      <w:r w:rsidRPr="001C0111">
        <w:rPr>
          <w:noProof/>
          <w:lang w:eastAsia="en-GB"/>
        </w:rPr>
        <w:t xml:space="preserve">reduce </w:t>
      </w:r>
      <w:r w:rsidRPr="001C0111">
        <w:rPr>
          <w:noProof/>
          <w:lang w:val="en-IE" w:eastAsia="en-GB"/>
        </w:rPr>
        <w:t>absence from work due to illness (including of dependent children). Improving air quality is therefore expected to bring productivity and economic gains</w:t>
      </w:r>
      <w:r w:rsidRPr="001C0111">
        <w:rPr>
          <w:noProof/>
          <w:lang w:eastAsia="en-GB"/>
        </w:rPr>
        <w:t>.</w:t>
      </w:r>
    </w:p>
    <w:p w14:paraId="57BF9311"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Improvements in the monitoring and modelling, in the way air quality plans are prepared and implemented, and in the sharing of information gathered by Member States</w:t>
      </w:r>
      <w:r w:rsidRPr="001C0111">
        <w:rPr>
          <w:noProof/>
          <w:color w:val="0000FF"/>
          <w:lang w:eastAsia="en-GB"/>
        </w:rPr>
        <w:t xml:space="preserve"> </w:t>
      </w:r>
      <w:r w:rsidRPr="001C0111">
        <w:rPr>
          <w:noProof/>
          <w:lang w:eastAsia="en-GB"/>
        </w:rPr>
        <w:t>will improve coherence of assessments and implementation across legislation.</w:t>
      </w:r>
    </w:p>
    <w:p w14:paraId="6B79C871"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color w:val="0000FF"/>
          <w:lang w:eastAsia="en-GB"/>
        </w:rPr>
      </w:pPr>
      <w:r w:rsidRPr="001C0111">
        <w:rPr>
          <w:noProof/>
          <w:lang w:eastAsia="en-GB"/>
        </w:rPr>
        <w:t>Changes in relation to access to justice and penalties will improve public enforcement and therefore the attainment of results across the European Union.</w:t>
      </w:r>
    </w:p>
    <w:p w14:paraId="3A0B8C04"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color w:val="0000FF"/>
          <w:lang w:val="en-IE" w:eastAsia="en-GB"/>
        </w:rPr>
      </w:pPr>
      <w:r w:rsidRPr="001C0111">
        <w:rPr>
          <w:noProof/>
          <w:lang w:eastAsia="en-GB"/>
        </w:rPr>
        <w:t>Finally, the proposal aims at introducing more effective procedures for revising the air quality standards to scientific progress, whilst ensuring that these procedures will benefit from solid scientific data, based on streamlined reporting and close cooperation with the European Environmental Agency, also to make air quality information (incl. up-to-date data) available to decision-makers and a wider public.</w:t>
      </w:r>
    </w:p>
    <w:p w14:paraId="68073DC2" w14:textId="77777777" w:rsidR="001C0111" w:rsidRPr="001C0111" w:rsidRDefault="001C0111" w:rsidP="002A2DB0">
      <w:pPr>
        <w:keepNext/>
        <w:outlineLvl w:val="2"/>
        <w:rPr>
          <w:rFonts w:eastAsiaTheme="majorEastAsia"/>
          <w:bCs/>
          <w:i/>
          <w:noProof/>
          <w:lang w:val="en-IE" w:eastAsia="en-GB"/>
        </w:rPr>
      </w:pPr>
      <w:r w:rsidRPr="001C0111">
        <w:rPr>
          <w:rFonts w:eastAsiaTheme="majorEastAsia"/>
          <w:bCs/>
          <w:i/>
          <w:noProof/>
          <w:lang w:val="en-IE" w:eastAsia="en-GB"/>
        </w:rPr>
        <w:t>Lessons learned from similar experiences in the past</w:t>
      </w:r>
      <w:bookmarkEnd w:id="27"/>
      <w:bookmarkEnd w:id="28"/>
    </w:p>
    <w:p w14:paraId="78D9202D"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bookmarkStart w:id="29" w:name="_Toc514938033"/>
      <w:bookmarkStart w:id="30" w:name="_Toc520485038"/>
      <w:r w:rsidRPr="001C0111">
        <w:rPr>
          <w:noProof/>
          <w:u w:val="single"/>
          <w:lang w:val="en-IE" w:eastAsia="en-GB"/>
        </w:rPr>
        <w:t xml:space="preserve">Integrated Water Management: </w:t>
      </w:r>
    </w:p>
    <w:p w14:paraId="3CB46359"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The 2019 Fitness Check of EU water legislation confirmed that the Water Framework Directive and its two ‘daughter’ directives have triggered or reinforced action at European level to address the transboundary pressures on water resources at river basin level, both nationally and internationally. The setting of EU wide standards for pollutants can therefore be considered effective.  </w:t>
      </w:r>
    </w:p>
    <w:p w14:paraId="6F5410B1"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However the evaluation also concluded that there is a need to widen the scope to address pollutants of emerging concern and better protect human health and ecosystems including addressing several administrative and implementation issues. </w:t>
      </w:r>
    </w:p>
    <w:p w14:paraId="07113B75"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u w:val="single"/>
          <w:lang w:eastAsia="en-GB"/>
        </w:rPr>
      </w:pPr>
    </w:p>
    <w:p w14:paraId="3B22B35F"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u w:val="single"/>
          <w:lang w:val="en-IE" w:eastAsia="en-GB"/>
        </w:rPr>
        <w:t>Urban wastewater treatment directive:</w:t>
      </w:r>
      <w:r w:rsidRPr="001C0111">
        <w:rPr>
          <w:noProof/>
          <w:lang w:eastAsia="en-GB"/>
        </w:rPr>
        <w:tab/>
      </w:r>
    </w:p>
    <w:p w14:paraId="3D48225F"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lang w:eastAsia="en-GB"/>
        </w:rPr>
      </w:pPr>
      <w:r w:rsidRPr="001C0111">
        <w:rPr>
          <w:noProof/>
          <w:szCs w:val="24"/>
          <w:lang w:eastAsia="en-GB"/>
        </w:rPr>
        <w:t xml:space="preserve">The REFIT evaluation of the Directive’s effectiveness showed that it has been successful in reducing loads of the targeted pollutants from urban point sources (domestic/urban waste water and similar industrial pollution). There are still shortcomings in addressing remaining load of untreated urban wastewater. There is also a need to align the Directive with new political priorities and societal emerging concerns. </w:t>
      </w:r>
    </w:p>
    <w:p w14:paraId="135B6EB5"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lang w:eastAsia="en-GB"/>
        </w:rPr>
      </w:pPr>
      <w:r w:rsidRPr="001C0111">
        <w:rPr>
          <w:noProof/>
          <w:szCs w:val="24"/>
          <w:lang w:eastAsia="en-GB"/>
        </w:rPr>
        <w:t>Morever, monitoring requirements set in Article 15 of the Directive have proven effective to drive compliance. However, technological advances allow today for more efficient and accurate monitoring of both existing and emerging pollutants. Information gathered from MS in the context of the impact assessment shows that there are large divergences among MS in terms of monitoring. Most MS are already collecting more frequent and broader information on more pollutants than what is required by the Directive. Yet, the knowledge on the quality and quantity of waste waters is insufficient in many in-stances. Several cases of over dimensioning of facilities but also storage capacities, leading to excessive costs and inefficient water collection and treatment, could have been avoided with a better understanding of the actual load to be treated.</w:t>
      </w:r>
    </w:p>
    <w:p w14:paraId="35B2C137"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lang w:eastAsia="en-GB"/>
        </w:rPr>
      </w:pPr>
      <w:r w:rsidRPr="001C0111">
        <w:rPr>
          <w:noProof/>
          <w:szCs w:val="24"/>
          <w:lang w:eastAsia="en-GB"/>
        </w:rPr>
        <w:t xml:space="preserve">Reporting requirements set by the Directive could be improved and modernised to ensure a better enforcement of the Directive. </w:t>
      </w:r>
    </w:p>
    <w:p w14:paraId="25AB1BF2"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u w:val="single"/>
          <w:lang w:eastAsia="en-GB"/>
        </w:rPr>
      </w:pPr>
    </w:p>
    <w:p w14:paraId="305BD8E6"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u w:val="single"/>
          <w:lang w:eastAsia="en-GB"/>
        </w:rPr>
      </w:pPr>
      <w:r w:rsidRPr="001C0111">
        <w:rPr>
          <w:noProof/>
          <w:szCs w:val="24"/>
          <w:u w:val="single"/>
          <w:lang w:eastAsia="en-GB"/>
        </w:rPr>
        <w:t>Air quality legislation:</w:t>
      </w:r>
    </w:p>
    <w:p w14:paraId="4E9CBC0E"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val="en-IE" w:eastAsia="en-GB"/>
        </w:rPr>
        <w:t xml:space="preserve">Lessons learned from the </w:t>
      </w:r>
      <w:r w:rsidRPr="001C0111">
        <w:rPr>
          <w:noProof/>
          <w:lang w:eastAsia="en-GB"/>
        </w:rPr>
        <w:t xml:space="preserve">fitness check of air quality legislation published in November 2019 – SWD(2019)427 </w:t>
      </w:r>
      <w:r w:rsidRPr="001C0111">
        <w:rPr>
          <w:i/>
          <w:iCs/>
          <w:noProof/>
          <w:lang w:eastAsia="en-GB"/>
        </w:rPr>
        <w:t>final</w:t>
      </w:r>
      <w:r w:rsidRPr="001C0111">
        <w:rPr>
          <w:noProof/>
          <w:lang w:eastAsia="en-GB"/>
        </w:rPr>
        <w:t xml:space="preserve">. </w:t>
      </w:r>
    </w:p>
    <w:p w14:paraId="6DE75061"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rFonts w:eastAsia="Times New Roman"/>
          <w:noProof/>
          <w:szCs w:val="20"/>
          <w:lang w:eastAsia="en-GB"/>
        </w:rPr>
      </w:pPr>
      <w:r w:rsidRPr="001C0111">
        <w:rPr>
          <w:noProof/>
          <w:lang w:eastAsia="en-GB"/>
        </w:rPr>
        <w:t xml:space="preserve">This fitness check concluded that the Ambient Air Quality Directives have been partially effective in improving air quality and achieving air quality standards, but that not all their objectives have been met to date: the Directives </w:t>
      </w:r>
      <w:r w:rsidRPr="001C0111">
        <w:rPr>
          <w:rFonts w:eastAsia="Times New Roman"/>
          <w:noProof/>
          <w:szCs w:val="20"/>
          <w:lang w:eastAsia="en-GB"/>
        </w:rPr>
        <w:t xml:space="preserve">had guided the establishment of a representative high-quality monitoring of air quality, set clear air quality standards, and facilitated the exchange of reliable, objective, comparable information on air quality, including to a wider public. However, they had been less successful in ensuring that sufficient action is taken to meet air quality standards and keep exceedances as short as possible, although on the other hand there has been a downward trend in air pollution and a reduction in the number and magnitude of exceedances. </w:t>
      </w:r>
    </w:p>
    <w:p w14:paraId="5E039DA3"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r w:rsidRPr="001C0111">
        <w:rPr>
          <w:noProof/>
          <w:lang w:val="en-IE" w:eastAsia="en-GB"/>
        </w:rPr>
        <w:t>Lessons from the</w:t>
      </w:r>
      <w:r w:rsidRPr="001C0111">
        <w:rPr>
          <w:noProof/>
          <w:color w:val="0000FF"/>
          <w:lang w:eastAsia="en-GB"/>
        </w:rPr>
        <w:t xml:space="preserve"> </w:t>
      </w:r>
      <w:r w:rsidRPr="001C0111">
        <w:rPr>
          <w:noProof/>
          <w:lang w:eastAsia="en-GB"/>
        </w:rPr>
        <w:t>f</w:t>
      </w:r>
      <w:r w:rsidRPr="001C0111">
        <w:rPr>
          <w:noProof/>
          <w:lang w:val="en-IE" w:eastAsia="en-GB"/>
        </w:rPr>
        <w:t xml:space="preserve">itness check on monitoring and eeporting in environment policy (SWD(2017) 230 </w:t>
      </w:r>
      <w:r w:rsidRPr="001C0111">
        <w:rPr>
          <w:i/>
          <w:iCs/>
          <w:noProof/>
          <w:lang w:val="en-IE" w:eastAsia="en-GB"/>
        </w:rPr>
        <w:t>final</w:t>
      </w:r>
      <w:r w:rsidRPr="001C0111">
        <w:rPr>
          <w:noProof/>
          <w:lang w:val="en-IE" w:eastAsia="en-GB"/>
        </w:rPr>
        <w:t>) in relation to air quality legislation have also been taken into account. In particular, this fitness check concluded that for air quality, the reporting utilises a state-of-the-art electronic reporting approach by which air quality information is made available in a standardised, machine readable and INSPIRE compliant form. The approach is explicitly geared towards streamlining the amount of information made available by Member States, to maximise the usefulness of such information and to reduce the administrative burden – but also leave scope for further streamlining at EU and national level (especially of new reporting requirements).</w:t>
      </w:r>
    </w:p>
    <w:p w14:paraId="4BC34E8E"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val="en-IE" w:eastAsia="en-GB"/>
        </w:rPr>
      </w:pPr>
      <w:r w:rsidRPr="001C0111">
        <w:rPr>
          <w:noProof/>
          <w:lang w:val="en-IE" w:eastAsia="en-GB"/>
        </w:rPr>
        <w:t xml:space="preserve"> </w:t>
      </w:r>
    </w:p>
    <w:p w14:paraId="1EA97D59" w14:textId="77777777" w:rsidR="001C0111" w:rsidRPr="001C0111" w:rsidRDefault="001C0111" w:rsidP="002A2DB0">
      <w:pPr>
        <w:keepNext/>
        <w:outlineLvl w:val="2"/>
        <w:rPr>
          <w:rFonts w:eastAsiaTheme="majorEastAsia"/>
          <w:bCs/>
          <w:i/>
          <w:noProof/>
          <w:lang w:val="en-IE" w:eastAsia="en-GB"/>
        </w:rPr>
      </w:pPr>
      <w:r w:rsidRPr="001C0111">
        <w:rPr>
          <w:rFonts w:eastAsiaTheme="majorEastAsia"/>
          <w:bCs/>
          <w:i/>
          <w:noProof/>
          <w:lang w:val="en-IE" w:eastAsia="en-GB"/>
        </w:rPr>
        <w:t>Compatibility with the Multiannual Financial Framework and possible synergies with other appropriate instruments</w:t>
      </w:r>
      <w:bookmarkEnd w:id="29"/>
      <w:bookmarkEnd w:id="30"/>
    </w:p>
    <w:p w14:paraId="673A780D"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val="en-IE" w:eastAsia="en-GB"/>
        </w:rPr>
        <w:t xml:space="preserve">This action is consistent with other EU policies and ongoing initiatives stemming from the European Green Deal. </w:t>
      </w:r>
    </w:p>
    <w:p w14:paraId="491C77D1"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val="en-IE" w:eastAsia="en-GB"/>
        </w:rPr>
      </w:pPr>
      <w:r w:rsidRPr="001C0111">
        <w:rPr>
          <w:noProof/>
          <w:lang w:val="en-IE" w:eastAsia="en-GB"/>
        </w:rPr>
        <w:t>The initiative falls under Heading 3 (Natural Resources and the Environment), Title 9 (Environment and Climate Action) of the Multiannual Financial Framework. As detailed below, the implementation of this piece of legislation will require additional human resources and also some supporting expenditure in the EEA an ECHA. The corresponding increase of the subsidy to the agencies will be offset from the EU programme for the environment and climate action (LIFE) 2021–2027.</w:t>
      </w:r>
    </w:p>
    <w:p w14:paraId="642D78BF" w14:textId="77777777" w:rsidR="001C0111" w:rsidRPr="001C0111" w:rsidRDefault="001C0111" w:rsidP="002A2DB0">
      <w:pPr>
        <w:keepNext/>
        <w:outlineLvl w:val="2"/>
        <w:rPr>
          <w:rFonts w:eastAsiaTheme="majorEastAsia"/>
          <w:bCs/>
          <w:i/>
          <w:noProof/>
          <w:lang w:val="en-IE" w:eastAsia="en-GB"/>
        </w:rPr>
      </w:pPr>
      <w:bookmarkStart w:id="31" w:name="_Toc514938036"/>
      <w:bookmarkStart w:id="32" w:name="_Toc520485039"/>
      <w:r w:rsidRPr="001C0111">
        <w:rPr>
          <w:rFonts w:eastAsiaTheme="majorEastAsia"/>
          <w:bCs/>
          <w:i/>
          <w:noProof/>
          <w:lang w:val="en-IE" w:eastAsia="en-GB"/>
        </w:rPr>
        <w:t>Assessment of the different available financing options, including scope for redeployment</w:t>
      </w:r>
      <w:bookmarkEnd w:id="31"/>
      <w:bookmarkEnd w:id="32"/>
    </w:p>
    <w:p w14:paraId="3F7E1FD6"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u w:val="single"/>
          <w:lang w:val="en-IE" w:eastAsia="en-GB"/>
        </w:rPr>
      </w:pPr>
      <w:r w:rsidRPr="001C0111">
        <w:rPr>
          <w:noProof/>
          <w:u w:val="single"/>
          <w:lang w:val="en-IE" w:eastAsia="en-GB"/>
        </w:rPr>
        <w:t xml:space="preserve">Integrated Water Management: </w:t>
      </w:r>
    </w:p>
    <w:p w14:paraId="64983686"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b/>
          <w:noProof/>
          <w:lang w:eastAsia="en-GB"/>
        </w:rPr>
        <w:t>Scientific support by ECHA,</w:t>
      </w:r>
      <w:r w:rsidRPr="001C0111">
        <w:rPr>
          <w:noProof/>
          <w:lang w:eastAsia="en-GB"/>
        </w:rPr>
        <w:t xml:space="preserve"> </w:t>
      </w:r>
      <w:r w:rsidRPr="001C0111">
        <w:rPr>
          <w:b/>
          <w:noProof/>
          <w:lang w:eastAsia="en-GB"/>
        </w:rPr>
        <w:t>formerly carried out by JRC, SCHEER Committee, contractors</w:t>
      </w:r>
      <w:r w:rsidRPr="001C0111">
        <w:rPr>
          <w:noProof/>
          <w:lang w:eastAsia="en-GB"/>
        </w:rPr>
        <w:t xml:space="preserve"> </w:t>
      </w:r>
    </w:p>
    <w:p w14:paraId="3E708E18" w14:textId="562F0516"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The scientific support is currently provided in a rather non-systematic manner, but based on a series of administrative arrangements with the JRC which are subject to frequent reviews and prolongations, renewable contracts with an independent expert on groundwater, contractors involved in the impact assessment, own resources (both JRC and DG ENV); there is a lot of reliance on contributions from Member States, in particular in the field of the Groundwater directive. The SCHEER which is managed by DG SANTE has provided numerous scientific opinions (e.g. under the EQSD, SCHEER adopted </w:t>
      </w:r>
      <w:r w:rsidR="00CC65EF">
        <w:rPr>
          <w:noProof/>
          <w:lang w:eastAsia="en-GB"/>
        </w:rPr>
        <w:t xml:space="preserve">more than </w:t>
      </w:r>
      <w:r w:rsidRPr="001C0111">
        <w:rPr>
          <w:noProof/>
          <w:lang w:eastAsia="en-GB"/>
        </w:rPr>
        <w:t>50 opinions in the period 2011-2022</w:t>
      </w:r>
      <w:r w:rsidR="00CC65EF">
        <w:rPr>
          <w:noProof/>
          <w:lang w:eastAsia="en-GB"/>
        </w:rPr>
        <w:t>)</w:t>
      </w:r>
      <w:r w:rsidRPr="001C0111">
        <w:rPr>
          <w:noProof/>
          <w:lang w:eastAsia="en-GB"/>
        </w:rPr>
        <w:t>. This does not allow for sufficiently coordinated, systematic, coherent and timely proposals. As regards ECHA, it currently does not have a legal mandate to perform any task related to the WFD.</w:t>
      </w:r>
    </w:p>
    <w:p w14:paraId="7F07F945"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The proposal aims to rationalise and improve the scientific process by replacing these non-systematic forms of support by a one ‘stop shop’ for all scientific support, i.e. ECHA. Under the Sustainable Chemicals Strategy and the ‘one substance one assessment’, ECHA will also be made responsible for all scientific aspects of all other chemicals legislation. This will guarantee scientific robustness and enable synergies between sources of information across legislation. </w:t>
      </w:r>
    </w:p>
    <w:p w14:paraId="6FF2C200"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The contribution to ECHA will be compensated in full by a reduction of the LIFE budget. These resources are currently spent on the more patchy framework for the provision of scientific support (contractors, JRC Administrative Arrangements, SCHEER opinion). </w:t>
      </w:r>
    </w:p>
    <w:p w14:paraId="4F09769B"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b/>
          <w:noProof/>
          <w:lang w:eastAsia="en-GB"/>
        </w:rPr>
      </w:pPr>
      <w:r w:rsidRPr="001C0111">
        <w:rPr>
          <w:b/>
          <w:noProof/>
          <w:lang w:eastAsia="en-GB"/>
        </w:rPr>
        <w:t>Support on centralising and processing monitoring and status data – additional resources for EEA to ensure more regular information on water status – better implementation – identification of new needs</w:t>
      </w:r>
    </w:p>
    <w:p w14:paraId="3917F4D9"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The EEA (3,5 FTE) currently hosts and manages an extensive database of water related information reported by the Member States electronically every six years; that database hosts the formal River Basin Management Plans which must be reported in accordance with Articles 13 and 15 of Directive 2000/60/EC, as well as additional information reported electronically on a voluntary basis, in accordance with   guidance developed by the EC in cooperation with the Member States. </w:t>
      </w:r>
    </w:p>
    <w:p w14:paraId="6718E8D2"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The database however does not include or link to actual monitoring data and status is only expressed in terms of ‘pass /fail’ good status, which does not provide much insight in the magnitude of exceedances and thus hampers focusing policy responses on pollution hotspots. In addition, as the information is only reported every six years, it is quickly outdated and not really useful to prioritise measures or address implementation issues (e.g. allegations in written questions, petitions and complaints cannot effectively be verified on the basis of outdated information). </w:t>
      </w:r>
    </w:p>
    <w:p w14:paraId="41A89EC6"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 xml:space="preserve">The proposal therefore seeks to introduce an obligation for annual reporting, to the EEA, of monitoring and status data. This will yield valuable information to investigate the nexus between better water quality and improved human health by using data from the water quality monitoring and evaluation. Expected initial additional efforts needed to streamline reporting will, in the long-term, be compensated by reduced administrative burdens, resulting from the increased ‘digitalisation’ and mandatory ‘system to system reporting’ (automated data delivery mechanism). </w:t>
      </w:r>
    </w:p>
    <w:p w14:paraId="7CDFEDA3"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p>
    <w:p w14:paraId="35AC9302"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u w:val="single"/>
          <w:lang w:val="en-IE" w:eastAsia="en-GB"/>
        </w:rPr>
        <w:t>Urban wastewater treatment directive:</w:t>
      </w:r>
      <w:r w:rsidRPr="001C0111">
        <w:rPr>
          <w:noProof/>
          <w:lang w:eastAsia="en-GB"/>
        </w:rPr>
        <w:tab/>
      </w:r>
    </w:p>
    <w:p w14:paraId="389072E4"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lang w:eastAsia="en-GB"/>
        </w:rPr>
      </w:pPr>
      <w:r w:rsidRPr="001C0111">
        <w:rPr>
          <w:noProof/>
          <w:szCs w:val="24"/>
          <w:lang w:eastAsia="en-GB"/>
        </w:rPr>
        <w:t>The implementation of the Directive will require extensive data processing and analysis. Relying on the expertise of EEA has many advantages: systems aligned with other reporting to EEA (WFD, EPRTR); efficiency of processes; reduced risk of error introduction through use of different systems; development of content expertise and assessments based on detailed understanding of the data, since we know how data are derived.</w:t>
      </w:r>
    </w:p>
    <w:p w14:paraId="18947364"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lang w:eastAsia="en-GB"/>
        </w:rPr>
      </w:pPr>
      <w:r w:rsidRPr="001C0111">
        <w:rPr>
          <w:noProof/>
          <w:szCs w:val="24"/>
          <w:lang w:eastAsia="en-GB"/>
        </w:rPr>
        <w:t>In the absence of staff and operational expenditure, such developments will need to be funded by consultancy in DG ENV.</w:t>
      </w:r>
    </w:p>
    <w:p w14:paraId="121B7FA6"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u w:val="single"/>
          <w:lang w:eastAsia="en-GB"/>
        </w:rPr>
      </w:pPr>
    </w:p>
    <w:p w14:paraId="43FCBF3F"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u w:val="single"/>
          <w:lang w:eastAsia="en-GB"/>
        </w:rPr>
      </w:pPr>
      <w:r w:rsidRPr="001C0111">
        <w:rPr>
          <w:noProof/>
          <w:szCs w:val="24"/>
          <w:u w:val="single"/>
          <w:lang w:eastAsia="en-GB"/>
        </w:rPr>
        <w:t>Air quality legislation:</w:t>
      </w:r>
    </w:p>
    <w:p w14:paraId="5241B9B7"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lang w:eastAsia="en-GB"/>
        </w:rPr>
      </w:pPr>
      <w:r w:rsidRPr="001C0111">
        <w:rPr>
          <w:b/>
          <w:bCs/>
          <w:noProof/>
          <w:szCs w:val="24"/>
        </w:rPr>
        <w:t>Tasks related to the reporting and exchange of information of air quality data</w:t>
      </w:r>
      <w:r w:rsidRPr="001C0111">
        <w:rPr>
          <w:noProof/>
          <w:szCs w:val="24"/>
        </w:rPr>
        <w:t>. The expansion of the</w:t>
      </w:r>
      <w:r w:rsidRPr="001C0111">
        <w:rPr>
          <w:noProof/>
          <w:szCs w:val="24"/>
          <w:lang w:eastAsia="en-GB"/>
        </w:rPr>
        <w:t xml:space="preserve"> infrastructure for and support the continuous reporting to include additional information on air quality can build on the existing ambient air quality portal and data repository managed by the EEA to secure efficiency gains through coherence with other environmental reporting streams. Setting up and maintaining an entirely new reporting infrastructure for the additional requirements established by the revised Directive (e.g. at the JRC or hosted by external consultants) would require a costly new development and entail the risk of inconsistencies with the existing reporting infrastructure. The most effective approach would thus be to strengthen the EEA’s resource for an expansion and subsequent maintenance of the existing ambient air quality portal and data repository – either through additional staff or internal redeployment. This would provide the best relationship between the resources employed and the achievement of objectives and the related tasks.</w:t>
      </w:r>
    </w:p>
    <w:p w14:paraId="3E7E758D"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szCs w:val="24"/>
          <w:lang w:eastAsia="en-GB"/>
        </w:rPr>
      </w:pPr>
      <w:r w:rsidRPr="001C0111">
        <w:rPr>
          <w:b/>
          <w:bCs/>
          <w:noProof/>
          <w:szCs w:val="24"/>
        </w:rPr>
        <w:t>Tasks related to the assessment of ambient air quality</w:t>
      </w:r>
      <w:r w:rsidRPr="001C0111">
        <w:rPr>
          <w:noProof/>
          <w:szCs w:val="24"/>
        </w:rPr>
        <w:t xml:space="preserve">. Air quality assessments are currently provided by the EEA on an annual basis, making use of the air quality data reported via the </w:t>
      </w:r>
      <w:r w:rsidRPr="001C0111">
        <w:rPr>
          <w:noProof/>
          <w:szCs w:val="24"/>
          <w:lang w:eastAsia="en-GB"/>
        </w:rPr>
        <w:t>air quality portal and data repository, as well as of additional scientific knowledge of the impacts of air pollution on health and environment. With the strengthened provisions on air quality monitoring and modelling, additional information will become available including on pollutants of emerging concerns and on the links between air pollution, climate change, human and ecosystem health. The assessment of such data and information should be based on a regular and scientific robust basis, and in sync with the existing air quality assessments already provided by the EEA. It is thus preferable, also to secure a coherence of analysis, to integrate these tasks into the EEA rather than to outsource this to different external consultants. This will require additional specific competences and likely require additional staff. This would provide the best relationship between the resources employed and the achievement of objectives and the related tasks.</w:t>
      </w:r>
    </w:p>
    <w:p w14:paraId="1470746C" w14:textId="77777777" w:rsidR="001C0111" w:rsidRPr="001C0111" w:rsidRDefault="001C0111" w:rsidP="001C0111">
      <w:pPr>
        <w:pBdr>
          <w:top w:val="single" w:sz="4" w:space="1" w:color="auto"/>
          <w:left w:val="single" w:sz="4" w:space="4" w:color="auto"/>
          <w:bottom w:val="single" w:sz="4" w:space="1" w:color="auto"/>
          <w:right w:val="single" w:sz="4" w:space="4" w:color="auto"/>
        </w:pBdr>
        <w:spacing w:before="0" w:after="0"/>
        <w:ind w:left="850"/>
        <w:rPr>
          <w:noProof/>
          <w:szCs w:val="24"/>
        </w:rPr>
      </w:pPr>
      <w:r w:rsidRPr="001C0111">
        <w:rPr>
          <w:b/>
          <w:bCs/>
          <w:noProof/>
          <w:szCs w:val="24"/>
        </w:rPr>
        <w:t xml:space="preserve">Tasks related to the scientific and technical support to air quality monitoring and modelling. </w:t>
      </w:r>
      <w:r w:rsidRPr="001C0111">
        <w:rPr>
          <w:noProof/>
          <w:szCs w:val="24"/>
        </w:rPr>
        <w:t>Over the past decade, JRC has supported all tasks to the scientific and technical support to air quality monitoring and modelling – which require economic independence from providers of the equipment for quality monitoring and modelling. Specific task required i</w:t>
      </w:r>
      <w:r w:rsidRPr="001C0111">
        <w:rPr>
          <w:noProof/>
          <w:lang w:eastAsia="en-GB"/>
        </w:rPr>
        <w:t>nclude:</w:t>
      </w:r>
    </w:p>
    <w:p w14:paraId="392F10AD" w14:textId="77777777" w:rsidR="001C0111" w:rsidRPr="001C0111" w:rsidRDefault="001C0111" w:rsidP="002A2DB0">
      <w:pPr>
        <w:pBdr>
          <w:top w:val="single" w:sz="4" w:space="1" w:color="auto"/>
          <w:left w:val="single" w:sz="4" w:space="4" w:color="auto"/>
          <w:bottom w:val="single" w:sz="4" w:space="1" w:color="auto"/>
          <w:right w:val="single" w:sz="4" w:space="4" w:color="auto"/>
        </w:pBdr>
        <w:spacing w:before="0" w:after="0"/>
        <w:rPr>
          <w:i/>
          <w:iCs/>
          <w:noProof/>
          <w:lang w:eastAsia="en-GB"/>
        </w:rPr>
      </w:pPr>
      <w:r w:rsidRPr="001C0111">
        <w:rPr>
          <w:bCs/>
          <w:noProof/>
          <w:lang w:eastAsia="en-GB"/>
        </w:rPr>
        <w:t>Support and guide the development of enhanced approaches related to air pollution monitoring and use of air quality modelling;</w:t>
      </w:r>
    </w:p>
    <w:p w14:paraId="5D9F9496" w14:textId="77777777" w:rsidR="001C0111" w:rsidRPr="001C0111" w:rsidRDefault="001C0111" w:rsidP="002A2DB0">
      <w:pPr>
        <w:pBdr>
          <w:top w:val="single" w:sz="4" w:space="1" w:color="auto"/>
          <w:left w:val="single" w:sz="4" w:space="4" w:color="auto"/>
          <w:bottom w:val="single" w:sz="4" w:space="1" w:color="auto"/>
          <w:right w:val="single" w:sz="4" w:space="4" w:color="auto"/>
        </w:pBdr>
        <w:spacing w:before="0" w:after="0"/>
        <w:rPr>
          <w:bCs/>
          <w:noProof/>
          <w:lang w:eastAsia="en-GB"/>
        </w:rPr>
      </w:pPr>
      <w:r w:rsidRPr="001C0111">
        <w:rPr>
          <w:bCs/>
          <w:noProof/>
          <w:lang w:eastAsia="en-GB"/>
        </w:rPr>
        <w:t xml:space="preserve">Support methodological improvements related to the spatial representativeness of air quality monitoring, harmonised air quality assessments, and source allocation;  </w:t>
      </w:r>
    </w:p>
    <w:p w14:paraId="4E14333B" w14:textId="77777777" w:rsidR="001C0111" w:rsidRPr="001C0111" w:rsidRDefault="001C0111" w:rsidP="002A2DB0">
      <w:pPr>
        <w:pBdr>
          <w:top w:val="single" w:sz="4" w:space="1" w:color="auto"/>
          <w:left w:val="single" w:sz="4" w:space="4" w:color="auto"/>
          <w:bottom w:val="single" w:sz="4" w:space="1" w:color="auto"/>
          <w:right w:val="single" w:sz="4" w:space="4" w:color="auto"/>
        </w:pBdr>
        <w:spacing w:before="0" w:after="0"/>
        <w:rPr>
          <w:bCs/>
          <w:noProof/>
          <w:lang w:eastAsia="en-GB"/>
        </w:rPr>
      </w:pPr>
      <w:r w:rsidRPr="001C0111">
        <w:rPr>
          <w:bCs/>
          <w:noProof/>
          <w:lang w:eastAsia="en-GB"/>
        </w:rPr>
        <w:t>Support on the elaboration of practical guidance for the implementation of the Ambient Air Quality Directive on air quality monitoring and modelling;</w:t>
      </w:r>
    </w:p>
    <w:p w14:paraId="77FE381F" w14:textId="77777777" w:rsidR="001C0111" w:rsidRPr="001C0111" w:rsidRDefault="001C0111" w:rsidP="002A2DB0">
      <w:pPr>
        <w:pBdr>
          <w:top w:val="single" w:sz="4" w:space="1" w:color="auto"/>
          <w:left w:val="single" w:sz="4" w:space="4" w:color="auto"/>
          <w:bottom w:val="single" w:sz="4" w:space="1" w:color="auto"/>
          <w:right w:val="single" w:sz="4" w:space="4" w:color="auto"/>
        </w:pBdr>
        <w:spacing w:before="0" w:after="0"/>
        <w:rPr>
          <w:bCs/>
          <w:noProof/>
          <w:lang w:eastAsia="en-GB"/>
        </w:rPr>
      </w:pPr>
      <w:r w:rsidRPr="001C0111">
        <w:rPr>
          <w:bCs/>
          <w:noProof/>
          <w:lang w:eastAsia="en-GB"/>
        </w:rPr>
        <w:t>Organise and chair key support networks to further implementation of air policy at the national, regional, and urban level (e.g. AQUILA and FAIRMODE);</w:t>
      </w:r>
    </w:p>
    <w:p w14:paraId="6EBBE75C" w14:textId="77777777" w:rsidR="001C0111" w:rsidRPr="001C0111" w:rsidRDefault="001C0111" w:rsidP="002A2DB0">
      <w:pPr>
        <w:pBdr>
          <w:top w:val="single" w:sz="4" w:space="1" w:color="auto"/>
          <w:left w:val="single" w:sz="4" w:space="4" w:color="auto"/>
          <w:bottom w:val="single" w:sz="4" w:space="1" w:color="auto"/>
          <w:right w:val="single" w:sz="4" w:space="4" w:color="auto"/>
        </w:pBdr>
        <w:spacing w:before="0" w:after="0"/>
        <w:rPr>
          <w:bCs/>
          <w:noProof/>
          <w:lang w:eastAsia="en-GB"/>
        </w:rPr>
      </w:pPr>
      <w:r w:rsidRPr="001C0111">
        <w:rPr>
          <w:bCs/>
          <w:noProof/>
          <w:lang w:eastAsia="en-GB"/>
        </w:rPr>
        <w:t>Support development of standards related to air quality monitoring and modelling in collaboration with the European Committee for Standardization (CEN).</w:t>
      </w:r>
    </w:p>
    <w:p w14:paraId="39A7960E" w14:textId="77777777" w:rsidR="001C0111" w:rsidRPr="001C0111" w:rsidRDefault="001C0111" w:rsidP="001C0111">
      <w:pPr>
        <w:pBdr>
          <w:top w:val="single" w:sz="4" w:space="1" w:color="auto"/>
          <w:left w:val="single" w:sz="4" w:space="4" w:color="auto"/>
          <w:bottom w:val="single" w:sz="4" w:space="1" w:color="auto"/>
          <w:right w:val="single" w:sz="4" w:space="4" w:color="auto"/>
        </w:pBdr>
        <w:spacing w:before="0" w:after="0"/>
        <w:ind w:left="850"/>
        <w:rPr>
          <w:noProof/>
          <w:szCs w:val="24"/>
          <w:lang w:eastAsia="en-GB"/>
        </w:rPr>
      </w:pPr>
      <w:r w:rsidRPr="001C0111">
        <w:rPr>
          <w:noProof/>
          <w:lang w:eastAsia="en-GB"/>
        </w:rPr>
        <w:t xml:space="preserve">JRC support would be best secured by assuring this is in the JRC work programme, and additional financial support to the tune of 100.000 EUR per year is provided. </w:t>
      </w:r>
      <w:r w:rsidRPr="001C0111">
        <w:rPr>
          <w:noProof/>
          <w:szCs w:val="24"/>
          <w:lang w:eastAsia="en-GB"/>
        </w:rPr>
        <w:t>Continued JRC support would provide the best relationship between the resources employed and the achievement of objectives and the related tasks.</w:t>
      </w:r>
    </w:p>
    <w:p w14:paraId="6D3464A2" w14:textId="77777777" w:rsidR="001C0111" w:rsidRPr="001C0111" w:rsidRDefault="001C0111" w:rsidP="001C0111">
      <w:pPr>
        <w:pBdr>
          <w:top w:val="single" w:sz="4" w:space="1" w:color="auto"/>
          <w:left w:val="single" w:sz="4" w:space="4" w:color="auto"/>
          <w:bottom w:val="single" w:sz="4" w:space="1" w:color="auto"/>
          <w:right w:val="single" w:sz="4" w:space="4" w:color="auto"/>
        </w:pBdr>
        <w:spacing w:before="0" w:after="0"/>
        <w:ind w:left="850"/>
        <w:rPr>
          <w:noProof/>
          <w:szCs w:val="24"/>
          <w:lang w:eastAsia="en-GB"/>
        </w:rPr>
      </w:pPr>
    </w:p>
    <w:p w14:paraId="0E059AFB" w14:textId="77777777" w:rsidR="001C0111" w:rsidRPr="001C0111" w:rsidRDefault="001C0111" w:rsidP="001C0111">
      <w:pPr>
        <w:ind w:left="850"/>
        <w:rPr>
          <w:noProof/>
          <w:lang w:eastAsia="en-GB"/>
        </w:rPr>
      </w:pPr>
    </w:p>
    <w:p w14:paraId="08175A0A" w14:textId="77777777" w:rsidR="001C0111" w:rsidRPr="001C0111" w:rsidRDefault="001C0111" w:rsidP="002A2DB0">
      <w:pPr>
        <w:keepNext/>
        <w:outlineLvl w:val="1"/>
        <w:rPr>
          <w:rFonts w:eastAsiaTheme="majorEastAsia"/>
          <w:b/>
          <w:noProof/>
          <w:szCs w:val="24"/>
          <w:lang w:val="en-IE" w:eastAsia="en-GB"/>
        </w:rPr>
      </w:pPr>
      <w:r w:rsidRPr="001C0111">
        <w:rPr>
          <w:rFonts w:eastAsiaTheme="majorEastAsia"/>
          <w:b/>
          <w:bCs/>
          <w:noProof/>
          <w:szCs w:val="26"/>
          <w:lang w:val="en-IE" w:eastAsia="en-GB"/>
        </w:rPr>
        <w:br w:type="page"/>
      </w:r>
      <w:bookmarkStart w:id="33" w:name="_Toc514938039"/>
      <w:bookmarkStart w:id="34" w:name="_Toc520485040"/>
      <w:r w:rsidRPr="001C0111">
        <w:rPr>
          <w:rFonts w:eastAsiaTheme="majorEastAsia"/>
          <w:b/>
          <w:bCs/>
          <w:noProof/>
          <w:szCs w:val="26"/>
          <w:lang w:val="en-IE" w:eastAsia="en-GB"/>
        </w:rPr>
        <w:t>Duration and financial impact of the proposal/initiative</w:t>
      </w:r>
      <w:bookmarkEnd w:id="33"/>
      <w:bookmarkEnd w:id="34"/>
    </w:p>
    <w:p w14:paraId="02E5F6B9" w14:textId="77777777" w:rsidR="001C0111" w:rsidRPr="001C0111" w:rsidRDefault="001C0111" w:rsidP="001C0111">
      <w:pPr>
        <w:ind w:left="850"/>
        <w:rPr>
          <w:noProof/>
          <w:lang w:val="en-IE" w:eastAsia="en-GB"/>
        </w:rPr>
      </w:pPr>
      <w:r w:rsidRPr="001C0111">
        <w:rPr>
          <w:rFonts w:ascii="Wingdings" w:eastAsia="Wingdings" w:hAnsi="Wingdings" w:cs="Wingdings"/>
          <w:noProof/>
          <w:lang w:val="en-IE" w:eastAsia="en-GB"/>
        </w:rPr>
        <w:t></w:t>
      </w:r>
      <w:r w:rsidRPr="001C0111">
        <w:rPr>
          <w:b/>
          <w:i/>
          <w:noProof/>
          <w:lang w:val="en-IE" w:eastAsia="en-GB"/>
        </w:rPr>
        <w:t xml:space="preserve"> </w:t>
      </w:r>
      <w:r w:rsidRPr="001C0111">
        <w:rPr>
          <w:b/>
          <w:noProof/>
          <w:lang w:val="en-IE" w:eastAsia="en-GB"/>
        </w:rPr>
        <w:t xml:space="preserve">limited duration </w:t>
      </w:r>
    </w:p>
    <w:p w14:paraId="4B36B674"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ab/>
        <w:t xml:space="preserve">in effect from [DD/MM]YYYY to [DD/MM]YYYY </w:t>
      </w:r>
    </w:p>
    <w:p w14:paraId="0D02502B"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ab/>
        <w:t xml:space="preserve">Financial impact from YYYY to YYYY for commitment appropriations and from YYYY to YYYY for payment appropriations. </w:t>
      </w:r>
    </w:p>
    <w:p w14:paraId="2CCA4BCD" w14:textId="77777777" w:rsidR="001C0111" w:rsidRPr="001C0111" w:rsidRDefault="001C0111" w:rsidP="001C0111">
      <w:pPr>
        <w:ind w:left="850"/>
        <w:rPr>
          <w:noProof/>
          <w:lang w:val="en-IE" w:eastAsia="en-GB"/>
        </w:rPr>
      </w:pPr>
      <w:r w:rsidRPr="001C0111">
        <w:rPr>
          <w:rFonts w:ascii="Wingdings" w:eastAsia="Wingdings" w:hAnsi="Wingdings" w:cs="Wingdings"/>
          <w:b/>
          <w:noProof/>
          <w:lang w:eastAsia="en-GB"/>
        </w:rPr>
        <w:t></w:t>
      </w:r>
      <w:r w:rsidRPr="001C0111">
        <w:rPr>
          <w:b/>
          <w:i/>
          <w:noProof/>
          <w:lang w:val="en-IE" w:eastAsia="en-GB"/>
        </w:rPr>
        <w:t xml:space="preserve"> </w:t>
      </w:r>
      <w:r w:rsidRPr="001C0111">
        <w:rPr>
          <w:b/>
          <w:noProof/>
          <w:lang w:val="en-IE" w:eastAsia="en-GB"/>
        </w:rPr>
        <w:t>unlimited duration</w:t>
      </w:r>
    </w:p>
    <w:p w14:paraId="67CACA91" w14:textId="77777777" w:rsidR="001C0111" w:rsidRPr="001C0111" w:rsidRDefault="001C0111" w:rsidP="002A2DB0">
      <w:pPr>
        <w:rPr>
          <w:noProof/>
          <w:lang w:val="en-IE" w:eastAsia="en-GB"/>
        </w:rPr>
      </w:pPr>
      <w:r w:rsidRPr="001C0111">
        <w:rPr>
          <w:noProof/>
          <w:lang w:val="en-IE" w:eastAsia="en-GB"/>
        </w:rPr>
        <w:t>Implementation with a start-up period from 2024 (for Urban Waste Water Treatment), from 2024 to 2025 (Integrated water management) from 2024 to 2027 (for Air quality legislation),</w:t>
      </w:r>
    </w:p>
    <w:p w14:paraId="69CA075F" w14:textId="77777777" w:rsidR="001C0111" w:rsidRPr="001C0111" w:rsidRDefault="001C0111" w:rsidP="002A2DB0">
      <w:pPr>
        <w:rPr>
          <w:noProof/>
          <w:lang w:val="en-IE" w:eastAsia="en-GB"/>
        </w:rPr>
      </w:pPr>
      <w:r w:rsidRPr="001C0111">
        <w:rPr>
          <w:noProof/>
          <w:lang w:val="en-IE" w:eastAsia="en-GB"/>
        </w:rPr>
        <w:t>followed by full-scale operation.</w:t>
      </w:r>
    </w:p>
    <w:p w14:paraId="0689BA88" w14:textId="77777777" w:rsidR="001C0111" w:rsidRPr="001C0111" w:rsidRDefault="001C0111" w:rsidP="002A2DB0">
      <w:pPr>
        <w:keepNext/>
        <w:outlineLvl w:val="1"/>
        <w:rPr>
          <w:rFonts w:eastAsiaTheme="majorEastAsia"/>
          <w:b/>
          <w:noProof/>
          <w:szCs w:val="24"/>
          <w:lang w:val="en-IE" w:eastAsia="en-GB"/>
        </w:rPr>
      </w:pPr>
      <w:bookmarkStart w:id="35" w:name="_Toc514938040"/>
      <w:bookmarkStart w:id="36" w:name="_Toc520485041"/>
      <w:r w:rsidRPr="001C0111">
        <w:rPr>
          <w:rFonts w:eastAsiaTheme="majorEastAsia"/>
          <w:b/>
          <w:bCs/>
          <w:noProof/>
          <w:szCs w:val="26"/>
          <w:lang w:val="en-IE" w:eastAsia="en-GB"/>
        </w:rPr>
        <w:t>Management mode(s) planned</w:t>
      </w:r>
      <w:r w:rsidRPr="006C662D">
        <w:rPr>
          <w:rStyle w:val="FootnoteReference"/>
          <w:noProof/>
        </w:rPr>
        <w:footnoteReference w:id="68"/>
      </w:r>
      <w:bookmarkEnd w:id="35"/>
      <w:bookmarkEnd w:id="36"/>
      <w:r w:rsidRPr="001C0111">
        <w:rPr>
          <w:rFonts w:eastAsiaTheme="majorEastAsia"/>
          <w:b/>
          <w:bCs/>
          <w:noProof/>
          <w:szCs w:val="26"/>
          <w:vertAlign w:val="superscript"/>
          <w:lang w:val="en-IE" w:eastAsia="en-GB"/>
        </w:rPr>
        <w:t xml:space="preserve"> </w:t>
      </w:r>
    </w:p>
    <w:p w14:paraId="6CC59FE9" w14:textId="77777777" w:rsidR="001C0111" w:rsidRPr="001C0111" w:rsidRDefault="001C0111" w:rsidP="001C0111">
      <w:pPr>
        <w:ind w:left="850"/>
        <w:rPr>
          <w:noProof/>
          <w:lang w:val="en-IE" w:eastAsia="en-GB"/>
        </w:rPr>
      </w:pPr>
      <w:r w:rsidRPr="001C0111">
        <w:rPr>
          <w:rFonts w:ascii="Wingdings" w:eastAsia="Wingdings" w:hAnsi="Wingdings" w:cs="Wingdings"/>
          <w:noProof/>
          <w:lang w:eastAsia="en-GB"/>
        </w:rPr>
        <w:t></w:t>
      </w:r>
      <w:r w:rsidRPr="001C0111">
        <w:rPr>
          <w:i/>
          <w:noProof/>
          <w:lang w:val="en-IE" w:eastAsia="en-GB"/>
        </w:rPr>
        <w:t xml:space="preserve"> </w:t>
      </w:r>
      <w:r w:rsidRPr="001C0111">
        <w:rPr>
          <w:b/>
          <w:noProof/>
          <w:lang w:val="en-IE" w:eastAsia="en-GB"/>
        </w:rPr>
        <w:t>Direct management</w:t>
      </w:r>
      <w:r w:rsidRPr="001C0111">
        <w:rPr>
          <w:noProof/>
          <w:lang w:val="en-IE" w:eastAsia="en-GB"/>
        </w:rPr>
        <w:t xml:space="preserve"> by the Commission</w:t>
      </w:r>
    </w:p>
    <w:p w14:paraId="7494A9CC" w14:textId="77777777" w:rsidR="001C0111" w:rsidRPr="001C0111" w:rsidRDefault="001C0111" w:rsidP="002A2DB0">
      <w:pPr>
        <w:rPr>
          <w:rFonts w:cs="EUAlbertina"/>
          <w:noProof/>
          <w:lang w:val="en-IE" w:eastAsia="en-GB"/>
        </w:rPr>
      </w:pPr>
      <w:r w:rsidRPr="001C0111">
        <w:rPr>
          <w:rFonts w:ascii="Wingdings" w:eastAsia="Wingdings" w:hAnsi="Wingdings" w:cs="Wingdings"/>
          <w:noProof/>
          <w:lang w:eastAsia="en-GB"/>
        </w:rPr>
        <w:t></w:t>
      </w:r>
      <w:r w:rsidRPr="001C0111">
        <w:rPr>
          <w:noProof/>
          <w:lang w:val="en-IE" w:eastAsia="en-GB"/>
        </w:rPr>
        <w:t xml:space="preserve"> by its departments, including by its staff in the Union delegations; </w:t>
      </w:r>
    </w:p>
    <w:p w14:paraId="0642F691"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ab/>
        <w:t xml:space="preserve">by the executive agencies </w:t>
      </w:r>
    </w:p>
    <w:p w14:paraId="51F9CB1A" w14:textId="77777777" w:rsidR="001C0111" w:rsidRPr="001C0111" w:rsidRDefault="001C0111" w:rsidP="001C0111">
      <w:pPr>
        <w:ind w:left="850"/>
        <w:rPr>
          <w:noProof/>
          <w:lang w:val="en-IE" w:eastAsia="en-GB"/>
        </w:rPr>
      </w:pPr>
      <w:r w:rsidRPr="001C0111">
        <w:rPr>
          <w:rFonts w:ascii="Wingdings" w:eastAsia="Wingdings" w:hAnsi="Wingdings" w:cs="Wingdings"/>
          <w:noProof/>
          <w:lang w:val="en-IE" w:eastAsia="en-GB"/>
        </w:rPr>
        <w:t></w:t>
      </w:r>
      <w:r w:rsidRPr="001C0111">
        <w:rPr>
          <w:b/>
          <w:i/>
          <w:noProof/>
          <w:lang w:val="en-IE" w:eastAsia="en-GB"/>
        </w:rPr>
        <w:t xml:space="preserve"> </w:t>
      </w:r>
      <w:r w:rsidRPr="001C0111">
        <w:rPr>
          <w:b/>
          <w:noProof/>
          <w:lang w:val="en-IE" w:eastAsia="en-GB"/>
        </w:rPr>
        <w:t>Shared management</w:t>
      </w:r>
      <w:r w:rsidRPr="001C0111">
        <w:rPr>
          <w:noProof/>
          <w:lang w:val="en-IE" w:eastAsia="en-GB"/>
        </w:rPr>
        <w:t xml:space="preserve"> with the Member States </w:t>
      </w:r>
    </w:p>
    <w:p w14:paraId="76F187A6" w14:textId="77777777" w:rsidR="001C0111" w:rsidRPr="001C0111" w:rsidRDefault="001C0111" w:rsidP="001C0111">
      <w:pPr>
        <w:ind w:left="850"/>
        <w:rPr>
          <w:noProof/>
          <w:lang w:val="en-IE" w:eastAsia="en-GB"/>
        </w:rPr>
      </w:pPr>
      <w:r w:rsidRPr="001C0111">
        <w:rPr>
          <w:rFonts w:ascii="Wingdings" w:eastAsia="Wingdings" w:hAnsi="Wingdings" w:cs="Wingdings"/>
          <w:noProof/>
          <w:lang w:eastAsia="en-GB"/>
        </w:rPr>
        <w:t></w:t>
      </w:r>
      <w:r w:rsidRPr="001C0111">
        <w:rPr>
          <w:i/>
          <w:noProof/>
          <w:lang w:val="en-IE" w:eastAsia="en-GB"/>
        </w:rPr>
        <w:t xml:space="preserve"> </w:t>
      </w:r>
      <w:r w:rsidRPr="001C0111">
        <w:rPr>
          <w:b/>
          <w:noProof/>
          <w:lang w:val="en-IE" w:eastAsia="en-GB"/>
        </w:rPr>
        <w:t>Indirect management</w:t>
      </w:r>
      <w:r w:rsidRPr="001C0111">
        <w:rPr>
          <w:noProof/>
          <w:lang w:val="en-IE" w:eastAsia="en-GB"/>
        </w:rPr>
        <w:t xml:space="preserve"> by entrusting budget implementation tasks to:</w:t>
      </w:r>
    </w:p>
    <w:p w14:paraId="2AEDD807"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 xml:space="preserve"> third countries or the bodies they have designated;</w:t>
      </w:r>
    </w:p>
    <w:p w14:paraId="01854D9A"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 xml:space="preserve"> international organisations and their agencies (to be specified);</w:t>
      </w:r>
    </w:p>
    <w:p w14:paraId="71FEC43D"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 xml:space="preserve"> the EIB and the European Investment Fund;</w:t>
      </w:r>
    </w:p>
    <w:p w14:paraId="55BB5A50" w14:textId="77777777" w:rsidR="001C0111" w:rsidRPr="001C0111" w:rsidRDefault="001C0111" w:rsidP="002A2DB0">
      <w:pPr>
        <w:rPr>
          <w:noProof/>
          <w:lang w:val="en-IE" w:eastAsia="en-GB"/>
        </w:rPr>
      </w:pPr>
      <w:r w:rsidRPr="001C0111">
        <w:rPr>
          <w:rFonts w:ascii="Wingdings" w:eastAsia="Wingdings" w:hAnsi="Wingdings" w:cs="Wingdings"/>
          <w:noProof/>
          <w:lang w:eastAsia="en-GB"/>
        </w:rPr>
        <w:t></w:t>
      </w:r>
      <w:r w:rsidRPr="001C0111">
        <w:rPr>
          <w:noProof/>
          <w:lang w:val="en-IE" w:eastAsia="en-GB"/>
        </w:rPr>
        <w:t xml:space="preserve"> bodies referred to in Articles 70 and 71 of the Financial Regulation;</w:t>
      </w:r>
    </w:p>
    <w:p w14:paraId="0F8481B6"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 xml:space="preserve"> public law bodies;</w:t>
      </w:r>
    </w:p>
    <w:p w14:paraId="6970E401"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 xml:space="preserve"> bodies governed by private law with a public service mission to the extent that they provide adequate financial guarantees;</w:t>
      </w:r>
    </w:p>
    <w:p w14:paraId="2AE7DFBE"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 xml:space="preserve"> bodies governed by the private law of a Member State that are entrusted with the implementation of a public-private partnership and that provide adequate financial guarantees;</w:t>
      </w:r>
    </w:p>
    <w:p w14:paraId="1C7F4CA6"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 xml:space="preserve"> persons entrusted with the implementation of specific actions in the CFSP pursuant to Title V of the TEU, and identified in the relevant basic act.</w:t>
      </w:r>
    </w:p>
    <w:p w14:paraId="5AAC40DD" w14:textId="77777777" w:rsidR="001C0111" w:rsidRPr="001C0111" w:rsidRDefault="001C0111" w:rsidP="001C0111">
      <w:pPr>
        <w:rPr>
          <w:noProof/>
          <w:lang w:val="en-IE" w:eastAsia="en-GB"/>
        </w:rPr>
        <w:sectPr w:rsidR="001C0111" w:rsidRPr="001C0111" w:rsidSect="00A71C3C">
          <w:footnotePr>
            <w:numRestart w:val="eachSect"/>
          </w:footnotePr>
          <w:pgSz w:w="11907" w:h="16840" w:code="9"/>
          <w:pgMar w:top="1134" w:right="1418" w:bottom="1134" w:left="1418" w:header="709" w:footer="709" w:gutter="0"/>
          <w:cols w:space="708"/>
          <w:docGrid w:linePitch="360"/>
        </w:sectPr>
      </w:pPr>
    </w:p>
    <w:p w14:paraId="1D413FD8" w14:textId="77777777" w:rsidR="001C0111" w:rsidRPr="001C0111" w:rsidRDefault="001C0111" w:rsidP="002A2DB0">
      <w:pPr>
        <w:keepNext/>
        <w:spacing w:before="360"/>
        <w:outlineLvl w:val="0"/>
        <w:rPr>
          <w:rFonts w:eastAsiaTheme="majorEastAsia"/>
          <w:b/>
          <w:smallCaps/>
          <w:noProof/>
          <w:szCs w:val="24"/>
          <w:lang w:val="en-IE" w:eastAsia="en-GB"/>
        </w:rPr>
      </w:pPr>
      <w:bookmarkStart w:id="37" w:name="_Toc514938041"/>
      <w:bookmarkStart w:id="38" w:name="_Toc520485042"/>
      <w:r w:rsidRPr="001C0111">
        <w:rPr>
          <w:rFonts w:eastAsiaTheme="majorEastAsia"/>
          <w:b/>
          <w:bCs/>
          <w:smallCaps/>
          <w:noProof/>
          <w:szCs w:val="28"/>
          <w:lang w:val="en-IE" w:eastAsia="en-GB"/>
        </w:rPr>
        <w:t>MANAGEMENT MEASURES</w:t>
      </w:r>
      <w:bookmarkEnd w:id="37"/>
      <w:bookmarkEnd w:id="38"/>
      <w:r w:rsidRPr="001C0111">
        <w:rPr>
          <w:rFonts w:eastAsiaTheme="majorEastAsia"/>
          <w:b/>
          <w:bCs/>
          <w:smallCaps/>
          <w:noProof/>
          <w:szCs w:val="28"/>
          <w:lang w:val="en-IE" w:eastAsia="en-GB"/>
        </w:rPr>
        <w:t xml:space="preserve"> </w:t>
      </w:r>
    </w:p>
    <w:p w14:paraId="6B3B07F9" w14:textId="77777777" w:rsidR="001C0111" w:rsidRPr="001C0111" w:rsidRDefault="001C0111" w:rsidP="002A2DB0">
      <w:pPr>
        <w:keepNext/>
        <w:outlineLvl w:val="1"/>
        <w:rPr>
          <w:rFonts w:eastAsiaTheme="majorEastAsia"/>
          <w:b/>
          <w:bCs/>
          <w:noProof/>
          <w:szCs w:val="26"/>
          <w:lang w:val="en-IE" w:eastAsia="en-GB"/>
        </w:rPr>
      </w:pPr>
      <w:bookmarkStart w:id="39" w:name="_Toc514938042"/>
      <w:bookmarkStart w:id="40" w:name="_Toc520485043"/>
      <w:r w:rsidRPr="001C0111">
        <w:rPr>
          <w:rFonts w:eastAsiaTheme="majorEastAsia"/>
          <w:b/>
          <w:bCs/>
          <w:noProof/>
          <w:szCs w:val="26"/>
          <w:lang w:val="en-IE" w:eastAsia="en-GB"/>
        </w:rPr>
        <w:t>Monitoring and reporting rules</w:t>
      </w:r>
      <w:bookmarkEnd w:id="39"/>
      <w:bookmarkEnd w:id="40"/>
      <w:r w:rsidRPr="001C0111">
        <w:rPr>
          <w:rFonts w:eastAsiaTheme="majorEastAsia"/>
          <w:b/>
          <w:bCs/>
          <w:noProof/>
          <w:szCs w:val="26"/>
          <w:lang w:val="en-IE" w:eastAsia="en-GB"/>
        </w:rPr>
        <w:t xml:space="preserve"> </w:t>
      </w:r>
    </w:p>
    <w:p w14:paraId="52ADD8BC" w14:textId="77777777" w:rsidR="001C0111" w:rsidRPr="001C0111" w:rsidRDefault="001C0111" w:rsidP="001C0111">
      <w:pPr>
        <w:ind w:left="850"/>
        <w:rPr>
          <w:i/>
          <w:noProof/>
          <w:sz w:val="20"/>
          <w:lang w:val="en-IE" w:eastAsia="en-GB"/>
        </w:rPr>
      </w:pPr>
      <w:r w:rsidRPr="001C0111">
        <w:rPr>
          <w:i/>
          <w:noProof/>
          <w:sz w:val="20"/>
          <w:lang w:val="en-IE" w:eastAsia="en-GB"/>
        </w:rPr>
        <w:t>Specify frequency and conditions.</w:t>
      </w:r>
    </w:p>
    <w:p w14:paraId="7260991B"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color w:val="0000FF"/>
          <w:lang w:eastAsia="en-GB"/>
        </w:rPr>
      </w:pPr>
      <w:r w:rsidRPr="001C0111">
        <w:rPr>
          <w:noProof/>
          <w:color w:val="0000FF"/>
          <w:lang w:eastAsia="en-GB"/>
        </w:rPr>
        <w:t xml:space="preserve"> </w:t>
      </w:r>
      <w:r w:rsidRPr="001C0111">
        <w:rPr>
          <w:noProof/>
          <w:lang w:eastAsia="en-GB"/>
        </w:rPr>
        <w:t>The initiatives involve procurement, administrative arrangement with the JRC, increase of the contribution to the ECHA and to the EEA and impact on the COM HR). Standard rules for this type of expenditure apply.</w:t>
      </w:r>
    </w:p>
    <w:p w14:paraId="7EDEA7D3" w14:textId="77777777" w:rsidR="001C0111" w:rsidRPr="001C0111" w:rsidRDefault="001C0111" w:rsidP="002A2DB0">
      <w:pPr>
        <w:keepNext/>
        <w:outlineLvl w:val="1"/>
        <w:rPr>
          <w:rFonts w:eastAsiaTheme="majorEastAsia"/>
          <w:b/>
          <w:noProof/>
          <w:szCs w:val="24"/>
          <w:lang w:val="en-IE" w:eastAsia="en-GB"/>
        </w:rPr>
      </w:pPr>
      <w:bookmarkStart w:id="41" w:name="_Toc514938045"/>
      <w:bookmarkStart w:id="42" w:name="_Toc520485044"/>
      <w:r w:rsidRPr="001C0111">
        <w:rPr>
          <w:rFonts w:eastAsiaTheme="majorEastAsia"/>
          <w:b/>
          <w:bCs/>
          <w:noProof/>
          <w:szCs w:val="26"/>
          <w:lang w:val="en-IE" w:eastAsia="en-GB"/>
        </w:rPr>
        <w:t>Management and control system(s)</w:t>
      </w:r>
      <w:bookmarkEnd w:id="41"/>
      <w:bookmarkEnd w:id="42"/>
      <w:r w:rsidRPr="001C0111">
        <w:rPr>
          <w:rFonts w:eastAsiaTheme="majorEastAsia"/>
          <w:b/>
          <w:bCs/>
          <w:noProof/>
          <w:szCs w:val="26"/>
          <w:lang w:val="en-IE" w:eastAsia="en-GB"/>
        </w:rPr>
        <w:t xml:space="preserve"> </w:t>
      </w:r>
    </w:p>
    <w:p w14:paraId="3ED95625" w14:textId="77777777" w:rsidR="001C0111" w:rsidRPr="001C0111" w:rsidRDefault="001C0111" w:rsidP="002A2DB0">
      <w:pPr>
        <w:keepNext/>
        <w:outlineLvl w:val="2"/>
        <w:rPr>
          <w:rFonts w:eastAsiaTheme="majorEastAsia"/>
          <w:bCs/>
          <w:i/>
          <w:noProof/>
          <w:lang w:val="en-IE" w:eastAsia="en-GB"/>
        </w:rPr>
      </w:pPr>
      <w:bookmarkStart w:id="43" w:name="_Toc514938046"/>
      <w:bookmarkStart w:id="44" w:name="_Toc520485045"/>
      <w:r w:rsidRPr="001C0111">
        <w:rPr>
          <w:rFonts w:eastAsiaTheme="majorEastAsia"/>
          <w:bCs/>
          <w:i/>
          <w:noProof/>
          <w:lang w:val="en-IE" w:eastAsia="en-GB"/>
        </w:rPr>
        <w:t>Justification of the management mode(s), the funding implementation mechanism(s), the payment modalities and the control strategy proposed</w:t>
      </w:r>
      <w:bookmarkEnd w:id="43"/>
      <w:bookmarkEnd w:id="44"/>
    </w:p>
    <w:p w14:paraId="32CA9319"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bookmarkStart w:id="45" w:name="_Toc514938047"/>
      <w:bookmarkStart w:id="46" w:name="_Toc520485046"/>
      <w:r w:rsidRPr="001C0111">
        <w:rPr>
          <w:noProof/>
          <w:lang w:eastAsia="en-GB"/>
        </w:rPr>
        <w:t>N/A – cf. above.</w:t>
      </w:r>
    </w:p>
    <w:p w14:paraId="2079EEC4" w14:textId="77777777" w:rsidR="001C0111" w:rsidRPr="001C0111" w:rsidRDefault="001C0111" w:rsidP="002A2DB0">
      <w:pPr>
        <w:keepNext/>
        <w:outlineLvl w:val="2"/>
        <w:rPr>
          <w:rFonts w:eastAsiaTheme="majorEastAsia"/>
          <w:i/>
          <w:noProof/>
          <w:szCs w:val="24"/>
          <w:lang w:val="en-IE" w:eastAsia="en-GB"/>
        </w:rPr>
      </w:pPr>
      <w:r w:rsidRPr="001C0111">
        <w:rPr>
          <w:rFonts w:eastAsiaTheme="majorEastAsia"/>
          <w:bCs/>
          <w:i/>
          <w:noProof/>
          <w:lang w:val="en-IE" w:eastAsia="en-GB"/>
        </w:rPr>
        <w:t>Information concerning the risks identified and the internal control system(s) set up to mitigate them</w:t>
      </w:r>
      <w:bookmarkEnd w:id="45"/>
      <w:bookmarkEnd w:id="46"/>
    </w:p>
    <w:p w14:paraId="00C99007"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N/A – cf. above.</w:t>
      </w:r>
    </w:p>
    <w:p w14:paraId="4FA70035" w14:textId="77777777" w:rsidR="001C0111" w:rsidRPr="001C0111" w:rsidRDefault="001C0111" w:rsidP="002A2DB0">
      <w:pPr>
        <w:keepNext/>
        <w:outlineLvl w:val="2"/>
        <w:rPr>
          <w:rFonts w:eastAsiaTheme="majorEastAsia"/>
          <w:bCs/>
          <w:i/>
          <w:noProof/>
          <w:lang w:val="en-IE" w:eastAsia="en-GB"/>
        </w:rPr>
      </w:pPr>
      <w:bookmarkStart w:id="47" w:name="_Toc514938048"/>
      <w:bookmarkStart w:id="48" w:name="_Toc520485047"/>
      <w:r w:rsidRPr="001C0111">
        <w:rPr>
          <w:rFonts w:eastAsiaTheme="majorEastAsia"/>
          <w:bCs/>
          <w:i/>
          <w:noProof/>
          <w:lang w:val="en-IE" w:eastAsia="en-GB"/>
        </w:rPr>
        <w:t>Estimation and justification of the cost-effectiveness of the controls (ratio of "control costs ÷ value of the related funds managed"), and assessment of the expected levels of risk of error (at payment &amp; at closure)</w:t>
      </w:r>
      <w:bookmarkEnd w:id="47"/>
      <w:bookmarkEnd w:id="48"/>
      <w:r w:rsidRPr="001C0111">
        <w:rPr>
          <w:rFonts w:eastAsiaTheme="majorEastAsia"/>
          <w:bCs/>
          <w:i/>
          <w:noProof/>
          <w:lang w:val="en-IE" w:eastAsia="en-GB"/>
        </w:rPr>
        <w:t xml:space="preserve"> </w:t>
      </w:r>
    </w:p>
    <w:p w14:paraId="54BFDCC7"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N/A – cf. above.</w:t>
      </w:r>
    </w:p>
    <w:p w14:paraId="5F859655" w14:textId="77777777" w:rsidR="001C0111" w:rsidRPr="001C0111" w:rsidRDefault="001C0111" w:rsidP="002A2DB0">
      <w:pPr>
        <w:keepNext/>
        <w:outlineLvl w:val="1"/>
        <w:rPr>
          <w:rFonts w:eastAsiaTheme="majorEastAsia"/>
          <w:b/>
          <w:noProof/>
          <w:szCs w:val="24"/>
          <w:lang w:val="en-IE" w:eastAsia="en-GB"/>
        </w:rPr>
      </w:pPr>
      <w:bookmarkStart w:id="49" w:name="_Toc514938049"/>
      <w:bookmarkStart w:id="50" w:name="_Toc520485048"/>
      <w:r w:rsidRPr="001C0111">
        <w:rPr>
          <w:rFonts w:eastAsiaTheme="majorEastAsia"/>
          <w:b/>
          <w:bCs/>
          <w:noProof/>
          <w:szCs w:val="26"/>
          <w:lang w:val="en-IE" w:eastAsia="en-GB"/>
        </w:rPr>
        <w:t>Measures to prevent fraud and irregularities</w:t>
      </w:r>
      <w:bookmarkEnd w:id="49"/>
      <w:bookmarkEnd w:id="50"/>
      <w:r w:rsidRPr="001C0111">
        <w:rPr>
          <w:rFonts w:eastAsiaTheme="majorEastAsia"/>
          <w:b/>
          <w:bCs/>
          <w:noProof/>
          <w:szCs w:val="26"/>
          <w:lang w:val="en-IE" w:eastAsia="en-GB"/>
        </w:rPr>
        <w:t xml:space="preserve"> </w:t>
      </w:r>
    </w:p>
    <w:p w14:paraId="22E52521" w14:textId="77777777" w:rsidR="001C0111" w:rsidRPr="001C0111" w:rsidRDefault="001C0111" w:rsidP="001C0111">
      <w:pPr>
        <w:ind w:left="850"/>
        <w:rPr>
          <w:i/>
          <w:noProof/>
          <w:sz w:val="20"/>
          <w:lang w:val="en-IE" w:eastAsia="en-GB"/>
        </w:rPr>
      </w:pPr>
      <w:r w:rsidRPr="001C0111">
        <w:rPr>
          <w:i/>
          <w:noProof/>
          <w:sz w:val="20"/>
          <w:lang w:val="en-IE" w:eastAsia="en-GB"/>
        </w:rPr>
        <w:t>Specify existing or envisaged prevention and protection measures, e.g. from the Anti-Fraud Strategy.</w:t>
      </w:r>
    </w:p>
    <w:p w14:paraId="4BCE2C31"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N/A – cf. above.</w:t>
      </w:r>
    </w:p>
    <w:p w14:paraId="3F823F66" w14:textId="77777777" w:rsidR="001C0111" w:rsidRPr="001C0111" w:rsidRDefault="001C0111" w:rsidP="001C0111">
      <w:pPr>
        <w:rPr>
          <w:noProof/>
          <w:lang w:val="en-IE" w:eastAsia="en-GB"/>
        </w:rPr>
      </w:pPr>
    </w:p>
    <w:p w14:paraId="02C6FF9B" w14:textId="77777777" w:rsidR="001C0111" w:rsidRPr="001C0111" w:rsidRDefault="001C0111" w:rsidP="001C0111">
      <w:pPr>
        <w:rPr>
          <w:noProof/>
          <w:lang w:val="en-IE" w:eastAsia="en-GB"/>
        </w:rPr>
        <w:sectPr w:rsidR="001C0111" w:rsidRPr="001C0111" w:rsidSect="00A71C3C">
          <w:footnotePr>
            <w:numRestart w:val="eachSect"/>
          </w:footnotePr>
          <w:pgSz w:w="11907" w:h="16840" w:code="9"/>
          <w:pgMar w:top="1134" w:right="1418" w:bottom="1134" w:left="1418" w:header="709" w:footer="709" w:gutter="0"/>
          <w:cols w:space="708"/>
          <w:docGrid w:linePitch="360"/>
        </w:sectPr>
      </w:pPr>
    </w:p>
    <w:p w14:paraId="27487EBA" w14:textId="77777777" w:rsidR="001C0111" w:rsidRPr="001C0111" w:rsidRDefault="001C0111" w:rsidP="002A2DB0">
      <w:pPr>
        <w:keepNext/>
        <w:spacing w:before="360"/>
        <w:outlineLvl w:val="0"/>
        <w:rPr>
          <w:rFonts w:eastAsiaTheme="majorEastAsia"/>
          <w:b/>
          <w:smallCaps/>
          <w:noProof/>
          <w:szCs w:val="24"/>
          <w:lang w:val="en-IE" w:eastAsia="en-GB"/>
        </w:rPr>
      </w:pPr>
      <w:bookmarkStart w:id="51" w:name="_Toc514938050"/>
      <w:bookmarkStart w:id="52" w:name="_Toc520485049"/>
      <w:r w:rsidRPr="001C0111">
        <w:rPr>
          <w:rFonts w:eastAsiaTheme="majorEastAsia"/>
          <w:b/>
          <w:bCs/>
          <w:smallCaps/>
          <w:noProof/>
          <w:szCs w:val="28"/>
          <w:lang w:val="en-IE" w:eastAsia="en-GB"/>
        </w:rPr>
        <w:t>ESTIMATED FINANCIAL IMPACT OF THE PROPOSAL/INITIATIVE</w:t>
      </w:r>
      <w:bookmarkEnd w:id="51"/>
      <w:bookmarkEnd w:id="52"/>
      <w:r w:rsidRPr="001C0111">
        <w:rPr>
          <w:rFonts w:eastAsiaTheme="majorEastAsia"/>
          <w:b/>
          <w:bCs/>
          <w:smallCaps/>
          <w:noProof/>
          <w:szCs w:val="28"/>
          <w:lang w:val="en-IE" w:eastAsia="en-GB"/>
        </w:rPr>
        <w:t xml:space="preserve"> </w:t>
      </w:r>
    </w:p>
    <w:p w14:paraId="23327FDD" w14:textId="77777777" w:rsidR="001C0111" w:rsidRPr="001C0111" w:rsidRDefault="001C0111" w:rsidP="002A2DB0">
      <w:pPr>
        <w:keepNext/>
        <w:outlineLvl w:val="1"/>
        <w:rPr>
          <w:rFonts w:eastAsiaTheme="majorEastAsia"/>
          <w:b/>
          <w:bCs/>
          <w:noProof/>
          <w:szCs w:val="26"/>
          <w:lang w:val="en-IE" w:eastAsia="en-GB"/>
        </w:rPr>
      </w:pPr>
      <w:bookmarkStart w:id="53" w:name="_Toc514938051"/>
      <w:bookmarkStart w:id="54" w:name="_Toc520485050"/>
      <w:r w:rsidRPr="001C0111">
        <w:rPr>
          <w:rFonts w:eastAsiaTheme="majorEastAsia"/>
          <w:b/>
          <w:bCs/>
          <w:noProof/>
          <w:szCs w:val="26"/>
          <w:lang w:val="en-IE" w:eastAsia="en-GB"/>
        </w:rPr>
        <w:t>Heading(s) of the multiannual financial framework and expenditure budget line(s) affected</w:t>
      </w:r>
      <w:bookmarkEnd w:id="53"/>
      <w:bookmarkEnd w:id="54"/>
      <w:r w:rsidRPr="001C0111">
        <w:rPr>
          <w:rFonts w:eastAsiaTheme="majorEastAsia"/>
          <w:b/>
          <w:bCs/>
          <w:noProof/>
          <w:szCs w:val="26"/>
          <w:lang w:val="en-IE" w:eastAsia="en-GB"/>
        </w:rPr>
        <w:t xml:space="preserve"> </w:t>
      </w:r>
    </w:p>
    <w:p w14:paraId="6360070B" w14:textId="77777777" w:rsidR="001C0111" w:rsidRPr="001C0111" w:rsidRDefault="001C0111" w:rsidP="001C0111">
      <w:pPr>
        <w:tabs>
          <w:tab w:val="num" w:pos="1134"/>
        </w:tabs>
        <w:ind w:left="1134" w:hanging="283"/>
        <w:rPr>
          <w:noProof/>
          <w:lang w:val="en-IE" w:eastAsia="en-GB"/>
        </w:rPr>
      </w:pPr>
      <w:r w:rsidRPr="001C0111">
        <w:rPr>
          <w:noProof/>
          <w:lang w:val="en-IE" w:eastAsia="en-GB"/>
        </w:rPr>
        <w:t xml:space="preserve">Existing budget lines </w:t>
      </w:r>
    </w:p>
    <w:p w14:paraId="75FB0EF4" w14:textId="77777777" w:rsidR="001C0111" w:rsidRPr="001C0111" w:rsidRDefault="001C0111" w:rsidP="001C0111">
      <w:pPr>
        <w:ind w:left="850"/>
        <w:rPr>
          <w:i/>
          <w:noProof/>
          <w:lang w:val="en-IE" w:eastAsia="en-GB"/>
        </w:rPr>
      </w:pPr>
      <w:r w:rsidRPr="001C0111">
        <w:rPr>
          <w:i/>
          <w:noProof/>
          <w:u w:val="single"/>
          <w:lang w:val="en-IE" w:eastAsia="en-GB"/>
        </w:rPr>
        <w:t>In order</w:t>
      </w:r>
      <w:r w:rsidRPr="001C0111">
        <w:rPr>
          <w:i/>
          <w:noProof/>
          <w:lang w:val="en-IE" w:eastAsia="en-GB"/>
        </w:rPr>
        <w:t xml:space="preserve"> of multiannual financial framework headings and budget lines.</w:t>
      </w:r>
      <w:r w:rsidRPr="001C0111">
        <w:rPr>
          <w:noProof/>
          <w:color w:val="0000FF"/>
          <w:highlight w:val="green"/>
          <w:lang w:eastAsia="en-GB"/>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1C0111" w:rsidRPr="001C0111" w14:paraId="3772D541" w14:textId="77777777" w:rsidTr="00EE4772">
        <w:tc>
          <w:tcPr>
            <w:tcW w:w="1080" w:type="dxa"/>
            <w:vMerge w:val="restart"/>
            <w:vAlign w:val="center"/>
          </w:tcPr>
          <w:p w14:paraId="3B799E4D" w14:textId="77777777" w:rsidR="001C0111" w:rsidRPr="001C0111" w:rsidRDefault="001C0111" w:rsidP="001C0111">
            <w:pPr>
              <w:spacing w:before="60" w:after="60"/>
              <w:jc w:val="center"/>
              <w:rPr>
                <w:noProof/>
                <w:lang w:val="en-IE" w:eastAsia="en-GB"/>
              </w:rPr>
            </w:pPr>
            <w:r w:rsidRPr="001C0111">
              <w:rPr>
                <w:noProof/>
                <w:sz w:val="18"/>
                <w:lang w:val="en-IE" w:eastAsia="en-GB"/>
              </w:rPr>
              <w:t>Heading of multiannual financial framework</w:t>
            </w:r>
          </w:p>
        </w:tc>
        <w:tc>
          <w:tcPr>
            <w:tcW w:w="3960" w:type="dxa"/>
            <w:vAlign w:val="center"/>
          </w:tcPr>
          <w:p w14:paraId="43BACCF5" w14:textId="77777777" w:rsidR="001C0111" w:rsidRPr="001C0111" w:rsidRDefault="001C0111" w:rsidP="001C0111">
            <w:pPr>
              <w:spacing w:before="60" w:after="60"/>
              <w:jc w:val="center"/>
              <w:rPr>
                <w:noProof/>
                <w:lang w:val="en-IE" w:eastAsia="en-GB"/>
              </w:rPr>
            </w:pPr>
            <w:r w:rsidRPr="001C0111">
              <w:rPr>
                <w:noProof/>
                <w:sz w:val="20"/>
                <w:lang w:val="en-IE" w:eastAsia="en-GB"/>
              </w:rPr>
              <w:t>Budget line</w:t>
            </w:r>
          </w:p>
        </w:tc>
        <w:tc>
          <w:tcPr>
            <w:tcW w:w="1080" w:type="dxa"/>
            <w:vAlign w:val="center"/>
          </w:tcPr>
          <w:p w14:paraId="7055BCCD" w14:textId="77777777" w:rsidR="001C0111" w:rsidRPr="001C0111" w:rsidRDefault="001C0111" w:rsidP="001C0111">
            <w:pPr>
              <w:spacing w:before="60" w:after="60"/>
              <w:jc w:val="center"/>
              <w:rPr>
                <w:noProof/>
                <w:lang w:val="en-IE" w:eastAsia="en-GB"/>
              </w:rPr>
            </w:pPr>
            <w:r w:rsidRPr="001C0111">
              <w:rPr>
                <w:noProof/>
                <w:sz w:val="18"/>
                <w:lang w:val="en-IE" w:eastAsia="en-GB"/>
              </w:rPr>
              <w:t xml:space="preserve">Type of </w:t>
            </w:r>
            <w:r w:rsidRPr="001C0111">
              <w:rPr>
                <w:noProof/>
                <w:sz w:val="22"/>
                <w:lang w:val="en-IE" w:eastAsia="en-GB"/>
              </w:rPr>
              <w:br/>
            </w:r>
            <w:r w:rsidRPr="001C0111">
              <w:rPr>
                <w:noProof/>
                <w:sz w:val="18"/>
                <w:lang w:val="en-IE" w:eastAsia="en-GB"/>
              </w:rPr>
              <w:t>expenditure</w:t>
            </w:r>
          </w:p>
        </w:tc>
        <w:tc>
          <w:tcPr>
            <w:tcW w:w="4440" w:type="dxa"/>
            <w:gridSpan w:val="4"/>
            <w:vAlign w:val="center"/>
          </w:tcPr>
          <w:p w14:paraId="2438F099" w14:textId="77777777" w:rsidR="001C0111" w:rsidRPr="001C0111" w:rsidRDefault="001C0111" w:rsidP="001C0111">
            <w:pPr>
              <w:spacing w:before="60" w:after="60"/>
              <w:jc w:val="center"/>
              <w:rPr>
                <w:noProof/>
                <w:lang w:val="en-IE" w:eastAsia="en-GB"/>
              </w:rPr>
            </w:pPr>
            <w:r w:rsidRPr="001C0111">
              <w:rPr>
                <w:noProof/>
                <w:sz w:val="20"/>
                <w:lang w:val="en-IE" w:eastAsia="en-GB"/>
              </w:rPr>
              <w:t xml:space="preserve">Contribution </w:t>
            </w:r>
          </w:p>
        </w:tc>
      </w:tr>
      <w:tr w:rsidR="001C0111" w:rsidRPr="001C0111" w14:paraId="044FBF57" w14:textId="77777777" w:rsidTr="00EE4772">
        <w:tc>
          <w:tcPr>
            <w:tcW w:w="1080" w:type="dxa"/>
            <w:vMerge/>
            <w:vAlign w:val="center"/>
          </w:tcPr>
          <w:p w14:paraId="4B6BF6E1" w14:textId="77777777" w:rsidR="001C0111" w:rsidRPr="001C0111" w:rsidRDefault="001C0111" w:rsidP="001C0111">
            <w:pPr>
              <w:jc w:val="center"/>
              <w:rPr>
                <w:noProof/>
                <w:lang w:val="en-IE" w:eastAsia="en-GB"/>
              </w:rPr>
            </w:pPr>
          </w:p>
        </w:tc>
        <w:tc>
          <w:tcPr>
            <w:tcW w:w="3960" w:type="dxa"/>
            <w:vAlign w:val="center"/>
          </w:tcPr>
          <w:p w14:paraId="07EAEE88" w14:textId="77777777" w:rsidR="001C0111" w:rsidRPr="001C0111" w:rsidRDefault="001C0111" w:rsidP="001C0111">
            <w:pPr>
              <w:rPr>
                <w:noProof/>
                <w:lang w:val="en-IE" w:eastAsia="en-GB"/>
              </w:rPr>
            </w:pPr>
            <w:r w:rsidRPr="001C0111">
              <w:rPr>
                <w:noProof/>
                <w:sz w:val="20"/>
                <w:lang w:val="en-IE" w:eastAsia="en-GB"/>
              </w:rPr>
              <w:t xml:space="preserve">Number </w:t>
            </w:r>
            <w:r w:rsidRPr="001C0111">
              <w:rPr>
                <w:noProof/>
                <w:sz w:val="22"/>
                <w:lang w:val="en-IE" w:eastAsia="en-GB"/>
              </w:rPr>
              <w:br/>
            </w:r>
          </w:p>
        </w:tc>
        <w:tc>
          <w:tcPr>
            <w:tcW w:w="1080" w:type="dxa"/>
            <w:vAlign w:val="center"/>
          </w:tcPr>
          <w:p w14:paraId="5ACD943F" w14:textId="77777777" w:rsidR="001C0111" w:rsidRPr="001C0111" w:rsidRDefault="001C0111" w:rsidP="001C0111">
            <w:pPr>
              <w:jc w:val="center"/>
              <w:rPr>
                <w:noProof/>
                <w:lang w:val="en-IE" w:eastAsia="en-GB"/>
              </w:rPr>
            </w:pPr>
            <w:r w:rsidRPr="001C0111">
              <w:rPr>
                <w:noProof/>
                <w:sz w:val="18"/>
                <w:lang w:val="en-IE" w:eastAsia="en-GB"/>
              </w:rPr>
              <w:t>Diff./Non-diff.</w:t>
            </w:r>
            <w:r w:rsidRPr="006C662D">
              <w:rPr>
                <w:rStyle w:val="FootnoteReference"/>
                <w:noProof/>
              </w:rPr>
              <w:footnoteReference w:id="69"/>
            </w:r>
          </w:p>
        </w:tc>
        <w:tc>
          <w:tcPr>
            <w:tcW w:w="956" w:type="dxa"/>
            <w:vAlign w:val="center"/>
          </w:tcPr>
          <w:p w14:paraId="1BBD219C" w14:textId="77777777" w:rsidR="001C0111" w:rsidRPr="001C0111" w:rsidRDefault="001C0111" w:rsidP="001C0111">
            <w:pPr>
              <w:jc w:val="center"/>
              <w:rPr>
                <w:noProof/>
                <w:lang w:val="en-IE" w:eastAsia="en-GB"/>
              </w:rPr>
            </w:pPr>
            <w:r w:rsidRPr="001C0111">
              <w:rPr>
                <w:noProof/>
                <w:sz w:val="18"/>
                <w:lang w:val="en-IE" w:eastAsia="en-GB"/>
              </w:rPr>
              <w:t>from EFTA countries</w:t>
            </w:r>
            <w:r w:rsidRPr="006C662D">
              <w:rPr>
                <w:rStyle w:val="FootnoteReference"/>
                <w:noProof/>
              </w:rPr>
              <w:footnoteReference w:id="70"/>
            </w:r>
          </w:p>
          <w:p w14:paraId="41BF26A7" w14:textId="77777777" w:rsidR="001C0111" w:rsidRPr="001C0111" w:rsidRDefault="001C0111" w:rsidP="001C0111">
            <w:pPr>
              <w:spacing w:before="0" w:after="0"/>
              <w:jc w:val="center"/>
              <w:rPr>
                <w:b/>
                <w:noProof/>
                <w:sz w:val="18"/>
                <w:lang w:val="en-IE" w:eastAsia="en-GB"/>
              </w:rPr>
            </w:pPr>
          </w:p>
        </w:tc>
        <w:tc>
          <w:tcPr>
            <w:tcW w:w="1080" w:type="dxa"/>
            <w:vAlign w:val="center"/>
          </w:tcPr>
          <w:p w14:paraId="5D3AAB5C" w14:textId="77777777" w:rsidR="001C0111" w:rsidRPr="001C0111" w:rsidRDefault="001C0111" w:rsidP="001C0111">
            <w:pPr>
              <w:jc w:val="center"/>
              <w:rPr>
                <w:noProof/>
                <w:lang w:val="en-IE" w:eastAsia="en-GB"/>
              </w:rPr>
            </w:pPr>
            <w:r w:rsidRPr="001C0111">
              <w:rPr>
                <w:noProof/>
                <w:sz w:val="18"/>
                <w:lang w:val="en-IE" w:eastAsia="en-GB"/>
              </w:rPr>
              <w:t>from candidate countries</w:t>
            </w:r>
            <w:r w:rsidRPr="006C662D">
              <w:rPr>
                <w:rStyle w:val="FootnoteReference"/>
                <w:noProof/>
              </w:rPr>
              <w:footnoteReference w:id="71"/>
            </w:r>
          </w:p>
          <w:p w14:paraId="2ECCC855" w14:textId="77777777" w:rsidR="001C0111" w:rsidRPr="001C0111" w:rsidRDefault="001C0111" w:rsidP="001C0111">
            <w:pPr>
              <w:spacing w:before="0" w:after="0"/>
              <w:jc w:val="center"/>
              <w:rPr>
                <w:noProof/>
                <w:sz w:val="18"/>
                <w:lang w:val="en-IE" w:eastAsia="en-GB"/>
              </w:rPr>
            </w:pPr>
          </w:p>
        </w:tc>
        <w:tc>
          <w:tcPr>
            <w:tcW w:w="956" w:type="dxa"/>
            <w:vAlign w:val="center"/>
          </w:tcPr>
          <w:p w14:paraId="012E2B8A" w14:textId="77777777" w:rsidR="001C0111" w:rsidRPr="001C0111" w:rsidRDefault="001C0111" w:rsidP="001C0111">
            <w:pPr>
              <w:jc w:val="center"/>
              <w:rPr>
                <w:noProof/>
                <w:sz w:val="18"/>
                <w:lang w:val="en-IE" w:eastAsia="en-GB"/>
              </w:rPr>
            </w:pPr>
            <w:r w:rsidRPr="001C0111">
              <w:rPr>
                <w:noProof/>
                <w:sz w:val="18"/>
                <w:lang w:val="en-IE" w:eastAsia="en-GB"/>
              </w:rPr>
              <w:t>from third countries</w:t>
            </w:r>
          </w:p>
        </w:tc>
        <w:tc>
          <w:tcPr>
            <w:tcW w:w="1448" w:type="dxa"/>
            <w:vAlign w:val="center"/>
          </w:tcPr>
          <w:p w14:paraId="63490B9F" w14:textId="77777777" w:rsidR="001C0111" w:rsidRPr="001C0111" w:rsidRDefault="001C0111" w:rsidP="001C0111">
            <w:pPr>
              <w:jc w:val="center"/>
              <w:rPr>
                <w:noProof/>
                <w:lang w:val="en-IE" w:eastAsia="en-GB"/>
              </w:rPr>
            </w:pPr>
            <w:r w:rsidRPr="001C0111">
              <w:rPr>
                <w:noProof/>
                <w:sz w:val="16"/>
                <w:lang w:val="en-IE" w:eastAsia="en-GB"/>
              </w:rPr>
              <w:t xml:space="preserve">within the meaning of Article 21(2)(b) of the Financial Regulation </w:t>
            </w:r>
          </w:p>
        </w:tc>
      </w:tr>
      <w:tr w:rsidR="001C0111" w:rsidRPr="001C0111" w14:paraId="49299ED5" w14:textId="77777777" w:rsidTr="00EE4772">
        <w:tc>
          <w:tcPr>
            <w:tcW w:w="1080" w:type="dxa"/>
            <w:vAlign w:val="center"/>
          </w:tcPr>
          <w:p w14:paraId="026C0CC1" w14:textId="77777777" w:rsidR="001C0111" w:rsidRPr="001C0111" w:rsidRDefault="001C0111" w:rsidP="001C0111">
            <w:pPr>
              <w:jc w:val="center"/>
              <w:rPr>
                <w:rFonts w:eastAsia="Calibri"/>
                <w:noProof/>
                <w:color w:val="000000"/>
                <w:lang w:eastAsia="en-GB"/>
              </w:rPr>
            </w:pPr>
            <w:r w:rsidRPr="001C0111">
              <w:rPr>
                <w:rFonts w:eastAsia="Calibri"/>
                <w:noProof/>
                <w:color w:val="000000"/>
                <w:lang w:eastAsia="en-GB"/>
              </w:rPr>
              <w:t>3</w:t>
            </w:r>
          </w:p>
        </w:tc>
        <w:tc>
          <w:tcPr>
            <w:tcW w:w="3960" w:type="dxa"/>
            <w:vAlign w:val="center"/>
          </w:tcPr>
          <w:p w14:paraId="0631F8AC" w14:textId="77777777" w:rsidR="001C0111" w:rsidRPr="001C0111" w:rsidRDefault="001C0111" w:rsidP="001C0111">
            <w:pPr>
              <w:spacing w:before="60"/>
              <w:rPr>
                <w:rFonts w:eastAsia="Calibri"/>
                <w:noProof/>
                <w:color w:val="000000"/>
                <w:lang w:eastAsia="en-GB"/>
              </w:rPr>
            </w:pPr>
            <w:r w:rsidRPr="001C0111">
              <w:rPr>
                <w:rFonts w:eastAsia="Calibri"/>
                <w:noProof/>
                <w:color w:val="000000"/>
                <w:lang w:eastAsia="en-GB"/>
              </w:rPr>
              <w:t>09 02 02 Circular Economy</w:t>
            </w:r>
            <w:r w:rsidRPr="001C0111" w:rsidDel="0051384E">
              <w:rPr>
                <w:rFonts w:eastAsia="Calibri"/>
                <w:noProof/>
                <w:color w:val="000000"/>
                <w:lang w:eastAsia="en-GB"/>
              </w:rPr>
              <w:t xml:space="preserve"> </w:t>
            </w:r>
            <w:r w:rsidRPr="001C0111">
              <w:rPr>
                <w:rFonts w:eastAsia="Calibri"/>
                <w:noProof/>
                <w:color w:val="000000"/>
                <w:lang w:eastAsia="en-GB"/>
              </w:rPr>
              <w:t>and quality of life</w:t>
            </w:r>
          </w:p>
          <w:p w14:paraId="461D8693" w14:textId="77777777" w:rsidR="001C0111" w:rsidRPr="001C0111" w:rsidRDefault="001C0111" w:rsidP="001C0111">
            <w:pPr>
              <w:spacing w:before="60"/>
              <w:rPr>
                <w:rFonts w:eastAsia="Calibri"/>
                <w:noProof/>
                <w:color w:val="000000"/>
                <w:lang w:eastAsia="en-GB"/>
              </w:rPr>
            </w:pPr>
          </w:p>
        </w:tc>
        <w:tc>
          <w:tcPr>
            <w:tcW w:w="1080" w:type="dxa"/>
            <w:vAlign w:val="center"/>
          </w:tcPr>
          <w:p w14:paraId="75C086B0" w14:textId="77777777" w:rsidR="001C0111" w:rsidRPr="001C0111" w:rsidRDefault="001C0111" w:rsidP="001C0111">
            <w:pPr>
              <w:jc w:val="center"/>
              <w:rPr>
                <w:rFonts w:eastAsia="Calibri"/>
                <w:noProof/>
                <w:color w:val="000000"/>
                <w:lang w:eastAsia="en-GB"/>
              </w:rPr>
            </w:pPr>
            <w:r w:rsidRPr="001C0111">
              <w:rPr>
                <w:rFonts w:eastAsia="Calibri"/>
                <w:noProof/>
                <w:color w:val="000000"/>
                <w:lang w:eastAsia="en-GB"/>
              </w:rPr>
              <w:t>Diff.</w:t>
            </w:r>
          </w:p>
        </w:tc>
        <w:tc>
          <w:tcPr>
            <w:tcW w:w="956" w:type="dxa"/>
            <w:vAlign w:val="center"/>
          </w:tcPr>
          <w:p w14:paraId="75FC01EC" w14:textId="77777777" w:rsidR="001C0111" w:rsidRPr="001C0111" w:rsidRDefault="001C0111" w:rsidP="001C0111">
            <w:pPr>
              <w:jc w:val="center"/>
              <w:rPr>
                <w:rFonts w:eastAsia="Calibri"/>
                <w:noProof/>
                <w:color w:val="000000"/>
                <w:sz w:val="20"/>
                <w:szCs w:val="20"/>
                <w:lang w:eastAsia="en-GB"/>
              </w:rPr>
            </w:pPr>
            <w:r w:rsidRPr="001C0111">
              <w:rPr>
                <w:rFonts w:eastAsia="Calibri"/>
                <w:noProof/>
                <w:color w:val="000000"/>
                <w:sz w:val="20"/>
                <w:szCs w:val="20"/>
                <w:lang w:eastAsia="en-GB"/>
              </w:rPr>
              <w:t>YES</w:t>
            </w:r>
          </w:p>
        </w:tc>
        <w:tc>
          <w:tcPr>
            <w:tcW w:w="1080" w:type="dxa"/>
            <w:vAlign w:val="center"/>
          </w:tcPr>
          <w:p w14:paraId="5FE2C1D4" w14:textId="77777777" w:rsidR="001C0111" w:rsidRPr="001C0111" w:rsidRDefault="001C0111" w:rsidP="001C0111">
            <w:pPr>
              <w:jc w:val="center"/>
              <w:rPr>
                <w:rFonts w:eastAsia="Calibri"/>
                <w:noProof/>
                <w:color w:val="000000"/>
                <w:sz w:val="20"/>
                <w:szCs w:val="20"/>
                <w:lang w:eastAsia="en-GB"/>
              </w:rPr>
            </w:pPr>
            <w:r w:rsidRPr="001C0111">
              <w:rPr>
                <w:rFonts w:eastAsia="Calibri"/>
                <w:noProof/>
                <w:color w:val="000000"/>
                <w:sz w:val="20"/>
                <w:szCs w:val="20"/>
                <w:lang w:eastAsia="en-GB"/>
              </w:rPr>
              <w:t>NO</w:t>
            </w:r>
          </w:p>
        </w:tc>
        <w:tc>
          <w:tcPr>
            <w:tcW w:w="956" w:type="dxa"/>
            <w:vAlign w:val="center"/>
          </w:tcPr>
          <w:p w14:paraId="1932CF0A" w14:textId="77777777" w:rsidR="001C0111" w:rsidRPr="001C0111" w:rsidRDefault="001C0111" w:rsidP="001C0111">
            <w:pPr>
              <w:jc w:val="center"/>
              <w:rPr>
                <w:rFonts w:eastAsia="Calibri"/>
                <w:noProof/>
                <w:color w:val="000000"/>
                <w:sz w:val="20"/>
                <w:szCs w:val="20"/>
                <w:lang w:eastAsia="en-GB"/>
              </w:rPr>
            </w:pPr>
            <w:r w:rsidRPr="001C0111">
              <w:rPr>
                <w:rFonts w:eastAsia="Calibri"/>
                <w:noProof/>
                <w:color w:val="000000"/>
                <w:sz w:val="20"/>
                <w:szCs w:val="20"/>
                <w:lang w:eastAsia="en-GB"/>
              </w:rPr>
              <w:t>/NO</w:t>
            </w:r>
          </w:p>
        </w:tc>
        <w:tc>
          <w:tcPr>
            <w:tcW w:w="1448" w:type="dxa"/>
            <w:vAlign w:val="center"/>
          </w:tcPr>
          <w:p w14:paraId="4D3D711F" w14:textId="77777777" w:rsidR="001C0111" w:rsidRPr="001C0111" w:rsidRDefault="001C0111" w:rsidP="001C0111">
            <w:pPr>
              <w:jc w:val="center"/>
              <w:rPr>
                <w:rFonts w:eastAsia="Calibri"/>
                <w:noProof/>
                <w:color w:val="000000"/>
                <w:sz w:val="20"/>
                <w:szCs w:val="20"/>
                <w:lang w:eastAsia="en-GB"/>
              </w:rPr>
            </w:pPr>
            <w:r w:rsidRPr="001C0111">
              <w:rPr>
                <w:rFonts w:eastAsia="Calibri"/>
                <w:noProof/>
                <w:color w:val="000000"/>
                <w:sz w:val="20"/>
                <w:szCs w:val="20"/>
                <w:lang w:eastAsia="en-GB"/>
              </w:rPr>
              <w:t>NO</w:t>
            </w:r>
          </w:p>
        </w:tc>
      </w:tr>
      <w:tr w:rsidR="001C0111" w:rsidRPr="001C0111" w14:paraId="25243A3C" w14:textId="77777777" w:rsidTr="00EE4772">
        <w:tc>
          <w:tcPr>
            <w:tcW w:w="1080" w:type="dxa"/>
            <w:vAlign w:val="center"/>
          </w:tcPr>
          <w:p w14:paraId="5CBF32C9" w14:textId="77777777" w:rsidR="001C0111" w:rsidRPr="001C0111" w:rsidRDefault="001C0111" w:rsidP="001C0111">
            <w:pPr>
              <w:jc w:val="center"/>
              <w:rPr>
                <w:rFonts w:eastAsia="Calibri"/>
                <w:noProof/>
                <w:color w:val="000000"/>
                <w:lang w:eastAsia="en-GB"/>
              </w:rPr>
            </w:pPr>
            <w:r w:rsidRPr="001C0111">
              <w:rPr>
                <w:rFonts w:eastAsia="Calibri"/>
                <w:noProof/>
                <w:color w:val="000000"/>
                <w:lang w:eastAsia="en-GB"/>
              </w:rPr>
              <w:t>3</w:t>
            </w:r>
          </w:p>
        </w:tc>
        <w:tc>
          <w:tcPr>
            <w:tcW w:w="3960" w:type="dxa"/>
            <w:vAlign w:val="center"/>
          </w:tcPr>
          <w:p w14:paraId="2E0C27F5" w14:textId="77777777" w:rsidR="001C0111" w:rsidRPr="001C0111" w:rsidRDefault="001C0111" w:rsidP="001C0111">
            <w:pPr>
              <w:spacing w:before="60"/>
              <w:rPr>
                <w:rFonts w:eastAsia="Calibri"/>
                <w:noProof/>
                <w:color w:val="000000"/>
                <w:lang w:eastAsia="en-GB"/>
              </w:rPr>
            </w:pPr>
            <w:r w:rsidRPr="001C0111">
              <w:rPr>
                <w:rFonts w:eastAsia="Calibri"/>
                <w:noProof/>
                <w:color w:val="000000"/>
                <w:lang w:eastAsia="en-GB"/>
              </w:rPr>
              <w:t>09 10 01 European Chemicals Agency – environmental directives and international conventions</w:t>
            </w:r>
          </w:p>
        </w:tc>
        <w:tc>
          <w:tcPr>
            <w:tcW w:w="1080" w:type="dxa"/>
            <w:vAlign w:val="center"/>
          </w:tcPr>
          <w:p w14:paraId="23659ACD" w14:textId="77777777" w:rsidR="001C0111" w:rsidRPr="001C0111" w:rsidRDefault="001C0111" w:rsidP="001C0111">
            <w:pPr>
              <w:jc w:val="center"/>
              <w:rPr>
                <w:rFonts w:eastAsia="Calibri"/>
                <w:noProof/>
                <w:color w:val="000000"/>
                <w:lang w:eastAsia="en-GB"/>
              </w:rPr>
            </w:pPr>
            <w:r w:rsidRPr="001C0111">
              <w:rPr>
                <w:rFonts w:eastAsia="Calibri"/>
                <w:noProof/>
                <w:color w:val="000000"/>
                <w:lang w:eastAsia="en-GB"/>
              </w:rPr>
              <w:t>Diff.</w:t>
            </w:r>
          </w:p>
        </w:tc>
        <w:tc>
          <w:tcPr>
            <w:tcW w:w="956" w:type="dxa"/>
            <w:vAlign w:val="center"/>
          </w:tcPr>
          <w:p w14:paraId="0BF0782D" w14:textId="77777777" w:rsidR="001C0111" w:rsidRPr="001C0111" w:rsidRDefault="001C0111" w:rsidP="001C0111">
            <w:pPr>
              <w:jc w:val="center"/>
              <w:rPr>
                <w:rFonts w:eastAsia="Calibri"/>
                <w:noProof/>
                <w:color w:val="000000"/>
                <w:sz w:val="20"/>
                <w:szCs w:val="20"/>
                <w:lang w:eastAsia="en-GB"/>
              </w:rPr>
            </w:pPr>
            <w:r w:rsidRPr="001C0111">
              <w:rPr>
                <w:rFonts w:eastAsia="Calibri"/>
                <w:noProof/>
                <w:color w:val="000000"/>
                <w:sz w:val="20"/>
                <w:szCs w:val="20"/>
                <w:lang w:eastAsia="en-GB"/>
              </w:rPr>
              <w:t>YES</w:t>
            </w:r>
          </w:p>
        </w:tc>
        <w:tc>
          <w:tcPr>
            <w:tcW w:w="1080" w:type="dxa"/>
            <w:vAlign w:val="center"/>
          </w:tcPr>
          <w:p w14:paraId="233F17B0" w14:textId="77777777" w:rsidR="001C0111" w:rsidRPr="001C0111" w:rsidRDefault="001C0111" w:rsidP="001C0111">
            <w:pPr>
              <w:jc w:val="center"/>
              <w:rPr>
                <w:rFonts w:eastAsia="Calibri"/>
                <w:noProof/>
                <w:color w:val="000000"/>
                <w:sz w:val="20"/>
                <w:szCs w:val="20"/>
                <w:lang w:eastAsia="en-GB"/>
              </w:rPr>
            </w:pPr>
            <w:r w:rsidRPr="001C0111">
              <w:rPr>
                <w:rFonts w:eastAsia="Calibri"/>
                <w:noProof/>
                <w:color w:val="000000"/>
                <w:sz w:val="20"/>
                <w:szCs w:val="20"/>
                <w:lang w:eastAsia="en-GB"/>
              </w:rPr>
              <w:t>NO</w:t>
            </w:r>
          </w:p>
        </w:tc>
        <w:tc>
          <w:tcPr>
            <w:tcW w:w="956" w:type="dxa"/>
            <w:vAlign w:val="center"/>
          </w:tcPr>
          <w:p w14:paraId="467C7D66" w14:textId="77777777" w:rsidR="001C0111" w:rsidRPr="001C0111" w:rsidRDefault="001C0111" w:rsidP="001C0111">
            <w:pPr>
              <w:jc w:val="center"/>
              <w:rPr>
                <w:rFonts w:eastAsia="Calibri"/>
                <w:noProof/>
                <w:color w:val="000000"/>
                <w:sz w:val="20"/>
                <w:szCs w:val="20"/>
                <w:lang w:eastAsia="en-GB"/>
              </w:rPr>
            </w:pPr>
            <w:r w:rsidRPr="001C0111">
              <w:rPr>
                <w:rFonts w:eastAsia="Calibri"/>
                <w:noProof/>
                <w:color w:val="000000"/>
                <w:sz w:val="20"/>
                <w:szCs w:val="20"/>
                <w:lang w:eastAsia="en-GB"/>
              </w:rPr>
              <w:t>NO</w:t>
            </w:r>
          </w:p>
        </w:tc>
        <w:tc>
          <w:tcPr>
            <w:tcW w:w="1448" w:type="dxa"/>
            <w:vAlign w:val="center"/>
          </w:tcPr>
          <w:p w14:paraId="30E39051" w14:textId="77777777" w:rsidR="001C0111" w:rsidRPr="001C0111" w:rsidRDefault="001C0111" w:rsidP="001C0111">
            <w:pPr>
              <w:jc w:val="center"/>
              <w:rPr>
                <w:rFonts w:eastAsia="Calibri"/>
                <w:noProof/>
                <w:color w:val="000000"/>
                <w:sz w:val="20"/>
                <w:szCs w:val="20"/>
                <w:lang w:eastAsia="en-GB"/>
              </w:rPr>
            </w:pPr>
            <w:r w:rsidRPr="001C0111">
              <w:rPr>
                <w:rFonts w:eastAsia="Calibri"/>
                <w:noProof/>
                <w:color w:val="000000"/>
                <w:sz w:val="20"/>
                <w:szCs w:val="20"/>
                <w:lang w:eastAsia="en-GB"/>
              </w:rPr>
              <w:t>NO</w:t>
            </w:r>
          </w:p>
        </w:tc>
      </w:tr>
      <w:tr w:rsidR="001C0111" w:rsidRPr="001C0111" w14:paraId="1FEEFE73" w14:textId="77777777" w:rsidTr="00EE4772">
        <w:tc>
          <w:tcPr>
            <w:tcW w:w="1080" w:type="dxa"/>
            <w:vAlign w:val="center"/>
          </w:tcPr>
          <w:p w14:paraId="79DADC38" w14:textId="77777777" w:rsidR="001C0111" w:rsidRPr="001C0111" w:rsidRDefault="001C0111" w:rsidP="001C0111">
            <w:pPr>
              <w:jc w:val="center"/>
              <w:rPr>
                <w:noProof/>
                <w:color w:val="0000FF"/>
                <w:lang w:val="en-IE" w:eastAsia="en-GB"/>
              </w:rPr>
            </w:pPr>
            <w:r w:rsidRPr="001C0111">
              <w:rPr>
                <w:rFonts w:eastAsia="Calibri"/>
                <w:noProof/>
                <w:color w:val="000000"/>
                <w:lang w:eastAsia="en-GB"/>
              </w:rPr>
              <w:t>3</w:t>
            </w:r>
          </w:p>
        </w:tc>
        <w:tc>
          <w:tcPr>
            <w:tcW w:w="3960" w:type="dxa"/>
            <w:vAlign w:val="center"/>
          </w:tcPr>
          <w:p w14:paraId="5C3F5B09" w14:textId="77777777" w:rsidR="001C0111" w:rsidRPr="001C0111" w:rsidRDefault="001C0111" w:rsidP="001C0111">
            <w:pPr>
              <w:spacing w:before="60"/>
              <w:rPr>
                <w:noProof/>
                <w:sz w:val="22"/>
                <w:lang w:val="en-IE" w:eastAsia="en-GB"/>
              </w:rPr>
            </w:pPr>
            <w:r w:rsidRPr="001C0111">
              <w:rPr>
                <w:rFonts w:eastAsia="Calibri"/>
                <w:noProof/>
                <w:color w:val="000000"/>
                <w:lang w:eastAsia="en-GB"/>
              </w:rPr>
              <w:t>09 10 02 European Environment Agency</w:t>
            </w:r>
          </w:p>
        </w:tc>
        <w:tc>
          <w:tcPr>
            <w:tcW w:w="1080" w:type="dxa"/>
            <w:vAlign w:val="center"/>
          </w:tcPr>
          <w:p w14:paraId="05944A81" w14:textId="77777777" w:rsidR="001C0111" w:rsidRPr="001C0111" w:rsidRDefault="001C0111" w:rsidP="001C0111">
            <w:pPr>
              <w:jc w:val="center"/>
              <w:rPr>
                <w:noProof/>
                <w:sz w:val="22"/>
                <w:lang w:val="en-IE" w:eastAsia="en-GB"/>
              </w:rPr>
            </w:pPr>
            <w:r w:rsidRPr="001C0111">
              <w:rPr>
                <w:rFonts w:eastAsia="Calibri"/>
                <w:noProof/>
                <w:color w:val="000000"/>
                <w:lang w:eastAsia="en-GB"/>
              </w:rPr>
              <w:t>Diff.</w:t>
            </w:r>
          </w:p>
        </w:tc>
        <w:tc>
          <w:tcPr>
            <w:tcW w:w="956" w:type="dxa"/>
            <w:vAlign w:val="center"/>
          </w:tcPr>
          <w:p w14:paraId="24FAEF5C" w14:textId="77777777" w:rsidR="001C0111" w:rsidRPr="001C0111" w:rsidRDefault="001C0111" w:rsidP="001C0111">
            <w:pPr>
              <w:jc w:val="center"/>
              <w:rPr>
                <w:noProof/>
                <w:sz w:val="20"/>
                <w:szCs w:val="20"/>
                <w:lang w:val="en-IE" w:eastAsia="en-GB"/>
              </w:rPr>
            </w:pPr>
            <w:r w:rsidRPr="001C0111">
              <w:rPr>
                <w:rFonts w:eastAsia="Calibri"/>
                <w:noProof/>
                <w:color w:val="000000"/>
                <w:sz w:val="20"/>
                <w:szCs w:val="20"/>
                <w:lang w:eastAsia="en-GB"/>
              </w:rPr>
              <w:t>YES</w:t>
            </w:r>
          </w:p>
        </w:tc>
        <w:tc>
          <w:tcPr>
            <w:tcW w:w="1080" w:type="dxa"/>
            <w:vAlign w:val="center"/>
          </w:tcPr>
          <w:p w14:paraId="49BD749D" w14:textId="77777777" w:rsidR="001C0111" w:rsidRPr="001C0111" w:rsidRDefault="001C0111" w:rsidP="001C0111">
            <w:pPr>
              <w:jc w:val="center"/>
              <w:rPr>
                <w:noProof/>
                <w:sz w:val="20"/>
                <w:szCs w:val="20"/>
                <w:lang w:val="en-IE" w:eastAsia="en-GB"/>
              </w:rPr>
            </w:pPr>
            <w:r w:rsidRPr="001C0111">
              <w:rPr>
                <w:rFonts w:eastAsia="Calibri"/>
                <w:noProof/>
                <w:color w:val="000000"/>
                <w:sz w:val="20"/>
                <w:szCs w:val="20"/>
                <w:lang w:eastAsia="en-GB"/>
              </w:rPr>
              <w:t>YES</w:t>
            </w:r>
          </w:p>
        </w:tc>
        <w:tc>
          <w:tcPr>
            <w:tcW w:w="956" w:type="dxa"/>
            <w:vAlign w:val="center"/>
          </w:tcPr>
          <w:p w14:paraId="042F7CDC" w14:textId="77777777" w:rsidR="001C0111" w:rsidRPr="001C0111" w:rsidRDefault="001C0111" w:rsidP="001C0111">
            <w:pPr>
              <w:jc w:val="center"/>
              <w:rPr>
                <w:noProof/>
                <w:sz w:val="20"/>
                <w:szCs w:val="20"/>
                <w:lang w:val="en-IE" w:eastAsia="en-GB"/>
              </w:rPr>
            </w:pPr>
            <w:r w:rsidRPr="001C0111">
              <w:rPr>
                <w:rFonts w:eastAsia="Calibri"/>
                <w:noProof/>
                <w:color w:val="000000"/>
                <w:sz w:val="20"/>
                <w:szCs w:val="20"/>
                <w:lang w:eastAsia="en-GB"/>
              </w:rPr>
              <w:t>NO</w:t>
            </w:r>
          </w:p>
        </w:tc>
        <w:tc>
          <w:tcPr>
            <w:tcW w:w="1448" w:type="dxa"/>
            <w:vAlign w:val="center"/>
          </w:tcPr>
          <w:p w14:paraId="2CD5C4E3" w14:textId="77777777" w:rsidR="001C0111" w:rsidRPr="001C0111" w:rsidRDefault="001C0111" w:rsidP="001C0111">
            <w:pPr>
              <w:jc w:val="center"/>
              <w:rPr>
                <w:noProof/>
                <w:sz w:val="20"/>
                <w:szCs w:val="20"/>
                <w:lang w:val="en-IE" w:eastAsia="en-GB"/>
              </w:rPr>
            </w:pPr>
            <w:r w:rsidRPr="001C0111">
              <w:rPr>
                <w:rFonts w:eastAsia="Calibri"/>
                <w:noProof/>
                <w:color w:val="000000"/>
                <w:sz w:val="20"/>
                <w:szCs w:val="20"/>
                <w:lang w:eastAsia="en-GB"/>
              </w:rPr>
              <w:t>NO</w:t>
            </w:r>
          </w:p>
        </w:tc>
      </w:tr>
      <w:tr w:rsidR="001C0111" w:rsidRPr="001C0111" w14:paraId="586C0E6C" w14:textId="77777777" w:rsidTr="00EE4772">
        <w:tc>
          <w:tcPr>
            <w:tcW w:w="1080" w:type="dxa"/>
            <w:vAlign w:val="center"/>
          </w:tcPr>
          <w:p w14:paraId="2EA44E48" w14:textId="77777777" w:rsidR="001C0111" w:rsidRPr="001C0111" w:rsidRDefault="001C0111" w:rsidP="001C0111">
            <w:pPr>
              <w:jc w:val="center"/>
              <w:rPr>
                <w:noProof/>
                <w:color w:val="0000FF"/>
                <w:lang w:val="en-IE" w:eastAsia="en-GB"/>
              </w:rPr>
            </w:pPr>
            <w:r w:rsidRPr="001C0111">
              <w:rPr>
                <w:rFonts w:eastAsia="Calibri"/>
                <w:noProof/>
                <w:color w:val="000000"/>
                <w:lang w:eastAsia="en-GB"/>
              </w:rPr>
              <w:t>7</w:t>
            </w:r>
          </w:p>
        </w:tc>
        <w:tc>
          <w:tcPr>
            <w:tcW w:w="3960" w:type="dxa"/>
            <w:vAlign w:val="center"/>
          </w:tcPr>
          <w:p w14:paraId="705BE516" w14:textId="77777777" w:rsidR="001C0111" w:rsidRPr="001C0111" w:rsidRDefault="001C0111" w:rsidP="001C0111">
            <w:pPr>
              <w:spacing w:before="60"/>
              <w:rPr>
                <w:noProof/>
                <w:sz w:val="22"/>
                <w:lang w:val="en-IE" w:eastAsia="en-GB"/>
              </w:rPr>
            </w:pPr>
            <w:r w:rsidRPr="001C0111">
              <w:rPr>
                <w:rFonts w:eastAsia="Calibri"/>
                <w:noProof/>
                <w:color w:val="000000"/>
                <w:lang w:eastAsia="en-GB"/>
              </w:rPr>
              <w:t>20 01 02 01 – Remuneration and allowances</w:t>
            </w:r>
          </w:p>
        </w:tc>
        <w:tc>
          <w:tcPr>
            <w:tcW w:w="1080" w:type="dxa"/>
            <w:vAlign w:val="center"/>
          </w:tcPr>
          <w:p w14:paraId="10708165" w14:textId="77777777" w:rsidR="001C0111" w:rsidRPr="001C0111" w:rsidRDefault="001C0111" w:rsidP="001C0111">
            <w:pPr>
              <w:jc w:val="center"/>
              <w:rPr>
                <w:noProof/>
                <w:sz w:val="22"/>
                <w:lang w:val="en-IE" w:eastAsia="en-GB"/>
              </w:rPr>
            </w:pPr>
            <w:r w:rsidRPr="001C0111">
              <w:rPr>
                <w:rFonts w:eastAsia="Calibri"/>
                <w:noProof/>
                <w:color w:val="000000"/>
                <w:lang w:eastAsia="en-GB"/>
              </w:rPr>
              <w:t>Non-diff.</w:t>
            </w:r>
          </w:p>
        </w:tc>
        <w:tc>
          <w:tcPr>
            <w:tcW w:w="956" w:type="dxa"/>
            <w:vAlign w:val="center"/>
          </w:tcPr>
          <w:p w14:paraId="4720B1AB" w14:textId="77777777" w:rsidR="001C0111" w:rsidRPr="001C0111" w:rsidRDefault="001C0111" w:rsidP="001C0111">
            <w:pPr>
              <w:jc w:val="center"/>
              <w:rPr>
                <w:noProof/>
                <w:sz w:val="20"/>
                <w:szCs w:val="20"/>
                <w:lang w:val="en-IE" w:eastAsia="en-GB"/>
              </w:rPr>
            </w:pPr>
            <w:r w:rsidRPr="001C0111">
              <w:rPr>
                <w:rFonts w:eastAsia="Calibri"/>
                <w:noProof/>
                <w:color w:val="000000"/>
                <w:sz w:val="20"/>
                <w:szCs w:val="20"/>
                <w:lang w:eastAsia="en-GB"/>
              </w:rPr>
              <w:t>NO</w:t>
            </w:r>
          </w:p>
        </w:tc>
        <w:tc>
          <w:tcPr>
            <w:tcW w:w="1080" w:type="dxa"/>
            <w:vAlign w:val="center"/>
          </w:tcPr>
          <w:p w14:paraId="4C4CCCE1" w14:textId="77777777" w:rsidR="001C0111" w:rsidRPr="001C0111" w:rsidRDefault="001C0111" w:rsidP="001C0111">
            <w:pPr>
              <w:jc w:val="center"/>
              <w:rPr>
                <w:noProof/>
                <w:sz w:val="20"/>
                <w:szCs w:val="20"/>
                <w:lang w:val="en-IE" w:eastAsia="en-GB"/>
              </w:rPr>
            </w:pPr>
            <w:r w:rsidRPr="001C0111">
              <w:rPr>
                <w:rFonts w:eastAsia="Calibri"/>
                <w:noProof/>
                <w:color w:val="000000"/>
                <w:sz w:val="20"/>
                <w:szCs w:val="20"/>
                <w:lang w:eastAsia="en-GB"/>
              </w:rPr>
              <w:t>NO</w:t>
            </w:r>
          </w:p>
        </w:tc>
        <w:tc>
          <w:tcPr>
            <w:tcW w:w="956" w:type="dxa"/>
            <w:vAlign w:val="center"/>
          </w:tcPr>
          <w:p w14:paraId="395CB2D3" w14:textId="77777777" w:rsidR="001C0111" w:rsidRPr="001C0111" w:rsidRDefault="001C0111" w:rsidP="001C0111">
            <w:pPr>
              <w:jc w:val="center"/>
              <w:rPr>
                <w:noProof/>
                <w:sz w:val="20"/>
                <w:szCs w:val="20"/>
                <w:lang w:val="en-IE" w:eastAsia="en-GB"/>
              </w:rPr>
            </w:pPr>
            <w:r w:rsidRPr="001C0111">
              <w:rPr>
                <w:rFonts w:eastAsia="Calibri"/>
                <w:noProof/>
                <w:color w:val="000000"/>
                <w:sz w:val="20"/>
                <w:szCs w:val="20"/>
                <w:lang w:eastAsia="en-GB"/>
              </w:rPr>
              <w:t>NO</w:t>
            </w:r>
          </w:p>
        </w:tc>
        <w:tc>
          <w:tcPr>
            <w:tcW w:w="1448" w:type="dxa"/>
            <w:vAlign w:val="center"/>
          </w:tcPr>
          <w:p w14:paraId="34450F63" w14:textId="77777777" w:rsidR="001C0111" w:rsidRPr="001C0111" w:rsidRDefault="001C0111" w:rsidP="001C0111">
            <w:pPr>
              <w:jc w:val="center"/>
              <w:rPr>
                <w:noProof/>
                <w:sz w:val="20"/>
                <w:szCs w:val="20"/>
                <w:lang w:val="en-IE" w:eastAsia="en-GB"/>
              </w:rPr>
            </w:pPr>
            <w:r w:rsidRPr="001C0111">
              <w:rPr>
                <w:rFonts w:eastAsia="Calibri"/>
                <w:noProof/>
                <w:color w:val="000000"/>
                <w:sz w:val="20"/>
                <w:szCs w:val="20"/>
                <w:lang w:eastAsia="en-GB"/>
              </w:rPr>
              <w:t>NO</w:t>
            </w:r>
          </w:p>
        </w:tc>
      </w:tr>
    </w:tbl>
    <w:p w14:paraId="44722DAF" w14:textId="77777777" w:rsidR="001C0111" w:rsidRPr="001C0111" w:rsidRDefault="001C0111" w:rsidP="001C0111">
      <w:pPr>
        <w:tabs>
          <w:tab w:val="num" w:pos="1134"/>
        </w:tabs>
        <w:ind w:left="1134" w:hanging="283"/>
        <w:rPr>
          <w:noProof/>
          <w:lang w:val="en-IE" w:eastAsia="en-GB"/>
        </w:rPr>
      </w:pPr>
      <w:r w:rsidRPr="001C0111">
        <w:rPr>
          <w:noProof/>
          <w:lang w:val="en-IE" w:eastAsia="en-GB"/>
        </w:rPr>
        <w:t xml:space="preserve">New budget lines requested </w:t>
      </w:r>
    </w:p>
    <w:p w14:paraId="6B4F745A"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eastAsia="en-GB"/>
        </w:rPr>
      </w:pPr>
      <w:r w:rsidRPr="001C0111">
        <w:rPr>
          <w:noProof/>
          <w:lang w:eastAsia="en-GB"/>
        </w:rPr>
        <w:t>N/A</w:t>
      </w:r>
    </w:p>
    <w:p w14:paraId="622FA278" w14:textId="77777777" w:rsidR="001C0111" w:rsidRPr="001C0111" w:rsidRDefault="001C0111" w:rsidP="001C0111">
      <w:pPr>
        <w:rPr>
          <w:noProof/>
          <w:lang w:val="en-IE" w:eastAsia="en-GB"/>
        </w:rPr>
        <w:sectPr w:rsidR="001C0111" w:rsidRPr="001C0111" w:rsidSect="00A71C3C">
          <w:footnotePr>
            <w:numRestart w:val="eachSect"/>
          </w:footnotePr>
          <w:pgSz w:w="11907" w:h="16840" w:code="1"/>
          <w:pgMar w:top="1134" w:right="1418" w:bottom="1134" w:left="1418" w:header="709" w:footer="709" w:gutter="0"/>
          <w:cols w:space="708"/>
          <w:docGrid w:linePitch="360"/>
        </w:sectPr>
      </w:pPr>
    </w:p>
    <w:p w14:paraId="5878C682" w14:textId="77777777" w:rsidR="001C0111" w:rsidRPr="001C0111" w:rsidRDefault="001C0111" w:rsidP="002A2DB0">
      <w:pPr>
        <w:keepNext/>
        <w:outlineLvl w:val="1"/>
        <w:rPr>
          <w:rFonts w:eastAsiaTheme="majorEastAsia"/>
          <w:b/>
          <w:noProof/>
          <w:szCs w:val="24"/>
          <w:lang w:val="en-IE" w:eastAsia="en-GB"/>
        </w:rPr>
      </w:pPr>
      <w:bookmarkStart w:id="55" w:name="_Toc514938052"/>
      <w:bookmarkStart w:id="56" w:name="_Toc520485051"/>
      <w:r w:rsidRPr="001C0111">
        <w:rPr>
          <w:rFonts w:eastAsiaTheme="majorEastAsia"/>
          <w:b/>
          <w:bCs/>
          <w:noProof/>
          <w:szCs w:val="26"/>
          <w:lang w:val="en-IE" w:eastAsia="en-GB"/>
        </w:rPr>
        <w:t>Estimated financial impact of the proposal on appropriations</w:t>
      </w:r>
      <w:bookmarkEnd w:id="55"/>
      <w:bookmarkEnd w:id="56"/>
      <w:r w:rsidRPr="001C0111">
        <w:rPr>
          <w:rFonts w:eastAsiaTheme="majorEastAsia"/>
          <w:b/>
          <w:bCs/>
          <w:noProof/>
          <w:szCs w:val="26"/>
          <w:lang w:val="en-IE" w:eastAsia="en-GB"/>
        </w:rPr>
        <w:t xml:space="preserve"> </w:t>
      </w:r>
    </w:p>
    <w:p w14:paraId="2C645F2A" w14:textId="77777777" w:rsidR="001C0111" w:rsidRPr="001C0111" w:rsidRDefault="001C0111" w:rsidP="002A2DB0">
      <w:pPr>
        <w:keepNext/>
        <w:outlineLvl w:val="2"/>
        <w:rPr>
          <w:rFonts w:eastAsiaTheme="majorEastAsia"/>
          <w:bCs/>
          <w:i/>
          <w:noProof/>
          <w:lang w:val="en-IE" w:eastAsia="en-GB"/>
        </w:rPr>
      </w:pPr>
      <w:bookmarkStart w:id="57" w:name="_Toc514938053"/>
      <w:bookmarkStart w:id="58" w:name="_Toc520485052"/>
      <w:r w:rsidRPr="001C0111">
        <w:rPr>
          <w:rFonts w:eastAsiaTheme="majorEastAsia"/>
          <w:bCs/>
          <w:i/>
          <w:noProof/>
          <w:lang w:val="en-IE" w:eastAsia="en-GB"/>
        </w:rPr>
        <w:t>Summary of estimated impact on operational appropriations</w:t>
      </w:r>
      <w:bookmarkEnd w:id="57"/>
      <w:bookmarkEnd w:id="58"/>
      <w:r w:rsidRPr="001C0111">
        <w:rPr>
          <w:rFonts w:eastAsiaTheme="majorEastAsia"/>
          <w:bCs/>
          <w:i/>
          <w:noProof/>
          <w:lang w:val="en-IE" w:eastAsia="en-GB"/>
        </w:rPr>
        <w:t xml:space="preserve"> </w:t>
      </w:r>
    </w:p>
    <w:p w14:paraId="21A3A45A"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ab/>
        <w:t xml:space="preserve">The proposal/initiative does not require the use of operational appropriations </w:t>
      </w:r>
    </w:p>
    <w:p w14:paraId="1DE4DF39" w14:textId="77777777" w:rsidR="001C0111" w:rsidRPr="001C0111" w:rsidRDefault="001C0111" w:rsidP="002A2DB0">
      <w:pPr>
        <w:rPr>
          <w:noProof/>
          <w:lang w:val="en-IE" w:eastAsia="en-GB"/>
        </w:rPr>
      </w:pPr>
      <w:r w:rsidRPr="001C0111">
        <w:rPr>
          <w:rFonts w:ascii="Wingdings" w:eastAsia="Wingdings" w:hAnsi="Wingdings" w:cs="Wingdings"/>
          <w:b/>
          <w:noProof/>
          <w:lang w:eastAsia="en-GB"/>
        </w:rPr>
        <w:t></w:t>
      </w:r>
      <w:r w:rsidRPr="001C0111">
        <w:rPr>
          <w:noProof/>
          <w:lang w:val="en-IE" w:eastAsia="en-GB"/>
        </w:rPr>
        <w:tab/>
        <w:t>The proposal/initiative requires the use of operational appropriations, as explained below:</w:t>
      </w:r>
    </w:p>
    <w:p w14:paraId="70544EF8" w14:textId="77777777" w:rsidR="001C0111" w:rsidRPr="001C0111" w:rsidRDefault="001C0111" w:rsidP="001C0111">
      <w:pPr>
        <w:jc w:val="right"/>
        <w:rPr>
          <w:noProof/>
          <w:sz w:val="18"/>
          <w:szCs w:val="18"/>
          <w:lang w:val="en-IE" w:eastAsia="en-GB"/>
        </w:rPr>
      </w:pPr>
      <w:r w:rsidRPr="001C0111">
        <w:rPr>
          <w:noProof/>
          <w:sz w:val="18"/>
          <w:szCs w:val="18"/>
          <w:lang w:val="en-IE" w:eastAsia="en-GB"/>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1"/>
        <w:gridCol w:w="2126"/>
        <w:gridCol w:w="3827"/>
      </w:tblGrid>
      <w:tr w:rsidR="001C0111" w:rsidRPr="001C0111" w14:paraId="00E1EE9F" w14:textId="77777777" w:rsidTr="00F221F6">
        <w:trPr>
          <w:jc w:val="center"/>
        </w:trPr>
        <w:tc>
          <w:tcPr>
            <w:tcW w:w="5811" w:type="dxa"/>
            <w:shd w:val="thinDiagStripe" w:color="C0C0C0" w:fill="auto"/>
            <w:vAlign w:val="center"/>
          </w:tcPr>
          <w:p w14:paraId="6D6661F3" w14:textId="77777777" w:rsidR="001C0111" w:rsidRPr="001C0111" w:rsidRDefault="001C0111" w:rsidP="001C0111">
            <w:pPr>
              <w:spacing w:before="60" w:after="60"/>
              <w:jc w:val="center"/>
              <w:rPr>
                <w:b/>
                <w:noProof/>
                <w:lang w:val="en-IE" w:eastAsia="en-GB"/>
              </w:rPr>
            </w:pPr>
            <w:r w:rsidRPr="001C0111">
              <w:rPr>
                <w:b/>
                <w:noProof/>
                <w:sz w:val="22"/>
                <w:lang w:val="en-IE" w:eastAsia="en-GB"/>
              </w:rPr>
              <w:t xml:space="preserve">Heading of multiannual financial </w:t>
            </w:r>
            <w:r w:rsidRPr="001C0111">
              <w:rPr>
                <w:noProof/>
                <w:sz w:val="22"/>
                <w:lang w:val="en-IE" w:eastAsia="en-GB"/>
              </w:rPr>
              <w:br/>
            </w:r>
            <w:r w:rsidRPr="001C0111">
              <w:rPr>
                <w:b/>
                <w:noProof/>
                <w:sz w:val="22"/>
                <w:lang w:val="en-IE" w:eastAsia="en-GB"/>
              </w:rPr>
              <w:t xml:space="preserve">framework </w:t>
            </w:r>
          </w:p>
        </w:tc>
        <w:tc>
          <w:tcPr>
            <w:tcW w:w="2126" w:type="dxa"/>
            <w:vAlign w:val="center"/>
          </w:tcPr>
          <w:p w14:paraId="0BC889D0" w14:textId="77777777" w:rsidR="001C0111" w:rsidRPr="001C0111" w:rsidRDefault="001C0111" w:rsidP="001C0111">
            <w:pPr>
              <w:spacing w:before="60" w:after="60"/>
              <w:jc w:val="center"/>
              <w:rPr>
                <w:b/>
                <w:noProof/>
                <w:lang w:val="en-IE" w:eastAsia="en-GB"/>
              </w:rPr>
            </w:pPr>
            <w:r w:rsidRPr="001C0111">
              <w:rPr>
                <w:b/>
                <w:noProof/>
                <w:sz w:val="22"/>
                <w:lang w:val="en-IE" w:eastAsia="en-GB"/>
              </w:rPr>
              <w:t>3</w:t>
            </w:r>
          </w:p>
        </w:tc>
        <w:tc>
          <w:tcPr>
            <w:tcW w:w="3827" w:type="dxa"/>
            <w:vAlign w:val="center"/>
          </w:tcPr>
          <w:p w14:paraId="275B9EA5" w14:textId="77777777" w:rsidR="001C0111" w:rsidRPr="001C0111" w:rsidRDefault="001C0111" w:rsidP="001C0111">
            <w:pPr>
              <w:spacing w:before="60" w:after="60"/>
              <w:jc w:val="center"/>
              <w:rPr>
                <w:noProof/>
                <w:lang w:val="en-IE" w:eastAsia="en-GB"/>
              </w:rPr>
            </w:pPr>
            <w:r w:rsidRPr="001C0111">
              <w:rPr>
                <w:noProof/>
                <w:lang w:eastAsia="en-GB"/>
              </w:rPr>
              <w:t>Natural resources and environment</w:t>
            </w:r>
          </w:p>
        </w:tc>
      </w:tr>
    </w:tbl>
    <w:p w14:paraId="768BF298" w14:textId="77777777" w:rsidR="001C0111" w:rsidRPr="001C0111" w:rsidRDefault="001C0111" w:rsidP="001C0111">
      <w:pPr>
        <w:rPr>
          <w:noProof/>
          <w:sz w:val="16"/>
          <w:lang w:val="en-IE" w:eastAsia="en-GB"/>
        </w:rPr>
      </w:pPr>
    </w:p>
    <w:tbl>
      <w:tblPr>
        <w:tblW w:w="12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1440"/>
        <w:gridCol w:w="120"/>
        <w:gridCol w:w="534"/>
        <w:gridCol w:w="868"/>
        <w:gridCol w:w="868"/>
        <w:gridCol w:w="868"/>
        <w:gridCol w:w="868"/>
        <w:gridCol w:w="914"/>
        <w:gridCol w:w="1998"/>
      </w:tblGrid>
      <w:tr w:rsidR="001C0111" w:rsidRPr="001C0111" w14:paraId="091D9AC7" w14:textId="77777777" w:rsidTr="00EE4772">
        <w:tc>
          <w:tcPr>
            <w:tcW w:w="3713" w:type="dxa"/>
            <w:vAlign w:val="center"/>
          </w:tcPr>
          <w:p w14:paraId="71E6B132" w14:textId="77777777" w:rsidR="001C0111" w:rsidRPr="001C0111" w:rsidRDefault="001C0111" w:rsidP="001C0111">
            <w:pPr>
              <w:jc w:val="center"/>
              <w:rPr>
                <w:b/>
                <w:noProof/>
                <w:lang w:val="en-IE" w:eastAsia="en-GB"/>
              </w:rPr>
            </w:pPr>
            <w:r w:rsidRPr="001C0111">
              <w:rPr>
                <w:b/>
                <w:noProof/>
                <w:sz w:val="22"/>
                <w:lang w:val="en-IE" w:eastAsia="en-GB"/>
              </w:rPr>
              <w:t>DG: ENV</w:t>
            </w:r>
          </w:p>
        </w:tc>
        <w:tc>
          <w:tcPr>
            <w:tcW w:w="1560" w:type="dxa"/>
            <w:gridSpan w:val="2"/>
          </w:tcPr>
          <w:p w14:paraId="3A28B9D5" w14:textId="77777777" w:rsidR="001C0111" w:rsidRPr="001C0111" w:rsidRDefault="001C0111" w:rsidP="001C0111">
            <w:pPr>
              <w:rPr>
                <w:noProof/>
                <w:sz w:val="20"/>
                <w:lang w:val="en-IE" w:eastAsia="en-GB"/>
              </w:rPr>
            </w:pPr>
          </w:p>
        </w:tc>
        <w:tc>
          <w:tcPr>
            <w:tcW w:w="534" w:type="dxa"/>
          </w:tcPr>
          <w:p w14:paraId="476E0528" w14:textId="77777777" w:rsidR="001C0111" w:rsidRPr="001C0111" w:rsidRDefault="001C0111" w:rsidP="001C0111">
            <w:pPr>
              <w:jc w:val="center"/>
              <w:rPr>
                <w:noProof/>
                <w:sz w:val="20"/>
                <w:lang w:val="en-IE" w:eastAsia="en-GB"/>
              </w:rPr>
            </w:pPr>
          </w:p>
        </w:tc>
        <w:tc>
          <w:tcPr>
            <w:tcW w:w="868" w:type="dxa"/>
            <w:vAlign w:val="center"/>
          </w:tcPr>
          <w:p w14:paraId="62C8B522" w14:textId="77777777" w:rsidR="001C0111" w:rsidRPr="001C0111" w:rsidRDefault="001C0111" w:rsidP="001C0111">
            <w:pPr>
              <w:jc w:val="center"/>
              <w:rPr>
                <w:b/>
                <w:noProof/>
                <w:sz w:val="20"/>
                <w:lang w:val="en-IE" w:eastAsia="en-GB"/>
              </w:rPr>
            </w:pPr>
            <w:r w:rsidRPr="001C0111">
              <w:rPr>
                <w:b/>
                <w:noProof/>
                <w:sz w:val="20"/>
                <w:lang w:val="en-IE" w:eastAsia="en-GB"/>
              </w:rPr>
              <w:t>2023</w:t>
            </w:r>
          </w:p>
        </w:tc>
        <w:tc>
          <w:tcPr>
            <w:tcW w:w="868" w:type="dxa"/>
            <w:vAlign w:val="center"/>
          </w:tcPr>
          <w:p w14:paraId="48D9BEE1" w14:textId="77777777" w:rsidR="001C0111" w:rsidRPr="001C0111" w:rsidRDefault="001C0111" w:rsidP="001C0111">
            <w:pPr>
              <w:jc w:val="center"/>
              <w:rPr>
                <w:b/>
                <w:noProof/>
                <w:sz w:val="20"/>
                <w:lang w:val="en-IE" w:eastAsia="en-GB"/>
              </w:rPr>
            </w:pPr>
            <w:r w:rsidRPr="001C0111">
              <w:rPr>
                <w:b/>
                <w:noProof/>
                <w:sz w:val="20"/>
                <w:lang w:val="en-IE" w:eastAsia="en-GB"/>
              </w:rPr>
              <w:t>2024</w:t>
            </w:r>
          </w:p>
        </w:tc>
        <w:tc>
          <w:tcPr>
            <w:tcW w:w="868" w:type="dxa"/>
            <w:vAlign w:val="center"/>
          </w:tcPr>
          <w:p w14:paraId="647C9C4C" w14:textId="77777777" w:rsidR="001C0111" w:rsidRPr="001C0111" w:rsidRDefault="001C0111" w:rsidP="001C0111">
            <w:pPr>
              <w:jc w:val="center"/>
              <w:rPr>
                <w:b/>
                <w:noProof/>
                <w:sz w:val="20"/>
                <w:lang w:val="en-IE" w:eastAsia="en-GB"/>
              </w:rPr>
            </w:pPr>
            <w:r w:rsidRPr="001C0111">
              <w:rPr>
                <w:b/>
                <w:noProof/>
                <w:sz w:val="20"/>
                <w:lang w:val="en-IE" w:eastAsia="en-GB"/>
              </w:rPr>
              <w:t>2025</w:t>
            </w:r>
          </w:p>
        </w:tc>
        <w:tc>
          <w:tcPr>
            <w:tcW w:w="868" w:type="dxa"/>
            <w:vAlign w:val="center"/>
          </w:tcPr>
          <w:p w14:paraId="1B84F24B" w14:textId="77777777" w:rsidR="001C0111" w:rsidRPr="001C0111" w:rsidRDefault="001C0111" w:rsidP="001C0111">
            <w:pPr>
              <w:jc w:val="center"/>
              <w:rPr>
                <w:b/>
                <w:noProof/>
                <w:sz w:val="20"/>
                <w:lang w:val="en-IE" w:eastAsia="en-GB"/>
              </w:rPr>
            </w:pPr>
            <w:r w:rsidRPr="001C0111">
              <w:rPr>
                <w:b/>
                <w:noProof/>
                <w:sz w:val="20"/>
                <w:lang w:val="en-IE" w:eastAsia="en-GB"/>
              </w:rPr>
              <w:t>2026</w:t>
            </w:r>
          </w:p>
        </w:tc>
        <w:tc>
          <w:tcPr>
            <w:tcW w:w="914" w:type="dxa"/>
          </w:tcPr>
          <w:p w14:paraId="564FE330" w14:textId="77777777" w:rsidR="001C0111" w:rsidRPr="001C0111" w:rsidRDefault="001C0111" w:rsidP="001C0111">
            <w:pPr>
              <w:jc w:val="center"/>
              <w:rPr>
                <w:noProof/>
                <w:sz w:val="18"/>
                <w:lang w:val="en-IE" w:eastAsia="en-GB"/>
              </w:rPr>
            </w:pPr>
            <w:r w:rsidRPr="001C0111">
              <w:rPr>
                <w:b/>
                <w:noProof/>
                <w:sz w:val="20"/>
                <w:lang w:val="en-IE" w:eastAsia="en-GB"/>
              </w:rPr>
              <w:t>2027 and beyond</w:t>
            </w:r>
          </w:p>
        </w:tc>
        <w:tc>
          <w:tcPr>
            <w:tcW w:w="1998" w:type="dxa"/>
            <w:vAlign w:val="center"/>
          </w:tcPr>
          <w:p w14:paraId="51CB8E44" w14:textId="77777777" w:rsidR="001C0111" w:rsidRPr="001C0111" w:rsidRDefault="001C0111" w:rsidP="001C0111">
            <w:pPr>
              <w:jc w:val="center"/>
              <w:rPr>
                <w:b/>
                <w:noProof/>
                <w:sz w:val="20"/>
                <w:lang w:val="en-IE" w:eastAsia="en-GB"/>
              </w:rPr>
            </w:pPr>
            <w:r w:rsidRPr="001C0111">
              <w:rPr>
                <w:b/>
                <w:noProof/>
                <w:sz w:val="20"/>
                <w:lang w:val="en-IE" w:eastAsia="en-GB"/>
              </w:rPr>
              <w:t>TOTAL</w:t>
            </w:r>
          </w:p>
        </w:tc>
      </w:tr>
      <w:tr w:rsidR="001C0111" w:rsidRPr="001C0111" w14:paraId="38F4E1D8" w14:textId="77777777" w:rsidTr="00EE4772">
        <w:trPr>
          <w:trHeight w:val="213"/>
        </w:trPr>
        <w:tc>
          <w:tcPr>
            <w:tcW w:w="5807" w:type="dxa"/>
            <w:gridSpan w:val="4"/>
            <w:vAlign w:val="center"/>
          </w:tcPr>
          <w:p w14:paraId="4FC77020" w14:textId="77777777" w:rsidR="001C0111" w:rsidRPr="001C0111" w:rsidRDefault="001C0111" w:rsidP="001C0111">
            <w:pPr>
              <w:spacing w:before="20" w:after="20"/>
              <w:rPr>
                <w:noProof/>
                <w:sz w:val="21"/>
                <w:lang w:val="en-IE" w:eastAsia="en-GB"/>
              </w:rPr>
            </w:pPr>
            <w:r w:rsidRPr="001C0111">
              <w:rPr>
                <w:rFonts w:ascii="Wingdings" w:eastAsia="Wingdings" w:hAnsi="Wingdings" w:cs="Wingdings"/>
                <w:noProof/>
                <w:sz w:val="21"/>
                <w:lang w:val="en-IE" w:eastAsia="en-GB"/>
              </w:rPr>
              <w:t>□</w:t>
            </w:r>
            <w:r w:rsidRPr="001C0111">
              <w:rPr>
                <w:noProof/>
                <w:sz w:val="21"/>
                <w:lang w:val="en-IE" w:eastAsia="en-GB"/>
              </w:rPr>
              <w:t xml:space="preserve"> Operational appropriations </w:t>
            </w:r>
          </w:p>
        </w:tc>
        <w:tc>
          <w:tcPr>
            <w:tcW w:w="868" w:type="dxa"/>
            <w:vAlign w:val="center"/>
          </w:tcPr>
          <w:p w14:paraId="31255F6E" w14:textId="77777777" w:rsidR="001C0111" w:rsidRPr="001C0111" w:rsidRDefault="001C0111" w:rsidP="001C0111">
            <w:pPr>
              <w:rPr>
                <w:noProof/>
                <w:sz w:val="20"/>
                <w:lang w:val="en-IE" w:eastAsia="en-GB"/>
              </w:rPr>
            </w:pPr>
          </w:p>
        </w:tc>
        <w:tc>
          <w:tcPr>
            <w:tcW w:w="868" w:type="dxa"/>
            <w:vAlign w:val="center"/>
          </w:tcPr>
          <w:p w14:paraId="01CAD6B5" w14:textId="77777777" w:rsidR="001C0111" w:rsidRPr="001C0111" w:rsidRDefault="001C0111" w:rsidP="001C0111">
            <w:pPr>
              <w:rPr>
                <w:noProof/>
                <w:sz w:val="20"/>
                <w:lang w:val="en-IE" w:eastAsia="en-GB"/>
              </w:rPr>
            </w:pPr>
          </w:p>
        </w:tc>
        <w:tc>
          <w:tcPr>
            <w:tcW w:w="868" w:type="dxa"/>
            <w:vAlign w:val="center"/>
          </w:tcPr>
          <w:p w14:paraId="5D9B85C4" w14:textId="77777777" w:rsidR="001C0111" w:rsidRPr="001C0111" w:rsidRDefault="001C0111" w:rsidP="001C0111">
            <w:pPr>
              <w:rPr>
                <w:noProof/>
                <w:sz w:val="20"/>
                <w:lang w:val="en-IE" w:eastAsia="en-GB"/>
              </w:rPr>
            </w:pPr>
          </w:p>
        </w:tc>
        <w:tc>
          <w:tcPr>
            <w:tcW w:w="868" w:type="dxa"/>
            <w:vAlign w:val="center"/>
          </w:tcPr>
          <w:p w14:paraId="326789E5" w14:textId="77777777" w:rsidR="001C0111" w:rsidRPr="001C0111" w:rsidRDefault="001C0111" w:rsidP="001C0111">
            <w:pPr>
              <w:rPr>
                <w:noProof/>
                <w:sz w:val="20"/>
                <w:lang w:val="en-IE" w:eastAsia="en-GB"/>
              </w:rPr>
            </w:pPr>
          </w:p>
        </w:tc>
        <w:tc>
          <w:tcPr>
            <w:tcW w:w="914" w:type="dxa"/>
          </w:tcPr>
          <w:p w14:paraId="4921F0EE" w14:textId="77777777" w:rsidR="001C0111" w:rsidRPr="001C0111" w:rsidRDefault="001C0111" w:rsidP="001C0111">
            <w:pPr>
              <w:rPr>
                <w:noProof/>
                <w:sz w:val="20"/>
                <w:lang w:val="en-IE" w:eastAsia="en-GB"/>
              </w:rPr>
            </w:pPr>
          </w:p>
        </w:tc>
        <w:tc>
          <w:tcPr>
            <w:tcW w:w="1998" w:type="dxa"/>
            <w:vAlign w:val="center"/>
          </w:tcPr>
          <w:p w14:paraId="3624B307" w14:textId="77777777" w:rsidR="001C0111" w:rsidRPr="001C0111" w:rsidRDefault="001C0111" w:rsidP="001C0111">
            <w:pPr>
              <w:rPr>
                <w:b/>
                <w:noProof/>
                <w:sz w:val="20"/>
                <w:lang w:val="en-IE" w:eastAsia="en-GB"/>
              </w:rPr>
            </w:pPr>
          </w:p>
        </w:tc>
      </w:tr>
      <w:tr w:rsidR="001C0111" w:rsidRPr="001C0111" w14:paraId="21B92317" w14:textId="77777777" w:rsidTr="00EE4772">
        <w:tc>
          <w:tcPr>
            <w:tcW w:w="3713" w:type="dxa"/>
            <w:vMerge w:val="restart"/>
            <w:vAlign w:val="center"/>
          </w:tcPr>
          <w:p w14:paraId="2588EE31" w14:textId="77777777" w:rsidR="001C0111" w:rsidRPr="001C0111" w:rsidRDefault="001C0111" w:rsidP="001C0111">
            <w:pPr>
              <w:rPr>
                <w:noProof/>
                <w:sz w:val="20"/>
                <w:lang w:eastAsia="en-GB"/>
              </w:rPr>
            </w:pPr>
            <w:r w:rsidRPr="001C0111">
              <w:rPr>
                <w:noProof/>
                <w:sz w:val="20"/>
                <w:lang w:eastAsia="en-GB"/>
              </w:rPr>
              <w:t>09 02 02 Circular Economy</w:t>
            </w:r>
            <w:r w:rsidRPr="001C0111" w:rsidDel="0051384E">
              <w:rPr>
                <w:noProof/>
                <w:sz w:val="20"/>
                <w:lang w:eastAsia="en-GB"/>
              </w:rPr>
              <w:t xml:space="preserve"> </w:t>
            </w:r>
            <w:r w:rsidRPr="001C0111">
              <w:rPr>
                <w:noProof/>
                <w:sz w:val="20"/>
                <w:lang w:eastAsia="en-GB"/>
              </w:rPr>
              <w:t>and quality of life</w:t>
            </w:r>
          </w:p>
        </w:tc>
        <w:tc>
          <w:tcPr>
            <w:tcW w:w="1440" w:type="dxa"/>
            <w:vAlign w:val="center"/>
          </w:tcPr>
          <w:p w14:paraId="112695A9" w14:textId="77777777" w:rsidR="001C0111" w:rsidRPr="001C0111" w:rsidRDefault="001C0111" w:rsidP="001C0111">
            <w:pPr>
              <w:spacing w:before="20" w:after="20"/>
              <w:rPr>
                <w:noProof/>
                <w:sz w:val="18"/>
                <w:lang w:val="en-IE" w:eastAsia="en-GB"/>
              </w:rPr>
            </w:pPr>
            <w:r w:rsidRPr="001C0111">
              <w:rPr>
                <w:noProof/>
                <w:sz w:val="18"/>
                <w:lang w:val="en-IE" w:eastAsia="en-GB"/>
              </w:rPr>
              <w:t>Commitments</w:t>
            </w:r>
          </w:p>
        </w:tc>
        <w:tc>
          <w:tcPr>
            <w:tcW w:w="654" w:type="dxa"/>
            <w:gridSpan w:val="2"/>
            <w:vAlign w:val="center"/>
          </w:tcPr>
          <w:p w14:paraId="10482F4B" w14:textId="77777777" w:rsidR="001C0111" w:rsidRPr="001C0111" w:rsidRDefault="001C0111" w:rsidP="001C0111">
            <w:pPr>
              <w:spacing w:before="20" w:after="20"/>
              <w:jc w:val="center"/>
              <w:rPr>
                <w:noProof/>
                <w:sz w:val="14"/>
                <w:lang w:val="en-IE" w:eastAsia="en-GB"/>
              </w:rPr>
            </w:pPr>
            <w:r w:rsidRPr="001C0111">
              <w:rPr>
                <w:noProof/>
                <w:sz w:val="14"/>
                <w:lang w:val="en-IE" w:eastAsia="en-GB"/>
              </w:rPr>
              <w:t>(1)</w:t>
            </w:r>
          </w:p>
        </w:tc>
        <w:tc>
          <w:tcPr>
            <w:tcW w:w="868" w:type="dxa"/>
            <w:vAlign w:val="bottom"/>
          </w:tcPr>
          <w:p w14:paraId="3C4AFAE1"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w:t>
            </w:r>
            <w:r w:rsidRPr="001C0111">
              <w:rPr>
                <w:noProof/>
                <w:sz w:val="20"/>
                <w:lang w:eastAsia="en-GB"/>
              </w:rPr>
              <w:t>,</w:t>
            </w:r>
            <w:r w:rsidRPr="001C0111">
              <w:rPr>
                <w:noProof/>
                <w:sz w:val="20"/>
                <w:lang w:val="en-IE" w:eastAsia="en-GB"/>
              </w:rPr>
              <w:t>100</w:t>
            </w:r>
          </w:p>
        </w:tc>
        <w:tc>
          <w:tcPr>
            <w:tcW w:w="868" w:type="dxa"/>
            <w:vAlign w:val="bottom"/>
          </w:tcPr>
          <w:p w14:paraId="23877124"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868" w:type="dxa"/>
            <w:vAlign w:val="bottom"/>
          </w:tcPr>
          <w:p w14:paraId="1E0C3F08"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868" w:type="dxa"/>
            <w:vAlign w:val="bottom"/>
          </w:tcPr>
          <w:p w14:paraId="56DADE49"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914" w:type="dxa"/>
            <w:vAlign w:val="bottom"/>
          </w:tcPr>
          <w:p w14:paraId="258E8232"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1998" w:type="dxa"/>
            <w:vAlign w:val="bottom"/>
          </w:tcPr>
          <w:p w14:paraId="67256C50" w14:textId="77777777" w:rsidR="001C0111" w:rsidRPr="001C0111" w:rsidRDefault="001C0111" w:rsidP="001C0111">
            <w:pPr>
              <w:spacing w:before="20" w:after="20"/>
              <w:jc w:val="right"/>
              <w:rPr>
                <w:b/>
                <w:noProof/>
                <w:sz w:val="20"/>
                <w:lang w:val="en-IE" w:eastAsia="en-GB"/>
              </w:rPr>
            </w:pPr>
            <w:r w:rsidRPr="001C0111">
              <w:rPr>
                <w:b/>
                <w:noProof/>
                <w:sz w:val="20"/>
                <w:lang w:val="en-IE" w:eastAsia="en-GB"/>
              </w:rPr>
              <w:t>0,500</w:t>
            </w:r>
          </w:p>
        </w:tc>
      </w:tr>
      <w:tr w:rsidR="001C0111" w:rsidRPr="001C0111" w14:paraId="4BF880E9" w14:textId="77777777" w:rsidTr="00EE4772">
        <w:tc>
          <w:tcPr>
            <w:tcW w:w="3713" w:type="dxa"/>
            <w:vMerge/>
          </w:tcPr>
          <w:p w14:paraId="5683DDA8" w14:textId="77777777" w:rsidR="001C0111" w:rsidRPr="001C0111" w:rsidRDefault="001C0111" w:rsidP="001C0111">
            <w:pPr>
              <w:jc w:val="center"/>
              <w:rPr>
                <w:noProof/>
                <w:sz w:val="20"/>
                <w:lang w:val="en-IE" w:eastAsia="en-GB"/>
              </w:rPr>
            </w:pPr>
          </w:p>
        </w:tc>
        <w:tc>
          <w:tcPr>
            <w:tcW w:w="1440" w:type="dxa"/>
            <w:vAlign w:val="center"/>
          </w:tcPr>
          <w:p w14:paraId="1BDB47A1" w14:textId="77777777" w:rsidR="001C0111" w:rsidRPr="001C0111" w:rsidRDefault="001C0111" w:rsidP="001C0111">
            <w:pPr>
              <w:spacing w:before="20" w:after="20"/>
              <w:rPr>
                <w:noProof/>
                <w:sz w:val="18"/>
                <w:lang w:val="en-IE" w:eastAsia="en-GB"/>
              </w:rPr>
            </w:pPr>
            <w:r w:rsidRPr="001C0111">
              <w:rPr>
                <w:noProof/>
                <w:sz w:val="18"/>
                <w:lang w:val="en-IE" w:eastAsia="en-GB"/>
              </w:rPr>
              <w:t>Payments</w:t>
            </w:r>
          </w:p>
        </w:tc>
        <w:tc>
          <w:tcPr>
            <w:tcW w:w="654" w:type="dxa"/>
            <w:gridSpan w:val="2"/>
            <w:vAlign w:val="center"/>
          </w:tcPr>
          <w:p w14:paraId="4657BDE9" w14:textId="77777777" w:rsidR="001C0111" w:rsidRPr="001C0111" w:rsidRDefault="001C0111" w:rsidP="001C0111">
            <w:pPr>
              <w:spacing w:before="20" w:after="20"/>
              <w:jc w:val="center"/>
              <w:rPr>
                <w:noProof/>
                <w:sz w:val="14"/>
                <w:lang w:val="en-IE" w:eastAsia="en-GB"/>
              </w:rPr>
            </w:pPr>
            <w:r w:rsidRPr="001C0111">
              <w:rPr>
                <w:noProof/>
                <w:sz w:val="14"/>
                <w:lang w:val="en-IE" w:eastAsia="en-GB"/>
              </w:rPr>
              <w:t>(2)</w:t>
            </w:r>
          </w:p>
        </w:tc>
        <w:tc>
          <w:tcPr>
            <w:tcW w:w="868" w:type="dxa"/>
            <w:vAlign w:val="bottom"/>
          </w:tcPr>
          <w:p w14:paraId="2F1D65FE"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w:t>
            </w:r>
            <w:r w:rsidRPr="001C0111">
              <w:rPr>
                <w:noProof/>
                <w:sz w:val="20"/>
                <w:lang w:eastAsia="en-GB"/>
              </w:rPr>
              <w:t>,</w:t>
            </w:r>
            <w:r w:rsidRPr="001C0111">
              <w:rPr>
                <w:noProof/>
                <w:sz w:val="20"/>
                <w:lang w:val="en-IE" w:eastAsia="en-GB"/>
              </w:rPr>
              <w:t>100</w:t>
            </w:r>
          </w:p>
        </w:tc>
        <w:tc>
          <w:tcPr>
            <w:tcW w:w="868" w:type="dxa"/>
            <w:vAlign w:val="bottom"/>
          </w:tcPr>
          <w:p w14:paraId="15DE8CA7"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868" w:type="dxa"/>
            <w:vAlign w:val="bottom"/>
          </w:tcPr>
          <w:p w14:paraId="15C6B22B"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868" w:type="dxa"/>
            <w:vAlign w:val="bottom"/>
          </w:tcPr>
          <w:p w14:paraId="02ADEAC0"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914" w:type="dxa"/>
            <w:vAlign w:val="bottom"/>
          </w:tcPr>
          <w:p w14:paraId="65137408"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1998" w:type="dxa"/>
            <w:vAlign w:val="bottom"/>
          </w:tcPr>
          <w:p w14:paraId="36573E29" w14:textId="77777777" w:rsidR="001C0111" w:rsidRPr="001C0111" w:rsidRDefault="001C0111" w:rsidP="001C0111">
            <w:pPr>
              <w:spacing w:before="20" w:after="20"/>
              <w:jc w:val="right"/>
              <w:rPr>
                <w:b/>
                <w:noProof/>
                <w:sz w:val="20"/>
                <w:lang w:val="en-IE" w:eastAsia="en-GB"/>
              </w:rPr>
            </w:pPr>
            <w:r w:rsidRPr="001C0111">
              <w:rPr>
                <w:b/>
                <w:noProof/>
                <w:sz w:val="20"/>
                <w:lang w:val="en-IE" w:eastAsia="en-GB"/>
              </w:rPr>
              <w:t>0,500</w:t>
            </w:r>
          </w:p>
        </w:tc>
      </w:tr>
      <w:tr w:rsidR="001C0111" w:rsidRPr="001C0111" w14:paraId="4FF574B5" w14:textId="77777777" w:rsidTr="00EE4772">
        <w:tc>
          <w:tcPr>
            <w:tcW w:w="3713" w:type="dxa"/>
            <w:vMerge w:val="restart"/>
            <w:vAlign w:val="center"/>
          </w:tcPr>
          <w:p w14:paraId="17765891" w14:textId="77777777" w:rsidR="001C0111" w:rsidRPr="001C0111" w:rsidRDefault="001C0111" w:rsidP="001C0111">
            <w:pPr>
              <w:jc w:val="center"/>
              <w:rPr>
                <w:b/>
                <w:noProof/>
                <w:lang w:val="en-IE" w:eastAsia="en-GB"/>
              </w:rPr>
            </w:pPr>
            <w:r w:rsidRPr="001C0111">
              <w:rPr>
                <w:b/>
                <w:noProof/>
                <w:sz w:val="22"/>
                <w:lang w:val="en-IE" w:eastAsia="en-GB"/>
              </w:rPr>
              <w:t>TOTAL appropriations</w:t>
            </w:r>
            <w:r w:rsidRPr="001C0111">
              <w:rPr>
                <w:noProof/>
                <w:sz w:val="22"/>
                <w:lang w:val="en-IE" w:eastAsia="en-GB"/>
              </w:rPr>
              <w:br/>
            </w:r>
            <w:r w:rsidRPr="001C0111">
              <w:rPr>
                <w:b/>
                <w:noProof/>
                <w:sz w:val="22"/>
                <w:lang w:val="en-IE" w:eastAsia="en-GB"/>
              </w:rPr>
              <w:t>for DG ENV</w:t>
            </w:r>
          </w:p>
        </w:tc>
        <w:tc>
          <w:tcPr>
            <w:tcW w:w="1440" w:type="dxa"/>
            <w:vAlign w:val="center"/>
          </w:tcPr>
          <w:p w14:paraId="32307810" w14:textId="77777777" w:rsidR="001C0111" w:rsidRPr="001C0111" w:rsidRDefault="001C0111" w:rsidP="001C0111">
            <w:pPr>
              <w:rPr>
                <w:noProof/>
                <w:sz w:val="18"/>
                <w:lang w:val="en-IE" w:eastAsia="en-GB"/>
              </w:rPr>
            </w:pPr>
            <w:r w:rsidRPr="001C0111">
              <w:rPr>
                <w:noProof/>
                <w:sz w:val="18"/>
                <w:lang w:val="en-IE" w:eastAsia="en-GB"/>
              </w:rPr>
              <w:t>Commitments</w:t>
            </w:r>
          </w:p>
        </w:tc>
        <w:tc>
          <w:tcPr>
            <w:tcW w:w="654" w:type="dxa"/>
            <w:gridSpan w:val="2"/>
            <w:vAlign w:val="center"/>
          </w:tcPr>
          <w:p w14:paraId="087AB8EF" w14:textId="77777777" w:rsidR="001C0111" w:rsidRPr="001C0111" w:rsidRDefault="001C0111" w:rsidP="001C0111">
            <w:pPr>
              <w:jc w:val="center"/>
              <w:rPr>
                <w:noProof/>
                <w:sz w:val="14"/>
                <w:lang w:val="en-IE" w:eastAsia="en-GB"/>
              </w:rPr>
            </w:pPr>
            <w:r w:rsidRPr="001C0111">
              <w:rPr>
                <w:noProof/>
                <w:sz w:val="14"/>
                <w:lang w:val="en-IE" w:eastAsia="en-GB"/>
              </w:rPr>
              <w:t>=(1)</w:t>
            </w:r>
          </w:p>
        </w:tc>
        <w:tc>
          <w:tcPr>
            <w:tcW w:w="868" w:type="dxa"/>
            <w:vAlign w:val="bottom"/>
          </w:tcPr>
          <w:p w14:paraId="6715685D"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w:t>
            </w:r>
            <w:r w:rsidRPr="001C0111">
              <w:rPr>
                <w:noProof/>
                <w:sz w:val="20"/>
                <w:lang w:eastAsia="en-GB"/>
              </w:rPr>
              <w:t>,</w:t>
            </w:r>
            <w:r w:rsidRPr="001C0111">
              <w:rPr>
                <w:noProof/>
                <w:sz w:val="20"/>
                <w:lang w:val="en-IE" w:eastAsia="en-GB"/>
              </w:rPr>
              <w:t>100</w:t>
            </w:r>
          </w:p>
        </w:tc>
        <w:tc>
          <w:tcPr>
            <w:tcW w:w="868" w:type="dxa"/>
            <w:vAlign w:val="bottom"/>
          </w:tcPr>
          <w:p w14:paraId="3B5192D3"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868" w:type="dxa"/>
            <w:vAlign w:val="bottom"/>
          </w:tcPr>
          <w:p w14:paraId="437A76BA"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868" w:type="dxa"/>
            <w:vAlign w:val="bottom"/>
          </w:tcPr>
          <w:p w14:paraId="4C29A1C0"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914" w:type="dxa"/>
            <w:vAlign w:val="bottom"/>
          </w:tcPr>
          <w:p w14:paraId="742F16F7"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1998" w:type="dxa"/>
            <w:vAlign w:val="bottom"/>
          </w:tcPr>
          <w:p w14:paraId="4D91083A" w14:textId="77777777" w:rsidR="001C0111" w:rsidRPr="001C0111" w:rsidRDefault="001C0111" w:rsidP="001C0111">
            <w:pPr>
              <w:spacing w:before="20" w:after="20"/>
              <w:jc w:val="right"/>
              <w:rPr>
                <w:b/>
                <w:noProof/>
                <w:sz w:val="20"/>
                <w:lang w:val="en-IE" w:eastAsia="en-GB"/>
              </w:rPr>
            </w:pPr>
            <w:r w:rsidRPr="001C0111">
              <w:rPr>
                <w:b/>
                <w:noProof/>
                <w:sz w:val="20"/>
                <w:lang w:val="en-IE" w:eastAsia="en-GB"/>
              </w:rPr>
              <w:t>0,500</w:t>
            </w:r>
          </w:p>
        </w:tc>
      </w:tr>
      <w:tr w:rsidR="001C0111" w:rsidRPr="001C0111" w14:paraId="27CF7E29" w14:textId="77777777" w:rsidTr="00EE4772">
        <w:tc>
          <w:tcPr>
            <w:tcW w:w="3713" w:type="dxa"/>
            <w:vMerge/>
          </w:tcPr>
          <w:p w14:paraId="168B2337" w14:textId="77777777" w:rsidR="001C0111" w:rsidRPr="001C0111" w:rsidRDefault="001C0111" w:rsidP="001C0111">
            <w:pPr>
              <w:rPr>
                <w:noProof/>
                <w:sz w:val="20"/>
                <w:lang w:val="en-IE" w:eastAsia="en-GB"/>
              </w:rPr>
            </w:pPr>
          </w:p>
        </w:tc>
        <w:tc>
          <w:tcPr>
            <w:tcW w:w="1440" w:type="dxa"/>
            <w:vAlign w:val="center"/>
          </w:tcPr>
          <w:p w14:paraId="72D2B830" w14:textId="77777777" w:rsidR="001C0111" w:rsidRPr="001C0111" w:rsidRDefault="001C0111" w:rsidP="001C0111">
            <w:pPr>
              <w:rPr>
                <w:noProof/>
                <w:sz w:val="18"/>
                <w:lang w:val="en-IE" w:eastAsia="en-GB"/>
              </w:rPr>
            </w:pPr>
            <w:r w:rsidRPr="001C0111">
              <w:rPr>
                <w:noProof/>
                <w:sz w:val="18"/>
                <w:lang w:val="en-IE" w:eastAsia="en-GB"/>
              </w:rPr>
              <w:t>Payments</w:t>
            </w:r>
          </w:p>
        </w:tc>
        <w:tc>
          <w:tcPr>
            <w:tcW w:w="654" w:type="dxa"/>
            <w:gridSpan w:val="2"/>
            <w:vAlign w:val="center"/>
          </w:tcPr>
          <w:p w14:paraId="18F10705" w14:textId="77777777" w:rsidR="001C0111" w:rsidRPr="001C0111" w:rsidRDefault="001C0111" w:rsidP="001C0111">
            <w:pPr>
              <w:jc w:val="center"/>
              <w:rPr>
                <w:noProof/>
                <w:sz w:val="14"/>
                <w:lang w:val="en-IE" w:eastAsia="en-GB"/>
              </w:rPr>
            </w:pPr>
            <w:r w:rsidRPr="001C0111">
              <w:rPr>
                <w:noProof/>
                <w:sz w:val="14"/>
                <w:lang w:val="en-IE" w:eastAsia="en-GB"/>
              </w:rPr>
              <w:t>=(2)</w:t>
            </w:r>
          </w:p>
        </w:tc>
        <w:tc>
          <w:tcPr>
            <w:tcW w:w="868" w:type="dxa"/>
            <w:vAlign w:val="bottom"/>
          </w:tcPr>
          <w:p w14:paraId="71A70EC6"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w:t>
            </w:r>
            <w:r w:rsidRPr="001C0111">
              <w:rPr>
                <w:noProof/>
                <w:sz w:val="20"/>
                <w:lang w:eastAsia="en-GB"/>
              </w:rPr>
              <w:t>,</w:t>
            </w:r>
            <w:r w:rsidRPr="001C0111">
              <w:rPr>
                <w:noProof/>
                <w:sz w:val="20"/>
                <w:lang w:val="en-IE" w:eastAsia="en-GB"/>
              </w:rPr>
              <w:t>100</w:t>
            </w:r>
          </w:p>
        </w:tc>
        <w:tc>
          <w:tcPr>
            <w:tcW w:w="868" w:type="dxa"/>
            <w:vAlign w:val="bottom"/>
          </w:tcPr>
          <w:p w14:paraId="30EEB878"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868" w:type="dxa"/>
            <w:vAlign w:val="bottom"/>
          </w:tcPr>
          <w:p w14:paraId="512794DB"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868" w:type="dxa"/>
            <w:vAlign w:val="bottom"/>
          </w:tcPr>
          <w:p w14:paraId="76867769"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914" w:type="dxa"/>
            <w:vAlign w:val="bottom"/>
          </w:tcPr>
          <w:p w14:paraId="1F9FFFE4" w14:textId="77777777" w:rsidR="001C0111" w:rsidRPr="001C0111" w:rsidRDefault="001C0111" w:rsidP="001C0111">
            <w:pPr>
              <w:spacing w:before="20" w:after="20"/>
              <w:jc w:val="right"/>
              <w:rPr>
                <w:noProof/>
                <w:sz w:val="20"/>
                <w:lang w:val="en-IE" w:eastAsia="en-GB"/>
              </w:rPr>
            </w:pPr>
            <w:r w:rsidRPr="001C0111">
              <w:rPr>
                <w:noProof/>
                <w:sz w:val="20"/>
                <w:lang w:val="en-IE" w:eastAsia="en-GB"/>
              </w:rPr>
              <w:t>0,100</w:t>
            </w:r>
          </w:p>
        </w:tc>
        <w:tc>
          <w:tcPr>
            <w:tcW w:w="1998" w:type="dxa"/>
            <w:vAlign w:val="bottom"/>
          </w:tcPr>
          <w:p w14:paraId="58289456" w14:textId="77777777" w:rsidR="001C0111" w:rsidRPr="001C0111" w:rsidRDefault="001C0111" w:rsidP="001C0111">
            <w:pPr>
              <w:spacing w:before="20" w:after="20"/>
              <w:jc w:val="right"/>
              <w:rPr>
                <w:b/>
                <w:noProof/>
                <w:sz w:val="20"/>
                <w:lang w:val="en-IE" w:eastAsia="en-GB"/>
              </w:rPr>
            </w:pPr>
            <w:r w:rsidRPr="001C0111">
              <w:rPr>
                <w:b/>
                <w:noProof/>
                <w:sz w:val="20"/>
                <w:lang w:val="en-IE" w:eastAsia="en-GB"/>
              </w:rPr>
              <w:t>0,500</w:t>
            </w:r>
          </w:p>
        </w:tc>
      </w:tr>
    </w:tbl>
    <w:p w14:paraId="5E27B958" w14:textId="77777777" w:rsidR="001C0111" w:rsidRPr="001C0111" w:rsidRDefault="001C0111" w:rsidP="001C0111">
      <w:pPr>
        <w:rPr>
          <w:noProof/>
          <w:lang w:eastAsia="en-GB"/>
        </w:rPr>
      </w:pPr>
      <w:r w:rsidRPr="001C0111">
        <w:rPr>
          <w:noProof/>
          <w:lang w:eastAsia="en-GB"/>
        </w:rPr>
        <w:t xml:space="preserve">The amount reported above in 09.02.02 budget line will be needed to finance an administrative arrangement with the JRC and an additional financial support to the tune of 100 000 EUR per year for following tasks: </w:t>
      </w:r>
    </w:p>
    <w:p w14:paraId="34FE45A1" w14:textId="77777777" w:rsidR="001C0111" w:rsidRPr="001C0111" w:rsidRDefault="001C0111" w:rsidP="002A2DB0">
      <w:pPr>
        <w:contextualSpacing/>
        <w:rPr>
          <w:noProof/>
          <w:sz w:val="22"/>
          <w:lang w:eastAsia="en-GB"/>
        </w:rPr>
      </w:pPr>
      <w:r w:rsidRPr="001C0111">
        <w:rPr>
          <w:noProof/>
          <w:sz w:val="22"/>
          <w:lang w:eastAsia="en-GB"/>
        </w:rPr>
        <w:t>Support and guide the development of enhanced approaches related to air pollution monitoring and use of air quality modelling;</w:t>
      </w:r>
    </w:p>
    <w:p w14:paraId="19C1F11B" w14:textId="77777777" w:rsidR="001C0111" w:rsidRPr="001C0111" w:rsidRDefault="001C0111" w:rsidP="002A2DB0">
      <w:pPr>
        <w:contextualSpacing/>
        <w:rPr>
          <w:noProof/>
          <w:sz w:val="22"/>
          <w:lang w:eastAsia="en-GB"/>
        </w:rPr>
      </w:pPr>
      <w:r w:rsidRPr="001C0111">
        <w:rPr>
          <w:noProof/>
          <w:sz w:val="22"/>
          <w:lang w:eastAsia="en-GB"/>
        </w:rPr>
        <w:t xml:space="preserve">Support methodological improvements related to the spatial representativeness of air quality monitoring, harmonised air quality assessments, and source allocation;  </w:t>
      </w:r>
    </w:p>
    <w:p w14:paraId="404B5474" w14:textId="77777777" w:rsidR="001C0111" w:rsidRPr="001C0111" w:rsidRDefault="001C0111" w:rsidP="002A2DB0">
      <w:pPr>
        <w:contextualSpacing/>
        <w:rPr>
          <w:noProof/>
          <w:sz w:val="22"/>
          <w:lang w:eastAsia="en-GB"/>
        </w:rPr>
      </w:pPr>
      <w:r w:rsidRPr="001C0111">
        <w:rPr>
          <w:noProof/>
          <w:sz w:val="22"/>
          <w:lang w:eastAsia="en-GB"/>
        </w:rPr>
        <w:t>Support on the elaboration of practical guidance for the implementation of the Ambient Air Quality Directive on air quality monitoring and modelling;</w:t>
      </w:r>
    </w:p>
    <w:p w14:paraId="24F3B019" w14:textId="77777777" w:rsidR="001C0111" w:rsidRPr="001C0111" w:rsidRDefault="001C0111" w:rsidP="002A2DB0">
      <w:pPr>
        <w:contextualSpacing/>
        <w:rPr>
          <w:noProof/>
          <w:sz w:val="22"/>
          <w:lang w:eastAsia="en-GB"/>
        </w:rPr>
      </w:pPr>
      <w:r w:rsidRPr="001C0111">
        <w:rPr>
          <w:noProof/>
          <w:sz w:val="22"/>
          <w:lang w:eastAsia="en-GB"/>
        </w:rPr>
        <w:t>Organise and chair key support networks to further implementation of air policy at the national, regional, and urban level (e.g. AQUILA and FAIRMODE);</w:t>
      </w:r>
    </w:p>
    <w:p w14:paraId="33B76D46" w14:textId="77777777" w:rsidR="001C0111" w:rsidRPr="001C0111" w:rsidRDefault="001C0111" w:rsidP="002A2DB0">
      <w:pPr>
        <w:contextualSpacing/>
        <w:rPr>
          <w:noProof/>
          <w:sz w:val="22"/>
          <w:lang w:eastAsia="en-GB"/>
        </w:rPr>
      </w:pPr>
      <w:r w:rsidRPr="001C0111">
        <w:rPr>
          <w:noProof/>
          <w:sz w:val="22"/>
          <w:lang w:eastAsia="en-GB"/>
        </w:rPr>
        <w:t>Support development of standards related to air quality monitoring and modelling in collaboration with the European Committee for Standardization (CEN).</w:t>
      </w:r>
    </w:p>
    <w:p w14:paraId="1EE7E721" w14:textId="77777777" w:rsidR="001C0111" w:rsidRPr="001C0111" w:rsidRDefault="001C0111" w:rsidP="002A2DB0">
      <w:pPr>
        <w:contextualSpacing/>
        <w:rPr>
          <w:noProof/>
          <w:lang w:eastAsia="en-GB"/>
        </w:rPr>
      </w:pPr>
    </w:p>
    <w:p w14:paraId="419AA884" w14:textId="77777777" w:rsidR="001C0111" w:rsidRPr="001C0111" w:rsidRDefault="001C0111" w:rsidP="002A2DB0">
      <w:pPr>
        <w:contextualSpacing/>
        <w:rPr>
          <w:noProof/>
          <w:lang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9"/>
        <w:gridCol w:w="1560"/>
        <w:gridCol w:w="1186"/>
        <w:gridCol w:w="1134"/>
        <w:gridCol w:w="992"/>
        <w:gridCol w:w="851"/>
        <w:gridCol w:w="992"/>
        <w:gridCol w:w="1418"/>
      </w:tblGrid>
      <w:tr w:rsidR="001C0111" w:rsidRPr="001C0111" w14:paraId="0055EB64" w14:textId="77777777" w:rsidTr="00EE4772">
        <w:tc>
          <w:tcPr>
            <w:tcW w:w="4229" w:type="dxa"/>
            <w:vAlign w:val="center"/>
          </w:tcPr>
          <w:p w14:paraId="653FAD63" w14:textId="77777777" w:rsidR="001C0111" w:rsidRPr="001C0111" w:rsidRDefault="001C0111" w:rsidP="001C0111">
            <w:pPr>
              <w:jc w:val="center"/>
              <w:rPr>
                <w:b/>
                <w:noProof/>
                <w:lang w:eastAsia="en-GB"/>
              </w:rPr>
            </w:pPr>
            <w:r w:rsidRPr="001C0111">
              <w:rPr>
                <w:b/>
                <w:noProof/>
                <w:sz w:val="22"/>
                <w:lang w:eastAsia="en-GB"/>
              </w:rPr>
              <w:t>Agency: ECHA – Environmental Directives</w:t>
            </w:r>
          </w:p>
        </w:tc>
        <w:tc>
          <w:tcPr>
            <w:tcW w:w="1560" w:type="dxa"/>
          </w:tcPr>
          <w:p w14:paraId="56EB9C36" w14:textId="77777777" w:rsidR="001C0111" w:rsidRPr="001C0111" w:rsidRDefault="001C0111" w:rsidP="001C0111">
            <w:pPr>
              <w:rPr>
                <w:noProof/>
                <w:sz w:val="20"/>
                <w:lang w:eastAsia="en-GB"/>
              </w:rPr>
            </w:pPr>
          </w:p>
        </w:tc>
        <w:tc>
          <w:tcPr>
            <w:tcW w:w="1186" w:type="dxa"/>
          </w:tcPr>
          <w:p w14:paraId="27D49704" w14:textId="77777777" w:rsidR="001C0111" w:rsidRPr="001C0111" w:rsidRDefault="001C0111" w:rsidP="001C0111">
            <w:pPr>
              <w:jc w:val="center"/>
              <w:rPr>
                <w:noProof/>
                <w:sz w:val="20"/>
                <w:lang w:eastAsia="en-GB"/>
              </w:rPr>
            </w:pPr>
          </w:p>
        </w:tc>
        <w:tc>
          <w:tcPr>
            <w:tcW w:w="1134" w:type="dxa"/>
            <w:vAlign w:val="center"/>
          </w:tcPr>
          <w:p w14:paraId="21B22E4D" w14:textId="77777777" w:rsidR="001C0111" w:rsidRPr="001C0111" w:rsidRDefault="001C0111" w:rsidP="001C0111">
            <w:pPr>
              <w:jc w:val="center"/>
              <w:rPr>
                <w:noProof/>
                <w:sz w:val="20"/>
                <w:lang w:eastAsia="en-GB"/>
              </w:rPr>
            </w:pPr>
            <w:r w:rsidRPr="001C0111">
              <w:rPr>
                <w:b/>
                <w:noProof/>
                <w:sz w:val="20"/>
                <w:lang w:val="en-IE" w:eastAsia="en-GB"/>
              </w:rPr>
              <w:t>2024</w:t>
            </w:r>
          </w:p>
        </w:tc>
        <w:tc>
          <w:tcPr>
            <w:tcW w:w="992" w:type="dxa"/>
            <w:vAlign w:val="center"/>
          </w:tcPr>
          <w:p w14:paraId="4BA6FC24" w14:textId="77777777" w:rsidR="001C0111" w:rsidRPr="001C0111" w:rsidRDefault="001C0111" w:rsidP="001C0111">
            <w:pPr>
              <w:jc w:val="center"/>
              <w:rPr>
                <w:noProof/>
                <w:sz w:val="20"/>
                <w:lang w:eastAsia="en-GB"/>
              </w:rPr>
            </w:pPr>
            <w:r w:rsidRPr="001C0111">
              <w:rPr>
                <w:b/>
                <w:noProof/>
                <w:sz w:val="20"/>
                <w:lang w:val="en-IE" w:eastAsia="en-GB"/>
              </w:rPr>
              <w:t>2025</w:t>
            </w:r>
          </w:p>
        </w:tc>
        <w:tc>
          <w:tcPr>
            <w:tcW w:w="851" w:type="dxa"/>
            <w:vAlign w:val="center"/>
          </w:tcPr>
          <w:p w14:paraId="6023C572" w14:textId="77777777" w:rsidR="001C0111" w:rsidRPr="001C0111" w:rsidRDefault="001C0111" w:rsidP="001C0111">
            <w:pPr>
              <w:jc w:val="center"/>
              <w:rPr>
                <w:noProof/>
                <w:sz w:val="20"/>
                <w:lang w:eastAsia="en-GB"/>
              </w:rPr>
            </w:pPr>
            <w:r w:rsidRPr="001C0111">
              <w:rPr>
                <w:b/>
                <w:noProof/>
                <w:sz w:val="20"/>
                <w:lang w:val="en-IE" w:eastAsia="en-GB"/>
              </w:rPr>
              <w:t>2026</w:t>
            </w:r>
          </w:p>
        </w:tc>
        <w:tc>
          <w:tcPr>
            <w:tcW w:w="992" w:type="dxa"/>
            <w:vAlign w:val="center"/>
          </w:tcPr>
          <w:p w14:paraId="575A947C" w14:textId="77777777" w:rsidR="001C0111" w:rsidRPr="001C0111" w:rsidRDefault="001C0111" w:rsidP="001C0111">
            <w:pPr>
              <w:jc w:val="center"/>
              <w:rPr>
                <w:b/>
                <w:noProof/>
                <w:sz w:val="20"/>
                <w:lang w:val="en-IE" w:eastAsia="en-GB"/>
              </w:rPr>
            </w:pPr>
            <w:r w:rsidRPr="001C0111">
              <w:rPr>
                <w:b/>
                <w:noProof/>
                <w:sz w:val="20"/>
                <w:lang w:val="en-IE" w:eastAsia="en-GB"/>
              </w:rPr>
              <w:t>2027</w:t>
            </w:r>
          </w:p>
        </w:tc>
        <w:tc>
          <w:tcPr>
            <w:tcW w:w="1418" w:type="dxa"/>
            <w:vAlign w:val="center"/>
          </w:tcPr>
          <w:p w14:paraId="48FF2C5E" w14:textId="77777777" w:rsidR="001C0111" w:rsidRPr="001C0111" w:rsidRDefault="001C0111" w:rsidP="001C0111">
            <w:pPr>
              <w:jc w:val="center"/>
              <w:rPr>
                <w:b/>
                <w:noProof/>
                <w:sz w:val="20"/>
                <w:lang w:eastAsia="en-GB"/>
              </w:rPr>
            </w:pPr>
            <w:r w:rsidRPr="001C0111">
              <w:rPr>
                <w:b/>
                <w:noProof/>
                <w:sz w:val="20"/>
                <w:lang w:val="en-IE" w:eastAsia="en-GB"/>
              </w:rPr>
              <w:t>TOTAL</w:t>
            </w:r>
          </w:p>
        </w:tc>
      </w:tr>
      <w:tr w:rsidR="001C0111" w:rsidRPr="001C0111" w14:paraId="01E2916D" w14:textId="77777777" w:rsidTr="00EE4772">
        <w:trPr>
          <w:trHeight w:val="277"/>
        </w:trPr>
        <w:tc>
          <w:tcPr>
            <w:tcW w:w="4229" w:type="dxa"/>
            <w:vMerge w:val="restart"/>
            <w:vAlign w:val="center"/>
          </w:tcPr>
          <w:p w14:paraId="7B341B9D" w14:textId="77777777" w:rsidR="001C0111" w:rsidRPr="001C0111" w:rsidRDefault="001C0111" w:rsidP="001C0111">
            <w:pPr>
              <w:rPr>
                <w:noProof/>
                <w:lang w:eastAsia="en-GB"/>
              </w:rPr>
            </w:pPr>
            <w:r w:rsidRPr="001C0111">
              <w:rPr>
                <w:noProof/>
                <w:sz w:val="20"/>
                <w:lang w:eastAsia="en-GB"/>
              </w:rPr>
              <w:t>Title 1: Staff expenditure</w:t>
            </w:r>
          </w:p>
        </w:tc>
        <w:tc>
          <w:tcPr>
            <w:tcW w:w="1560" w:type="dxa"/>
            <w:vAlign w:val="center"/>
          </w:tcPr>
          <w:p w14:paraId="19145066" w14:textId="77777777" w:rsidR="001C0111" w:rsidRPr="001C0111" w:rsidRDefault="001C0111" w:rsidP="001C0111">
            <w:pPr>
              <w:spacing w:before="20" w:after="20"/>
              <w:rPr>
                <w:noProof/>
                <w:sz w:val="18"/>
                <w:lang w:eastAsia="en-GB"/>
              </w:rPr>
            </w:pPr>
            <w:r w:rsidRPr="001C0111">
              <w:rPr>
                <w:noProof/>
                <w:sz w:val="18"/>
                <w:lang w:eastAsia="en-GB"/>
              </w:rPr>
              <w:t>Commitments</w:t>
            </w:r>
          </w:p>
        </w:tc>
        <w:tc>
          <w:tcPr>
            <w:tcW w:w="1186" w:type="dxa"/>
            <w:vAlign w:val="center"/>
          </w:tcPr>
          <w:p w14:paraId="3B5D0C62" w14:textId="77777777" w:rsidR="001C0111" w:rsidRPr="001C0111" w:rsidRDefault="001C0111" w:rsidP="001C0111">
            <w:pPr>
              <w:spacing w:before="20" w:after="20"/>
              <w:jc w:val="center"/>
              <w:rPr>
                <w:noProof/>
                <w:sz w:val="14"/>
                <w:lang w:eastAsia="en-GB"/>
              </w:rPr>
            </w:pPr>
            <w:r w:rsidRPr="001C0111">
              <w:rPr>
                <w:noProof/>
                <w:sz w:val="14"/>
                <w:lang w:eastAsia="en-GB"/>
              </w:rPr>
              <w:t>(1a)</w:t>
            </w:r>
          </w:p>
        </w:tc>
        <w:tc>
          <w:tcPr>
            <w:tcW w:w="1134" w:type="dxa"/>
            <w:vAlign w:val="center"/>
          </w:tcPr>
          <w:p w14:paraId="7BB0CF55" w14:textId="77777777" w:rsidR="001C0111" w:rsidRPr="001C0111" w:rsidRDefault="001C0111" w:rsidP="001C0111">
            <w:pPr>
              <w:spacing w:before="20" w:after="20"/>
              <w:jc w:val="right"/>
              <w:rPr>
                <w:noProof/>
                <w:sz w:val="20"/>
                <w:lang w:eastAsia="en-GB"/>
              </w:rPr>
            </w:pPr>
            <w:r w:rsidRPr="001C0111">
              <w:rPr>
                <w:noProof/>
                <w:sz w:val="20"/>
                <w:lang w:eastAsia="en-GB"/>
              </w:rPr>
              <w:t>0,734</w:t>
            </w:r>
          </w:p>
        </w:tc>
        <w:tc>
          <w:tcPr>
            <w:tcW w:w="992" w:type="dxa"/>
          </w:tcPr>
          <w:p w14:paraId="490EF7E0" w14:textId="77777777" w:rsidR="001C0111" w:rsidRPr="001C0111" w:rsidRDefault="001C0111" w:rsidP="001C0111">
            <w:pPr>
              <w:spacing w:before="20" w:after="20"/>
              <w:jc w:val="right"/>
              <w:rPr>
                <w:noProof/>
                <w:sz w:val="20"/>
                <w:lang w:eastAsia="en-GB"/>
              </w:rPr>
            </w:pPr>
            <w:r w:rsidRPr="001C0111">
              <w:rPr>
                <w:noProof/>
                <w:sz w:val="20"/>
                <w:lang w:eastAsia="en-GB"/>
              </w:rPr>
              <w:t>1,498</w:t>
            </w:r>
          </w:p>
        </w:tc>
        <w:tc>
          <w:tcPr>
            <w:tcW w:w="851" w:type="dxa"/>
          </w:tcPr>
          <w:p w14:paraId="5E4819ED" w14:textId="77777777" w:rsidR="001C0111" w:rsidRPr="001C0111" w:rsidRDefault="001C0111" w:rsidP="001C0111">
            <w:pPr>
              <w:spacing w:before="20" w:after="20"/>
              <w:jc w:val="right"/>
              <w:rPr>
                <w:noProof/>
                <w:sz w:val="20"/>
                <w:lang w:eastAsia="en-GB"/>
              </w:rPr>
            </w:pPr>
            <w:r w:rsidRPr="001C0111">
              <w:rPr>
                <w:noProof/>
                <w:sz w:val="20"/>
                <w:lang w:eastAsia="en-GB"/>
              </w:rPr>
              <w:t>1,528</w:t>
            </w:r>
          </w:p>
        </w:tc>
        <w:tc>
          <w:tcPr>
            <w:tcW w:w="992" w:type="dxa"/>
          </w:tcPr>
          <w:p w14:paraId="0F1772DD" w14:textId="77777777" w:rsidR="001C0111" w:rsidRPr="001C0111" w:rsidRDefault="001C0111" w:rsidP="001C0111">
            <w:pPr>
              <w:spacing w:before="20" w:after="20"/>
              <w:jc w:val="right"/>
              <w:rPr>
                <w:noProof/>
                <w:sz w:val="20"/>
                <w:lang w:eastAsia="en-GB"/>
              </w:rPr>
            </w:pPr>
            <w:r w:rsidRPr="001C0111">
              <w:rPr>
                <w:noProof/>
                <w:sz w:val="20"/>
                <w:lang w:eastAsia="en-GB"/>
              </w:rPr>
              <w:t>1,559</w:t>
            </w:r>
          </w:p>
        </w:tc>
        <w:tc>
          <w:tcPr>
            <w:tcW w:w="1418" w:type="dxa"/>
            <w:vAlign w:val="center"/>
          </w:tcPr>
          <w:p w14:paraId="119E52FE" w14:textId="77777777" w:rsidR="001C0111" w:rsidRPr="001C0111" w:rsidRDefault="001C0111" w:rsidP="001C0111">
            <w:pPr>
              <w:spacing w:before="20" w:after="20"/>
              <w:jc w:val="right"/>
              <w:rPr>
                <w:b/>
                <w:noProof/>
                <w:sz w:val="20"/>
                <w:lang w:eastAsia="en-GB"/>
              </w:rPr>
            </w:pPr>
            <w:r w:rsidRPr="001C0111">
              <w:rPr>
                <w:b/>
                <w:noProof/>
                <w:sz w:val="20"/>
                <w:lang w:eastAsia="en-GB"/>
              </w:rPr>
              <w:t>5,319</w:t>
            </w:r>
          </w:p>
        </w:tc>
      </w:tr>
      <w:tr w:rsidR="001C0111" w:rsidRPr="001C0111" w14:paraId="3730DE4B" w14:textId="77777777" w:rsidTr="00EE4772">
        <w:tc>
          <w:tcPr>
            <w:tcW w:w="4229" w:type="dxa"/>
            <w:vMerge/>
          </w:tcPr>
          <w:p w14:paraId="6BF1AA15" w14:textId="77777777" w:rsidR="001C0111" w:rsidRPr="001C0111" w:rsidRDefault="001C0111" w:rsidP="001C0111">
            <w:pPr>
              <w:jc w:val="center"/>
              <w:rPr>
                <w:noProof/>
                <w:sz w:val="20"/>
                <w:lang w:eastAsia="en-GB"/>
              </w:rPr>
            </w:pPr>
          </w:p>
        </w:tc>
        <w:tc>
          <w:tcPr>
            <w:tcW w:w="1560" w:type="dxa"/>
            <w:vAlign w:val="center"/>
          </w:tcPr>
          <w:p w14:paraId="3116DD45" w14:textId="77777777" w:rsidR="001C0111" w:rsidRPr="001C0111" w:rsidRDefault="001C0111" w:rsidP="001C0111">
            <w:pPr>
              <w:spacing w:before="20" w:after="20"/>
              <w:rPr>
                <w:noProof/>
                <w:sz w:val="18"/>
                <w:lang w:eastAsia="en-GB"/>
              </w:rPr>
            </w:pPr>
            <w:r w:rsidRPr="001C0111">
              <w:rPr>
                <w:noProof/>
                <w:sz w:val="18"/>
                <w:lang w:eastAsia="en-GB"/>
              </w:rPr>
              <w:t>Payments</w:t>
            </w:r>
          </w:p>
        </w:tc>
        <w:tc>
          <w:tcPr>
            <w:tcW w:w="1186" w:type="dxa"/>
            <w:vAlign w:val="center"/>
          </w:tcPr>
          <w:p w14:paraId="5533715D" w14:textId="77777777" w:rsidR="001C0111" w:rsidRPr="001C0111" w:rsidRDefault="001C0111" w:rsidP="001C0111">
            <w:pPr>
              <w:spacing w:before="20" w:after="20"/>
              <w:jc w:val="center"/>
              <w:rPr>
                <w:noProof/>
                <w:sz w:val="14"/>
                <w:lang w:eastAsia="en-GB"/>
              </w:rPr>
            </w:pPr>
            <w:r w:rsidRPr="001C0111">
              <w:rPr>
                <w:noProof/>
                <w:sz w:val="14"/>
                <w:lang w:eastAsia="en-GB"/>
              </w:rPr>
              <w:t>(2a)</w:t>
            </w:r>
          </w:p>
        </w:tc>
        <w:tc>
          <w:tcPr>
            <w:tcW w:w="1134" w:type="dxa"/>
            <w:vAlign w:val="center"/>
          </w:tcPr>
          <w:p w14:paraId="3190D9B3" w14:textId="77777777" w:rsidR="001C0111" w:rsidRPr="001C0111" w:rsidRDefault="001C0111" w:rsidP="001C0111">
            <w:pPr>
              <w:spacing w:before="20" w:after="20"/>
              <w:jc w:val="right"/>
              <w:rPr>
                <w:noProof/>
                <w:sz w:val="20"/>
                <w:lang w:eastAsia="en-GB"/>
              </w:rPr>
            </w:pPr>
            <w:r w:rsidRPr="001C0111">
              <w:rPr>
                <w:noProof/>
                <w:sz w:val="20"/>
                <w:lang w:eastAsia="en-GB"/>
              </w:rPr>
              <w:t>0,734</w:t>
            </w:r>
          </w:p>
        </w:tc>
        <w:tc>
          <w:tcPr>
            <w:tcW w:w="992" w:type="dxa"/>
          </w:tcPr>
          <w:p w14:paraId="1CFC647F" w14:textId="77777777" w:rsidR="001C0111" w:rsidRPr="001C0111" w:rsidRDefault="001C0111" w:rsidP="001C0111">
            <w:pPr>
              <w:spacing w:before="20" w:after="20"/>
              <w:jc w:val="right"/>
              <w:rPr>
                <w:noProof/>
                <w:sz w:val="20"/>
                <w:lang w:eastAsia="en-GB"/>
              </w:rPr>
            </w:pPr>
            <w:r w:rsidRPr="001C0111">
              <w:rPr>
                <w:noProof/>
                <w:sz w:val="20"/>
                <w:lang w:eastAsia="en-GB"/>
              </w:rPr>
              <w:t>1,498</w:t>
            </w:r>
          </w:p>
        </w:tc>
        <w:tc>
          <w:tcPr>
            <w:tcW w:w="851" w:type="dxa"/>
          </w:tcPr>
          <w:p w14:paraId="19A82605" w14:textId="77777777" w:rsidR="001C0111" w:rsidRPr="001C0111" w:rsidRDefault="001C0111" w:rsidP="001C0111">
            <w:pPr>
              <w:spacing w:before="20" w:after="20"/>
              <w:jc w:val="right"/>
              <w:rPr>
                <w:noProof/>
                <w:sz w:val="20"/>
                <w:lang w:eastAsia="en-GB"/>
              </w:rPr>
            </w:pPr>
            <w:r w:rsidRPr="001C0111">
              <w:rPr>
                <w:noProof/>
                <w:sz w:val="20"/>
                <w:lang w:eastAsia="en-GB"/>
              </w:rPr>
              <w:t>1,528</w:t>
            </w:r>
          </w:p>
        </w:tc>
        <w:tc>
          <w:tcPr>
            <w:tcW w:w="992" w:type="dxa"/>
          </w:tcPr>
          <w:p w14:paraId="62C74509" w14:textId="77777777" w:rsidR="001C0111" w:rsidRPr="001C0111" w:rsidRDefault="001C0111" w:rsidP="001C0111">
            <w:pPr>
              <w:spacing w:before="20" w:after="20"/>
              <w:jc w:val="right"/>
              <w:rPr>
                <w:noProof/>
                <w:sz w:val="20"/>
                <w:lang w:eastAsia="en-GB"/>
              </w:rPr>
            </w:pPr>
            <w:r w:rsidRPr="001C0111">
              <w:rPr>
                <w:noProof/>
                <w:sz w:val="20"/>
                <w:lang w:eastAsia="en-GB"/>
              </w:rPr>
              <w:t>1,559</w:t>
            </w:r>
          </w:p>
        </w:tc>
        <w:tc>
          <w:tcPr>
            <w:tcW w:w="1418" w:type="dxa"/>
            <w:vAlign w:val="center"/>
          </w:tcPr>
          <w:p w14:paraId="11B06574" w14:textId="77777777" w:rsidR="001C0111" w:rsidRPr="001C0111" w:rsidRDefault="001C0111" w:rsidP="001C0111">
            <w:pPr>
              <w:spacing w:before="20" w:after="20"/>
              <w:jc w:val="right"/>
              <w:rPr>
                <w:b/>
                <w:noProof/>
                <w:sz w:val="20"/>
                <w:lang w:eastAsia="en-GB"/>
              </w:rPr>
            </w:pPr>
            <w:r w:rsidRPr="001C0111">
              <w:rPr>
                <w:b/>
                <w:noProof/>
                <w:sz w:val="20"/>
                <w:lang w:eastAsia="en-GB"/>
              </w:rPr>
              <w:t>5,319</w:t>
            </w:r>
          </w:p>
        </w:tc>
      </w:tr>
      <w:tr w:rsidR="001C0111" w:rsidRPr="001C0111" w14:paraId="0E102676" w14:textId="77777777" w:rsidTr="00EE4772">
        <w:tc>
          <w:tcPr>
            <w:tcW w:w="4229" w:type="dxa"/>
            <w:vMerge w:val="restart"/>
            <w:vAlign w:val="center"/>
          </w:tcPr>
          <w:p w14:paraId="68CCC433" w14:textId="77777777" w:rsidR="001C0111" w:rsidRPr="001C0111" w:rsidDel="006337FA" w:rsidRDefault="001C0111" w:rsidP="001C0111">
            <w:pPr>
              <w:rPr>
                <w:noProof/>
                <w:sz w:val="20"/>
                <w:lang w:eastAsia="en-GB"/>
              </w:rPr>
            </w:pPr>
            <w:r w:rsidRPr="001C0111">
              <w:rPr>
                <w:noProof/>
                <w:sz w:val="20"/>
                <w:lang w:eastAsia="en-GB"/>
              </w:rPr>
              <w:t>Title 2: Infrastructure</w:t>
            </w:r>
          </w:p>
        </w:tc>
        <w:tc>
          <w:tcPr>
            <w:tcW w:w="1560" w:type="dxa"/>
            <w:vAlign w:val="center"/>
          </w:tcPr>
          <w:p w14:paraId="128FDA62" w14:textId="77777777" w:rsidR="001C0111" w:rsidRPr="001C0111" w:rsidRDefault="001C0111" w:rsidP="001C0111">
            <w:pPr>
              <w:spacing w:before="20" w:after="20"/>
              <w:rPr>
                <w:noProof/>
                <w:sz w:val="18"/>
                <w:lang w:eastAsia="en-GB"/>
              </w:rPr>
            </w:pPr>
            <w:r w:rsidRPr="001C0111">
              <w:rPr>
                <w:noProof/>
                <w:sz w:val="18"/>
                <w:lang w:eastAsia="en-GB"/>
              </w:rPr>
              <w:t>Commitments</w:t>
            </w:r>
          </w:p>
        </w:tc>
        <w:tc>
          <w:tcPr>
            <w:tcW w:w="1186" w:type="dxa"/>
            <w:vAlign w:val="center"/>
          </w:tcPr>
          <w:p w14:paraId="33B98CC3" w14:textId="77777777" w:rsidR="001C0111" w:rsidRPr="001C0111" w:rsidRDefault="001C0111" w:rsidP="001C0111">
            <w:pPr>
              <w:spacing w:before="20" w:after="20"/>
              <w:jc w:val="center"/>
              <w:rPr>
                <w:noProof/>
                <w:sz w:val="14"/>
                <w:lang w:eastAsia="en-GB"/>
              </w:rPr>
            </w:pPr>
            <w:r w:rsidRPr="001C0111">
              <w:rPr>
                <w:noProof/>
                <w:sz w:val="14"/>
                <w:lang w:eastAsia="en-GB"/>
              </w:rPr>
              <w:t>(1b)</w:t>
            </w:r>
          </w:p>
        </w:tc>
        <w:tc>
          <w:tcPr>
            <w:tcW w:w="1134" w:type="dxa"/>
            <w:vAlign w:val="center"/>
          </w:tcPr>
          <w:p w14:paraId="7059E04A" w14:textId="77777777" w:rsidR="001C0111" w:rsidRPr="001C0111" w:rsidRDefault="001C0111" w:rsidP="001C0111">
            <w:pPr>
              <w:spacing w:before="20" w:after="20"/>
              <w:jc w:val="right"/>
              <w:rPr>
                <w:noProof/>
                <w:sz w:val="20"/>
                <w:lang w:eastAsia="en-GB"/>
              </w:rPr>
            </w:pPr>
            <w:r w:rsidRPr="001C0111">
              <w:rPr>
                <w:noProof/>
                <w:sz w:val="20"/>
                <w:lang w:eastAsia="en-GB"/>
              </w:rPr>
              <w:t>0,189</w:t>
            </w:r>
          </w:p>
        </w:tc>
        <w:tc>
          <w:tcPr>
            <w:tcW w:w="992" w:type="dxa"/>
            <w:vAlign w:val="center"/>
          </w:tcPr>
          <w:p w14:paraId="42FE73B7" w14:textId="77777777" w:rsidR="001C0111" w:rsidRPr="001C0111" w:rsidRDefault="001C0111" w:rsidP="001C0111">
            <w:pPr>
              <w:spacing w:before="20" w:after="20"/>
              <w:jc w:val="right"/>
              <w:rPr>
                <w:noProof/>
                <w:sz w:val="20"/>
                <w:lang w:eastAsia="en-GB"/>
              </w:rPr>
            </w:pPr>
            <w:r w:rsidRPr="001C0111">
              <w:rPr>
                <w:noProof/>
                <w:sz w:val="20"/>
                <w:lang w:eastAsia="en-GB"/>
              </w:rPr>
              <w:t>0,193</w:t>
            </w:r>
          </w:p>
        </w:tc>
        <w:tc>
          <w:tcPr>
            <w:tcW w:w="851" w:type="dxa"/>
            <w:vAlign w:val="center"/>
          </w:tcPr>
          <w:p w14:paraId="36A9FEA2" w14:textId="77777777" w:rsidR="001C0111" w:rsidRPr="001C0111" w:rsidRDefault="001C0111" w:rsidP="001C0111">
            <w:pPr>
              <w:spacing w:before="20" w:after="20"/>
              <w:jc w:val="right"/>
              <w:rPr>
                <w:noProof/>
                <w:sz w:val="20"/>
                <w:lang w:eastAsia="en-GB"/>
              </w:rPr>
            </w:pPr>
            <w:r w:rsidRPr="001C0111">
              <w:rPr>
                <w:noProof/>
                <w:sz w:val="20"/>
                <w:lang w:eastAsia="en-GB"/>
              </w:rPr>
              <w:t>0,201</w:t>
            </w:r>
          </w:p>
        </w:tc>
        <w:tc>
          <w:tcPr>
            <w:tcW w:w="992" w:type="dxa"/>
            <w:vAlign w:val="center"/>
          </w:tcPr>
          <w:p w14:paraId="329A6DCF" w14:textId="77777777" w:rsidR="001C0111" w:rsidRPr="001C0111" w:rsidRDefault="001C0111" w:rsidP="001C0111">
            <w:pPr>
              <w:spacing w:before="20" w:after="20"/>
              <w:jc w:val="right"/>
              <w:rPr>
                <w:noProof/>
                <w:sz w:val="20"/>
                <w:lang w:eastAsia="en-GB"/>
              </w:rPr>
            </w:pPr>
            <w:r w:rsidRPr="001C0111">
              <w:rPr>
                <w:noProof/>
                <w:sz w:val="20"/>
                <w:lang w:eastAsia="en-GB"/>
              </w:rPr>
              <w:t>0, 201</w:t>
            </w:r>
          </w:p>
        </w:tc>
        <w:tc>
          <w:tcPr>
            <w:tcW w:w="1418" w:type="dxa"/>
            <w:vAlign w:val="center"/>
          </w:tcPr>
          <w:p w14:paraId="697379AF" w14:textId="77777777" w:rsidR="001C0111" w:rsidRPr="001C0111" w:rsidRDefault="001C0111" w:rsidP="001C0111">
            <w:pPr>
              <w:spacing w:before="20" w:after="20"/>
              <w:jc w:val="right"/>
              <w:rPr>
                <w:b/>
                <w:noProof/>
                <w:sz w:val="20"/>
                <w:lang w:eastAsia="en-GB"/>
              </w:rPr>
            </w:pPr>
            <w:r w:rsidRPr="001C0111">
              <w:rPr>
                <w:b/>
                <w:noProof/>
                <w:sz w:val="20"/>
                <w:lang w:eastAsia="en-GB"/>
              </w:rPr>
              <w:t>0.779</w:t>
            </w:r>
          </w:p>
        </w:tc>
      </w:tr>
      <w:tr w:rsidR="001C0111" w:rsidRPr="001C0111" w14:paraId="024AAB14" w14:textId="77777777" w:rsidTr="00EE4772">
        <w:tc>
          <w:tcPr>
            <w:tcW w:w="4229" w:type="dxa"/>
            <w:vMerge/>
            <w:vAlign w:val="center"/>
          </w:tcPr>
          <w:p w14:paraId="1CA04853" w14:textId="77777777" w:rsidR="001C0111" w:rsidRPr="001C0111" w:rsidDel="006337FA" w:rsidRDefault="001C0111" w:rsidP="001C0111">
            <w:pPr>
              <w:rPr>
                <w:noProof/>
                <w:sz w:val="20"/>
                <w:lang w:eastAsia="en-GB"/>
              </w:rPr>
            </w:pPr>
          </w:p>
        </w:tc>
        <w:tc>
          <w:tcPr>
            <w:tcW w:w="1560" w:type="dxa"/>
            <w:vAlign w:val="center"/>
          </w:tcPr>
          <w:p w14:paraId="4C034842" w14:textId="77777777" w:rsidR="001C0111" w:rsidRPr="001C0111" w:rsidRDefault="001C0111" w:rsidP="001C0111">
            <w:pPr>
              <w:spacing w:before="20" w:after="20"/>
              <w:rPr>
                <w:noProof/>
                <w:sz w:val="18"/>
                <w:lang w:eastAsia="en-GB"/>
              </w:rPr>
            </w:pPr>
            <w:r w:rsidRPr="001C0111">
              <w:rPr>
                <w:noProof/>
                <w:sz w:val="18"/>
                <w:lang w:eastAsia="en-GB"/>
              </w:rPr>
              <w:t>Payments</w:t>
            </w:r>
          </w:p>
        </w:tc>
        <w:tc>
          <w:tcPr>
            <w:tcW w:w="1186" w:type="dxa"/>
            <w:vAlign w:val="center"/>
          </w:tcPr>
          <w:p w14:paraId="34F7D6FB" w14:textId="77777777" w:rsidR="001C0111" w:rsidRPr="001C0111" w:rsidRDefault="001C0111" w:rsidP="001C0111">
            <w:pPr>
              <w:spacing w:before="20" w:after="20"/>
              <w:jc w:val="center"/>
              <w:rPr>
                <w:noProof/>
                <w:sz w:val="14"/>
                <w:lang w:eastAsia="en-GB"/>
              </w:rPr>
            </w:pPr>
            <w:r w:rsidRPr="001C0111">
              <w:rPr>
                <w:noProof/>
                <w:sz w:val="14"/>
                <w:lang w:eastAsia="en-GB"/>
              </w:rPr>
              <w:t>(2b)</w:t>
            </w:r>
          </w:p>
        </w:tc>
        <w:tc>
          <w:tcPr>
            <w:tcW w:w="1134" w:type="dxa"/>
            <w:vAlign w:val="center"/>
          </w:tcPr>
          <w:p w14:paraId="22FF2E35" w14:textId="77777777" w:rsidR="001C0111" w:rsidRPr="001C0111" w:rsidRDefault="001C0111" w:rsidP="001C0111">
            <w:pPr>
              <w:spacing w:before="20" w:after="20"/>
              <w:jc w:val="right"/>
              <w:rPr>
                <w:noProof/>
                <w:sz w:val="20"/>
                <w:lang w:eastAsia="en-GB"/>
              </w:rPr>
            </w:pPr>
            <w:r w:rsidRPr="001C0111">
              <w:rPr>
                <w:noProof/>
                <w:sz w:val="20"/>
                <w:lang w:eastAsia="en-GB"/>
              </w:rPr>
              <w:t>0,189</w:t>
            </w:r>
          </w:p>
        </w:tc>
        <w:tc>
          <w:tcPr>
            <w:tcW w:w="992" w:type="dxa"/>
            <w:vAlign w:val="center"/>
          </w:tcPr>
          <w:p w14:paraId="329C649F" w14:textId="77777777" w:rsidR="001C0111" w:rsidRPr="001C0111" w:rsidRDefault="001C0111" w:rsidP="001C0111">
            <w:pPr>
              <w:spacing w:before="20" w:after="20"/>
              <w:jc w:val="right"/>
              <w:rPr>
                <w:noProof/>
                <w:sz w:val="20"/>
                <w:lang w:eastAsia="en-GB"/>
              </w:rPr>
            </w:pPr>
            <w:r w:rsidRPr="001C0111">
              <w:rPr>
                <w:noProof/>
                <w:sz w:val="20"/>
                <w:lang w:eastAsia="en-GB"/>
              </w:rPr>
              <w:t>0,193</w:t>
            </w:r>
          </w:p>
        </w:tc>
        <w:tc>
          <w:tcPr>
            <w:tcW w:w="851" w:type="dxa"/>
            <w:vAlign w:val="center"/>
          </w:tcPr>
          <w:p w14:paraId="34CCF889" w14:textId="77777777" w:rsidR="001C0111" w:rsidRPr="001C0111" w:rsidRDefault="001C0111" w:rsidP="001C0111">
            <w:pPr>
              <w:spacing w:before="20" w:after="20"/>
              <w:jc w:val="right"/>
              <w:rPr>
                <w:noProof/>
                <w:sz w:val="20"/>
                <w:lang w:eastAsia="en-GB"/>
              </w:rPr>
            </w:pPr>
            <w:r w:rsidRPr="001C0111">
              <w:rPr>
                <w:noProof/>
                <w:sz w:val="20"/>
                <w:lang w:eastAsia="en-GB"/>
              </w:rPr>
              <w:t>0,201</w:t>
            </w:r>
          </w:p>
        </w:tc>
        <w:tc>
          <w:tcPr>
            <w:tcW w:w="992" w:type="dxa"/>
            <w:vAlign w:val="center"/>
          </w:tcPr>
          <w:p w14:paraId="36677244" w14:textId="77777777" w:rsidR="001C0111" w:rsidRPr="001C0111" w:rsidRDefault="001C0111" w:rsidP="001C0111">
            <w:pPr>
              <w:spacing w:before="20" w:after="20"/>
              <w:jc w:val="right"/>
              <w:rPr>
                <w:noProof/>
                <w:sz w:val="20"/>
                <w:lang w:eastAsia="en-GB"/>
              </w:rPr>
            </w:pPr>
            <w:r w:rsidRPr="001C0111">
              <w:rPr>
                <w:noProof/>
                <w:sz w:val="20"/>
                <w:lang w:eastAsia="en-GB"/>
              </w:rPr>
              <w:t>0, 201</w:t>
            </w:r>
          </w:p>
        </w:tc>
        <w:tc>
          <w:tcPr>
            <w:tcW w:w="1418" w:type="dxa"/>
            <w:vAlign w:val="center"/>
          </w:tcPr>
          <w:p w14:paraId="39977405" w14:textId="77777777" w:rsidR="001C0111" w:rsidRPr="001C0111" w:rsidRDefault="001C0111" w:rsidP="001C0111">
            <w:pPr>
              <w:spacing w:before="20" w:after="20"/>
              <w:jc w:val="right"/>
              <w:rPr>
                <w:b/>
                <w:noProof/>
                <w:sz w:val="20"/>
                <w:lang w:eastAsia="en-GB"/>
              </w:rPr>
            </w:pPr>
            <w:r w:rsidRPr="001C0111">
              <w:rPr>
                <w:b/>
                <w:noProof/>
                <w:sz w:val="20"/>
                <w:lang w:eastAsia="en-GB"/>
              </w:rPr>
              <w:t>0.779</w:t>
            </w:r>
          </w:p>
        </w:tc>
      </w:tr>
      <w:tr w:rsidR="001C0111" w:rsidRPr="001C0111" w14:paraId="7D6ED234" w14:textId="77777777" w:rsidTr="00EE4772">
        <w:tc>
          <w:tcPr>
            <w:tcW w:w="4229" w:type="dxa"/>
            <w:vMerge w:val="restart"/>
            <w:vAlign w:val="center"/>
          </w:tcPr>
          <w:p w14:paraId="0591C7C8" w14:textId="77777777" w:rsidR="001C0111" w:rsidRPr="001C0111" w:rsidRDefault="001C0111" w:rsidP="001C0111">
            <w:pPr>
              <w:rPr>
                <w:noProof/>
                <w:lang w:eastAsia="en-GB"/>
              </w:rPr>
            </w:pPr>
            <w:r w:rsidRPr="001C0111">
              <w:rPr>
                <w:noProof/>
                <w:sz w:val="20"/>
                <w:lang w:eastAsia="en-GB"/>
              </w:rPr>
              <w:t>Title 3: Operational expenditure</w:t>
            </w:r>
          </w:p>
        </w:tc>
        <w:tc>
          <w:tcPr>
            <w:tcW w:w="1560" w:type="dxa"/>
            <w:vAlign w:val="center"/>
          </w:tcPr>
          <w:p w14:paraId="44A9E8E6" w14:textId="77777777" w:rsidR="001C0111" w:rsidRPr="001C0111" w:rsidRDefault="001C0111" w:rsidP="001C0111">
            <w:pPr>
              <w:spacing w:before="20" w:after="20"/>
              <w:rPr>
                <w:noProof/>
                <w:sz w:val="18"/>
                <w:lang w:eastAsia="en-GB"/>
              </w:rPr>
            </w:pPr>
            <w:r w:rsidRPr="001C0111">
              <w:rPr>
                <w:noProof/>
                <w:sz w:val="18"/>
                <w:lang w:eastAsia="en-GB"/>
              </w:rPr>
              <w:t>Commitments</w:t>
            </w:r>
          </w:p>
        </w:tc>
        <w:tc>
          <w:tcPr>
            <w:tcW w:w="1186" w:type="dxa"/>
            <w:vAlign w:val="center"/>
          </w:tcPr>
          <w:p w14:paraId="45589497" w14:textId="77777777" w:rsidR="001C0111" w:rsidRPr="001C0111" w:rsidRDefault="001C0111" w:rsidP="001C0111">
            <w:pPr>
              <w:spacing w:before="20" w:after="20"/>
              <w:jc w:val="center"/>
              <w:rPr>
                <w:noProof/>
                <w:sz w:val="14"/>
                <w:lang w:eastAsia="en-GB"/>
              </w:rPr>
            </w:pPr>
            <w:r w:rsidRPr="001C0111">
              <w:rPr>
                <w:noProof/>
                <w:sz w:val="14"/>
                <w:lang w:eastAsia="en-GB"/>
              </w:rPr>
              <w:t>(1c)</w:t>
            </w:r>
          </w:p>
        </w:tc>
        <w:tc>
          <w:tcPr>
            <w:tcW w:w="1134" w:type="dxa"/>
            <w:vAlign w:val="center"/>
          </w:tcPr>
          <w:p w14:paraId="724935A0" w14:textId="77777777" w:rsidR="001C0111" w:rsidRPr="001C0111" w:rsidRDefault="001C0111" w:rsidP="001C0111">
            <w:pPr>
              <w:spacing w:before="20" w:after="20"/>
              <w:jc w:val="right"/>
              <w:rPr>
                <w:noProof/>
                <w:sz w:val="20"/>
                <w:lang w:eastAsia="en-GB"/>
              </w:rPr>
            </w:pPr>
            <w:r w:rsidRPr="001C0111">
              <w:rPr>
                <w:noProof/>
                <w:sz w:val="20"/>
                <w:lang w:eastAsia="en-GB"/>
              </w:rPr>
              <w:t>0,673</w:t>
            </w:r>
          </w:p>
        </w:tc>
        <w:tc>
          <w:tcPr>
            <w:tcW w:w="992" w:type="dxa"/>
            <w:vAlign w:val="center"/>
          </w:tcPr>
          <w:p w14:paraId="7D9B33FB" w14:textId="77777777" w:rsidR="001C0111" w:rsidRPr="001C0111" w:rsidRDefault="001C0111" w:rsidP="001C0111">
            <w:pPr>
              <w:spacing w:before="20" w:after="20"/>
              <w:jc w:val="right"/>
              <w:rPr>
                <w:noProof/>
                <w:sz w:val="20"/>
                <w:lang w:eastAsia="en-GB"/>
              </w:rPr>
            </w:pPr>
            <w:r w:rsidRPr="001C0111">
              <w:rPr>
                <w:noProof/>
                <w:sz w:val="20"/>
                <w:lang w:eastAsia="en-GB"/>
              </w:rPr>
              <w:t>0,686</w:t>
            </w:r>
          </w:p>
        </w:tc>
        <w:tc>
          <w:tcPr>
            <w:tcW w:w="851" w:type="dxa"/>
            <w:vAlign w:val="center"/>
          </w:tcPr>
          <w:p w14:paraId="462623F0" w14:textId="77777777" w:rsidR="001C0111" w:rsidRPr="001C0111" w:rsidRDefault="001C0111" w:rsidP="001C0111">
            <w:pPr>
              <w:spacing w:before="20" w:after="20"/>
              <w:jc w:val="right"/>
              <w:rPr>
                <w:noProof/>
                <w:sz w:val="20"/>
                <w:lang w:eastAsia="en-GB"/>
              </w:rPr>
            </w:pPr>
            <w:r w:rsidRPr="001C0111">
              <w:rPr>
                <w:noProof/>
                <w:sz w:val="20"/>
                <w:lang w:eastAsia="en-GB"/>
              </w:rPr>
              <w:t>0,702</w:t>
            </w:r>
          </w:p>
        </w:tc>
        <w:tc>
          <w:tcPr>
            <w:tcW w:w="992" w:type="dxa"/>
            <w:vAlign w:val="center"/>
          </w:tcPr>
          <w:p w14:paraId="403D7C7D" w14:textId="77777777" w:rsidR="001C0111" w:rsidRPr="001C0111" w:rsidRDefault="001C0111" w:rsidP="001C0111">
            <w:pPr>
              <w:spacing w:before="20" w:after="20"/>
              <w:jc w:val="right"/>
              <w:rPr>
                <w:noProof/>
                <w:sz w:val="20"/>
                <w:lang w:eastAsia="en-GB"/>
              </w:rPr>
            </w:pPr>
            <w:r w:rsidRPr="001C0111">
              <w:rPr>
                <w:noProof/>
                <w:sz w:val="20"/>
                <w:lang w:eastAsia="en-GB"/>
              </w:rPr>
              <w:t>0,718</w:t>
            </w:r>
          </w:p>
        </w:tc>
        <w:tc>
          <w:tcPr>
            <w:tcW w:w="1418" w:type="dxa"/>
            <w:vAlign w:val="center"/>
          </w:tcPr>
          <w:p w14:paraId="11DD9A22" w14:textId="77777777" w:rsidR="001C0111" w:rsidRPr="001C0111" w:rsidRDefault="001C0111" w:rsidP="001C0111">
            <w:pPr>
              <w:spacing w:before="20" w:after="20"/>
              <w:jc w:val="right"/>
              <w:rPr>
                <w:b/>
                <w:noProof/>
                <w:sz w:val="20"/>
                <w:lang w:eastAsia="en-GB"/>
              </w:rPr>
            </w:pPr>
            <w:r w:rsidRPr="001C0111">
              <w:rPr>
                <w:b/>
                <w:noProof/>
                <w:sz w:val="20"/>
                <w:lang w:eastAsia="en-GB"/>
              </w:rPr>
              <w:t>2,779</w:t>
            </w:r>
          </w:p>
        </w:tc>
      </w:tr>
      <w:tr w:rsidR="001C0111" w:rsidRPr="001C0111" w14:paraId="571C7CC8" w14:textId="77777777" w:rsidTr="00EE4772">
        <w:tc>
          <w:tcPr>
            <w:tcW w:w="4229" w:type="dxa"/>
            <w:vMerge/>
          </w:tcPr>
          <w:p w14:paraId="1F831C83" w14:textId="77777777" w:rsidR="001C0111" w:rsidRPr="001C0111" w:rsidRDefault="001C0111" w:rsidP="001C0111">
            <w:pPr>
              <w:jc w:val="center"/>
              <w:rPr>
                <w:noProof/>
                <w:sz w:val="20"/>
                <w:lang w:eastAsia="en-GB"/>
              </w:rPr>
            </w:pPr>
          </w:p>
        </w:tc>
        <w:tc>
          <w:tcPr>
            <w:tcW w:w="1560" w:type="dxa"/>
            <w:vAlign w:val="center"/>
          </w:tcPr>
          <w:p w14:paraId="03E99EBE" w14:textId="77777777" w:rsidR="001C0111" w:rsidRPr="001C0111" w:rsidRDefault="001C0111" w:rsidP="001C0111">
            <w:pPr>
              <w:spacing w:before="20" w:after="20"/>
              <w:rPr>
                <w:noProof/>
                <w:sz w:val="18"/>
                <w:lang w:eastAsia="en-GB"/>
              </w:rPr>
            </w:pPr>
            <w:r w:rsidRPr="001C0111">
              <w:rPr>
                <w:noProof/>
                <w:sz w:val="18"/>
                <w:lang w:eastAsia="en-GB"/>
              </w:rPr>
              <w:t>Payments</w:t>
            </w:r>
          </w:p>
        </w:tc>
        <w:tc>
          <w:tcPr>
            <w:tcW w:w="1186" w:type="dxa"/>
            <w:vAlign w:val="center"/>
          </w:tcPr>
          <w:p w14:paraId="347B87A3" w14:textId="77777777" w:rsidR="001C0111" w:rsidRPr="001C0111" w:rsidRDefault="001C0111" w:rsidP="001C0111">
            <w:pPr>
              <w:spacing w:before="20" w:after="20"/>
              <w:jc w:val="center"/>
              <w:rPr>
                <w:noProof/>
                <w:sz w:val="14"/>
                <w:lang w:eastAsia="en-GB"/>
              </w:rPr>
            </w:pPr>
            <w:r w:rsidRPr="001C0111">
              <w:rPr>
                <w:noProof/>
                <w:sz w:val="14"/>
                <w:lang w:eastAsia="en-GB"/>
              </w:rPr>
              <w:t>(2c)</w:t>
            </w:r>
          </w:p>
        </w:tc>
        <w:tc>
          <w:tcPr>
            <w:tcW w:w="1134" w:type="dxa"/>
            <w:vAlign w:val="center"/>
          </w:tcPr>
          <w:p w14:paraId="020F3CEE" w14:textId="77777777" w:rsidR="001C0111" w:rsidRPr="001C0111" w:rsidRDefault="001C0111" w:rsidP="001C0111">
            <w:pPr>
              <w:spacing w:before="20" w:after="20"/>
              <w:jc w:val="right"/>
              <w:rPr>
                <w:noProof/>
                <w:sz w:val="20"/>
                <w:lang w:eastAsia="en-GB"/>
              </w:rPr>
            </w:pPr>
            <w:r w:rsidRPr="001C0111">
              <w:rPr>
                <w:noProof/>
                <w:sz w:val="20"/>
                <w:lang w:eastAsia="en-GB"/>
              </w:rPr>
              <w:t>0,673</w:t>
            </w:r>
          </w:p>
        </w:tc>
        <w:tc>
          <w:tcPr>
            <w:tcW w:w="992" w:type="dxa"/>
            <w:vAlign w:val="center"/>
          </w:tcPr>
          <w:p w14:paraId="1DA1193B" w14:textId="77777777" w:rsidR="001C0111" w:rsidRPr="001C0111" w:rsidRDefault="001C0111" w:rsidP="001C0111">
            <w:pPr>
              <w:spacing w:before="20" w:after="20"/>
              <w:jc w:val="right"/>
              <w:rPr>
                <w:noProof/>
                <w:sz w:val="20"/>
                <w:lang w:eastAsia="en-GB"/>
              </w:rPr>
            </w:pPr>
            <w:r w:rsidRPr="001C0111">
              <w:rPr>
                <w:noProof/>
                <w:sz w:val="20"/>
                <w:lang w:eastAsia="en-GB"/>
              </w:rPr>
              <w:t>0,686</w:t>
            </w:r>
          </w:p>
        </w:tc>
        <w:tc>
          <w:tcPr>
            <w:tcW w:w="851" w:type="dxa"/>
            <w:vAlign w:val="center"/>
          </w:tcPr>
          <w:p w14:paraId="4851AAB3" w14:textId="77777777" w:rsidR="001C0111" w:rsidRPr="001C0111" w:rsidRDefault="001C0111" w:rsidP="001C0111">
            <w:pPr>
              <w:spacing w:before="20" w:after="20"/>
              <w:jc w:val="right"/>
              <w:rPr>
                <w:noProof/>
                <w:sz w:val="20"/>
                <w:lang w:eastAsia="en-GB"/>
              </w:rPr>
            </w:pPr>
            <w:r w:rsidRPr="001C0111">
              <w:rPr>
                <w:noProof/>
                <w:sz w:val="20"/>
                <w:lang w:eastAsia="en-GB"/>
              </w:rPr>
              <w:t>0,702</w:t>
            </w:r>
          </w:p>
        </w:tc>
        <w:tc>
          <w:tcPr>
            <w:tcW w:w="992" w:type="dxa"/>
            <w:vAlign w:val="center"/>
          </w:tcPr>
          <w:p w14:paraId="000E83B3" w14:textId="77777777" w:rsidR="001C0111" w:rsidRPr="001C0111" w:rsidRDefault="001C0111" w:rsidP="001C0111">
            <w:pPr>
              <w:spacing w:before="20" w:after="20"/>
              <w:jc w:val="right"/>
              <w:rPr>
                <w:noProof/>
                <w:sz w:val="20"/>
                <w:lang w:eastAsia="en-GB"/>
              </w:rPr>
            </w:pPr>
            <w:r w:rsidRPr="001C0111">
              <w:rPr>
                <w:noProof/>
                <w:sz w:val="20"/>
                <w:lang w:eastAsia="en-GB"/>
              </w:rPr>
              <w:t>0,718</w:t>
            </w:r>
          </w:p>
        </w:tc>
        <w:tc>
          <w:tcPr>
            <w:tcW w:w="1418" w:type="dxa"/>
            <w:vAlign w:val="center"/>
          </w:tcPr>
          <w:p w14:paraId="47DF285E" w14:textId="77777777" w:rsidR="001C0111" w:rsidRPr="001C0111" w:rsidRDefault="001C0111" w:rsidP="001C0111">
            <w:pPr>
              <w:spacing w:before="20" w:after="20"/>
              <w:jc w:val="right"/>
              <w:rPr>
                <w:b/>
                <w:noProof/>
                <w:sz w:val="20"/>
                <w:lang w:eastAsia="en-GB"/>
              </w:rPr>
            </w:pPr>
            <w:r w:rsidRPr="001C0111">
              <w:rPr>
                <w:b/>
                <w:noProof/>
                <w:sz w:val="20"/>
                <w:lang w:eastAsia="en-GB"/>
              </w:rPr>
              <w:t>2,779</w:t>
            </w:r>
          </w:p>
        </w:tc>
      </w:tr>
      <w:tr w:rsidR="001C0111" w:rsidRPr="001C0111" w14:paraId="5CF57800" w14:textId="77777777" w:rsidTr="00EE4772">
        <w:tc>
          <w:tcPr>
            <w:tcW w:w="4229" w:type="dxa"/>
            <w:vMerge w:val="restart"/>
            <w:vAlign w:val="center"/>
          </w:tcPr>
          <w:p w14:paraId="7AEBFBF0" w14:textId="77777777" w:rsidR="001C0111" w:rsidRPr="001C0111" w:rsidRDefault="001C0111" w:rsidP="001C0111">
            <w:pPr>
              <w:jc w:val="center"/>
              <w:rPr>
                <w:b/>
                <w:noProof/>
                <w:lang w:eastAsia="en-GB"/>
              </w:rPr>
            </w:pPr>
            <w:r w:rsidRPr="001C0111">
              <w:rPr>
                <w:b/>
                <w:noProof/>
                <w:sz w:val="22"/>
                <w:lang w:eastAsia="en-GB"/>
              </w:rPr>
              <w:t>TOTAL appropriations</w:t>
            </w:r>
            <w:r w:rsidRPr="001C0111">
              <w:rPr>
                <w:noProof/>
                <w:sz w:val="22"/>
                <w:lang w:eastAsia="en-GB"/>
              </w:rPr>
              <w:br/>
            </w:r>
            <w:r w:rsidRPr="001C0111">
              <w:rPr>
                <w:b/>
                <w:noProof/>
                <w:sz w:val="22"/>
                <w:lang w:eastAsia="en-GB"/>
              </w:rPr>
              <w:t>for agency ECHA</w:t>
            </w:r>
          </w:p>
        </w:tc>
        <w:tc>
          <w:tcPr>
            <w:tcW w:w="1560" w:type="dxa"/>
            <w:vAlign w:val="center"/>
          </w:tcPr>
          <w:p w14:paraId="4A2D2CFC" w14:textId="77777777" w:rsidR="001C0111" w:rsidRPr="001C0111" w:rsidRDefault="001C0111" w:rsidP="001C0111">
            <w:pPr>
              <w:rPr>
                <w:noProof/>
                <w:sz w:val="18"/>
                <w:lang w:eastAsia="en-GB"/>
              </w:rPr>
            </w:pPr>
            <w:r w:rsidRPr="001C0111">
              <w:rPr>
                <w:noProof/>
                <w:sz w:val="18"/>
                <w:lang w:eastAsia="en-GB"/>
              </w:rPr>
              <w:t>Commitments</w:t>
            </w:r>
          </w:p>
        </w:tc>
        <w:tc>
          <w:tcPr>
            <w:tcW w:w="1186" w:type="dxa"/>
            <w:vAlign w:val="center"/>
          </w:tcPr>
          <w:p w14:paraId="422390B2" w14:textId="77777777" w:rsidR="001C0111" w:rsidRPr="001C0111" w:rsidRDefault="001C0111" w:rsidP="001C0111">
            <w:pPr>
              <w:jc w:val="center"/>
              <w:rPr>
                <w:noProof/>
                <w:sz w:val="14"/>
                <w:lang w:eastAsia="en-GB"/>
              </w:rPr>
            </w:pPr>
            <w:r w:rsidRPr="001C0111">
              <w:rPr>
                <w:noProof/>
                <w:sz w:val="14"/>
                <w:lang w:eastAsia="en-GB"/>
              </w:rPr>
              <w:t>=1a+1b +1c</w:t>
            </w:r>
          </w:p>
        </w:tc>
        <w:tc>
          <w:tcPr>
            <w:tcW w:w="1134" w:type="dxa"/>
            <w:vAlign w:val="center"/>
          </w:tcPr>
          <w:p w14:paraId="6972CBA3" w14:textId="77777777" w:rsidR="001C0111" w:rsidRPr="001C0111" w:rsidRDefault="001C0111" w:rsidP="001C0111">
            <w:pPr>
              <w:spacing w:before="20" w:after="20"/>
              <w:jc w:val="right"/>
              <w:rPr>
                <w:noProof/>
                <w:sz w:val="20"/>
                <w:lang w:eastAsia="en-GB"/>
              </w:rPr>
            </w:pPr>
            <w:r w:rsidRPr="001C0111">
              <w:rPr>
                <w:noProof/>
                <w:sz w:val="20"/>
                <w:lang w:eastAsia="en-GB"/>
              </w:rPr>
              <w:t>1,596</w:t>
            </w:r>
          </w:p>
        </w:tc>
        <w:tc>
          <w:tcPr>
            <w:tcW w:w="992" w:type="dxa"/>
            <w:vAlign w:val="center"/>
          </w:tcPr>
          <w:p w14:paraId="73FB1749" w14:textId="77777777" w:rsidR="001C0111" w:rsidRPr="001C0111" w:rsidRDefault="001C0111" w:rsidP="001C0111">
            <w:pPr>
              <w:spacing w:before="20" w:after="20"/>
              <w:jc w:val="right"/>
              <w:rPr>
                <w:noProof/>
                <w:sz w:val="20"/>
                <w:lang w:eastAsia="en-GB"/>
              </w:rPr>
            </w:pPr>
            <w:r w:rsidRPr="001C0111">
              <w:rPr>
                <w:noProof/>
                <w:sz w:val="20"/>
                <w:lang w:eastAsia="en-GB"/>
              </w:rPr>
              <w:t>2,377</w:t>
            </w:r>
          </w:p>
        </w:tc>
        <w:tc>
          <w:tcPr>
            <w:tcW w:w="851" w:type="dxa"/>
            <w:vAlign w:val="center"/>
          </w:tcPr>
          <w:p w14:paraId="02B93B04" w14:textId="77777777" w:rsidR="001C0111" w:rsidRPr="001C0111" w:rsidRDefault="001C0111" w:rsidP="001C0111">
            <w:pPr>
              <w:spacing w:before="20" w:after="20"/>
              <w:jc w:val="right"/>
              <w:rPr>
                <w:noProof/>
                <w:sz w:val="20"/>
                <w:lang w:eastAsia="en-GB"/>
              </w:rPr>
            </w:pPr>
            <w:r w:rsidRPr="001C0111">
              <w:rPr>
                <w:noProof/>
                <w:sz w:val="20"/>
                <w:lang w:eastAsia="en-GB"/>
              </w:rPr>
              <w:t>2,427</w:t>
            </w:r>
          </w:p>
        </w:tc>
        <w:tc>
          <w:tcPr>
            <w:tcW w:w="992" w:type="dxa"/>
            <w:vAlign w:val="center"/>
          </w:tcPr>
          <w:p w14:paraId="1719C6B9" w14:textId="77777777" w:rsidR="001C0111" w:rsidRPr="001C0111" w:rsidRDefault="001C0111" w:rsidP="001C0111">
            <w:pPr>
              <w:spacing w:before="20" w:after="20"/>
              <w:jc w:val="right"/>
              <w:rPr>
                <w:noProof/>
                <w:sz w:val="20"/>
                <w:lang w:eastAsia="en-GB"/>
              </w:rPr>
            </w:pPr>
            <w:r w:rsidRPr="001C0111">
              <w:rPr>
                <w:noProof/>
                <w:sz w:val="20"/>
                <w:lang w:eastAsia="en-GB"/>
              </w:rPr>
              <w:t>2,477</w:t>
            </w:r>
          </w:p>
        </w:tc>
        <w:tc>
          <w:tcPr>
            <w:tcW w:w="1418" w:type="dxa"/>
            <w:vAlign w:val="center"/>
          </w:tcPr>
          <w:p w14:paraId="52E95883" w14:textId="77777777" w:rsidR="001C0111" w:rsidRPr="001C0111" w:rsidRDefault="001C0111" w:rsidP="001C0111">
            <w:pPr>
              <w:spacing w:before="20" w:after="20"/>
              <w:jc w:val="right"/>
              <w:rPr>
                <w:b/>
                <w:noProof/>
                <w:sz w:val="20"/>
                <w:lang w:eastAsia="en-GB"/>
              </w:rPr>
            </w:pPr>
            <w:r w:rsidRPr="001C0111">
              <w:rPr>
                <w:b/>
                <w:noProof/>
                <w:sz w:val="20"/>
                <w:lang w:eastAsia="en-GB"/>
              </w:rPr>
              <w:t>8,878</w:t>
            </w:r>
          </w:p>
        </w:tc>
      </w:tr>
      <w:tr w:rsidR="001C0111" w:rsidRPr="001C0111" w14:paraId="601ABA63" w14:textId="77777777" w:rsidTr="00EE4772">
        <w:tc>
          <w:tcPr>
            <w:tcW w:w="4229" w:type="dxa"/>
            <w:vMerge/>
          </w:tcPr>
          <w:p w14:paraId="50096CBE" w14:textId="77777777" w:rsidR="001C0111" w:rsidRPr="001C0111" w:rsidRDefault="001C0111" w:rsidP="001C0111">
            <w:pPr>
              <w:rPr>
                <w:noProof/>
                <w:sz w:val="20"/>
                <w:lang w:eastAsia="en-GB"/>
              </w:rPr>
            </w:pPr>
          </w:p>
        </w:tc>
        <w:tc>
          <w:tcPr>
            <w:tcW w:w="1560" w:type="dxa"/>
            <w:vAlign w:val="center"/>
          </w:tcPr>
          <w:p w14:paraId="149D9F93" w14:textId="77777777" w:rsidR="001C0111" w:rsidRPr="001C0111" w:rsidRDefault="001C0111" w:rsidP="001C0111">
            <w:pPr>
              <w:rPr>
                <w:noProof/>
                <w:sz w:val="18"/>
                <w:lang w:eastAsia="en-GB"/>
              </w:rPr>
            </w:pPr>
            <w:r w:rsidRPr="001C0111">
              <w:rPr>
                <w:noProof/>
                <w:sz w:val="18"/>
                <w:lang w:eastAsia="en-GB"/>
              </w:rPr>
              <w:t>Payments</w:t>
            </w:r>
          </w:p>
        </w:tc>
        <w:tc>
          <w:tcPr>
            <w:tcW w:w="1186" w:type="dxa"/>
            <w:vAlign w:val="center"/>
          </w:tcPr>
          <w:p w14:paraId="7DFF891D" w14:textId="77777777" w:rsidR="001C0111" w:rsidRPr="001C0111" w:rsidRDefault="001C0111" w:rsidP="001C0111">
            <w:pPr>
              <w:jc w:val="center"/>
              <w:rPr>
                <w:noProof/>
                <w:sz w:val="14"/>
                <w:lang w:eastAsia="en-GB"/>
              </w:rPr>
            </w:pPr>
            <w:r w:rsidRPr="001C0111">
              <w:rPr>
                <w:noProof/>
                <w:sz w:val="14"/>
                <w:lang w:eastAsia="en-GB"/>
              </w:rPr>
              <w:t>=2a+2b+2c</w:t>
            </w:r>
          </w:p>
        </w:tc>
        <w:tc>
          <w:tcPr>
            <w:tcW w:w="1134" w:type="dxa"/>
            <w:vAlign w:val="center"/>
          </w:tcPr>
          <w:p w14:paraId="4F3C1F03" w14:textId="77777777" w:rsidR="001C0111" w:rsidRPr="001C0111" w:rsidRDefault="001C0111" w:rsidP="001C0111">
            <w:pPr>
              <w:spacing w:before="20" w:after="20"/>
              <w:jc w:val="right"/>
              <w:rPr>
                <w:noProof/>
                <w:sz w:val="20"/>
                <w:lang w:eastAsia="en-GB"/>
              </w:rPr>
            </w:pPr>
            <w:r w:rsidRPr="001C0111">
              <w:rPr>
                <w:noProof/>
                <w:sz w:val="20"/>
                <w:lang w:eastAsia="en-GB"/>
              </w:rPr>
              <w:t>1,596</w:t>
            </w:r>
          </w:p>
        </w:tc>
        <w:tc>
          <w:tcPr>
            <w:tcW w:w="992" w:type="dxa"/>
            <w:vAlign w:val="center"/>
          </w:tcPr>
          <w:p w14:paraId="507E8B22" w14:textId="77777777" w:rsidR="001C0111" w:rsidRPr="001C0111" w:rsidRDefault="001C0111" w:rsidP="001C0111">
            <w:pPr>
              <w:spacing w:before="20" w:after="20"/>
              <w:jc w:val="right"/>
              <w:rPr>
                <w:noProof/>
                <w:sz w:val="20"/>
                <w:lang w:eastAsia="en-GB"/>
              </w:rPr>
            </w:pPr>
            <w:r w:rsidRPr="001C0111">
              <w:rPr>
                <w:noProof/>
                <w:sz w:val="20"/>
                <w:lang w:eastAsia="en-GB"/>
              </w:rPr>
              <w:t>2,377</w:t>
            </w:r>
          </w:p>
        </w:tc>
        <w:tc>
          <w:tcPr>
            <w:tcW w:w="851" w:type="dxa"/>
            <w:vAlign w:val="center"/>
          </w:tcPr>
          <w:p w14:paraId="21AC7769" w14:textId="77777777" w:rsidR="001C0111" w:rsidRPr="001C0111" w:rsidRDefault="001C0111" w:rsidP="001C0111">
            <w:pPr>
              <w:spacing w:before="20" w:after="20"/>
              <w:jc w:val="right"/>
              <w:rPr>
                <w:noProof/>
                <w:sz w:val="20"/>
                <w:lang w:eastAsia="en-GB"/>
              </w:rPr>
            </w:pPr>
            <w:r w:rsidRPr="001C0111">
              <w:rPr>
                <w:noProof/>
                <w:sz w:val="20"/>
                <w:lang w:eastAsia="en-GB"/>
              </w:rPr>
              <w:t>2,427</w:t>
            </w:r>
          </w:p>
        </w:tc>
        <w:tc>
          <w:tcPr>
            <w:tcW w:w="992" w:type="dxa"/>
            <w:vAlign w:val="center"/>
          </w:tcPr>
          <w:p w14:paraId="706DCBBC" w14:textId="77777777" w:rsidR="001C0111" w:rsidRPr="001C0111" w:rsidRDefault="001C0111" w:rsidP="001C0111">
            <w:pPr>
              <w:spacing w:before="20" w:after="20"/>
              <w:jc w:val="right"/>
              <w:rPr>
                <w:noProof/>
                <w:sz w:val="20"/>
                <w:lang w:eastAsia="en-GB"/>
              </w:rPr>
            </w:pPr>
            <w:r w:rsidRPr="001C0111">
              <w:rPr>
                <w:noProof/>
                <w:sz w:val="20"/>
                <w:lang w:eastAsia="en-GB"/>
              </w:rPr>
              <w:t>2,477</w:t>
            </w:r>
          </w:p>
        </w:tc>
        <w:tc>
          <w:tcPr>
            <w:tcW w:w="1418" w:type="dxa"/>
            <w:vAlign w:val="center"/>
          </w:tcPr>
          <w:p w14:paraId="3F2DEE46" w14:textId="77777777" w:rsidR="001C0111" w:rsidRPr="001C0111" w:rsidRDefault="001C0111" w:rsidP="001C0111">
            <w:pPr>
              <w:spacing w:before="20" w:after="20"/>
              <w:jc w:val="right"/>
              <w:rPr>
                <w:b/>
                <w:noProof/>
                <w:sz w:val="20"/>
                <w:lang w:eastAsia="en-GB"/>
              </w:rPr>
            </w:pPr>
            <w:r w:rsidRPr="001C0111">
              <w:rPr>
                <w:b/>
                <w:noProof/>
                <w:sz w:val="20"/>
                <w:lang w:eastAsia="en-GB"/>
              </w:rPr>
              <w:t>8,878</w:t>
            </w:r>
          </w:p>
        </w:tc>
      </w:tr>
    </w:tbl>
    <w:p w14:paraId="7C6D4253" w14:textId="77777777" w:rsidR="001C0111" w:rsidRPr="001C0111" w:rsidRDefault="001C0111" w:rsidP="001C0111">
      <w:pPr>
        <w:rPr>
          <w:noProof/>
          <w:lang w:eastAsia="en-GB"/>
        </w:rPr>
      </w:pPr>
      <w:r w:rsidRPr="001C0111">
        <w:rPr>
          <w:noProof/>
          <w:lang w:eastAsia="en-GB"/>
        </w:rPr>
        <w:t xml:space="preserve">ECHA costs include the cost for an additional 11 FTE, split between 7TA and 4 CAs, for the purpose of: </w:t>
      </w:r>
    </w:p>
    <w:p w14:paraId="06966C9B" w14:textId="77777777" w:rsidR="001C0111" w:rsidRPr="001C0111" w:rsidRDefault="001C0111" w:rsidP="001C0111">
      <w:pPr>
        <w:ind w:left="850"/>
        <w:rPr>
          <w:noProof/>
          <w:lang w:eastAsia="en-GB"/>
        </w:rPr>
      </w:pPr>
      <w:r w:rsidRPr="001C0111">
        <w:rPr>
          <w:rFonts w:ascii="Symbol" w:eastAsia="Symbol" w:hAnsi="Symbol" w:cs="Symbol"/>
          <w:noProof/>
          <w:lang w:eastAsia="en-GB"/>
        </w:rPr>
        <w:t></w:t>
      </w:r>
      <w:r w:rsidRPr="001C0111">
        <w:rPr>
          <w:noProof/>
          <w:lang w:eastAsia="en-GB"/>
        </w:rPr>
        <w:t xml:space="preserve">  scientific support currently carried out by the JRC and DG ENV contractors and SANTE SCHEER committee (currently 6,35 FTE per year; under ECHA proposal this would amount to approximately 5,15 FTE; this means an effective redeployment of resources)</w:t>
      </w:r>
    </w:p>
    <w:p w14:paraId="53D132ED" w14:textId="77777777" w:rsidR="001C0111" w:rsidRPr="001C0111" w:rsidRDefault="001C0111" w:rsidP="001C0111">
      <w:pPr>
        <w:ind w:left="850"/>
        <w:rPr>
          <w:noProof/>
          <w:lang w:eastAsia="en-GB"/>
        </w:rPr>
      </w:pPr>
      <w:r w:rsidRPr="001C0111">
        <w:rPr>
          <w:rFonts w:ascii="Symbol" w:eastAsia="Symbol" w:hAnsi="Symbol" w:cs="Symbol"/>
          <w:noProof/>
          <w:lang w:eastAsia="en-GB"/>
        </w:rPr>
        <w:t></w:t>
      </w:r>
      <w:r w:rsidRPr="001C0111">
        <w:rPr>
          <w:noProof/>
          <w:lang w:eastAsia="en-GB"/>
        </w:rPr>
        <w:t xml:space="preserve"> scientific support resulting from new obligations under the proposal: </w:t>
      </w:r>
    </w:p>
    <w:p w14:paraId="1B9B85EB" w14:textId="77777777" w:rsidR="001C0111" w:rsidRPr="001C0111" w:rsidRDefault="001C0111" w:rsidP="001C0111">
      <w:pPr>
        <w:spacing w:before="0"/>
        <w:ind w:left="2157" w:hanging="740"/>
        <w:rPr>
          <w:noProof/>
          <w:lang w:eastAsia="en-GB"/>
        </w:rPr>
      </w:pPr>
      <w:r w:rsidRPr="001C0111">
        <w:rPr>
          <w:noProof/>
          <w:lang w:eastAsia="en-GB"/>
        </w:rPr>
        <w:t>-</w:t>
      </w:r>
      <w:r w:rsidRPr="001C0111">
        <w:rPr>
          <w:noProof/>
          <w:lang w:eastAsia="en-GB"/>
        </w:rPr>
        <w:tab/>
        <w:t>for setting an EU wide Environmental quality standards for pollutants of ‘national/regional’ concern (1 FTE per year for GW, 1 FTE for SW)</w:t>
      </w:r>
    </w:p>
    <w:p w14:paraId="386D375A" w14:textId="77777777" w:rsidR="001C0111" w:rsidRPr="001C0111" w:rsidRDefault="001C0111" w:rsidP="001C0111">
      <w:pPr>
        <w:spacing w:before="0"/>
        <w:ind w:left="2157" w:hanging="740"/>
        <w:rPr>
          <w:noProof/>
          <w:lang w:eastAsia="en-GB"/>
        </w:rPr>
      </w:pPr>
      <w:r w:rsidRPr="001C0111">
        <w:rPr>
          <w:noProof/>
          <w:lang w:eastAsia="en-GB"/>
        </w:rPr>
        <w:t xml:space="preserve">- </w:t>
      </w:r>
      <w:r w:rsidRPr="001C0111">
        <w:rPr>
          <w:noProof/>
          <w:lang w:eastAsia="en-GB"/>
        </w:rPr>
        <w:tab/>
        <w:t xml:space="preserve">for updating GW Annex I (1 FTE per year) </w:t>
      </w:r>
    </w:p>
    <w:p w14:paraId="50F14D43" w14:textId="77777777" w:rsidR="001C0111" w:rsidRPr="001C0111" w:rsidRDefault="001C0111" w:rsidP="001C0111">
      <w:pPr>
        <w:spacing w:before="0"/>
        <w:ind w:left="1417"/>
        <w:rPr>
          <w:noProof/>
          <w:lang w:eastAsia="en-GB"/>
        </w:rPr>
      </w:pPr>
      <w:r w:rsidRPr="001C0111">
        <w:rPr>
          <w:noProof/>
          <w:lang w:eastAsia="en-GB"/>
        </w:rPr>
        <w:t>-</w:t>
      </w:r>
      <w:r w:rsidRPr="001C0111">
        <w:rPr>
          <w:noProof/>
          <w:lang w:eastAsia="en-GB"/>
        </w:rPr>
        <w:tab/>
        <w:t>for support on groundwater watch list (0,6 FTE per year)</w:t>
      </w:r>
    </w:p>
    <w:p w14:paraId="542DEDD0" w14:textId="77777777" w:rsidR="001C0111" w:rsidRPr="001C0111" w:rsidRDefault="001C0111" w:rsidP="001C0111">
      <w:pPr>
        <w:spacing w:before="0"/>
        <w:ind w:left="2157" w:hanging="740"/>
        <w:rPr>
          <w:noProof/>
          <w:lang w:eastAsia="en-GB"/>
        </w:rPr>
      </w:pPr>
      <w:r w:rsidRPr="001C0111">
        <w:rPr>
          <w:noProof/>
          <w:lang w:eastAsia="en-GB"/>
        </w:rPr>
        <w:t xml:space="preserve">- </w:t>
      </w:r>
      <w:r w:rsidRPr="001C0111">
        <w:rPr>
          <w:noProof/>
          <w:lang w:eastAsia="en-GB"/>
        </w:rPr>
        <w:tab/>
        <w:t>for identifying/developing methodologies for monitoring and analysing micro-plastics, antimicrobial resistance genes, (approximately 0,5 FTE plus approximately 1 for IT support plus 1,5 FTE for governance)</w:t>
      </w:r>
    </w:p>
    <w:p w14:paraId="010922AD" w14:textId="77777777" w:rsidR="001C0111" w:rsidRPr="001C0111" w:rsidRDefault="001C0111" w:rsidP="001C0111">
      <w:pPr>
        <w:spacing w:before="0" w:after="200" w:line="276" w:lineRule="auto"/>
        <w:jc w:val="left"/>
        <w:rPr>
          <w:noProof/>
          <w:lang w:eastAsia="en-GB"/>
        </w:rPr>
      </w:pPr>
      <w:r w:rsidRPr="001C0111">
        <w:rPr>
          <w:noProof/>
          <w:lang w:eastAsia="en-GB"/>
        </w:rPr>
        <w:br w:type="page"/>
      </w:r>
    </w:p>
    <w:p w14:paraId="5683FFB8" w14:textId="77777777" w:rsidR="001C0111" w:rsidRPr="001C0111" w:rsidRDefault="001C0111" w:rsidP="001C0111">
      <w:pPr>
        <w:ind w:left="2157" w:hanging="740"/>
        <w:rPr>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4"/>
        <w:gridCol w:w="1659"/>
        <w:gridCol w:w="1559"/>
        <w:gridCol w:w="1276"/>
        <w:gridCol w:w="1276"/>
        <w:gridCol w:w="992"/>
        <w:gridCol w:w="1134"/>
        <w:gridCol w:w="1378"/>
      </w:tblGrid>
      <w:tr w:rsidR="001C0111" w:rsidRPr="001C0111" w14:paraId="12BE8674" w14:textId="77777777" w:rsidTr="00EE4772">
        <w:trPr>
          <w:trHeight w:val="482"/>
        </w:trPr>
        <w:tc>
          <w:tcPr>
            <w:tcW w:w="3014" w:type="dxa"/>
            <w:vAlign w:val="center"/>
          </w:tcPr>
          <w:p w14:paraId="20F60A84" w14:textId="77777777" w:rsidR="001C0111" w:rsidRPr="001C0111" w:rsidRDefault="001C0111" w:rsidP="001C0111">
            <w:pPr>
              <w:jc w:val="center"/>
              <w:rPr>
                <w:b/>
                <w:noProof/>
                <w:lang w:eastAsia="en-GB"/>
              </w:rPr>
            </w:pPr>
            <w:r w:rsidRPr="001C0111">
              <w:rPr>
                <w:b/>
                <w:noProof/>
                <w:sz w:val="22"/>
                <w:lang w:eastAsia="en-GB"/>
              </w:rPr>
              <w:t>Agency: EEA</w:t>
            </w:r>
          </w:p>
        </w:tc>
        <w:tc>
          <w:tcPr>
            <w:tcW w:w="1659" w:type="dxa"/>
          </w:tcPr>
          <w:p w14:paraId="19FE32A3" w14:textId="77777777" w:rsidR="001C0111" w:rsidRPr="001C0111" w:rsidRDefault="001C0111" w:rsidP="001C0111">
            <w:pPr>
              <w:rPr>
                <w:noProof/>
                <w:sz w:val="20"/>
                <w:lang w:eastAsia="en-GB"/>
              </w:rPr>
            </w:pPr>
          </w:p>
        </w:tc>
        <w:tc>
          <w:tcPr>
            <w:tcW w:w="1559" w:type="dxa"/>
          </w:tcPr>
          <w:p w14:paraId="47E95209" w14:textId="77777777" w:rsidR="001C0111" w:rsidRPr="001C0111" w:rsidRDefault="001C0111" w:rsidP="001C0111">
            <w:pPr>
              <w:jc w:val="center"/>
              <w:rPr>
                <w:noProof/>
                <w:sz w:val="20"/>
                <w:lang w:eastAsia="en-GB"/>
              </w:rPr>
            </w:pPr>
          </w:p>
        </w:tc>
        <w:tc>
          <w:tcPr>
            <w:tcW w:w="1276" w:type="dxa"/>
            <w:vAlign w:val="center"/>
          </w:tcPr>
          <w:p w14:paraId="5CFCED4C" w14:textId="77777777" w:rsidR="001C0111" w:rsidRPr="001C0111" w:rsidRDefault="001C0111" w:rsidP="001C0111">
            <w:pPr>
              <w:jc w:val="center"/>
              <w:rPr>
                <w:noProof/>
                <w:sz w:val="20"/>
                <w:lang w:eastAsia="en-GB"/>
              </w:rPr>
            </w:pPr>
            <w:r w:rsidRPr="001C0111">
              <w:rPr>
                <w:b/>
                <w:noProof/>
                <w:sz w:val="20"/>
                <w:lang w:val="en-IE" w:eastAsia="en-GB"/>
              </w:rPr>
              <w:t>2024</w:t>
            </w:r>
          </w:p>
        </w:tc>
        <w:tc>
          <w:tcPr>
            <w:tcW w:w="1276" w:type="dxa"/>
            <w:vAlign w:val="center"/>
          </w:tcPr>
          <w:p w14:paraId="6E286821" w14:textId="77777777" w:rsidR="001C0111" w:rsidRPr="001C0111" w:rsidRDefault="001C0111" w:rsidP="001C0111">
            <w:pPr>
              <w:jc w:val="center"/>
              <w:rPr>
                <w:noProof/>
                <w:sz w:val="20"/>
                <w:lang w:eastAsia="en-GB"/>
              </w:rPr>
            </w:pPr>
            <w:r w:rsidRPr="001C0111">
              <w:rPr>
                <w:b/>
                <w:noProof/>
                <w:sz w:val="20"/>
                <w:lang w:val="en-IE" w:eastAsia="en-GB"/>
              </w:rPr>
              <w:t>2025</w:t>
            </w:r>
          </w:p>
        </w:tc>
        <w:tc>
          <w:tcPr>
            <w:tcW w:w="992" w:type="dxa"/>
            <w:vAlign w:val="center"/>
          </w:tcPr>
          <w:p w14:paraId="1F2FACEE" w14:textId="77777777" w:rsidR="001C0111" w:rsidRPr="001C0111" w:rsidRDefault="001C0111" w:rsidP="001C0111">
            <w:pPr>
              <w:jc w:val="center"/>
              <w:rPr>
                <w:noProof/>
                <w:sz w:val="20"/>
                <w:lang w:eastAsia="en-GB"/>
              </w:rPr>
            </w:pPr>
            <w:r w:rsidRPr="001C0111">
              <w:rPr>
                <w:b/>
                <w:noProof/>
                <w:sz w:val="20"/>
                <w:lang w:val="en-IE" w:eastAsia="en-GB"/>
              </w:rPr>
              <w:t>2026</w:t>
            </w:r>
          </w:p>
        </w:tc>
        <w:tc>
          <w:tcPr>
            <w:tcW w:w="1134" w:type="dxa"/>
            <w:vAlign w:val="center"/>
          </w:tcPr>
          <w:p w14:paraId="0309F284" w14:textId="77777777" w:rsidR="001C0111" w:rsidRPr="001C0111" w:rsidRDefault="001C0111" w:rsidP="001C0111">
            <w:pPr>
              <w:jc w:val="center"/>
              <w:rPr>
                <w:noProof/>
                <w:sz w:val="20"/>
                <w:lang w:eastAsia="en-GB"/>
              </w:rPr>
            </w:pPr>
            <w:r w:rsidRPr="001C0111">
              <w:rPr>
                <w:b/>
                <w:noProof/>
                <w:sz w:val="20"/>
                <w:lang w:val="en-IE" w:eastAsia="en-GB"/>
              </w:rPr>
              <w:t>2027</w:t>
            </w:r>
          </w:p>
        </w:tc>
        <w:tc>
          <w:tcPr>
            <w:tcW w:w="1378" w:type="dxa"/>
            <w:vAlign w:val="center"/>
          </w:tcPr>
          <w:p w14:paraId="2FA97371" w14:textId="77777777" w:rsidR="001C0111" w:rsidRPr="001C0111" w:rsidRDefault="001C0111" w:rsidP="001C0111">
            <w:pPr>
              <w:jc w:val="center"/>
              <w:rPr>
                <w:b/>
                <w:noProof/>
                <w:sz w:val="20"/>
                <w:lang w:eastAsia="en-GB"/>
              </w:rPr>
            </w:pPr>
            <w:r w:rsidRPr="001C0111">
              <w:rPr>
                <w:b/>
                <w:noProof/>
                <w:sz w:val="20"/>
                <w:lang w:val="en-IE" w:eastAsia="en-GB"/>
              </w:rPr>
              <w:t>TOTAL</w:t>
            </w:r>
          </w:p>
        </w:tc>
      </w:tr>
      <w:tr w:rsidR="001C0111" w:rsidRPr="001C0111" w14:paraId="5024AA37" w14:textId="77777777" w:rsidTr="00EE4772">
        <w:trPr>
          <w:trHeight w:val="210"/>
        </w:trPr>
        <w:tc>
          <w:tcPr>
            <w:tcW w:w="6232" w:type="dxa"/>
            <w:gridSpan w:val="3"/>
            <w:vAlign w:val="center"/>
          </w:tcPr>
          <w:p w14:paraId="3238D6CD" w14:textId="77777777" w:rsidR="001C0111" w:rsidRPr="001C0111" w:rsidRDefault="001C0111" w:rsidP="001C0111">
            <w:pPr>
              <w:spacing w:before="20" w:after="20"/>
              <w:rPr>
                <w:noProof/>
                <w:sz w:val="21"/>
                <w:lang w:eastAsia="en-GB"/>
              </w:rPr>
            </w:pPr>
          </w:p>
        </w:tc>
        <w:tc>
          <w:tcPr>
            <w:tcW w:w="1276" w:type="dxa"/>
            <w:vAlign w:val="center"/>
          </w:tcPr>
          <w:p w14:paraId="499534F6" w14:textId="77777777" w:rsidR="001C0111" w:rsidRPr="001C0111" w:rsidRDefault="001C0111" w:rsidP="001C0111">
            <w:pPr>
              <w:rPr>
                <w:noProof/>
                <w:sz w:val="20"/>
                <w:lang w:eastAsia="en-GB"/>
              </w:rPr>
            </w:pPr>
          </w:p>
        </w:tc>
        <w:tc>
          <w:tcPr>
            <w:tcW w:w="1276" w:type="dxa"/>
            <w:vAlign w:val="center"/>
          </w:tcPr>
          <w:p w14:paraId="7C1DADEF" w14:textId="77777777" w:rsidR="001C0111" w:rsidRPr="001C0111" w:rsidRDefault="001C0111" w:rsidP="001C0111">
            <w:pPr>
              <w:rPr>
                <w:noProof/>
                <w:sz w:val="20"/>
                <w:lang w:eastAsia="en-GB"/>
              </w:rPr>
            </w:pPr>
          </w:p>
        </w:tc>
        <w:tc>
          <w:tcPr>
            <w:tcW w:w="992" w:type="dxa"/>
            <w:vAlign w:val="center"/>
          </w:tcPr>
          <w:p w14:paraId="19A6B199" w14:textId="77777777" w:rsidR="001C0111" w:rsidRPr="001C0111" w:rsidRDefault="001C0111" w:rsidP="001C0111">
            <w:pPr>
              <w:rPr>
                <w:noProof/>
                <w:sz w:val="20"/>
                <w:lang w:eastAsia="en-GB"/>
              </w:rPr>
            </w:pPr>
          </w:p>
        </w:tc>
        <w:tc>
          <w:tcPr>
            <w:tcW w:w="1134" w:type="dxa"/>
            <w:vAlign w:val="center"/>
          </w:tcPr>
          <w:p w14:paraId="2AF7F328" w14:textId="77777777" w:rsidR="001C0111" w:rsidRPr="001C0111" w:rsidRDefault="001C0111" w:rsidP="001C0111">
            <w:pPr>
              <w:rPr>
                <w:noProof/>
                <w:sz w:val="20"/>
                <w:lang w:eastAsia="en-GB"/>
              </w:rPr>
            </w:pPr>
          </w:p>
        </w:tc>
        <w:tc>
          <w:tcPr>
            <w:tcW w:w="1378" w:type="dxa"/>
            <w:vAlign w:val="center"/>
          </w:tcPr>
          <w:p w14:paraId="0537FE55" w14:textId="77777777" w:rsidR="001C0111" w:rsidRPr="001C0111" w:rsidRDefault="001C0111" w:rsidP="001C0111">
            <w:pPr>
              <w:rPr>
                <w:b/>
                <w:noProof/>
                <w:sz w:val="20"/>
                <w:lang w:eastAsia="en-GB"/>
              </w:rPr>
            </w:pPr>
          </w:p>
        </w:tc>
      </w:tr>
      <w:tr w:rsidR="001C0111" w:rsidRPr="001C0111" w14:paraId="48630218" w14:textId="77777777" w:rsidTr="00EE4772">
        <w:trPr>
          <w:trHeight w:val="273"/>
        </w:trPr>
        <w:tc>
          <w:tcPr>
            <w:tcW w:w="3014" w:type="dxa"/>
            <w:vMerge w:val="restart"/>
            <w:vAlign w:val="center"/>
          </w:tcPr>
          <w:p w14:paraId="29A2E7AF" w14:textId="77777777" w:rsidR="001C0111" w:rsidRPr="001C0111" w:rsidRDefault="001C0111" w:rsidP="001C0111">
            <w:pPr>
              <w:rPr>
                <w:noProof/>
                <w:lang w:eastAsia="en-GB"/>
              </w:rPr>
            </w:pPr>
            <w:r w:rsidRPr="001C0111">
              <w:rPr>
                <w:noProof/>
                <w:sz w:val="20"/>
                <w:lang w:eastAsia="en-GB"/>
              </w:rPr>
              <w:t>Title 1: Staff expenditure</w:t>
            </w:r>
          </w:p>
        </w:tc>
        <w:tc>
          <w:tcPr>
            <w:tcW w:w="1659" w:type="dxa"/>
            <w:vAlign w:val="center"/>
          </w:tcPr>
          <w:p w14:paraId="699EE709" w14:textId="77777777" w:rsidR="001C0111" w:rsidRPr="001C0111" w:rsidRDefault="001C0111" w:rsidP="001C0111">
            <w:pPr>
              <w:spacing w:before="20" w:after="20"/>
              <w:rPr>
                <w:noProof/>
                <w:sz w:val="18"/>
                <w:lang w:eastAsia="en-GB"/>
              </w:rPr>
            </w:pPr>
            <w:r w:rsidRPr="001C0111">
              <w:rPr>
                <w:noProof/>
                <w:sz w:val="18"/>
                <w:lang w:eastAsia="en-GB"/>
              </w:rPr>
              <w:t>Commitments</w:t>
            </w:r>
          </w:p>
        </w:tc>
        <w:tc>
          <w:tcPr>
            <w:tcW w:w="1559" w:type="dxa"/>
            <w:vAlign w:val="center"/>
          </w:tcPr>
          <w:p w14:paraId="10122288" w14:textId="77777777" w:rsidR="001C0111" w:rsidRPr="001C0111" w:rsidRDefault="001C0111" w:rsidP="001C0111">
            <w:pPr>
              <w:spacing w:before="20" w:after="20"/>
              <w:jc w:val="center"/>
              <w:rPr>
                <w:noProof/>
                <w:sz w:val="14"/>
                <w:lang w:eastAsia="en-GB"/>
              </w:rPr>
            </w:pPr>
            <w:r w:rsidRPr="001C0111">
              <w:rPr>
                <w:noProof/>
                <w:sz w:val="14"/>
                <w:lang w:eastAsia="en-GB"/>
              </w:rPr>
              <w:t>(1a)</w:t>
            </w:r>
          </w:p>
        </w:tc>
        <w:tc>
          <w:tcPr>
            <w:tcW w:w="1276" w:type="dxa"/>
          </w:tcPr>
          <w:p w14:paraId="22C38237" w14:textId="77777777" w:rsidR="001C0111" w:rsidRPr="001C0111" w:rsidRDefault="001C0111" w:rsidP="001C0111">
            <w:pPr>
              <w:spacing w:before="20" w:after="20"/>
              <w:jc w:val="right"/>
              <w:rPr>
                <w:noProof/>
                <w:sz w:val="20"/>
                <w:lang w:eastAsia="en-GB"/>
              </w:rPr>
            </w:pPr>
            <w:r w:rsidRPr="001C0111">
              <w:rPr>
                <w:noProof/>
                <w:sz w:val="20"/>
                <w:lang w:eastAsia="en-GB"/>
              </w:rPr>
              <w:t>0,697</w:t>
            </w:r>
          </w:p>
        </w:tc>
        <w:tc>
          <w:tcPr>
            <w:tcW w:w="1276" w:type="dxa"/>
          </w:tcPr>
          <w:p w14:paraId="41674468" w14:textId="77777777" w:rsidR="001C0111" w:rsidRPr="001C0111" w:rsidRDefault="001C0111" w:rsidP="001C0111">
            <w:pPr>
              <w:spacing w:before="20" w:after="20"/>
              <w:jc w:val="right"/>
              <w:rPr>
                <w:noProof/>
                <w:sz w:val="20"/>
                <w:lang w:eastAsia="en-GB"/>
              </w:rPr>
            </w:pPr>
            <w:r w:rsidRPr="001C0111">
              <w:rPr>
                <w:noProof/>
                <w:sz w:val="20"/>
                <w:lang w:eastAsia="en-GB"/>
              </w:rPr>
              <w:t>1,423</w:t>
            </w:r>
          </w:p>
        </w:tc>
        <w:tc>
          <w:tcPr>
            <w:tcW w:w="992" w:type="dxa"/>
          </w:tcPr>
          <w:p w14:paraId="31B82E1D" w14:textId="77777777" w:rsidR="001C0111" w:rsidRPr="001C0111" w:rsidRDefault="001C0111" w:rsidP="001C0111">
            <w:pPr>
              <w:spacing w:before="20" w:after="20"/>
              <w:jc w:val="right"/>
              <w:rPr>
                <w:noProof/>
                <w:sz w:val="20"/>
                <w:lang w:eastAsia="en-GB"/>
              </w:rPr>
            </w:pPr>
            <w:r w:rsidRPr="001C0111">
              <w:rPr>
                <w:noProof/>
                <w:sz w:val="20"/>
                <w:lang w:eastAsia="en-GB"/>
              </w:rPr>
              <w:t>1,451</w:t>
            </w:r>
          </w:p>
        </w:tc>
        <w:tc>
          <w:tcPr>
            <w:tcW w:w="1134" w:type="dxa"/>
          </w:tcPr>
          <w:p w14:paraId="01CDCA55" w14:textId="77777777" w:rsidR="001C0111" w:rsidRPr="001C0111" w:rsidRDefault="001C0111" w:rsidP="001C0111">
            <w:pPr>
              <w:spacing w:before="20" w:after="20"/>
              <w:jc w:val="right"/>
              <w:rPr>
                <w:noProof/>
                <w:sz w:val="20"/>
                <w:lang w:eastAsia="en-GB"/>
              </w:rPr>
            </w:pPr>
            <w:r w:rsidRPr="001C0111">
              <w:rPr>
                <w:noProof/>
                <w:sz w:val="20"/>
                <w:lang w:eastAsia="en-GB"/>
              </w:rPr>
              <w:t>1,480</w:t>
            </w:r>
          </w:p>
        </w:tc>
        <w:tc>
          <w:tcPr>
            <w:tcW w:w="1378" w:type="dxa"/>
          </w:tcPr>
          <w:p w14:paraId="4ED7D068" w14:textId="77777777" w:rsidR="001C0111" w:rsidRPr="001C0111" w:rsidRDefault="001C0111" w:rsidP="001C0111">
            <w:pPr>
              <w:spacing w:before="20" w:after="20"/>
              <w:jc w:val="right"/>
              <w:rPr>
                <w:noProof/>
                <w:sz w:val="20"/>
                <w:lang w:eastAsia="en-GB"/>
              </w:rPr>
            </w:pPr>
            <w:r w:rsidRPr="001C0111">
              <w:rPr>
                <w:noProof/>
                <w:sz w:val="20"/>
                <w:lang w:eastAsia="en-GB"/>
              </w:rPr>
              <w:t>5,052</w:t>
            </w:r>
          </w:p>
        </w:tc>
      </w:tr>
      <w:tr w:rsidR="001C0111" w:rsidRPr="001C0111" w14:paraId="2D53E6D4" w14:textId="77777777" w:rsidTr="00EE4772">
        <w:trPr>
          <w:trHeight w:val="281"/>
        </w:trPr>
        <w:tc>
          <w:tcPr>
            <w:tcW w:w="3014" w:type="dxa"/>
            <w:vMerge/>
          </w:tcPr>
          <w:p w14:paraId="19543B2C" w14:textId="77777777" w:rsidR="001C0111" w:rsidRPr="001C0111" w:rsidRDefault="001C0111" w:rsidP="001C0111">
            <w:pPr>
              <w:jc w:val="center"/>
              <w:rPr>
                <w:noProof/>
                <w:sz w:val="20"/>
                <w:lang w:eastAsia="en-GB"/>
              </w:rPr>
            </w:pPr>
          </w:p>
        </w:tc>
        <w:tc>
          <w:tcPr>
            <w:tcW w:w="1659" w:type="dxa"/>
            <w:vAlign w:val="center"/>
          </w:tcPr>
          <w:p w14:paraId="4F6EC267" w14:textId="77777777" w:rsidR="001C0111" w:rsidRPr="001C0111" w:rsidRDefault="001C0111" w:rsidP="001C0111">
            <w:pPr>
              <w:spacing w:before="20" w:after="20"/>
              <w:rPr>
                <w:noProof/>
                <w:sz w:val="18"/>
                <w:lang w:eastAsia="en-GB"/>
              </w:rPr>
            </w:pPr>
            <w:r w:rsidRPr="001C0111">
              <w:rPr>
                <w:noProof/>
                <w:sz w:val="18"/>
                <w:lang w:eastAsia="en-GB"/>
              </w:rPr>
              <w:t>Payments</w:t>
            </w:r>
          </w:p>
        </w:tc>
        <w:tc>
          <w:tcPr>
            <w:tcW w:w="1559" w:type="dxa"/>
            <w:vAlign w:val="center"/>
          </w:tcPr>
          <w:p w14:paraId="6724C4D4" w14:textId="77777777" w:rsidR="001C0111" w:rsidRPr="001C0111" w:rsidRDefault="001C0111" w:rsidP="001C0111">
            <w:pPr>
              <w:spacing w:before="20" w:after="20"/>
              <w:jc w:val="center"/>
              <w:rPr>
                <w:noProof/>
                <w:sz w:val="14"/>
                <w:lang w:eastAsia="en-GB"/>
              </w:rPr>
            </w:pPr>
            <w:r w:rsidRPr="001C0111">
              <w:rPr>
                <w:noProof/>
                <w:sz w:val="14"/>
                <w:lang w:eastAsia="en-GB"/>
              </w:rPr>
              <w:t>(2a)</w:t>
            </w:r>
          </w:p>
        </w:tc>
        <w:tc>
          <w:tcPr>
            <w:tcW w:w="1276" w:type="dxa"/>
          </w:tcPr>
          <w:p w14:paraId="089FE9F0" w14:textId="77777777" w:rsidR="001C0111" w:rsidRPr="001C0111" w:rsidRDefault="001C0111" w:rsidP="001C0111">
            <w:pPr>
              <w:spacing w:before="20" w:after="20"/>
              <w:jc w:val="right"/>
              <w:rPr>
                <w:noProof/>
                <w:sz w:val="20"/>
                <w:lang w:eastAsia="en-GB"/>
              </w:rPr>
            </w:pPr>
            <w:r w:rsidRPr="001C0111">
              <w:rPr>
                <w:noProof/>
                <w:sz w:val="20"/>
                <w:lang w:eastAsia="en-GB"/>
              </w:rPr>
              <w:t>0,697</w:t>
            </w:r>
          </w:p>
        </w:tc>
        <w:tc>
          <w:tcPr>
            <w:tcW w:w="1276" w:type="dxa"/>
          </w:tcPr>
          <w:p w14:paraId="79DE4565" w14:textId="77777777" w:rsidR="001C0111" w:rsidRPr="001C0111" w:rsidRDefault="001C0111" w:rsidP="001C0111">
            <w:pPr>
              <w:spacing w:before="20" w:after="20"/>
              <w:jc w:val="right"/>
              <w:rPr>
                <w:noProof/>
                <w:sz w:val="20"/>
                <w:lang w:eastAsia="en-GB"/>
              </w:rPr>
            </w:pPr>
            <w:r w:rsidRPr="001C0111">
              <w:rPr>
                <w:noProof/>
                <w:sz w:val="20"/>
                <w:lang w:eastAsia="en-GB"/>
              </w:rPr>
              <w:t>1,423</w:t>
            </w:r>
          </w:p>
        </w:tc>
        <w:tc>
          <w:tcPr>
            <w:tcW w:w="992" w:type="dxa"/>
          </w:tcPr>
          <w:p w14:paraId="5F193025" w14:textId="77777777" w:rsidR="001C0111" w:rsidRPr="001C0111" w:rsidRDefault="001C0111" w:rsidP="001C0111">
            <w:pPr>
              <w:spacing w:before="20" w:after="20"/>
              <w:jc w:val="right"/>
              <w:rPr>
                <w:noProof/>
                <w:sz w:val="20"/>
                <w:lang w:eastAsia="en-GB"/>
              </w:rPr>
            </w:pPr>
            <w:r w:rsidRPr="001C0111">
              <w:rPr>
                <w:noProof/>
                <w:sz w:val="20"/>
                <w:lang w:eastAsia="en-GB"/>
              </w:rPr>
              <w:t>1,451</w:t>
            </w:r>
          </w:p>
        </w:tc>
        <w:tc>
          <w:tcPr>
            <w:tcW w:w="1134" w:type="dxa"/>
          </w:tcPr>
          <w:p w14:paraId="6458F067" w14:textId="77777777" w:rsidR="001C0111" w:rsidRPr="001C0111" w:rsidRDefault="001C0111" w:rsidP="001C0111">
            <w:pPr>
              <w:spacing w:before="20" w:after="20"/>
              <w:jc w:val="right"/>
              <w:rPr>
                <w:noProof/>
                <w:sz w:val="20"/>
                <w:lang w:eastAsia="en-GB"/>
              </w:rPr>
            </w:pPr>
            <w:r w:rsidRPr="001C0111">
              <w:rPr>
                <w:noProof/>
                <w:sz w:val="20"/>
                <w:lang w:eastAsia="en-GB"/>
              </w:rPr>
              <w:t>1,480</w:t>
            </w:r>
          </w:p>
        </w:tc>
        <w:tc>
          <w:tcPr>
            <w:tcW w:w="1378" w:type="dxa"/>
          </w:tcPr>
          <w:p w14:paraId="430B8E03" w14:textId="77777777" w:rsidR="001C0111" w:rsidRPr="001C0111" w:rsidRDefault="001C0111" w:rsidP="001C0111">
            <w:pPr>
              <w:spacing w:before="20" w:after="20"/>
              <w:jc w:val="right"/>
              <w:rPr>
                <w:b/>
                <w:noProof/>
                <w:sz w:val="20"/>
                <w:lang w:eastAsia="en-GB"/>
              </w:rPr>
            </w:pPr>
            <w:r w:rsidRPr="001C0111">
              <w:rPr>
                <w:noProof/>
                <w:sz w:val="20"/>
                <w:lang w:eastAsia="en-GB"/>
              </w:rPr>
              <w:t>5,052</w:t>
            </w:r>
          </w:p>
        </w:tc>
      </w:tr>
      <w:tr w:rsidR="001C0111" w:rsidRPr="001C0111" w14:paraId="5830FB9B" w14:textId="77777777" w:rsidTr="00EE4772">
        <w:trPr>
          <w:trHeight w:val="268"/>
        </w:trPr>
        <w:tc>
          <w:tcPr>
            <w:tcW w:w="3014" w:type="dxa"/>
            <w:vMerge w:val="restart"/>
            <w:vAlign w:val="center"/>
          </w:tcPr>
          <w:p w14:paraId="06CB0F69" w14:textId="77777777" w:rsidR="001C0111" w:rsidRPr="001C0111" w:rsidDel="006337FA" w:rsidRDefault="001C0111" w:rsidP="001C0111">
            <w:pPr>
              <w:rPr>
                <w:noProof/>
                <w:sz w:val="20"/>
                <w:lang w:eastAsia="en-GB"/>
              </w:rPr>
            </w:pPr>
            <w:r w:rsidRPr="001C0111">
              <w:rPr>
                <w:noProof/>
                <w:sz w:val="20"/>
                <w:lang w:eastAsia="en-GB"/>
              </w:rPr>
              <w:t>Title 2: Infrastructure</w:t>
            </w:r>
          </w:p>
        </w:tc>
        <w:tc>
          <w:tcPr>
            <w:tcW w:w="1659" w:type="dxa"/>
            <w:vAlign w:val="center"/>
          </w:tcPr>
          <w:p w14:paraId="371AF20E" w14:textId="77777777" w:rsidR="001C0111" w:rsidRPr="001C0111" w:rsidRDefault="001C0111" w:rsidP="001C0111">
            <w:pPr>
              <w:spacing w:before="20" w:after="20"/>
              <w:rPr>
                <w:noProof/>
                <w:sz w:val="18"/>
                <w:lang w:eastAsia="en-GB"/>
              </w:rPr>
            </w:pPr>
            <w:r w:rsidRPr="001C0111">
              <w:rPr>
                <w:noProof/>
                <w:sz w:val="18"/>
                <w:lang w:eastAsia="en-GB"/>
              </w:rPr>
              <w:t>Commitments</w:t>
            </w:r>
          </w:p>
        </w:tc>
        <w:tc>
          <w:tcPr>
            <w:tcW w:w="1559" w:type="dxa"/>
            <w:vAlign w:val="center"/>
          </w:tcPr>
          <w:p w14:paraId="1FC4E4CB" w14:textId="77777777" w:rsidR="001C0111" w:rsidRPr="001C0111" w:rsidRDefault="001C0111" w:rsidP="001C0111">
            <w:pPr>
              <w:spacing w:before="20" w:after="20"/>
              <w:jc w:val="center"/>
              <w:rPr>
                <w:noProof/>
                <w:sz w:val="14"/>
                <w:lang w:eastAsia="en-GB"/>
              </w:rPr>
            </w:pPr>
            <w:r w:rsidRPr="001C0111">
              <w:rPr>
                <w:noProof/>
                <w:sz w:val="14"/>
                <w:lang w:eastAsia="en-GB"/>
              </w:rPr>
              <w:t>(1b)</w:t>
            </w:r>
          </w:p>
        </w:tc>
        <w:tc>
          <w:tcPr>
            <w:tcW w:w="1276" w:type="dxa"/>
            <w:vAlign w:val="center"/>
          </w:tcPr>
          <w:p w14:paraId="5F8A1430" w14:textId="77777777" w:rsidR="001C0111" w:rsidRPr="001C0111" w:rsidRDefault="001C0111" w:rsidP="001C0111">
            <w:pPr>
              <w:spacing w:before="20" w:after="20"/>
              <w:jc w:val="right"/>
              <w:rPr>
                <w:noProof/>
                <w:sz w:val="20"/>
                <w:lang w:eastAsia="en-GB"/>
              </w:rPr>
            </w:pPr>
          </w:p>
        </w:tc>
        <w:tc>
          <w:tcPr>
            <w:tcW w:w="1276" w:type="dxa"/>
            <w:vAlign w:val="center"/>
          </w:tcPr>
          <w:p w14:paraId="4F356A7A" w14:textId="77777777" w:rsidR="001C0111" w:rsidRPr="001C0111" w:rsidRDefault="001C0111" w:rsidP="001C0111">
            <w:pPr>
              <w:spacing w:before="20" w:after="20"/>
              <w:jc w:val="right"/>
              <w:rPr>
                <w:noProof/>
                <w:sz w:val="20"/>
                <w:lang w:eastAsia="en-GB"/>
              </w:rPr>
            </w:pPr>
          </w:p>
        </w:tc>
        <w:tc>
          <w:tcPr>
            <w:tcW w:w="992" w:type="dxa"/>
            <w:vAlign w:val="center"/>
          </w:tcPr>
          <w:p w14:paraId="4F429985" w14:textId="77777777" w:rsidR="001C0111" w:rsidRPr="001C0111" w:rsidRDefault="001C0111" w:rsidP="001C0111">
            <w:pPr>
              <w:spacing w:before="20" w:after="20"/>
              <w:jc w:val="right"/>
              <w:rPr>
                <w:noProof/>
                <w:sz w:val="20"/>
                <w:lang w:eastAsia="en-GB"/>
              </w:rPr>
            </w:pPr>
          </w:p>
        </w:tc>
        <w:tc>
          <w:tcPr>
            <w:tcW w:w="1134" w:type="dxa"/>
            <w:vAlign w:val="center"/>
          </w:tcPr>
          <w:p w14:paraId="49085CEE" w14:textId="77777777" w:rsidR="001C0111" w:rsidRPr="001C0111" w:rsidRDefault="001C0111" w:rsidP="001C0111">
            <w:pPr>
              <w:spacing w:before="20" w:after="20"/>
              <w:jc w:val="right"/>
              <w:rPr>
                <w:noProof/>
                <w:sz w:val="20"/>
                <w:lang w:eastAsia="en-GB"/>
              </w:rPr>
            </w:pPr>
          </w:p>
        </w:tc>
        <w:tc>
          <w:tcPr>
            <w:tcW w:w="1378" w:type="dxa"/>
            <w:vAlign w:val="center"/>
          </w:tcPr>
          <w:p w14:paraId="60E1F997" w14:textId="77777777" w:rsidR="001C0111" w:rsidRPr="001C0111" w:rsidRDefault="001C0111" w:rsidP="001C0111">
            <w:pPr>
              <w:spacing w:before="20" w:after="20"/>
              <w:rPr>
                <w:b/>
                <w:noProof/>
                <w:sz w:val="20"/>
                <w:lang w:eastAsia="en-GB"/>
              </w:rPr>
            </w:pPr>
          </w:p>
        </w:tc>
      </w:tr>
      <w:tr w:rsidR="001C0111" w:rsidRPr="001C0111" w14:paraId="38E15476" w14:textId="77777777" w:rsidTr="00EE4772">
        <w:trPr>
          <w:trHeight w:val="268"/>
        </w:trPr>
        <w:tc>
          <w:tcPr>
            <w:tcW w:w="3014" w:type="dxa"/>
            <w:vMerge/>
            <w:vAlign w:val="center"/>
          </w:tcPr>
          <w:p w14:paraId="6A315CC5" w14:textId="77777777" w:rsidR="001C0111" w:rsidRPr="001C0111" w:rsidDel="006337FA" w:rsidRDefault="001C0111" w:rsidP="001C0111">
            <w:pPr>
              <w:rPr>
                <w:noProof/>
                <w:sz w:val="20"/>
                <w:lang w:eastAsia="en-GB"/>
              </w:rPr>
            </w:pPr>
          </w:p>
        </w:tc>
        <w:tc>
          <w:tcPr>
            <w:tcW w:w="1659" w:type="dxa"/>
            <w:vAlign w:val="center"/>
          </w:tcPr>
          <w:p w14:paraId="02C0EE40" w14:textId="77777777" w:rsidR="001C0111" w:rsidRPr="001C0111" w:rsidRDefault="001C0111" w:rsidP="001C0111">
            <w:pPr>
              <w:spacing w:before="20" w:after="20"/>
              <w:rPr>
                <w:noProof/>
                <w:sz w:val="18"/>
                <w:lang w:eastAsia="en-GB"/>
              </w:rPr>
            </w:pPr>
            <w:r w:rsidRPr="001C0111">
              <w:rPr>
                <w:noProof/>
                <w:sz w:val="18"/>
                <w:lang w:eastAsia="en-GB"/>
              </w:rPr>
              <w:t>Payments</w:t>
            </w:r>
          </w:p>
        </w:tc>
        <w:tc>
          <w:tcPr>
            <w:tcW w:w="1559" w:type="dxa"/>
            <w:vAlign w:val="center"/>
          </w:tcPr>
          <w:p w14:paraId="3E80CA51" w14:textId="77777777" w:rsidR="001C0111" w:rsidRPr="001C0111" w:rsidRDefault="001C0111" w:rsidP="001C0111">
            <w:pPr>
              <w:spacing w:before="20" w:after="20"/>
              <w:jc w:val="center"/>
              <w:rPr>
                <w:noProof/>
                <w:sz w:val="14"/>
                <w:lang w:eastAsia="en-GB"/>
              </w:rPr>
            </w:pPr>
            <w:r w:rsidRPr="001C0111">
              <w:rPr>
                <w:noProof/>
                <w:sz w:val="14"/>
                <w:lang w:eastAsia="en-GB"/>
              </w:rPr>
              <w:t>(2b)</w:t>
            </w:r>
          </w:p>
        </w:tc>
        <w:tc>
          <w:tcPr>
            <w:tcW w:w="1276" w:type="dxa"/>
            <w:vAlign w:val="center"/>
          </w:tcPr>
          <w:p w14:paraId="6DDE60B0" w14:textId="77777777" w:rsidR="001C0111" w:rsidRPr="001C0111" w:rsidRDefault="001C0111" w:rsidP="001C0111">
            <w:pPr>
              <w:spacing w:before="20" w:after="20"/>
              <w:jc w:val="right"/>
              <w:rPr>
                <w:noProof/>
                <w:sz w:val="20"/>
                <w:lang w:eastAsia="en-GB"/>
              </w:rPr>
            </w:pPr>
          </w:p>
        </w:tc>
        <w:tc>
          <w:tcPr>
            <w:tcW w:w="1276" w:type="dxa"/>
            <w:vAlign w:val="center"/>
          </w:tcPr>
          <w:p w14:paraId="073039ED" w14:textId="77777777" w:rsidR="001C0111" w:rsidRPr="001C0111" w:rsidRDefault="001C0111" w:rsidP="001C0111">
            <w:pPr>
              <w:spacing w:before="20" w:after="20"/>
              <w:jc w:val="right"/>
              <w:rPr>
                <w:noProof/>
                <w:sz w:val="20"/>
                <w:lang w:eastAsia="en-GB"/>
              </w:rPr>
            </w:pPr>
          </w:p>
        </w:tc>
        <w:tc>
          <w:tcPr>
            <w:tcW w:w="992" w:type="dxa"/>
            <w:vAlign w:val="center"/>
          </w:tcPr>
          <w:p w14:paraId="602AE17B" w14:textId="77777777" w:rsidR="001C0111" w:rsidRPr="001C0111" w:rsidRDefault="001C0111" w:rsidP="001C0111">
            <w:pPr>
              <w:spacing w:before="20" w:after="20"/>
              <w:jc w:val="right"/>
              <w:rPr>
                <w:noProof/>
                <w:sz w:val="20"/>
                <w:lang w:eastAsia="en-GB"/>
              </w:rPr>
            </w:pPr>
          </w:p>
        </w:tc>
        <w:tc>
          <w:tcPr>
            <w:tcW w:w="1134" w:type="dxa"/>
            <w:vAlign w:val="center"/>
          </w:tcPr>
          <w:p w14:paraId="68192836" w14:textId="77777777" w:rsidR="001C0111" w:rsidRPr="001C0111" w:rsidRDefault="001C0111" w:rsidP="001C0111">
            <w:pPr>
              <w:spacing w:before="20" w:after="20"/>
              <w:jc w:val="right"/>
              <w:rPr>
                <w:noProof/>
                <w:sz w:val="20"/>
                <w:lang w:eastAsia="en-GB"/>
              </w:rPr>
            </w:pPr>
          </w:p>
        </w:tc>
        <w:tc>
          <w:tcPr>
            <w:tcW w:w="1378" w:type="dxa"/>
            <w:vAlign w:val="center"/>
          </w:tcPr>
          <w:p w14:paraId="28289B7A" w14:textId="77777777" w:rsidR="001C0111" w:rsidRPr="001C0111" w:rsidRDefault="001C0111" w:rsidP="001C0111">
            <w:pPr>
              <w:spacing w:before="20" w:after="20"/>
              <w:jc w:val="right"/>
              <w:rPr>
                <w:b/>
                <w:noProof/>
                <w:sz w:val="20"/>
                <w:lang w:eastAsia="en-GB"/>
              </w:rPr>
            </w:pPr>
          </w:p>
        </w:tc>
      </w:tr>
      <w:tr w:rsidR="001C0111" w:rsidRPr="001C0111" w14:paraId="095B53E5" w14:textId="77777777" w:rsidTr="00EE4772">
        <w:trPr>
          <w:trHeight w:val="268"/>
        </w:trPr>
        <w:tc>
          <w:tcPr>
            <w:tcW w:w="3014" w:type="dxa"/>
            <w:vMerge w:val="restart"/>
            <w:vAlign w:val="center"/>
          </w:tcPr>
          <w:p w14:paraId="37721519" w14:textId="77777777" w:rsidR="001C0111" w:rsidRPr="001C0111" w:rsidRDefault="001C0111" w:rsidP="001C0111">
            <w:pPr>
              <w:rPr>
                <w:noProof/>
                <w:lang w:eastAsia="en-GB"/>
              </w:rPr>
            </w:pPr>
            <w:r w:rsidRPr="001C0111">
              <w:rPr>
                <w:noProof/>
                <w:sz w:val="20"/>
                <w:lang w:eastAsia="en-GB"/>
              </w:rPr>
              <w:t>Title 3: Operational expenditure</w:t>
            </w:r>
          </w:p>
        </w:tc>
        <w:tc>
          <w:tcPr>
            <w:tcW w:w="1659" w:type="dxa"/>
            <w:vAlign w:val="center"/>
          </w:tcPr>
          <w:p w14:paraId="2EA03EF1" w14:textId="77777777" w:rsidR="001C0111" w:rsidRPr="001C0111" w:rsidRDefault="001C0111" w:rsidP="001C0111">
            <w:pPr>
              <w:spacing w:before="20" w:after="20"/>
              <w:rPr>
                <w:noProof/>
                <w:sz w:val="18"/>
                <w:lang w:eastAsia="en-GB"/>
              </w:rPr>
            </w:pPr>
            <w:r w:rsidRPr="001C0111">
              <w:rPr>
                <w:noProof/>
                <w:sz w:val="18"/>
                <w:lang w:eastAsia="en-GB"/>
              </w:rPr>
              <w:t>Commitments</w:t>
            </w:r>
          </w:p>
        </w:tc>
        <w:tc>
          <w:tcPr>
            <w:tcW w:w="1559" w:type="dxa"/>
            <w:vAlign w:val="center"/>
          </w:tcPr>
          <w:p w14:paraId="549B7BBE" w14:textId="77777777" w:rsidR="001C0111" w:rsidRPr="001C0111" w:rsidRDefault="001C0111" w:rsidP="001C0111">
            <w:pPr>
              <w:spacing w:before="20" w:after="20"/>
              <w:jc w:val="center"/>
              <w:rPr>
                <w:noProof/>
                <w:sz w:val="14"/>
                <w:lang w:eastAsia="en-GB"/>
              </w:rPr>
            </w:pPr>
            <w:r w:rsidRPr="001C0111">
              <w:rPr>
                <w:noProof/>
                <w:sz w:val="14"/>
                <w:lang w:eastAsia="en-GB"/>
              </w:rPr>
              <w:t>(1c)</w:t>
            </w:r>
          </w:p>
        </w:tc>
        <w:tc>
          <w:tcPr>
            <w:tcW w:w="1276" w:type="dxa"/>
            <w:vAlign w:val="bottom"/>
          </w:tcPr>
          <w:p w14:paraId="6BE6F9D8" w14:textId="77777777" w:rsidR="001C0111" w:rsidRPr="001C0111" w:rsidRDefault="001C0111" w:rsidP="001C0111">
            <w:pPr>
              <w:spacing w:before="20" w:after="20"/>
              <w:jc w:val="right"/>
              <w:rPr>
                <w:noProof/>
                <w:sz w:val="20"/>
                <w:lang w:eastAsia="en-GB"/>
              </w:rPr>
            </w:pPr>
            <w:r w:rsidRPr="001C0111">
              <w:rPr>
                <w:noProof/>
                <w:sz w:val="20"/>
                <w:lang w:eastAsia="en-GB"/>
              </w:rPr>
              <w:t>0,490</w:t>
            </w:r>
          </w:p>
        </w:tc>
        <w:tc>
          <w:tcPr>
            <w:tcW w:w="1276" w:type="dxa"/>
            <w:vAlign w:val="bottom"/>
          </w:tcPr>
          <w:p w14:paraId="170BBACC" w14:textId="77777777" w:rsidR="001C0111" w:rsidRPr="001C0111" w:rsidRDefault="001C0111" w:rsidP="001C0111">
            <w:pPr>
              <w:spacing w:before="20" w:after="20"/>
              <w:jc w:val="right"/>
              <w:rPr>
                <w:noProof/>
                <w:sz w:val="20"/>
                <w:lang w:eastAsia="en-GB"/>
              </w:rPr>
            </w:pPr>
            <w:r w:rsidRPr="001C0111">
              <w:rPr>
                <w:noProof/>
                <w:sz w:val="20"/>
                <w:lang w:eastAsia="en-GB"/>
              </w:rPr>
              <w:t>0,620</w:t>
            </w:r>
          </w:p>
        </w:tc>
        <w:tc>
          <w:tcPr>
            <w:tcW w:w="992" w:type="dxa"/>
            <w:vAlign w:val="bottom"/>
          </w:tcPr>
          <w:p w14:paraId="3809EA2B" w14:textId="77777777" w:rsidR="001C0111" w:rsidRPr="001C0111" w:rsidRDefault="001C0111" w:rsidP="001C0111">
            <w:pPr>
              <w:spacing w:before="20" w:after="20"/>
              <w:jc w:val="right"/>
              <w:rPr>
                <w:noProof/>
                <w:sz w:val="20"/>
                <w:lang w:eastAsia="en-GB"/>
              </w:rPr>
            </w:pPr>
            <w:r w:rsidRPr="001C0111">
              <w:rPr>
                <w:noProof/>
                <w:sz w:val="20"/>
                <w:lang w:eastAsia="en-GB"/>
              </w:rPr>
              <w:t>0,420</w:t>
            </w:r>
          </w:p>
        </w:tc>
        <w:tc>
          <w:tcPr>
            <w:tcW w:w="1134" w:type="dxa"/>
            <w:vAlign w:val="bottom"/>
          </w:tcPr>
          <w:p w14:paraId="6F694717" w14:textId="77777777" w:rsidR="001C0111" w:rsidRPr="001C0111" w:rsidRDefault="001C0111" w:rsidP="001C0111">
            <w:pPr>
              <w:spacing w:before="20" w:after="20"/>
              <w:jc w:val="right"/>
              <w:rPr>
                <w:noProof/>
                <w:sz w:val="20"/>
                <w:lang w:eastAsia="en-GB"/>
              </w:rPr>
            </w:pPr>
            <w:r w:rsidRPr="001C0111">
              <w:rPr>
                <w:noProof/>
                <w:sz w:val="20"/>
                <w:lang w:eastAsia="en-GB"/>
              </w:rPr>
              <w:t>0,420</w:t>
            </w:r>
          </w:p>
        </w:tc>
        <w:tc>
          <w:tcPr>
            <w:tcW w:w="1378" w:type="dxa"/>
            <w:vAlign w:val="bottom"/>
          </w:tcPr>
          <w:p w14:paraId="34D92488" w14:textId="77777777" w:rsidR="001C0111" w:rsidRPr="001C0111" w:rsidRDefault="001C0111" w:rsidP="001C0111">
            <w:pPr>
              <w:spacing w:before="20" w:after="20"/>
              <w:jc w:val="right"/>
              <w:rPr>
                <w:b/>
                <w:noProof/>
                <w:sz w:val="20"/>
                <w:lang w:eastAsia="en-GB"/>
              </w:rPr>
            </w:pPr>
            <w:r w:rsidRPr="001C0111">
              <w:rPr>
                <w:b/>
                <w:noProof/>
                <w:sz w:val="20"/>
                <w:lang w:eastAsia="en-GB"/>
              </w:rPr>
              <w:t>1,950</w:t>
            </w:r>
          </w:p>
        </w:tc>
      </w:tr>
      <w:tr w:rsidR="001C0111" w:rsidRPr="001C0111" w14:paraId="0A95AB28" w14:textId="77777777" w:rsidTr="00EE4772">
        <w:trPr>
          <w:trHeight w:val="281"/>
        </w:trPr>
        <w:tc>
          <w:tcPr>
            <w:tcW w:w="3014" w:type="dxa"/>
            <w:vMerge/>
          </w:tcPr>
          <w:p w14:paraId="0FAE2D8B" w14:textId="77777777" w:rsidR="001C0111" w:rsidRPr="001C0111" w:rsidRDefault="001C0111" w:rsidP="001C0111">
            <w:pPr>
              <w:jc w:val="center"/>
              <w:rPr>
                <w:noProof/>
                <w:sz w:val="20"/>
                <w:lang w:eastAsia="en-GB"/>
              </w:rPr>
            </w:pPr>
          </w:p>
        </w:tc>
        <w:tc>
          <w:tcPr>
            <w:tcW w:w="1659" w:type="dxa"/>
            <w:vAlign w:val="center"/>
          </w:tcPr>
          <w:p w14:paraId="2815ED90" w14:textId="77777777" w:rsidR="001C0111" w:rsidRPr="001C0111" w:rsidRDefault="001C0111" w:rsidP="001C0111">
            <w:pPr>
              <w:spacing w:before="20" w:after="20"/>
              <w:rPr>
                <w:noProof/>
                <w:sz w:val="18"/>
                <w:lang w:eastAsia="en-GB"/>
              </w:rPr>
            </w:pPr>
            <w:r w:rsidRPr="001C0111">
              <w:rPr>
                <w:noProof/>
                <w:sz w:val="18"/>
                <w:lang w:eastAsia="en-GB"/>
              </w:rPr>
              <w:t>Payments</w:t>
            </w:r>
          </w:p>
        </w:tc>
        <w:tc>
          <w:tcPr>
            <w:tcW w:w="1559" w:type="dxa"/>
            <w:vAlign w:val="center"/>
          </w:tcPr>
          <w:p w14:paraId="6C476C66" w14:textId="77777777" w:rsidR="001C0111" w:rsidRPr="001C0111" w:rsidRDefault="001C0111" w:rsidP="001C0111">
            <w:pPr>
              <w:spacing w:before="20" w:after="20"/>
              <w:jc w:val="center"/>
              <w:rPr>
                <w:noProof/>
                <w:sz w:val="14"/>
                <w:lang w:eastAsia="en-GB"/>
              </w:rPr>
            </w:pPr>
            <w:r w:rsidRPr="001C0111">
              <w:rPr>
                <w:noProof/>
                <w:sz w:val="14"/>
                <w:lang w:eastAsia="en-GB"/>
              </w:rPr>
              <w:t>(2c)</w:t>
            </w:r>
          </w:p>
        </w:tc>
        <w:tc>
          <w:tcPr>
            <w:tcW w:w="1276" w:type="dxa"/>
            <w:vAlign w:val="bottom"/>
          </w:tcPr>
          <w:p w14:paraId="0B168303" w14:textId="77777777" w:rsidR="001C0111" w:rsidRPr="001C0111" w:rsidRDefault="001C0111" w:rsidP="001C0111">
            <w:pPr>
              <w:spacing w:before="20" w:after="20"/>
              <w:jc w:val="right"/>
              <w:rPr>
                <w:noProof/>
                <w:sz w:val="20"/>
                <w:lang w:eastAsia="en-GB"/>
              </w:rPr>
            </w:pPr>
            <w:r w:rsidRPr="001C0111">
              <w:rPr>
                <w:noProof/>
                <w:sz w:val="20"/>
                <w:lang w:eastAsia="en-GB"/>
              </w:rPr>
              <w:t>0,490</w:t>
            </w:r>
          </w:p>
        </w:tc>
        <w:tc>
          <w:tcPr>
            <w:tcW w:w="1276" w:type="dxa"/>
            <w:vAlign w:val="bottom"/>
          </w:tcPr>
          <w:p w14:paraId="79ACCA9A" w14:textId="77777777" w:rsidR="001C0111" w:rsidRPr="001C0111" w:rsidRDefault="001C0111" w:rsidP="001C0111">
            <w:pPr>
              <w:spacing w:before="20" w:after="20"/>
              <w:jc w:val="right"/>
              <w:rPr>
                <w:noProof/>
                <w:sz w:val="20"/>
                <w:lang w:eastAsia="en-GB"/>
              </w:rPr>
            </w:pPr>
            <w:r w:rsidRPr="001C0111">
              <w:rPr>
                <w:noProof/>
                <w:sz w:val="20"/>
                <w:lang w:eastAsia="en-GB"/>
              </w:rPr>
              <w:t>0,620</w:t>
            </w:r>
          </w:p>
        </w:tc>
        <w:tc>
          <w:tcPr>
            <w:tcW w:w="992" w:type="dxa"/>
            <w:vAlign w:val="bottom"/>
          </w:tcPr>
          <w:p w14:paraId="74E55ED8" w14:textId="77777777" w:rsidR="001C0111" w:rsidRPr="001C0111" w:rsidRDefault="001C0111" w:rsidP="001C0111">
            <w:pPr>
              <w:spacing w:before="20" w:after="20"/>
              <w:jc w:val="right"/>
              <w:rPr>
                <w:noProof/>
                <w:sz w:val="20"/>
                <w:lang w:eastAsia="en-GB"/>
              </w:rPr>
            </w:pPr>
            <w:r w:rsidRPr="001C0111">
              <w:rPr>
                <w:noProof/>
                <w:sz w:val="20"/>
                <w:lang w:eastAsia="en-GB"/>
              </w:rPr>
              <w:t>0,420</w:t>
            </w:r>
          </w:p>
        </w:tc>
        <w:tc>
          <w:tcPr>
            <w:tcW w:w="1134" w:type="dxa"/>
            <w:vAlign w:val="bottom"/>
          </w:tcPr>
          <w:p w14:paraId="1E7469B3" w14:textId="77777777" w:rsidR="001C0111" w:rsidRPr="001C0111" w:rsidRDefault="001C0111" w:rsidP="001C0111">
            <w:pPr>
              <w:spacing w:before="20" w:after="20"/>
              <w:jc w:val="right"/>
              <w:rPr>
                <w:noProof/>
                <w:sz w:val="20"/>
                <w:lang w:eastAsia="en-GB"/>
              </w:rPr>
            </w:pPr>
            <w:r w:rsidRPr="001C0111">
              <w:rPr>
                <w:noProof/>
                <w:sz w:val="20"/>
                <w:lang w:eastAsia="en-GB"/>
              </w:rPr>
              <w:t>0,420</w:t>
            </w:r>
          </w:p>
        </w:tc>
        <w:tc>
          <w:tcPr>
            <w:tcW w:w="1378" w:type="dxa"/>
            <w:vAlign w:val="bottom"/>
          </w:tcPr>
          <w:p w14:paraId="7307BAC9" w14:textId="77777777" w:rsidR="001C0111" w:rsidRPr="001C0111" w:rsidRDefault="001C0111" w:rsidP="001C0111">
            <w:pPr>
              <w:spacing w:before="20" w:after="20"/>
              <w:jc w:val="right"/>
              <w:rPr>
                <w:b/>
                <w:noProof/>
                <w:sz w:val="20"/>
                <w:lang w:eastAsia="en-GB"/>
              </w:rPr>
            </w:pPr>
            <w:r w:rsidRPr="001C0111">
              <w:rPr>
                <w:b/>
                <w:noProof/>
                <w:sz w:val="20"/>
                <w:lang w:eastAsia="en-GB"/>
              </w:rPr>
              <w:t>1,950</w:t>
            </w:r>
          </w:p>
        </w:tc>
      </w:tr>
      <w:tr w:rsidR="001C0111" w:rsidRPr="001C0111" w14:paraId="4BD3AE77" w14:textId="77777777" w:rsidTr="00EE4772">
        <w:trPr>
          <w:trHeight w:val="549"/>
        </w:trPr>
        <w:tc>
          <w:tcPr>
            <w:tcW w:w="3014" w:type="dxa"/>
            <w:vMerge w:val="restart"/>
            <w:vAlign w:val="center"/>
          </w:tcPr>
          <w:p w14:paraId="2AD3D401" w14:textId="77777777" w:rsidR="001C0111" w:rsidRPr="001C0111" w:rsidRDefault="001C0111" w:rsidP="001C0111">
            <w:pPr>
              <w:jc w:val="center"/>
              <w:rPr>
                <w:b/>
                <w:noProof/>
                <w:lang w:eastAsia="en-GB"/>
              </w:rPr>
            </w:pPr>
            <w:r w:rsidRPr="001C0111">
              <w:rPr>
                <w:b/>
                <w:noProof/>
                <w:sz w:val="22"/>
                <w:lang w:eastAsia="en-GB"/>
              </w:rPr>
              <w:t>TOTAL appropriations</w:t>
            </w:r>
            <w:r w:rsidRPr="001C0111">
              <w:rPr>
                <w:noProof/>
                <w:sz w:val="22"/>
                <w:lang w:eastAsia="en-GB"/>
              </w:rPr>
              <w:br/>
            </w:r>
            <w:r w:rsidRPr="001C0111">
              <w:rPr>
                <w:b/>
                <w:noProof/>
                <w:sz w:val="22"/>
                <w:lang w:eastAsia="en-GB"/>
              </w:rPr>
              <w:t>for agency EEA</w:t>
            </w:r>
          </w:p>
        </w:tc>
        <w:tc>
          <w:tcPr>
            <w:tcW w:w="1659" w:type="dxa"/>
            <w:vAlign w:val="center"/>
          </w:tcPr>
          <w:p w14:paraId="1B79063A" w14:textId="77777777" w:rsidR="001C0111" w:rsidRPr="001C0111" w:rsidRDefault="001C0111" w:rsidP="001C0111">
            <w:pPr>
              <w:rPr>
                <w:noProof/>
                <w:sz w:val="18"/>
                <w:lang w:eastAsia="en-GB"/>
              </w:rPr>
            </w:pPr>
            <w:r w:rsidRPr="001C0111">
              <w:rPr>
                <w:noProof/>
                <w:sz w:val="18"/>
                <w:lang w:eastAsia="en-GB"/>
              </w:rPr>
              <w:t>Commitments</w:t>
            </w:r>
          </w:p>
        </w:tc>
        <w:tc>
          <w:tcPr>
            <w:tcW w:w="1559" w:type="dxa"/>
            <w:vAlign w:val="center"/>
          </w:tcPr>
          <w:p w14:paraId="0CF0AD13" w14:textId="77777777" w:rsidR="001C0111" w:rsidRPr="001C0111" w:rsidRDefault="001C0111" w:rsidP="001C0111">
            <w:pPr>
              <w:jc w:val="center"/>
              <w:rPr>
                <w:noProof/>
                <w:sz w:val="14"/>
                <w:lang w:eastAsia="en-GB"/>
              </w:rPr>
            </w:pPr>
            <w:r w:rsidRPr="001C0111">
              <w:rPr>
                <w:noProof/>
                <w:sz w:val="14"/>
                <w:lang w:eastAsia="en-GB"/>
              </w:rPr>
              <w:t>=1a+1b +1c</w:t>
            </w:r>
          </w:p>
        </w:tc>
        <w:tc>
          <w:tcPr>
            <w:tcW w:w="1276" w:type="dxa"/>
            <w:vAlign w:val="bottom"/>
          </w:tcPr>
          <w:p w14:paraId="082C68C1" w14:textId="77777777" w:rsidR="001C0111" w:rsidRPr="001C0111" w:rsidRDefault="001C0111" w:rsidP="001C0111">
            <w:pPr>
              <w:spacing w:before="20" w:after="20"/>
              <w:jc w:val="right"/>
              <w:rPr>
                <w:b/>
                <w:noProof/>
                <w:sz w:val="20"/>
                <w:lang w:eastAsia="en-GB"/>
              </w:rPr>
            </w:pPr>
            <w:r w:rsidRPr="001C0111">
              <w:rPr>
                <w:b/>
                <w:noProof/>
                <w:sz w:val="20"/>
                <w:lang w:eastAsia="en-GB"/>
              </w:rPr>
              <w:t>1,187</w:t>
            </w:r>
          </w:p>
        </w:tc>
        <w:tc>
          <w:tcPr>
            <w:tcW w:w="1276" w:type="dxa"/>
            <w:vAlign w:val="bottom"/>
          </w:tcPr>
          <w:p w14:paraId="2ABB6618" w14:textId="77777777" w:rsidR="001C0111" w:rsidRPr="001C0111" w:rsidRDefault="001C0111" w:rsidP="001C0111">
            <w:pPr>
              <w:spacing w:before="20" w:after="20"/>
              <w:jc w:val="right"/>
              <w:rPr>
                <w:b/>
                <w:noProof/>
                <w:sz w:val="20"/>
                <w:lang w:eastAsia="en-GB"/>
              </w:rPr>
            </w:pPr>
            <w:r w:rsidRPr="001C0111">
              <w:rPr>
                <w:b/>
                <w:noProof/>
                <w:sz w:val="20"/>
                <w:lang w:eastAsia="en-GB"/>
              </w:rPr>
              <w:t>2,043</w:t>
            </w:r>
          </w:p>
        </w:tc>
        <w:tc>
          <w:tcPr>
            <w:tcW w:w="992" w:type="dxa"/>
            <w:vAlign w:val="bottom"/>
          </w:tcPr>
          <w:p w14:paraId="7248601C" w14:textId="77777777" w:rsidR="001C0111" w:rsidRPr="001C0111" w:rsidRDefault="001C0111" w:rsidP="001C0111">
            <w:pPr>
              <w:spacing w:before="20" w:after="20"/>
              <w:jc w:val="right"/>
              <w:rPr>
                <w:b/>
                <w:noProof/>
                <w:sz w:val="20"/>
                <w:lang w:eastAsia="en-GB"/>
              </w:rPr>
            </w:pPr>
            <w:r w:rsidRPr="001C0111">
              <w:rPr>
                <w:b/>
                <w:noProof/>
                <w:sz w:val="20"/>
                <w:lang w:eastAsia="en-GB"/>
              </w:rPr>
              <w:t>1,871</w:t>
            </w:r>
          </w:p>
        </w:tc>
        <w:tc>
          <w:tcPr>
            <w:tcW w:w="1134" w:type="dxa"/>
            <w:vAlign w:val="bottom"/>
          </w:tcPr>
          <w:p w14:paraId="5D9C179E" w14:textId="77777777" w:rsidR="001C0111" w:rsidRPr="001C0111" w:rsidRDefault="001C0111" w:rsidP="001C0111">
            <w:pPr>
              <w:spacing w:before="20" w:after="20"/>
              <w:jc w:val="right"/>
              <w:rPr>
                <w:b/>
                <w:noProof/>
                <w:sz w:val="20"/>
                <w:lang w:eastAsia="en-GB"/>
              </w:rPr>
            </w:pPr>
            <w:r w:rsidRPr="001C0111">
              <w:rPr>
                <w:b/>
                <w:noProof/>
                <w:sz w:val="20"/>
                <w:lang w:eastAsia="en-GB"/>
              </w:rPr>
              <w:t>1,900</w:t>
            </w:r>
          </w:p>
        </w:tc>
        <w:tc>
          <w:tcPr>
            <w:tcW w:w="1378" w:type="dxa"/>
            <w:vAlign w:val="bottom"/>
          </w:tcPr>
          <w:p w14:paraId="4842F592" w14:textId="77777777" w:rsidR="001C0111" w:rsidRPr="001C0111" w:rsidRDefault="001C0111" w:rsidP="001C0111">
            <w:pPr>
              <w:spacing w:before="20" w:after="20"/>
              <w:jc w:val="right"/>
              <w:rPr>
                <w:b/>
                <w:noProof/>
                <w:sz w:val="20"/>
                <w:lang w:eastAsia="en-GB"/>
              </w:rPr>
            </w:pPr>
            <w:r w:rsidRPr="001C0111">
              <w:rPr>
                <w:b/>
                <w:noProof/>
                <w:sz w:val="20"/>
                <w:lang w:eastAsia="en-GB"/>
              </w:rPr>
              <w:t>7,002</w:t>
            </w:r>
          </w:p>
        </w:tc>
      </w:tr>
      <w:tr w:rsidR="001C0111" w:rsidRPr="001C0111" w14:paraId="6DCC904F" w14:textId="77777777" w:rsidTr="00EE4772">
        <w:trPr>
          <w:trHeight w:val="536"/>
        </w:trPr>
        <w:tc>
          <w:tcPr>
            <w:tcW w:w="3014" w:type="dxa"/>
            <w:vMerge/>
          </w:tcPr>
          <w:p w14:paraId="12D8EF90" w14:textId="77777777" w:rsidR="001C0111" w:rsidRPr="001C0111" w:rsidRDefault="001C0111" w:rsidP="001C0111">
            <w:pPr>
              <w:rPr>
                <w:noProof/>
                <w:sz w:val="20"/>
                <w:lang w:eastAsia="en-GB"/>
              </w:rPr>
            </w:pPr>
          </w:p>
        </w:tc>
        <w:tc>
          <w:tcPr>
            <w:tcW w:w="1659" w:type="dxa"/>
            <w:vAlign w:val="center"/>
          </w:tcPr>
          <w:p w14:paraId="276B231B" w14:textId="77777777" w:rsidR="001C0111" w:rsidRPr="001C0111" w:rsidRDefault="001C0111" w:rsidP="001C0111">
            <w:pPr>
              <w:rPr>
                <w:noProof/>
                <w:sz w:val="18"/>
                <w:lang w:eastAsia="en-GB"/>
              </w:rPr>
            </w:pPr>
            <w:r w:rsidRPr="001C0111">
              <w:rPr>
                <w:noProof/>
                <w:sz w:val="18"/>
                <w:lang w:eastAsia="en-GB"/>
              </w:rPr>
              <w:t>Payments</w:t>
            </w:r>
          </w:p>
        </w:tc>
        <w:tc>
          <w:tcPr>
            <w:tcW w:w="1559" w:type="dxa"/>
            <w:vAlign w:val="center"/>
          </w:tcPr>
          <w:p w14:paraId="542E9AB3" w14:textId="77777777" w:rsidR="001C0111" w:rsidRPr="001C0111" w:rsidRDefault="001C0111" w:rsidP="001C0111">
            <w:pPr>
              <w:jc w:val="center"/>
              <w:rPr>
                <w:noProof/>
                <w:sz w:val="14"/>
                <w:lang w:eastAsia="en-GB"/>
              </w:rPr>
            </w:pPr>
            <w:r w:rsidRPr="001C0111">
              <w:rPr>
                <w:noProof/>
                <w:sz w:val="14"/>
                <w:lang w:eastAsia="en-GB"/>
              </w:rPr>
              <w:t>=2a+2b +2c</w:t>
            </w:r>
          </w:p>
        </w:tc>
        <w:tc>
          <w:tcPr>
            <w:tcW w:w="1276" w:type="dxa"/>
            <w:vAlign w:val="bottom"/>
          </w:tcPr>
          <w:p w14:paraId="1AF1A157" w14:textId="77777777" w:rsidR="001C0111" w:rsidRPr="001C0111" w:rsidRDefault="001C0111" w:rsidP="001C0111">
            <w:pPr>
              <w:spacing w:before="20" w:after="20"/>
              <w:jc w:val="right"/>
              <w:rPr>
                <w:noProof/>
                <w:sz w:val="20"/>
                <w:lang w:eastAsia="en-GB"/>
              </w:rPr>
            </w:pPr>
            <w:r w:rsidRPr="001C0111">
              <w:rPr>
                <w:b/>
                <w:noProof/>
                <w:sz w:val="20"/>
                <w:lang w:eastAsia="en-GB"/>
              </w:rPr>
              <w:t>1,187</w:t>
            </w:r>
          </w:p>
        </w:tc>
        <w:tc>
          <w:tcPr>
            <w:tcW w:w="1276" w:type="dxa"/>
            <w:vAlign w:val="bottom"/>
          </w:tcPr>
          <w:p w14:paraId="42C7580D" w14:textId="77777777" w:rsidR="001C0111" w:rsidRPr="001C0111" w:rsidRDefault="001C0111" w:rsidP="001C0111">
            <w:pPr>
              <w:spacing w:before="20" w:after="20"/>
              <w:jc w:val="right"/>
              <w:rPr>
                <w:noProof/>
                <w:sz w:val="20"/>
                <w:lang w:eastAsia="en-GB"/>
              </w:rPr>
            </w:pPr>
            <w:r w:rsidRPr="001C0111">
              <w:rPr>
                <w:b/>
                <w:noProof/>
                <w:sz w:val="20"/>
                <w:lang w:eastAsia="en-GB"/>
              </w:rPr>
              <w:t>2,043</w:t>
            </w:r>
          </w:p>
        </w:tc>
        <w:tc>
          <w:tcPr>
            <w:tcW w:w="992" w:type="dxa"/>
            <w:vAlign w:val="bottom"/>
          </w:tcPr>
          <w:p w14:paraId="7489D591" w14:textId="77777777" w:rsidR="001C0111" w:rsidRPr="001C0111" w:rsidRDefault="001C0111" w:rsidP="001C0111">
            <w:pPr>
              <w:spacing w:before="20" w:after="20"/>
              <w:jc w:val="right"/>
              <w:rPr>
                <w:noProof/>
                <w:sz w:val="20"/>
                <w:lang w:eastAsia="en-GB"/>
              </w:rPr>
            </w:pPr>
            <w:r w:rsidRPr="001C0111">
              <w:rPr>
                <w:b/>
                <w:noProof/>
                <w:sz w:val="20"/>
                <w:lang w:eastAsia="en-GB"/>
              </w:rPr>
              <w:t>1,871</w:t>
            </w:r>
          </w:p>
        </w:tc>
        <w:tc>
          <w:tcPr>
            <w:tcW w:w="1134" w:type="dxa"/>
            <w:vAlign w:val="bottom"/>
          </w:tcPr>
          <w:p w14:paraId="66D31CA0" w14:textId="77777777" w:rsidR="001C0111" w:rsidRPr="001C0111" w:rsidRDefault="001C0111" w:rsidP="001C0111">
            <w:pPr>
              <w:spacing w:before="20" w:after="20"/>
              <w:jc w:val="right"/>
              <w:rPr>
                <w:noProof/>
                <w:sz w:val="20"/>
                <w:lang w:eastAsia="en-GB"/>
              </w:rPr>
            </w:pPr>
            <w:r w:rsidRPr="001C0111">
              <w:rPr>
                <w:b/>
                <w:noProof/>
                <w:sz w:val="20"/>
                <w:lang w:eastAsia="en-GB"/>
              </w:rPr>
              <w:t>1,900</w:t>
            </w:r>
          </w:p>
        </w:tc>
        <w:tc>
          <w:tcPr>
            <w:tcW w:w="1378" w:type="dxa"/>
            <w:vAlign w:val="bottom"/>
          </w:tcPr>
          <w:p w14:paraId="4BFE1731" w14:textId="77777777" w:rsidR="001C0111" w:rsidRPr="001C0111" w:rsidRDefault="001C0111" w:rsidP="001C0111">
            <w:pPr>
              <w:spacing w:before="20" w:after="20"/>
              <w:jc w:val="right"/>
              <w:rPr>
                <w:b/>
                <w:noProof/>
                <w:sz w:val="20"/>
                <w:lang w:eastAsia="en-GB"/>
              </w:rPr>
            </w:pPr>
            <w:r w:rsidRPr="001C0111">
              <w:rPr>
                <w:b/>
                <w:noProof/>
                <w:sz w:val="20"/>
                <w:lang w:eastAsia="en-GB"/>
              </w:rPr>
              <w:t>7,002</w:t>
            </w:r>
          </w:p>
        </w:tc>
      </w:tr>
    </w:tbl>
    <w:p w14:paraId="5BC91AE9" w14:textId="77777777" w:rsidR="001C0111" w:rsidRPr="001C0111" w:rsidRDefault="001C0111" w:rsidP="001C0111">
      <w:pPr>
        <w:rPr>
          <w:noProof/>
          <w:lang w:eastAsia="en-GB"/>
        </w:rPr>
      </w:pPr>
      <w:r w:rsidRPr="001C0111">
        <w:rPr>
          <w:noProof/>
          <w:lang w:eastAsia="en-GB"/>
        </w:rPr>
        <w:t xml:space="preserve">EEA costs include costs for 8 additional FTE (5 TA and 3 CA), as well as operational expenditure, for the purpose of: </w:t>
      </w:r>
    </w:p>
    <w:p w14:paraId="4D1A525B" w14:textId="77777777" w:rsidR="001C0111" w:rsidRPr="001C0111" w:rsidRDefault="001C0111" w:rsidP="001C0111">
      <w:pPr>
        <w:tabs>
          <w:tab w:val="num" w:pos="1417"/>
        </w:tabs>
        <w:ind w:left="1417" w:hanging="567"/>
        <w:rPr>
          <w:noProof/>
          <w:lang w:eastAsia="en-GB"/>
        </w:rPr>
      </w:pPr>
      <w:r w:rsidRPr="001C0111">
        <w:rPr>
          <w:noProof/>
          <w:lang w:eastAsia="en-GB"/>
        </w:rPr>
        <w:t xml:space="preserve">Addressing the additional obligation for annual reporting, to the EEA, of monitoring and status data through ‘system to system reporting’ (automated data delivery mechanism): 4 FTEs (of which 3 will be additional/new TAs and 1 TA will be from EEA re-deployment) plus 130K of consultant’s support for year 1, then 80 K in year 2 and onwards. Development of a standardised database on water reuse (in the framework of the implementation of Regulation </w:t>
      </w:r>
      <w:r w:rsidRPr="001C0111">
        <w:rPr>
          <w:rFonts w:ascii="Roboto" w:eastAsia="Roboto" w:hAnsi="Roboto" w:cs="Roboto"/>
          <w:b/>
          <w:bCs/>
          <w:noProof/>
          <w:color w:val="333333"/>
          <w:sz w:val="21"/>
          <w:szCs w:val="21"/>
          <w:lang w:eastAsia="en-GB"/>
        </w:rPr>
        <w:t>(EU) 2020/741</w:t>
      </w:r>
      <w:r w:rsidRPr="001C0111">
        <w:rPr>
          <w:noProof/>
          <w:lang w:eastAsia="en-GB"/>
        </w:rPr>
        <w:t xml:space="preserve"> on water reuse) and management of related dataflows and preparation of EU wide overviews. The EEA will have to ensure control quality to ensure that Member States are reporting regularly in a harmonised and comparable way (2 additional CAs). In total, </w:t>
      </w:r>
      <w:r w:rsidRPr="001C0111">
        <w:rPr>
          <w:b/>
          <w:noProof/>
          <w:lang w:eastAsia="en-GB"/>
        </w:rPr>
        <w:t>the additional resources to be allocated to the EEA for the Integrated water reporting and work on the water re-use will be 5 additional FTEs, split as 3 TAs and 2 CAs.</w:t>
      </w:r>
    </w:p>
    <w:p w14:paraId="05D6549D" w14:textId="77777777" w:rsidR="001C0111" w:rsidRPr="001C0111" w:rsidRDefault="001C0111" w:rsidP="001C0111">
      <w:pPr>
        <w:tabs>
          <w:tab w:val="num" w:pos="1417"/>
        </w:tabs>
        <w:ind w:left="1417" w:hanging="567"/>
        <w:rPr>
          <w:noProof/>
          <w:lang w:eastAsia="en-GB"/>
        </w:rPr>
      </w:pPr>
      <w:r w:rsidRPr="001C0111">
        <w:rPr>
          <w:noProof/>
          <w:lang w:eastAsia="en-GB"/>
        </w:rPr>
        <w:t>An UWWTD expert (</w:t>
      </w:r>
      <w:r w:rsidRPr="001C0111">
        <w:rPr>
          <w:b/>
          <w:noProof/>
          <w:lang w:eastAsia="en-GB"/>
        </w:rPr>
        <w:t>1 additional CA</w:t>
      </w:r>
      <w:r w:rsidRPr="001C0111">
        <w:rPr>
          <w:noProof/>
          <w:lang w:eastAsia="en-GB"/>
        </w:rPr>
        <w:t>) and IT support to set up and adapt databases in relation to Article 20 of the proposed recast of the urban wastewater treatment directive. It will also support the development of new compliance indicators e.g. on energy, micro-pollutants, as currently indicated under the new legislative proposal of the Directive. It will also be used to revise and update the UWWTD country profiles which now take the place of national reports https://water.europa.eu/freshwater/countries/uwwtIt and to revise existing dataflows, so that they can accommodate the new reporting requirements. Further streamlining with related dataflows (e.g. EPRTR and WISE) will be undertaken. The need for IT support amounts to 760 K in total, with 240 K for year 1, 260 K on year 2, and then 130 K onwards.</w:t>
      </w:r>
    </w:p>
    <w:p w14:paraId="0A78BF90" w14:textId="77777777" w:rsidR="001C0111" w:rsidRPr="001C0111" w:rsidRDefault="001C0111" w:rsidP="001C0111">
      <w:pPr>
        <w:tabs>
          <w:tab w:val="num" w:pos="1417"/>
        </w:tabs>
        <w:ind w:left="1417" w:hanging="567"/>
        <w:jc w:val="left"/>
        <w:rPr>
          <w:noProof/>
          <w:lang w:eastAsia="en-GB"/>
        </w:rPr>
      </w:pPr>
      <w:r w:rsidRPr="001C0111">
        <w:rPr>
          <w:noProof/>
          <w:lang w:eastAsia="en-GB"/>
        </w:rPr>
        <w:t xml:space="preserve">Tasks related to the reporting and exchange of information of air quality data will require resources for an expansion and subsequent maintenance of the existing ambient air quality portal and data repository. Tasks related to the assessment of ambient air quality will require resources to expand air quality assessments currently provided on an annual basis, especially as regards pollutants of emerging concerns and on the links between air pollution, climate change, human and ecosystem health. This will require additional specific competences and thus </w:t>
      </w:r>
      <w:r w:rsidRPr="001C0111">
        <w:rPr>
          <w:b/>
          <w:noProof/>
          <w:lang w:eastAsia="en-GB"/>
        </w:rPr>
        <w:t>additional long-term expert staff (2 FTEs, both of them TAs)</w:t>
      </w:r>
      <w:r w:rsidRPr="001C0111">
        <w:rPr>
          <w:noProof/>
          <w:lang w:eastAsia="en-GB"/>
        </w:rPr>
        <w:t>.</w:t>
      </w:r>
    </w:p>
    <w:p w14:paraId="5559B773" w14:textId="77777777" w:rsidR="001C0111" w:rsidRPr="001C0111" w:rsidRDefault="001C0111" w:rsidP="001C0111">
      <w:pPr>
        <w:rPr>
          <w:noProof/>
          <w:lang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281"/>
        <w:gridCol w:w="1134"/>
        <w:gridCol w:w="992"/>
        <w:gridCol w:w="1134"/>
        <w:gridCol w:w="992"/>
        <w:gridCol w:w="1760"/>
      </w:tblGrid>
      <w:tr w:rsidR="001C0111" w:rsidRPr="001C0111" w14:paraId="57EA8EC1" w14:textId="77777777" w:rsidTr="00EE4772">
        <w:trPr>
          <w:trHeight w:val="277"/>
        </w:trPr>
        <w:tc>
          <w:tcPr>
            <w:tcW w:w="3960" w:type="dxa"/>
            <w:vMerge w:val="restart"/>
            <w:vAlign w:val="center"/>
          </w:tcPr>
          <w:p w14:paraId="6DDFA332" w14:textId="77777777" w:rsidR="001C0111" w:rsidRPr="001C0111" w:rsidRDefault="001C0111" w:rsidP="001C0111">
            <w:pPr>
              <w:spacing w:before="20" w:after="20"/>
              <w:rPr>
                <w:noProof/>
                <w:lang w:val="en-IE" w:eastAsia="en-GB"/>
              </w:rPr>
            </w:pPr>
            <w:r w:rsidRPr="001C0111">
              <w:rPr>
                <w:noProof/>
                <w:sz w:val="22"/>
                <w:lang w:val="en-IE" w:eastAsia="en-GB"/>
              </w:rPr>
              <w:br w:type="page"/>
            </w:r>
            <w:r w:rsidRPr="001C0111">
              <w:rPr>
                <w:rFonts w:ascii="Wingdings" w:eastAsia="Wingdings" w:hAnsi="Wingdings" w:cs="Wingdings"/>
                <w:noProof/>
                <w:sz w:val="21"/>
                <w:lang w:val="en-IE" w:eastAsia="en-GB"/>
              </w:rPr>
              <w:t>□</w:t>
            </w:r>
            <w:r w:rsidRPr="001C0111">
              <w:rPr>
                <w:noProof/>
                <w:sz w:val="21"/>
                <w:lang w:val="en-IE" w:eastAsia="en-GB"/>
              </w:rPr>
              <w:t xml:space="preserve"> TOTAL operational appropriations </w:t>
            </w:r>
          </w:p>
        </w:tc>
        <w:tc>
          <w:tcPr>
            <w:tcW w:w="1440" w:type="dxa"/>
            <w:vAlign w:val="center"/>
          </w:tcPr>
          <w:p w14:paraId="3784AF00" w14:textId="77777777" w:rsidR="001C0111" w:rsidRPr="001C0111" w:rsidRDefault="001C0111" w:rsidP="001C0111">
            <w:pPr>
              <w:spacing w:beforeLines="20" w:before="48" w:afterLines="20" w:after="48"/>
              <w:rPr>
                <w:noProof/>
                <w:sz w:val="18"/>
                <w:lang w:val="en-IE" w:eastAsia="en-GB"/>
              </w:rPr>
            </w:pPr>
          </w:p>
        </w:tc>
        <w:tc>
          <w:tcPr>
            <w:tcW w:w="654" w:type="dxa"/>
            <w:vAlign w:val="center"/>
          </w:tcPr>
          <w:p w14:paraId="783A53F6" w14:textId="77777777" w:rsidR="001C0111" w:rsidRPr="001C0111" w:rsidRDefault="001C0111" w:rsidP="001C0111">
            <w:pPr>
              <w:spacing w:beforeLines="20" w:before="48" w:afterLines="20" w:after="48"/>
              <w:jc w:val="center"/>
              <w:rPr>
                <w:noProof/>
                <w:sz w:val="14"/>
                <w:lang w:val="en-IE" w:eastAsia="en-GB"/>
              </w:rPr>
            </w:pPr>
          </w:p>
        </w:tc>
        <w:tc>
          <w:tcPr>
            <w:tcW w:w="1281" w:type="dxa"/>
            <w:vAlign w:val="center"/>
          </w:tcPr>
          <w:p w14:paraId="70B3F0B6" w14:textId="77777777" w:rsidR="001C0111" w:rsidRPr="001C0111" w:rsidRDefault="001C0111" w:rsidP="001C0111">
            <w:pPr>
              <w:spacing w:before="20" w:after="20"/>
              <w:jc w:val="right"/>
              <w:rPr>
                <w:b/>
                <w:noProof/>
                <w:sz w:val="20"/>
                <w:lang w:val="en-IE" w:eastAsia="en-GB"/>
              </w:rPr>
            </w:pPr>
            <w:r w:rsidRPr="001C0111">
              <w:rPr>
                <w:b/>
                <w:noProof/>
                <w:sz w:val="20"/>
                <w:lang w:val="en-IE" w:eastAsia="en-GB"/>
              </w:rPr>
              <w:t>2023</w:t>
            </w:r>
          </w:p>
        </w:tc>
        <w:tc>
          <w:tcPr>
            <w:tcW w:w="1134" w:type="dxa"/>
            <w:vAlign w:val="center"/>
          </w:tcPr>
          <w:p w14:paraId="42266922" w14:textId="77777777" w:rsidR="001C0111" w:rsidRPr="001C0111" w:rsidRDefault="001C0111" w:rsidP="001C0111">
            <w:pPr>
              <w:spacing w:before="20" w:after="20"/>
              <w:jc w:val="right"/>
              <w:rPr>
                <w:b/>
                <w:noProof/>
                <w:sz w:val="20"/>
                <w:lang w:val="en-IE" w:eastAsia="en-GB"/>
              </w:rPr>
            </w:pPr>
            <w:r w:rsidRPr="001C0111">
              <w:rPr>
                <w:b/>
                <w:noProof/>
                <w:sz w:val="20"/>
                <w:lang w:val="en-IE" w:eastAsia="en-GB"/>
              </w:rPr>
              <w:t>2024</w:t>
            </w:r>
          </w:p>
        </w:tc>
        <w:tc>
          <w:tcPr>
            <w:tcW w:w="992" w:type="dxa"/>
            <w:vAlign w:val="center"/>
          </w:tcPr>
          <w:p w14:paraId="569C104C" w14:textId="77777777" w:rsidR="001C0111" w:rsidRPr="001C0111" w:rsidRDefault="001C0111" w:rsidP="001C0111">
            <w:pPr>
              <w:spacing w:before="20" w:after="20"/>
              <w:jc w:val="right"/>
              <w:rPr>
                <w:noProof/>
                <w:sz w:val="20"/>
                <w:lang w:val="en-IE" w:eastAsia="en-GB"/>
              </w:rPr>
            </w:pPr>
            <w:r w:rsidRPr="001C0111">
              <w:rPr>
                <w:b/>
                <w:noProof/>
                <w:sz w:val="20"/>
                <w:lang w:val="en-IE" w:eastAsia="en-GB"/>
              </w:rPr>
              <w:t>2025</w:t>
            </w:r>
          </w:p>
        </w:tc>
        <w:tc>
          <w:tcPr>
            <w:tcW w:w="1134" w:type="dxa"/>
            <w:vAlign w:val="center"/>
          </w:tcPr>
          <w:p w14:paraId="3C2A105F" w14:textId="77777777" w:rsidR="001C0111" w:rsidRPr="001C0111" w:rsidRDefault="001C0111" w:rsidP="001C0111">
            <w:pPr>
              <w:spacing w:before="20" w:after="20"/>
              <w:jc w:val="right"/>
              <w:rPr>
                <w:noProof/>
                <w:sz w:val="20"/>
                <w:lang w:val="en-IE" w:eastAsia="en-GB"/>
              </w:rPr>
            </w:pPr>
            <w:r w:rsidRPr="001C0111">
              <w:rPr>
                <w:b/>
                <w:noProof/>
                <w:sz w:val="20"/>
                <w:lang w:val="en-IE" w:eastAsia="en-GB"/>
              </w:rPr>
              <w:t>2026</w:t>
            </w:r>
          </w:p>
        </w:tc>
        <w:tc>
          <w:tcPr>
            <w:tcW w:w="992" w:type="dxa"/>
            <w:vAlign w:val="center"/>
          </w:tcPr>
          <w:p w14:paraId="34C2E168" w14:textId="77777777" w:rsidR="001C0111" w:rsidRPr="001C0111" w:rsidRDefault="001C0111" w:rsidP="001C0111">
            <w:pPr>
              <w:spacing w:before="20" w:after="20"/>
              <w:jc w:val="right"/>
              <w:rPr>
                <w:noProof/>
                <w:sz w:val="20"/>
                <w:lang w:val="en-IE" w:eastAsia="en-GB"/>
              </w:rPr>
            </w:pPr>
            <w:r w:rsidRPr="001C0111">
              <w:rPr>
                <w:b/>
                <w:noProof/>
                <w:sz w:val="20"/>
                <w:lang w:val="en-IE" w:eastAsia="en-GB"/>
              </w:rPr>
              <w:t>2027</w:t>
            </w:r>
          </w:p>
        </w:tc>
        <w:tc>
          <w:tcPr>
            <w:tcW w:w="1760" w:type="dxa"/>
            <w:vAlign w:val="center"/>
          </w:tcPr>
          <w:p w14:paraId="334E24E7" w14:textId="77777777" w:rsidR="001C0111" w:rsidRPr="001C0111" w:rsidRDefault="001C0111" w:rsidP="001C0111">
            <w:pPr>
              <w:spacing w:before="20" w:after="20"/>
              <w:jc w:val="right"/>
              <w:rPr>
                <w:b/>
                <w:noProof/>
                <w:sz w:val="20"/>
                <w:lang w:val="en-IE" w:eastAsia="en-GB"/>
              </w:rPr>
            </w:pPr>
            <w:r w:rsidRPr="001C0111">
              <w:rPr>
                <w:b/>
                <w:noProof/>
                <w:sz w:val="20"/>
                <w:lang w:val="en-IE" w:eastAsia="en-GB"/>
              </w:rPr>
              <w:t>TOTAL</w:t>
            </w:r>
          </w:p>
        </w:tc>
      </w:tr>
      <w:tr w:rsidR="001C0111" w:rsidRPr="001C0111" w14:paraId="57B5ABA7" w14:textId="77777777" w:rsidTr="00EE4772">
        <w:trPr>
          <w:trHeight w:val="277"/>
        </w:trPr>
        <w:tc>
          <w:tcPr>
            <w:tcW w:w="3960" w:type="dxa"/>
            <w:vMerge/>
            <w:vAlign w:val="center"/>
          </w:tcPr>
          <w:p w14:paraId="5C735DF9" w14:textId="77777777" w:rsidR="001C0111" w:rsidRPr="001C0111" w:rsidRDefault="001C0111" w:rsidP="001C0111">
            <w:pPr>
              <w:spacing w:before="20" w:after="20"/>
              <w:rPr>
                <w:noProof/>
                <w:sz w:val="22"/>
                <w:lang w:val="en-IE" w:eastAsia="en-GB"/>
              </w:rPr>
            </w:pPr>
          </w:p>
        </w:tc>
        <w:tc>
          <w:tcPr>
            <w:tcW w:w="1440" w:type="dxa"/>
            <w:vAlign w:val="center"/>
          </w:tcPr>
          <w:p w14:paraId="50E90DD2" w14:textId="77777777" w:rsidR="001C0111" w:rsidRPr="001C0111" w:rsidRDefault="001C0111" w:rsidP="001C0111">
            <w:pPr>
              <w:spacing w:beforeLines="20" w:before="48" w:afterLines="20" w:after="48"/>
              <w:rPr>
                <w:noProof/>
                <w:sz w:val="18"/>
                <w:lang w:val="en-IE" w:eastAsia="en-GB"/>
              </w:rPr>
            </w:pPr>
            <w:r w:rsidRPr="001C0111">
              <w:rPr>
                <w:noProof/>
                <w:sz w:val="18"/>
                <w:lang w:val="en-IE" w:eastAsia="en-GB"/>
              </w:rPr>
              <w:t>Commitments</w:t>
            </w:r>
          </w:p>
        </w:tc>
        <w:tc>
          <w:tcPr>
            <w:tcW w:w="654" w:type="dxa"/>
            <w:vAlign w:val="center"/>
          </w:tcPr>
          <w:p w14:paraId="17C40E81" w14:textId="77777777" w:rsidR="001C0111" w:rsidRPr="001C0111" w:rsidRDefault="001C0111" w:rsidP="001C0111">
            <w:pPr>
              <w:spacing w:beforeLines="20" w:before="48" w:afterLines="20" w:after="48"/>
              <w:jc w:val="center"/>
              <w:rPr>
                <w:noProof/>
                <w:sz w:val="14"/>
                <w:lang w:val="en-IE" w:eastAsia="en-GB"/>
              </w:rPr>
            </w:pPr>
            <w:r w:rsidRPr="001C0111">
              <w:rPr>
                <w:noProof/>
                <w:sz w:val="14"/>
                <w:lang w:val="en-IE" w:eastAsia="en-GB"/>
              </w:rPr>
              <w:t>(4)</w:t>
            </w:r>
          </w:p>
        </w:tc>
        <w:tc>
          <w:tcPr>
            <w:tcW w:w="1281" w:type="dxa"/>
            <w:vAlign w:val="center"/>
          </w:tcPr>
          <w:p w14:paraId="576D1CD7" w14:textId="77777777" w:rsidR="001C0111" w:rsidRPr="001C0111" w:rsidRDefault="001C0111" w:rsidP="001C0111">
            <w:pPr>
              <w:spacing w:before="20" w:after="20"/>
              <w:jc w:val="right"/>
              <w:rPr>
                <w:noProof/>
                <w:sz w:val="20"/>
                <w:lang w:val="en-IE" w:eastAsia="en-GB"/>
              </w:rPr>
            </w:pPr>
          </w:p>
        </w:tc>
        <w:tc>
          <w:tcPr>
            <w:tcW w:w="1134" w:type="dxa"/>
            <w:vAlign w:val="center"/>
          </w:tcPr>
          <w:p w14:paraId="0FF843DE" w14:textId="77777777" w:rsidR="001C0111" w:rsidRPr="001C0111" w:rsidRDefault="001C0111" w:rsidP="001C0111">
            <w:pPr>
              <w:spacing w:before="20" w:after="20"/>
              <w:jc w:val="right"/>
              <w:rPr>
                <w:noProof/>
                <w:sz w:val="20"/>
                <w:lang w:val="en-IE" w:eastAsia="en-GB"/>
              </w:rPr>
            </w:pPr>
          </w:p>
        </w:tc>
        <w:tc>
          <w:tcPr>
            <w:tcW w:w="992" w:type="dxa"/>
            <w:vAlign w:val="center"/>
          </w:tcPr>
          <w:p w14:paraId="4250545F" w14:textId="77777777" w:rsidR="001C0111" w:rsidRPr="001C0111" w:rsidRDefault="001C0111" w:rsidP="001C0111">
            <w:pPr>
              <w:spacing w:before="20" w:after="20"/>
              <w:jc w:val="right"/>
              <w:rPr>
                <w:noProof/>
                <w:sz w:val="20"/>
                <w:lang w:val="en-IE" w:eastAsia="en-GB"/>
              </w:rPr>
            </w:pPr>
          </w:p>
        </w:tc>
        <w:tc>
          <w:tcPr>
            <w:tcW w:w="1134" w:type="dxa"/>
            <w:vAlign w:val="center"/>
          </w:tcPr>
          <w:p w14:paraId="1EC1873F" w14:textId="77777777" w:rsidR="001C0111" w:rsidRPr="001C0111" w:rsidRDefault="001C0111" w:rsidP="001C0111">
            <w:pPr>
              <w:spacing w:before="20" w:after="20"/>
              <w:jc w:val="right"/>
              <w:rPr>
                <w:noProof/>
                <w:sz w:val="20"/>
                <w:lang w:val="en-IE" w:eastAsia="en-GB"/>
              </w:rPr>
            </w:pPr>
          </w:p>
        </w:tc>
        <w:tc>
          <w:tcPr>
            <w:tcW w:w="992" w:type="dxa"/>
            <w:vAlign w:val="center"/>
          </w:tcPr>
          <w:p w14:paraId="016E4159" w14:textId="77777777" w:rsidR="001C0111" w:rsidRPr="001C0111" w:rsidRDefault="001C0111" w:rsidP="001C0111">
            <w:pPr>
              <w:spacing w:before="20" w:after="20"/>
              <w:jc w:val="right"/>
              <w:rPr>
                <w:noProof/>
                <w:sz w:val="20"/>
                <w:lang w:val="en-IE" w:eastAsia="en-GB"/>
              </w:rPr>
            </w:pPr>
          </w:p>
        </w:tc>
        <w:tc>
          <w:tcPr>
            <w:tcW w:w="1760" w:type="dxa"/>
            <w:vAlign w:val="center"/>
          </w:tcPr>
          <w:p w14:paraId="7DCDB56A" w14:textId="77777777" w:rsidR="001C0111" w:rsidRPr="001C0111" w:rsidRDefault="001C0111" w:rsidP="001C0111">
            <w:pPr>
              <w:spacing w:before="20" w:after="20"/>
              <w:jc w:val="right"/>
              <w:rPr>
                <w:b/>
                <w:noProof/>
                <w:sz w:val="20"/>
                <w:lang w:val="en-IE" w:eastAsia="en-GB"/>
              </w:rPr>
            </w:pPr>
          </w:p>
        </w:tc>
      </w:tr>
      <w:tr w:rsidR="001C0111" w:rsidRPr="001C0111" w14:paraId="1CB10C0B" w14:textId="77777777" w:rsidTr="00EE4772">
        <w:tc>
          <w:tcPr>
            <w:tcW w:w="3960" w:type="dxa"/>
            <w:vMerge/>
          </w:tcPr>
          <w:p w14:paraId="6F870CB1" w14:textId="77777777" w:rsidR="001C0111" w:rsidRPr="001C0111" w:rsidRDefault="001C0111" w:rsidP="001C0111">
            <w:pPr>
              <w:jc w:val="center"/>
              <w:rPr>
                <w:noProof/>
                <w:sz w:val="20"/>
                <w:lang w:val="en-IE" w:eastAsia="en-GB"/>
              </w:rPr>
            </w:pPr>
          </w:p>
        </w:tc>
        <w:tc>
          <w:tcPr>
            <w:tcW w:w="1440" w:type="dxa"/>
            <w:vAlign w:val="center"/>
          </w:tcPr>
          <w:p w14:paraId="2AFED924" w14:textId="77777777" w:rsidR="001C0111" w:rsidRPr="001C0111" w:rsidRDefault="001C0111" w:rsidP="001C0111">
            <w:pPr>
              <w:spacing w:beforeLines="20" w:before="48" w:afterLines="20" w:after="48"/>
              <w:rPr>
                <w:noProof/>
                <w:sz w:val="18"/>
                <w:lang w:val="en-IE" w:eastAsia="en-GB"/>
              </w:rPr>
            </w:pPr>
            <w:r w:rsidRPr="001C0111">
              <w:rPr>
                <w:noProof/>
                <w:sz w:val="18"/>
                <w:lang w:val="en-IE" w:eastAsia="en-GB"/>
              </w:rPr>
              <w:t>Payments</w:t>
            </w:r>
          </w:p>
        </w:tc>
        <w:tc>
          <w:tcPr>
            <w:tcW w:w="654" w:type="dxa"/>
            <w:vAlign w:val="center"/>
          </w:tcPr>
          <w:p w14:paraId="0DDCF0DB" w14:textId="77777777" w:rsidR="001C0111" w:rsidRPr="001C0111" w:rsidRDefault="001C0111" w:rsidP="001C0111">
            <w:pPr>
              <w:spacing w:beforeLines="20" w:before="48" w:afterLines="20" w:after="48"/>
              <w:jc w:val="center"/>
              <w:rPr>
                <w:noProof/>
                <w:sz w:val="14"/>
                <w:lang w:val="en-IE" w:eastAsia="en-GB"/>
              </w:rPr>
            </w:pPr>
            <w:r w:rsidRPr="001C0111">
              <w:rPr>
                <w:noProof/>
                <w:sz w:val="14"/>
                <w:lang w:val="en-IE" w:eastAsia="en-GB"/>
              </w:rPr>
              <w:t>(5)</w:t>
            </w:r>
          </w:p>
        </w:tc>
        <w:tc>
          <w:tcPr>
            <w:tcW w:w="1281" w:type="dxa"/>
            <w:vAlign w:val="center"/>
          </w:tcPr>
          <w:p w14:paraId="7010AC91" w14:textId="77777777" w:rsidR="001C0111" w:rsidRPr="001C0111" w:rsidRDefault="001C0111" w:rsidP="001C0111">
            <w:pPr>
              <w:spacing w:before="20" w:after="20"/>
              <w:jc w:val="right"/>
              <w:rPr>
                <w:noProof/>
                <w:sz w:val="20"/>
                <w:lang w:val="en-IE" w:eastAsia="en-GB"/>
              </w:rPr>
            </w:pPr>
          </w:p>
        </w:tc>
        <w:tc>
          <w:tcPr>
            <w:tcW w:w="1134" w:type="dxa"/>
            <w:vAlign w:val="center"/>
          </w:tcPr>
          <w:p w14:paraId="4AB91A8E" w14:textId="77777777" w:rsidR="001C0111" w:rsidRPr="001C0111" w:rsidRDefault="001C0111" w:rsidP="001C0111">
            <w:pPr>
              <w:spacing w:before="20" w:after="20"/>
              <w:jc w:val="right"/>
              <w:rPr>
                <w:noProof/>
                <w:sz w:val="20"/>
                <w:lang w:val="en-IE" w:eastAsia="en-GB"/>
              </w:rPr>
            </w:pPr>
          </w:p>
        </w:tc>
        <w:tc>
          <w:tcPr>
            <w:tcW w:w="992" w:type="dxa"/>
            <w:vAlign w:val="center"/>
          </w:tcPr>
          <w:p w14:paraId="3A3C985F" w14:textId="77777777" w:rsidR="001C0111" w:rsidRPr="001C0111" w:rsidRDefault="001C0111" w:rsidP="001C0111">
            <w:pPr>
              <w:spacing w:before="20" w:after="20"/>
              <w:jc w:val="right"/>
              <w:rPr>
                <w:noProof/>
                <w:sz w:val="20"/>
                <w:lang w:val="en-IE" w:eastAsia="en-GB"/>
              </w:rPr>
            </w:pPr>
          </w:p>
        </w:tc>
        <w:tc>
          <w:tcPr>
            <w:tcW w:w="1134" w:type="dxa"/>
            <w:vAlign w:val="center"/>
          </w:tcPr>
          <w:p w14:paraId="41AE45BC" w14:textId="77777777" w:rsidR="001C0111" w:rsidRPr="001C0111" w:rsidRDefault="001C0111" w:rsidP="001C0111">
            <w:pPr>
              <w:spacing w:before="20" w:after="20"/>
              <w:jc w:val="right"/>
              <w:rPr>
                <w:noProof/>
                <w:sz w:val="20"/>
                <w:lang w:val="en-IE" w:eastAsia="en-GB"/>
              </w:rPr>
            </w:pPr>
          </w:p>
        </w:tc>
        <w:tc>
          <w:tcPr>
            <w:tcW w:w="992" w:type="dxa"/>
            <w:vAlign w:val="center"/>
          </w:tcPr>
          <w:p w14:paraId="55B6133D" w14:textId="77777777" w:rsidR="001C0111" w:rsidRPr="001C0111" w:rsidRDefault="001C0111" w:rsidP="001C0111">
            <w:pPr>
              <w:spacing w:before="20" w:after="20"/>
              <w:jc w:val="right"/>
              <w:rPr>
                <w:noProof/>
                <w:sz w:val="20"/>
                <w:lang w:val="en-IE" w:eastAsia="en-GB"/>
              </w:rPr>
            </w:pPr>
          </w:p>
        </w:tc>
        <w:tc>
          <w:tcPr>
            <w:tcW w:w="1760" w:type="dxa"/>
            <w:vAlign w:val="center"/>
          </w:tcPr>
          <w:p w14:paraId="450CF21D" w14:textId="77777777" w:rsidR="001C0111" w:rsidRPr="001C0111" w:rsidRDefault="001C0111" w:rsidP="001C0111">
            <w:pPr>
              <w:spacing w:before="20" w:after="20"/>
              <w:jc w:val="right"/>
              <w:rPr>
                <w:b/>
                <w:noProof/>
                <w:sz w:val="20"/>
                <w:lang w:val="en-IE" w:eastAsia="en-GB"/>
              </w:rPr>
            </w:pPr>
          </w:p>
        </w:tc>
      </w:tr>
      <w:tr w:rsidR="001C0111" w:rsidRPr="001C0111" w14:paraId="328DF715" w14:textId="77777777" w:rsidTr="00EE4772">
        <w:trPr>
          <w:trHeight w:val="533"/>
        </w:trPr>
        <w:tc>
          <w:tcPr>
            <w:tcW w:w="5400" w:type="dxa"/>
            <w:gridSpan w:val="2"/>
            <w:vAlign w:val="center"/>
          </w:tcPr>
          <w:p w14:paraId="4F27BCBD" w14:textId="77777777" w:rsidR="001C0111" w:rsidRPr="001C0111" w:rsidRDefault="001C0111" w:rsidP="001C0111">
            <w:pPr>
              <w:spacing w:beforeLines="20" w:before="48" w:afterLines="20" w:after="48"/>
              <w:rPr>
                <w:noProof/>
                <w:lang w:val="en-IE" w:eastAsia="en-GB"/>
              </w:rPr>
            </w:pPr>
            <w:r w:rsidRPr="001C0111">
              <w:rPr>
                <w:rFonts w:ascii="Wingdings" w:eastAsia="Wingdings" w:hAnsi="Wingdings" w:cs="Wingdings"/>
                <w:noProof/>
                <w:sz w:val="21"/>
                <w:lang w:val="en-IE" w:eastAsia="en-GB"/>
              </w:rPr>
              <w:t>□</w:t>
            </w:r>
            <w:r w:rsidRPr="001C0111">
              <w:rPr>
                <w:noProof/>
                <w:sz w:val="21"/>
                <w:lang w:val="en-IE" w:eastAsia="en-GB"/>
              </w:rPr>
              <w:t xml:space="preserve"> TOTAL appropriations of an administrative nature financed from the envelope for specific programmes </w:t>
            </w:r>
          </w:p>
        </w:tc>
        <w:tc>
          <w:tcPr>
            <w:tcW w:w="654" w:type="dxa"/>
            <w:vAlign w:val="center"/>
          </w:tcPr>
          <w:p w14:paraId="42808816" w14:textId="77777777" w:rsidR="001C0111" w:rsidRPr="001C0111" w:rsidRDefault="001C0111" w:rsidP="001C0111">
            <w:pPr>
              <w:spacing w:beforeLines="20" w:before="48" w:afterLines="20" w:after="48"/>
              <w:jc w:val="center"/>
              <w:rPr>
                <w:noProof/>
                <w:sz w:val="14"/>
                <w:lang w:val="en-IE" w:eastAsia="en-GB"/>
              </w:rPr>
            </w:pPr>
            <w:r w:rsidRPr="001C0111">
              <w:rPr>
                <w:noProof/>
                <w:sz w:val="14"/>
                <w:lang w:val="en-IE" w:eastAsia="en-GB"/>
              </w:rPr>
              <w:t>(6)</w:t>
            </w:r>
          </w:p>
        </w:tc>
        <w:tc>
          <w:tcPr>
            <w:tcW w:w="1281" w:type="dxa"/>
            <w:vAlign w:val="center"/>
          </w:tcPr>
          <w:p w14:paraId="57F17D45" w14:textId="77777777" w:rsidR="001C0111" w:rsidRPr="001C0111" w:rsidRDefault="001C0111" w:rsidP="001C0111">
            <w:pPr>
              <w:spacing w:before="20" w:after="20"/>
              <w:jc w:val="right"/>
              <w:rPr>
                <w:b/>
                <w:noProof/>
                <w:sz w:val="20"/>
                <w:lang w:val="en-IE" w:eastAsia="en-GB"/>
              </w:rPr>
            </w:pPr>
          </w:p>
        </w:tc>
        <w:tc>
          <w:tcPr>
            <w:tcW w:w="1134" w:type="dxa"/>
            <w:vAlign w:val="center"/>
          </w:tcPr>
          <w:p w14:paraId="665FB2A1" w14:textId="77777777" w:rsidR="001C0111" w:rsidRPr="001C0111" w:rsidRDefault="001C0111" w:rsidP="001C0111">
            <w:pPr>
              <w:spacing w:before="20" w:after="20"/>
              <w:jc w:val="right"/>
              <w:rPr>
                <w:b/>
                <w:noProof/>
                <w:sz w:val="20"/>
                <w:lang w:val="en-IE" w:eastAsia="en-GB"/>
              </w:rPr>
            </w:pPr>
          </w:p>
        </w:tc>
        <w:tc>
          <w:tcPr>
            <w:tcW w:w="992" w:type="dxa"/>
            <w:vAlign w:val="center"/>
          </w:tcPr>
          <w:p w14:paraId="0054C048" w14:textId="77777777" w:rsidR="001C0111" w:rsidRPr="001C0111" w:rsidRDefault="001C0111" w:rsidP="001C0111">
            <w:pPr>
              <w:spacing w:before="20" w:after="20"/>
              <w:jc w:val="right"/>
              <w:rPr>
                <w:b/>
                <w:noProof/>
                <w:sz w:val="20"/>
                <w:lang w:val="en-IE" w:eastAsia="en-GB"/>
              </w:rPr>
            </w:pPr>
          </w:p>
        </w:tc>
        <w:tc>
          <w:tcPr>
            <w:tcW w:w="1134" w:type="dxa"/>
            <w:vAlign w:val="center"/>
          </w:tcPr>
          <w:p w14:paraId="4E612BF3" w14:textId="77777777" w:rsidR="001C0111" w:rsidRPr="001C0111" w:rsidRDefault="001C0111" w:rsidP="001C0111">
            <w:pPr>
              <w:spacing w:before="20" w:after="20"/>
              <w:jc w:val="right"/>
              <w:rPr>
                <w:b/>
                <w:noProof/>
                <w:sz w:val="20"/>
                <w:lang w:val="en-IE" w:eastAsia="en-GB"/>
              </w:rPr>
            </w:pPr>
          </w:p>
        </w:tc>
        <w:tc>
          <w:tcPr>
            <w:tcW w:w="992" w:type="dxa"/>
            <w:vAlign w:val="center"/>
          </w:tcPr>
          <w:p w14:paraId="00DFE00D" w14:textId="77777777" w:rsidR="001C0111" w:rsidRPr="001C0111" w:rsidRDefault="001C0111" w:rsidP="001C0111">
            <w:pPr>
              <w:spacing w:before="20" w:after="20"/>
              <w:jc w:val="right"/>
              <w:rPr>
                <w:b/>
                <w:noProof/>
                <w:sz w:val="20"/>
                <w:lang w:val="en-IE" w:eastAsia="en-GB"/>
              </w:rPr>
            </w:pPr>
          </w:p>
        </w:tc>
        <w:tc>
          <w:tcPr>
            <w:tcW w:w="1760" w:type="dxa"/>
            <w:vAlign w:val="center"/>
          </w:tcPr>
          <w:p w14:paraId="27A2FB43" w14:textId="77777777" w:rsidR="001C0111" w:rsidRPr="001C0111" w:rsidRDefault="001C0111" w:rsidP="001C0111">
            <w:pPr>
              <w:spacing w:before="20" w:after="20"/>
              <w:jc w:val="right"/>
              <w:rPr>
                <w:b/>
                <w:noProof/>
                <w:sz w:val="20"/>
                <w:lang w:val="en-IE" w:eastAsia="en-GB"/>
              </w:rPr>
            </w:pPr>
          </w:p>
        </w:tc>
      </w:tr>
      <w:tr w:rsidR="001C0111" w:rsidRPr="001C0111" w14:paraId="11D1F810" w14:textId="77777777" w:rsidTr="00EE4772">
        <w:tc>
          <w:tcPr>
            <w:tcW w:w="3960" w:type="dxa"/>
            <w:vMerge w:val="restart"/>
            <w:shd w:val="thinDiagStripe" w:color="C0C0C0" w:fill="auto"/>
            <w:vAlign w:val="center"/>
          </w:tcPr>
          <w:p w14:paraId="0B4CB963" w14:textId="77777777" w:rsidR="001C0111" w:rsidRPr="001C0111" w:rsidRDefault="001C0111" w:rsidP="001C0111">
            <w:pPr>
              <w:jc w:val="center"/>
              <w:rPr>
                <w:b/>
                <w:noProof/>
                <w:lang w:val="en-IE" w:eastAsia="en-GB"/>
              </w:rPr>
            </w:pPr>
            <w:r w:rsidRPr="001C0111">
              <w:rPr>
                <w:b/>
                <w:noProof/>
                <w:sz w:val="22"/>
                <w:lang w:val="en-IE" w:eastAsia="en-GB"/>
              </w:rPr>
              <w:t xml:space="preserve">TOTAL appropriations </w:t>
            </w:r>
            <w:r w:rsidRPr="001C0111">
              <w:rPr>
                <w:noProof/>
                <w:sz w:val="22"/>
                <w:lang w:val="en-IE" w:eastAsia="en-GB"/>
              </w:rPr>
              <w:br/>
            </w:r>
            <w:r w:rsidRPr="001C0111">
              <w:rPr>
                <w:b/>
                <w:noProof/>
                <w:sz w:val="22"/>
                <w:lang w:val="en-IE" w:eastAsia="en-GB"/>
              </w:rPr>
              <w:t>under HEADING 3</w:t>
            </w:r>
            <w:r w:rsidRPr="001C0111">
              <w:rPr>
                <w:noProof/>
                <w:sz w:val="22"/>
                <w:lang w:val="en-IE" w:eastAsia="en-GB"/>
              </w:rPr>
              <w:br/>
              <w:t>of the multiannual financial framework</w:t>
            </w:r>
          </w:p>
        </w:tc>
        <w:tc>
          <w:tcPr>
            <w:tcW w:w="1440" w:type="dxa"/>
            <w:vAlign w:val="center"/>
          </w:tcPr>
          <w:p w14:paraId="1970B125" w14:textId="77777777" w:rsidR="001C0111" w:rsidRPr="001C0111" w:rsidRDefault="001C0111" w:rsidP="001C0111">
            <w:pPr>
              <w:rPr>
                <w:noProof/>
                <w:sz w:val="18"/>
                <w:lang w:val="en-IE" w:eastAsia="en-GB"/>
              </w:rPr>
            </w:pPr>
            <w:r w:rsidRPr="001C0111">
              <w:rPr>
                <w:noProof/>
                <w:sz w:val="18"/>
                <w:lang w:val="en-IE" w:eastAsia="en-GB"/>
              </w:rPr>
              <w:t>Commitments</w:t>
            </w:r>
          </w:p>
        </w:tc>
        <w:tc>
          <w:tcPr>
            <w:tcW w:w="654" w:type="dxa"/>
            <w:vAlign w:val="center"/>
          </w:tcPr>
          <w:p w14:paraId="13488DAE" w14:textId="77777777" w:rsidR="001C0111" w:rsidRPr="001C0111" w:rsidRDefault="001C0111" w:rsidP="001C0111">
            <w:pPr>
              <w:jc w:val="center"/>
              <w:rPr>
                <w:noProof/>
                <w:sz w:val="14"/>
                <w:lang w:val="en-IE" w:eastAsia="en-GB"/>
              </w:rPr>
            </w:pPr>
            <w:r w:rsidRPr="001C0111">
              <w:rPr>
                <w:noProof/>
                <w:sz w:val="14"/>
                <w:lang w:val="en-IE" w:eastAsia="en-GB"/>
              </w:rPr>
              <w:t>=4+6</w:t>
            </w:r>
          </w:p>
        </w:tc>
        <w:tc>
          <w:tcPr>
            <w:tcW w:w="1281" w:type="dxa"/>
            <w:vAlign w:val="center"/>
          </w:tcPr>
          <w:p w14:paraId="61701501" w14:textId="77777777" w:rsidR="001C0111" w:rsidRPr="001C0111" w:rsidRDefault="001C0111" w:rsidP="001C0111">
            <w:pPr>
              <w:spacing w:after="0"/>
              <w:jc w:val="right"/>
              <w:rPr>
                <w:noProof/>
                <w:lang w:val="en-IE" w:eastAsia="en-GB"/>
              </w:rPr>
            </w:pPr>
            <w:r w:rsidRPr="001C0111">
              <w:rPr>
                <w:noProof/>
                <w:lang w:val="en-IE" w:eastAsia="en-GB"/>
              </w:rPr>
              <w:t>0,100</w:t>
            </w:r>
          </w:p>
        </w:tc>
        <w:tc>
          <w:tcPr>
            <w:tcW w:w="1134" w:type="dxa"/>
            <w:vAlign w:val="bottom"/>
          </w:tcPr>
          <w:p w14:paraId="23E29FD1" w14:textId="77777777" w:rsidR="001C0111" w:rsidRPr="001C0111" w:rsidRDefault="001C0111" w:rsidP="001C0111">
            <w:pPr>
              <w:spacing w:after="0"/>
              <w:jc w:val="right"/>
              <w:rPr>
                <w:noProof/>
                <w:lang w:val="en-IE" w:eastAsia="en-GB"/>
              </w:rPr>
            </w:pPr>
            <w:r w:rsidRPr="001C0111">
              <w:rPr>
                <w:noProof/>
                <w:color w:val="000000"/>
                <w:lang w:eastAsia="en-GB"/>
              </w:rPr>
              <w:t>2,774</w:t>
            </w:r>
          </w:p>
        </w:tc>
        <w:tc>
          <w:tcPr>
            <w:tcW w:w="992" w:type="dxa"/>
            <w:vAlign w:val="bottom"/>
          </w:tcPr>
          <w:p w14:paraId="4819EBFE" w14:textId="77777777" w:rsidR="001C0111" w:rsidRPr="001C0111" w:rsidRDefault="001C0111" w:rsidP="001C0111">
            <w:pPr>
              <w:spacing w:after="0"/>
              <w:jc w:val="right"/>
              <w:rPr>
                <w:noProof/>
                <w:lang w:val="en-IE" w:eastAsia="en-GB"/>
              </w:rPr>
            </w:pPr>
            <w:r w:rsidRPr="001C0111">
              <w:rPr>
                <w:noProof/>
                <w:color w:val="000000"/>
                <w:lang w:eastAsia="en-GB"/>
              </w:rPr>
              <w:t>4,297</w:t>
            </w:r>
          </w:p>
        </w:tc>
        <w:tc>
          <w:tcPr>
            <w:tcW w:w="1134" w:type="dxa"/>
            <w:vAlign w:val="bottom"/>
          </w:tcPr>
          <w:p w14:paraId="257F4BA9" w14:textId="77777777" w:rsidR="001C0111" w:rsidRPr="001C0111" w:rsidRDefault="001C0111" w:rsidP="001C0111">
            <w:pPr>
              <w:spacing w:after="0"/>
              <w:jc w:val="right"/>
              <w:rPr>
                <w:noProof/>
                <w:lang w:val="en-IE" w:eastAsia="en-GB"/>
              </w:rPr>
            </w:pPr>
            <w:r w:rsidRPr="001C0111">
              <w:rPr>
                <w:noProof/>
                <w:color w:val="000000"/>
                <w:lang w:eastAsia="en-GB"/>
              </w:rPr>
              <w:t>4,170</w:t>
            </w:r>
          </w:p>
        </w:tc>
        <w:tc>
          <w:tcPr>
            <w:tcW w:w="992" w:type="dxa"/>
            <w:vAlign w:val="bottom"/>
          </w:tcPr>
          <w:p w14:paraId="1F866AD0" w14:textId="77777777" w:rsidR="001C0111" w:rsidRPr="001C0111" w:rsidRDefault="001C0111" w:rsidP="001C0111">
            <w:pPr>
              <w:spacing w:after="0"/>
              <w:jc w:val="right"/>
              <w:rPr>
                <w:noProof/>
                <w:lang w:val="en-IE" w:eastAsia="en-GB"/>
              </w:rPr>
            </w:pPr>
            <w:r w:rsidRPr="001C0111">
              <w:rPr>
                <w:noProof/>
                <w:color w:val="000000"/>
                <w:lang w:eastAsia="en-GB"/>
              </w:rPr>
              <w:t>4,245</w:t>
            </w:r>
          </w:p>
        </w:tc>
        <w:tc>
          <w:tcPr>
            <w:tcW w:w="1760" w:type="dxa"/>
            <w:vAlign w:val="bottom"/>
          </w:tcPr>
          <w:p w14:paraId="02BC6DEE" w14:textId="77777777" w:rsidR="001C0111" w:rsidRPr="001C0111" w:rsidRDefault="001C0111" w:rsidP="001C0111">
            <w:pPr>
              <w:spacing w:after="0"/>
              <w:jc w:val="right"/>
              <w:rPr>
                <w:b/>
                <w:noProof/>
                <w:lang w:val="en-IE" w:eastAsia="en-GB"/>
              </w:rPr>
            </w:pPr>
            <w:r w:rsidRPr="001C0111">
              <w:rPr>
                <w:b/>
                <w:noProof/>
                <w:color w:val="000000"/>
                <w:lang w:eastAsia="en-GB"/>
              </w:rPr>
              <w:t>15,587</w:t>
            </w:r>
          </w:p>
        </w:tc>
      </w:tr>
      <w:tr w:rsidR="001C0111" w:rsidRPr="001C0111" w14:paraId="2B112E4D" w14:textId="77777777" w:rsidTr="00EE4772">
        <w:tc>
          <w:tcPr>
            <w:tcW w:w="3960" w:type="dxa"/>
            <w:vMerge/>
            <w:shd w:val="thinDiagStripe" w:color="C0C0C0" w:fill="auto"/>
          </w:tcPr>
          <w:p w14:paraId="3F2644EC" w14:textId="77777777" w:rsidR="001C0111" w:rsidRPr="001C0111" w:rsidRDefault="001C0111" w:rsidP="001C0111">
            <w:pPr>
              <w:rPr>
                <w:noProof/>
                <w:sz w:val="20"/>
                <w:lang w:val="en-IE" w:eastAsia="en-GB"/>
              </w:rPr>
            </w:pPr>
          </w:p>
        </w:tc>
        <w:tc>
          <w:tcPr>
            <w:tcW w:w="1440" w:type="dxa"/>
            <w:vAlign w:val="center"/>
          </w:tcPr>
          <w:p w14:paraId="3A2EEAAD" w14:textId="77777777" w:rsidR="001C0111" w:rsidRPr="001C0111" w:rsidRDefault="001C0111" w:rsidP="001C0111">
            <w:pPr>
              <w:rPr>
                <w:noProof/>
                <w:sz w:val="18"/>
                <w:lang w:val="en-IE" w:eastAsia="en-GB"/>
              </w:rPr>
            </w:pPr>
            <w:r w:rsidRPr="001C0111">
              <w:rPr>
                <w:noProof/>
                <w:sz w:val="18"/>
                <w:lang w:val="en-IE" w:eastAsia="en-GB"/>
              </w:rPr>
              <w:t>Payments</w:t>
            </w:r>
          </w:p>
        </w:tc>
        <w:tc>
          <w:tcPr>
            <w:tcW w:w="654" w:type="dxa"/>
            <w:vAlign w:val="center"/>
          </w:tcPr>
          <w:p w14:paraId="34EDB9A1" w14:textId="77777777" w:rsidR="001C0111" w:rsidRPr="001C0111" w:rsidRDefault="001C0111" w:rsidP="001C0111">
            <w:pPr>
              <w:jc w:val="center"/>
              <w:rPr>
                <w:noProof/>
                <w:sz w:val="14"/>
                <w:lang w:val="en-IE" w:eastAsia="en-GB"/>
              </w:rPr>
            </w:pPr>
            <w:r w:rsidRPr="001C0111">
              <w:rPr>
                <w:noProof/>
                <w:sz w:val="14"/>
                <w:lang w:val="en-IE" w:eastAsia="en-GB"/>
              </w:rPr>
              <w:t>=5+6</w:t>
            </w:r>
          </w:p>
        </w:tc>
        <w:tc>
          <w:tcPr>
            <w:tcW w:w="1281" w:type="dxa"/>
            <w:vAlign w:val="center"/>
          </w:tcPr>
          <w:p w14:paraId="1EF7139B" w14:textId="77777777" w:rsidR="001C0111" w:rsidRPr="001C0111" w:rsidRDefault="001C0111" w:rsidP="001C0111">
            <w:pPr>
              <w:spacing w:after="0"/>
              <w:jc w:val="right"/>
              <w:rPr>
                <w:noProof/>
                <w:lang w:val="en-IE" w:eastAsia="en-GB"/>
              </w:rPr>
            </w:pPr>
            <w:r w:rsidRPr="001C0111">
              <w:rPr>
                <w:noProof/>
                <w:lang w:val="en-IE" w:eastAsia="en-GB"/>
              </w:rPr>
              <w:t>0,100</w:t>
            </w:r>
          </w:p>
        </w:tc>
        <w:tc>
          <w:tcPr>
            <w:tcW w:w="1134" w:type="dxa"/>
            <w:vAlign w:val="bottom"/>
          </w:tcPr>
          <w:p w14:paraId="07B7EB0B" w14:textId="77777777" w:rsidR="001C0111" w:rsidRPr="001C0111" w:rsidRDefault="001C0111" w:rsidP="001C0111">
            <w:pPr>
              <w:spacing w:after="0"/>
              <w:jc w:val="right"/>
              <w:rPr>
                <w:noProof/>
                <w:lang w:val="en-IE" w:eastAsia="en-GB"/>
              </w:rPr>
            </w:pPr>
            <w:r w:rsidRPr="001C0111">
              <w:rPr>
                <w:noProof/>
                <w:color w:val="000000"/>
                <w:lang w:eastAsia="en-GB"/>
              </w:rPr>
              <w:t>2,774</w:t>
            </w:r>
          </w:p>
        </w:tc>
        <w:tc>
          <w:tcPr>
            <w:tcW w:w="992" w:type="dxa"/>
            <w:vAlign w:val="bottom"/>
          </w:tcPr>
          <w:p w14:paraId="35C0AE48" w14:textId="77777777" w:rsidR="001C0111" w:rsidRPr="001C0111" w:rsidRDefault="001C0111" w:rsidP="001C0111">
            <w:pPr>
              <w:spacing w:after="0"/>
              <w:jc w:val="right"/>
              <w:rPr>
                <w:noProof/>
                <w:lang w:val="en-IE" w:eastAsia="en-GB"/>
              </w:rPr>
            </w:pPr>
            <w:r w:rsidRPr="001C0111">
              <w:rPr>
                <w:noProof/>
                <w:color w:val="000000"/>
                <w:lang w:eastAsia="en-GB"/>
              </w:rPr>
              <w:t>4,297</w:t>
            </w:r>
          </w:p>
        </w:tc>
        <w:tc>
          <w:tcPr>
            <w:tcW w:w="1134" w:type="dxa"/>
            <w:vAlign w:val="bottom"/>
          </w:tcPr>
          <w:p w14:paraId="3BEADD38" w14:textId="77777777" w:rsidR="001C0111" w:rsidRPr="001C0111" w:rsidRDefault="001C0111" w:rsidP="001C0111">
            <w:pPr>
              <w:spacing w:after="0"/>
              <w:jc w:val="right"/>
              <w:rPr>
                <w:noProof/>
                <w:lang w:val="en-IE" w:eastAsia="en-GB"/>
              </w:rPr>
            </w:pPr>
            <w:r w:rsidRPr="001C0111">
              <w:rPr>
                <w:noProof/>
                <w:color w:val="000000"/>
                <w:lang w:eastAsia="en-GB"/>
              </w:rPr>
              <w:t>4,170</w:t>
            </w:r>
          </w:p>
        </w:tc>
        <w:tc>
          <w:tcPr>
            <w:tcW w:w="992" w:type="dxa"/>
            <w:vAlign w:val="bottom"/>
          </w:tcPr>
          <w:p w14:paraId="3C3577C0" w14:textId="77777777" w:rsidR="001C0111" w:rsidRPr="001C0111" w:rsidRDefault="001C0111" w:rsidP="001C0111">
            <w:pPr>
              <w:spacing w:after="0"/>
              <w:jc w:val="right"/>
              <w:rPr>
                <w:noProof/>
                <w:lang w:val="en-IE" w:eastAsia="en-GB"/>
              </w:rPr>
            </w:pPr>
            <w:r w:rsidRPr="001C0111">
              <w:rPr>
                <w:noProof/>
                <w:color w:val="000000"/>
                <w:lang w:eastAsia="en-GB"/>
              </w:rPr>
              <w:t>4,245</w:t>
            </w:r>
          </w:p>
        </w:tc>
        <w:tc>
          <w:tcPr>
            <w:tcW w:w="1760" w:type="dxa"/>
            <w:vAlign w:val="bottom"/>
          </w:tcPr>
          <w:p w14:paraId="6A3FC263" w14:textId="77777777" w:rsidR="001C0111" w:rsidRPr="001C0111" w:rsidRDefault="001C0111" w:rsidP="001C0111">
            <w:pPr>
              <w:spacing w:after="0"/>
              <w:jc w:val="right"/>
              <w:rPr>
                <w:b/>
                <w:noProof/>
                <w:lang w:val="en-IE" w:eastAsia="en-GB"/>
              </w:rPr>
            </w:pPr>
            <w:r w:rsidRPr="001C0111">
              <w:rPr>
                <w:b/>
                <w:noProof/>
                <w:color w:val="000000"/>
                <w:lang w:eastAsia="en-GB"/>
              </w:rPr>
              <w:t>15,587</w:t>
            </w:r>
          </w:p>
        </w:tc>
      </w:tr>
    </w:tbl>
    <w:p w14:paraId="4D2A0DBF" w14:textId="77777777" w:rsidR="001C0111" w:rsidRPr="001C0111" w:rsidRDefault="001C0111" w:rsidP="001C0111">
      <w:pPr>
        <w:rPr>
          <w:noProof/>
          <w:lang w:val="en-IE"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1C0111" w:rsidRPr="001C0111" w14:paraId="06EE9F2E" w14:textId="77777777" w:rsidTr="00EE4772">
        <w:trPr>
          <w:jc w:val="center"/>
        </w:trPr>
        <w:tc>
          <w:tcPr>
            <w:tcW w:w="4744" w:type="dxa"/>
            <w:shd w:val="thinDiagStripe" w:color="C0C0C0" w:fill="auto"/>
            <w:vAlign w:val="center"/>
          </w:tcPr>
          <w:p w14:paraId="615E470E" w14:textId="77777777" w:rsidR="001C0111" w:rsidRPr="001C0111" w:rsidRDefault="001C0111" w:rsidP="001C0111">
            <w:pPr>
              <w:spacing w:before="60" w:after="60"/>
              <w:jc w:val="center"/>
              <w:rPr>
                <w:b/>
                <w:noProof/>
                <w:lang w:val="en-IE" w:eastAsia="en-GB"/>
              </w:rPr>
            </w:pPr>
            <w:r w:rsidRPr="001C0111">
              <w:rPr>
                <w:noProof/>
                <w:lang w:val="en-IE" w:eastAsia="en-GB"/>
              </w:rPr>
              <w:br w:type="page"/>
            </w:r>
            <w:r w:rsidRPr="001C0111">
              <w:rPr>
                <w:noProof/>
                <w:sz w:val="22"/>
                <w:lang w:val="en-IE" w:eastAsia="en-GB"/>
              </w:rPr>
              <w:br w:type="page"/>
            </w:r>
            <w:r w:rsidRPr="001C0111">
              <w:rPr>
                <w:b/>
                <w:noProof/>
                <w:sz w:val="22"/>
                <w:lang w:val="en-IE" w:eastAsia="en-GB"/>
              </w:rPr>
              <w:t xml:space="preserve">Heading of multiannual financial </w:t>
            </w:r>
            <w:r w:rsidRPr="001C0111">
              <w:rPr>
                <w:noProof/>
                <w:sz w:val="22"/>
                <w:lang w:val="en-IE" w:eastAsia="en-GB"/>
              </w:rPr>
              <w:br/>
            </w:r>
            <w:r w:rsidRPr="001C0111">
              <w:rPr>
                <w:b/>
                <w:noProof/>
                <w:sz w:val="22"/>
                <w:lang w:val="en-IE" w:eastAsia="en-GB"/>
              </w:rPr>
              <w:t xml:space="preserve">framework </w:t>
            </w:r>
          </w:p>
        </w:tc>
        <w:tc>
          <w:tcPr>
            <w:tcW w:w="1080" w:type="dxa"/>
            <w:shd w:val="thinDiagStripe" w:color="C0C0C0" w:fill="auto"/>
            <w:vAlign w:val="center"/>
          </w:tcPr>
          <w:p w14:paraId="78D8C8C9" w14:textId="77777777" w:rsidR="001C0111" w:rsidRPr="001C0111" w:rsidRDefault="001C0111" w:rsidP="001C0111">
            <w:pPr>
              <w:spacing w:before="60" w:after="60"/>
              <w:jc w:val="center"/>
              <w:rPr>
                <w:noProof/>
                <w:lang w:val="en-IE" w:eastAsia="en-GB"/>
              </w:rPr>
            </w:pPr>
            <w:r w:rsidRPr="001C0111">
              <w:rPr>
                <w:b/>
                <w:noProof/>
                <w:sz w:val="22"/>
                <w:lang w:val="en-IE" w:eastAsia="en-GB"/>
              </w:rPr>
              <w:t>7</w:t>
            </w:r>
          </w:p>
        </w:tc>
        <w:tc>
          <w:tcPr>
            <w:tcW w:w="7817" w:type="dxa"/>
            <w:vAlign w:val="center"/>
          </w:tcPr>
          <w:p w14:paraId="2F9BCC05" w14:textId="77777777" w:rsidR="001C0111" w:rsidRPr="001C0111" w:rsidRDefault="001C0111" w:rsidP="001C0111">
            <w:pPr>
              <w:spacing w:before="60" w:after="60"/>
              <w:rPr>
                <w:noProof/>
                <w:lang w:val="en-IE" w:eastAsia="en-GB"/>
              </w:rPr>
            </w:pPr>
            <w:r w:rsidRPr="001C0111">
              <w:rPr>
                <w:noProof/>
                <w:sz w:val="22"/>
                <w:lang w:val="en-IE" w:eastAsia="en-GB"/>
              </w:rPr>
              <w:t>‘Administrative expenditure’</w:t>
            </w:r>
          </w:p>
        </w:tc>
      </w:tr>
    </w:tbl>
    <w:p w14:paraId="0B5D6681" w14:textId="77777777" w:rsidR="001C0111" w:rsidRPr="001C0111" w:rsidRDefault="001C0111" w:rsidP="001C0111">
      <w:pPr>
        <w:jc w:val="left"/>
        <w:rPr>
          <w:noProof/>
          <w:lang w:val="en-IE" w:eastAsia="en-GB"/>
        </w:rPr>
      </w:pPr>
      <w:r w:rsidRPr="001C0111">
        <w:rPr>
          <w:noProof/>
          <w:lang w:val="en-IE" w:eastAsia="en-GB"/>
        </w:rPr>
        <w:t xml:space="preserve">This section should be filled in using the 'budget data of an administrative nature' to be firstly introduced in the </w:t>
      </w:r>
      <w:hyperlink r:id="rId16" w:history="1">
        <w:r w:rsidRPr="001C0111">
          <w:rPr>
            <w:noProof/>
            <w:color w:val="0000FF"/>
            <w:u w:val="single"/>
            <w:lang w:val="en-IE" w:eastAsia="en-GB"/>
          </w:rPr>
          <w:t>Annex to the Legislative Financial Statement</w:t>
        </w:r>
      </w:hyperlink>
      <w:r w:rsidRPr="001C0111">
        <w:rPr>
          <w:noProof/>
          <w:lang w:val="en-IE" w:eastAsia="en-GB"/>
        </w:rPr>
        <w:t xml:space="preserve"> (Annex V to the internal rules), which is uploaded to DECIDE for interservice consultation purposes.</w:t>
      </w:r>
    </w:p>
    <w:p w14:paraId="19321E95" w14:textId="77777777" w:rsidR="001C0111" w:rsidRPr="001C0111" w:rsidRDefault="001C0111" w:rsidP="001C0111">
      <w:pPr>
        <w:jc w:val="right"/>
        <w:rPr>
          <w:noProof/>
          <w:sz w:val="20"/>
          <w:lang w:val="en-IE" w:eastAsia="en-GB"/>
        </w:rPr>
      </w:pPr>
      <w:r w:rsidRPr="001C0111">
        <w:rPr>
          <w:noProof/>
          <w:sz w:val="20"/>
          <w:lang w:val="en-IE" w:eastAsia="en-GB"/>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20"/>
        <w:gridCol w:w="1706"/>
        <w:gridCol w:w="51"/>
      </w:tblGrid>
      <w:tr w:rsidR="001C0111" w:rsidRPr="001C0111" w14:paraId="3745C174" w14:textId="77777777" w:rsidTr="00EE4772">
        <w:trPr>
          <w:gridAfter w:val="1"/>
          <w:wAfter w:w="51" w:type="dxa"/>
        </w:trPr>
        <w:tc>
          <w:tcPr>
            <w:tcW w:w="3960" w:type="dxa"/>
            <w:tcBorders>
              <w:top w:val="nil"/>
              <w:left w:val="nil"/>
              <w:right w:val="nil"/>
            </w:tcBorders>
            <w:vAlign w:val="center"/>
          </w:tcPr>
          <w:p w14:paraId="32CC0B0D" w14:textId="77777777" w:rsidR="001C0111" w:rsidRPr="001C0111" w:rsidRDefault="001C0111" w:rsidP="001C0111">
            <w:pPr>
              <w:jc w:val="center"/>
              <w:rPr>
                <w:noProof/>
                <w:lang w:val="en-IE" w:eastAsia="en-GB"/>
              </w:rPr>
            </w:pPr>
          </w:p>
        </w:tc>
        <w:tc>
          <w:tcPr>
            <w:tcW w:w="1560" w:type="dxa"/>
            <w:tcBorders>
              <w:top w:val="nil"/>
              <w:left w:val="nil"/>
              <w:right w:val="nil"/>
            </w:tcBorders>
          </w:tcPr>
          <w:p w14:paraId="58D0D227" w14:textId="77777777" w:rsidR="001C0111" w:rsidRPr="001C0111" w:rsidRDefault="001C0111" w:rsidP="001C0111">
            <w:pPr>
              <w:rPr>
                <w:noProof/>
                <w:sz w:val="20"/>
                <w:lang w:val="en-IE" w:eastAsia="en-GB"/>
              </w:rPr>
            </w:pPr>
          </w:p>
        </w:tc>
        <w:tc>
          <w:tcPr>
            <w:tcW w:w="534" w:type="dxa"/>
            <w:tcBorders>
              <w:top w:val="nil"/>
              <w:left w:val="nil"/>
            </w:tcBorders>
          </w:tcPr>
          <w:p w14:paraId="5E1B199A" w14:textId="77777777" w:rsidR="001C0111" w:rsidRPr="001C0111" w:rsidRDefault="001C0111" w:rsidP="001C0111">
            <w:pPr>
              <w:jc w:val="center"/>
              <w:rPr>
                <w:noProof/>
                <w:sz w:val="20"/>
                <w:lang w:val="en-IE" w:eastAsia="en-GB"/>
              </w:rPr>
            </w:pPr>
          </w:p>
        </w:tc>
        <w:tc>
          <w:tcPr>
            <w:tcW w:w="868" w:type="dxa"/>
            <w:vAlign w:val="center"/>
          </w:tcPr>
          <w:p w14:paraId="50B21750" w14:textId="77777777" w:rsidR="001C0111" w:rsidRPr="001C0111" w:rsidRDefault="001C0111" w:rsidP="001C0111">
            <w:pPr>
              <w:jc w:val="center"/>
              <w:rPr>
                <w:b/>
                <w:noProof/>
                <w:sz w:val="20"/>
                <w:lang w:val="en-IE" w:eastAsia="en-GB"/>
              </w:rPr>
            </w:pPr>
            <w:r w:rsidRPr="001C0111">
              <w:rPr>
                <w:b/>
                <w:noProof/>
                <w:sz w:val="20"/>
                <w:lang w:val="en-IE" w:eastAsia="en-GB"/>
              </w:rPr>
              <w:t>2024</w:t>
            </w:r>
          </w:p>
        </w:tc>
        <w:tc>
          <w:tcPr>
            <w:tcW w:w="868" w:type="dxa"/>
            <w:vAlign w:val="center"/>
          </w:tcPr>
          <w:p w14:paraId="5B354741" w14:textId="77777777" w:rsidR="001C0111" w:rsidRPr="001C0111" w:rsidRDefault="001C0111" w:rsidP="001C0111">
            <w:pPr>
              <w:jc w:val="center"/>
              <w:rPr>
                <w:b/>
                <w:noProof/>
                <w:sz w:val="20"/>
                <w:lang w:val="en-IE" w:eastAsia="en-GB"/>
              </w:rPr>
            </w:pPr>
            <w:r w:rsidRPr="001C0111">
              <w:rPr>
                <w:b/>
                <w:noProof/>
                <w:sz w:val="20"/>
                <w:lang w:val="en-IE" w:eastAsia="en-GB"/>
              </w:rPr>
              <w:t>2025</w:t>
            </w:r>
          </w:p>
        </w:tc>
        <w:tc>
          <w:tcPr>
            <w:tcW w:w="868" w:type="dxa"/>
            <w:vAlign w:val="center"/>
          </w:tcPr>
          <w:p w14:paraId="25FB77BC" w14:textId="77777777" w:rsidR="001C0111" w:rsidRPr="001C0111" w:rsidRDefault="001C0111" w:rsidP="001C0111">
            <w:pPr>
              <w:jc w:val="center"/>
              <w:rPr>
                <w:b/>
                <w:noProof/>
                <w:sz w:val="20"/>
                <w:lang w:val="en-IE" w:eastAsia="en-GB"/>
              </w:rPr>
            </w:pPr>
            <w:r w:rsidRPr="001C0111">
              <w:rPr>
                <w:b/>
                <w:noProof/>
                <w:sz w:val="20"/>
                <w:lang w:val="en-IE" w:eastAsia="en-GB"/>
              </w:rPr>
              <w:t>2026</w:t>
            </w:r>
          </w:p>
        </w:tc>
        <w:tc>
          <w:tcPr>
            <w:tcW w:w="888" w:type="dxa"/>
            <w:gridSpan w:val="2"/>
            <w:vAlign w:val="center"/>
          </w:tcPr>
          <w:p w14:paraId="3B2D2916" w14:textId="77777777" w:rsidR="001C0111" w:rsidRPr="001C0111" w:rsidRDefault="001C0111" w:rsidP="001C0111">
            <w:pPr>
              <w:jc w:val="center"/>
              <w:rPr>
                <w:b/>
                <w:noProof/>
                <w:sz w:val="20"/>
                <w:lang w:val="en-IE" w:eastAsia="en-GB"/>
              </w:rPr>
            </w:pPr>
            <w:r w:rsidRPr="001C0111">
              <w:rPr>
                <w:b/>
                <w:noProof/>
                <w:sz w:val="20"/>
                <w:lang w:val="en-IE" w:eastAsia="en-GB"/>
              </w:rPr>
              <w:t>2027 and beyond</w:t>
            </w:r>
          </w:p>
        </w:tc>
        <w:tc>
          <w:tcPr>
            <w:tcW w:w="1706" w:type="dxa"/>
            <w:vAlign w:val="center"/>
          </w:tcPr>
          <w:p w14:paraId="4E8DF6E6" w14:textId="77777777" w:rsidR="001C0111" w:rsidRPr="001C0111" w:rsidRDefault="001C0111" w:rsidP="001C0111">
            <w:pPr>
              <w:jc w:val="center"/>
              <w:rPr>
                <w:b/>
                <w:noProof/>
                <w:sz w:val="20"/>
                <w:lang w:val="en-IE" w:eastAsia="en-GB"/>
              </w:rPr>
            </w:pPr>
            <w:r w:rsidRPr="001C0111">
              <w:rPr>
                <w:b/>
                <w:noProof/>
                <w:sz w:val="20"/>
                <w:lang w:val="en-IE" w:eastAsia="en-GB"/>
              </w:rPr>
              <w:t>TOTAL</w:t>
            </w:r>
          </w:p>
        </w:tc>
      </w:tr>
      <w:tr w:rsidR="001C0111" w:rsidRPr="001C0111" w14:paraId="53AD83D3" w14:textId="77777777" w:rsidTr="00EE4772">
        <w:trPr>
          <w:gridAfter w:val="9"/>
          <w:wAfter w:w="7343" w:type="dxa"/>
        </w:trPr>
        <w:tc>
          <w:tcPr>
            <w:tcW w:w="3960" w:type="dxa"/>
            <w:vAlign w:val="center"/>
          </w:tcPr>
          <w:p w14:paraId="0A1B4833" w14:textId="77777777" w:rsidR="001C0111" w:rsidRPr="001C0111" w:rsidRDefault="001C0111" w:rsidP="001C0111">
            <w:pPr>
              <w:spacing w:before="60" w:after="60"/>
              <w:jc w:val="center"/>
              <w:rPr>
                <w:noProof/>
                <w:lang w:val="en-IE" w:eastAsia="en-GB"/>
              </w:rPr>
            </w:pPr>
            <w:r w:rsidRPr="001C0111">
              <w:rPr>
                <w:noProof/>
                <w:sz w:val="22"/>
                <w:lang w:val="en-IE" w:eastAsia="en-GB"/>
              </w:rPr>
              <w:t>DG: ENV</w:t>
            </w:r>
          </w:p>
        </w:tc>
      </w:tr>
      <w:tr w:rsidR="001C0111" w:rsidRPr="001C0111" w14:paraId="5F4B6F91" w14:textId="77777777" w:rsidTr="00EE4772">
        <w:trPr>
          <w:trHeight w:val="313"/>
        </w:trPr>
        <w:tc>
          <w:tcPr>
            <w:tcW w:w="6054" w:type="dxa"/>
            <w:gridSpan w:val="3"/>
            <w:vAlign w:val="center"/>
          </w:tcPr>
          <w:p w14:paraId="42A71171" w14:textId="77777777" w:rsidR="001C0111" w:rsidRPr="001C0111" w:rsidRDefault="001C0111" w:rsidP="001C0111">
            <w:pPr>
              <w:spacing w:before="20" w:after="20"/>
              <w:rPr>
                <w:noProof/>
                <w:sz w:val="22"/>
                <w:lang w:val="en-IE" w:eastAsia="en-GB"/>
              </w:rPr>
            </w:pPr>
            <w:r w:rsidRPr="001C0111">
              <w:rPr>
                <w:rFonts w:eastAsia="Wingdings"/>
                <w:noProof/>
                <w:sz w:val="22"/>
                <w:lang w:val="en-IE" w:eastAsia="en-GB"/>
              </w:rPr>
              <w:t>□</w:t>
            </w:r>
            <w:r w:rsidRPr="001C0111">
              <w:rPr>
                <w:noProof/>
                <w:sz w:val="22"/>
                <w:lang w:val="en-IE" w:eastAsia="en-GB"/>
              </w:rPr>
              <w:t xml:space="preserve"> Human resources </w:t>
            </w:r>
          </w:p>
        </w:tc>
        <w:tc>
          <w:tcPr>
            <w:tcW w:w="868" w:type="dxa"/>
            <w:vAlign w:val="bottom"/>
          </w:tcPr>
          <w:p w14:paraId="1E54E316" w14:textId="77777777" w:rsidR="001C0111" w:rsidRPr="001C0111" w:rsidRDefault="001C0111" w:rsidP="001C0111">
            <w:pPr>
              <w:spacing w:before="20" w:after="20"/>
              <w:jc w:val="right"/>
              <w:rPr>
                <w:noProof/>
                <w:sz w:val="22"/>
                <w:lang w:val="en-IE" w:eastAsia="en-GB"/>
              </w:rPr>
            </w:pPr>
            <w:r w:rsidRPr="001C0111">
              <w:rPr>
                <w:noProof/>
                <w:color w:val="000000"/>
                <w:sz w:val="22"/>
                <w:lang w:eastAsia="en-GB"/>
              </w:rPr>
              <w:t>0,314</w:t>
            </w:r>
          </w:p>
        </w:tc>
        <w:tc>
          <w:tcPr>
            <w:tcW w:w="868" w:type="dxa"/>
            <w:vAlign w:val="bottom"/>
          </w:tcPr>
          <w:p w14:paraId="39987DF6" w14:textId="77777777" w:rsidR="001C0111" w:rsidRPr="001C0111" w:rsidRDefault="001C0111" w:rsidP="001C0111">
            <w:pPr>
              <w:spacing w:before="20" w:after="20"/>
              <w:jc w:val="right"/>
              <w:rPr>
                <w:noProof/>
                <w:sz w:val="22"/>
                <w:lang w:val="en-IE" w:eastAsia="en-GB"/>
              </w:rPr>
            </w:pPr>
            <w:r w:rsidRPr="001C0111">
              <w:rPr>
                <w:noProof/>
                <w:color w:val="000000"/>
                <w:sz w:val="22"/>
                <w:lang w:eastAsia="en-GB"/>
              </w:rPr>
              <w:t>0,314</w:t>
            </w:r>
          </w:p>
        </w:tc>
        <w:tc>
          <w:tcPr>
            <w:tcW w:w="868" w:type="dxa"/>
            <w:vAlign w:val="bottom"/>
          </w:tcPr>
          <w:p w14:paraId="2A251E56" w14:textId="77777777" w:rsidR="001C0111" w:rsidRPr="001C0111" w:rsidRDefault="001C0111" w:rsidP="001C0111">
            <w:pPr>
              <w:spacing w:before="20" w:after="20"/>
              <w:jc w:val="right"/>
              <w:rPr>
                <w:noProof/>
                <w:sz w:val="22"/>
                <w:lang w:val="en-IE" w:eastAsia="en-GB"/>
              </w:rPr>
            </w:pPr>
            <w:r w:rsidRPr="001C0111">
              <w:rPr>
                <w:noProof/>
                <w:color w:val="000000"/>
                <w:sz w:val="22"/>
                <w:lang w:eastAsia="en-GB"/>
              </w:rPr>
              <w:t>0,314</w:t>
            </w:r>
          </w:p>
        </w:tc>
        <w:tc>
          <w:tcPr>
            <w:tcW w:w="868" w:type="dxa"/>
            <w:vAlign w:val="bottom"/>
          </w:tcPr>
          <w:p w14:paraId="6D098628" w14:textId="77777777" w:rsidR="001C0111" w:rsidRPr="001C0111" w:rsidRDefault="001C0111" w:rsidP="001C0111">
            <w:pPr>
              <w:spacing w:before="20" w:after="20"/>
              <w:jc w:val="right"/>
              <w:rPr>
                <w:noProof/>
                <w:sz w:val="22"/>
                <w:lang w:val="en-IE" w:eastAsia="en-GB"/>
              </w:rPr>
            </w:pPr>
            <w:r w:rsidRPr="001C0111">
              <w:rPr>
                <w:noProof/>
                <w:color w:val="000000"/>
                <w:sz w:val="22"/>
                <w:lang w:eastAsia="en-GB"/>
              </w:rPr>
              <w:t>0,314</w:t>
            </w:r>
          </w:p>
        </w:tc>
        <w:tc>
          <w:tcPr>
            <w:tcW w:w="1777" w:type="dxa"/>
            <w:gridSpan w:val="3"/>
            <w:vAlign w:val="bottom"/>
          </w:tcPr>
          <w:p w14:paraId="216CA039" w14:textId="77777777" w:rsidR="001C0111" w:rsidRPr="001C0111" w:rsidRDefault="001C0111" w:rsidP="001C0111">
            <w:pPr>
              <w:spacing w:before="20" w:after="20"/>
              <w:jc w:val="right"/>
              <w:rPr>
                <w:b/>
                <w:noProof/>
                <w:sz w:val="22"/>
                <w:lang w:val="en-IE" w:eastAsia="en-GB"/>
              </w:rPr>
            </w:pPr>
            <w:r w:rsidRPr="001C0111">
              <w:rPr>
                <w:b/>
                <w:bCs/>
                <w:noProof/>
                <w:color w:val="000000"/>
                <w:sz w:val="22"/>
                <w:lang w:eastAsia="en-GB"/>
              </w:rPr>
              <w:t>1,256</w:t>
            </w:r>
          </w:p>
        </w:tc>
      </w:tr>
      <w:tr w:rsidR="001C0111" w:rsidRPr="001C0111" w14:paraId="1BD14612" w14:textId="77777777" w:rsidTr="00EE4772">
        <w:trPr>
          <w:trHeight w:val="351"/>
        </w:trPr>
        <w:tc>
          <w:tcPr>
            <w:tcW w:w="6054" w:type="dxa"/>
            <w:gridSpan w:val="3"/>
            <w:vAlign w:val="center"/>
          </w:tcPr>
          <w:p w14:paraId="6C03E4BD" w14:textId="77777777" w:rsidR="001C0111" w:rsidRPr="001C0111" w:rsidRDefault="001C0111" w:rsidP="001C0111">
            <w:pPr>
              <w:spacing w:before="20" w:after="20"/>
              <w:rPr>
                <w:noProof/>
                <w:sz w:val="22"/>
                <w:lang w:val="en-IE" w:eastAsia="en-GB"/>
              </w:rPr>
            </w:pPr>
            <w:r w:rsidRPr="001C0111">
              <w:rPr>
                <w:rFonts w:eastAsia="Wingdings"/>
                <w:noProof/>
                <w:sz w:val="22"/>
                <w:lang w:val="en-IE" w:eastAsia="en-GB"/>
              </w:rPr>
              <w:t>□</w:t>
            </w:r>
            <w:r w:rsidRPr="001C0111">
              <w:rPr>
                <w:noProof/>
                <w:sz w:val="22"/>
                <w:lang w:val="en-IE" w:eastAsia="en-GB"/>
              </w:rPr>
              <w:t xml:space="preserve"> Other administrative expenditure </w:t>
            </w:r>
          </w:p>
        </w:tc>
        <w:tc>
          <w:tcPr>
            <w:tcW w:w="868" w:type="dxa"/>
            <w:vAlign w:val="center"/>
          </w:tcPr>
          <w:p w14:paraId="6C6B2968" w14:textId="77777777" w:rsidR="001C0111" w:rsidRPr="001C0111" w:rsidRDefault="001C0111" w:rsidP="001C0111">
            <w:pPr>
              <w:spacing w:before="20" w:after="20"/>
              <w:jc w:val="right"/>
              <w:rPr>
                <w:b/>
                <w:noProof/>
                <w:sz w:val="22"/>
                <w:lang w:val="en-IE" w:eastAsia="en-GB"/>
              </w:rPr>
            </w:pPr>
          </w:p>
        </w:tc>
        <w:tc>
          <w:tcPr>
            <w:tcW w:w="868" w:type="dxa"/>
            <w:vAlign w:val="center"/>
          </w:tcPr>
          <w:p w14:paraId="662079A2" w14:textId="77777777" w:rsidR="001C0111" w:rsidRPr="001C0111" w:rsidRDefault="001C0111" w:rsidP="001C0111">
            <w:pPr>
              <w:spacing w:before="20" w:after="20"/>
              <w:jc w:val="right"/>
              <w:rPr>
                <w:b/>
                <w:noProof/>
                <w:sz w:val="22"/>
                <w:lang w:val="en-IE" w:eastAsia="en-GB"/>
              </w:rPr>
            </w:pPr>
          </w:p>
        </w:tc>
        <w:tc>
          <w:tcPr>
            <w:tcW w:w="868" w:type="dxa"/>
            <w:vAlign w:val="center"/>
          </w:tcPr>
          <w:p w14:paraId="06E729A0" w14:textId="77777777" w:rsidR="001C0111" w:rsidRPr="001C0111" w:rsidRDefault="001C0111" w:rsidP="001C0111">
            <w:pPr>
              <w:spacing w:before="20" w:after="20"/>
              <w:jc w:val="right"/>
              <w:rPr>
                <w:b/>
                <w:noProof/>
                <w:sz w:val="22"/>
                <w:lang w:val="en-IE" w:eastAsia="en-GB"/>
              </w:rPr>
            </w:pPr>
          </w:p>
        </w:tc>
        <w:tc>
          <w:tcPr>
            <w:tcW w:w="868" w:type="dxa"/>
            <w:vAlign w:val="center"/>
          </w:tcPr>
          <w:p w14:paraId="6D349692" w14:textId="77777777" w:rsidR="001C0111" w:rsidRPr="001C0111" w:rsidRDefault="001C0111" w:rsidP="001C0111">
            <w:pPr>
              <w:spacing w:before="20" w:after="20"/>
              <w:jc w:val="right"/>
              <w:rPr>
                <w:b/>
                <w:noProof/>
                <w:sz w:val="22"/>
                <w:lang w:val="en-IE" w:eastAsia="en-GB"/>
              </w:rPr>
            </w:pPr>
          </w:p>
        </w:tc>
        <w:tc>
          <w:tcPr>
            <w:tcW w:w="1777" w:type="dxa"/>
            <w:gridSpan w:val="3"/>
            <w:vAlign w:val="center"/>
          </w:tcPr>
          <w:p w14:paraId="158148C4" w14:textId="77777777" w:rsidR="001C0111" w:rsidRPr="001C0111" w:rsidRDefault="001C0111" w:rsidP="001C0111">
            <w:pPr>
              <w:spacing w:before="20" w:after="20"/>
              <w:jc w:val="right"/>
              <w:rPr>
                <w:b/>
                <w:noProof/>
                <w:sz w:val="22"/>
                <w:lang w:val="en-IE" w:eastAsia="en-GB"/>
              </w:rPr>
            </w:pPr>
          </w:p>
        </w:tc>
      </w:tr>
      <w:tr w:rsidR="001C0111" w:rsidRPr="001C0111" w14:paraId="4256C0E8" w14:textId="77777777" w:rsidTr="00EE4772">
        <w:tc>
          <w:tcPr>
            <w:tcW w:w="3960" w:type="dxa"/>
            <w:vAlign w:val="center"/>
          </w:tcPr>
          <w:p w14:paraId="4679E33A" w14:textId="77777777" w:rsidR="001C0111" w:rsidRPr="001C0111" w:rsidRDefault="001C0111" w:rsidP="001C0111">
            <w:pPr>
              <w:jc w:val="center"/>
              <w:rPr>
                <w:b/>
                <w:noProof/>
                <w:sz w:val="22"/>
                <w:lang w:val="en-IE" w:eastAsia="en-GB"/>
              </w:rPr>
            </w:pPr>
            <w:r w:rsidRPr="001C0111">
              <w:rPr>
                <w:b/>
                <w:noProof/>
                <w:sz w:val="22"/>
                <w:lang w:val="en-IE" w:eastAsia="en-GB"/>
              </w:rPr>
              <w:t>TOTAL DG ENV</w:t>
            </w:r>
          </w:p>
        </w:tc>
        <w:tc>
          <w:tcPr>
            <w:tcW w:w="2094" w:type="dxa"/>
            <w:gridSpan w:val="2"/>
            <w:vAlign w:val="center"/>
          </w:tcPr>
          <w:p w14:paraId="4D0EF4DF" w14:textId="77777777" w:rsidR="001C0111" w:rsidRPr="001C0111" w:rsidRDefault="001C0111" w:rsidP="001C0111">
            <w:pPr>
              <w:rPr>
                <w:noProof/>
                <w:sz w:val="22"/>
                <w:lang w:val="en-IE" w:eastAsia="en-GB"/>
              </w:rPr>
            </w:pPr>
            <w:r w:rsidRPr="001C0111">
              <w:rPr>
                <w:noProof/>
                <w:sz w:val="22"/>
                <w:lang w:val="en-IE" w:eastAsia="en-GB"/>
              </w:rPr>
              <w:t xml:space="preserve">Appropriations </w:t>
            </w:r>
          </w:p>
        </w:tc>
        <w:tc>
          <w:tcPr>
            <w:tcW w:w="868" w:type="dxa"/>
            <w:vAlign w:val="bottom"/>
          </w:tcPr>
          <w:p w14:paraId="51D4EFD1" w14:textId="77777777" w:rsidR="001C0111" w:rsidRPr="001C0111" w:rsidRDefault="001C0111" w:rsidP="001C0111">
            <w:pPr>
              <w:spacing w:before="20" w:after="20"/>
              <w:jc w:val="right"/>
              <w:rPr>
                <w:noProof/>
                <w:sz w:val="22"/>
                <w:lang w:val="en-IE" w:eastAsia="en-GB"/>
              </w:rPr>
            </w:pPr>
            <w:r w:rsidRPr="001C0111">
              <w:rPr>
                <w:noProof/>
                <w:color w:val="000000"/>
                <w:sz w:val="22"/>
                <w:lang w:eastAsia="en-GB"/>
              </w:rPr>
              <w:t>0,314</w:t>
            </w:r>
          </w:p>
        </w:tc>
        <w:tc>
          <w:tcPr>
            <w:tcW w:w="868" w:type="dxa"/>
            <w:vAlign w:val="bottom"/>
          </w:tcPr>
          <w:p w14:paraId="710118D6" w14:textId="77777777" w:rsidR="001C0111" w:rsidRPr="001C0111" w:rsidRDefault="001C0111" w:rsidP="001C0111">
            <w:pPr>
              <w:spacing w:before="20" w:after="20"/>
              <w:jc w:val="right"/>
              <w:rPr>
                <w:noProof/>
                <w:sz w:val="22"/>
                <w:lang w:val="en-IE" w:eastAsia="en-GB"/>
              </w:rPr>
            </w:pPr>
            <w:r w:rsidRPr="001C0111">
              <w:rPr>
                <w:noProof/>
                <w:color w:val="000000"/>
                <w:sz w:val="22"/>
                <w:lang w:eastAsia="en-GB"/>
              </w:rPr>
              <w:t>0,314</w:t>
            </w:r>
          </w:p>
        </w:tc>
        <w:tc>
          <w:tcPr>
            <w:tcW w:w="868" w:type="dxa"/>
            <w:vAlign w:val="bottom"/>
          </w:tcPr>
          <w:p w14:paraId="5222C9DE" w14:textId="77777777" w:rsidR="001C0111" w:rsidRPr="001C0111" w:rsidRDefault="001C0111" w:rsidP="001C0111">
            <w:pPr>
              <w:spacing w:before="20" w:after="20"/>
              <w:jc w:val="right"/>
              <w:rPr>
                <w:noProof/>
                <w:sz w:val="22"/>
                <w:lang w:val="en-IE" w:eastAsia="en-GB"/>
              </w:rPr>
            </w:pPr>
            <w:r w:rsidRPr="001C0111">
              <w:rPr>
                <w:noProof/>
                <w:color w:val="000000"/>
                <w:sz w:val="22"/>
                <w:lang w:eastAsia="en-GB"/>
              </w:rPr>
              <w:t>0,314</w:t>
            </w:r>
          </w:p>
        </w:tc>
        <w:tc>
          <w:tcPr>
            <w:tcW w:w="868" w:type="dxa"/>
            <w:vAlign w:val="bottom"/>
          </w:tcPr>
          <w:p w14:paraId="1BA73ADE" w14:textId="77777777" w:rsidR="001C0111" w:rsidRPr="001C0111" w:rsidRDefault="001C0111" w:rsidP="001C0111">
            <w:pPr>
              <w:spacing w:before="20" w:after="20"/>
              <w:jc w:val="right"/>
              <w:rPr>
                <w:noProof/>
                <w:sz w:val="22"/>
                <w:lang w:val="en-IE" w:eastAsia="en-GB"/>
              </w:rPr>
            </w:pPr>
            <w:r w:rsidRPr="001C0111">
              <w:rPr>
                <w:noProof/>
                <w:color w:val="000000"/>
                <w:sz w:val="22"/>
                <w:lang w:eastAsia="en-GB"/>
              </w:rPr>
              <w:t>0,314</w:t>
            </w:r>
          </w:p>
        </w:tc>
        <w:tc>
          <w:tcPr>
            <w:tcW w:w="1777" w:type="dxa"/>
            <w:gridSpan w:val="3"/>
            <w:vAlign w:val="bottom"/>
          </w:tcPr>
          <w:p w14:paraId="798A1BBB" w14:textId="77777777" w:rsidR="001C0111" w:rsidRPr="001C0111" w:rsidRDefault="001C0111" w:rsidP="001C0111">
            <w:pPr>
              <w:spacing w:before="20" w:after="20"/>
              <w:jc w:val="right"/>
              <w:rPr>
                <w:b/>
                <w:noProof/>
                <w:sz w:val="22"/>
                <w:lang w:val="en-IE" w:eastAsia="en-GB"/>
              </w:rPr>
            </w:pPr>
            <w:r w:rsidRPr="001C0111">
              <w:rPr>
                <w:b/>
                <w:bCs/>
                <w:noProof/>
                <w:color w:val="000000"/>
                <w:sz w:val="22"/>
                <w:lang w:eastAsia="en-GB"/>
              </w:rPr>
              <w:t>1,256</w:t>
            </w:r>
          </w:p>
        </w:tc>
      </w:tr>
    </w:tbl>
    <w:p w14:paraId="15335462" w14:textId="77777777" w:rsidR="001C0111" w:rsidRPr="001C0111" w:rsidRDefault="001C0111" w:rsidP="001C0111">
      <w:pPr>
        <w:rPr>
          <w:noProof/>
          <w:lang w:val="en-IE" w:eastAsia="en-GB"/>
        </w:rPr>
      </w:pPr>
    </w:p>
    <w:p w14:paraId="6D38EDBE" w14:textId="77777777" w:rsidR="001C0111" w:rsidRPr="001C0111" w:rsidRDefault="001C0111" w:rsidP="001C0111">
      <w:pPr>
        <w:rPr>
          <w:noProof/>
          <w:sz w:val="20"/>
          <w:lang w:eastAsia="en-GB"/>
        </w:rPr>
      </w:pPr>
      <w:r w:rsidRPr="001C0111">
        <w:rPr>
          <w:noProof/>
          <w:lang w:eastAsia="en-GB"/>
        </w:rPr>
        <w:t>DG ENV additional staff (1 AD for Integrated Water Management and 1 AD for Air Quality) will:</w:t>
      </w:r>
    </w:p>
    <w:p w14:paraId="3C05906E" w14:textId="77777777" w:rsidR="001C0111" w:rsidRPr="001C0111" w:rsidRDefault="001C0111" w:rsidP="001C0111">
      <w:pPr>
        <w:tabs>
          <w:tab w:val="num" w:pos="1417"/>
        </w:tabs>
        <w:ind w:left="1417" w:hanging="567"/>
        <w:rPr>
          <w:noProof/>
          <w:lang w:eastAsia="en-GB"/>
        </w:rPr>
      </w:pPr>
      <w:r w:rsidRPr="001C0111">
        <w:rPr>
          <w:noProof/>
          <w:lang w:eastAsia="en-GB"/>
        </w:rPr>
        <w:t>Prepare and lead the adoption of new Commission implementing acts, establishing surface and groundwater watch lists of pollutants of emerging concern for their monitoring in view of assessing the need to set EU standards;</w:t>
      </w:r>
    </w:p>
    <w:p w14:paraId="3C828FEC" w14:textId="77777777" w:rsidR="001C0111" w:rsidRPr="001C0111" w:rsidRDefault="001C0111" w:rsidP="001C0111">
      <w:pPr>
        <w:tabs>
          <w:tab w:val="num" w:pos="1417"/>
        </w:tabs>
        <w:ind w:left="1417" w:hanging="567"/>
        <w:rPr>
          <w:noProof/>
          <w:lang w:eastAsia="en-GB"/>
        </w:rPr>
      </w:pPr>
      <w:r w:rsidRPr="001C0111">
        <w:rPr>
          <w:noProof/>
          <w:lang w:eastAsia="en-GB"/>
        </w:rPr>
        <w:t xml:space="preserve">Prepare and lead the adoption of new Commission delegated acts, every six years, to review and update the list of pollutants and corresponding EU wide standards which need to be addressed for the purpose of protecting human health and the environment;  </w:t>
      </w:r>
    </w:p>
    <w:p w14:paraId="77D820E8" w14:textId="77777777" w:rsidR="001C0111" w:rsidRPr="001C0111" w:rsidRDefault="001C0111" w:rsidP="001C0111">
      <w:pPr>
        <w:tabs>
          <w:tab w:val="num" w:pos="1417"/>
        </w:tabs>
        <w:ind w:left="1417" w:hanging="567"/>
        <w:rPr>
          <w:noProof/>
          <w:lang w:eastAsia="en-GB"/>
        </w:rPr>
      </w:pPr>
      <w:r w:rsidRPr="001C0111">
        <w:rPr>
          <w:noProof/>
          <w:lang w:eastAsia="en-GB"/>
        </w:rPr>
        <w:t>Sustain a dialogue on water management with Member States, EEA and ECHA including in the framework of relevant expert groups and committees;</w:t>
      </w:r>
    </w:p>
    <w:p w14:paraId="39734BC2" w14:textId="77777777" w:rsidR="001C0111" w:rsidRPr="001C0111" w:rsidRDefault="001C0111" w:rsidP="001C0111">
      <w:pPr>
        <w:tabs>
          <w:tab w:val="num" w:pos="1417"/>
        </w:tabs>
        <w:ind w:left="1417" w:hanging="567"/>
        <w:rPr>
          <w:noProof/>
          <w:lang w:eastAsia="en-GB"/>
        </w:rPr>
      </w:pPr>
      <w:r w:rsidRPr="001C0111">
        <w:rPr>
          <w:noProof/>
          <w:lang w:eastAsia="en-GB"/>
        </w:rPr>
        <w:t>Prepare and lead the adoption of new Commission implementing acts and delegated acts</w:t>
      </w:r>
      <w:r w:rsidRPr="001C0111">
        <w:rPr>
          <w:noProof/>
          <w:lang w:val="en-IE" w:eastAsia="en-GB"/>
        </w:rPr>
        <w:t xml:space="preserve"> linked to the implementation of the new Air Quality Directive</w:t>
      </w:r>
      <w:r w:rsidRPr="001C0111">
        <w:rPr>
          <w:noProof/>
          <w:lang w:eastAsia="en-GB"/>
        </w:rPr>
        <w:t xml:space="preserve">. </w:t>
      </w:r>
    </w:p>
    <w:p w14:paraId="172E2579" w14:textId="77777777" w:rsidR="001C0111" w:rsidRPr="001C0111" w:rsidRDefault="001C0111" w:rsidP="001C0111">
      <w:pPr>
        <w:tabs>
          <w:tab w:val="num" w:pos="1417"/>
        </w:tabs>
        <w:ind w:left="1417" w:hanging="567"/>
        <w:rPr>
          <w:noProof/>
          <w:lang w:eastAsia="en-GB"/>
        </w:rPr>
      </w:pPr>
      <w:r w:rsidRPr="001C0111">
        <w:rPr>
          <w:noProof/>
          <w:lang w:eastAsia="en-GB"/>
        </w:rPr>
        <w:t xml:space="preserve">Support the team in the implementation of the </w:t>
      </w:r>
      <w:r w:rsidRPr="001C0111">
        <w:rPr>
          <w:noProof/>
          <w:lang w:val="en-IE" w:eastAsia="en-GB"/>
        </w:rPr>
        <w:t>revised</w:t>
      </w:r>
      <w:r w:rsidRPr="001C0111">
        <w:rPr>
          <w:noProof/>
          <w:lang w:eastAsia="en-GB"/>
        </w:rPr>
        <w:t xml:space="preserve"> </w:t>
      </w:r>
      <w:r w:rsidRPr="001C0111">
        <w:rPr>
          <w:noProof/>
          <w:lang w:val="en-IE" w:eastAsia="en-GB"/>
        </w:rPr>
        <w:t>Air Quality Directive</w:t>
      </w:r>
      <w:r w:rsidRPr="001C0111">
        <w:rPr>
          <w:noProof/>
          <w:lang w:eastAsia="en-GB"/>
        </w:rPr>
        <w:t xml:space="preserve">, especially for new provisions </w:t>
      </w:r>
      <w:r w:rsidRPr="001C0111">
        <w:rPr>
          <w:noProof/>
          <w:lang w:val="en-IE" w:eastAsia="en-GB"/>
        </w:rPr>
        <w:t>requiring reinforced engagement with competent authorities</w:t>
      </w:r>
      <w:r w:rsidRPr="001C0111">
        <w:rPr>
          <w:noProof/>
          <w:lang w:eastAsia="en-GB"/>
        </w:rPr>
        <w:t>.</w:t>
      </w:r>
    </w:p>
    <w:p w14:paraId="60605E2F" w14:textId="77777777" w:rsidR="001C0111" w:rsidRPr="001C0111" w:rsidRDefault="001C0111" w:rsidP="001C0111">
      <w:pPr>
        <w:tabs>
          <w:tab w:val="num" w:pos="1417"/>
        </w:tabs>
        <w:ind w:left="1417" w:hanging="567"/>
        <w:rPr>
          <w:noProof/>
          <w:lang w:eastAsia="en-GB"/>
        </w:rPr>
      </w:pPr>
      <w:r w:rsidRPr="001C0111">
        <w:rPr>
          <w:noProof/>
          <w:lang w:eastAsia="en-GB"/>
        </w:rPr>
        <w:t>Prepare and lead the development of technical guidance stemming from the revision, in the field of monitoring, modelling, and air quality plans.</w:t>
      </w:r>
    </w:p>
    <w:p w14:paraId="6C0A18FF" w14:textId="77777777" w:rsidR="001C0111" w:rsidRPr="001C0111" w:rsidRDefault="001C0111" w:rsidP="001C0111">
      <w:pPr>
        <w:rPr>
          <w:noProof/>
          <w:lang w:eastAsia="en-GB"/>
        </w:rPr>
      </w:pPr>
      <w:r w:rsidRPr="001C0111">
        <w:rPr>
          <w:noProof/>
          <w:lang w:eastAsia="en-GB"/>
        </w:rPr>
        <w:t>The appropriations required for human resources will be met by appropriations from the DG that are already assigned to management of the action and/or have been redeployed within the DG, together if necessary with any additional allocation, which may be granted to the managing DG under the annual allocation procedure and in light of budgetary constraints.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1C0111" w:rsidRPr="001C0111" w14:paraId="554D540A" w14:textId="77777777" w:rsidTr="00EE4772">
        <w:tc>
          <w:tcPr>
            <w:tcW w:w="3960" w:type="dxa"/>
            <w:shd w:val="thinDiagStripe" w:color="C0C0C0" w:fill="auto"/>
            <w:vAlign w:val="center"/>
          </w:tcPr>
          <w:p w14:paraId="5A6DEC5D" w14:textId="77777777" w:rsidR="001C0111" w:rsidRPr="001C0111" w:rsidRDefault="001C0111" w:rsidP="001C0111">
            <w:pPr>
              <w:jc w:val="center"/>
              <w:rPr>
                <w:b/>
                <w:noProof/>
                <w:lang w:val="en-IE" w:eastAsia="en-GB"/>
              </w:rPr>
            </w:pPr>
            <w:r w:rsidRPr="001C0111">
              <w:rPr>
                <w:b/>
                <w:noProof/>
                <w:sz w:val="22"/>
                <w:lang w:val="en-IE" w:eastAsia="en-GB"/>
              </w:rPr>
              <w:t>TOTAL appropriations</w:t>
            </w:r>
            <w:r w:rsidRPr="001C0111">
              <w:rPr>
                <w:noProof/>
                <w:sz w:val="22"/>
                <w:lang w:val="en-IE" w:eastAsia="en-GB"/>
              </w:rPr>
              <w:br/>
            </w:r>
            <w:r w:rsidRPr="001C0111">
              <w:rPr>
                <w:b/>
                <w:noProof/>
                <w:sz w:val="22"/>
                <w:lang w:val="en-IE" w:eastAsia="en-GB"/>
              </w:rPr>
              <w:t>under HEADING 7</w:t>
            </w:r>
            <w:r w:rsidRPr="001C0111">
              <w:rPr>
                <w:noProof/>
                <w:sz w:val="22"/>
                <w:lang w:val="en-IE" w:eastAsia="en-GB"/>
              </w:rPr>
              <w:br/>
              <w:t>of the multiannual financial framework</w:t>
            </w:r>
            <w:r w:rsidRPr="001C0111">
              <w:rPr>
                <w:b/>
                <w:noProof/>
                <w:sz w:val="22"/>
                <w:lang w:val="en-IE" w:eastAsia="en-GB"/>
              </w:rPr>
              <w:t xml:space="preserve"> </w:t>
            </w:r>
          </w:p>
        </w:tc>
        <w:tc>
          <w:tcPr>
            <w:tcW w:w="2094" w:type="dxa"/>
            <w:vAlign w:val="center"/>
          </w:tcPr>
          <w:p w14:paraId="4611A432" w14:textId="77777777" w:rsidR="001C0111" w:rsidRPr="001C0111" w:rsidRDefault="001C0111" w:rsidP="001C0111">
            <w:pPr>
              <w:spacing w:before="40" w:after="40"/>
              <w:rPr>
                <w:noProof/>
                <w:lang w:val="en-IE" w:eastAsia="en-GB"/>
              </w:rPr>
            </w:pPr>
            <w:r w:rsidRPr="001C0111">
              <w:rPr>
                <w:noProof/>
                <w:sz w:val="18"/>
                <w:lang w:val="en-IE" w:eastAsia="en-GB"/>
              </w:rPr>
              <w:t>(Total commitments = Total payments)</w:t>
            </w:r>
          </w:p>
        </w:tc>
        <w:tc>
          <w:tcPr>
            <w:tcW w:w="868" w:type="dxa"/>
            <w:vAlign w:val="center"/>
          </w:tcPr>
          <w:p w14:paraId="2DD4E809" w14:textId="77777777" w:rsidR="001C0111" w:rsidRPr="001C0111" w:rsidRDefault="001C0111" w:rsidP="001C0111">
            <w:pPr>
              <w:spacing w:before="20" w:after="20"/>
              <w:jc w:val="right"/>
              <w:rPr>
                <w:noProof/>
                <w:lang w:val="en-IE" w:eastAsia="en-GB"/>
              </w:rPr>
            </w:pPr>
            <w:r w:rsidRPr="001C0111">
              <w:rPr>
                <w:noProof/>
                <w:color w:val="000000"/>
                <w:lang w:eastAsia="en-GB"/>
              </w:rPr>
              <w:t>0,314</w:t>
            </w:r>
          </w:p>
        </w:tc>
        <w:tc>
          <w:tcPr>
            <w:tcW w:w="868" w:type="dxa"/>
            <w:vAlign w:val="center"/>
          </w:tcPr>
          <w:p w14:paraId="5BD65AE3" w14:textId="77777777" w:rsidR="001C0111" w:rsidRPr="001C0111" w:rsidRDefault="001C0111" w:rsidP="001C0111">
            <w:pPr>
              <w:spacing w:before="20" w:after="20"/>
              <w:jc w:val="right"/>
              <w:rPr>
                <w:noProof/>
                <w:lang w:val="en-IE" w:eastAsia="en-GB"/>
              </w:rPr>
            </w:pPr>
            <w:r w:rsidRPr="001C0111">
              <w:rPr>
                <w:noProof/>
                <w:color w:val="000000"/>
                <w:lang w:eastAsia="en-GB"/>
              </w:rPr>
              <w:t>0,314</w:t>
            </w:r>
          </w:p>
        </w:tc>
        <w:tc>
          <w:tcPr>
            <w:tcW w:w="868" w:type="dxa"/>
            <w:vAlign w:val="center"/>
          </w:tcPr>
          <w:p w14:paraId="4969AA74" w14:textId="77777777" w:rsidR="001C0111" w:rsidRPr="001C0111" w:rsidRDefault="001C0111" w:rsidP="001C0111">
            <w:pPr>
              <w:spacing w:before="20" w:after="20"/>
              <w:jc w:val="right"/>
              <w:rPr>
                <w:noProof/>
                <w:lang w:val="en-IE" w:eastAsia="en-GB"/>
              </w:rPr>
            </w:pPr>
            <w:r w:rsidRPr="001C0111">
              <w:rPr>
                <w:noProof/>
                <w:color w:val="000000"/>
                <w:lang w:eastAsia="en-GB"/>
              </w:rPr>
              <w:t>0,314</w:t>
            </w:r>
          </w:p>
        </w:tc>
        <w:tc>
          <w:tcPr>
            <w:tcW w:w="868" w:type="dxa"/>
            <w:vAlign w:val="center"/>
          </w:tcPr>
          <w:p w14:paraId="75BD04DF" w14:textId="77777777" w:rsidR="001C0111" w:rsidRPr="001C0111" w:rsidRDefault="001C0111" w:rsidP="001C0111">
            <w:pPr>
              <w:spacing w:before="20" w:after="20"/>
              <w:jc w:val="right"/>
              <w:rPr>
                <w:noProof/>
                <w:lang w:val="en-IE" w:eastAsia="en-GB"/>
              </w:rPr>
            </w:pPr>
            <w:r w:rsidRPr="001C0111">
              <w:rPr>
                <w:noProof/>
                <w:color w:val="000000"/>
                <w:lang w:eastAsia="en-GB"/>
              </w:rPr>
              <w:t>0,314</w:t>
            </w:r>
          </w:p>
        </w:tc>
        <w:tc>
          <w:tcPr>
            <w:tcW w:w="1777" w:type="dxa"/>
            <w:vAlign w:val="center"/>
          </w:tcPr>
          <w:p w14:paraId="6F70CBF4" w14:textId="77777777" w:rsidR="001C0111" w:rsidRPr="001C0111" w:rsidRDefault="001C0111" w:rsidP="001C0111">
            <w:pPr>
              <w:spacing w:before="20" w:after="20"/>
              <w:jc w:val="right"/>
              <w:rPr>
                <w:b/>
                <w:noProof/>
                <w:lang w:val="en-IE" w:eastAsia="en-GB"/>
              </w:rPr>
            </w:pPr>
            <w:r w:rsidRPr="001C0111">
              <w:rPr>
                <w:b/>
                <w:bCs/>
                <w:noProof/>
                <w:color w:val="000000"/>
                <w:lang w:eastAsia="en-GB"/>
              </w:rPr>
              <w:t>1,256</w:t>
            </w:r>
          </w:p>
        </w:tc>
      </w:tr>
    </w:tbl>
    <w:p w14:paraId="129DDBFA" w14:textId="77777777" w:rsidR="001C0111" w:rsidRPr="001C0111" w:rsidRDefault="001C0111" w:rsidP="001C0111">
      <w:pPr>
        <w:rPr>
          <w:noProof/>
          <w:lang w:eastAsia="en-GB"/>
        </w:rPr>
      </w:pPr>
    </w:p>
    <w:p w14:paraId="4D0CBF37" w14:textId="77777777" w:rsidR="001C0111" w:rsidRPr="001C0111" w:rsidRDefault="001C0111" w:rsidP="001C0111">
      <w:pPr>
        <w:jc w:val="right"/>
        <w:rPr>
          <w:noProof/>
          <w:sz w:val="20"/>
          <w:lang w:val="en-IE" w:eastAsia="en-GB"/>
        </w:rPr>
      </w:pPr>
      <w:r w:rsidRPr="001C0111">
        <w:rPr>
          <w:noProof/>
          <w:sz w:val="20"/>
          <w:lang w:val="en-IE" w:eastAsia="en-GB"/>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20"/>
        <w:gridCol w:w="1826"/>
      </w:tblGrid>
      <w:tr w:rsidR="001C0111" w:rsidRPr="001C0111" w14:paraId="77CBA6A5" w14:textId="77777777" w:rsidTr="00EE4772">
        <w:tc>
          <w:tcPr>
            <w:tcW w:w="3960" w:type="dxa"/>
            <w:tcBorders>
              <w:top w:val="nil"/>
              <w:left w:val="nil"/>
              <w:right w:val="nil"/>
            </w:tcBorders>
            <w:vAlign w:val="center"/>
          </w:tcPr>
          <w:p w14:paraId="7D108010" w14:textId="77777777" w:rsidR="001C0111" w:rsidRPr="001C0111" w:rsidRDefault="001C0111" w:rsidP="001C0111">
            <w:pPr>
              <w:jc w:val="center"/>
              <w:rPr>
                <w:noProof/>
                <w:lang w:val="en-IE" w:eastAsia="en-GB"/>
              </w:rPr>
            </w:pPr>
          </w:p>
        </w:tc>
        <w:tc>
          <w:tcPr>
            <w:tcW w:w="1560" w:type="dxa"/>
            <w:tcBorders>
              <w:top w:val="nil"/>
              <w:left w:val="nil"/>
              <w:right w:val="nil"/>
            </w:tcBorders>
          </w:tcPr>
          <w:p w14:paraId="7D0DD2E8" w14:textId="77777777" w:rsidR="001C0111" w:rsidRPr="001C0111" w:rsidRDefault="001C0111" w:rsidP="001C0111">
            <w:pPr>
              <w:rPr>
                <w:noProof/>
                <w:sz w:val="20"/>
                <w:lang w:val="en-IE" w:eastAsia="en-GB"/>
              </w:rPr>
            </w:pPr>
          </w:p>
        </w:tc>
        <w:tc>
          <w:tcPr>
            <w:tcW w:w="534" w:type="dxa"/>
            <w:tcBorders>
              <w:top w:val="nil"/>
              <w:left w:val="nil"/>
            </w:tcBorders>
          </w:tcPr>
          <w:p w14:paraId="1660FA1B" w14:textId="77777777" w:rsidR="001C0111" w:rsidRPr="001C0111" w:rsidRDefault="001C0111" w:rsidP="001C0111">
            <w:pPr>
              <w:jc w:val="center"/>
              <w:rPr>
                <w:noProof/>
                <w:sz w:val="20"/>
                <w:lang w:val="en-IE" w:eastAsia="en-GB"/>
              </w:rPr>
            </w:pPr>
          </w:p>
        </w:tc>
        <w:tc>
          <w:tcPr>
            <w:tcW w:w="868" w:type="dxa"/>
            <w:vAlign w:val="center"/>
          </w:tcPr>
          <w:p w14:paraId="21679FF9" w14:textId="77777777" w:rsidR="001C0111" w:rsidRPr="001C0111" w:rsidRDefault="001C0111" w:rsidP="001C0111">
            <w:pPr>
              <w:jc w:val="center"/>
              <w:rPr>
                <w:noProof/>
                <w:sz w:val="20"/>
                <w:lang w:val="en-IE" w:eastAsia="en-GB"/>
              </w:rPr>
            </w:pPr>
            <w:r w:rsidRPr="001C0111">
              <w:rPr>
                <w:b/>
                <w:noProof/>
                <w:sz w:val="20"/>
                <w:lang w:val="en-IE" w:eastAsia="en-GB"/>
              </w:rPr>
              <w:t>2023</w:t>
            </w:r>
          </w:p>
        </w:tc>
        <w:tc>
          <w:tcPr>
            <w:tcW w:w="868" w:type="dxa"/>
            <w:vAlign w:val="center"/>
          </w:tcPr>
          <w:p w14:paraId="1F70D5D9" w14:textId="77777777" w:rsidR="001C0111" w:rsidRPr="001C0111" w:rsidRDefault="001C0111" w:rsidP="001C0111">
            <w:pPr>
              <w:jc w:val="center"/>
              <w:rPr>
                <w:noProof/>
                <w:sz w:val="20"/>
                <w:lang w:val="en-IE" w:eastAsia="en-GB"/>
              </w:rPr>
            </w:pPr>
            <w:r w:rsidRPr="001C0111">
              <w:rPr>
                <w:b/>
                <w:noProof/>
                <w:sz w:val="20"/>
                <w:lang w:val="en-IE" w:eastAsia="en-GB"/>
              </w:rPr>
              <w:t>2024</w:t>
            </w:r>
          </w:p>
        </w:tc>
        <w:tc>
          <w:tcPr>
            <w:tcW w:w="868" w:type="dxa"/>
            <w:vAlign w:val="center"/>
          </w:tcPr>
          <w:p w14:paraId="46C896C3" w14:textId="77777777" w:rsidR="001C0111" w:rsidRPr="001C0111" w:rsidRDefault="001C0111" w:rsidP="001C0111">
            <w:pPr>
              <w:jc w:val="center"/>
              <w:rPr>
                <w:noProof/>
                <w:sz w:val="20"/>
                <w:lang w:val="en-IE" w:eastAsia="en-GB"/>
              </w:rPr>
            </w:pPr>
            <w:r w:rsidRPr="001C0111">
              <w:rPr>
                <w:b/>
                <w:noProof/>
                <w:sz w:val="20"/>
                <w:lang w:val="en-IE" w:eastAsia="en-GB"/>
              </w:rPr>
              <w:t>2025</w:t>
            </w:r>
          </w:p>
        </w:tc>
        <w:tc>
          <w:tcPr>
            <w:tcW w:w="868" w:type="dxa"/>
            <w:vAlign w:val="center"/>
          </w:tcPr>
          <w:p w14:paraId="184C81C5" w14:textId="77777777" w:rsidR="001C0111" w:rsidRPr="001C0111" w:rsidRDefault="001C0111" w:rsidP="001C0111">
            <w:pPr>
              <w:jc w:val="center"/>
              <w:rPr>
                <w:noProof/>
                <w:sz w:val="20"/>
                <w:lang w:val="en-IE" w:eastAsia="en-GB"/>
              </w:rPr>
            </w:pPr>
            <w:r w:rsidRPr="001C0111">
              <w:rPr>
                <w:b/>
                <w:noProof/>
                <w:sz w:val="20"/>
                <w:lang w:val="en-IE" w:eastAsia="en-GB"/>
              </w:rPr>
              <w:t>2026</w:t>
            </w:r>
          </w:p>
        </w:tc>
        <w:tc>
          <w:tcPr>
            <w:tcW w:w="888" w:type="dxa"/>
            <w:gridSpan w:val="2"/>
            <w:vAlign w:val="center"/>
          </w:tcPr>
          <w:p w14:paraId="4A1B2E9E" w14:textId="77777777" w:rsidR="001C0111" w:rsidRPr="001C0111" w:rsidRDefault="001C0111" w:rsidP="001C0111">
            <w:pPr>
              <w:jc w:val="center"/>
              <w:rPr>
                <w:b/>
                <w:noProof/>
                <w:sz w:val="20"/>
                <w:lang w:val="en-IE" w:eastAsia="en-GB"/>
              </w:rPr>
            </w:pPr>
            <w:r w:rsidRPr="001C0111">
              <w:rPr>
                <w:b/>
                <w:noProof/>
                <w:sz w:val="20"/>
                <w:lang w:val="en-IE" w:eastAsia="en-GB"/>
              </w:rPr>
              <w:t>2027 and beyond</w:t>
            </w:r>
          </w:p>
        </w:tc>
        <w:tc>
          <w:tcPr>
            <w:tcW w:w="1826" w:type="dxa"/>
            <w:vAlign w:val="center"/>
          </w:tcPr>
          <w:p w14:paraId="0FD84B41" w14:textId="77777777" w:rsidR="001C0111" w:rsidRPr="001C0111" w:rsidRDefault="001C0111" w:rsidP="001C0111">
            <w:pPr>
              <w:jc w:val="center"/>
              <w:rPr>
                <w:b/>
                <w:noProof/>
                <w:sz w:val="20"/>
                <w:lang w:val="en-IE" w:eastAsia="en-GB"/>
              </w:rPr>
            </w:pPr>
            <w:r w:rsidRPr="001C0111">
              <w:rPr>
                <w:b/>
                <w:noProof/>
                <w:sz w:val="20"/>
                <w:lang w:val="en-IE" w:eastAsia="en-GB"/>
              </w:rPr>
              <w:t>TOTAL</w:t>
            </w:r>
          </w:p>
        </w:tc>
      </w:tr>
      <w:tr w:rsidR="001C0111" w:rsidRPr="001C0111" w14:paraId="382F5401" w14:textId="77777777" w:rsidTr="00EE4772">
        <w:tc>
          <w:tcPr>
            <w:tcW w:w="3960" w:type="dxa"/>
            <w:vMerge w:val="restart"/>
            <w:shd w:val="clear" w:color="auto" w:fill="C0C0C0"/>
            <w:vAlign w:val="center"/>
          </w:tcPr>
          <w:p w14:paraId="5AC50452" w14:textId="77777777" w:rsidR="001C0111" w:rsidRPr="001C0111" w:rsidRDefault="001C0111" w:rsidP="001C0111">
            <w:pPr>
              <w:jc w:val="center"/>
              <w:rPr>
                <w:b/>
                <w:noProof/>
                <w:lang w:val="en-IE" w:eastAsia="en-GB"/>
              </w:rPr>
            </w:pPr>
            <w:r w:rsidRPr="001C0111">
              <w:rPr>
                <w:b/>
                <w:noProof/>
                <w:sz w:val="22"/>
                <w:lang w:val="en-IE" w:eastAsia="en-GB"/>
              </w:rPr>
              <w:t xml:space="preserve">TOTAL appropriations </w:t>
            </w:r>
            <w:r w:rsidRPr="001C0111">
              <w:rPr>
                <w:noProof/>
                <w:sz w:val="22"/>
                <w:lang w:val="en-IE" w:eastAsia="en-GB"/>
              </w:rPr>
              <w:br/>
            </w:r>
            <w:r w:rsidRPr="001C0111">
              <w:rPr>
                <w:b/>
                <w:noProof/>
                <w:sz w:val="22"/>
                <w:lang w:val="en-IE" w:eastAsia="en-GB"/>
              </w:rPr>
              <w:t>under HEADINGS 1 to 7</w:t>
            </w:r>
            <w:r w:rsidRPr="001C0111">
              <w:rPr>
                <w:noProof/>
                <w:sz w:val="22"/>
                <w:lang w:val="en-IE" w:eastAsia="en-GB"/>
              </w:rPr>
              <w:br/>
              <w:t>of the multiannual financial framework</w:t>
            </w:r>
            <w:r w:rsidRPr="001C0111">
              <w:rPr>
                <w:b/>
                <w:noProof/>
                <w:sz w:val="22"/>
                <w:lang w:val="en-IE" w:eastAsia="en-GB"/>
              </w:rPr>
              <w:t xml:space="preserve"> </w:t>
            </w:r>
          </w:p>
        </w:tc>
        <w:tc>
          <w:tcPr>
            <w:tcW w:w="2094" w:type="dxa"/>
            <w:gridSpan w:val="2"/>
            <w:vAlign w:val="center"/>
          </w:tcPr>
          <w:p w14:paraId="5343ABB5" w14:textId="77777777" w:rsidR="001C0111" w:rsidRPr="001C0111" w:rsidRDefault="001C0111" w:rsidP="001C0111">
            <w:pPr>
              <w:rPr>
                <w:noProof/>
                <w:sz w:val="14"/>
                <w:lang w:val="en-IE" w:eastAsia="en-GB"/>
              </w:rPr>
            </w:pPr>
            <w:r w:rsidRPr="001C0111">
              <w:rPr>
                <w:noProof/>
                <w:sz w:val="18"/>
                <w:lang w:val="en-IE" w:eastAsia="en-GB"/>
              </w:rPr>
              <w:t>Commitments</w:t>
            </w:r>
          </w:p>
        </w:tc>
        <w:tc>
          <w:tcPr>
            <w:tcW w:w="868" w:type="dxa"/>
            <w:vAlign w:val="center"/>
          </w:tcPr>
          <w:p w14:paraId="661F2A80" w14:textId="77777777" w:rsidR="001C0111" w:rsidRPr="001C0111" w:rsidRDefault="001C0111" w:rsidP="001C0111">
            <w:pPr>
              <w:spacing w:before="60" w:after="60"/>
              <w:jc w:val="right"/>
              <w:rPr>
                <w:noProof/>
                <w:szCs w:val="24"/>
                <w:lang w:val="en-IE" w:eastAsia="en-GB"/>
              </w:rPr>
            </w:pPr>
            <w:r w:rsidRPr="001C0111">
              <w:rPr>
                <w:noProof/>
                <w:szCs w:val="24"/>
                <w:lang w:val="en-IE" w:eastAsia="en-GB"/>
              </w:rPr>
              <w:t>0,100</w:t>
            </w:r>
          </w:p>
        </w:tc>
        <w:tc>
          <w:tcPr>
            <w:tcW w:w="868" w:type="dxa"/>
            <w:vAlign w:val="bottom"/>
          </w:tcPr>
          <w:p w14:paraId="54AE51FB" w14:textId="77777777" w:rsidR="001C0111" w:rsidRPr="001C0111" w:rsidRDefault="001C0111" w:rsidP="001C0111">
            <w:pPr>
              <w:spacing w:before="60" w:after="60"/>
              <w:jc w:val="right"/>
              <w:rPr>
                <w:noProof/>
                <w:szCs w:val="24"/>
                <w:lang w:val="en-IE" w:eastAsia="en-GB"/>
              </w:rPr>
            </w:pPr>
            <w:r w:rsidRPr="001C0111">
              <w:rPr>
                <w:noProof/>
                <w:color w:val="000000"/>
                <w:szCs w:val="24"/>
                <w:lang w:eastAsia="en-GB"/>
              </w:rPr>
              <w:t>3,197</w:t>
            </w:r>
          </w:p>
        </w:tc>
        <w:tc>
          <w:tcPr>
            <w:tcW w:w="868" w:type="dxa"/>
            <w:vAlign w:val="bottom"/>
          </w:tcPr>
          <w:p w14:paraId="3E8BF016" w14:textId="77777777" w:rsidR="001C0111" w:rsidRPr="001C0111" w:rsidRDefault="001C0111" w:rsidP="001C0111">
            <w:pPr>
              <w:spacing w:before="60" w:after="60"/>
              <w:jc w:val="right"/>
              <w:rPr>
                <w:noProof/>
                <w:szCs w:val="24"/>
                <w:lang w:val="en-IE" w:eastAsia="en-GB"/>
              </w:rPr>
            </w:pPr>
            <w:r w:rsidRPr="001C0111">
              <w:rPr>
                <w:noProof/>
                <w:color w:val="000000"/>
                <w:szCs w:val="24"/>
                <w:lang w:eastAsia="en-GB"/>
              </w:rPr>
              <w:t>4,834</w:t>
            </w:r>
          </w:p>
        </w:tc>
        <w:tc>
          <w:tcPr>
            <w:tcW w:w="868" w:type="dxa"/>
            <w:vAlign w:val="bottom"/>
          </w:tcPr>
          <w:p w14:paraId="19865708" w14:textId="77777777" w:rsidR="001C0111" w:rsidRPr="001C0111" w:rsidRDefault="001C0111" w:rsidP="001C0111">
            <w:pPr>
              <w:spacing w:before="60" w:after="60"/>
              <w:jc w:val="right"/>
              <w:rPr>
                <w:noProof/>
                <w:szCs w:val="24"/>
                <w:lang w:val="en-IE" w:eastAsia="en-GB"/>
              </w:rPr>
            </w:pPr>
            <w:r w:rsidRPr="001C0111">
              <w:rPr>
                <w:noProof/>
                <w:color w:val="000000"/>
                <w:szCs w:val="24"/>
                <w:lang w:eastAsia="en-GB"/>
              </w:rPr>
              <w:t>4,712</w:t>
            </w:r>
          </w:p>
        </w:tc>
        <w:tc>
          <w:tcPr>
            <w:tcW w:w="868" w:type="dxa"/>
            <w:vAlign w:val="bottom"/>
          </w:tcPr>
          <w:p w14:paraId="51C59BFB" w14:textId="77777777" w:rsidR="001C0111" w:rsidRPr="001C0111" w:rsidRDefault="001C0111" w:rsidP="001C0111">
            <w:pPr>
              <w:spacing w:before="60" w:after="60"/>
              <w:jc w:val="right"/>
              <w:rPr>
                <w:noProof/>
                <w:szCs w:val="24"/>
                <w:lang w:val="en-IE" w:eastAsia="en-GB"/>
              </w:rPr>
            </w:pPr>
            <w:r w:rsidRPr="001C0111">
              <w:rPr>
                <w:noProof/>
                <w:color w:val="000000"/>
                <w:szCs w:val="24"/>
                <w:lang w:eastAsia="en-GB"/>
              </w:rPr>
              <w:t>4,791</w:t>
            </w:r>
          </w:p>
        </w:tc>
        <w:tc>
          <w:tcPr>
            <w:tcW w:w="1846" w:type="dxa"/>
            <w:gridSpan w:val="2"/>
            <w:vAlign w:val="bottom"/>
          </w:tcPr>
          <w:p w14:paraId="24FDD05D" w14:textId="77777777" w:rsidR="001C0111" w:rsidRPr="001C0111" w:rsidRDefault="001C0111" w:rsidP="001C0111">
            <w:pPr>
              <w:spacing w:before="60" w:after="60"/>
              <w:jc w:val="right"/>
              <w:rPr>
                <w:b/>
                <w:noProof/>
                <w:szCs w:val="24"/>
                <w:lang w:val="en-IE" w:eastAsia="en-GB"/>
              </w:rPr>
            </w:pPr>
            <w:r w:rsidRPr="001C0111">
              <w:rPr>
                <w:noProof/>
                <w:color w:val="000000"/>
                <w:szCs w:val="24"/>
                <w:lang w:eastAsia="en-GB"/>
              </w:rPr>
              <w:t>17,653</w:t>
            </w:r>
          </w:p>
        </w:tc>
      </w:tr>
      <w:tr w:rsidR="001C0111" w:rsidRPr="001C0111" w14:paraId="477C03ED" w14:textId="77777777" w:rsidTr="00EE4772">
        <w:tc>
          <w:tcPr>
            <w:tcW w:w="3960" w:type="dxa"/>
            <w:vMerge/>
            <w:shd w:val="clear" w:color="auto" w:fill="C0C0C0"/>
          </w:tcPr>
          <w:p w14:paraId="0AB68A80" w14:textId="77777777" w:rsidR="001C0111" w:rsidRPr="001C0111" w:rsidRDefault="001C0111" w:rsidP="001C0111">
            <w:pPr>
              <w:rPr>
                <w:noProof/>
                <w:sz w:val="20"/>
                <w:lang w:val="en-IE" w:eastAsia="en-GB"/>
              </w:rPr>
            </w:pPr>
          </w:p>
        </w:tc>
        <w:tc>
          <w:tcPr>
            <w:tcW w:w="2094" w:type="dxa"/>
            <w:gridSpan w:val="2"/>
            <w:vAlign w:val="center"/>
          </w:tcPr>
          <w:p w14:paraId="17EC05B4" w14:textId="77777777" w:rsidR="001C0111" w:rsidRPr="001C0111" w:rsidRDefault="001C0111" w:rsidP="001C0111">
            <w:pPr>
              <w:rPr>
                <w:noProof/>
                <w:sz w:val="14"/>
                <w:lang w:val="en-IE" w:eastAsia="en-GB"/>
              </w:rPr>
            </w:pPr>
            <w:r w:rsidRPr="001C0111">
              <w:rPr>
                <w:noProof/>
                <w:sz w:val="18"/>
                <w:lang w:val="en-IE" w:eastAsia="en-GB"/>
              </w:rPr>
              <w:t>Payments</w:t>
            </w:r>
          </w:p>
        </w:tc>
        <w:tc>
          <w:tcPr>
            <w:tcW w:w="868" w:type="dxa"/>
            <w:vAlign w:val="center"/>
          </w:tcPr>
          <w:p w14:paraId="54A37C84" w14:textId="77777777" w:rsidR="001C0111" w:rsidRPr="001C0111" w:rsidRDefault="001C0111" w:rsidP="001C0111">
            <w:pPr>
              <w:spacing w:before="60" w:after="60"/>
              <w:jc w:val="right"/>
              <w:rPr>
                <w:noProof/>
                <w:szCs w:val="24"/>
                <w:lang w:val="en-IE" w:eastAsia="en-GB"/>
              </w:rPr>
            </w:pPr>
            <w:r w:rsidRPr="001C0111">
              <w:rPr>
                <w:noProof/>
                <w:szCs w:val="24"/>
                <w:lang w:val="en-IE" w:eastAsia="en-GB"/>
              </w:rPr>
              <w:t>0,100</w:t>
            </w:r>
          </w:p>
        </w:tc>
        <w:tc>
          <w:tcPr>
            <w:tcW w:w="868" w:type="dxa"/>
            <w:vAlign w:val="bottom"/>
          </w:tcPr>
          <w:p w14:paraId="1EECC1A7" w14:textId="77777777" w:rsidR="001C0111" w:rsidRPr="001C0111" w:rsidRDefault="001C0111" w:rsidP="001C0111">
            <w:pPr>
              <w:spacing w:before="60" w:after="60"/>
              <w:jc w:val="right"/>
              <w:rPr>
                <w:noProof/>
                <w:szCs w:val="24"/>
                <w:lang w:val="en-IE" w:eastAsia="en-GB"/>
              </w:rPr>
            </w:pPr>
            <w:r w:rsidRPr="001C0111">
              <w:rPr>
                <w:noProof/>
                <w:color w:val="000000"/>
                <w:szCs w:val="24"/>
                <w:lang w:eastAsia="en-GB"/>
              </w:rPr>
              <w:t>3,197</w:t>
            </w:r>
          </w:p>
        </w:tc>
        <w:tc>
          <w:tcPr>
            <w:tcW w:w="868" w:type="dxa"/>
            <w:vAlign w:val="bottom"/>
          </w:tcPr>
          <w:p w14:paraId="7BCDD425" w14:textId="77777777" w:rsidR="001C0111" w:rsidRPr="001C0111" w:rsidRDefault="001C0111" w:rsidP="001C0111">
            <w:pPr>
              <w:spacing w:before="60" w:after="60"/>
              <w:jc w:val="right"/>
              <w:rPr>
                <w:noProof/>
                <w:szCs w:val="24"/>
                <w:lang w:val="en-IE" w:eastAsia="en-GB"/>
              </w:rPr>
            </w:pPr>
            <w:r w:rsidRPr="001C0111">
              <w:rPr>
                <w:noProof/>
                <w:color w:val="000000"/>
                <w:szCs w:val="24"/>
                <w:lang w:eastAsia="en-GB"/>
              </w:rPr>
              <w:t>4,834</w:t>
            </w:r>
          </w:p>
        </w:tc>
        <w:tc>
          <w:tcPr>
            <w:tcW w:w="868" w:type="dxa"/>
            <w:vAlign w:val="bottom"/>
          </w:tcPr>
          <w:p w14:paraId="22507D4A" w14:textId="77777777" w:rsidR="001C0111" w:rsidRPr="001C0111" w:rsidRDefault="001C0111" w:rsidP="001C0111">
            <w:pPr>
              <w:spacing w:before="60" w:after="60"/>
              <w:jc w:val="right"/>
              <w:rPr>
                <w:noProof/>
                <w:szCs w:val="24"/>
                <w:lang w:val="en-IE" w:eastAsia="en-GB"/>
              </w:rPr>
            </w:pPr>
            <w:r w:rsidRPr="001C0111">
              <w:rPr>
                <w:noProof/>
                <w:color w:val="000000"/>
                <w:szCs w:val="24"/>
                <w:lang w:eastAsia="en-GB"/>
              </w:rPr>
              <w:t>4,712</w:t>
            </w:r>
          </w:p>
        </w:tc>
        <w:tc>
          <w:tcPr>
            <w:tcW w:w="868" w:type="dxa"/>
            <w:vAlign w:val="bottom"/>
          </w:tcPr>
          <w:p w14:paraId="04E33E74" w14:textId="77777777" w:rsidR="001C0111" w:rsidRPr="001C0111" w:rsidRDefault="001C0111" w:rsidP="001C0111">
            <w:pPr>
              <w:spacing w:before="60" w:after="60"/>
              <w:jc w:val="right"/>
              <w:rPr>
                <w:noProof/>
                <w:szCs w:val="24"/>
                <w:lang w:val="en-IE" w:eastAsia="en-GB"/>
              </w:rPr>
            </w:pPr>
            <w:r w:rsidRPr="001C0111">
              <w:rPr>
                <w:noProof/>
                <w:color w:val="000000"/>
                <w:szCs w:val="24"/>
                <w:lang w:eastAsia="en-GB"/>
              </w:rPr>
              <w:t>4,791</w:t>
            </w:r>
          </w:p>
        </w:tc>
        <w:tc>
          <w:tcPr>
            <w:tcW w:w="1846" w:type="dxa"/>
            <w:gridSpan w:val="2"/>
            <w:vAlign w:val="bottom"/>
          </w:tcPr>
          <w:p w14:paraId="1CDF8EF5" w14:textId="77777777" w:rsidR="001C0111" w:rsidRPr="001C0111" w:rsidRDefault="001C0111" w:rsidP="001C0111">
            <w:pPr>
              <w:spacing w:before="60" w:after="60"/>
              <w:jc w:val="right"/>
              <w:rPr>
                <w:b/>
                <w:noProof/>
                <w:szCs w:val="24"/>
                <w:lang w:val="en-IE" w:eastAsia="en-GB"/>
              </w:rPr>
            </w:pPr>
            <w:r w:rsidRPr="001C0111">
              <w:rPr>
                <w:noProof/>
                <w:color w:val="000000"/>
                <w:szCs w:val="24"/>
                <w:lang w:eastAsia="en-GB"/>
              </w:rPr>
              <w:t>17,653</w:t>
            </w:r>
          </w:p>
        </w:tc>
      </w:tr>
    </w:tbl>
    <w:p w14:paraId="7BAF7A67" w14:textId="77777777" w:rsidR="001C0111" w:rsidRPr="001C0111" w:rsidRDefault="001C0111" w:rsidP="001C0111">
      <w:pPr>
        <w:rPr>
          <w:noProof/>
          <w:lang w:val="en-IE" w:eastAsia="en-GB"/>
        </w:rPr>
      </w:pPr>
    </w:p>
    <w:p w14:paraId="15F7C36C" w14:textId="77777777" w:rsidR="001C0111" w:rsidRPr="001C0111" w:rsidRDefault="001C0111" w:rsidP="002A2DB0">
      <w:pPr>
        <w:keepNext/>
        <w:outlineLvl w:val="2"/>
        <w:rPr>
          <w:rFonts w:eastAsiaTheme="majorEastAsia"/>
          <w:bCs/>
          <w:i/>
          <w:noProof/>
          <w:lang w:val="en-IE" w:eastAsia="en-GB"/>
        </w:rPr>
      </w:pPr>
      <w:bookmarkStart w:id="59" w:name="_Toc514938054"/>
      <w:bookmarkStart w:id="60" w:name="_Toc520485053"/>
      <w:r w:rsidRPr="001C0111">
        <w:rPr>
          <w:rFonts w:eastAsiaTheme="majorEastAsia"/>
          <w:bCs/>
          <w:i/>
          <w:noProof/>
          <w:lang w:val="en-IE" w:eastAsia="en-GB"/>
        </w:rPr>
        <w:t>Estimated output funded with operational appropriations</w:t>
      </w:r>
      <w:bookmarkEnd w:id="59"/>
      <w:bookmarkEnd w:id="60"/>
      <w:r w:rsidRPr="001C0111">
        <w:rPr>
          <w:rFonts w:eastAsiaTheme="majorEastAsia"/>
          <w:bCs/>
          <w:i/>
          <w:noProof/>
          <w:lang w:val="en-IE" w:eastAsia="en-GB"/>
        </w:rPr>
        <w:t xml:space="preserve"> </w:t>
      </w:r>
    </w:p>
    <w:p w14:paraId="5D10BF67" w14:textId="77777777" w:rsidR="001C0111" w:rsidRPr="001C0111" w:rsidRDefault="001C0111" w:rsidP="001C0111">
      <w:pPr>
        <w:jc w:val="right"/>
        <w:rPr>
          <w:noProof/>
          <w:sz w:val="20"/>
          <w:lang w:val="en-IE" w:eastAsia="en-GB"/>
        </w:rPr>
      </w:pPr>
      <w:r w:rsidRPr="001C0111">
        <w:rPr>
          <w:noProof/>
          <w:sz w:val="20"/>
          <w:lang w:val="en-IE" w:eastAsia="en-GB"/>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1C0111" w:rsidRPr="001C0111" w14:paraId="6A486589" w14:textId="77777777" w:rsidTr="00EE4772">
        <w:trPr>
          <w:jc w:val="center"/>
        </w:trPr>
        <w:tc>
          <w:tcPr>
            <w:tcW w:w="1423" w:type="dxa"/>
            <w:vMerge w:val="restart"/>
            <w:vAlign w:val="center"/>
          </w:tcPr>
          <w:p w14:paraId="668BC2F5" w14:textId="77777777" w:rsidR="001C0111" w:rsidRPr="001C0111" w:rsidRDefault="001C0111" w:rsidP="001C0111">
            <w:pPr>
              <w:ind w:right="-29"/>
              <w:jc w:val="center"/>
              <w:rPr>
                <w:b/>
                <w:noProof/>
                <w:sz w:val="18"/>
                <w:szCs w:val="18"/>
                <w:lang w:val="en-IE" w:eastAsia="en-GB"/>
              </w:rPr>
            </w:pPr>
            <w:r w:rsidRPr="001C0111">
              <w:rPr>
                <w:b/>
                <w:noProof/>
                <w:sz w:val="18"/>
                <w:lang w:val="en-IE" w:eastAsia="en-GB"/>
              </w:rPr>
              <w:t xml:space="preserve">Indicate objectives and outputs </w:t>
            </w:r>
          </w:p>
          <w:p w14:paraId="1AC32A77" w14:textId="77777777" w:rsidR="001C0111" w:rsidRPr="001C0111" w:rsidRDefault="001C0111" w:rsidP="001C0111">
            <w:pPr>
              <w:ind w:right="-29"/>
              <w:jc w:val="center"/>
              <w:rPr>
                <w:b/>
                <w:noProof/>
                <w:sz w:val="18"/>
                <w:szCs w:val="18"/>
                <w:lang w:val="en-IE" w:eastAsia="en-GB"/>
              </w:rPr>
            </w:pPr>
          </w:p>
          <w:p w14:paraId="4C40DB91" w14:textId="77777777" w:rsidR="001C0111" w:rsidRPr="001C0111" w:rsidRDefault="001C0111" w:rsidP="001C0111">
            <w:pPr>
              <w:ind w:right="-29"/>
              <w:jc w:val="center"/>
              <w:rPr>
                <w:noProof/>
                <w:sz w:val="18"/>
                <w:szCs w:val="18"/>
                <w:lang w:val="en-IE" w:eastAsia="en-GB"/>
              </w:rPr>
            </w:pPr>
            <w:r w:rsidRPr="001C0111">
              <w:rPr>
                <w:rFonts w:ascii="Wingdings" w:eastAsia="Wingdings" w:hAnsi="Wingdings" w:cs="Wingdings"/>
                <w:noProof/>
                <w:sz w:val="18"/>
                <w:lang w:val="en-IE" w:eastAsia="en-GB"/>
              </w:rPr>
              <w:t></w:t>
            </w:r>
          </w:p>
        </w:tc>
        <w:tc>
          <w:tcPr>
            <w:tcW w:w="720" w:type="dxa"/>
            <w:vAlign w:val="center"/>
          </w:tcPr>
          <w:p w14:paraId="6F341653" w14:textId="77777777" w:rsidR="001C0111" w:rsidRPr="001C0111" w:rsidRDefault="001C0111" w:rsidP="001C0111">
            <w:pPr>
              <w:ind w:right="-29"/>
              <w:jc w:val="center"/>
              <w:rPr>
                <w:noProof/>
                <w:sz w:val="18"/>
                <w:szCs w:val="18"/>
                <w:lang w:val="en-IE" w:eastAsia="en-GB"/>
              </w:rPr>
            </w:pPr>
          </w:p>
        </w:tc>
        <w:tc>
          <w:tcPr>
            <w:tcW w:w="701" w:type="dxa"/>
            <w:vAlign w:val="center"/>
          </w:tcPr>
          <w:p w14:paraId="3C496763" w14:textId="77777777" w:rsidR="001C0111" w:rsidRPr="001C0111" w:rsidRDefault="001C0111" w:rsidP="001C0111">
            <w:pPr>
              <w:ind w:right="-29"/>
              <w:jc w:val="center"/>
              <w:rPr>
                <w:noProof/>
                <w:sz w:val="18"/>
                <w:szCs w:val="18"/>
                <w:lang w:val="en-IE" w:eastAsia="en-GB"/>
              </w:rPr>
            </w:pPr>
          </w:p>
        </w:tc>
        <w:tc>
          <w:tcPr>
            <w:tcW w:w="1224" w:type="dxa"/>
            <w:gridSpan w:val="2"/>
            <w:tcBorders>
              <w:left w:val="nil"/>
            </w:tcBorders>
            <w:vAlign w:val="center"/>
          </w:tcPr>
          <w:p w14:paraId="671016E8" w14:textId="77777777" w:rsidR="001C0111" w:rsidRPr="001C0111" w:rsidRDefault="001C0111" w:rsidP="001C0111">
            <w:pPr>
              <w:ind w:right="-29"/>
              <w:jc w:val="center"/>
              <w:rPr>
                <w:noProof/>
                <w:sz w:val="18"/>
                <w:szCs w:val="18"/>
                <w:lang w:val="en-IE" w:eastAsia="en-GB"/>
              </w:rPr>
            </w:pPr>
            <w:r w:rsidRPr="001C0111">
              <w:rPr>
                <w:noProof/>
                <w:sz w:val="18"/>
                <w:lang w:val="en-IE" w:eastAsia="en-GB"/>
              </w:rPr>
              <w:t>Year</w:t>
            </w:r>
            <w:r w:rsidRPr="001C0111">
              <w:rPr>
                <w:noProof/>
                <w:sz w:val="22"/>
                <w:lang w:val="en-IE" w:eastAsia="en-GB"/>
              </w:rPr>
              <w:br/>
            </w:r>
            <w:r w:rsidRPr="001C0111">
              <w:rPr>
                <w:b/>
                <w:noProof/>
                <w:sz w:val="18"/>
                <w:lang w:val="en-IE" w:eastAsia="en-GB"/>
              </w:rPr>
              <w:t>N</w:t>
            </w:r>
          </w:p>
        </w:tc>
        <w:tc>
          <w:tcPr>
            <w:tcW w:w="1260" w:type="dxa"/>
            <w:gridSpan w:val="2"/>
            <w:vAlign w:val="center"/>
          </w:tcPr>
          <w:p w14:paraId="6F4BA93B" w14:textId="77777777" w:rsidR="001C0111" w:rsidRPr="001C0111" w:rsidRDefault="001C0111" w:rsidP="001C0111">
            <w:pPr>
              <w:ind w:right="-29"/>
              <w:jc w:val="center"/>
              <w:rPr>
                <w:noProof/>
                <w:sz w:val="18"/>
                <w:szCs w:val="18"/>
                <w:lang w:val="en-IE" w:eastAsia="en-GB"/>
              </w:rPr>
            </w:pPr>
            <w:r w:rsidRPr="001C0111">
              <w:rPr>
                <w:noProof/>
                <w:sz w:val="18"/>
                <w:lang w:val="en-IE" w:eastAsia="en-GB"/>
              </w:rPr>
              <w:t>Year</w:t>
            </w:r>
            <w:r w:rsidRPr="001C0111">
              <w:rPr>
                <w:noProof/>
                <w:sz w:val="22"/>
                <w:lang w:val="en-IE" w:eastAsia="en-GB"/>
              </w:rPr>
              <w:br/>
            </w:r>
            <w:r w:rsidRPr="001C0111">
              <w:rPr>
                <w:b/>
                <w:noProof/>
                <w:sz w:val="18"/>
                <w:lang w:val="en-IE" w:eastAsia="en-GB"/>
              </w:rPr>
              <w:t>N+1</w:t>
            </w:r>
          </w:p>
        </w:tc>
        <w:tc>
          <w:tcPr>
            <w:tcW w:w="1440" w:type="dxa"/>
            <w:gridSpan w:val="2"/>
            <w:vAlign w:val="center"/>
          </w:tcPr>
          <w:p w14:paraId="44A82C4D" w14:textId="77777777" w:rsidR="001C0111" w:rsidRPr="001C0111" w:rsidRDefault="001C0111" w:rsidP="001C0111">
            <w:pPr>
              <w:ind w:right="-29"/>
              <w:jc w:val="center"/>
              <w:rPr>
                <w:noProof/>
                <w:sz w:val="18"/>
                <w:szCs w:val="18"/>
                <w:lang w:val="en-IE" w:eastAsia="en-GB"/>
              </w:rPr>
            </w:pPr>
            <w:r w:rsidRPr="001C0111">
              <w:rPr>
                <w:noProof/>
                <w:sz w:val="18"/>
                <w:lang w:val="en-IE" w:eastAsia="en-GB"/>
              </w:rPr>
              <w:t>Year</w:t>
            </w:r>
            <w:r w:rsidRPr="001C0111">
              <w:rPr>
                <w:noProof/>
                <w:sz w:val="22"/>
                <w:lang w:val="en-IE" w:eastAsia="en-GB"/>
              </w:rPr>
              <w:br/>
            </w:r>
            <w:r w:rsidRPr="001C0111">
              <w:rPr>
                <w:b/>
                <w:noProof/>
                <w:sz w:val="18"/>
                <w:lang w:val="en-IE" w:eastAsia="en-GB"/>
              </w:rPr>
              <w:t>N+2</w:t>
            </w:r>
          </w:p>
        </w:tc>
        <w:tc>
          <w:tcPr>
            <w:tcW w:w="1620" w:type="dxa"/>
            <w:gridSpan w:val="3"/>
            <w:vAlign w:val="center"/>
          </w:tcPr>
          <w:p w14:paraId="02B86729" w14:textId="77777777" w:rsidR="001C0111" w:rsidRPr="001C0111" w:rsidRDefault="001C0111" w:rsidP="001C0111">
            <w:pPr>
              <w:ind w:right="-29"/>
              <w:jc w:val="center"/>
              <w:rPr>
                <w:noProof/>
                <w:sz w:val="18"/>
                <w:szCs w:val="18"/>
                <w:lang w:val="en-IE" w:eastAsia="en-GB"/>
              </w:rPr>
            </w:pPr>
            <w:r w:rsidRPr="001C0111">
              <w:rPr>
                <w:noProof/>
                <w:sz w:val="18"/>
                <w:lang w:val="en-IE" w:eastAsia="en-GB"/>
              </w:rPr>
              <w:t>Year</w:t>
            </w:r>
            <w:r w:rsidRPr="001C0111">
              <w:rPr>
                <w:noProof/>
                <w:sz w:val="22"/>
                <w:lang w:val="en-IE" w:eastAsia="en-GB"/>
              </w:rPr>
              <w:br/>
            </w:r>
            <w:r w:rsidRPr="001C0111">
              <w:rPr>
                <w:b/>
                <w:noProof/>
                <w:sz w:val="18"/>
                <w:lang w:val="en-IE" w:eastAsia="en-GB"/>
              </w:rPr>
              <w:t>N+3</w:t>
            </w:r>
          </w:p>
        </w:tc>
        <w:tc>
          <w:tcPr>
            <w:tcW w:w="3600" w:type="dxa"/>
            <w:gridSpan w:val="6"/>
            <w:vAlign w:val="center"/>
          </w:tcPr>
          <w:p w14:paraId="775A338F" w14:textId="77777777" w:rsidR="001C0111" w:rsidRPr="001C0111" w:rsidRDefault="001C0111" w:rsidP="001C0111">
            <w:pPr>
              <w:jc w:val="center"/>
              <w:rPr>
                <w:noProof/>
                <w:sz w:val="18"/>
                <w:szCs w:val="18"/>
                <w:lang w:val="en-IE" w:eastAsia="en-GB"/>
              </w:rPr>
            </w:pPr>
            <w:r w:rsidRPr="001C0111">
              <w:rPr>
                <w:noProof/>
                <w:sz w:val="18"/>
                <w:lang w:val="en-IE" w:eastAsia="en-GB"/>
              </w:rPr>
              <w:t>Enter as many years as necessary to show the duration of the impact (see point 1.6)</w:t>
            </w:r>
          </w:p>
        </w:tc>
        <w:tc>
          <w:tcPr>
            <w:tcW w:w="1620" w:type="dxa"/>
            <w:gridSpan w:val="2"/>
            <w:tcBorders>
              <w:left w:val="nil"/>
              <w:bottom w:val="nil"/>
            </w:tcBorders>
            <w:vAlign w:val="center"/>
          </w:tcPr>
          <w:p w14:paraId="5A78E079" w14:textId="77777777" w:rsidR="001C0111" w:rsidRPr="001C0111" w:rsidRDefault="001C0111" w:rsidP="001C0111">
            <w:pPr>
              <w:ind w:right="-29"/>
              <w:jc w:val="center"/>
              <w:rPr>
                <w:noProof/>
                <w:sz w:val="18"/>
                <w:szCs w:val="18"/>
                <w:lang w:val="en-IE" w:eastAsia="en-GB"/>
              </w:rPr>
            </w:pPr>
            <w:r w:rsidRPr="001C0111">
              <w:rPr>
                <w:b/>
                <w:noProof/>
                <w:sz w:val="18"/>
                <w:lang w:val="en-IE" w:eastAsia="en-GB"/>
              </w:rPr>
              <w:t>TOTAL</w:t>
            </w:r>
          </w:p>
        </w:tc>
      </w:tr>
      <w:tr w:rsidR="001C0111" w:rsidRPr="001C0111" w14:paraId="57332105" w14:textId="77777777" w:rsidTr="00EE4772">
        <w:trPr>
          <w:jc w:val="center"/>
        </w:trPr>
        <w:tc>
          <w:tcPr>
            <w:tcW w:w="1423" w:type="dxa"/>
            <w:vMerge/>
            <w:vAlign w:val="center"/>
          </w:tcPr>
          <w:p w14:paraId="766C21F7" w14:textId="77777777" w:rsidR="001C0111" w:rsidRPr="001C0111" w:rsidRDefault="001C0111" w:rsidP="001C0111">
            <w:pPr>
              <w:ind w:right="-29"/>
              <w:jc w:val="center"/>
              <w:rPr>
                <w:noProof/>
                <w:sz w:val="18"/>
                <w:szCs w:val="18"/>
                <w:lang w:val="en-IE" w:eastAsia="en-GB"/>
              </w:rPr>
            </w:pPr>
          </w:p>
        </w:tc>
        <w:tc>
          <w:tcPr>
            <w:tcW w:w="12185" w:type="dxa"/>
            <w:gridSpan w:val="19"/>
            <w:vAlign w:val="center"/>
          </w:tcPr>
          <w:p w14:paraId="2D6001D5" w14:textId="77777777" w:rsidR="001C0111" w:rsidRPr="001C0111" w:rsidRDefault="001C0111" w:rsidP="001C0111">
            <w:pPr>
              <w:spacing w:before="60" w:after="60"/>
              <w:ind w:right="-29"/>
              <w:jc w:val="center"/>
              <w:rPr>
                <w:noProof/>
                <w:sz w:val="18"/>
                <w:szCs w:val="18"/>
                <w:lang w:val="en-IE" w:eastAsia="en-GB"/>
              </w:rPr>
            </w:pPr>
            <w:r w:rsidRPr="001C0111">
              <w:rPr>
                <w:b/>
                <w:noProof/>
                <w:sz w:val="18"/>
                <w:lang w:val="en-IE" w:eastAsia="en-GB"/>
              </w:rPr>
              <w:t>OUTPUTS</w:t>
            </w:r>
          </w:p>
        </w:tc>
      </w:tr>
      <w:tr w:rsidR="001C0111" w:rsidRPr="001C0111" w14:paraId="5CF18B5D" w14:textId="77777777" w:rsidTr="00EE4772">
        <w:trPr>
          <w:cantSplit/>
          <w:trHeight w:val="1134"/>
          <w:jc w:val="center"/>
        </w:trPr>
        <w:tc>
          <w:tcPr>
            <w:tcW w:w="1423" w:type="dxa"/>
            <w:vMerge/>
            <w:vAlign w:val="center"/>
          </w:tcPr>
          <w:p w14:paraId="5F869215" w14:textId="77777777" w:rsidR="001C0111" w:rsidRPr="001C0111" w:rsidRDefault="001C0111" w:rsidP="001C0111">
            <w:pPr>
              <w:rPr>
                <w:noProof/>
                <w:sz w:val="18"/>
                <w:szCs w:val="18"/>
                <w:lang w:val="en-IE" w:eastAsia="en-GB"/>
              </w:rPr>
            </w:pPr>
          </w:p>
        </w:tc>
        <w:tc>
          <w:tcPr>
            <w:tcW w:w="720" w:type="dxa"/>
            <w:vAlign w:val="center"/>
          </w:tcPr>
          <w:p w14:paraId="489F2497" w14:textId="77777777" w:rsidR="001C0111" w:rsidRPr="001C0111" w:rsidRDefault="001C0111" w:rsidP="001C0111">
            <w:pPr>
              <w:jc w:val="center"/>
              <w:rPr>
                <w:noProof/>
                <w:sz w:val="18"/>
                <w:szCs w:val="18"/>
                <w:lang w:val="en-IE" w:eastAsia="en-GB"/>
              </w:rPr>
            </w:pPr>
            <w:r w:rsidRPr="001C0111">
              <w:rPr>
                <w:noProof/>
                <w:sz w:val="18"/>
                <w:lang w:val="en-IE" w:eastAsia="en-GB"/>
              </w:rPr>
              <w:t>Type</w:t>
            </w:r>
            <w:r w:rsidRPr="006C662D">
              <w:rPr>
                <w:rStyle w:val="FootnoteReference"/>
                <w:noProof/>
              </w:rPr>
              <w:footnoteReference w:id="72"/>
            </w:r>
          </w:p>
          <w:p w14:paraId="1C4BA374" w14:textId="77777777" w:rsidR="001C0111" w:rsidRPr="001C0111" w:rsidRDefault="001C0111" w:rsidP="001C0111">
            <w:pPr>
              <w:spacing w:before="0" w:after="0"/>
              <w:jc w:val="center"/>
              <w:rPr>
                <w:noProof/>
                <w:sz w:val="18"/>
                <w:szCs w:val="18"/>
                <w:lang w:val="en-IE" w:eastAsia="en-GB"/>
              </w:rPr>
            </w:pPr>
          </w:p>
        </w:tc>
        <w:tc>
          <w:tcPr>
            <w:tcW w:w="701" w:type="dxa"/>
            <w:vAlign w:val="center"/>
          </w:tcPr>
          <w:p w14:paraId="1CCA5084" w14:textId="77777777" w:rsidR="001C0111" w:rsidRPr="001C0111" w:rsidRDefault="001C0111" w:rsidP="001C0111">
            <w:pPr>
              <w:jc w:val="center"/>
              <w:rPr>
                <w:noProof/>
                <w:sz w:val="18"/>
                <w:szCs w:val="18"/>
                <w:lang w:val="en-IE" w:eastAsia="en-GB"/>
              </w:rPr>
            </w:pPr>
            <w:r w:rsidRPr="001C0111">
              <w:rPr>
                <w:noProof/>
                <w:sz w:val="18"/>
                <w:lang w:val="en-IE" w:eastAsia="en-GB"/>
              </w:rPr>
              <w:t>Average cost</w:t>
            </w:r>
          </w:p>
        </w:tc>
        <w:tc>
          <w:tcPr>
            <w:tcW w:w="504" w:type="dxa"/>
            <w:tcBorders>
              <w:left w:val="nil"/>
              <w:right w:val="dashSmallGap" w:sz="4" w:space="0" w:color="auto"/>
            </w:tcBorders>
            <w:shd w:val="pct10" w:color="auto" w:fill="auto"/>
            <w:textDirection w:val="btLr"/>
            <w:vAlign w:val="center"/>
          </w:tcPr>
          <w:p w14:paraId="187F9459" w14:textId="77777777" w:rsidR="001C0111" w:rsidRPr="001C0111" w:rsidRDefault="001C0111" w:rsidP="001C0111">
            <w:pPr>
              <w:ind w:left="113" w:right="113"/>
              <w:jc w:val="center"/>
              <w:rPr>
                <w:noProof/>
                <w:sz w:val="18"/>
                <w:szCs w:val="18"/>
                <w:lang w:val="en-IE" w:eastAsia="en-GB"/>
              </w:rPr>
            </w:pPr>
            <w:r w:rsidRPr="001C0111">
              <w:rPr>
                <w:noProof/>
                <w:sz w:val="18"/>
                <w:lang w:val="en-IE" w:eastAsia="en-GB"/>
              </w:rPr>
              <w:t>No</w:t>
            </w:r>
          </w:p>
        </w:tc>
        <w:tc>
          <w:tcPr>
            <w:tcW w:w="720" w:type="dxa"/>
            <w:tcBorders>
              <w:left w:val="dashSmallGap" w:sz="4" w:space="0" w:color="auto"/>
            </w:tcBorders>
            <w:shd w:val="pct10" w:color="auto" w:fill="auto"/>
            <w:vAlign w:val="center"/>
          </w:tcPr>
          <w:p w14:paraId="716ADD3E" w14:textId="77777777" w:rsidR="001C0111" w:rsidRPr="001C0111" w:rsidRDefault="001C0111" w:rsidP="001C0111">
            <w:pPr>
              <w:jc w:val="center"/>
              <w:rPr>
                <w:noProof/>
                <w:sz w:val="18"/>
                <w:szCs w:val="18"/>
                <w:lang w:val="en-IE" w:eastAsia="en-GB"/>
              </w:rPr>
            </w:pPr>
            <w:r w:rsidRPr="001C0111">
              <w:rPr>
                <w:noProof/>
                <w:sz w:val="18"/>
                <w:lang w:val="en-IE" w:eastAsia="en-GB"/>
              </w:rPr>
              <w:t>Cost</w:t>
            </w:r>
          </w:p>
        </w:tc>
        <w:tc>
          <w:tcPr>
            <w:tcW w:w="540" w:type="dxa"/>
            <w:tcBorders>
              <w:right w:val="dashSmallGap" w:sz="4" w:space="0" w:color="auto"/>
            </w:tcBorders>
            <w:shd w:val="pct10" w:color="auto" w:fill="auto"/>
            <w:textDirection w:val="btLr"/>
            <w:vAlign w:val="center"/>
          </w:tcPr>
          <w:p w14:paraId="2BB6753B" w14:textId="77777777" w:rsidR="001C0111" w:rsidRPr="001C0111" w:rsidRDefault="001C0111" w:rsidP="001C0111">
            <w:pPr>
              <w:ind w:left="113" w:right="113"/>
              <w:jc w:val="center"/>
              <w:rPr>
                <w:noProof/>
                <w:sz w:val="18"/>
                <w:szCs w:val="18"/>
                <w:lang w:val="en-IE" w:eastAsia="en-GB"/>
              </w:rPr>
            </w:pPr>
            <w:r w:rsidRPr="001C0111">
              <w:rPr>
                <w:noProof/>
                <w:sz w:val="18"/>
                <w:lang w:val="en-IE" w:eastAsia="en-GB"/>
              </w:rPr>
              <w:t>No</w:t>
            </w:r>
          </w:p>
        </w:tc>
        <w:tc>
          <w:tcPr>
            <w:tcW w:w="720" w:type="dxa"/>
            <w:tcBorders>
              <w:left w:val="dashSmallGap" w:sz="4" w:space="0" w:color="auto"/>
            </w:tcBorders>
            <w:shd w:val="pct10" w:color="auto" w:fill="auto"/>
            <w:vAlign w:val="center"/>
          </w:tcPr>
          <w:p w14:paraId="11BC2CE2" w14:textId="77777777" w:rsidR="001C0111" w:rsidRPr="001C0111" w:rsidRDefault="001C0111" w:rsidP="001C0111">
            <w:pPr>
              <w:jc w:val="center"/>
              <w:rPr>
                <w:noProof/>
                <w:sz w:val="18"/>
                <w:szCs w:val="18"/>
                <w:lang w:val="en-IE" w:eastAsia="en-GB"/>
              </w:rPr>
            </w:pPr>
            <w:r w:rsidRPr="001C0111">
              <w:rPr>
                <w:noProof/>
                <w:sz w:val="18"/>
                <w:lang w:val="en-IE" w:eastAsia="en-GB"/>
              </w:rPr>
              <w:t>Cost</w:t>
            </w:r>
          </w:p>
        </w:tc>
        <w:tc>
          <w:tcPr>
            <w:tcW w:w="720" w:type="dxa"/>
            <w:tcBorders>
              <w:right w:val="dashSmallGap" w:sz="4" w:space="0" w:color="auto"/>
            </w:tcBorders>
            <w:shd w:val="pct10" w:color="auto" w:fill="auto"/>
            <w:textDirection w:val="btLr"/>
            <w:vAlign w:val="center"/>
          </w:tcPr>
          <w:p w14:paraId="7B128269" w14:textId="77777777" w:rsidR="001C0111" w:rsidRPr="001C0111" w:rsidRDefault="001C0111" w:rsidP="001C0111">
            <w:pPr>
              <w:ind w:left="113" w:right="113"/>
              <w:jc w:val="center"/>
              <w:rPr>
                <w:noProof/>
                <w:sz w:val="18"/>
                <w:szCs w:val="18"/>
                <w:lang w:val="en-IE" w:eastAsia="en-GB"/>
              </w:rPr>
            </w:pPr>
            <w:r w:rsidRPr="001C0111">
              <w:rPr>
                <w:noProof/>
                <w:sz w:val="18"/>
                <w:lang w:val="en-IE" w:eastAsia="en-GB"/>
              </w:rPr>
              <w:t>No</w:t>
            </w:r>
          </w:p>
        </w:tc>
        <w:tc>
          <w:tcPr>
            <w:tcW w:w="720" w:type="dxa"/>
            <w:tcBorders>
              <w:left w:val="dashSmallGap" w:sz="4" w:space="0" w:color="auto"/>
            </w:tcBorders>
            <w:shd w:val="pct10" w:color="auto" w:fill="auto"/>
            <w:vAlign w:val="center"/>
          </w:tcPr>
          <w:p w14:paraId="1021EBB6" w14:textId="77777777" w:rsidR="001C0111" w:rsidRPr="001C0111" w:rsidRDefault="001C0111" w:rsidP="001C0111">
            <w:pPr>
              <w:jc w:val="center"/>
              <w:rPr>
                <w:noProof/>
                <w:sz w:val="18"/>
                <w:szCs w:val="18"/>
                <w:lang w:val="en-IE" w:eastAsia="en-GB"/>
              </w:rPr>
            </w:pPr>
            <w:r w:rsidRPr="001C0111">
              <w:rPr>
                <w:noProof/>
                <w:sz w:val="18"/>
                <w:lang w:val="en-IE" w:eastAsia="en-GB"/>
              </w:rPr>
              <w:t>Cost</w:t>
            </w:r>
          </w:p>
        </w:tc>
        <w:tc>
          <w:tcPr>
            <w:tcW w:w="900" w:type="dxa"/>
            <w:tcBorders>
              <w:right w:val="dashSmallGap" w:sz="4" w:space="0" w:color="auto"/>
            </w:tcBorders>
            <w:shd w:val="pct10" w:color="auto" w:fill="auto"/>
            <w:textDirection w:val="btLr"/>
            <w:vAlign w:val="center"/>
          </w:tcPr>
          <w:p w14:paraId="005C5873" w14:textId="77777777" w:rsidR="001C0111" w:rsidRPr="001C0111" w:rsidRDefault="001C0111" w:rsidP="001C0111">
            <w:pPr>
              <w:ind w:left="113" w:right="113"/>
              <w:jc w:val="center"/>
              <w:rPr>
                <w:noProof/>
                <w:sz w:val="18"/>
                <w:szCs w:val="18"/>
                <w:lang w:val="en-IE" w:eastAsia="en-GB"/>
              </w:rPr>
            </w:pPr>
            <w:r w:rsidRPr="001C0111">
              <w:rPr>
                <w:noProof/>
                <w:sz w:val="18"/>
                <w:lang w:val="en-IE" w:eastAsia="en-GB"/>
              </w:rPr>
              <w:t>No</w:t>
            </w:r>
          </w:p>
        </w:tc>
        <w:tc>
          <w:tcPr>
            <w:tcW w:w="720" w:type="dxa"/>
            <w:gridSpan w:val="2"/>
            <w:tcBorders>
              <w:left w:val="dashSmallGap" w:sz="4" w:space="0" w:color="auto"/>
            </w:tcBorders>
            <w:shd w:val="pct10" w:color="auto" w:fill="auto"/>
            <w:vAlign w:val="center"/>
          </w:tcPr>
          <w:p w14:paraId="71B9D126" w14:textId="77777777" w:rsidR="001C0111" w:rsidRPr="001C0111" w:rsidRDefault="001C0111" w:rsidP="001C0111">
            <w:pPr>
              <w:jc w:val="center"/>
              <w:rPr>
                <w:noProof/>
                <w:sz w:val="18"/>
                <w:szCs w:val="18"/>
                <w:lang w:val="en-IE" w:eastAsia="en-GB"/>
              </w:rPr>
            </w:pPr>
            <w:r w:rsidRPr="001C0111">
              <w:rPr>
                <w:noProof/>
                <w:sz w:val="18"/>
                <w:lang w:val="en-IE" w:eastAsia="en-GB"/>
              </w:rPr>
              <w:t>Cost</w:t>
            </w:r>
          </w:p>
        </w:tc>
        <w:tc>
          <w:tcPr>
            <w:tcW w:w="540" w:type="dxa"/>
            <w:tcBorders>
              <w:right w:val="dashSmallGap" w:sz="4" w:space="0" w:color="auto"/>
            </w:tcBorders>
            <w:shd w:val="pct10" w:color="auto" w:fill="auto"/>
            <w:textDirection w:val="btLr"/>
            <w:vAlign w:val="center"/>
          </w:tcPr>
          <w:p w14:paraId="00998071" w14:textId="77777777" w:rsidR="001C0111" w:rsidRPr="001C0111" w:rsidRDefault="001C0111" w:rsidP="001C0111">
            <w:pPr>
              <w:ind w:left="113" w:right="113"/>
              <w:jc w:val="center"/>
              <w:rPr>
                <w:noProof/>
                <w:sz w:val="18"/>
                <w:szCs w:val="18"/>
                <w:lang w:val="en-IE" w:eastAsia="en-GB"/>
              </w:rPr>
            </w:pPr>
            <w:r w:rsidRPr="001C0111">
              <w:rPr>
                <w:noProof/>
                <w:sz w:val="18"/>
                <w:lang w:val="en-IE" w:eastAsia="en-GB"/>
              </w:rPr>
              <w:t>No</w:t>
            </w:r>
          </w:p>
        </w:tc>
        <w:tc>
          <w:tcPr>
            <w:tcW w:w="648" w:type="dxa"/>
            <w:tcBorders>
              <w:left w:val="dashSmallGap" w:sz="4" w:space="0" w:color="auto"/>
            </w:tcBorders>
            <w:shd w:val="pct10" w:color="auto" w:fill="auto"/>
            <w:vAlign w:val="center"/>
          </w:tcPr>
          <w:p w14:paraId="1BE124A1" w14:textId="77777777" w:rsidR="001C0111" w:rsidRPr="001C0111" w:rsidRDefault="001C0111" w:rsidP="001C0111">
            <w:pPr>
              <w:jc w:val="center"/>
              <w:rPr>
                <w:noProof/>
                <w:sz w:val="18"/>
                <w:szCs w:val="18"/>
                <w:lang w:val="en-IE" w:eastAsia="en-GB"/>
              </w:rPr>
            </w:pPr>
            <w:r w:rsidRPr="001C0111">
              <w:rPr>
                <w:noProof/>
                <w:sz w:val="18"/>
                <w:lang w:val="en-IE" w:eastAsia="en-GB"/>
              </w:rPr>
              <w:t>Cost</w:t>
            </w:r>
          </w:p>
        </w:tc>
        <w:tc>
          <w:tcPr>
            <w:tcW w:w="432" w:type="dxa"/>
            <w:tcBorders>
              <w:right w:val="dashSmallGap" w:sz="4" w:space="0" w:color="auto"/>
            </w:tcBorders>
            <w:shd w:val="pct10" w:color="auto" w:fill="auto"/>
            <w:textDirection w:val="btLr"/>
            <w:vAlign w:val="center"/>
          </w:tcPr>
          <w:p w14:paraId="2746E319" w14:textId="77777777" w:rsidR="001C0111" w:rsidRPr="001C0111" w:rsidRDefault="001C0111" w:rsidP="001C0111">
            <w:pPr>
              <w:ind w:left="113" w:right="113"/>
              <w:jc w:val="center"/>
              <w:rPr>
                <w:noProof/>
                <w:sz w:val="18"/>
                <w:szCs w:val="18"/>
                <w:lang w:val="en-IE" w:eastAsia="en-GB"/>
              </w:rPr>
            </w:pPr>
            <w:r w:rsidRPr="001C0111">
              <w:rPr>
                <w:noProof/>
                <w:sz w:val="18"/>
                <w:lang w:val="en-IE" w:eastAsia="en-GB"/>
              </w:rPr>
              <w:t>No</w:t>
            </w:r>
          </w:p>
        </w:tc>
        <w:tc>
          <w:tcPr>
            <w:tcW w:w="720" w:type="dxa"/>
            <w:tcBorders>
              <w:left w:val="dashSmallGap" w:sz="4" w:space="0" w:color="auto"/>
            </w:tcBorders>
            <w:shd w:val="pct10" w:color="auto" w:fill="auto"/>
            <w:vAlign w:val="center"/>
          </w:tcPr>
          <w:p w14:paraId="6582F44F" w14:textId="77777777" w:rsidR="001C0111" w:rsidRPr="001C0111" w:rsidRDefault="001C0111" w:rsidP="001C0111">
            <w:pPr>
              <w:jc w:val="center"/>
              <w:rPr>
                <w:noProof/>
                <w:sz w:val="18"/>
                <w:szCs w:val="18"/>
                <w:lang w:val="en-IE" w:eastAsia="en-GB"/>
              </w:rPr>
            </w:pPr>
            <w:r w:rsidRPr="001C0111">
              <w:rPr>
                <w:noProof/>
                <w:sz w:val="18"/>
                <w:lang w:val="en-IE" w:eastAsia="en-GB"/>
              </w:rPr>
              <w:t>Cost</w:t>
            </w:r>
          </w:p>
        </w:tc>
        <w:tc>
          <w:tcPr>
            <w:tcW w:w="540" w:type="dxa"/>
            <w:tcBorders>
              <w:right w:val="dashSmallGap" w:sz="4" w:space="0" w:color="auto"/>
            </w:tcBorders>
            <w:shd w:val="pct10" w:color="auto" w:fill="auto"/>
            <w:textDirection w:val="btLr"/>
            <w:vAlign w:val="center"/>
          </w:tcPr>
          <w:p w14:paraId="6BE3620F" w14:textId="77777777" w:rsidR="001C0111" w:rsidRPr="001C0111" w:rsidRDefault="001C0111" w:rsidP="001C0111">
            <w:pPr>
              <w:ind w:left="113" w:right="113"/>
              <w:jc w:val="center"/>
              <w:rPr>
                <w:noProof/>
                <w:sz w:val="18"/>
                <w:szCs w:val="18"/>
                <w:lang w:val="en-IE" w:eastAsia="en-GB"/>
              </w:rPr>
            </w:pPr>
            <w:r w:rsidRPr="001C0111">
              <w:rPr>
                <w:noProof/>
                <w:sz w:val="18"/>
                <w:lang w:val="en-IE" w:eastAsia="en-GB"/>
              </w:rPr>
              <w:t>No</w:t>
            </w:r>
          </w:p>
        </w:tc>
        <w:tc>
          <w:tcPr>
            <w:tcW w:w="720" w:type="dxa"/>
            <w:tcBorders>
              <w:left w:val="dashSmallGap" w:sz="4" w:space="0" w:color="auto"/>
            </w:tcBorders>
            <w:shd w:val="pct10" w:color="auto" w:fill="auto"/>
            <w:vAlign w:val="center"/>
          </w:tcPr>
          <w:p w14:paraId="0D35DC6D" w14:textId="77777777" w:rsidR="001C0111" w:rsidRPr="001C0111" w:rsidRDefault="001C0111" w:rsidP="001C0111">
            <w:pPr>
              <w:jc w:val="center"/>
              <w:rPr>
                <w:noProof/>
                <w:sz w:val="18"/>
                <w:szCs w:val="18"/>
                <w:lang w:val="en-IE" w:eastAsia="en-GB"/>
              </w:rPr>
            </w:pPr>
            <w:r w:rsidRPr="001C0111">
              <w:rPr>
                <w:noProof/>
                <w:sz w:val="18"/>
                <w:lang w:val="en-IE" w:eastAsia="en-GB"/>
              </w:rPr>
              <w:t>Cost</w:t>
            </w:r>
          </w:p>
        </w:tc>
        <w:tc>
          <w:tcPr>
            <w:tcW w:w="720" w:type="dxa"/>
            <w:tcBorders>
              <w:right w:val="dashSmallGap" w:sz="4" w:space="0" w:color="auto"/>
            </w:tcBorders>
            <w:shd w:val="pct10" w:color="auto" w:fill="auto"/>
            <w:vAlign w:val="center"/>
          </w:tcPr>
          <w:p w14:paraId="6656088E" w14:textId="77777777" w:rsidR="001C0111" w:rsidRPr="001C0111" w:rsidRDefault="001C0111" w:rsidP="001C0111">
            <w:pPr>
              <w:jc w:val="center"/>
              <w:rPr>
                <w:noProof/>
                <w:sz w:val="18"/>
                <w:szCs w:val="18"/>
                <w:lang w:val="en-IE" w:eastAsia="en-GB"/>
              </w:rPr>
            </w:pPr>
            <w:r w:rsidRPr="001C0111">
              <w:rPr>
                <w:noProof/>
                <w:sz w:val="18"/>
                <w:lang w:val="en-IE" w:eastAsia="en-GB"/>
              </w:rPr>
              <w:t>Total No</w:t>
            </w:r>
          </w:p>
        </w:tc>
        <w:tc>
          <w:tcPr>
            <w:tcW w:w="900" w:type="dxa"/>
            <w:tcBorders>
              <w:left w:val="dashSmallGap" w:sz="4" w:space="0" w:color="auto"/>
            </w:tcBorders>
            <w:shd w:val="pct10" w:color="auto" w:fill="auto"/>
            <w:vAlign w:val="center"/>
          </w:tcPr>
          <w:p w14:paraId="0D9309F4" w14:textId="77777777" w:rsidR="001C0111" w:rsidRPr="001C0111" w:rsidRDefault="001C0111" w:rsidP="001C0111">
            <w:pPr>
              <w:jc w:val="center"/>
              <w:rPr>
                <w:noProof/>
                <w:sz w:val="18"/>
                <w:szCs w:val="18"/>
                <w:lang w:val="en-IE" w:eastAsia="en-GB"/>
              </w:rPr>
            </w:pPr>
            <w:r w:rsidRPr="001C0111">
              <w:rPr>
                <w:noProof/>
                <w:sz w:val="18"/>
                <w:lang w:val="en-IE" w:eastAsia="en-GB"/>
              </w:rPr>
              <w:t>Total cost</w:t>
            </w:r>
          </w:p>
        </w:tc>
      </w:tr>
      <w:tr w:rsidR="001C0111" w:rsidRPr="001C0111" w14:paraId="2A3647F6" w14:textId="77777777" w:rsidTr="00EE4772">
        <w:trPr>
          <w:jc w:val="center"/>
        </w:trPr>
        <w:tc>
          <w:tcPr>
            <w:tcW w:w="2844" w:type="dxa"/>
            <w:gridSpan w:val="3"/>
            <w:vAlign w:val="center"/>
          </w:tcPr>
          <w:p w14:paraId="397C51B1" w14:textId="77777777" w:rsidR="001C0111" w:rsidRPr="001C0111" w:rsidRDefault="001C0111" w:rsidP="001C0111">
            <w:pPr>
              <w:spacing w:before="60" w:after="60"/>
              <w:ind w:right="-29"/>
              <w:jc w:val="center"/>
              <w:rPr>
                <w:noProof/>
                <w:sz w:val="18"/>
                <w:szCs w:val="18"/>
                <w:lang w:val="en-IE" w:eastAsia="en-GB"/>
              </w:rPr>
            </w:pPr>
            <w:r w:rsidRPr="001C0111">
              <w:rPr>
                <w:noProof/>
                <w:sz w:val="18"/>
                <w:lang w:val="en-IE" w:eastAsia="en-GB"/>
              </w:rPr>
              <w:t>SPECIFIC OBJECTIVE No 1</w:t>
            </w:r>
            <w:r w:rsidRPr="006C662D">
              <w:rPr>
                <w:rStyle w:val="FootnoteReference"/>
                <w:noProof/>
              </w:rPr>
              <w:footnoteReference w:id="73"/>
            </w:r>
            <w:r w:rsidRPr="001C0111">
              <w:rPr>
                <w:noProof/>
                <w:sz w:val="18"/>
                <w:lang w:val="en-IE" w:eastAsia="en-GB"/>
              </w:rPr>
              <w:t>…</w:t>
            </w:r>
          </w:p>
        </w:tc>
        <w:tc>
          <w:tcPr>
            <w:tcW w:w="504" w:type="dxa"/>
            <w:tcBorders>
              <w:top w:val="nil"/>
              <w:left w:val="nil"/>
              <w:bottom w:val="nil"/>
              <w:right w:val="nil"/>
            </w:tcBorders>
          </w:tcPr>
          <w:p w14:paraId="7156C425"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28AFBF45" w14:textId="77777777" w:rsidR="001C0111" w:rsidRPr="001C0111" w:rsidRDefault="001C0111" w:rsidP="001C0111">
            <w:pPr>
              <w:spacing w:before="60" w:after="60"/>
              <w:ind w:right="-29"/>
              <w:jc w:val="center"/>
              <w:rPr>
                <w:noProof/>
                <w:sz w:val="18"/>
                <w:szCs w:val="18"/>
                <w:lang w:val="en-IE" w:eastAsia="en-GB"/>
              </w:rPr>
            </w:pPr>
          </w:p>
        </w:tc>
        <w:tc>
          <w:tcPr>
            <w:tcW w:w="540" w:type="dxa"/>
            <w:tcBorders>
              <w:top w:val="nil"/>
              <w:left w:val="nil"/>
              <w:bottom w:val="nil"/>
              <w:right w:val="nil"/>
            </w:tcBorders>
          </w:tcPr>
          <w:p w14:paraId="79498F68"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160F84B7"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6C6324BD"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328552B5" w14:textId="77777777" w:rsidR="001C0111" w:rsidRPr="001C0111" w:rsidRDefault="001C0111" w:rsidP="001C0111">
            <w:pPr>
              <w:spacing w:before="60" w:after="60"/>
              <w:ind w:right="-29"/>
              <w:jc w:val="center"/>
              <w:rPr>
                <w:noProof/>
                <w:sz w:val="18"/>
                <w:szCs w:val="18"/>
                <w:lang w:val="en-IE" w:eastAsia="en-GB"/>
              </w:rPr>
            </w:pPr>
          </w:p>
        </w:tc>
        <w:tc>
          <w:tcPr>
            <w:tcW w:w="900" w:type="dxa"/>
            <w:tcBorders>
              <w:top w:val="nil"/>
              <w:left w:val="nil"/>
              <w:bottom w:val="nil"/>
              <w:right w:val="nil"/>
            </w:tcBorders>
          </w:tcPr>
          <w:p w14:paraId="3FC2C0E5" w14:textId="77777777" w:rsidR="001C0111" w:rsidRPr="001C0111" w:rsidRDefault="001C0111" w:rsidP="001C0111">
            <w:pPr>
              <w:spacing w:before="60" w:after="60"/>
              <w:ind w:right="-29"/>
              <w:jc w:val="center"/>
              <w:rPr>
                <w:noProof/>
                <w:sz w:val="18"/>
                <w:szCs w:val="18"/>
                <w:lang w:val="en-IE" w:eastAsia="en-GB"/>
              </w:rPr>
            </w:pPr>
          </w:p>
        </w:tc>
        <w:tc>
          <w:tcPr>
            <w:tcW w:w="720" w:type="dxa"/>
            <w:gridSpan w:val="2"/>
            <w:tcBorders>
              <w:top w:val="nil"/>
              <w:left w:val="nil"/>
              <w:bottom w:val="nil"/>
              <w:right w:val="nil"/>
            </w:tcBorders>
          </w:tcPr>
          <w:p w14:paraId="2D6EF48C" w14:textId="77777777" w:rsidR="001C0111" w:rsidRPr="001C0111" w:rsidRDefault="001C0111" w:rsidP="001C0111">
            <w:pPr>
              <w:spacing w:before="60" w:after="60"/>
              <w:ind w:right="-29"/>
              <w:jc w:val="center"/>
              <w:rPr>
                <w:noProof/>
                <w:sz w:val="18"/>
                <w:szCs w:val="18"/>
                <w:lang w:val="en-IE" w:eastAsia="en-GB"/>
              </w:rPr>
            </w:pPr>
          </w:p>
        </w:tc>
        <w:tc>
          <w:tcPr>
            <w:tcW w:w="540" w:type="dxa"/>
            <w:tcBorders>
              <w:top w:val="nil"/>
              <w:left w:val="nil"/>
              <w:bottom w:val="nil"/>
              <w:right w:val="nil"/>
            </w:tcBorders>
          </w:tcPr>
          <w:p w14:paraId="14A87328" w14:textId="77777777" w:rsidR="001C0111" w:rsidRPr="001C0111" w:rsidRDefault="001C0111" w:rsidP="001C0111">
            <w:pPr>
              <w:spacing w:before="60" w:after="60"/>
              <w:ind w:right="-29"/>
              <w:jc w:val="center"/>
              <w:rPr>
                <w:noProof/>
                <w:sz w:val="18"/>
                <w:szCs w:val="18"/>
                <w:lang w:val="en-IE" w:eastAsia="en-GB"/>
              </w:rPr>
            </w:pPr>
          </w:p>
        </w:tc>
        <w:tc>
          <w:tcPr>
            <w:tcW w:w="648" w:type="dxa"/>
            <w:tcBorders>
              <w:top w:val="nil"/>
              <w:left w:val="nil"/>
              <w:bottom w:val="nil"/>
              <w:right w:val="nil"/>
            </w:tcBorders>
          </w:tcPr>
          <w:p w14:paraId="1D568646" w14:textId="77777777" w:rsidR="001C0111" w:rsidRPr="001C0111" w:rsidRDefault="001C0111" w:rsidP="001C0111">
            <w:pPr>
              <w:spacing w:before="60" w:after="60"/>
              <w:ind w:right="-29"/>
              <w:jc w:val="center"/>
              <w:rPr>
                <w:noProof/>
                <w:sz w:val="18"/>
                <w:szCs w:val="18"/>
                <w:lang w:val="en-IE" w:eastAsia="en-GB"/>
              </w:rPr>
            </w:pPr>
          </w:p>
        </w:tc>
        <w:tc>
          <w:tcPr>
            <w:tcW w:w="432" w:type="dxa"/>
            <w:tcBorders>
              <w:top w:val="nil"/>
              <w:left w:val="nil"/>
              <w:bottom w:val="nil"/>
              <w:right w:val="nil"/>
            </w:tcBorders>
          </w:tcPr>
          <w:p w14:paraId="1B69DC83"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473D4017" w14:textId="77777777" w:rsidR="001C0111" w:rsidRPr="001C0111" w:rsidRDefault="001C0111" w:rsidP="001C0111">
            <w:pPr>
              <w:spacing w:before="60" w:after="60"/>
              <w:ind w:right="-29"/>
              <w:jc w:val="center"/>
              <w:rPr>
                <w:noProof/>
                <w:sz w:val="18"/>
                <w:szCs w:val="18"/>
                <w:lang w:val="en-IE" w:eastAsia="en-GB"/>
              </w:rPr>
            </w:pPr>
          </w:p>
        </w:tc>
        <w:tc>
          <w:tcPr>
            <w:tcW w:w="540" w:type="dxa"/>
            <w:tcBorders>
              <w:top w:val="nil"/>
              <w:left w:val="nil"/>
              <w:bottom w:val="nil"/>
              <w:right w:val="nil"/>
            </w:tcBorders>
          </w:tcPr>
          <w:p w14:paraId="13D09C88"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4511CFA5"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5757B64C" w14:textId="77777777" w:rsidR="001C0111" w:rsidRPr="001C0111" w:rsidRDefault="001C0111" w:rsidP="001C0111">
            <w:pPr>
              <w:spacing w:before="60" w:after="60"/>
              <w:ind w:right="-29"/>
              <w:jc w:val="center"/>
              <w:rPr>
                <w:noProof/>
                <w:sz w:val="18"/>
                <w:szCs w:val="18"/>
                <w:lang w:val="en-IE" w:eastAsia="en-GB"/>
              </w:rPr>
            </w:pPr>
          </w:p>
        </w:tc>
        <w:tc>
          <w:tcPr>
            <w:tcW w:w="900" w:type="dxa"/>
            <w:tcBorders>
              <w:top w:val="nil"/>
              <w:left w:val="nil"/>
              <w:bottom w:val="nil"/>
              <w:right w:val="nil"/>
            </w:tcBorders>
          </w:tcPr>
          <w:p w14:paraId="5AF954C7" w14:textId="77777777" w:rsidR="001C0111" w:rsidRPr="001C0111" w:rsidRDefault="001C0111" w:rsidP="001C0111">
            <w:pPr>
              <w:spacing w:before="60" w:after="60"/>
              <w:ind w:right="-29"/>
              <w:jc w:val="center"/>
              <w:rPr>
                <w:noProof/>
                <w:sz w:val="18"/>
                <w:szCs w:val="18"/>
                <w:lang w:val="en-IE" w:eastAsia="en-GB"/>
              </w:rPr>
            </w:pPr>
          </w:p>
        </w:tc>
      </w:tr>
      <w:tr w:rsidR="001C0111" w:rsidRPr="001C0111" w14:paraId="5471950D" w14:textId="77777777" w:rsidTr="00EE4772">
        <w:trPr>
          <w:trHeight w:hRule="exact" w:val="369"/>
          <w:jc w:val="center"/>
        </w:trPr>
        <w:tc>
          <w:tcPr>
            <w:tcW w:w="1423" w:type="dxa"/>
          </w:tcPr>
          <w:p w14:paraId="7F7370E5" w14:textId="77777777" w:rsidR="001C0111" w:rsidRPr="001C0111" w:rsidRDefault="001C0111" w:rsidP="001C0111">
            <w:pPr>
              <w:ind w:right="-29"/>
              <w:jc w:val="center"/>
              <w:rPr>
                <w:noProof/>
                <w:sz w:val="18"/>
                <w:szCs w:val="18"/>
                <w:lang w:val="en-IE" w:eastAsia="en-GB"/>
              </w:rPr>
            </w:pPr>
            <w:r w:rsidRPr="001C0111">
              <w:rPr>
                <w:noProof/>
                <w:sz w:val="18"/>
                <w:lang w:val="en-IE" w:eastAsia="en-GB"/>
              </w:rPr>
              <w:t>- Output</w:t>
            </w:r>
          </w:p>
        </w:tc>
        <w:tc>
          <w:tcPr>
            <w:tcW w:w="720" w:type="dxa"/>
          </w:tcPr>
          <w:p w14:paraId="0ABEFACE" w14:textId="77777777" w:rsidR="001C0111" w:rsidRPr="001C0111" w:rsidRDefault="001C0111" w:rsidP="001C0111">
            <w:pPr>
              <w:ind w:right="-29"/>
              <w:jc w:val="center"/>
              <w:rPr>
                <w:noProof/>
                <w:sz w:val="18"/>
                <w:szCs w:val="18"/>
                <w:lang w:val="en-IE" w:eastAsia="en-GB"/>
              </w:rPr>
            </w:pPr>
          </w:p>
        </w:tc>
        <w:tc>
          <w:tcPr>
            <w:tcW w:w="701" w:type="dxa"/>
          </w:tcPr>
          <w:p w14:paraId="5BA85CD1" w14:textId="77777777" w:rsidR="001C0111" w:rsidRPr="001C0111" w:rsidRDefault="001C0111" w:rsidP="001C0111">
            <w:pPr>
              <w:ind w:right="-29"/>
              <w:jc w:val="center"/>
              <w:rPr>
                <w:noProof/>
                <w:sz w:val="18"/>
                <w:szCs w:val="18"/>
                <w:lang w:val="en-IE" w:eastAsia="en-GB"/>
              </w:rPr>
            </w:pPr>
          </w:p>
        </w:tc>
        <w:tc>
          <w:tcPr>
            <w:tcW w:w="504" w:type="dxa"/>
            <w:tcBorders>
              <w:right w:val="dashSmallGap" w:sz="4" w:space="0" w:color="auto"/>
            </w:tcBorders>
          </w:tcPr>
          <w:p w14:paraId="64FDAFAA" w14:textId="77777777" w:rsidR="001C0111" w:rsidRPr="001C0111" w:rsidRDefault="001C0111" w:rsidP="001C0111">
            <w:pPr>
              <w:ind w:right="-29"/>
              <w:jc w:val="center"/>
              <w:rPr>
                <w:noProof/>
                <w:sz w:val="18"/>
                <w:szCs w:val="18"/>
                <w:lang w:val="en-IE" w:eastAsia="en-GB"/>
              </w:rPr>
            </w:pPr>
          </w:p>
        </w:tc>
        <w:tc>
          <w:tcPr>
            <w:tcW w:w="720" w:type="dxa"/>
            <w:tcBorders>
              <w:left w:val="dashSmallGap" w:sz="4" w:space="0" w:color="auto"/>
            </w:tcBorders>
          </w:tcPr>
          <w:p w14:paraId="7349029E" w14:textId="77777777" w:rsidR="001C0111" w:rsidRPr="001C0111" w:rsidRDefault="001C0111" w:rsidP="001C0111">
            <w:pPr>
              <w:ind w:right="-29"/>
              <w:jc w:val="center"/>
              <w:rPr>
                <w:noProof/>
                <w:sz w:val="18"/>
                <w:szCs w:val="18"/>
                <w:lang w:val="en-IE" w:eastAsia="en-GB"/>
              </w:rPr>
            </w:pPr>
          </w:p>
        </w:tc>
        <w:tc>
          <w:tcPr>
            <w:tcW w:w="540" w:type="dxa"/>
            <w:tcBorders>
              <w:right w:val="dashSmallGap" w:sz="4" w:space="0" w:color="auto"/>
            </w:tcBorders>
          </w:tcPr>
          <w:p w14:paraId="52F65CE3" w14:textId="77777777" w:rsidR="001C0111" w:rsidRPr="001C0111" w:rsidRDefault="001C0111" w:rsidP="001C0111">
            <w:pPr>
              <w:ind w:right="-29"/>
              <w:jc w:val="center"/>
              <w:rPr>
                <w:noProof/>
                <w:sz w:val="18"/>
                <w:szCs w:val="18"/>
                <w:lang w:val="en-IE" w:eastAsia="en-GB"/>
              </w:rPr>
            </w:pPr>
          </w:p>
        </w:tc>
        <w:tc>
          <w:tcPr>
            <w:tcW w:w="720" w:type="dxa"/>
            <w:tcBorders>
              <w:left w:val="dashSmallGap" w:sz="4" w:space="0" w:color="auto"/>
            </w:tcBorders>
          </w:tcPr>
          <w:p w14:paraId="5056431C" w14:textId="77777777" w:rsidR="001C0111" w:rsidRPr="001C0111" w:rsidRDefault="001C0111" w:rsidP="001C0111">
            <w:pPr>
              <w:ind w:right="-29"/>
              <w:jc w:val="center"/>
              <w:rPr>
                <w:noProof/>
                <w:sz w:val="18"/>
                <w:szCs w:val="18"/>
                <w:lang w:val="en-IE" w:eastAsia="en-GB"/>
              </w:rPr>
            </w:pPr>
          </w:p>
        </w:tc>
        <w:tc>
          <w:tcPr>
            <w:tcW w:w="720" w:type="dxa"/>
            <w:tcBorders>
              <w:right w:val="dashSmallGap" w:sz="4" w:space="0" w:color="auto"/>
            </w:tcBorders>
          </w:tcPr>
          <w:p w14:paraId="1859706D" w14:textId="77777777" w:rsidR="001C0111" w:rsidRPr="001C0111" w:rsidRDefault="001C0111" w:rsidP="001C0111">
            <w:pPr>
              <w:ind w:right="-29"/>
              <w:jc w:val="center"/>
              <w:rPr>
                <w:noProof/>
                <w:sz w:val="18"/>
                <w:szCs w:val="18"/>
                <w:lang w:val="en-IE" w:eastAsia="en-GB"/>
              </w:rPr>
            </w:pPr>
          </w:p>
        </w:tc>
        <w:tc>
          <w:tcPr>
            <w:tcW w:w="720" w:type="dxa"/>
            <w:tcBorders>
              <w:left w:val="dashSmallGap" w:sz="4" w:space="0" w:color="auto"/>
            </w:tcBorders>
          </w:tcPr>
          <w:p w14:paraId="3A3AC49D" w14:textId="77777777" w:rsidR="001C0111" w:rsidRPr="001C0111" w:rsidRDefault="001C0111" w:rsidP="001C0111">
            <w:pPr>
              <w:ind w:right="-29"/>
              <w:jc w:val="center"/>
              <w:rPr>
                <w:noProof/>
                <w:sz w:val="18"/>
                <w:szCs w:val="18"/>
                <w:lang w:val="en-IE" w:eastAsia="en-GB"/>
              </w:rPr>
            </w:pPr>
          </w:p>
        </w:tc>
        <w:tc>
          <w:tcPr>
            <w:tcW w:w="900" w:type="dxa"/>
            <w:tcBorders>
              <w:right w:val="dashSmallGap" w:sz="4" w:space="0" w:color="auto"/>
            </w:tcBorders>
          </w:tcPr>
          <w:p w14:paraId="7B958BA8" w14:textId="77777777" w:rsidR="001C0111" w:rsidRPr="001C0111" w:rsidRDefault="001C0111" w:rsidP="001C0111">
            <w:pPr>
              <w:ind w:right="-29"/>
              <w:jc w:val="center"/>
              <w:rPr>
                <w:noProof/>
                <w:sz w:val="18"/>
                <w:szCs w:val="18"/>
                <w:lang w:val="en-IE" w:eastAsia="en-GB"/>
              </w:rPr>
            </w:pPr>
          </w:p>
        </w:tc>
        <w:tc>
          <w:tcPr>
            <w:tcW w:w="720" w:type="dxa"/>
            <w:gridSpan w:val="2"/>
            <w:tcBorders>
              <w:left w:val="dashSmallGap" w:sz="4" w:space="0" w:color="auto"/>
            </w:tcBorders>
          </w:tcPr>
          <w:p w14:paraId="331B96F4" w14:textId="77777777" w:rsidR="001C0111" w:rsidRPr="001C0111" w:rsidRDefault="001C0111" w:rsidP="001C0111">
            <w:pPr>
              <w:ind w:right="-29"/>
              <w:jc w:val="center"/>
              <w:rPr>
                <w:noProof/>
                <w:sz w:val="18"/>
                <w:szCs w:val="18"/>
                <w:lang w:val="en-IE" w:eastAsia="en-GB"/>
              </w:rPr>
            </w:pPr>
          </w:p>
        </w:tc>
        <w:tc>
          <w:tcPr>
            <w:tcW w:w="540" w:type="dxa"/>
            <w:tcBorders>
              <w:right w:val="dashSmallGap" w:sz="4" w:space="0" w:color="auto"/>
            </w:tcBorders>
          </w:tcPr>
          <w:p w14:paraId="447AF046" w14:textId="77777777" w:rsidR="001C0111" w:rsidRPr="001C0111" w:rsidRDefault="001C0111" w:rsidP="001C0111">
            <w:pPr>
              <w:ind w:right="-29"/>
              <w:jc w:val="center"/>
              <w:rPr>
                <w:noProof/>
                <w:sz w:val="18"/>
                <w:szCs w:val="18"/>
                <w:lang w:val="en-IE" w:eastAsia="en-GB"/>
              </w:rPr>
            </w:pPr>
          </w:p>
        </w:tc>
        <w:tc>
          <w:tcPr>
            <w:tcW w:w="648" w:type="dxa"/>
            <w:tcBorders>
              <w:left w:val="dashSmallGap" w:sz="4" w:space="0" w:color="auto"/>
            </w:tcBorders>
          </w:tcPr>
          <w:p w14:paraId="3B607AE8" w14:textId="77777777" w:rsidR="001C0111" w:rsidRPr="001C0111" w:rsidRDefault="001C0111" w:rsidP="001C0111">
            <w:pPr>
              <w:ind w:right="-29"/>
              <w:jc w:val="center"/>
              <w:rPr>
                <w:noProof/>
                <w:sz w:val="18"/>
                <w:szCs w:val="18"/>
                <w:lang w:val="en-IE" w:eastAsia="en-GB"/>
              </w:rPr>
            </w:pPr>
          </w:p>
        </w:tc>
        <w:tc>
          <w:tcPr>
            <w:tcW w:w="432" w:type="dxa"/>
            <w:tcBorders>
              <w:right w:val="dashSmallGap" w:sz="4" w:space="0" w:color="auto"/>
            </w:tcBorders>
          </w:tcPr>
          <w:p w14:paraId="7F57E913" w14:textId="77777777" w:rsidR="001C0111" w:rsidRPr="001C0111" w:rsidRDefault="001C0111" w:rsidP="001C0111">
            <w:pPr>
              <w:ind w:right="-29"/>
              <w:jc w:val="center"/>
              <w:rPr>
                <w:noProof/>
                <w:sz w:val="18"/>
                <w:szCs w:val="18"/>
                <w:lang w:val="en-IE" w:eastAsia="en-GB"/>
              </w:rPr>
            </w:pPr>
          </w:p>
        </w:tc>
        <w:tc>
          <w:tcPr>
            <w:tcW w:w="720" w:type="dxa"/>
            <w:tcBorders>
              <w:left w:val="dashSmallGap" w:sz="4" w:space="0" w:color="auto"/>
            </w:tcBorders>
          </w:tcPr>
          <w:p w14:paraId="6A957317" w14:textId="77777777" w:rsidR="001C0111" w:rsidRPr="001C0111" w:rsidRDefault="001C0111" w:rsidP="001C0111">
            <w:pPr>
              <w:ind w:right="-29"/>
              <w:jc w:val="center"/>
              <w:rPr>
                <w:noProof/>
                <w:sz w:val="18"/>
                <w:szCs w:val="18"/>
                <w:lang w:val="en-IE" w:eastAsia="en-GB"/>
              </w:rPr>
            </w:pPr>
          </w:p>
        </w:tc>
        <w:tc>
          <w:tcPr>
            <w:tcW w:w="540" w:type="dxa"/>
            <w:tcBorders>
              <w:right w:val="dashSmallGap" w:sz="4" w:space="0" w:color="auto"/>
            </w:tcBorders>
          </w:tcPr>
          <w:p w14:paraId="026D167F" w14:textId="77777777" w:rsidR="001C0111" w:rsidRPr="001C0111" w:rsidRDefault="001C0111" w:rsidP="001C0111">
            <w:pPr>
              <w:ind w:right="-29"/>
              <w:jc w:val="center"/>
              <w:rPr>
                <w:noProof/>
                <w:sz w:val="18"/>
                <w:szCs w:val="18"/>
                <w:lang w:val="en-IE" w:eastAsia="en-GB"/>
              </w:rPr>
            </w:pPr>
          </w:p>
        </w:tc>
        <w:tc>
          <w:tcPr>
            <w:tcW w:w="720" w:type="dxa"/>
            <w:tcBorders>
              <w:left w:val="dashSmallGap" w:sz="4" w:space="0" w:color="auto"/>
            </w:tcBorders>
          </w:tcPr>
          <w:p w14:paraId="2E04B126" w14:textId="77777777" w:rsidR="001C0111" w:rsidRPr="001C0111" w:rsidRDefault="001C0111" w:rsidP="001C0111">
            <w:pPr>
              <w:ind w:right="-29"/>
              <w:jc w:val="center"/>
              <w:rPr>
                <w:noProof/>
                <w:sz w:val="18"/>
                <w:szCs w:val="18"/>
                <w:lang w:val="en-IE" w:eastAsia="en-GB"/>
              </w:rPr>
            </w:pPr>
          </w:p>
        </w:tc>
        <w:tc>
          <w:tcPr>
            <w:tcW w:w="720" w:type="dxa"/>
          </w:tcPr>
          <w:p w14:paraId="050CBC54" w14:textId="77777777" w:rsidR="001C0111" w:rsidRPr="001C0111" w:rsidRDefault="001C0111" w:rsidP="001C0111">
            <w:pPr>
              <w:ind w:right="-29"/>
              <w:jc w:val="center"/>
              <w:rPr>
                <w:noProof/>
                <w:sz w:val="18"/>
                <w:szCs w:val="18"/>
                <w:lang w:val="en-IE" w:eastAsia="en-GB"/>
              </w:rPr>
            </w:pPr>
          </w:p>
        </w:tc>
        <w:tc>
          <w:tcPr>
            <w:tcW w:w="900" w:type="dxa"/>
          </w:tcPr>
          <w:p w14:paraId="54A18B80" w14:textId="77777777" w:rsidR="001C0111" w:rsidRPr="001C0111" w:rsidRDefault="001C0111" w:rsidP="001C0111">
            <w:pPr>
              <w:ind w:right="-29"/>
              <w:jc w:val="center"/>
              <w:rPr>
                <w:noProof/>
                <w:sz w:val="18"/>
                <w:szCs w:val="18"/>
                <w:lang w:val="en-IE" w:eastAsia="en-GB"/>
              </w:rPr>
            </w:pPr>
          </w:p>
        </w:tc>
      </w:tr>
      <w:tr w:rsidR="001C0111" w:rsidRPr="001C0111" w14:paraId="2F103BF5" w14:textId="77777777" w:rsidTr="00EE4772">
        <w:trPr>
          <w:trHeight w:hRule="exact" w:val="369"/>
          <w:jc w:val="center"/>
        </w:trPr>
        <w:tc>
          <w:tcPr>
            <w:tcW w:w="1423" w:type="dxa"/>
          </w:tcPr>
          <w:p w14:paraId="246FEE9D" w14:textId="77777777" w:rsidR="001C0111" w:rsidRPr="001C0111" w:rsidRDefault="001C0111" w:rsidP="001C0111">
            <w:pPr>
              <w:ind w:right="-29"/>
              <w:jc w:val="center"/>
              <w:rPr>
                <w:noProof/>
                <w:sz w:val="18"/>
                <w:szCs w:val="18"/>
                <w:lang w:val="en-IE" w:eastAsia="en-GB"/>
              </w:rPr>
            </w:pPr>
            <w:r w:rsidRPr="001C0111">
              <w:rPr>
                <w:noProof/>
                <w:sz w:val="18"/>
                <w:lang w:val="en-IE" w:eastAsia="en-GB"/>
              </w:rPr>
              <w:t>- Output</w:t>
            </w:r>
          </w:p>
        </w:tc>
        <w:tc>
          <w:tcPr>
            <w:tcW w:w="720" w:type="dxa"/>
          </w:tcPr>
          <w:p w14:paraId="7521BD2C" w14:textId="77777777" w:rsidR="001C0111" w:rsidRPr="001C0111" w:rsidRDefault="001C0111" w:rsidP="001C0111">
            <w:pPr>
              <w:ind w:right="-29"/>
              <w:jc w:val="center"/>
              <w:rPr>
                <w:noProof/>
                <w:sz w:val="18"/>
                <w:szCs w:val="18"/>
                <w:lang w:val="en-IE" w:eastAsia="en-GB"/>
              </w:rPr>
            </w:pPr>
          </w:p>
        </w:tc>
        <w:tc>
          <w:tcPr>
            <w:tcW w:w="701" w:type="dxa"/>
          </w:tcPr>
          <w:p w14:paraId="2A632D68" w14:textId="77777777" w:rsidR="001C0111" w:rsidRPr="001C0111" w:rsidRDefault="001C0111" w:rsidP="001C0111">
            <w:pPr>
              <w:ind w:right="-29"/>
              <w:jc w:val="center"/>
              <w:rPr>
                <w:noProof/>
                <w:sz w:val="18"/>
                <w:szCs w:val="18"/>
                <w:lang w:val="en-IE" w:eastAsia="en-GB"/>
              </w:rPr>
            </w:pPr>
          </w:p>
        </w:tc>
        <w:tc>
          <w:tcPr>
            <w:tcW w:w="504" w:type="dxa"/>
            <w:tcBorders>
              <w:right w:val="dashSmallGap" w:sz="4" w:space="0" w:color="auto"/>
            </w:tcBorders>
          </w:tcPr>
          <w:p w14:paraId="39D1C254" w14:textId="77777777" w:rsidR="001C0111" w:rsidRPr="001C0111" w:rsidRDefault="001C0111" w:rsidP="001C0111">
            <w:pPr>
              <w:ind w:right="-29"/>
              <w:jc w:val="center"/>
              <w:rPr>
                <w:noProof/>
                <w:sz w:val="18"/>
                <w:szCs w:val="18"/>
                <w:lang w:val="en-IE" w:eastAsia="en-GB"/>
              </w:rPr>
            </w:pPr>
          </w:p>
        </w:tc>
        <w:tc>
          <w:tcPr>
            <w:tcW w:w="720" w:type="dxa"/>
            <w:tcBorders>
              <w:left w:val="dashSmallGap" w:sz="4" w:space="0" w:color="auto"/>
            </w:tcBorders>
          </w:tcPr>
          <w:p w14:paraId="3F18D84C" w14:textId="77777777" w:rsidR="001C0111" w:rsidRPr="001C0111" w:rsidRDefault="001C0111" w:rsidP="001C0111">
            <w:pPr>
              <w:ind w:right="-29"/>
              <w:jc w:val="center"/>
              <w:rPr>
                <w:noProof/>
                <w:sz w:val="18"/>
                <w:szCs w:val="18"/>
                <w:lang w:val="en-IE" w:eastAsia="en-GB"/>
              </w:rPr>
            </w:pPr>
          </w:p>
        </w:tc>
        <w:tc>
          <w:tcPr>
            <w:tcW w:w="540" w:type="dxa"/>
            <w:tcBorders>
              <w:right w:val="dashSmallGap" w:sz="4" w:space="0" w:color="auto"/>
            </w:tcBorders>
          </w:tcPr>
          <w:p w14:paraId="372EB5E6" w14:textId="77777777" w:rsidR="001C0111" w:rsidRPr="001C0111" w:rsidRDefault="001C0111" w:rsidP="001C0111">
            <w:pPr>
              <w:ind w:right="-29"/>
              <w:jc w:val="center"/>
              <w:rPr>
                <w:noProof/>
                <w:sz w:val="18"/>
                <w:szCs w:val="18"/>
                <w:lang w:val="en-IE" w:eastAsia="en-GB"/>
              </w:rPr>
            </w:pPr>
          </w:p>
        </w:tc>
        <w:tc>
          <w:tcPr>
            <w:tcW w:w="720" w:type="dxa"/>
            <w:tcBorders>
              <w:left w:val="dashSmallGap" w:sz="4" w:space="0" w:color="auto"/>
            </w:tcBorders>
          </w:tcPr>
          <w:p w14:paraId="16050DAD" w14:textId="77777777" w:rsidR="001C0111" w:rsidRPr="001C0111" w:rsidRDefault="001C0111" w:rsidP="001C0111">
            <w:pPr>
              <w:ind w:right="-29"/>
              <w:jc w:val="center"/>
              <w:rPr>
                <w:noProof/>
                <w:sz w:val="18"/>
                <w:szCs w:val="18"/>
                <w:lang w:val="en-IE" w:eastAsia="en-GB"/>
              </w:rPr>
            </w:pPr>
          </w:p>
        </w:tc>
        <w:tc>
          <w:tcPr>
            <w:tcW w:w="720" w:type="dxa"/>
            <w:tcBorders>
              <w:right w:val="dashSmallGap" w:sz="4" w:space="0" w:color="auto"/>
            </w:tcBorders>
          </w:tcPr>
          <w:p w14:paraId="5AEA6682" w14:textId="77777777" w:rsidR="001C0111" w:rsidRPr="001C0111" w:rsidRDefault="001C0111" w:rsidP="001C0111">
            <w:pPr>
              <w:ind w:right="-29"/>
              <w:jc w:val="center"/>
              <w:rPr>
                <w:noProof/>
                <w:sz w:val="18"/>
                <w:szCs w:val="18"/>
                <w:lang w:val="en-IE" w:eastAsia="en-GB"/>
              </w:rPr>
            </w:pPr>
          </w:p>
        </w:tc>
        <w:tc>
          <w:tcPr>
            <w:tcW w:w="720" w:type="dxa"/>
            <w:tcBorders>
              <w:left w:val="dashSmallGap" w:sz="4" w:space="0" w:color="auto"/>
            </w:tcBorders>
          </w:tcPr>
          <w:p w14:paraId="6D6B800F" w14:textId="77777777" w:rsidR="001C0111" w:rsidRPr="001C0111" w:rsidRDefault="001C0111" w:rsidP="001C0111">
            <w:pPr>
              <w:ind w:right="-29"/>
              <w:jc w:val="center"/>
              <w:rPr>
                <w:noProof/>
                <w:sz w:val="18"/>
                <w:szCs w:val="18"/>
                <w:lang w:val="en-IE" w:eastAsia="en-GB"/>
              </w:rPr>
            </w:pPr>
          </w:p>
        </w:tc>
        <w:tc>
          <w:tcPr>
            <w:tcW w:w="900" w:type="dxa"/>
            <w:tcBorders>
              <w:right w:val="dashSmallGap" w:sz="4" w:space="0" w:color="auto"/>
            </w:tcBorders>
          </w:tcPr>
          <w:p w14:paraId="501CC2CC" w14:textId="77777777" w:rsidR="001C0111" w:rsidRPr="001C0111" w:rsidRDefault="001C0111" w:rsidP="001C0111">
            <w:pPr>
              <w:ind w:right="-29"/>
              <w:jc w:val="center"/>
              <w:rPr>
                <w:noProof/>
                <w:sz w:val="18"/>
                <w:szCs w:val="18"/>
                <w:lang w:val="en-IE" w:eastAsia="en-GB"/>
              </w:rPr>
            </w:pPr>
          </w:p>
        </w:tc>
        <w:tc>
          <w:tcPr>
            <w:tcW w:w="720" w:type="dxa"/>
            <w:gridSpan w:val="2"/>
            <w:tcBorders>
              <w:left w:val="dashSmallGap" w:sz="4" w:space="0" w:color="auto"/>
            </w:tcBorders>
          </w:tcPr>
          <w:p w14:paraId="7A69F5FB" w14:textId="77777777" w:rsidR="001C0111" w:rsidRPr="001C0111" w:rsidRDefault="001C0111" w:rsidP="001C0111">
            <w:pPr>
              <w:ind w:right="-29"/>
              <w:jc w:val="center"/>
              <w:rPr>
                <w:noProof/>
                <w:sz w:val="18"/>
                <w:szCs w:val="18"/>
                <w:lang w:val="en-IE" w:eastAsia="en-GB"/>
              </w:rPr>
            </w:pPr>
          </w:p>
        </w:tc>
        <w:tc>
          <w:tcPr>
            <w:tcW w:w="540" w:type="dxa"/>
            <w:tcBorders>
              <w:right w:val="dashSmallGap" w:sz="4" w:space="0" w:color="auto"/>
            </w:tcBorders>
          </w:tcPr>
          <w:p w14:paraId="4E0E9146" w14:textId="77777777" w:rsidR="001C0111" w:rsidRPr="001C0111" w:rsidRDefault="001C0111" w:rsidP="001C0111">
            <w:pPr>
              <w:ind w:right="-29"/>
              <w:jc w:val="center"/>
              <w:rPr>
                <w:noProof/>
                <w:sz w:val="18"/>
                <w:szCs w:val="18"/>
                <w:lang w:val="en-IE" w:eastAsia="en-GB"/>
              </w:rPr>
            </w:pPr>
          </w:p>
        </w:tc>
        <w:tc>
          <w:tcPr>
            <w:tcW w:w="648" w:type="dxa"/>
            <w:tcBorders>
              <w:left w:val="dashSmallGap" w:sz="4" w:space="0" w:color="auto"/>
            </w:tcBorders>
          </w:tcPr>
          <w:p w14:paraId="1FE80445" w14:textId="77777777" w:rsidR="001C0111" w:rsidRPr="001C0111" w:rsidRDefault="001C0111" w:rsidP="001C0111">
            <w:pPr>
              <w:ind w:right="-29"/>
              <w:jc w:val="center"/>
              <w:rPr>
                <w:noProof/>
                <w:sz w:val="18"/>
                <w:szCs w:val="18"/>
                <w:lang w:val="en-IE" w:eastAsia="en-GB"/>
              </w:rPr>
            </w:pPr>
          </w:p>
        </w:tc>
        <w:tc>
          <w:tcPr>
            <w:tcW w:w="432" w:type="dxa"/>
            <w:tcBorders>
              <w:right w:val="dashSmallGap" w:sz="4" w:space="0" w:color="auto"/>
            </w:tcBorders>
          </w:tcPr>
          <w:p w14:paraId="22F89CBE" w14:textId="77777777" w:rsidR="001C0111" w:rsidRPr="001C0111" w:rsidRDefault="001C0111" w:rsidP="001C0111">
            <w:pPr>
              <w:ind w:right="-29"/>
              <w:jc w:val="center"/>
              <w:rPr>
                <w:noProof/>
                <w:sz w:val="18"/>
                <w:szCs w:val="18"/>
                <w:lang w:val="en-IE" w:eastAsia="en-GB"/>
              </w:rPr>
            </w:pPr>
          </w:p>
        </w:tc>
        <w:tc>
          <w:tcPr>
            <w:tcW w:w="720" w:type="dxa"/>
            <w:tcBorders>
              <w:left w:val="dashSmallGap" w:sz="4" w:space="0" w:color="auto"/>
            </w:tcBorders>
          </w:tcPr>
          <w:p w14:paraId="36A1D80D" w14:textId="77777777" w:rsidR="001C0111" w:rsidRPr="001C0111" w:rsidRDefault="001C0111" w:rsidP="001C0111">
            <w:pPr>
              <w:ind w:right="-29"/>
              <w:jc w:val="center"/>
              <w:rPr>
                <w:noProof/>
                <w:sz w:val="18"/>
                <w:szCs w:val="18"/>
                <w:lang w:val="en-IE" w:eastAsia="en-GB"/>
              </w:rPr>
            </w:pPr>
          </w:p>
        </w:tc>
        <w:tc>
          <w:tcPr>
            <w:tcW w:w="540" w:type="dxa"/>
            <w:tcBorders>
              <w:right w:val="dashSmallGap" w:sz="4" w:space="0" w:color="auto"/>
            </w:tcBorders>
          </w:tcPr>
          <w:p w14:paraId="79EA38F2" w14:textId="77777777" w:rsidR="001C0111" w:rsidRPr="001C0111" w:rsidRDefault="001C0111" w:rsidP="001C0111">
            <w:pPr>
              <w:ind w:right="-29"/>
              <w:jc w:val="center"/>
              <w:rPr>
                <w:noProof/>
                <w:sz w:val="18"/>
                <w:szCs w:val="18"/>
                <w:lang w:val="en-IE" w:eastAsia="en-GB"/>
              </w:rPr>
            </w:pPr>
          </w:p>
        </w:tc>
        <w:tc>
          <w:tcPr>
            <w:tcW w:w="720" w:type="dxa"/>
            <w:tcBorders>
              <w:left w:val="dashSmallGap" w:sz="4" w:space="0" w:color="auto"/>
            </w:tcBorders>
          </w:tcPr>
          <w:p w14:paraId="29978E08" w14:textId="77777777" w:rsidR="001C0111" w:rsidRPr="001C0111" w:rsidRDefault="001C0111" w:rsidP="001C0111">
            <w:pPr>
              <w:ind w:right="-29"/>
              <w:jc w:val="center"/>
              <w:rPr>
                <w:noProof/>
                <w:sz w:val="18"/>
                <w:szCs w:val="18"/>
                <w:lang w:val="en-IE" w:eastAsia="en-GB"/>
              </w:rPr>
            </w:pPr>
          </w:p>
        </w:tc>
        <w:tc>
          <w:tcPr>
            <w:tcW w:w="720" w:type="dxa"/>
          </w:tcPr>
          <w:p w14:paraId="363094F6" w14:textId="77777777" w:rsidR="001C0111" w:rsidRPr="001C0111" w:rsidRDefault="001C0111" w:rsidP="001C0111">
            <w:pPr>
              <w:ind w:right="-29"/>
              <w:jc w:val="center"/>
              <w:rPr>
                <w:noProof/>
                <w:sz w:val="18"/>
                <w:szCs w:val="18"/>
                <w:lang w:val="en-IE" w:eastAsia="en-GB"/>
              </w:rPr>
            </w:pPr>
          </w:p>
        </w:tc>
        <w:tc>
          <w:tcPr>
            <w:tcW w:w="900" w:type="dxa"/>
          </w:tcPr>
          <w:p w14:paraId="00CF62DC" w14:textId="77777777" w:rsidR="001C0111" w:rsidRPr="001C0111" w:rsidRDefault="001C0111" w:rsidP="001C0111">
            <w:pPr>
              <w:ind w:right="-29"/>
              <w:jc w:val="center"/>
              <w:rPr>
                <w:noProof/>
                <w:sz w:val="18"/>
                <w:szCs w:val="18"/>
                <w:lang w:val="en-IE" w:eastAsia="en-GB"/>
              </w:rPr>
            </w:pPr>
          </w:p>
        </w:tc>
      </w:tr>
      <w:tr w:rsidR="001C0111" w:rsidRPr="001C0111" w14:paraId="7BE47783" w14:textId="77777777" w:rsidTr="00EE4772">
        <w:trPr>
          <w:trHeight w:hRule="exact" w:val="369"/>
          <w:jc w:val="center"/>
        </w:trPr>
        <w:tc>
          <w:tcPr>
            <w:tcW w:w="1423" w:type="dxa"/>
          </w:tcPr>
          <w:p w14:paraId="1CD8FC06" w14:textId="77777777" w:rsidR="001C0111" w:rsidRPr="001C0111" w:rsidRDefault="001C0111" w:rsidP="001C0111">
            <w:pPr>
              <w:ind w:right="-29"/>
              <w:jc w:val="center"/>
              <w:rPr>
                <w:noProof/>
                <w:sz w:val="18"/>
                <w:szCs w:val="18"/>
                <w:lang w:val="en-IE" w:eastAsia="en-GB"/>
              </w:rPr>
            </w:pPr>
            <w:r w:rsidRPr="001C0111">
              <w:rPr>
                <w:noProof/>
                <w:sz w:val="18"/>
                <w:lang w:val="en-IE" w:eastAsia="en-GB"/>
              </w:rPr>
              <w:t>- Output</w:t>
            </w:r>
          </w:p>
        </w:tc>
        <w:tc>
          <w:tcPr>
            <w:tcW w:w="720" w:type="dxa"/>
          </w:tcPr>
          <w:p w14:paraId="4B49453D" w14:textId="77777777" w:rsidR="001C0111" w:rsidRPr="001C0111" w:rsidRDefault="001C0111" w:rsidP="001C0111">
            <w:pPr>
              <w:ind w:right="-29"/>
              <w:jc w:val="center"/>
              <w:rPr>
                <w:noProof/>
                <w:sz w:val="18"/>
                <w:szCs w:val="18"/>
                <w:lang w:val="en-IE" w:eastAsia="en-GB"/>
              </w:rPr>
            </w:pPr>
          </w:p>
        </w:tc>
        <w:tc>
          <w:tcPr>
            <w:tcW w:w="701" w:type="dxa"/>
          </w:tcPr>
          <w:p w14:paraId="54F20931" w14:textId="77777777" w:rsidR="001C0111" w:rsidRPr="001C0111" w:rsidRDefault="001C0111" w:rsidP="001C0111">
            <w:pPr>
              <w:ind w:right="-29"/>
              <w:jc w:val="center"/>
              <w:rPr>
                <w:noProof/>
                <w:sz w:val="18"/>
                <w:szCs w:val="18"/>
                <w:lang w:val="en-IE" w:eastAsia="en-GB"/>
              </w:rPr>
            </w:pPr>
          </w:p>
        </w:tc>
        <w:tc>
          <w:tcPr>
            <w:tcW w:w="504" w:type="dxa"/>
          </w:tcPr>
          <w:p w14:paraId="64577EA8" w14:textId="77777777" w:rsidR="001C0111" w:rsidRPr="001C0111" w:rsidRDefault="001C0111" w:rsidP="001C0111">
            <w:pPr>
              <w:ind w:right="-29"/>
              <w:jc w:val="center"/>
              <w:rPr>
                <w:noProof/>
                <w:sz w:val="18"/>
                <w:szCs w:val="18"/>
                <w:lang w:val="en-IE" w:eastAsia="en-GB"/>
              </w:rPr>
            </w:pPr>
          </w:p>
        </w:tc>
        <w:tc>
          <w:tcPr>
            <w:tcW w:w="720" w:type="dxa"/>
          </w:tcPr>
          <w:p w14:paraId="0BA2D56A" w14:textId="77777777" w:rsidR="001C0111" w:rsidRPr="001C0111" w:rsidRDefault="001C0111" w:rsidP="001C0111">
            <w:pPr>
              <w:ind w:right="-29"/>
              <w:jc w:val="center"/>
              <w:rPr>
                <w:noProof/>
                <w:sz w:val="18"/>
                <w:szCs w:val="18"/>
                <w:lang w:val="en-IE" w:eastAsia="en-GB"/>
              </w:rPr>
            </w:pPr>
          </w:p>
        </w:tc>
        <w:tc>
          <w:tcPr>
            <w:tcW w:w="540" w:type="dxa"/>
          </w:tcPr>
          <w:p w14:paraId="00E209F2" w14:textId="77777777" w:rsidR="001C0111" w:rsidRPr="001C0111" w:rsidRDefault="001C0111" w:rsidP="001C0111">
            <w:pPr>
              <w:ind w:right="-29"/>
              <w:jc w:val="center"/>
              <w:rPr>
                <w:noProof/>
                <w:sz w:val="18"/>
                <w:szCs w:val="18"/>
                <w:lang w:val="en-IE" w:eastAsia="en-GB"/>
              </w:rPr>
            </w:pPr>
          </w:p>
        </w:tc>
        <w:tc>
          <w:tcPr>
            <w:tcW w:w="720" w:type="dxa"/>
          </w:tcPr>
          <w:p w14:paraId="7AA4327F" w14:textId="77777777" w:rsidR="001C0111" w:rsidRPr="001C0111" w:rsidRDefault="001C0111" w:rsidP="001C0111">
            <w:pPr>
              <w:ind w:right="-29"/>
              <w:jc w:val="center"/>
              <w:rPr>
                <w:noProof/>
                <w:sz w:val="18"/>
                <w:szCs w:val="18"/>
                <w:lang w:val="en-IE" w:eastAsia="en-GB"/>
              </w:rPr>
            </w:pPr>
          </w:p>
        </w:tc>
        <w:tc>
          <w:tcPr>
            <w:tcW w:w="720" w:type="dxa"/>
          </w:tcPr>
          <w:p w14:paraId="08322B13" w14:textId="77777777" w:rsidR="001C0111" w:rsidRPr="001C0111" w:rsidRDefault="001C0111" w:rsidP="001C0111">
            <w:pPr>
              <w:ind w:right="-29"/>
              <w:jc w:val="center"/>
              <w:rPr>
                <w:noProof/>
                <w:sz w:val="18"/>
                <w:szCs w:val="18"/>
                <w:lang w:val="en-IE" w:eastAsia="en-GB"/>
              </w:rPr>
            </w:pPr>
          </w:p>
        </w:tc>
        <w:tc>
          <w:tcPr>
            <w:tcW w:w="720" w:type="dxa"/>
          </w:tcPr>
          <w:p w14:paraId="07AB3D5D" w14:textId="77777777" w:rsidR="001C0111" w:rsidRPr="001C0111" w:rsidRDefault="001C0111" w:rsidP="001C0111">
            <w:pPr>
              <w:ind w:right="-29"/>
              <w:jc w:val="center"/>
              <w:rPr>
                <w:noProof/>
                <w:sz w:val="18"/>
                <w:szCs w:val="18"/>
                <w:lang w:val="en-IE" w:eastAsia="en-GB"/>
              </w:rPr>
            </w:pPr>
          </w:p>
        </w:tc>
        <w:tc>
          <w:tcPr>
            <w:tcW w:w="900" w:type="dxa"/>
          </w:tcPr>
          <w:p w14:paraId="4F5DDADF" w14:textId="77777777" w:rsidR="001C0111" w:rsidRPr="001C0111" w:rsidRDefault="001C0111" w:rsidP="001C0111">
            <w:pPr>
              <w:ind w:right="-29"/>
              <w:jc w:val="center"/>
              <w:rPr>
                <w:noProof/>
                <w:sz w:val="18"/>
                <w:szCs w:val="18"/>
                <w:lang w:val="en-IE" w:eastAsia="en-GB"/>
              </w:rPr>
            </w:pPr>
          </w:p>
        </w:tc>
        <w:tc>
          <w:tcPr>
            <w:tcW w:w="720" w:type="dxa"/>
            <w:gridSpan w:val="2"/>
          </w:tcPr>
          <w:p w14:paraId="5EA27ECB" w14:textId="77777777" w:rsidR="001C0111" w:rsidRPr="001C0111" w:rsidRDefault="001C0111" w:rsidP="001C0111">
            <w:pPr>
              <w:ind w:right="-29"/>
              <w:jc w:val="center"/>
              <w:rPr>
                <w:noProof/>
                <w:sz w:val="18"/>
                <w:szCs w:val="18"/>
                <w:lang w:val="en-IE" w:eastAsia="en-GB"/>
              </w:rPr>
            </w:pPr>
          </w:p>
        </w:tc>
        <w:tc>
          <w:tcPr>
            <w:tcW w:w="540" w:type="dxa"/>
          </w:tcPr>
          <w:p w14:paraId="1AE70D29" w14:textId="77777777" w:rsidR="001C0111" w:rsidRPr="001C0111" w:rsidRDefault="001C0111" w:rsidP="001C0111">
            <w:pPr>
              <w:ind w:right="-29"/>
              <w:jc w:val="center"/>
              <w:rPr>
                <w:noProof/>
                <w:sz w:val="18"/>
                <w:szCs w:val="18"/>
                <w:lang w:val="en-IE" w:eastAsia="en-GB"/>
              </w:rPr>
            </w:pPr>
          </w:p>
        </w:tc>
        <w:tc>
          <w:tcPr>
            <w:tcW w:w="648" w:type="dxa"/>
          </w:tcPr>
          <w:p w14:paraId="2CF0A873" w14:textId="77777777" w:rsidR="001C0111" w:rsidRPr="001C0111" w:rsidRDefault="001C0111" w:rsidP="001C0111">
            <w:pPr>
              <w:ind w:right="-29"/>
              <w:jc w:val="center"/>
              <w:rPr>
                <w:noProof/>
                <w:sz w:val="18"/>
                <w:szCs w:val="18"/>
                <w:lang w:val="en-IE" w:eastAsia="en-GB"/>
              </w:rPr>
            </w:pPr>
          </w:p>
        </w:tc>
        <w:tc>
          <w:tcPr>
            <w:tcW w:w="432" w:type="dxa"/>
          </w:tcPr>
          <w:p w14:paraId="277B135A" w14:textId="77777777" w:rsidR="001C0111" w:rsidRPr="001C0111" w:rsidRDefault="001C0111" w:rsidP="001C0111">
            <w:pPr>
              <w:ind w:right="-29"/>
              <w:jc w:val="center"/>
              <w:rPr>
                <w:noProof/>
                <w:sz w:val="18"/>
                <w:szCs w:val="18"/>
                <w:lang w:val="en-IE" w:eastAsia="en-GB"/>
              </w:rPr>
            </w:pPr>
          </w:p>
        </w:tc>
        <w:tc>
          <w:tcPr>
            <w:tcW w:w="720" w:type="dxa"/>
          </w:tcPr>
          <w:p w14:paraId="37A239CA" w14:textId="77777777" w:rsidR="001C0111" w:rsidRPr="001C0111" w:rsidRDefault="001C0111" w:rsidP="001C0111">
            <w:pPr>
              <w:ind w:right="-29"/>
              <w:jc w:val="center"/>
              <w:rPr>
                <w:noProof/>
                <w:sz w:val="18"/>
                <w:szCs w:val="18"/>
                <w:lang w:val="en-IE" w:eastAsia="en-GB"/>
              </w:rPr>
            </w:pPr>
          </w:p>
        </w:tc>
        <w:tc>
          <w:tcPr>
            <w:tcW w:w="540" w:type="dxa"/>
          </w:tcPr>
          <w:p w14:paraId="658FC8E8" w14:textId="77777777" w:rsidR="001C0111" w:rsidRPr="001C0111" w:rsidRDefault="001C0111" w:rsidP="001C0111">
            <w:pPr>
              <w:ind w:right="-29"/>
              <w:jc w:val="center"/>
              <w:rPr>
                <w:noProof/>
                <w:sz w:val="18"/>
                <w:szCs w:val="18"/>
                <w:lang w:val="en-IE" w:eastAsia="en-GB"/>
              </w:rPr>
            </w:pPr>
          </w:p>
        </w:tc>
        <w:tc>
          <w:tcPr>
            <w:tcW w:w="720" w:type="dxa"/>
          </w:tcPr>
          <w:p w14:paraId="581B53E8" w14:textId="77777777" w:rsidR="001C0111" w:rsidRPr="001C0111" w:rsidRDefault="001C0111" w:rsidP="001C0111">
            <w:pPr>
              <w:ind w:right="-29"/>
              <w:jc w:val="center"/>
              <w:rPr>
                <w:noProof/>
                <w:sz w:val="18"/>
                <w:szCs w:val="18"/>
                <w:lang w:val="en-IE" w:eastAsia="en-GB"/>
              </w:rPr>
            </w:pPr>
          </w:p>
        </w:tc>
        <w:tc>
          <w:tcPr>
            <w:tcW w:w="720" w:type="dxa"/>
          </w:tcPr>
          <w:p w14:paraId="2B6ECD24" w14:textId="77777777" w:rsidR="001C0111" w:rsidRPr="001C0111" w:rsidRDefault="001C0111" w:rsidP="001C0111">
            <w:pPr>
              <w:ind w:right="-29"/>
              <w:jc w:val="center"/>
              <w:rPr>
                <w:noProof/>
                <w:sz w:val="18"/>
                <w:szCs w:val="18"/>
                <w:lang w:val="en-IE" w:eastAsia="en-GB"/>
              </w:rPr>
            </w:pPr>
          </w:p>
        </w:tc>
        <w:tc>
          <w:tcPr>
            <w:tcW w:w="900" w:type="dxa"/>
          </w:tcPr>
          <w:p w14:paraId="54C09A18" w14:textId="77777777" w:rsidR="001C0111" w:rsidRPr="001C0111" w:rsidRDefault="001C0111" w:rsidP="001C0111">
            <w:pPr>
              <w:ind w:right="-29"/>
              <w:jc w:val="center"/>
              <w:rPr>
                <w:noProof/>
                <w:sz w:val="18"/>
                <w:szCs w:val="18"/>
                <w:lang w:val="en-IE" w:eastAsia="en-GB"/>
              </w:rPr>
            </w:pPr>
          </w:p>
        </w:tc>
      </w:tr>
      <w:tr w:rsidR="001C0111" w:rsidRPr="001C0111" w14:paraId="4CF4AB4D" w14:textId="77777777" w:rsidTr="00EE4772">
        <w:trPr>
          <w:trHeight w:val="77"/>
          <w:jc w:val="center"/>
        </w:trPr>
        <w:tc>
          <w:tcPr>
            <w:tcW w:w="2844" w:type="dxa"/>
            <w:gridSpan w:val="3"/>
            <w:tcBorders>
              <w:bottom w:val="single" w:sz="12" w:space="0" w:color="auto"/>
            </w:tcBorders>
            <w:vAlign w:val="center"/>
          </w:tcPr>
          <w:p w14:paraId="06C9D2E8" w14:textId="77777777" w:rsidR="001C0111" w:rsidRPr="001C0111" w:rsidRDefault="001C0111" w:rsidP="001C0111">
            <w:pPr>
              <w:ind w:right="-29"/>
              <w:jc w:val="center"/>
              <w:rPr>
                <w:noProof/>
                <w:sz w:val="18"/>
                <w:szCs w:val="18"/>
                <w:lang w:val="en-IE" w:eastAsia="en-GB"/>
              </w:rPr>
            </w:pPr>
            <w:r w:rsidRPr="001C0111">
              <w:rPr>
                <w:noProof/>
                <w:sz w:val="18"/>
                <w:lang w:val="en-IE" w:eastAsia="en-GB"/>
              </w:rPr>
              <w:t>Subtotal for specific objective No 1</w:t>
            </w:r>
          </w:p>
        </w:tc>
        <w:tc>
          <w:tcPr>
            <w:tcW w:w="504" w:type="dxa"/>
            <w:tcBorders>
              <w:bottom w:val="single" w:sz="12" w:space="0" w:color="auto"/>
            </w:tcBorders>
          </w:tcPr>
          <w:p w14:paraId="07ACBA91"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087E0D91" w14:textId="77777777" w:rsidR="001C0111" w:rsidRPr="001C0111" w:rsidRDefault="001C0111" w:rsidP="001C0111">
            <w:pPr>
              <w:ind w:right="-29"/>
              <w:jc w:val="center"/>
              <w:rPr>
                <w:noProof/>
                <w:sz w:val="18"/>
                <w:szCs w:val="18"/>
                <w:lang w:val="en-IE" w:eastAsia="en-GB"/>
              </w:rPr>
            </w:pPr>
          </w:p>
        </w:tc>
        <w:tc>
          <w:tcPr>
            <w:tcW w:w="540" w:type="dxa"/>
            <w:tcBorders>
              <w:bottom w:val="single" w:sz="12" w:space="0" w:color="auto"/>
            </w:tcBorders>
          </w:tcPr>
          <w:p w14:paraId="66DB32B0"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023480ED"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3342C8A8"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2418B698" w14:textId="77777777" w:rsidR="001C0111" w:rsidRPr="001C0111" w:rsidRDefault="001C0111" w:rsidP="001C0111">
            <w:pPr>
              <w:ind w:right="-29"/>
              <w:jc w:val="center"/>
              <w:rPr>
                <w:noProof/>
                <w:sz w:val="18"/>
                <w:szCs w:val="18"/>
                <w:lang w:val="en-IE" w:eastAsia="en-GB"/>
              </w:rPr>
            </w:pPr>
          </w:p>
        </w:tc>
        <w:tc>
          <w:tcPr>
            <w:tcW w:w="900" w:type="dxa"/>
            <w:tcBorders>
              <w:bottom w:val="single" w:sz="12" w:space="0" w:color="auto"/>
            </w:tcBorders>
          </w:tcPr>
          <w:p w14:paraId="63219C5D" w14:textId="77777777" w:rsidR="001C0111" w:rsidRPr="001C0111" w:rsidRDefault="001C0111" w:rsidP="001C0111">
            <w:pPr>
              <w:ind w:right="-29"/>
              <w:jc w:val="center"/>
              <w:rPr>
                <w:noProof/>
                <w:sz w:val="18"/>
                <w:szCs w:val="18"/>
                <w:lang w:val="en-IE" w:eastAsia="en-GB"/>
              </w:rPr>
            </w:pPr>
          </w:p>
        </w:tc>
        <w:tc>
          <w:tcPr>
            <w:tcW w:w="720" w:type="dxa"/>
            <w:gridSpan w:val="2"/>
            <w:tcBorders>
              <w:bottom w:val="single" w:sz="12" w:space="0" w:color="auto"/>
            </w:tcBorders>
          </w:tcPr>
          <w:p w14:paraId="1B789000" w14:textId="77777777" w:rsidR="001C0111" w:rsidRPr="001C0111" w:rsidRDefault="001C0111" w:rsidP="001C0111">
            <w:pPr>
              <w:ind w:right="-29"/>
              <w:jc w:val="center"/>
              <w:rPr>
                <w:noProof/>
                <w:sz w:val="18"/>
                <w:szCs w:val="18"/>
                <w:lang w:val="en-IE" w:eastAsia="en-GB"/>
              </w:rPr>
            </w:pPr>
          </w:p>
        </w:tc>
        <w:tc>
          <w:tcPr>
            <w:tcW w:w="540" w:type="dxa"/>
            <w:tcBorders>
              <w:bottom w:val="single" w:sz="12" w:space="0" w:color="auto"/>
            </w:tcBorders>
          </w:tcPr>
          <w:p w14:paraId="7B391F45" w14:textId="77777777" w:rsidR="001C0111" w:rsidRPr="001C0111" w:rsidRDefault="001C0111" w:rsidP="001C0111">
            <w:pPr>
              <w:ind w:right="-29"/>
              <w:jc w:val="center"/>
              <w:rPr>
                <w:noProof/>
                <w:sz w:val="18"/>
                <w:szCs w:val="18"/>
                <w:lang w:val="en-IE" w:eastAsia="en-GB"/>
              </w:rPr>
            </w:pPr>
          </w:p>
        </w:tc>
        <w:tc>
          <w:tcPr>
            <w:tcW w:w="648" w:type="dxa"/>
            <w:tcBorders>
              <w:bottom w:val="single" w:sz="12" w:space="0" w:color="auto"/>
            </w:tcBorders>
          </w:tcPr>
          <w:p w14:paraId="5971A103" w14:textId="77777777" w:rsidR="001C0111" w:rsidRPr="001C0111" w:rsidRDefault="001C0111" w:rsidP="001C0111">
            <w:pPr>
              <w:ind w:right="-29"/>
              <w:jc w:val="center"/>
              <w:rPr>
                <w:noProof/>
                <w:sz w:val="18"/>
                <w:szCs w:val="18"/>
                <w:lang w:val="en-IE" w:eastAsia="en-GB"/>
              </w:rPr>
            </w:pPr>
          </w:p>
        </w:tc>
        <w:tc>
          <w:tcPr>
            <w:tcW w:w="432" w:type="dxa"/>
            <w:tcBorders>
              <w:bottom w:val="single" w:sz="12" w:space="0" w:color="auto"/>
            </w:tcBorders>
          </w:tcPr>
          <w:p w14:paraId="773ACF2C"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262AB815" w14:textId="77777777" w:rsidR="001C0111" w:rsidRPr="001C0111" w:rsidRDefault="001C0111" w:rsidP="001C0111">
            <w:pPr>
              <w:ind w:right="-29"/>
              <w:jc w:val="center"/>
              <w:rPr>
                <w:noProof/>
                <w:sz w:val="18"/>
                <w:szCs w:val="18"/>
                <w:lang w:val="en-IE" w:eastAsia="en-GB"/>
              </w:rPr>
            </w:pPr>
          </w:p>
        </w:tc>
        <w:tc>
          <w:tcPr>
            <w:tcW w:w="540" w:type="dxa"/>
            <w:tcBorders>
              <w:bottom w:val="single" w:sz="12" w:space="0" w:color="auto"/>
            </w:tcBorders>
          </w:tcPr>
          <w:p w14:paraId="4FE4C316"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161D0B72"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734CCFD4" w14:textId="77777777" w:rsidR="001C0111" w:rsidRPr="001C0111" w:rsidRDefault="001C0111" w:rsidP="001C0111">
            <w:pPr>
              <w:ind w:right="-29"/>
              <w:jc w:val="center"/>
              <w:rPr>
                <w:noProof/>
                <w:sz w:val="18"/>
                <w:szCs w:val="18"/>
                <w:lang w:val="en-IE" w:eastAsia="en-GB"/>
              </w:rPr>
            </w:pPr>
          </w:p>
        </w:tc>
        <w:tc>
          <w:tcPr>
            <w:tcW w:w="900" w:type="dxa"/>
            <w:tcBorders>
              <w:bottom w:val="single" w:sz="12" w:space="0" w:color="auto"/>
            </w:tcBorders>
          </w:tcPr>
          <w:p w14:paraId="64CDF9CA" w14:textId="77777777" w:rsidR="001C0111" w:rsidRPr="001C0111" w:rsidRDefault="001C0111" w:rsidP="001C0111">
            <w:pPr>
              <w:ind w:right="-29"/>
              <w:jc w:val="center"/>
              <w:rPr>
                <w:noProof/>
                <w:sz w:val="18"/>
                <w:szCs w:val="18"/>
                <w:lang w:val="en-IE" w:eastAsia="en-GB"/>
              </w:rPr>
            </w:pPr>
          </w:p>
        </w:tc>
      </w:tr>
      <w:tr w:rsidR="001C0111" w:rsidRPr="001C0111" w14:paraId="0E494E7E" w14:textId="77777777" w:rsidTr="00EE4772">
        <w:trPr>
          <w:jc w:val="center"/>
        </w:trPr>
        <w:tc>
          <w:tcPr>
            <w:tcW w:w="2844" w:type="dxa"/>
            <w:gridSpan w:val="3"/>
            <w:vAlign w:val="center"/>
          </w:tcPr>
          <w:p w14:paraId="615C788B" w14:textId="77777777" w:rsidR="001C0111" w:rsidRPr="001C0111" w:rsidRDefault="001C0111" w:rsidP="001C0111">
            <w:pPr>
              <w:spacing w:before="60" w:after="60"/>
              <w:ind w:right="-29"/>
              <w:jc w:val="center"/>
              <w:rPr>
                <w:noProof/>
                <w:sz w:val="18"/>
                <w:szCs w:val="18"/>
                <w:lang w:val="en-IE" w:eastAsia="en-GB"/>
              </w:rPr>
            </w:pPr>
            <w:r w:rsidRPr="001C0111">
              <w:rPr>
                <w:noProof/>
                <w:sz w:val="18"/>
                <w:lang w:val="en-IE" w:eastAsia="en-GB"/>
              </w:rPr>
              <w:t>SPECIFIC OBJECTIVE No 2 ...</w:t>
            </w:r>
          </w:p>
        </w:tc>
        <w:tc>
          <w:tcPr>
            <w:tcW w:w="504" w:type="dxa"/>
            <w:tcBorders>
              <w:top w:val="nil"/>
              <w:left w:val="nil"/>
              <w:bottom w:val="nil"/>
              <w:right w:val="nil"/>
            </w:tcBorders>
          </w:tcPr>
          <w:p w14:paraId="338968F4"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398C272B" w14:textId="77777777" w:rsidR="001C0111" w:rsidRPr="001C0111" w:rsidRDefault="001C0111" w:rsidP="001C0111">
            <w:pPr>
              <w:spacing w:before="60" w:after="60"/>
              <w:ind w:right="-29"/>
              <w:jc w:val="center"/>
              <w:rPr>
                <w:noProof/>
                <w:sz w:val="18"/>
                <w:szCs w:val="18"/>
                <w:lang w:val="en-IE" w:eastAsia="en-GB"/>
              </w:rPr>
            </w:pPr>
          </w:p>
        </w:tc>
        <w:tc>
          <w:tcPr>
            <w:tcW w:w="540" w:type="dxa"/>
            <w:tcBorders>
              <w:top w:val="nil"/>
              <w:left w:val="nil"/>
              <w:bottom w:val="nil"/>
              <w:right w:val="nil"/>
            </w:tcBorders>
          </w:tcPr>
          <w:p w14:paraId="50C75DE2"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0B6988F6"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6AB80162"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3019F966" w14:textId="77777777" w:rsidR="001C0111" w:rsidRPr="001C0111" w:rsidRDefault="001C0111" w:rsidP="001C0111">
            <w:pPr>
              <w:spacing w:before="60" w:after="60"/>
              <w:ind w:right="-29"/>
              <w:jc w:val="center"/>
              <w:rPr>
                <w:noProof/>
                <w:sz w:val="18"/>
                <w:szCs w:val="18"/>
                <w:lang w:val="en-IE" w:eastAsia="en-GB"/>
              </w:rPr>
            </w:pPr>
          </w:p>
        </w:tc>
        <w:tc>
          <w:tcPr>
            <w:tcW w:w="900" w:type="dxa"/>
            <w:tcBorders>
              <w:top w:val="nil"/>
              <w:left w:val="nil"/>
              <w:bottom w:val="nil"/>
              <w:right w:val="nil"/>
            </w:tcBorders>
          </w:tcPr>
          <w:p w14:paraId="6F818E00" w14:textId="77777777" w:rsidR="001C0111" w:rsidRPr="001C0111" w:rsidRDefault="001C0111" w:rsidP="001C0111">
            <w:pPr>
              <w:spacing w:before="60" w:after="60"/>
              <w:ind w:right="-29"/>
              <w:jc w:val="center"/>
              <w:rPr>
                <w:noProof/>
                <w:sz w:val="18"/>
                <w:szCs w:val="18"/>
                <w:lang w:val="en-IE" w:eastAsia="en-GB"/>
              </w:rPr>
            </w:pPr>
          </w:p>
        </w:tc>
        <w:tc>
          <w:tcPr>
            <w:tcW w:w="720" w:type="dxa"/>
            <w:gridSpan w:val="2"/>
            <w:tcBorders>
              <w:top w:val="nil"/>
              <w:left w:val="nil"/>
              <w:bottom w:val="nil"/>
              <w:right w:val="nil"/>
            </w:tcBorders>
          </w:tcPr>
          <w:p w14:paraId="58318EEF" w14:textId="77777777" w:rsidR="001C0111" w:rsidRPr="001C0111" w:rsidRDefault="001C0111" w:rsidP="001C0111">
            <w:pPr>
              <w:spacing w:before="60" w:after="60"/>
              <w:ind w:right="-29"/>
              <w:jc w:val="center"/>
              <w:rPr>
                <w:noProof/>
                <w:sz w:val="18"/>
                <w:szCs w:val="18"/>
                <w:lang w:val="en-IE" w:eastAsia="en-GB"/>
              </w:rPr>
            </w:pPr>
          </w:p>
        </w:tc>
        <w:tc>
          <w:tcPr>
            <w:tcW w:w="540" w:type="dxa"/>
            <w:tcBorders>
              <w:top w:val="nil"/>
              <w:left w:val="nil"/>
              <w:bottom w:val="nil"/>
              <w:right w:val="nil"/>
            </w:tcBorders>
          </w:tcPr>
          <w:p w14:paraId="00454743" w14:textId="77777777" w:rsidR="001C0111" w:rsidRPr="001C0111" w:rsidRDefault="001C0111" w:rsidP="001C0111">
            <w:pPr>
              <w:spacing w:before="60" w:after="60"/>
              <w:ind w:right="-29"/>
              <w:jc w:val="center"/>
              <w:rPr>
                <w:noProof/>
                <w:sz w:val="18"/>
                <w:szCs w:val="18"/>
                <w:lang w:val="en-IE" w:eastAsia="en-GB"/>
              </w:rPr>
            </w:pPr>
          </w:p>
        </w:tc>
        <w:tc>
          <w:tcPr>
            <w:tcW w:w="648" w:type="dxa"/>
            <w:tcBorders>
              <w:top w:val="nil"/>
              <w:left w:val="nil"/>
              <w:bottom w:val="nil"/>
              <w:right w:val="nil"/>
            </w:tcBorders>
          </w:tcPr>
          <w:p w14:paraId="7CCB800C" w14:textId="77777777" w:rsidR="001C0111" w:rsidRPr="001C0111" w:rsidRDefault="001C0111" w:rsidP="001C0111">
            <w:pPr>
              <w:spacing w:before="60" w:after="60"/>
              <w:ind w:right="-29"/>
              <w:jc w:val="center"/>
              <w:rPr>
                <w:noProof/>
                <w:sz w:val="18"/>
                <w:szCs w:val="18"/>
                <w:lang w:val="en-IE" w:eastAsia="en-GB"/>
              </w:rPr>
            </w:pPr>
          </w:p>
        </w:tc>
        <w:tc>
          <w:tcPr>
            <w:tcW w:w="432" w:type="dxa"/>
            <w:tcBorders>
              <w:top w:val="nil"/>
              <w:left w:val="nil"/>
              <w:bottom w:val="nil"/>
              <w:right w:val="nil"/>
            </w:tcBorders>
          </w:tcPr>
          <w:p w14:paraId="25FC3ABB"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5865EF39" w14:textId="77777777" w:rsidR="001C0111" w:rsidRPr="001C0111" w:rsidRDefault="001C0111" w:rsidP="001C0111">
            <w:pPr>
              <w:spacing w:before="60" w:after="60"/>
              <w:ind w:right="-29"/>
              <w:jc w:val="center"/>
              <w:rPr>
                <w:noProof/>
                <w:sz w:val="18"/>
                <w:szCs w:val="18"/>
                <w:lang w:val="en-IE" w:eastAsia="en-GB"/>
              </w:rPr>
            </w:pPr>
          </w:p>
        </w:tc>
        <w:tc>
          <w:tcPr>
            <w:tcW w:w="540" w:type="dxa"/>
            <w:tcBorders>
              <w:top w:val="nil"/>
              <w:left w:val="nil"/>
              <w:bottom w:val="nil"/>
              <w:right w:val="nil"/>
            </w:tcBorders>
          </w:tcPr>
          <w:p w14:paraId="59974EFF"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1CBE7F0E" w14:textId="77777777" w:rsidR="001C0111" w:rsidRPr="001C0111" w:rsidRDefault="001C0111" w:rsidP="001C0111">
            <w:pPr>
              <w:spacing w:before="60" w:after="60"/>
              <w:ind w:right="-29"/>
              <w:jc w:val="center"/>
              <w:rPr>
                <w:noProof/>
                <w:sz w:val="18"/>
                <w:szCs w:val="18"/>
                <w:lang w:val="en-IE" w:eastAsia="en-GB"/>
              </w:rPr>
            </w:pPr>
          </w:p>
        </w:tc>
        <w:tc>
          <w:tcPr>
            <w:tcW w:w="720" w:type="dxa"/>
            <w:tcBorders>
              <w:top w:val="nil"/>
              <w:left w:val="nil"/>
              <w:bottom w:val="nil"/>
              <w:right w:val="nil"/>
            </w:tcBorders>
          </w:tcPr>
          <w:p w14:paraId="531CFD93" w14:textId="77777777" w:rsidR="001C0111" w:rsidRPr="001C0111" w:rsidRDefault="001C0111" w:rsidP="001C0111">
            <w:pPr>
              <w:spacing w:before="60" w:after="60"/>
              <w:ind w:right="-29"/>
              <w:jc w:val="center"/>
              <w:rPr>
                <w:noProof/>
                <w:sz w:val="18"/>
                <w:szCs w:val="18"/>
                <w:lang w:val="en-IE" w:eastAsia="en-GB"/>
              </w:rPr>
            </w:pPr>
          </w:p>
        </w:tc>
        <w:tc>
          <w:tcPr>
            <w:tcW w:w="900" w:type="dxa"/>
            <w:tcBorders>
              <w:top w:val="nil"/>
              <w:left w:val="nil"/>
              <w:bottom w:val="nil"/>
              <w:right w:val="nil"/>
            </w:tcBorders>
          </w:tcPr>
          <w:p w14:paraId="1A38C0CE" w14:textId="77777777" w:rsidR="001C0111" w:rsidRPr="001C0111" w:rsidRDefault="001C0111" w:rsidP="001C0111">
            <w:pPr>
              <w:spacing w:before="60" w:after="60"/>
              <w:ind w:right="-29"/>
              <w:jc w:val="center"/>
              <w:rPr>
                <w:noProof/>
                <w:sz w:val="18"/>
                <w:szCs w:val="18"/>
                <w:lang w:val="en-IE" w:eastAsia="en-GB"/>
              </w:rPr>
            </w:pPr>
          </w:p>
        </w:tc>
      </w:tr>
      <w:tr w:rsidR="001C0111" w:rsidRPr="001C0111" w14:paraId="2BE2A0F3" w14:textId="77777777" w:rsidTr="00EE4772">
        <w:trPr>
          <w:trHeight w:hRule="exact" w:val="369"/>
          <w:jc w:val="center"/>
        </w:trPr>
        <w:tc>
          <w:tcPr>
            <w:tcW w:w="1423" w:type="dxa"/>
          </w:tcPr>
          <w:p w14:paraId="2D54FF55" w14:textId="77777777" w:rsidR="001C0111" w:rsidRPr="001C0111" w:rsidRDefault="001C0111" w:rsidP="001C0111">
            <w:pPr>
              <w:ind w:right="-29"/>
              <w:jc w:val="center"/>
              <w:rPr>
                <w:noProof/>
                <w:sz w:val="18"/>
                <w:szCs w:val="18"/>
                <w:lang w:val="en-IE" w:eastAsia="en-GB"/>
              </w:rPr>
            </w:pPr>
            <w:r w:rsidRPr="001C0111">
              <w:rPr>
                <w:noProof/>
                <w:sz w:val="18"/>
                <w:lang w:val="en-IE" w:eastAsia="en-GB"/>
              </w:rPr>
              <w:t>- Output</w:t>
            </w:r>
          </w:p>
        </w:tc>
        <w:tc>
          <w:tcPr>
            <w:tcW w:w="720" w:type="dxa"/>
          </w:tcPr>
          <w:p w14:paraId="30D42544" w14:textId="77777777" w:rsidR="001C0111" w:rsidRPr="001C0111" w:rsidRDefault="001C0111" w:rsidP="001C0111">
            <w:pPr>
              <w:ind w:right="-29"/>
              <w:jc w:val="center"/>
              <w:rPr>
                <w:noProof/>
                <w:sz w:val="18"/>
                <w:szCs w:val="18"/>
                <w:lang w:val="en-IE" w:eastAsia="en-GB"/>
              </w:rPr>
            </w:pPr>
          </w:p>
        </w:tc>
        <w:tc>
          <w:tcPr>
            <w:tcW w:w="701" w:type="dxa"/>
          </w:tcPr>
          <w:p w14:paraId="55A65CD2" w14:textId="77777777" w:rsidR="001C0111" w:rsidRPr="001C0111" w:rsidRDefault="001C0111" w:rsidP="001C0111">
            <w:pPr>
              <w:ind w:right="-29"/>
              <w:jc w:val="center"/>
              <w:rPr>
                <w:noProof/>
                <w:sz w:val="18"/>
                <w:szCs w:val="18"/>
                <w:lang w:val="en-IE" w:eastAsia="en-GB"/>
              </w:rPr>
            </w:pPr>
          </w:p>
        </w:tc>
        <w:tc>
          <w:tcPr>
            <w:tcW w:w="504" w:type="dxa"/>
          </w:tcPr>
          <w:p w14:paraId="6A43CA30" w14:textId="77777777" w:rsidR="001C0111" w:rsidRPr="001C0111" w:rsidRDefault="001C0111" w:rsidP="001C0111">
            <w:pPr>
              <w:ind w:right="-29"/>
              <w:jc w:val="center"/>
              <w:rPr>
                <w:noProof/>
                <w:sz w:val="18"/>
                <w:szCs w:val="18"/>
                <w:lang w:val="en-IE" w:eastAsia="en-GB"/>
              </w:rPr>
            </w:pPr>
          </w:p>
        </w:tc>
        <w:tc>
          <w:tcPr>
            <w:tcW w:w="720" w:type="dxa"/>
          </w:tcPr>
          <w:p w14:paraId="45B094D7" w14:textId="77777777" w:rsidR="001C0111" w:rsidRPr="001C0111" w:rsidRDefault="001C0111" w:rsidP="001C0111">
            <w:pPr>
              <w:ind w:right="-29"/>
              <w:jc w:val="center"/>
              <w:rPr>
                <w:noProof/>
                <w:sz w:val="18"/>
                <w:szCs w:val="18"/>
                <w:lang w:val="en-IE" w:eastAsia="en-GB"/>
              </w:rPr>
            </w:pPr>
          </w:p>
        </w:tc>
        <w:tc>
          <w:tcPr>
            <w:tcW w:w="540" w:type="dxa"/>
          </w:tcPr>
          <w:p w14:paraId="224ACA2F" w14:textId="77777777" w:rsidR="001C0111" w:rsidRPr="001C0111" w:rsidRDefault="001C0111" w:rsidP="001C0111">
            <w:pPr>
              <w:ind w:right="-29"/>
              <w:jc w:val="center"/>
              <w:rPr>
                <w:noProof/>
                <w:sz w:val="18"/>
                <w:szCs w:val="18"/>
                <w:lang w:val="en-IE" w:eastAsia="en-GB"/>
              </w:rPr>
            </w:pPr>
          </w:p>
        </w:tc>
        <w:tc>
          <w:tcPr>
            <w:tcW w:w="720" w:type="dxa"/>
          </w:tcPr>
          <w:p w14:paraId="2A3B2AE4" w14:textId="77777777" w:rsidR="001C0111" w:rsidRPr="001C0111" w:rsidRDefault="001C0111" w:rsidP="001C0111">
            <w:pPr>
              <w:ind w:right="-29"/>
              <w:jc w:val="center"/>
              <w:rPr>
                <w:noProof/>
                <w:sz w:val="18"/>
                <w:szCs w:val="18"/>
                <w:lang w:val="en-IE" w:eastAsia="en-GB"/>
              </w:rPr>
            </w:pPr>
          </w:p>
        </w:tc>
        <w:tc>
          <w:tcPr>
            <w:tcW w:w="720" w:type="dxa"/>
          </w:tcPr>
          <w:p w14:paraId="3AE9410C" w14:textId="77777777" w:rsidR="001C0111" w:rsidRPr="001C0111" w:rsidRDefault="001C0111" w:rsidP="001C0111">
            <w:pPr>
              <w:ind w:right="-29"/>
              <w:jc w:val="center"/>
              <w:rPr>
                <w:noProof/>
                <w:sz w:val="18"/>
                <w:szCs w:val="18"/>
                <w:lang w:val="en-IE" w:eastAsia="en-GB"/>
              </w:rPr>
            </w:pPr>
          </w:p>
        </w:tc>
        <w:tc>
          <w:tcPr>
            <w:tcW w:w="720" w:type="dxa"/>
          </w:tcPr>
          <w:p w14:paraId="2171497F" w14:textId="77777777" w:rsidR="001C0111" w:rsidRPr="001C0111" w:rsidRDefault="001C0111" w:rsidP="001C0111">
            <w:pPr>
              <w:ind w:right="-29"/>
              <w:jc w:val="center"/>
              <w:rPr>
                <w:noProof/>
                <w:sz w:val="18"/>
                <w:szCs w:val="18"/>
                <w:lang w:val="en-IE" w:eastAsia="en-GB"/>
              </w:rPr>
            </w:pPr>
          </w:p>
        </w:tc>
        <w:tc>
          <w:tcPr>
            <w:tcW w:w="900" w:type="dxa"/>
          </w:tcPr>
          <w:p w14:paraId="121D4257" w14:textId="77777777" w:rsidR="001C0111" w:rsidRPr="001C0111" w:rsidRDefault="001C0111" w:rsidP="001C0111">
            <w:pPr>
              <w:ind w:right="-29"/>
              <w:jc w:val="center"/>
              <w:rPr>
                <w:noProof/>
                <w:sz w:val="18"/>
                <w:szCs w:val="18"/>
                <w:lang w:val="en-IE" w:eastAsia="en-GB"/>
              </w:rPr>
            </w:pPr>
          </w:p>
        </w:tc>
        <w:tc>
          <w:tcPr>
            <w:tcW w:w="720" w:type="dxa"/>
            <w:gridSpan w:val="2"/>
          </w:tcPr>
          <w:p w14:paraId="0786B5BC" w14:textId="77777777" w:rsidR="001C0111" w:rsidRPr="001C0111" w:rsidRDefault="001C0111" w:rsidP="001C0111">
            <w:pPr>
              <w:ind w:right="-29"/>
              <w:jc w:val="center"/>
              <w:rPr>
                <w:noProof/>
                <w:sz w:val="18"/>
                <w:szCs w:val="18"/>
                <w:lang w:val="en-IE" w:eastAsia="en-GB"/>
              </w:rPr>
            </w:pPr>
          </w:p>
        </w:tc>
        <w:tc>
          <w:tcPr>
            <w:tcW w:w="540" w:type="dxa"/>
          </w:tcPr>
          <w:p w14:paraId="55F6B4A1" w14:textId="77777777" w:rsidR="001C0111" w:rsidRPr="001C0111" w:rsidRDefault="001C0111" w:rsidP="001C0111">
            <w:pPr>
              <w:ind w:right="-29"/>
              <w:jc w:val="center"/>
              <w:rPr>
                <w:noProof/>
                <w:sz w:val="18"/>
                <w:szCs w:val="18"/>
                <w:lang w:val="en-IE" w:eastAsia="en-GB"/>
              </w:rPr>
            </w:pPr>
          </w:p>
        </w:tc>
        <w:tc>
          <w:tcPr>
            <w:tcW w:w="648" w:type="dxa"/>
          </w:tcPr>
          <w:p w14:paraId="747C5B54" w14:textId="77777777" w:rsidR="001C0111" w:rsidRPr="001C0111" w:rsidRDefault="001C0111" w:rsidP="001C0111">
            <w:pPr>
              <w:ind w:right="-29"/>
              <w:jc w:val="center"/>
              <w:rPr>
                <w:noProof/>
                <w:sz w:val="18"/>
                <w:szCs w:val="18"/>
                <w:lang w:val="en-IE" w:eastAsia="en-GB"/>
              </w:rPr>
            </w:pPr>
          </w:p>
        </w:tc>
        <w:tc>
          <w:tcPr>
            <w:tcW w:w="432" w:type="dxa"/>
          </w:tcPr>
          <w:p w14:paraId="61C8935C" w14:textId="77777777" w:rsidR="001C0111" w:rsidRPr="001C0111" w:rsidRDefault="001C0111" w:rsidP="001C0111">
            <w:pPr>
              <w:ind w:right="-29"/>
              <w:jc w:val="center"/>
              <w:rPr>
                <w:noProof/>
                <w:sz w:val="18"/>
                <w:szCs w:val="18"/>
                <w:lang w:val="en-IE" w:eastAsia="en-GB"/>
              </w:rPr>
            </w:pPr>
          </w:p>
        </w:tc>
        <w:tc>
          <w:tcPr>
            <w:tcW w:w="720" w:type="dxa"/>
          </w:tcPr>
          <w:p w14:paraId="66CA1559" w14:textId="77777777" w:rsidR="001C0111" w:rsidRPr="001C0111" w:rsidRDefault="001C0111" w:rsidP="001C0111">
            <w:pPr>
              <w:ind w:right="-29"/>
              <w:jc w:val="center"/>
              <w:rPr>
                <w:noProof/>
                <w:sz w:val="18"/>
                <w:szCs w:val="18"/>
                <w:lang w:val="en-IE" w:eastAsia="en-GB"/>
              </w:rPr>
            </w:pPr>
          </w:p>
        </w:tc>
        <w:tc>
          <w:tcPr>
            <w:tcW w:w="540" w:type="dxa"/>
          </w:tcPr>
          <w:p w14:paraId="71A1EADE" w14:textId="77777777" w:rsidR="001C0111" w:rsidRPr="001C0111" w:rsidRDefault="001C0111" w:rsidP="001C0111">
            <w:pPr>
              <w:ind w:right="-29"/>
              <w:jc w:val="center"/>
              <w:rPr>
                <w:noProof/>
                <w:sz w:val="18"/>
                <w:szCs w:val="18"/>
                <w:lang w:val="en-IE" w:eastAsia="en-GB"/>
              </w:rPr>
            </w:pPr>
          </w:p>
        </w:tc>
        <w:tc>
          <w:tcPr>
            <w:tcW w:w="720" w:type="dxa"/>
          </w:tcPr>
          <w:p w14:paraId="6BBC4A4C" w14:textId="77777777" w:rsidR="001C0111" w:rsidRPr="001C0111" w:rsidRDefault="001C0111" w:rsidP="001C0111">
            <w:pPr>
              <w:ind w:right="-29"/>
              <w:jc w:val="center"/>
              <w:rPr>
                <w:noProof/>
                <w:sz w:val="18"/>
                <w:szCs w:val="18"/>
                <w:lang w:val="en-IE" w:eastAsia="en-GB"/>
              </w:rPr>
            </w:pPr>
          </w:p>
        </w:tc>
        <w:tc>
          <w:tcPr>
            <w:tcW w:w="720" w:type="dxa"/>
          </w:tcPr>
          <w:p w14:paraId="317B24FF" w14:textId="77777777" w:rsidR="001C0111" w:rsidRPr="001C0111" w:rsidRDefault="001C0111" w:rsidP="001C0111">
            <w:pPr>
              <w:ind w:right="-29"/>
              <w:jc w:val="center"/>
              <w:rPr>
                <w:noProof/>
                <w:sz w:val="18"/>
                <w:szCs w:val="18"/>
                <w:lang w:val="en-IE" w:eastAsia="en-GB"/>
              </w:rPr>
            </w:pPr>
          </w:p>
        </w:tc>
        <w:tc>
          <w:tcPr>
            <w:tcW w:w="900" w:type="dxa"/>
          </w:tcPr>
          <w:p w14:paraId="5C4706F4" w14:textId="77777777" w:rsidR="001C0111" w:rsidRPr="001C0111" w:rsidRDefault="001C0111" w:rsidP="001C0111">
            <w:pPr>
              <w:ind w:right="-29"/>
              <w:jc w:val="center"/>
              <w:rPr>
                <w:noProof/>
                <w:sz w:val="18"/>
                <w:szCs w:val="18"/>
                <w:lang w:val="en-IE" w:eastAsia="en-GB"/>
              </w:rPr>
            </w:pPr>
          </w:p>
        </w:tc>
      </w:tr>
      <w:tr w:rsidR="001C0111" w:rsidRPr="001C0111" w14:paraId="699233E7" w14:textId="77777777" w:rsidTr="00EE4772">
        <w:trPr>
          <w:jc w:val="center"/>
        </w:trPr>
        <w:tc>
          <w:tcPr>
            <w:tcW w:w="2844" w:type="dxa"/>
            <w:gridSpan w:val="3"/>
            <w:tcBorders>
              <w:bottom w:val="single" w:sz="12" w:space="0" w:color="auto"/>
            </w:tcBorders>
            <w:vAlign w:val="center"/>
          </w:tcPr>
          <w:p w14:paraId="304549BE" w14:textId="77777777" w:rsidR="001C0111" w:rsidRPr="001C0111" w:rsidRDefault="001C0111" w:rsidP="001C0111">
            <w:pPr>
              <w:jc w:val="center"/>
              <w:rPr>
                <w:noProof/>
                <w:sz w:val="18"/>
                <w:szCs w:val="18"/>
                <w:lang w:val="en-IE" w:eastAsia="en-GB"/>
              </w:rPr>
            </w:pPr>
            <w:r w:rsidRPr="001C0111">
              <w:rPr>
                <w:noProof/>
                <w:sz w:val="18"/>
                <w:lang w:val="en-IE" w:eastAsia="en-GB"/>
              </w:rPr>
              <w:t>Subtotal for specific objective No 2</w:t>
            </w:r>
          </w:p>
        </w:tc>
        <w:tc>
          <w:tcPr>
            <w:tcW w:w="504" w:type="dxa"/>
            <w:tcBorders>
              <w:bottom w:val="single" w:sz="12" w:space="0" w:color="auto"/>
            </w:tcBorders>
          </w:tcPr>
          <w:p w14:paraId="6D2AD217"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1ECAB4EB" w14:textId="77777777" w:rsidR="001C0111" w:rsidRPr="001C0111" w:rsidRDefault="001C0111" w:rsidP="001C0111">
            <w:pPr>
              <w:ind w:right="-29"/>
              <w:jc w:val="center"/>
              <w:rPr>
                <w:noProof/>
                <w:sz w:val="18"/>
                <w:szCs w:val="18"/>
                <w:lang w:val="en-IE" w:eastAsia="en-GB"/>
              </w:rPr>
            </w:pPr>
          </w:p>
        </w:tc>
        <w:tc>
          <w:tcPr>
            <w:tcW w:w="540" w:type="dxa"/>
            <w:tcBorders>
              <w:bottom w:val="single" w:sz="12" w:space="0" w:color="auto"/>
            </w:tcBorders>
          </w:tcPr>
          <w:p w14:paraId="618B58E3"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39DDDB2D"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0F2E179B"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764C4902" w14:textId="77777777" w:rsidR="001C0111" w:rsidRPr="001C0111" w:rsidRDefault="001C0111" w:rsidP="001C0111">
            <w:pPr>
              <w:ind w:right="-29"/>
              <w:jc w:val="center"/>
              <w:rPr>
                <w:noProof/>
                <w:sz w:val="18"/>
                <w:szCs w:val="18"/>
                <w:lang w:val="en-IE" w:eastAsia="en-GB"/>
              </w:rPr>
            </w:pPr>
          </w:p>
        </w:tc>
        <w:tc>
          <w:tcPr>
            <w:tcW w:w="951" w:type="dxa"/>
            <w:gridSpan w:val="2"/>
            <w:tcBorders>
              <w:bottom w:val="single" w:sz="12" w:space="0" w:color="auto"/>
            </w:tcBorders>
          </w:tcPr>
          <w:p w14:paraId="6799B84D" w14:textId="77777777" w:rsidR="001C0111" w:rsidRPr="001C0111" w:rsidRDefault="001C0111" w:rsidP="001C0111">
            <w:pPr>
              <w:ind w:right="-29"/>
              <w:jc w:val="center"/>
              <w:rPr>
                <w:noProof/>
                <w:sz w:val="18"/>
                <w:szCs w:val="18"/>
                <w:lang w:val="en-IE" w:eastAsia="en-GB"/>
              </w:rPr>
            </w:pPr>
          </w:p>
        </w:tc>
        <w:tc>
          <w:tcPr>
            <w:tcW w:w="669" w:type="dxa"/>
            <w:tcBorders>
              <w:bottom w:val="single" w:sz="12" w:space="0" w:color="auto"/>
            </w:tcBorders>
          </w:tcPr>
          <w:p w14:paraId="0F405571" w14:textId="77777777" w:rsidR="001C0111" w:rsidRPr="001C0111" w:rsidRDefault="001C0111" w:rsidP="001C0111">
            <w:pPr>
              <w:ind w:right="-29"/>
              <w:jc w:val="center"/>
              <w:rPr>
                <w:noProof/>
                <w:sz w:val="18"/>
                <w:szCs w:val="18"/>
                <w:lang w:val="en-IE" w:eastAsia="en-GB"/>
              </w:rPr>
            </w:pPr>
          </w:p>
        </w:tc>
        <w:tc>
          <w:tcPr>
            <w:tcW w:w="540" w:type="dxa"/>
            <w:tcBorders>
              <w:bottom w:val="single" w:sz="12" w:space="0" w:color="auto"/>
            </w:tcBorders>
          </w:tcPr>
          <w:p w14:paraId="321A8002" w14:textId="77777777" w:rsidR="001C0111" w:rsidRPr="001C0111" w:rsidRDefault="001C0111" w:rsidP="001C0111">
            <w:pPr>
              <w:ind w:right="-29"/>
              <w:jc w:val="center"/>
              <w:rPr>
                <w:noProof/>
                <w:sz w:val="18"/>
                <w:szCs w:val="18"/>
                <w:lang w:val="en-IE" w:eastAsia="en-GB"/>
              </w:rPr>
            </w:pPr>
          </w:p>
        </w:tc>
        <w:tc>
          <w:tcPr>
            <w:tcW w:w="648" w:type="dxa"/>
            <w:tcBorders>
              <w:bottom w:val="single" w:sz="12" w:space="0" w:color="auto"/>
            </w:tcBorders>
          </w:tcPr>
          <w:p w14:paraId="3DAD89CB" w14:textId="77777777" w:rsidR="001C0111" w:rsidRPr="001C0111" w:rsidRDefault="001C0111" w:rsidP="001C0111">
            <w:pPr>
              <w:ind w:right="-29"/>
              <w:jc w:val="center"/>
              <w:rPr>
                <w:noProof/>
                <w:sz w:val="18"/>
                <w:szCs w:val="18"/>
                <w:lang w:val="en-IE" w:eastAsia="en-GB"/>
              </w:rPr>
            </w:pPr>
          </w:p>
        </w:tc>
        <w:tc>
          <w:tcPr>
            <w:tcW w:w="432" w:type="dxa"/>
            <w:tcBorders>
              <w:bottom w:val="single" w:sz="12" w:space="0" w:color="auto"/>
            </w:tcBorders>
          </w:tcPr>
          <w:p w14:paraId="458C0C02"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28B58BB5" w14:textId="77777777" w:rsidR="001C0111" w:rsidRPr="001C0111" w:rsidRDefault="001C0111" w:rsidP="001C0111">
            <w:pPr>
              <w:ind w:right="-29"/>
              <w:jc w:val="center"/>
              <w:rPr>
                <w:noProof/>
                <w:sz w:val="18"/>
                <w:szCs w:val="18"/>
                <w:lang w:val="en-IE" w:eastAsia="en-GB"/>
              </w:rPr>
            </w:pPr>
          </w:p>
        </w:tc>
        <w:tc>
          <w:tcPr>
            <w:tcW w:w="540" w:type="dxa"/>
            <w:tcBorders>
              <w:bottom w:val="single" w:sz="12" w:space="0" w:color="auto"/>
            </w:tcBorders>
          </w:tcPr>
          <w:p w14:paraId="57BD7692"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1A7A9463" w14:textId="77777777" w:rsidR="001C0111" w:rsidRPr="001C0111" w:rsidRDefault="001C0111" w:rsidP="001C0111">
            <w:pPr>
              <w:ind w:right="-29"/>
              <w:jc w:val="center"/>
              <w:rPr>
                <w:noProof/>
                <w:sz w:val="18"/>
                <w:szCs w:val="18"/>
                <w:lang w:val="en-IE" w:eastAsia="en-GB"/>
              </w:rPr>
            </w:pPr>
          </w:p>
        </w:tc>
        <w:tc>
          <w:tcPr>
            <w:tcW w:w="720" w:type="dxa"/>
            <w:tcBorders>
              <w:bottom w:val="single" w:sz="12" w:space="0" w:color="auto"/>
            </w:tcBorders>
          </w:tcPr>
          <w:p w14:paraId="6B9B492B" w14:textId="77777777" w:rsidR="001C0111" w:rsidRPr="001C0111" w:rsidRDefault="001C0111" w:rsidP="001C0111">
            <w:pPr>
              <w:ind w:right="-29"/>
              <w:jc w:val="center"/>
              <w:rPr>
                <w:noProof/>
                <w:sz w:val="18"/>
                <w:szCs w:val="18"/>
                <w:lang w:val="en-IE" w:eastAsia="en-GB"/>
              </w:rPr>
            </w:pPr>
          </w:p>
        </w:tc>
        <w:tc>
          <w:tcPr>
            <w:tcW w:w="900" w:type="dxa"/>
            <w:tcBorders>
              <w:bottom w:val="single" w:sz="12" w:space="0" w:color="auto"/>
            </w:tcBorders>
          </w:tcPr>
          <w:p w14:paraId="3F52E118" w14:textId="77777777" w:rsidR="001C0111" w:rsidRPr="001C0111" w:rsidRDefault="001C0111" w:rsidP="001C0111">
            <w:pPr>
              <w:ind w:right="-29"/>
              <w:jc w:val="center"/>
              <w:rPr>
                <w:noProof/>
                <w:sz w:val="18"/>
                <w:szCs w:val="18"/>
                <w:lang w:val="en-IE" w:eastAsia="en-GB"/>
              </w:rPr>
            </w:pPr>
          </w:p>
        </w:tc>
      </w:tr>
      <w:tr w:rsidR="001C0111" w:rsidRPr="001C0111" w14:paraId="2F3A86BF" w14:textId="77777777" w:rsidTr="00EE4772">
        <w:trPr>
          <w:jc w:val="center"/>
        </w:trPr>
        <w:tc>
          <w:tcPr>
            <w:tcW w:w="2844" w:type="dxa"/>
            <w:gridSpan w:val="3"/>
            <w:tcBorders>
              <w:top w:val="single" w:sz="12" w:space="0" w:color="auto"/>
              <w:left w:val="single" w:sz="12" w:space="0" w:color="auto"/>
              <w:bottom w:val="single" w:sz="12" w:space="0" w:color="auto"/>
            </w:tcBorders>
            <w:vAlign w:val="center"/>
          </w:tcPr>
          <w:p w14:paraId="28DE0B1F" w14:textId="77777777" w:rsidR="001C0111" w:rsidRPr="001C0111" w:rsidRDefault="001C0111" w:rsidP="001C0111">
            <w:pPr>
              <w:ind w:right="-29"/>
              <w:jc w:val="center"/>
              <w:rPr>
                <w:noProof/>
                <w:sz w:val="18"/>
                <w:szCs w:val="18"/>
                <w:lang w:val="en-IE" w:eastAsia="en-GB"/>
              </w:rPr>
            </w:pPr>
            <w:r w:rsidRPr="001C0111">
              <w:rPr>
                <w:b/>
                <w:noProof/>
                <w:sz w:val="18"/>
                <w:lang w:val="en-IE" w:eastAsia="en-GB"/>
              </w:rPr>
              <w:t>TOTALS</w:t>
            </w:r>
          </w:p>
        </w:tc>
        <w:tc>
          <w:tcPr>
            <w:tcW w:w="504" w:type="dxa"/>
            <w:tcBorders>
              <w:top w:val="single" w:sz="12" w:space="0" w:color="auto"/>
              <w:bottom w:val="single" w:sz="12" w:space="0" w:color="auto"/>
            </w:tcBorders>
          </w:tcPr>
          <w:p w14:paraId="695D74CF" w14:textId="77777777" w:rsidR="001C0111" w:rsidRPr="001C0111" w:rsidRDefault="001C0111" w:rsidP="001C0111">
            <w:pPr>
              <w:spacing w:before="180" w:after="180"/>
              <w:ind w:right="-29"/>
              <w:jc w:val="center"/>
              <w:rPr>
                <w:noProof/>
                <w:sz w:val="18"/>
                <w:szCs w:val="18"/>
                <w:lang w:val="en-IE" w:eastAsia="en-GB"/>
              </w:rPr>
            </w:pPr>
          </w:p>
        </w:tc>
        <w:tc>
          <w:tcPr>
            <w:tcW w:w="720" w:type="dxa"/>
            <w:tcBorders>
              <w:top w:val="single" w:sz="12" w:space="0" w:color="auto"/>
              <w:bottom w:val="single" w:sz="12" w:space="0" w:color="auto"/>
            </w:tcBorders>
          </w:tcPr>
          <w:p w14:paraId="41570D27" w14:textId="77777777" w:rsidR="001C0111" w:rsidRPr="001C0111" w:rsidRDefault="001C0111" w:rsidP="001C0111">
            <w:pPr>
              <w:spacing w:before="180" w:after="180"/>
              <w:ind w:right="-29"/>
              <w:jc w:val="center"/>
              <w:rPr>
                <w:noProof/>
                <w:sz w:val="18"/>
                <w:szCs w:val="18"/>
                <w:lang w:val="en-IE" w:eastAsia="en-GB"/>
              </w:rPr>
            </w:pPr>
          </w:p>
        </w:tc>
        <w:tc>
          <w:tcPr>
            <w:tcW w:w="540" w:type="dxa"/>
            <w:tcBorders>
              <w:top w:val="single" w:sz="12" w:space="0" w:color="auto"/>
              <w:bottom w:val="single" w:sz="12" w:space="0" w:color="auto"/>
            </w:tcBorders>
          </w:tcPr>
          <w:p w14:paraId="43A076D9" w14:textId="77777777" w:rsidR="001C0111" w:rsidRPr="001C0111" w:rsidRDefault="001C0111" w:rsidP="001C0111">
            <w:pPr>
              <w:spacing w:before="180" w:after="180"/>
              <w:ind w:right="-29"/>
              <w:jc w:val="center"/>
              <w:rPr>
                <w:noProof/>
                <w:sz w:val="18"/>
                <w:szCs w:val="18"/>
                <w:lang w:val="en-IE" w:eastAsia="en-GB"/>
              </w:rPr>
            </w:pPr>
          </w:p>
        </w:tc>
        <w:tc>
          <w:tcPr>
            <w:tcW w:w="720" w:type="dxa"/>
            <w:tcBorders>
              <w:top w:val="single" w:sz="12" w:space="0" w:color="auto"/>
              <w:bottom w:val="single" w:sz="12" w:space="0" w:color="auto"/>
            </w:tcBorders>
          </w:tcPr>
          <w:p w14:paraId="7DFC28F6" w14:textId="77777777" w:rsidR="001C0111" w:rsidRPr="001C0111" w:rsidRDefault="001C0111" w:rsidP="001C0111">
            <w:pPr>
              <w:spacing w:before="180" w:after="180"/>
              <w:ind w:right="-29"/>
              <w:jc w:val="center"/>
              <w:rPr>
                <w:noProof/>
                <w:sz w:val="18"/>
                <w:szCs w:val="18"/>
                <w:lang w:val="en-IE" w:eastAsia="en-GB"/>
              </w:rPr>
            </w:pPr>
          </w:p>
        </w:tc>
        <w:tc>
          <w:tcPr>
            <w:tcW w:w="720" w:type="dxa"/>
            <w:tcBorders>
              <w:top w:val="single" w:sz="12" w:space="0" w:color="auto"/>
              <w:bottom w:val="single" w:sz="12" w:space="0" w:color="auto"/>
            </w:tcBorders>
          </w:tcPr>
          <w:p w14:paraId="4DBC662B" w14:textId="77777777" w:rsidR="001C0111" w:rsidRPr="001C0111" w:rsidRDefault="001C0111" w:rsidP="001C0111">
            <w:pPr>
              <w:spacing w:before="180" w:after="180"/>
              <w:ind w:right="-29"/>
              <w:jc w:val="center"/>
              <w:rPr>
                <w:noProof/>
                <w:sz w:val="18"/>
                <w:szCs w:val="18"/>
                <w:lang w:val="en-IE" w:eastAsia="en-GB"/>
              </w:rPr>
            </w:pPr>
          </w:p>
        </w:tc>
        <w:tc>
          <w:tcPr>
            <w:tcW w:w="720" w:type="dxa"/>
            <w:tcBorders>
              <w:top w:val="single" w:sz="12" w:space="0" w:color="auto"/>
              <w:bottom w:val="single" w:sz="12" w:space="0" w:color="auto"/>
            </w:tcBorders>
          </w:tcPr>
          <w:p w14:paraId="4FA862C0" w14:textId="77777777" w:rsidR="001C0111" w:rsidRPr="001C0111" w:rsidRDefault="001C0111" w:rsidP="001C0111">
            <w:pPr>
              <w:spacing w:before="180" w:after="180"/>
              <w:ind w:right="-29"/>
              <w:jc w:val="center"/>
              <w:rPr>
                <w:noProof/>
                <w:sz w:val="18"/>
                <w:szCs w:val="18"/>
                <w:lang w:val="en-IE" w:eastAsia="en-GB"/>
              </w:rPr>
            </w:pPr>
          </w:p>
        </w:tc>
        <w:tc>
          <w:tcPr>
            <w:tcW w:w="900" w:type="dxa"/>
            <w:tcBorders>
              <w:top w:val="single" w:sz="12" w:space="0" w:color="auto"/>
              <w:bottom w:val="single" w:sz="12" w:space="0" w:color="auto"/>
            </w:tcBorders>
          </w:tcPr>
          <w:p w14:paraId="09E14582" w14:textId="77777777" w:rsidR="001C0111" w:rsidRPr="001C0111" w:rsidRDefault="001C0111" w:rsidP="001C0111">
            <w:pPr>
              <w:spacing w:before="180" w:after="180"/>
              <w:ind w:right="-29"/>
              <w:jc w:val="center"/>
              <w:rPr>
                <w:noProof/>
                <w:sz w:val="18"/>
                <w:szCs w:val="18"/>
                <w:lang w:val="en-IE" w:eastAsia="en-GB"/>
              </w:rPr>
            </w:pPr>
          </w:p>
        </w:tc>
        <w:tc>
          <w:tcPr>
            <w:tcW w:w="720" w:type="dxa"/>
            <w:gridSpan w:val="2"/>
            <w:tcBorders>
              <w:top w:val="single" w:sz="12" w:space="0" w:color="auto"/>
              <w:bottom w:val="single" w:sz="12" w:space="0" w:color="auto"/>
            </w:tcBorders>
          </w:tcPr>
          <w:p w14:paraId="223432F7" w14:textId="77777777" w:rsidR="001C0111" w:rsidRPr="001C0111" w:rsidRDefault="001C0111" w:rsidP="001C0111">
            <w:pPr>
              <w:spacing w:before="180" w:after="180"/>
              <w:ind w:right="-29"/>
              <w:jc w:val="center"/>
              <w:rPr>
                <w:noProof/>
                <w:sz w:val="18"/>
                <w:szCs w:val="18"/>
                <w:lang w:val="en-IE" w:eastAsia="en-GB"/>
              </w:rPr>
            </w:pPr>
          </w:p>
        </w:tc>
        <w:tc>
          <w:tcPr>
            <w:tcW w:w="540" w:type="dxa"/>
            <w:tcBorders>
              <w:top w:val="single" w:sz="12" w:space="0" w:color="auto"/>
              <w:bottom w:val="single" w:sz="12" w:space="0" w:color="auto"/>
            </w:tcBorders>
          </w:tcPr>
          <w:p w14:paraId="4794040C" w14:textId="77777777" w:rsidR="001C0111" w:rsidRPr="001C0111" w:rsidRDefault="001C0111" w:rsidP="001C0111">
            <w:pPr>
              <w:spacing w:before="180" w:after="180"/>
              <w:ind w:right="-29"/>
              <w:jc w:val="center"/>
              <w:rPr>
                <w:noProof/>
                <w:sz w:val="18"/>
                <w:szCs w:val="18"/>
                <w:lang w:val="en-IE" w:eastAsia="en-GB"/>
              </w:rPr>
            </w:pPr>
          </w:p>
        </w:tc>
        <w:tc>
          <w:tcPr>
            <w:tcW w:w="648" w:type="dxa"/>
            <w:tcBorders>
              <w:top w:val="single" w:sz="12" w:space="0" w:color="auto"/>
              <w:bottom w:val="single" w:sz="12" w:space="0" w:color="auto"/>
            </w:tcBorders>
          </w:tcPr>
          <w:p w14:paraId="146C23CB" w14:textId="77777777" w:rsidR="001C0111" w:rsidRPr="001C0111" w:rsidRDefault="001C0111" w:rsidP="001C0111">
            <w:pPr>
              <w:spacing w:before="180" w:after="180"/>
              <w:ind w:right="-29"/>
              <w:jc w:val="center"/>
              <w:rPr>
                <w:noProof/>
                <w:sz w:val="18"/>
                <w:szCs w:val="18"/>
                <w:lang w:val="en-IE" w:eastAsia="en-GB"/>
              </w:rPr>
            </w:pPr>
          </w:p>
        </w:tc>
        <w:tc>
          <w:tcPr>
            <w:tcW w:w="432" w:type="dxa"/>
            <w:tcBorders>
              <w:top w:val="single" w:sz="12" w:space="0" w:color="auto"/>
              <w:bottom w:val="single" w:sz="12" w:space="0" w:color="auto"/>
            </w:tcBorders>
          </w:tcPr>
          <w:p w14:paraId="13A5D7A6" w14:textId="77777777" w:rsidR="001C0111" w:rsidRPr="001C0111" w:rsidRDefault="001C0111" w:rsidP="001C0111">
            <w:pPr>
              <w:spacing w:before="180" w:after="180"/>
              <w:ind w:right="-29"/>
              <w:jc w:val="center"/>
              <w:rPr>
                <w:noProof/>
                <w:sz w:val="18"/>
                <w:szCs w:val="18"/>
                <w:lang w:val="en-IE" w:eastAsia="en-GB"/>
              </w:rPr>
            </w:pPr>
          </w:p>
        </w:tc>
        <w:tc>
          <w:tcPr>
            <w:tcW w:w="720" w:type="dxa"/>
            <w:tcBorders>
              <w:top w:val="single" w:sz="12" w:space="0" w:color="auto"/>
              <w:bottom w:val="single" w:sz="12" w:space="0" w:color="auto"/>
            </w:tcBorders>
          </w:tcPr>
          <w:p w14:paraId="5C4EB7EC" w14:textId="77777777" w:rsidR="001C0111" w:rsidRPr="001C0111" w:rsidRDefault="001C0111" w:rsidP="001C0111">
            <w:pPr>
              <w:spacing w:before="180" w:after="180"/>
              <w:ind w:right="-29"/>
              <w:jc w:val="center"/>
              <w:rPr>
                <w:noProof/>
                <w:sz w:val="18"/>
                <w:szCs w:val="18"/>
                <w:lang w:val="en-IE" w:eastAsia="en-GB"/>
              </w:rPr>
            </w:pPr>
          </w:p>
        </w:tc>
        <w:tc>
          <w:tcPr>
            <w:tcW w:w="540" w:type="dxa"/>
            <w:tcBorders>
              <w:top w:val="single" w:sz="12" w:space="0" w:color="auto"/>
              <w:bottom w:val="single" w:sz="12" w:space="0" w:color="auto"/>
            </w:tcBorders>
          </w:tcPr>
          <w:p w14:paraId="52F2B08D" w14:textId="77777777" w:rsidR="001C0111" w:rsidRPr="001C0111" w:rsidRDefault="001C0111" w:rsidP="001C0111">
            <w:pPr>
              <w:spacing w:before="180" w:after="180"/>
              <w:ind w:right="-29"/>
              <w:jc w:val="center"/>
              <w:rPr>
                <w:noProof/>
                <w:sz w:val="18"/>
                <w:szCs w:val="18"/>
                <w:lang w:val="en-IE" w:eastAsia="en-GB"/>
              </w:rPr>
            </w:pPr>
          </w:p>
        </w:tc>
        <w:tc>
          <w:tcPr>
            <w:tcW w:w="720" w:type="dxa"/>
            <w:tcBorders>
              <w:top w:val="single" w:sz="12" w:space="0" w:color="auto"/>
              <w:bottom w:val="single" w:sz="12" w:space="0" w:color="auto"/>
            </w:tcBorders>
          </w:tcPr>
          <w:p w14:paraId="436BE691" w14:textId="77777777" w:rsidR="001C0111" w:rsidRPr="001C0111" w:rsidRDefault="001C0111" w:rsidP="001C0111">
            <w:pPr>
              <w:spacing w:before="180" w:after="180"/>
              <w:ind w:right="-29"/>
              <w:jc w:val="center"/>
              <w:rPr>
                <w:noProof/>
                <w:sz w:val="18"/>
                <w:szCs w:val="18"/>
                <w:lang w:val="en-IE" w:eastAsia="en-GB"/>
              </w:rPr>
            </w:pPr>
          </w:p>
        </w:tc>
        <w:tc>
          <w:tcPr>
            <w:tcW w:w="720" w:type="dxa"/>
            <w:tcBorders>
              <w:top w:val="single" w:sz="12" w:space="0" w:color="auto"/>
              <w:bottom w:val="single" w:sz="12" w:space="0" w:color="auto"/>
            </w:tcBorders>
          </w:tcPr>
          <w:p w14:paraId="1D791E3F" w14:textId="77777777" w:rsidR="001C0111" w:rsidRPr="001C0111" w:rsidRDefault="001C0111" w:rsidP="001C0111">
            <w:pPr>
              <w:spacing w:before="180" w:after="180"/>
              <w:ind w:right="-29"/>
              <w:jc w:val="center"/>
              <w:rPr>
                <w:noProof/>
                <w:sz w:val="18"/>
                <w:szCs w:val="18"/>
                <w:lang w:val="en-IE" w:eastAsia="en-GB"/>
              </w:rPr>
            </w:pPr>
          </w:p>
        </w:tc>
        <w:tc>
          <w:tcPr>
            <w:tcW w:w="900" w:type="dxa"/>
            <w:tcBorders>
              <w:top w:val="single" w:sz="12" w:space="0" w:color="auto"/>
              <w:bottom w:val="single" w:sz="12" w:space="0" w:color="auto"/>
              <w:right w:val="single" w:sz="12" w:space="0" w:color="auto"/>
            </w:tcBorders>
          </w:tcPr>
          <w:p w14:paraId="4A8A1AFF" w14:textId="77777777" w:rsidR="001C0111" w:rsidRPr="001C0111" w:rsidRDefault="001C0111" w:rsidP="001C0111">
            <w:pPr>
              <w:spacing w:before="180" w:after="180"/>
              <w:ind w:right="-29"/>
              <w:jc w:val="center"/>
              <w:rPr>
                <w:noProof/>
                <w:sz w:val="18"/>
                <w:szCs w:val="18"/>
                <w:lang w:val="en-IE" w:eastAsia="en-GB"/>
              </w:rPr>
            </w:pPr>
          </w:p>
        </w:tc>
      </w:tr>
    </w:tbl>
    <w:p w14:paraId="73502C9E" w14:textId="77777777" w:rsidR="001C0111" w:rsidRPr="001C0111" w:rsidRDefault="001C0111" w:rsidP="001C0111">
      <w:pPr>
        <w:rPr>
          <w:noProof/>
          <w:lang w:val="en-IE" w:eastAsia="en-GB"/>
        </w:rPr>
        <w:sectPr w:rsidR="001C0111" w:rsidRPr="001C0111" w:rsidSect="00A71C3C">
          <w:headerReference w:type="default" r:id="rId17"/>
          <w:footerReference w:type="default" r:id="rId18"/>
          <w:headerReference w:type="first" r:id="rId19"/>
          <w:footerReference w:type="first" r:id="rId20"/>
          <w:footnotePr>
            <w:numRestart w:val="eachSect"/>
          </w:footnotePr>
          <w:pgSz w:w="16840" w:h="11907" w:orient="landscape" w:code="9"/>
          <w:pgMar w:top="1134" w:right="1418" w:bottom="567" w:left="1418" w:header="709" w:footer="709" w:gutter="0"/>
          <w:cols w:space="708"/>
          <w:docGrid w:linePitch="360"/>
        </w:sectPr>
      </w:pPr>
    </w:p>
    <w:p w14:paraId="65CCA46E" w14:textId="77777777" w:rsidR="001C0111" w:rsidRPr="001C0111" w:rsidRDefault="001C0111" w:rsidP="002A2DB0">
      <w:pPr>
        <w:keepNext/>
        <w:outlineLvl w:val="2"/>
        <w:rPr>
          <w:rFonts w:eastAsiaTheme="majorEastAsia"/>
          <w:i/>
          <w:noProof/>
          <w:szCs w:val="24"/>
          <w:lang w:val="en-IE" w:eastAsia="en-GB"/>
        </w:rPr>
      </w:pPr>
      <w:bookmarkStart w:id="61" w:name="_Toc514938055"/>
      <w:bookmarkStart w:id="62" w:name="_Toc520485054"/>
      <w:r w:rsidRPr="001C0111">
        <w:rPr>
          <w:rFonts w:eastAsiaTheme="majorEastAsia"/>
          <w:bCs/>
          <w:i/>
          <w:noProof/>
          <w:lang w:val="en-IE" w:eastAsia="en-GB"/>
        </w:rPr>
        <w:t xml:space="preserve">Estimated impact on </w:t>
      </w:r>
      <w:r w:rsidRPr="001C0111">
        <w:rPr>
          <w:rFonts w:eastAsiaTheme="majorEastAsia"/>
          <w:bCs/>
          <w:i/>
          <w:noProof/>
          <w:lang w:eastAsia="en-GB"/>
        </w:rPr>
        <w:t>ECHA, EEA and COM</w:t>
      </w:r>
      <w:r w:rsidRPr="001C0111">
        <w:rPr>
          <w:rFonts w:eastAsiaTheme="majorEastAsia"/>
          <w:bCs/>
          <w:i/>
          <w:noProof/>
          <w:lang w:val="en-IE" w:eastAsia="en-GB"/>
        </w:rPr>
        <w:t xml:space="preserve"> administrative appropriations</w:t>
      </w:r>
      <w:bookmarkEnd w:id="61"/>
      <w:bookmarkEnd w:id="62"/>
      <w:r w:rsidRPr="001C0111">
        <w:rPr>
          <w:rFonts w:eastAsiaTheme="majorEastAsia"/>
          <w:bCs/>
          <w:i/>
          <w:noProof/>
          <w:lang w:val="en-IE" w:eastAsia="en-GB"/>
        </w:rPr>
        <w:t xml:space="preserve"> </w:t>
      </w:r>
    </w:p>
    <w:p w14:paraId="76CCF3B0" w14:textId="77777777" w:rsidR="001C0111" w:rsidRPr="001C0111" w:rsidRDefault="001C0111" w:rsidP="001C0111">
      <w:pPr>
        <w:ind w:left="1134"/>
        <w:rPr>
          <w:noProof/>
          <w:lang w:val="en-IE" w:eastAsia="en-GB"/>
        </w:rPr>
      </w:pPr>
    </w:p>
    <w:p w14:paraId="2FAD9E13" w14:textId="77777777" w:rsidR="001C0111" w:rsidRPr="001C0111" w:rsidRDefault="001C0111" w:rsidP="002A2DB0">
      <w:pPr>
        <w:keepNext/>
        <w:outlineLvl w:val="3"/>
        <w:rPr>
          <w:rFonts w:eastAsiaTheme="majorEastAsia"/>
          <w:iCs/>
          <w:noProof/>
          <w:szCs w:val="24"/>
          <w:lang w:eastAsia="en-GB"/>
        </w:rPr>
      </w:pPr>
      <w:r w:rsidRPr="001C0111">
        <w:rPr>
          <w:rFonts w:eastAsiaTheme="majorEastAsia"/>
          <w:bCs/>
          <w:iCs/>
          <w:noProof/>
          <w:lang w:eastAsia="en-GB"/>
        </w:rPr>
        <w:t xml:space="preserve">Estimated impact on ECHA's human resources </w:t>
      </w:r>
    </w:p>
    <w:p w14:paraId="3296118D" w14:textId="77777777" w:rsidR="001C0111" w:rsidRPr="001C0111" w:rsidRDefault="001C0111" w:rsidP="002A2DB0">
      <w:pPr>
        <w:rPr>
          <w:noProof/>
          <w:lang w:eastAsia="en-GB"/>
        </w:rPr>
      </w:pPr>
      <w:r w:rsidRPr="001C0111">
        <w:rPr>
          <w:rFonts w:ascii="Wingdings" w:eastAsia="Wingdings" w:hAnsi="Wingdings" w:cs="Wingdings"/>
          <w:noProof/>
          <w:lang w:eastAsia="en-GB"/>
        </w:rPr>
        <w:t></w:t>
      </w:r>
      <w:r w:rsidRPr="001C0111">
        <w:rPr>
          <w:noProof/>
          <w:lang w:eastAsia="en-GB"/>
        </w:rPr>
        <w:tab/>
        <w:t xml:space="preserve">The proposal/initiative does not require the use of appropriations of an administrative nature </w:t>
      </w:r>
    </w:p>
    <w:p w14:paraId="422C0F1C" w14:textId="77777777" w:rsidR="001C0111" w:rsidRPr="001C0111" w:rsidRDefault="001C0111" w:rsidP="002A2DB0">
      <w:pPr>
        <w:rPr>
          <w:noProof/>
          <w:lang w:eastAsia="en-GB"/>
        </w:rPr>
      </w:pPr>
      <w:r w:rsidRPr="001C0111">
        <w:rPr>
          <w:rFonts w:ascii="Wingdings" w:eastAsia="Wingdings" w:hAnsi="Wingdings" w:cs="Wingdings"/>
          <w:b/>
          <w:noProof/>
          <w:lang w:eastAsia="en-GB"/>
        </w:rPr>
        <w:t></w:t>
      </w:r>
      <w:r w:rsidRPr="001C0111">
        <w:rPr>
          <w:noProof/>
          <w:lang w:val="en-IE" w:eastAsia="en-GB"/>
        </w:rPr>
        <w:tab/>
      </w:r>
      <w:r w:rsidRPr="001C0111">
        <w:rPr>
          <w:noProof/>
          <w:lang w:eastAsia="en-GB"/>
        </w:rPr>
        <w:t>The proposal/initiative requires the use of appropriations of an administrative nature, as explained below:</w:t>
      </w:r>
    </w:p>
    <w:p w14:paraId="2F4C8A8D" w14:textId="77777777" w:rsidR="001C0111" w:rsidRPr="001C0111" w:rsidRDefault="001C0111" w:rsidP="001C0111">
      <w:pPr>
        <w:rPr>
          <w:noProof/>
          <w:sz w:val="20"/>
          <w:lang w:eastAsia="en-GB"/>
        </w:rPr>
      </w:pPr>
      <w:r w:rsidRPr="001C0111">
        <w:rPr>
          <w:noProof/>
          <w:sz w:val="20"/>
          <w:lang w:eastAsia="en-GB"/>
        </w:rPr>
        <w:t>EUR million (to three decimal places)</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1C0111" w14:paraId="7A568BE2" w14:textId="77777777" w:rsidTr="00EE4772">
        <w:trPr>
          <w:trHeight w:val="585"/>
          <w:jc w:val="center"/>
        </w:trPr>
        <w:tc>
          <w:tcPr>
            <w:tcW w:w="1980" w:type="dxa"/>
          </w:tcPr>
          <w:p w14:paraId="266C13D9" w14:textId="77777777" w:rsidR="001C0111" w:rsidRPr="001C0111" w:rsidRDefault="001C0111" w:rsidP="001C0111">
            <w:pPr>
              <w:spacing w:before="60" w:after="60"/>
              <w:rPr>
                <w:noProof/>
                <w:sz w:val="20"/>
                <w:lang w:eastAsia="en-GB"/>
              </w:rPr>
            </w:pPr>
          </w:p>
        </w:tc>
        <w:tc>
          <w:tcPr>
            <w:tcW w:w="1080" w:type="dxa"/>
            <w:vAlign w:val="center"/>
          </w:tcPr>
          <w:p w14:paraId="1B423065" w14:textId="77777777" w:rsidR="001C0111" w:rsidRPr="001C0111" w:rsidRDefault="001C0111" w:rsidP="001C0111">
            <w:pPr>
              <w:spacing w:before="60" w:after="60"/>
              <w:jc w:val="center"/>
              <w:rPr>
                <w:b/>
                <w:noProof/>
                <w:sz w:val="20"/>
                <w:lang w:eastAsia="en-GB"/>
              </w:rPr>
            </w:pPr>
            <w:r w:rsidRPr="001C0111">
              <w:rPr>
                <w:b/>
                <w:noProof/>
                <w:sz w:val="20"/>
                <w:lang w:eastAsia="en-GB"/>
              </w:rPr>
              <w:t>2024</w:t>
            </w:r>
          </w:p>
        </w:tc>
        <w:tc>
          <w:tcPr>
            <w:tcW w:w="1080" w:type="dxa"/>
            <w:vAlign w:val="center"/>
          </w:tcPr>
          <w:p w14:paraId="55474DE2" w14:textId="77777777" w:rsidR="001C0111" w:rsidRPr="001C0111" w:rsidRDefault="001C0111" w:rsidP="001C0111">
            <w:pPr>
              <w:spacing w:before="60" w:after="60"/>
              <w:jc w:val="center"/>
              <w:rPr>
                <w:b/>
                <w:noProof/>
                <w:sz w:val="20"/>
                <w:lang w:eastAsia="en-GB"/>
              </w:rPr>
            </w:pPr>
            <w:r w:rsidRPr="001C0111">
              <w:rPr>
                <w:b/>
                <w:noProof/>
                <w:sz w:val="20"/>
                <w:lang w:eastAsia="en-GB"/>
              </w:rPr>
              <w:t>2025</w:t>
            </w:r>
          </w:p>
        </w:tc>
        <w:tc>
          <w:tcPr>
            <w:tcW w:w="1080" w:type="dxa"/>
            <w:vAlign w:val="center"/>
          </w:tcPr>
          <w:p w14:paraId="2B83C3F9" w14:textId="77777777" w:rsidR="001C0111" w:rsidRPr="001C0111" w:rsidRDefault="001C0111" w:rsidP="001C0111">
            <w:pPr>
              <w:spacing w:before="60" w:after="60"/>
              <w:jc w:val="center"/>
              <w:rPr>
                <w:b/>
                <w:noProof/>
                <w:sz w:val="20"/>
                <w:lang w:eastAsia="en-GB"/>
              </w:rPr>
            </w:pPr>
            <w:r w:rsidRPr="001C0111">
              <w:rPr>
                <w:b/>
                <w:noProof/>
                <w:sz w:val="20"/>
                <w:lang w:eastAsia="en-GB"/>
              </w:rPr>
              <w:t>2026</w:t>
            </w:r>
          </w:p>
        </w:tc>
        <w:tc>
          <w:tcPr>
            <w:tcW w:w="1080" w:type="dxa"/>
            <w:vAlign w:val="center"/>
          </w:tcPr>
          <w:p w14:paraId="7901FE5F" w14:textId="77777777" w:rsidR="001C0111" w:rsidRPr="001C0111" w:rsidRDefault="001C0111" w:rsidP="001C0111">
            <w:pPr>
              <w:spacing w:before="60" w:after="60"/>
              <w:jc w:val="center"/>
              <w:rPr>
                <w:b/>
                <w:noProof/>
                <w:sz w:val="20"/>
                <w:lang w:eastAsia="en-GB"/>
              </w:rPr>
            </w:pPr>
            <w:r w:rsidRPr="001C0111">
              <w:rPr>
                <w:b/>
                <w:noProof/>
                <w:sz w:val="20"/>
                <w:lang w:eastAsia="en-GB"/>
              </w:rPr>
              <w:t>2027</w:t>
            </w:r>
          </w:p>
        </w:tc>
        <w:tc>
          <w:tcPr>
            <w:tcW w:w="1080" w:type="dxa"/>
            <w:vAlign w:val="center"/>
          </w:tcPr>
          <w:p w14:paraId="5C887753" w14:textId="77777777" w:rsidR="001C0111" w:rsidRPr="001C0111" w:rsidRDefault="001C0111" w:rsidP="001C0111">
            <w:pPr>
              <w:jc w:val="center"/>
              <w:rPr>
                <w:b/>
                <w:noProof/>
                <w:sz w:val="20"/>
                <w:lang w:eastAsia="en-GB"/>
              </w:rPr>
            </w:pPr>
            <w:r w:rsidRPr="001C0111">
              <w:rPr>
                <w:b/>
                <w:noProof/>
                <w:sz w:val="20"/>
                <w:lang w:eastAsia="en-GB"/>
              </w:rPr>
              <w:t>TOTAL</w:t>
            </w:r>
          </w:p>
        </w:tc>
      </w:tr>
    </w:tbl>
    <w:p w14:paraId="65414A0C" w14:textId="77777777" w:rsidR="001C0111" w:rsidRPr="001C0111" w:rsidRDefault="001C0111" w:rsidP="001C0111">
      <w:pPr>
        <w:rPr>
          <w:noProof/>
          <w:sz w:val="20"/>
          <w:lang w:eastAsia="en-GB"/>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1C0111" w14:paraId="1484CDE1" w14:textId="77777777" w:rsidTr="00EE4772">
        <w:trPr>
          <w:trHeight w:val="585"/>
          <w:jc w:val="center"/>
        </w:trPr>
        <w:tc>
          <w:tcPr>
            <w:tcW w:w="1980" w:type="dxa"/>
            <w:shd w:val="clear" w:color="auto" w:fill="D9D9D9" w:themeFill="background1" w:themeFillShade="D9"/>
            <w:vAlign w:val="center"/>
          </w:tcPr>
          <w:p w14:paraId="14C28C66" w14:textId="77777777" w:rsidR="001C0111" w:rsidRPr="001C0111" w:rsidRDefault="001C0111" w:rsidP="001C0111">
            <w:pPr>
              <w:spacing w:before="60" w:after="60"/>
              <w:jc w:val="center"/>
              <w:rPr>
                <w:noProof/>
                <w:sz w:val="18"/>
                <w:lang w:eastAsia="en-GB"/>
              </w:rPr>
            </w:pPr>
            <w:r w:rsidRPr="001C0111">
              <w:rPr>
                <w:noProof/>
                <w:sz w:val="18"/>
                <w:lang w:eastAsia="en-GB"/>
              </w:rPr>
              <w:t>Temporary agents (AD Grades) Env Directives</w:t>
            </w:r>
          </w:p>
        </w:tc>
        <w:tc>
          <w:tcPr>
            <w:tcW w:w="1080" w:type="dxa"/>
            <w:vAlign w:val="center"/>
          </w:tcPr>
          <w:p w14:paraId="0690D6F6" w14:textId="77777777" w:rsidR="001C0111" w:rsidRPr="001C0111" w:rsidRDefault="001C0111" w:rsidP="001C0111">
            <w:pPr>
              <w:spacing w:before="60" w:after="60"/>
              <w:jc w:val="right"/>
              <w:rPr>
                <w:noProof/>
                <w:sz w:val="20"/>
                <w:lang w:eastAsia="en-GB"/>
              </w:rPr>
            </w:pPr>
            <w:r w:rsidRPr="001C0111">
              <w:rPr>
                <w:noProof/>
                <w:sz w:val="20"/>
                <w:lang w:eastAsia="en-GB"/>
              </w:rPr>
              <w:t>0,535</w:t>
            </w:r>
          </w:p>
        </w:tc>
        <w:tc>
          <w:tcPr>
            <w:tcW w:w="1080" w:type="dxa"/>
            <w:vAlign w:val="center"/>
          </w:tcPr>
          <w:p w14:paraId="7D934DCA" w14:textId="77777777" w:rsidR="001C0111" w:rsidRPr="001C0111" w:rsidRDefault="001C0111" w:rsidP="001C0111">
            <w:pPr>
              <w:spacing w:before="60" w:after="60"/>
              <w:jc w:val="center"/>
              <w:rPr>
                <w:noProof/>
                <w:sz w:val="20"/>
                <w:lang w:eastAsia="en-GB"/>
              </w:rPr>
            </w:pPr>
            <w:r w:rsidRPr="001C0111">
              <w:rPr>
                <w:noProof/>
                <w:sz w:val="20"/>
                <w:lang w:eastAsia="en-GB"/>
              </w:rPr>
              <w:t>1,091</w:t>
            </w:r>
          </w:p>
        </w:tc>
        <w:tc>
          <w:tcPr>
            <w:tcW w:w="1080" w:type="dxa"/>
            <w:vAlign w:val="center"/>
          </w:tcPr>
          <w:p w14:paraId="171C47F4" w14:textId="77777777" w:rsidR="001C0111" w:rsidRPr="001C0111" w:rsidRDefault="001C0111" w:rsidP="001C0111">
            <w:pPr>
              <w:spacing w:before="60" w:after="60"/>
              <w:jc w:val="center"/>
              <w:rPr>
                <w:noProof/>
                <w:sz w:val="20"/>
                <w:lang w:eastAsia="en-GB"/>
              </w:rPr>
            </w:pPr>
            <w:r w:rsidRPr="001C0111">
              <w:rPr>
                <w:noProof/>
                <w:sz w:val="20"/>
                <w:lang w:eastAsia="en-GB"/>
              </w:rPr>
              <w:t>1,112</w:t>
            </w:r>
          </w:p>
        </w:tc>
        <w:tc>
          <w:tcPr>
            <w:tcW w:w="1080" w:type="dxa"/>
            <w:vAlign w:val="center"/>
          </w:tcPr>
          <w:p w14:paraId="33012200" w14:textId="77777777" w:rsidR="001C0111" w:rsidRPr="001C0111" w:rsidRDefault="001C0111" w:rsidP="001C0111">
            <w:pPr>
              <w:spacing w:before="60" w:after="60"/>
              <w:jc w:val="center"/>
              <w:rPr>
                <w:noProof/>
                <w:sz w:val="20"/>
                <w:lang w:eastAsia="en-GB"/>
              </w:rPr>
            </w:pPr>
            <w:r w:rsidRPr="001C0111">
              <w:rPr>
                <w:noProof/>
                <w:sz w:val="20"/>
                <w:lang w:eastAsia="en-GB"/>
              </w:rPr>
              <w:t>1,135</w:t>
            </w:r>
          </w:p>
        </w:tc>
        <w:tc>
          <w:tcPr>
            <w:tcW w:w="1080" w:type="dxa"/>
            <w:vAlign w:val="center"/>
          </w:tcPr>
          <w:p w14:paraId="4D8222FB" w14:textId="77777777" w:rsidR="001C0111" w:rsidRPr="001C0111" w:rsidRDefault="001C0111" w:rsidP="001C0111">
            <w:pPr>
              <w:spacing w:before="60" w:after="60"/>
              <w:jc w:val="right"/>
              <w:rPr>
                <w:b/>
                <w:noProof/>
                <w:sz w:val="20"/>
                <w:lang w:eastAsia="en-GB"/>
              </w:rPr>
            </w:pPr>
            <w:r w:rsidRPr="001C0111">
              <w:rPr>
                <w:b/>
                <w:noProof/>
                <w:sz w:val="20"/>
                <w:lang w:eastAsia="en-GB"/>
              </w:rPr>
              <w:t>3,872</w:t>
            </w:r>
          </w:p>
        </w:tc>
      </w:tr>
      <w:tr w:rsidR="001C0111" w:rsidRPr="001C0111" w14:paraId="34622E47" w14:textId="77777777" w:rsidTr="00EE4772">
        <w:trPr>
          <w:trHeight w:val="585"/>
          <w:jc w:val="center"/>
        </w:trPr>
        <w:tc>
          <w:tcPr>
            <w:tcW w:w="1980" w:type="dxa"/>
            <w:shd w:val="clear" w:color="auto" w:fill="BFBFBF" w:themeFill="background1" w:themeFillShade="BF"/>
            <w:vAlign w:val="center"/>
          </w:tcPr>
          <w:p w14:paraId="45DAEA48" w14:textId="77777777" w:rsidR="001C0111" w:rsidRPr="001C0111" w:rsidRDefault="001C0111" w:rsidP="001C0111">
            <w:pPr>
              <w:spacing w:before="60" w:after="60"/>
              <w:ind w:left="72"/>
              <w:rPr>
                <w:noProof/>
                <w:lang w:eastAsia="en-GB"/>
              </w:rPr>
            </w:pPr>
            <w:r w:rsidRPr="001C0111">
              <w:rPr>
                <w:noProof/>
                <w:sz w:val="20"/>
                <w:lang w:eastAsia="en-GB"/>
              </w:rPr>
              <w:t>Temporary agents (AST grades)</w:t>
            </w:r>
          </w:p>
        </w:tc>
        <w:tc>
          <w:tcPr>
            <w:tcW w:w="1080" w:type="dxa"/>
            <w:vAlign w:val="center"/>
          </w:tcPr>
          <w:p w14:paraId="7A5AB92C" w14:textId="77777777" w:rsidR="001C0111" w:rsidRPr="001C0111" w:rsidRDefault="001C0111" w:rsidP="001C0111">
            <w:pPr>
              <w:spacing w:before="60" w:after="60"/>
              <w:jc w:val="right"/>
              <w:rPr>
                <w:noProof/>
                <w:sz w:val="20"/>
                <w:lang w:eastAsia="en-GB"/>
              </w:rPr>
            </w:pPr>
          </w:p>
        </w:tc>
        <w:tc>
          <w:tcPr>
            <w:tcW w:w="1080" w:type="dxa"/>
            <w:vAlign w:val="center"/>
          </w:tcPr>
          <w:p w14:paraId="057ED834" w14:textId="77777777" w:rsidR="001C0111" w:rsidRPr="001C0111" w:rsidRDefault="001C0111" w:rsidP="001C0111">
            <w:pPr>
              <w:spacing w:before="60" w:after="60"/>
              <w:jc w:val="right"/>
              <w:rPr>
                <w:noProof/>
                <w:sz w:val="20"/>
                <w:lang w:eastAsia="en-GB"/>
              </w:rPr>
            </w:pPr>
          </w:p>
        </w:tc>
        <w:tc>
          <w:tcPr>
            <w:tcW w:w="1080" w:type="dxa"/>
          </w:tcPr>
          <w:p w14:paraId="6E39093F" w14:textId="77777777" w:rsidR="001C0111" w:rsidRPr="001C0111" w:rsidRDefault="001C0111" w:rsidP="001C0111">
            <w:pPr>
              <w:spacing w:before="60" w:after="60"/>
              <w:jc w:val="right"/>
              <w:rPr>
                <w:noProof/>
                <w:sz w:val="20"/>
                <w:lang w:eastAsia="en-GB"/>
              </w:rPr>
            </w:pPr>
          </w:p>
        </w:tc>
        <w:tc>
          <w:tcPr>
            <w:tcW w:w="1080" w:type="dxa"/>
            <w:vAlign w:val="center"/>
          </w:tcPr>
          <w:p w14:paraId="1D24A53C" w14:textId="77777777" w:rsidR="001C0111" w:rsidRPr="001C0111" w:rsidRDefault="001C0111" w:rsidP="001C0111">
            <w:pPr>
              <w:spacing w:before="60" w:after="60"/>
              <w:jc w:val="right"/>
              <w:rPr>
                <w:noProof/>
                <w:sz w:val="20"/>
                <w:lang w:eastAsia="en-GB"/>
              </w:rPr>
            </w:pPr>
          </w:p>
        </w:tc>
        <w:tc>
          <w:tcPr>
            <w:tcW w:w="1080" w:type="dxa"/>
            <w:vAlign w:val="center"/>
          </w:tcPr>
          <w:p w14:paraId="21E39F47" w14:textId="77777777" w:rsidR="001C0111" w:rsidRPr="001C0111" w:rsidRDefault="001C0111" w:rsidP="001C0111">
            <w:pPr>
              <w:spacing w:before="60" w:after="60"/>
              <w:jc w:val="right"/>
              <w:rPr>
                <w:noProof/>
                <w:sz w:val="20"/>
                <w:lang w:eastAsia="en-GB"/>
              </w:rPr>
            </w:pPr>
          </w:p>
        </w:tc>
      </w:tr>
      <w:tr w:rsidR="001C0111" w:rsidRPr="001C0111" w14:paraId="64F0FA88" w14:textId="77777777" w:rsidTr="00EE4772">
        <w:trPr>
          <w:trHeight w:val="585"/>
          <w:jc w:val="center"/>
        </w:trPr>
        <w:tc>
          <w:tcPr>
            <w:tcW w:w="1980" w:type="dxa"/>
            <w:shd w:val="clear" w:color="auto" w:fill="BFBFBF" w:themeFill="background1" w:themeFillShade="BF"/>
            <w:vAlign w:val="center"/>
          </w:tcPr>
          <w:p w14:paraId="35961836" w14:textId="77777777" w:rsidR="001C0111" w:rsidRPr="001C0111" w:rsidRDefault="001C0111" w:rsidP="001C0111">
            <w:pPr>
              <w:spacing w:before="60" w:after="60"/>
              <w:ind w:left="72"/>
              <w:rPr>
                <w:noProof/>
                <w:lang w:eastAsia="en-GB"/>
              </w:rPr>
            </w:pPr>
            <w:r w:rsidRPr="001C0111">
              <w:rPr>
                <w:noProof/>
                <w:sz w:val="20"/>
                <w:lang w:eastAsia="en-GB"/>
              </w:rPr>
              <w:t xml:space="preserve">Contract staff </w:t>
            </w:r>
          </w:p>
        </w:tc>
        <w:tc>
          <w:tcPr>
            <w:tcW w:w="1080" w:type="dxa"/>
            <w:shd w:val="clear" w:color="auto" w:fill="auto"/>
            <w:vAlign w:val="bottom"/>
          </w:tcPr>
          <w:p w14:paraId="5A2B8EDB" w14:textId="77777777" w:rsidR="001C0111" w:rsidRPr="001C0111" w:rsidRDefault="001C0111" w:rsidP="001C0111">
            <w:pPr>
              <w:spacing w:before="60" w:after="60"/>
              <w:jc w:val="right"/>
              <w:rPr>
                <w:noProof/>
                <w:sz w:val="20"/>
                <w:lang w:eastAsia="en-GB"/>
              </w:rPr>
            </w:pPr>
            <w:r w:rsidRPr="001C0111">
              <w:rPr>
                <w:noProof/>
                <w:sz w:val="20"/>
                <w:lang w:eastAsia="en-GB"/>
              </w:rPr>
              <w:t>0,200</w:t>
            </w:r>
          </w:p>
        </w:tc>
        <w:tc>
          <w:tcPr>
            <w:tcW w:w="1080" w:type="dxa"/>
            <w:shd w:val="clear" w:color="auto" w:fill="auto"/>
            <w:vAlign w:val="bottom"/>
          </w:tcPr>
          <w:p w14:paraId="54144D16" w14:textId="77777777" w:rsidR="001C0111" w:rsidRPr="001C0111" w:rsidRDefault="001C0111" w:rsidP="001C0111">
            <w:pPr>
              <w:spacing w:before="60" w:after="60"/>
              <w:jc w:val="right"/>
              <w:rPr>
                <w:noProof/>
                <w:sz w:val="20"/>
                <w:lang w:eastAsia="en-GB"/>
              </w:rPr>
            </w:pPr>
            <w:r w:rsidRPr="001C0111">
              <w:rPr>
                <w:noProof/>
                <w:sz w:val="20"/>
                <w:lang w:eastAsia="en-GB"/>
              </w:rPr>
              <w:t>0,407</w:t>
            </w:r>
          </w:p>
        </w:tc>
        <w:tc>
          <w:tcPr>
            <w:tcW w:w="1080" w:type="dxa"/>
            <w:shd w:val="clear" w:color="auto" w:fill="auto"/>
            <w:vAlign w:val="bottom"/>
          </w:tcPr>
          <w:p w14:paraId="29DE238E" w14:textId="77777777" w:rsidR="001C0111" w:rsidRPr="001C0111" w:rsidRDefault="001C0111" w:rsidP="001C0111">
            <w:pPr>
              <w:spacing w:before="60" w:after="60"/>
              <w:jc w:val="right"/>
              <w:rPr>
                <w:noProof/>
                <w:sz w:val="20"/>
                <w:lang w:eastAsia="en-GB"/>
              </w:rPr>
            </w:pPr>
            <w:r w:rsidRPr="001C0111">
              <w:rPr>
                <w:noProof/>
                <w:sz w:val="20"/>
                <w:lang w:eastAsia="en-GB"/>
              </w:rPr>
              <w:t>0,416</w:t>
            </w:r>
          </w:p>
        </w:tc>
        <w:tc>
          <w:tcPr>
            <w:tcW w:w="1080" w:type="dxa"/>
            <w:shd w:val="clear" w:color="auto" w:fill="auto"/>
            <w:vAlign w:val="bottom"/>
          </w:tcPr>
          <w:p w14:paraId="4A06BAE7" w14:textId="77777777" w:rsidR="001C0111" w:rsidRPr="001C0111" w:rsidRDefault="001C0111" w:rsidP="001C0111">
            <w:pPr>
              <w:spacing w:before="60" w:after="60"/>
              <w:jc w:val="right"/>
              <w:rPr>
                <w:noProof/>
                <w:sz w:val="20"/>
                <w:lang w:eastAsia="en-GB"/>
              </w:rPr>
            </w:pPr>
            <w:r w:rsidRPr="001C0111">
              <w:rPr>
                <w:noProof/>
                <w:sz w:val="20"/>
                <w:lang w:eastAsia="en-GB"/>
              </w:rPr>
              <w:t>0,424</w:t>
            </w:r>
          </w:p>
        </w:tc>
        <w:tc>
          <w:tcPr>
            <w:tcW w:w="1080" w:type="dxa"/>
            <w:shd w:val="clear" w:color="auto" w:fill="auto"/>
            <w:vAlign w:val="bottom"/>
          </w:tcPr>
          <w:p w14:paraId="7F3D1238" w14:textId="77777777" w:rsidR="001C0111" w:rsidRPr="001C0111" w:rsidRDefault="001C0111" w:rsidP="001C0111">
            <w:pPr>
              <w:spacing w:before="60" w:after="60"/>
              <w:jc w:val="right"/>
              <w:rPr>
                <w:b/>
                <w:noProof/>
                <w:sz w:val="20"/>
                <w:lang w:eastAsia="en-GB"/>
              </w:rPr>
            </w:pPr>
            <w:r w:rsidRPr="001C0111">
              <w:rPr>
                <w:b/>
                <w:noProof/>
                <w:sz w:val="20"/>
                <w:lang w:eastAsia="en-GB"/>
              </w:rPr>
              <w:t>1,447</w:t>
            </w:r>
          </w:p>
        </w:tc>
      </w:tr>
      <w:tr w:rsidR="001C0111" w:rsidRPr="001C0111" w14:paraId="1231C6BF" w14:textId="77777777" w:rsidTr="00EE4772">
        <w:trPr>
          <w:trHeight w:val="585"/>
          <w:jc w:val="center"/>
        </w:trPr>
        <w:tc>
          <w:tcPr>
            <w:tcW w:w="1980" w:type="dxa"/>
            <w:shd w:val="clear" w:color="auto" w:fill="CCCCCC"/>
            <w:vAlign w:val="center"/>
          </w:tcPr>
          <w:p w14:paraId="0BC82DEB" w14:textId="77777777" w:rsidR="001C0111" w:rsidRPr="001C0111" w:rsidRDefault="001C0111" w:rsidP="001C0111">
            <w:pPr>
              <w:spacing w:before="60" w:after="60"/>
              <w:jc w:val="center"/>
              <w:rPr>
                <w:noProof/>
                <w:lang w:eastAsia="en-GB"/>
              </w:rPr>
            </w:pPr>
            <w:r w:rsidRPr="001C0111">
              <w:rPr>
                <w:noProof/>
                <w:sz w:val="18"/>
                <w:lang w:eastAsia="en-GB"/>
              </w:rPr>
              <w:t>Seconded National Experts</w:t>
            </w:r>
          </w:p>
        </w:tc>
        <w:tc>
          <w:tcPr>
            <w:tcW w:w="1080" w:type="dxa"/>
            <w:vAlign w:val="center"/>
          </w:tcPr>
          <w:p w14:paraId="1996432D" w14:textId="77777777" w:rsidR="001C0111" w:rsidRPr="001C0111" w:rsidRDefault="001C0111" w:rsidP="001C0111">
            <w:pPr>
              <w:spacing w:before="60" w:after="60"/>
              <w:jc w:val="right"/>
              <w:rPr>
                <w:noProof/>
                <w:sz w:val="20"/>
                <w:lang w:eastAsia="en-GB"/>
              </w:rPr>
            </w:pPr>
          </w:p>
        </w:tc>
        <w:tc>
          <w:tcPr>
            <w:tcW w:w="1080" w:type="dxa"/>
            <w:vAlign w:val="center"/>
          </w:tcPr>
          <w:p w14:paraId="349BCEAB" w14:textId="77777777" w:rsidR="001C0111" w:rsidRPr="001C0111" w:rsidRDefault="001C0111" w:rsidP="001C0111">
            <w:pPr>
              <w:spacing w:before="60" w:after="60"/>
              <w:jc w:val="right"/>
              <w:rPr>
                <w:noProof/>
                <w:sz w:val="20"/>
                <w:lang w:eastAsia="en-GB"/>
              </w:rPr>
            </w:pPr>
          </w:p>
        </w:tc>
        <w:tc>
          <w:tcPr>
            <w:tcW w:w="1080" w:type="dxa"/>
          </w:tcPr>
          <w:p w14:paraId="58544E3C" w14:textId="77777777" w:rsidR="001C0111" w:rsidRPr="001C0111" w:rsidRDefault="001C0111" w:rsidP="001C0111">
            <w:pPr>
              <w:spacing w:before="60" w:after="60"/>
              <w:jc w:val="right"/>
              <w:rPr>
                <w:noProof/>
                <w:sz w:val="20"/>
                <w:lang w:eastAsia="en-GB"/>
              </w:rPr>
            </w:pPr>
          </w:p>
        </w:tc>
        <w:tc>
          <w:tcPr>
            <w:tcW w:w="1080" w:type="dxa"/>
            <w:vAlign w:val="center"/>
          </w:tcPr>
          <w:p w14:paraId="354A4504" w14:textId="77777777" w:rsidR="001C0111" w:rsidRPr="001C0111" w:rsidRDefault="001C0111" w:rsidP="001C0111">
            <w:pPr>
              <w:spacing w:before="60" w:after="60"/>
              <w:jc w:val="right"/>
              <w:rPr>
                <w:noProof/>
                <w:sz w:val="20"/>
                <w:lang w:eastAsia="en-GB"/>
              </w:rPr>
            </w:pPr>
          </w:p>
        </w:tc>
        <w:tc>
          <w:tcPr>
            <w:tcW w:w="1080" w:type="dxa"/>
            <w:vAlign w:val="center"/>
          </w:tcPr>
          <w:p w14:paraId="7D466F89" w14:textId="77777777" w:rsidR="001C0111" w:rsidRPr="001C0111" w:rsidRDefault="001C0111" w:rsidP="001C0111">
            <w:pPr>
              <w:spacing w:before="60" w:after="60"/>
              <w:jc w:val="right"/>
              <w:rPr>
                <w:noProof/>
                <w:sz w:val="20"/>
                <w:lang w:eastAsia="en-GB"/>
              </w:rPr>
            </w:pPr>
          </w:p>
        </w:tc>
      </w:tr>
    </w:tbl>
    <w:p w14:paraId="1AA23720" w14:textId="77777777" w:rsidR="001C0111" w:rsidRPr="001C0111" w:rsidRDefault="001C0111" w:rsidP="001C0111">
      <w:pPr>
        <w:rPr>
          <w:noProof/>
          <w:sz w:val="20"/>
          <w:lang w:eastAsia="en-GB"/>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C0111" w:rsidRPr="001C0111" w14:paraId="50CDE288" w14:textId="77777777" w:rsidTr="00EE4772">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5C2980C5" w14:textId="77777777" w:rsidR="001C0111" w:rsidRPr="001C0111" w:rsidRDefault="001C0111" w:rsidP="001C0111">
            <w:pPr>
              <w:spacing w:before="60" w:after="60"/>
              <w:jc w:val="center"/>
              <w:rPr>
                <w:noProof/>
                <w:sz w:val="20"/>
                <w:lang w:eastAsia="en-GB"/>
              </w:rPr>
            </w:pPr>
            <w:r w:rsidRPr="001C0111">
              <w:rPr>
                <w:b/>
                <w:noProof/>
                <w:sz w:val="20"/>
                <w:lang w:eastAsia="en-GB"/>
              </w:rPr>
              <w:t>TOTAL</w:t>
            </w:r>
          </w:p>
        </w:tc>
        <w:tc>
          <w:tcPr>
            <w:tcW w:w="1080" w:type="dxa"/>
            <w:tcBorders>
              <w:top w:val="single" w:sz="12" w:space="0" w:color="auto"/>
              <w:left w:val="single" w:sz="2" w:space="0" w:color="auto"/>
              <w:bottom w:val="single" w:sz="12" w:space="0" w:color="auto"/>
              <w:right w:val="single" w:sz="2" w:space="0" w:color="auto"/>
            </w:tcBorders>
            <w:vAlign w:val="bottom"/>
          </w:tcPr>
          <w:p w14:paraId="3F3DDD9C" w14:textId="77777777" w:rsidR="001C0111" w:rsidRPr="001C0111" w:rsidRDefault="001C0111" w:rsidP="001C0111">
            <w:pPr>
              <w:spacing w:before="60" w:after="60"/>
              <w:jc w:val="right"/>
              <w:rPr>
                <w:b/>
                <w:noProof/>
                <w:szCs w:val="24"/>
                <w:lang w:eastAsia="en-GB"/>
              </w:rPr>
            </w:pPr>
            <w:r w:rsidRPr="001C0111">
              <w:rPr>
                <w:b/>
                <w:bCs/>
                <w:noProof/>
                <w:szCs w:val="24"/>
                <w:lang w:eastAsia="en-GB"/>
              </w:rPr>
              <w:t>0,734</w:t>
            </w:r>
          </w:p>
        </w:tc>
        <w:tc>
          <w:tcPr>
            <w:tcW w:w="1080" w:type="dxa"/>
            <w:tcBorders>
              <w:top w:val="single" w:sz="12" w:space="0" w:color="auto"/>
              <w:left w:val="single" w:sz="2" w:space="0" w:color="auto"/>
              <w:bottom w:val="single" w:sz="12" w:space="0" w:color="auto"/>
              <w:right w:val="single" w:sz="2" w:space="0" w:color="auto"/>
            </w:tcBorders>
            <w:vAlign w:val="bottom"/>
          </w:tcPr>
          <w:p w14:paraId="436B6D8F" w14:textId="77777777" w:rsidR="001C0111" w:rsidRPr="001C0111" w:rsidRDefault="001C0111" w:rsidP="001C0111">
            <w:pPr>
              <w:spacing w:before="60" w:after="60"/>
              <w:jc w:val="right"/>
              <w:rPr>
                <w:b/>
                <w:noProof/>
                <w:szCs w:val="24"/>
                <w:lang w:eastAsia="en-GB"/>
              </w:rPr>
            </w:pPr>
            <w:r w:rsidRPr="001C0111">
              <w:rPr>
                <w:b/>
                <w:bCs/>
                <w:noProof/>
                <w:szCs w:val="24"/>
                <w:lang w:eastAsia="en-GB"/>
              </w:rPr>
              <w:t>1,498</w:t>
            </w:r>
          </w:p>
        </w:tc>
        <w:tc>
          <w:tcPr>
            <w:tcW w:w="1080" w:type="dxa"/>
            <w:tcBorders>
              <w:top w:val="single" w:sz="12" w:space="0" w:color="auto"/>
              <w:left w:val="single" w:sz="2" w:space="0" w:color="auto"/>
              <w:bottom w:val="single" w:sz="12" w:space="0" w:color="auto"/>
              <w:right w:val="single" w:sz="2" w:space="0" w:color="auto"/>
            </w:tcBorders>
            <w:vAlign w:val="bottom"/>
          </w:tcPr>
          <w:p w14:paraId="0B56D028" w14:textId="77777777" w:rsidR="001C0111" w:rsidRPr="001C0111" w:rsidRDefault="001C0111" w:rsidP="001C0111">
            <w:pPr>
              <w:spacing w:before="60" w:after="60"/>
              <w:jc w:val="center"/>
              <w:rPr>
                <w:b/>
                <w:noProof/>
                <w:szCs w:val="24"/>
                <w:lang w:eastAsia="en-GB"/>
              </w:rPr>
            </w:pPr>
            <w:r w:rsidRPr="001C0111">
              <w:rPr>
                <w:b/>
                <w:bCs/>
                <w:noProof/>
                <w:szCs w:val="24"/>
                <w:lang w:eastAsia="en-GB"/>
              </w:rPr>
              <w:t>1,528</w:t>
            </w:r>
          </w:p>
        </w:tc>
        <w:tc>
          <w:tcPr>
            <w:tcW w:w="1080" w:type="dxa"/>
            <w:tcBorders>
              <w:top w:val="single" w:sz="12" w:space="0" w:color="auto"/>
              <w:left w:val="single" w:sz="2" w:space="0" w:color="auto"/>
              <w:bottom w:val="single" w:sz="12" w:space="0" w:color="auto"/>
              <w:right w:val="single" w:sz="2" w:space="0" w:color="auto"/>
            </w:tcBorders>
            <w:vAlign w:val="bottom"/>
          </w:tcPr>
          <w:p w14:paraId="1C7C53C4" w14:textId="77777777" w:rsidR="001C0111" w:rsidRPr="001C0111" w:rsidRDefault="001C0111" w:rsidP="001C0111">
            <w:pPr>
              <w:spacing w:before="60" w:after="60"/>
              <w:jc w:val="right"/>
              <w:rPr>
                <w:b/>
                <w:noProof/>
                <w:szCs w:val="24"/>
                <w:lang w:eastAsia="en-GB"/>
              </w:rPr>
            </w:pPr>
            <w:r w:rsidRPr="001C0111">
              <w:rPr>
                <w:b/>
                <w:bCs/>
                <w:noProof/>
                <w:szCs w:val="24"/>
                <w:lang w:eastAsia="en-GB"/>
              </w:rPr>
              <w:t>1,559</w:t>
            </w:r>
          </w:p>
        </w:tc>
        <w:tc>
          <w:tcPr>
            <w:tcW w:w="1080" w:type="dxa"/>
            <w:tcBorders>
              <w:top w:val="single" w:sz="12" w:space="0" w:color="auto"/>
              <w:left w:val="single" w:sz="2" w:space="0" w:color="auto"/>
              <w:bottom w:val="single" w:sz="12" w:space="0" w:color="auto"/>
              <w:right w:val="single" w:sz="2" w:space="0" w:color="auto"/>
            </w:tcBorders>
            <w:vAlign w:val="bottom"/>
          </w:tcPr>
          <w:p w14:paraId="68A659BF" w14:textId="77777777" w:rsidR="001C0111" w:rsidRPr="001C0111" w:rsidRDefault="001C0111" w:rsidP="001C0111">
            <w:pPr>
              <w:spacing w:before="60" w:after="60"/>
              <w:jc w:val="right"/>
              <w:rPr>
                <w:b/>
                <w:noProof/>
                <w:szCs w:val="24"/>
                <w:lang w:eastAsia="en-GB"/>
              </w:rPr>
            </w:pPr>
            <w:r w:rsidRPr="001C0111">
              <w:rPr>
                <w:b/>
                <w:bCs/>
                <w:noProof/>
                <w:szCs w:val="24"/>
                <w:lang w:eastAsia="en-GB"/>
              </w:rPr>
              <w:t>5,319</w:t>
            </w:r>
          </w:p>
        </w:tc>
      </w:tr>
    </w:tbl>
    <w:p w14:paraId="057855B3" w14:textId="77777777" w:rsidR="001C0111" w:rsidRPr="001C0111" w:rsidRDefault="001C0111" w:rsidP="001C0111">
      <w:pPr>
        <w:rPr>
          <w:noProof/>
          <w:u w:val="single"/>
          <w:lang w:eastAsia="en-GB"/>
        </w:rPr>
      </w:pPr>
    </w:p>
    <w:p w14:paraId="747C62C8" w14:textId="77777777" w:rsidR="001C0111" w:rsidRPr="001C0111" w:rsidRDefault="001C0111" w:rsidP="001C0111">
      <w:pPr>
        <w:rPr>
          <w:noProof/>
          <w:sz w:val="20"/>
          <w:lang w:eastAsia="en-GB"/>
        </w:rPr>
      </w:pPr>
      <w:r w:rsidRPr="001C0111">
        <w:rPr>
          <w:noProof/>
          <w:sz w:val="20"/>
          <w:lang w:eastAsia="en-GB"/>
        </w:rPr>
        <w:t>Staff requirements (FTE):</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1C0111" w14:paraId="05202EBE" w14:textId="77777777" w:rsidTr="00EE4772">
        <w:trPr>
          <w:trHeight w:val="585"/>
          <w:jc w:val="center"/>
        </w:trPr>
        <w:tc>
          <w:tcPr>
            <w:tcW w:w="1980" w:type="dxa"/>
          </w:tcPr>
          <w:p w14:paraId="62E679AE" w14:textId="77777777" w:rsidR="001C0111" w:rsidRPr="001C0111" w:rsidRDefault="001C0111" w:rsidP="001C0111">
            <w:pPr>
              <w:spacing w:before="60" w:after="60"/>
              <w:rPr>
                <w:noProof/>
                <w:sz w:val="20"/>
                <w:lang w:eastAsia="en-GB"/>
              </w:rPr>
            </w:pPr>
          </w:p>
        </w:tc>
        <w:tc>
          <w:tcPr>
            <w:tcW w:w="1080" w:type="dxa"/>
            <w:vAlign w:val="center"/>
          </w:tcPr>
          <w:p w14:paraId="3ED6FF1F" w14:textId="77777777" w:rsidR="001C0111" w:rsidRPr="001C0111" w:rsidRDefault="001C0111" w:rsidP="001C0111">
            <w:pPr>
              <w:spacing w:before="60" w:after="60"/>
              <w:jc w:val="center"/>
              <w:rPr>
                <w:noProof/>
                <w:sz w:val="20"/>
                <w:lang w:eastAsia="en-GB"/>
              </w:rPr>
            </w:pPr>
            <w:r w:rsidRPr="001C0111">
              <w:rPr>
                <w:b/>
                <w:noProof/>
                <w:sz w:val="20"/>
                <w:lang w:eastAsia="en-GB"/>
              </w:rPr>
              <w:t>2024</w:t>
            </w:r>
          </w:p>
        </w:tc>
        <w:tc>
          <w:tcPr>
            <w:tcW w:w="1080" w:type="dxa"/>
            <w:vAlign w:val="center"/>
          </w:tcPr>
          <w:p w14:paraId="59062C37" w14:textId="77777777" w:rsidR="001C0111" w:rsidRPr="001C0111" w:rsidRDefault="001C0111" w:rsidP="001C0111">
            <w:pPr>
              <w:spacing w:before="60" w:after="60"/>
              <w:jc w:val="center"/>
              <w:rPr>
                <w:noProof/>
                <w:sz w:val="20"/>
                <w:lang w:eastAsia="en-GB"/>
              </w:rPr>
            </w:pPr>
            <w:r w:rsidRPr="001C0111">
              <w:rPr>
                <w:b/>
                <w:noProof/>
                <w:sz w:val="20"/>
                <w:lang w:eastAsia="en-GB"/>
              </w:rPr>
              <w:t>2025</w:t>
            </w:r>
          </w:p>
        </w:tc>
        <w:tc>
          <w:tcPr>
            <w:tcW w:w="1080" w:type="dxa"/>
            <w:vAlign w:val="center"/>
          </w:tcPr>
          <w:p w14:paraId="5CDB1FA8" w14:textId="77777777" w:rsidR="001C0111" w:rsidRPr="001C0111" w:rsidRDefault="001C0111" w:rsidP="001C0111">
            <w:pPr>
              <w:spacing w:before="60" w:after="60"/>
              <w:jc w:val="center"/>
              <w:rPr>
                <w:b/>
                <w:noProof/>
                <w:sz w:val="20"/>
                <w:lang w:eastAsia="en-GB"/>
              </w:rPr>
            </w:pPr>
            <w:r w:rsidRPr="001C0111">
              <w:rPr>
                <w:b/>
                <w:noProof/>
                <w:sz w:val="20"/>
                <w:lang w:eastAsia="en-GB"/>
              </w:rPr>
              <w:t>2026</w:t>
            </w:r>
          </w:p>
        </w:tc>
        <w:tc>
          <w:tcPr>
            <w:tcW w:w="1080" w:type="dxa"/>
            <w:vAlign w:val="center"/>
          </w:tcPr>
          <w:p w14:paraId="5D5A5C87" w14:textId="77777777" w:rsidR="001C0111" w:rsidRPr="001C0111" w:rsidRDefault="001C0111" w:rsidP="001C0111">
            <w:pPr>
              <w:spacing w:before="60" w:after="60"/>
              <w:jc w:val="center"/>
              <w:rPr>
                <w:noProof/>
                <w:sz w:val="20"/>
                <w:lang w:eastAsia="en-GB"/>
              </w:rPr>
            </w:pPr>
            <w:r w:rsidRPr="001C0111">
              <w:rPr>
                <w:b/>
                <w:noProof/>
                <w:sz w:val="20"/>
                <w:lang w:eastAsia="en-GB"/>
              </w:rPr>
              <w:t>2027</w:t>
            </w:r>
          </w:p>
        </w:tc>
        <w:tc>
          <w:tcPr>
            <w:tcW w:w="1080" w:type="dxa"/>
            <w:vAlign w:val="center"/>
          </w:tcPr>
          <w:p w14:paraId="6E9C817B" w14:textId="77777777" w:rsidR="001C0111" w:rsidRPr="001C0111" w:rsidRDefault="001C0111" w:rsidP="001C0111">
            <w:pPr>
              <w:spacing w:before="60" w:after="60"/>
              <w:jc w:val="center"/>
              <w:rPr>
                <w:b/>
                <w:noProof/>
                <w:sz w:val="20"/>
                <w:lang w:eastAsia="en-GB"/>
              </w:rPr>
            </w:pPr>
            <w:r w:rsidRPr="001C0111">
              <w:rPr>
                <w:b/>
                <w:noProof/>
                <w:sz w:val="20"/>
                <w:lang w:eastAsia="en-GB"/>
              </w:rPr>
              <w:t>TOTAL</w:t>
            </w:r>
          </w:p>
        </w:tc>
      </w:tr>
    </w:tbl>
    <w:p w14:paraId="3EADE798" w14:textId="77777777" w:rsidR="001C0111" w:rsidRPr="001C0111" w:rsidRDefault="001C0111" w:rsidP="001C0111">
      <w:pPr>
        <w:rPr>
          <w:noProof/>
          <w:sz w:val="20"/>
          <w:lang w:eastAsia="en-GB"/>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1C0111" w14:paraId="45899A91" w14:textId="77777777" w:rsidTr="00EE4772">
        <w:trPr>
          <w:trHeight w:val="585"/>
          <w:jc w:val="center"/>
        </w:trPr>
        <w:tc>
          <w:tcPr>
            <w:tcW w:w="1980" w:type="dxa"/>
            <w:shd w:val="clear" w:color="auto" w:fill="D9D9D9" w:themeFill="background1" w:themeFillShade="D9"/>
            <w:vAlign w:val="center"/>
          </w:tcPr>
          <w:p w14:paraId="309A9161" w14:textId="77777777" w:rsidR="001C0111" w:rsidRPr="001C0111" w:rsidRDefault="001C0111" w:rsidP="001C0111">
            <w:pPr>
              <w:spacing w:before="60" w:after="60"/>
              <w:jc w:val="center"/>
              <w:rPr>
                <w:noProof/>
                <w:sz w:val="18"/>
                <w:lang w:eastAsia="en-GB"/>
              </w:rPr>
            </w:pPr>
            <w:r w:rsidRPr="001C0111">
              <w:rPr>
                <w:noProof/>
                <w:sz w:val="18"/>
                <w:lang w:eastAsia="en-GB"/>
              </w:rPr>
              <w:t>Temporary agents (AD Grades) Env Directives</w:t>
            </w:r>
          </w:p>
        </w:tc>
        <w:tc>
          <w:tcPr>
            <w:tcW w:w="1080" w:type="dxa"/>
            <w:vAlign w:val="center"/>
          </w:tcPr>
          <w:p w14:paraId="34C803F1" w14:textId="77777777" w:rsidR="001C0111" w:rsidRPr="001C0111" w:rsidRDefault="001C0111" w:rsidP="001C0111">
            <w:pPr>
              <w:spacing w:before="60" w:after="60"/>
              <w:jc w:val="right"/>
              <w:rPr>
                <w:noProof/>
                <w:sz w:val="20"/>
                <w:lang w:eastAsia="en-GB"/>
              </w:rPr>
            </w:pPr>
            <w:r w:rsidRPr="001C0111">
              <w:rPr>
                <w:noProof/>
                <w:sz w:val="20"/>
                <w:lang w:eastAsia="en-GB"/>
              </w:rPr>
              <w:t>7</w:t>
            </w:r>
          </w:p>
        </w:tc>
        <w:tc>
          <w:tcPr>
            <w:tcW w:w="1080" w:type="dxa"/>
            <w:vAlign w:val="center"/>
          </w:tcPr>
          <w:p w14:paraId="784BF5E3" w14:textId="77777777" w:rsidR="001C0111" w:rsidRPr="001C0111" w:rsidRDefault="001C0111" w:rsidP="001C0111">
            <w:pPr>
              <w:spacing w:before="60" w:after="60"/>
              <w:jc w:val="right"/>
              <w:rPr>
                <w:noProof/>
                <w:sz w:val="20"/>
                <w:lang w:eastAsia="en-GB"/>
              </w:rPr>
            </w:pPr>
            <w:r w:rsidRPr="001C0111">
              <w:rPr>
                <w:noProof/>
                <w:sz w:val="20"/>
                <w:lang w:eastAsia="en-GB"/>
              </w:rPr>
              <w:t>7</w:t>
            </w:r>
          </w:p>
        </w:tc>
        <w:tc>
          <w:tcPr>
            <w:tcW w:w="1080" w:type="dxa"/>
            <w:vAlign w:val="center"/>
          </w:tcPr>
          <w:p w14:paraId="1524EE4B" w14:textId="77777777" w:rsidR="001C0111" w:rsidRPr="001C0111" w:rsidRDefault="001C0111" w:rsidP="001C0111">
            <w:pPr>
              <w:spacing w:before="60" w:after="60"/>
              <w:jc w:val="right"/>
              <w:rPr>
                <w:noProof/>
                <w:sz w:val="20"/>
                <w:lang w:eastAsia="en-GB"/>
              </w:rPr>
            </w:pPr>
            <w:r w:rsidRPr="001C0111">
              <w:rPr>
                <w:noProof/>
                <w:sz w:val="20"/>
                <w:lang w:eastAsia="en-GB"/>
              </w:rPr>
              <w:t>7</w:t>
            </w:r>
          </w:p>
        </w:tc>
        <w:tc>
          <w:tcPr>
            <w:tcW w:w="1080" w:type="dxa"/>
            <w:vAlign w:val="center"/>
          </w:tcPr>
          <w:p w14:paraId="44D66B38" w14:textId="77777777" w:rsidR="001C0111" w:rsidRPr="001C0111" w:rsidRDefault="001C0111" w:rsidP="001C0111">
            <w:pPr>
              <w:spacing w:before="60" w:after="60"/>
              <w:jc w:val="right"/>
              <w:rPr>
                <w:noProof/>
                <w:sz w:val="20"/>
                <w:lang w:eastAsia="en-GB"/>
              </w:rPr>
            </w:pPr>
            <w:r w:rsidRPr="001C0111">
              <w:rPr>
                <w:noProof/>
                <w:sz w:val="20"/>
                <w:lang w:eastAsia="en-GB"/>
              </w:rPr>
              <w:t>7</w:t>
            </w:r>
          </w:p>
        </w:tc>
        <w:tc>
          <w:tcPr>
            <w:tcW w:w="1080" w:type="dxa"/>
            <w:vAlign w:val="center"/>
          </w:tcPr>
          <w:p w14:paraId="70DC111E" w14:textId="77777777" w:rsidR="001C0111" w:rsidRPr="001C0111" w:rsidRDefault="001C0111" w:rsidP="001C0111">
            <w:pPr>
              <w:spacing w:before="60" w:after="60"/>
              <w:jc w:val="right"/>
              <w:rPr>
                <w:b/>
                <w:noProof/>
                <w:sz w:val="20"/>
                <w:lang w:eastAsia="en-GB"/>
              </w:rPr>
            </w:pPr>
          </w:p>
        </w:tc>
      </w:tr>
      <w:tr w:rsidR="001C0111" w:rsidRPr="001C0111" w14:paraId="201801B0" w14:textId="77777777" w:rsidTr="00EE4772">
        <w:trPr>
          <w:trHeight w:val="585"/>
          <w:jc w:val="center"/>
        </w:trPr>
        <w:tc>
          <w:tcPr>
            <w:tcW w:w="1980" w:type="dxa"/>
            <w:shd w:val="clear" w:color="auto" w:fill="BFBFBF" w:themeFill="background1" w:themeFillShade="BF"/>
            <w:vAlign w:val="center"/>
          </w:tcPr>
          <w:p w14:paraId="4AFB9174" w14:textId="77777777" w:rsidR="001C0111" w:rsidRPr="001C0111" w:rsidRDefault="001C0111" w:rsidP="001C0111">
            <w:pPr>
              <w:spacing w:before="60" w:after="60"/>
              <w:ind w:left="72"/>
              <w:rPr>
                <w:noProof/>
                <w:lang w:eastAsia="en-GB"/>
              </w:rPr>
            </w:pPr>
            <w:r w:rsidRPr="001C0111">
              <w:rPr>
                <w:noProof/>
                <w:sz w:val="20"/>
                <w:lang w:eastAsia="en-GB"/>
              </w:rPr>
              <w:t>Temporary agents (AST grades)</w:t>
            </w:r>
          </w:p>
        </w:tc>
        <w:tc>
          <w:tcPr>
            <w:tcW w:w="1080" w:type="dxa"/>
            <w:vAlign w:val="center"/>
          </w:tcPr>
          <w:p w14:paraId="3007F4BF" w14:textId="77777777" w:rsidR="001C0111" w:rsidRPr="001C0111" w:rsidRDefault="001C0111" w:rsidP="001C0111">
            <w:pPr>
              <w:spacing w:before="60" w:after="60"/>
              <w:jc w:val="right"/>
              <w:rPr>
                <w:noProof/>
                <w:sz w:val="20"/>
                <w:lang w:eastAsia="en-GB"/>
              </w:rPr>
            </w:pPr>
          </w:p>
        </w:tc>
        <w:tc>
          <w:tcPr>
            <w:tcW w:w="1080" w:type="dxa"/>
            <w:vAlign w:val="center"/>
          </w:tcPr>
          <w:p w14:paraId="3C45028D" w14:textId="77777777" w:rsidR="001C0111" w:rsidRPr="001C0111" w:rsidRDefault="001C0111" w:rsidP="001C0111">
            <w:pPr>
              <w:spacing w:before="60" w:after="60"/>
              <w:jc w:val="right"/>
              <w:rPr>
                <w:noProof/>
                <w:sz w:val="20"/>
                <w:lang w:eastAsia="en-GB"/>
              </w:rPr>
            </w:pPr>
          </w:p>
        </w:tc>
        <w:tc>
          <w:tcPr>
            <w:tcW w:w="1080" w:type="dxa"/>
          </w:tcPr>
          <w:p w14:paraId="3E7FB9C8" w14:textId="77777777" w:rsidR="001C0111" w:rsidRPr="001C0111" w:rsidRDefault="001C0111" w:rsidP="001C0111">
            <w:pPr>
              <w:spacing w:before="60" w:after="60"/>
              <w:jc w:val="right"/>
              <w:rPr>
                <w:noProof/>
                <w:sz w:val="20"/>
                <w:lang w:eastAsia="en-GB"/>
              </w:rPr>
            </w:pPr>
          </w:p>
        </w:tc>
        <w:tc>
          <w:tcPr>
            <w:tcW w:w="1080" w:type="dxa"/>
            <w:vAlign w:val="center"/>
          </w:tcPr>
          <w:p w14:paraId="45071056" w14:textId="77777777" w:rsidR="001C0111" w:rsidRPr="001C0111" w:rsidRDefault="001C0111" w:rsidP="001C0111">
            <w:pPr>
              <w:spacing w:before="60" w:after="60"/>
              <w:jc w:val="right"/>
              <w:rPr>
                <w:noProof/>
                <w:sz w:val="20"/>
                <w:lang w:eastAsia="en-GB"/>
              </w:rPr>
            </w:pPr>
          </w:p>
        </w:tc>
        <w:tc>
          <w:tcPr>
            <w:tcW w:w="1080" w:type="dxa"/>
            <w:vAlign w:val="center"/>
          </w:tcPr>
          <w:p w14:paraId="3B0A958C" w14:textId="77777777" w:rsidR="001C0111" w:rsidRPr="001C0111" w:rsidRDefault="001C0111" w:rsidP="001C0111">
            <w:pPr>
              <w:spacing w:before="60" w:after="60"/>
              <w:jc w:val="right"/>
              <w:rPr>
                <w:b/>
                <w:noProof/>
                <w:sz w:val="20"/>
                <w:lang w:eastAsia="en-GB"/>
              </w:rPr>
            </w:pPr>
          </w:p>
        </w:tc>
      </w:tr>
      <w:tr w:rsidR="001C0111" w:rsidRPr="001C0111" w14:paraId="4F0B6587" w14:textId="77777777" w:rsidTr="00EE4772">
        <w:trPr>
          <w:trHeight w:val="585"/>
          <w:jc w:val="center"/>
        </w:trPr>
        <w:tc>
          <w:tcPr>
            <w:tcW w:w="1980" w:type="dxa"/>
            <w:shd w:val="clear" w:color="auto" w:fill="BFBFBF" w:themeFill="background1" w:themeFillShade="BF"/>
            <w:vAlign w:val="center"/>
          </w:tcPr>
          <w:p w14:paraId="54059102" w14:textId="77777777" w:rsidR="001C0111" w:rsidRPr="001C0111" w:rsidRDefault="001C0111" w:rsidP="001C0111">
            <w:pPr>
              <w:spacing w:before="60" w:after="60"/>
              <w:ind w:left="72"/>
              <w:rPr>
                <w:noProof/>
                <w:lang w:eastAsia="en-GB"/>
              </w:rPr>
            </w:pPr>
            <w:r w:rsidRPr="001C0111">
              <w:rPr>
                <w:noProof/>
                <w:sz w:val="20"/>
                <w:lang w:eastAsia="en-GB"/>
              </w:rPr>
              <w:t>Contract staff REACH/CLP</w:t>
            </w:r>
          </w:p>
        </w:tc>
        <w:tc>
          <w:tcPr>
            <w:tcW w:w="1080" w:type="dxa"/>
            <w:shd w:val="clear" w:color="auto" w:fill="auto"/>
            <w:vAlign w:val="center"/>
          </w:tcPr>
          <w:p w14:paraId="7498CBEC" w14:textId="77777777" w:rsidR="001C0111" w:rsidRPr="001C0111" w:rsidRDefault="001C0111" w:rsidP="001C0111">
            <w:pPr>
              <w:spacing w:before="60" w:after="60"/>
              <w:jc w:val="right"/>
              <w:rPr>
                <w:noProof/>
                <w:sz w:val="20"/>
                <w:lang w:eastAsia="en-GB"/>
              </w:rPr>
            </w:pPr>
            <w:r w:rsidRPr="001C0111">
              <w:rPr>
                <w:noProof/>
                <w:sz w:val="20"/>
                <w:lang w:eastAsia="en-GB"/>
              </w:rPr>
              <w:t>4</w:t>
            </w:r>
          </w:p>
        </w:tc>
        <w:tc>
          <w:tcPr>
            <w:tcW w:w="1080" w:type="dxa"/>
            <w:shd w:val="clear" w:color="auto" w:fill="auto"/>
            <w:vAlign w:val="center"/>
          </w:tcPr>
          <w:p w14:paraId="24D4008A" w14:textId="77777777" w:rsidR="001C0111" w:rsidRPr="001C0111" w:rsidRDefault="001C0111" w:rsidP="001C0111">
            <w:pPr>
              <w:spacing w:before="60" w:after="60"/>
              <w:jc w:val="right"/>
              <w:rPr>
                <w:noProof/>
                <w:sz w:val="20"/>
                <w:lang w:eastAsia="en-GB"/>
              </w:rPr>
            </w:pPr>
            <w:r w:rsidRPr="001C0111">
              <w:rPr>
                <w:noProof/>
                <w:sz w:val="20"/>
                <w:lang w:eastAsia="en-GB"/>
              </w:rPr>
              <w:t>4</w:t>
            </w:r>
          </w:p>
        </w:tc>
        <w:tc>
          <w:tcPr>
            <w:tcW w:w="1080" w:type="dxa"/>
            <w:shd w:val="clear" w:color="auto" w:fill="auto"/>
            <w:vAlign w:val="center"/>
          </w:tcPr>
          <w:p w14:paraId="742585DF" w14:textId="77777777" w:rsidR="001C0111" w:rsidRPr="001C0111" w:rsidRDefault="001C0111" w:rsidP="001C0111">
            <w:pPr>
              <w:spacing w:before="60" w:after="60"/>
              <w:jc w:val="right"/>
              <w:rPr>
                <w:noProof/>
                <w:sz w:val="20"/>
                <w:lang w:eastAsia="en-GB"/>
              </w:rPr>
            </w:pPr>
            <w:r w:rsidRPr="001C0111">
              <w:rPr>
                <w:noProof/>
                <w:sz w:val="20"/>
                <w:lang w:eastAsia="en-GB"/>
              </w:rPr>
              <w:t>4</w:t>
            </w:r>
          </w:p>
        </w:tc>
        <w:tc>
          <w:tcPr>
            <w:tcW w:w="1080" w:type="dxa"/>
            <w:shd w:val="clear" w:color="auto" w:fill="auto"/>
            <w:vAlign w:val="center"/>
          </w:tcPr>
          <w:p w14:paraId="5E8DB0C0" w14:textId="77777777" w:rsidR="001C0111" w:rsidRPr="001C0111" w:rsidRDefault="001C0111" w:rsidP="001C0111">
            <w:pPr>
              <w:spacing w:before="60" w:after="60"/>
              <w:jc w:val="right"/>
              <w:rPr>
                <w:noProof/>
                <w:sz w:val="20"/>
                <w:lang w:eastAsia="en-GB"/>
              </w:rPr>
            </w:pPr>
            <w:r w:rsidRPr="001C0111">
              <w:rPr>
                <w:noProof/>
                <w:sz w:val="20"/>
                <w:lang w:eastAsia="en-GB"/>
              </w:rPr>
              <w:t>4</w:t>
            </w:r>
          </w:p>
        </w:tc>
        <w:tc>
          <w:tcPr>
            <w:tcW w:w="1080" w:type="dxa"/>
            <w:shd w:val="clear" w:color="auto" w:fill="auto"/>
            <w:vAlign w:val="center"/>
          </w:tcPr>
          <w:p w14:paraId="7CC28F96" w14:textId="77777777" w:rsidR="001C0111" w:rsidRPr="001C0111" w:rsidRDefault="001C0111" w:rsidP="001C0111">
            <w:pPr>
              <w:spacing w:before="60" w:after="60"/>
              <w:jc w:val="right"/>
              <w:rPr>
                <w:b/>
                <w:noProof/>
                <w:sz w:val="20"/>
                <w:lang w:eastAsia="en-GB"/>
              </w:rPr>
            </w:pPr>
          </w:p>
        </w:tc>
      </w:tr>
      <w:tr w:rsidR="001C0111" w:rsidRPr="001C0111" w14:paraId="2CBB2906" w14:textId="77777777" w:rsidTr="00EE4772">
        <w:trPr>
          <w:trHeight w:val="585"/>
          <w:jc w:val="center"/>
        </w:trPr>
        <w:tc>
          <w:tcPr>
            <w:tcW w:w="1980" w:type="dxa"/>
            <w:shd w:val="clear" w:color="auto" w:fill="CCCCCC"/>
            <w:vAlign w:val="center"/>
          </w:tcPr>
          <w:p w14:paraId="0342C596" w14:textId="77777777" w:rsidR="001C0111" w:rsidRPr="001C0111" w:rsidRDefault="001C0111" w:rsidP="001C0111">
            <w:pPr>
              <w:spacing w:before="60" w:after="60"/>
              <w:jc w:val="center"/>
              <w:rPr>
                <w:noProof/>
                <w:lang w:eastAsia="en-GB"/>
              </w:rPr>
            </w:pPr>
            <w:r w:rsidRPr="001C0111">
              <w:rPr>
                <w:noProof/>
                <w:sz w:val="18"/>
                <w:lang w:eastAsia="en-GB"/>
              </w:rPr>
              <w:t>Seconded National Experts</w:t>
            </w:r>
          </w:p>
        </w:tc>
        <w:tc>
          <w:tcPr>
            <w:tcW w:w="1080" w:type="dxa"/>
            <w:vAlign w:val="center"/>
          </w:tcPr>
          <w:p w14:paraId="33A2C14B" w14:textId="77777777" w:rsidR="001C0111" w:rsidRPr="001C0111" w:rsidRDefault="001C0111" w:rsidP="001C0111">
            <w:pPr>
              <w:spacing w:before="60" w:after="60"/>
              <w:jc w:val="right"/>
              <w:rPr>
                <w:noProof/>
                <w:sz w:val="20"/>
                <w:lang w:eastAsia="en-GB"/>
              </w:rPr>
            </w:pPr>
          </w:p>
        </w:tc>
        <w:tc>
          <w:tcPr>
            <w:tcW w:w="1080" w:type="dxa"/>
            <w:vAlign w:val="center"/>
          </w:tcPr>
          <w:p w14:paraId="05DE1DC3" w14:textId="77777777" w:rsidR="001C0111" w:rsidRPr="001C0111" w:rsidRDefault="001C0111" w:rsidP="001C0111">
            <w:pPr>
              <w:spacing w:before="60" w:after="60"/>
              <w:jc w:val="right"/>
              <w:rPr>
                <w:noProof/>
                <w:sz w:val="20"/>
                <w:lang w:eastAsia="en-GB"/>
              </w:rPr>
            </w:pPr>
          </w:p>
        </w:tc>
        <w:tc>
          <w:tcPr>
            <w:tcW w:w="1080" w:type="dxa"/>
          </w:tcPr>
          <w:p w14:paraId="35287F35" w14:textId="77777777" w:rsidR="001C0111" w:rsidRPr="001C0111" w:rsidRDefault="001C0111" w:rsidP="001C0111">
            <w:pPr>
              <w:spacing w:before="60" w:after="60"/>
              <w:jc w:val="right"/>
              <w:rPr>
                <w:noProof/>
                <w:sz w:val="20"/>
                <w:lang w:eastAsia="en-GB"/>
              </w:rPr>
            </w:pPr>
          </w:p>
        </w:tc>
        <w:tc>
          <w:tcPr>
            <w:tcW w:w="1080" w:type="dxa"/>
            <w:vAlign w:val="center"/>
          </w:tcPr>
          <w:p w14:paraId="6DA4E506" w14:textId="77777777" w:rsidR="001C0111" w:rsidRPr="001C0111" w:rsidRDefault="001C0111" w:rsidP="001C0111">
            <w:pPr>
              <w:spacing w:before="60" w:after="60"/>
              <w:jc w:val="right"/>
              <w:rPr>
                <w:noProof/>
                <w:sz w:val="20"/>
                <w:lang w:eastAsia="en-GB"/>
              </w:rPr>
            </w:pPr>
          </w:p>
        </w:tc>
        <w:tc>
          <w:tcPr>
            <w:tcW w:w="1080" w:type="dxa"/>
            <w:vAlign w:val="center"/>
          </w:tcPr>
          <w:p w14:paraId="69F31009" w14:textId="77777777" w:rsidR="001C0111" w:rsidRPr="001C0111" w:rsidRDefault="001C0111" w:rsidP="001C0111">
            <w:pPr>
              <w:spacing w:before="60" w:after="60"/>
              <w:jc w:val="right"/>
              <w:rPr>
                <w:b/>
                <w:noProof/>
                <w:sz w:val="20"/>
                <w:lang w:eastAsia="en-GB"/>
              </w:rPr>
            </w:pPr>
          </w:p>
        </w:tc>
      </w:tr>
    </w:tbl>
    <w:p w14:paraId="23219968" w14:textId="77777777" w:rsidR="001C0111" w:rsidRPr="001C0111" w:rsidRDefault="001C0111" w:rsidP="001C0111">
      <w:pPr>
        <w:rPr>
          <w:noProof/>
          <w:sz w:val="20"/>
          <w:lang w:eastAsia="en-GB"/>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C0111" w:rsidRPr="001C0111" w14:paraId="7AA46E9A" w14:textId="77777777" w:rsidTr="00EE4772">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5B06F688" w14:textId="77777777" w:rsidR="001C0111" w:rsidRPr="001C0111" w:rsidRDefault="001C0111" w:rsidP="001C0111">
            <w:pPr>
              <w:spacing w:before="60" w:after="60"/>
              <w:jc w:val="center"/>
              <w:rPr>
                <w:noProof/>
                <w:sz w:val="20"/>
                <w:lang w:eastAsia="en-GB"/>
              </w:rPr>
            </w:pPr>
            <w:r w:rsidRPr="001C0111">
              <w:rPr>
                <w:b/>
                <w:noProof/>
                <w:sz w:val="20"/>
                <w:lang w:eastAsia="en-GB"/>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352CB1BF" w14:textId="77777777" w:rsidR="001C0111" w:rsidRPr="001C0111" w:rsidRDefault="001C0111" w:rsidP="001C0111">
            <w:pPr>
              <w:spacing w:before="60" w:after="60"/>
              <w:jc w:val="right"/>
              <w:rPr>
                <w:b/>
                <w:noProof/>
                <w:sz w:val="20"/>
                <w:lang w:eastAsia="en-GB"/>
              </w:rPr>
            </w:pPr>
            <w:r w:rsidRPr="001C0111">
              <w:rPr>
                <w:b/>
                <w:noProof/>
                <w:sz w:val="20"/>
                <w:lang w:eastAsia="en-GB"/>
              </w:rPr>
              <w:t>11</w:t>
            </w:r>
          </w:p>
        </w:tc>
        <w:tc>
          <w:tcPr>
            <w:tcW w:w="1080" w:type="dxa"/>
            <w:tcBorders>
              <w:top w:val="single" w:sz="12" w:space="0" w:color="auto"/>
              <w:left w:val="single" w:sz="2" w:space="0" w:color="auto"/>
              <w:bottom w:val="single" w:sz="12" w:space="0" w:color="auto"/>
              <w:right w:val="single" w:sz="2" w:space="0" w:color="auto"/>
            </w:tcBorders>
            <w:vAlign w:val="center"/>
          </w:tcPr>
          <w:p w14:paraId="0EABCD46" w14:textId="77777777" w:rsidR="001C0111" w:rsidRPr="001C0111" w:rsidRDefault="001C0111" w:rsidP="001C0111">
            <w:pPr>
              <w:spacing w:before="60" w:after="60"/>
              <w:jc w:val="right"/>
              <w:rPr>
                <w:b/>
                <w:noProof/>
                <w:sz w:val="20"/>
                <w:lang w:eastAsia="en-GB"/>
              </w:rPr>
            </w:pPr>
            <w:r w:rsidRPr="001C0111">
              <w:rPr>
                <w:b/>
                <w:noProof/>
                <w:sz w:val="20"/>
                <w:lang w:eastAsia="en-GB"/>
              </w:rPr>
              <w:t>11</w:t>
            </w:r>
          </w:p>
        </w:tc>
        <w:tc>
          <w:tcPr>
            <w:tcW w:w="1080" w:type="dxa"/>
            <w:tcBorders>
              <w:top w:val="single" w:sz="12" w:space="0" w:color="auto"/>
              <w:left w:val="single" w:sz="2" w:space="0" w:color="auto"/>
              <w:bottom w:val="single" w:sz="12" w:space="0" w:color="auto"/>
              <w:right w:val="single" w:sz="2" w:space="0" w:color="auto"/>
            </w:tcBorders>
            <w:vAlign w:val="center"/>
          </w:tcPr>
          <w:p w14:paraId="6FEEA495" w14:textId="77777777" w:rsidR="001C0111" w:rsidRPr="001C0111" w:rsidRDefault="001C0111" w:rsidP="001C0111">
            <w:pPr>
              <w:spacing w:before="60" w:after="60"/>
              <w:jc w:val="right"/>
              <w:rPr>
                <w:b/>
                <w:noProof/>
                <w:sz w:val="20"/>
                <w:lang w:eastAsia="en-GB"/>
              </w:rPr>
            </w:pPr>
            <w:r w:rsidRPr="001C0111">
              <w:rPr>
                <w:b/>
                <w:noProof/>
                <w:sz w:val="20"/>
                <w:lang w:eastAsia="en-GB"/>
              </w:rPr>
              <w:t>11</w:t>
            </w:r>
          </w:p>
        </w:tc>
        <w:tc>
          <w:tcPr>
            <w:tcW w:w="1080" w:type="dxa"/>
            <w:tcBorders>
              <w:top w:val="single" w:sz="12" w:space="0" w:color="auto"/>
              <w:left w:val="single" w:sz="2" w:space="0" w:color="auto"/>
              <w:bottom w:val="single" w:sz="12" w:space="0" w:color="auto"/>
              <w:right w:val="single" w:sz="2" w:space="0" w:color="auto"/>
            </w:tcBorders>
            <w:vAlign w:val="center"/>
          </w:tcPr>
          <w:p w14:paraId="312CE423" w14:textId="77777777" w:rsidR="001C0111" w:rsidRPr="001C0111" w:rsidRDefault="001C0111" w:rsidP="001C0111">
            <w:pPr>
              <w:spacing w:before="60" w:after="60"/>
              <w:jc w:val="right"/>
              <w:rPr>
                <w:b/>
                <w:noProof/>
                <w:sz w:val="20"/>
                <w:lang w:eastAsia="en-GB"/>
              </w:rPr>
            </w:pPr>
            <w:r w:rsidRPr="001C0111">
              <w:rPr>
                <w:b/>
                <w:noProof/>
                <w:sz w:val="20"/>
                <w:lang w:eastAsia="en-GB"/>
              </w:rPr>
              <w:t>11</w:t>
            </w:r>
          </w:p>
        </w:tc>
        <w:tc>
          <w:tcPr>
            <w:tcW w:w="1080" w:type="dxa"/>
            <w:tcBorders>
              <w:top w:val="single" w:sz="12" w:space="0" w:color="auto"/>
              <w:left w:val="single" w:sz="2" w:space="0" w:color="auto"/>
              <w:bottom w:val="single" w:sz="12" w:space="0" w:color="auto"/>
              <w:right w:val="single" w:sz="2" w:space="0" w:color="auto"/>
            </w:tcBorders>
            <w:vAlign w:val="center"/>
          </w:tcPr>
          <w:p w14:paraId="2238DDDF" w14:textId="77777777" w:rsidR="001C0111" w:rsidRPr="001C0111" w:rsidRDefault="001C0111" w:rsidP="001C0111">
            <w:pPr>
              <w:spacing w:before="60" w:after="60"/>
              <w:jc w:val="right"/>
              <w:rPr>
                <w:b/>
                <w:noProof/>
                <w:sz w:val="20"/>
                <w:lang w:eastAsia="en-GB"/>
              </w:rPr>
            </w:pPr>
          </w:p>
        </w:tc>
      </w:tr>
    </w:tbl>
    <w:p w14:paraId="11340BCD" w14:textId="77777777" w:rsidR="001C0111" w:rsidRPr="001C0111" w:rsidRDefault="001C0111" w:rsidP="001C0111">
      <w:pPr>
        <w:rPr>
          <w:noProof/>
          <w:u w:val="single"/>
          <w:lang w:eastAsia="en-GB"/>
        </w:rPr>
      </w:pPr>
    </w:p>
    <w:p w14:paraId="14B562B6" w14:textId="77777777" w:rsidR="001C0111" w:rsidRPr="001C0111" w:rsidRDefault="001C0111" w:rsidP="002A2DB0">
      <w:pPr>
        <w:keepNext/>
        <w:outlineLvl w:val="3"/>
        <w:rPr>
          <w:rFonts w:eastAsiaTheme="majorEastAsia"/>
          <w:bCs/>
          <w:iCs/>
          <w:noProof/>
          <w:lang w:eastAsia="en-GB"/>
        </w:rPr>
      </w:pPr>
      <w:r w:rsidRPr="001C0111">
        <w:rPr>
          <w:rFonts w:eastAsiaTheme="majorEastAsia"/>
          <w:bCs/>
          <w:iCs/>
          <w:noProof/>
          <w:lang w:eastAsia="en-GB"/>
        </w:rPr>
        <w:t xml:space="preserve">Estimated impact on EEA’s human resources </w:t>
      </w:r>
    </w:p>
    <w:p w14:paraId="0D988C2E" w14:textId="77777777" w:rsidR="001C0111" w:rsidRPr="001C0111" w:rsidRDefault="001C0111" w:rsidP="001C0111">
      <w:pPr>
        <w:ind w:left="850"/>
        <w:rPr>
          <w:noProof/>
          <w:lang w:eastAsia="en-GB"/>
        </w:rPr>
      </w:pPr>
      <w:r w:rsidRPr="001C0111">
        <w:rPr>
          <w:rFonts w:ascii="Wingdings" w:eastAsia="Wingdings" w:hAnsi="Wingdings" w:cs="Wingdings"/>
          <w:noProof/>
          <w:lang w:eastAsia="en-GB"/>
        </w:rPr>
        <w:t></w:t>
      </w:r>
      <w:r w:rsidRPr="001C0111">
        <w:rPr>
          <w:noProof/>
          <w:lang w:eastAsia="en-GB"/>
        </w:rPr>
        <w:tab/>
        <w:t xml:space="preserve">The proposal/initiative does not require the use of appropriations of an administrative nature </w:t>
      </w:r>
    </w:p>
    <w:p w14:paraId="30466CB2" w14:textId="77777777" w:rsidR="001C0111" w:rsidRPr="001C0111" w:rsidRDefault="001C0111" w:rsidP="001C0111">
      <w:pPr>
        <w:ind w:left="850"/>
        <w:rPr>
          <w:noProof/>
          <w:lang w:eastAsia="en-GB"/>
        </w:rPr>
      </w:pPr>
      <w:r w:rsidRPr="001C0111">
        <w:rPr>
          <w:rFonts w:ascii="Wingdings" w:eastAsia="Wingdings" w:hAnsi="Wingdings" w:cs="Wingdings"/>
          <w:noProof/>
          <w:lang w:eastAsia="en-GB"/>
        </w:rPr>
        <w:t></w:t>
      </w:r>
      <w:r w:rsidRPr="001C0111">
        <w:rPr>
          <w:noProof/>
          <w:lang w:eastAsia="en-GB"/>
        </w:rPr>
        <w:tab/>
        <w:t>The proposal/initiative requires the use of appropriations of an administrative nature, as explained below:</w:t>
      </w:r>
    </w:p>
    <w:p w14:paraId="18C4B40B" w14:textId="77777777" w:rsidR="001C0111" w:rsidRPr="001C0111" w:rsidRDefault="001C0111" w:rsidP="001C0111">
      <w:pPr>
        <w:rPr>
          <w:noProof/>
          <w:sz w:val="20"/>
          <w:lang w:eastAsia="en-GB"/>
        </w:rPr>
      </w:pPr>
      <w:r w:rsidRPr="001C0111">
        <w:rPr>
          <w:noProof/>
          <w:sz w:val="20"/>
          <w:lang w:eastAsia="en-GB"/>
        </w:rPr>
        <w:t>EUR million (to three decimal places)</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1C0111" w14:paraId="6CC892D4" w14:textId="77777777" w:rsidTr="00EE4772">
        <w:trPr>
          <w:trHeight w:val="585"/>
          <w:jc w:val="center"/>
        </w:trPr>
        <w:tc>
          <w:tcPr>
            <w:tcW w:w="1980" w:type="dxa"/>
          </w:tcPr>
          <w:p w14:paraId="4D3BD97F" w14:textId="77777777" w:rsidR="001C0111" w:rsidRPr="001C0111" w:rsidRDefault="001C0111" w:rsidP="001C0111">
            <w:pPr>
              <w:spacing w:before="60" w:after="60"/>
              <w:rPr>
                <w:noProof/>
                <w:sz w:val="20"/>
                <w:lang w:eastAsia="en-GB"/>
              </w:rPr>
            </w:pPr>
          </w:p>
        </w:tc>
        <w:tc>
          <w:tcPr>
            <w:tcW w:w="1080" w:type="dxa"/>
            <w:vAlign w:val="center"/>
          </w:tcPr>
          <w:p w14:paraId="0C13AC44" w14:textId="77777777" w:rsidR="001C0111" w:rsidRPr="001C0111" w:rsidRDefault="001C0111" w:rsidP="001C0111">
            <w:pPr>
              <w:spacing w:before="60" w:after="60"/>
              <w:jc w:val="center"/>
              <w:rPr>
                <w:b/>
                <w:noProof/>
                <w:sz w:val="20"/>
                <w:lang w:eastAsia="en-GB"/>
              </w:rPr>
            </w:pPr>
            <w:r w:rsidRPr="001C0111">
              <w:rPr>
                <w:b/>
                <w:noProof/>
                <w:sz w:val="20"/>
                <w:lang w:eastAsia="en-GB"/>
              </w:rPr>
              <w:t>2024</w:t>
            </w:r>
          </w:p>
        </w:tc>
        <w:tc>
          <w:tcPr>
            <w:tcW w:w="1080" w:type="dxa"/>
            <w:vAlign w:val="center"/>
          </w:tcPr>
          <w:p w14:paraId="69C458FC" w14:textId="77777777" w:rsidR="001C0111" w:rsidRPr="001C0111" w:rsidRDefault="001C0111" w:rsidP="001C0111">
            <w:pPr>
              <w:spacing w:before="60" w:after="60"/>
              <w:jc w:val="center"/>
              <w:rPr>
                <w:b/>
                <w:noProof/>
                <w:sz w:val="20"/>
                <w:lang w:eastAsia="en-GB"/>
              </w:rPr>
            </w:pPr>
            <w:r w:rsidRPr="001C0111">
              <w:rPr>
                <w:b/>
                <w:noProof/>
                <w:sz w:val="20"/>
                <w:lang w:eastAsia="en-GB"/>
              </w:rPr>
              <w:t>2025</w:t>
            </w:r>
          </w:p>
        </w:tc>
        <w:tc>
          <w:tcPr>
            <w:tcW w:w="1080" w:type="dxa"/>
            <w:vAlign w:val="center"/>
          </w:tcPr>
          <w:p w14:paraId="2C96A2CD" w14:textId="77777777" w:rsidR="001C0111" w:rsidRPr="001C0111" w:rsidRDefault="001C0111" w:rsidP="001C0111">
            <w:pPr>
              <w:spacing w:before="60" w:after="60"/>
              <w:jc w:val="center"/>
              <w:rPr>
                <w:b/>
                <w:noProof/>
                <w:sz w:val="20"/>
                <w:lang w:eastAsia="en-GB"/>
              </w:rPr>
            </w:pPr>
            <w:r w:rsidRPr="001C0111">
              <w:rPr>
                <w:b/>
                <w:noProof/>
                <w:sz w:val="20"/>
                <w:lang w:eastAsia="en-GB"/>
              </w:rPr>
              <w:t>2026</w:t>
            </w:r>
          </w:p>
        </w:tc>
        <w:tc>
          <w:tcPr>
            <w:tcW w:w="1080" w:type="dxa"/>
            <w:vAlign w:val="center"/>
          </w:tcPr>
          <w:p w14:paraId="29F0517D" w14:textId="77777777" w:rsidR="001C0111" w:rsidRPr="001C0111" w:rsidRDefault="001C0111" w:rsidP="001C0111">
            <w:pPr>
              <w:spacing w:before="60" w:after="60"/>
              <w:jc w:val="center"/>
              <w:rPr>
                <w:b/>
                <w:noProof/>
                <w:sz w:val="20"/>
                <w:lang w:eastAsia="en-GB"/>
              </w:rPr>
            </w:pPr>
            <w:r w:rsidRPr="001C0111">
              <w:rPr>
                <w:b/>
                <w:noProof/>
                <w:sz w:val="20"/>
                <w:lang w:eastAsia="en-GB"/>
              </w:rPr>
              <w:t>2027</w:t>
            </w:r>
          </w:p>
        </w:tc>
        <w:tc>
          <w:tcPr>
            <w:tcW w:w="1080" w:type="dxa"/>
            <w:vAlign w:val="center"/>
          </w:tcPr>
          <w:p w14:paraId="0372F909" w14:textId="77777777" w:rsidR="001C0111" w:rsidRPr="001C0111" w:rsidRDefault="001C0111" w:rsidP="001C0111">
            <w:pPr>
              <w:jc w:val="center"/>
              <w:rPr>
                <w:b/>
                <w:noProof/>
                <w:sz w:val="20"/>
                <w:lang w:eastAsia="en-GB"/>
              </w:rPr>
            </w:pPr>
            <w:r w:rsidRPr="001C0111">
              <w:rPr>
                <w:b/>
                <w:noProof/>
                <w:sz w:val="20"/>
                <w:lang w:eastAsia="en-GB"/>
              </w:rPr>
              <w:t>TOTAL</w:t>
            </w:r>
          </w:p>
        </w:tc>
      </w:tr>
    </w:tbl>
    <w:p w14:paraId="65B5B092" w14:textId="77777777" w:rsidR="001C0111" w:rsidRPr="001C0111" w:rsidRDefault="001C0111" w:rsidP="001C0111">
      <w:pPr>
        <w:rPr>
          <w:noProof/>
          <w:sz w:val="20"/>
          <w:lang w:eastAsia="en-GB"/>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1C0111" w14:paraId="6E3716F6" w14:textId="77777777" w:rsidTr="00EE4772">
        <w:trPr>
          <w:trHeight w:val="585"/>
          <w:jc w:val="center"/>
        </w:trPr>
        <w:tc>
          <w:tcPr>
            <w:tcW w:w="1980" w:type="dxa"/>
            <w:shd w:val="clear" w:color="auto" w:fill="D9D9D9" w:themeFill="background1" w:themeFillShade="D9"/>
            <w:vAlign w:val="center"/>
          </w:tcPr>
          <w:p w14:paraId="0643BE10" w14:textId="77777777" w:rsidR="001C0111" w:rsidRPr="001C0111" w:rsidRDefault="001C0111" w:rsidP="001C0111">
            <w:pPr>
              <w:spacing w:before="60" w:after="60"/>
              <w:jc w:val="center"/>
              <w:rPr>
                <w:noProof/>
                <w:lang w:eastAsia="en-GB"/>
              </w:rPr>
            </w:pPr>
            <w:r w:rsidRPr="001C0111">
              <w:rPr>
                <w:noProof/>
                <w:sz w:val="18"/>
                <w:lang w:eastAsia="en-GB"/>
              </w:rPr>
              <w:t>Temporary agents (AD Grades)</w:t>
            </w:r>
          </w:p>
        </w:tc>
        <w:tc>
          <w:tcPr>
            <w:tcW w:w="1080" w:type="dxa"/>
          </w:tcPr>
          <w:p w14:paraId="6FDF2A4D" w14:textId="77777777" w:rsidR="001C0111" w:rsidRPr="001C0111" w:rsidRDefault="001C0111" w:rsidP="001C0111">
            <w:pPr>
              <w:spacing w:before="60" w:after="60"/>
              <w:jc w:val="right"/>
              <w:rPr>
                <w:noProof/>
                <w:sz w:val="22"/>
                <w:lang w:eastAsia="en-GB"/>
              </w:rPr>
            </w:pPr>
            <w:r w:rsidRPr="001C0111">
              <w:rPr>
                <w:noProof/>
                <w:sz w:val="22"/>
                <w:lang w:eastAsia="en-GB"/>
              </w:rPr>
              <w:t>0,526</w:t>
            </w:r>
          </w:p>
        </w:tc>
        <w:tc>
          <w:tcPr>
            <w:tcW w:w="1080" w:type="dxa"/>
          </w:tcPr>
          <w:p w14:paraId="5F66B88B" w14:textId="77777777" w:rsidR="001C0111" w:rsidRPr="001C0111" w:rsidRDefault="001C0111" w:rsidP="001C0111">
            <w:pPr>
              <w:spacing w:before="60" w:after="60"/>
              <w:jc w:val="right"/>
              <w:rPr>
                <w:noProof/>
                <w:sz w:val="22"/>
                <w:lang w:eastAsia="en-GB"/>
              </w:rPr>
            </w:pPr>
            <w:r w:rsidRPr="001C0111">
              <w:rPr>
                <w:noProof/>
                <w:sz w:val="22"/>
                <w:lang w:eastAsia="en-GB"/>
              </w:rPr>
              <w:t>1,074</w:t>
            </w:r>
          </w:p>
        </w:tc>
        <w:tc>
          <w:tcPr>
            <w:tcW w:w="1080" w:type="dxa"/>
          </w:tcPr>
          <w:p w14:paraId="02C28DFB" w14:textId="77777777" w:rsidR="001C0111" w:rsidRPr="001C0111" w:rsidRDefault="001C0111" w:rsidP="001C0111">
            <w:pPr>
              <w:spacing w:before="60" w:after="60"/>
              <w:jc w:val="center"/>
              <w:rPr>
                <w:noProof/>
                <w:sz w:val="22"/>
                <w:lang w:eastAsia="en-GB"/>
              </w:rPr>
            </w:pPr>
            <w:r w:rsidRPr="001C0111">
              <w:rPr>
                <w:noProof/>
                <w:sz w:val="22"/>
                <w:lang w:eastAsia="en-GB"/>
              </w:rPr>
              <w:t>1,095</w:t>
            </w:r>
          </w:p>
        </w:tc>
        <w:tc>
          <w:tcPr>
            <w:tcW w:w="1080" w:type="dxa"/>
          </w:tcPr>
          <w:p w14:paraId="7CCD95B8" w14:textId="77777777" w:rsidR="001C0111" w:rsidRPr="001C0111" w:rsidRDefault="001C0111" w:rsidP="001C0111">
            <w:pPr>
              <w:spacing w:before="60" w:after="60"/>
              <w:jc w:val="right"/>
              <w:rPr>
                <w:noProof/>
                <w:sz w:val="22"/>
                <w:lang w:eastAsia="en-GB"/>
              </w:rPr>
            </w:pPr>
            <w:r w:rsidRPr="001C0111">
              <w:rPr>
                <w:noProof/>
                <w:sz w:val="22"/>
                <w:lang w:eastAsia="en-GB"/>
              </w:rPr>
              <w:t>1,117</w:t>
            </w:r>
          </w:p>
        </w:tc>
        <w:tc>
          <w:tcPr>
            <w:tcW w:w="1080" w:type="dxa"/>
          </w:tcPr>
          <w:p w14:paraId="75F5B53F" w14:textId="77777777" w:rsidR="001C0111" w:rsidRPr="001C0111" w:rsidRDefault="001C0111" w:rsidP="001C0111">
            <w:pPr>
              <w:spacing w:before="60" w:after="60"/>
              <w:jc w:val="right"/>
              <w:rPr>
                <w:b/>
                <w:noProof/>
                <w:sz w:val="22"/>
                <w:lang w:eastAsia="en-GB"/>
              </w:rPr>
            </w:pPr>
            <w:r w:rsidRPr="001C0111">
              <w:rPr>
                <w:b/>
                <w:noProof/>
                <w:sz w:val="22"/>
                <w:lang w:eastAsia="en-GB"/>
              </w:rPr>
              <w:t>3,813</w:t>
            </w:r>
          </w:p>
        </w:tc>
      </w:tr>
      <w:tr w:rsidR="001C0111" w:rsidRPr="001C0111" w14:paraId="052DDBA1" w14:textId="77777777" w:rsidTr="00EE4772">
        <w:trPr>
          <w:trHeight w:val="585"/>
          <w:jc w:val="center"/>
        </w:trPr>
        <w:tc>
          <w:tcPr>
            <w:tcW w:w="1980" w:type="dxa"/>
            <w:shd w:val="clear" w:color="auto" w:fill="BFBFBF" w:themeFill="background1" w:themeFillShade="BF"/>
            <w:vAlign w:val="center"/>
          </w:tcPr>
          <w:p w14:paraId="5278DCEB" w14:textId="77777777" w:rsidR="001C0111" w:rsidRPr="001C0111" w:rsidRDefault="001C0111" w:rsidP="001C0111">
            <w:pPr>
              <w:spacing w:before="60" w:after="60"/>
              <w:ind w:left="72"/>
              <w:rPr>
                <w:noProof/>
                <w:lang w:eastAsia="en-GB"/>
              </w:rPr>
            </w:pPr>
            <w:r w:rsidRPr="001C0111">
              <w:rPr>
                <w:noProof/>
                <w:sz w:val="20"/>
                <w:lang w:eastAsia="en-GB"/>
              </w:rPr>
              <w:t>Temporary agents (AST grades)</w:t>
            </w:r>
          </w:p>
        </w:tc>
        <w:tc>
          <w:tcPr>
            <w:tcW w:w="1080" w:type="dxa"/>
            <w:vAlign w:val="center"/>
          </w:tcPr>
          <w:p w14:paraId="01BFFF76" w14:textId="77777777" w:rsidR="001C0111" w:rsidRPr="001C0111" w:rsidRDefault="001C0111" w:rsidP="001C0111">
            <w:pPr>
              <w:spacing w:before="60" w:after="60"/>
              <w:jc w:val="right"/>
              <w:rPr>
                <w:noProof/>
                <w:sz w:val="22"/>
                <w:lang w:eastAsia="en-GB"/>
              </w:rPr>
            </w:pPr>
          </w:p>
        </w:tc>
        <w:tc>
          <w:tcPr>
            <w:tcW w:w="1080" w:type="dxa"/>
            <w:vAlign w:val="center"/>
          </w:tcPr>
          <w:p w14:paraId="3DB80E69" w14:textId="77777777" w:rsidR="001C0111" w:rsidRPr="001C0111" w:rsidRDefault="001C0111" w:rsidP="001C0111">
            <w:pPr>
              <w:spacing w:before="60" w:after="60"/>
              <w:jc w:val="right"/>
              <w:rPr>
                <w:noProof/>
                <w:sz w:val="22"/>
                <w:lang w:eastAsia="en-GB"/>
              </w:rPr>
            </w:pPr>
          </w:p>
        </w:tc>
        <w:tc>
          <w:tcPr>
            <w:tcW w:w="1080" w:type="dxa"/>
          </w:tcPr>
          <w:p w14:paraId="590DA2FE" w14:textId="77777777" w:rsidR="001C0111" w:rsidRPr="001C0111" w:rsidRDefault="001C0111" w:rsidP="001C0111">
            <w:pPr>
              <w:spacing w:before="60" w:after="60"/>
              <w:jc w:val="right"/>
              <w:rPr>
                <w:noProof/>
                <w:sz w:val="22"/>
                <w:lang w:eastAsia="en-GB"/>
              </w:rPr>
            </w:pPr>
          </w:p>
        </w:tc>
        <w:tc>
          <w:tcPr>
            <w:tcW w:w="1080" w:type="dxa"/>
            <w:vAlign w:val="center"/>
          </w:tcPr>
          <w:p w14:paraId="7B32DABD" w14:textId="77777777" w:rsidR="001C0111" w:rsidRPr="001C0111" w:rsidRDefault="001C0111" w:rsidP="001C0111">
            <w:pPr>
              <w:spacing w:before="60" w:after="60"/>
              <w:jc w:val="right"/>
              <w:rPr>
                <w:noProof/>
                <w:sz w:val="22"/>
                <w:lang w:eastAsia="en-GB"/>
              </w:rPr>
            </w:pPr>
          </w:p>
        </w:tc>
        <w:tc>
          <w:tcPr>
            <w:tcW w:w="1080" w:type="dxa"/>
            <w:vAlign w:val="center"/>
          </w:tcPr>
          <w:p w14:paraId="68FE7726" w14:textId="77777777" w:rsidR="001C0111" w:rsidRPr="001C0111" w:rsidRDefault="001C0111" w:rsidP="001C0111">
            <w:pPr>
              <w:spacing w:before="60" w:after="60"/>
              <w:jc w:val="right"/>
              <w:rPr>
                <w:noProof/>
                <w:sz w:val="22"/>
                <w:lang w:eastAsia="en-GB"/>
              </w:rPr>
            </w:pPr>
          </w:p>
        </w:tc>
      </w:tr>
      <w:tr w:rsidR="001C0111" w:rsidRPr="001C0111" w14:paraId="3FA38669" w14:textId="77777777" w:rsidTr="00EE4772">
        <w:trPr>
          <w:trHeight w:val="585"/>
          <w:jc w:val="center"/>
        </w:trPr>
        <w:tc>
          <w:tcPr>
            <w:tcW w:w="1980" w:type="dxa"/>
            <w:shd w:val="clear" w:color="auto" w:fill="BFBFBF" w:themeFill="background1" w:themeFillShade="BF"/>
            <w:vAlign w:val="center"/>
          </w:tcPr>
          <w:p w14:paraId="4B4F5567" w14:textId="77777777" w:rsidR="001C0111" w:rsidRPr="001C0111" w:rsidRDefault="001C0111" w:rsidP="001C0111">
            <w:pPr>
              <w:spacing w:before="60" w:after="60"/>
              <w:ind w:left="72"/>
              <w:rPr>
                <w:noProof/>
                <w:sz w:val="22"/>
                <w:lang w:eastAsia="en-GB"/>
              </w:rPr>
            </w:pPr>
            <w:r w:rsidRPr="001C0111">
              <w:rPr>
                <w:noProof/>
                <w:sz w:val="22"/>
                <w:lang w:eastAsia="en-GB"/>
              </w:rPr>
              <w:t>Contract staff</w:t>
            </w:r>
          </w:p>
        </w:tc>
        <w:tc>
          <w:tcPr>
            <w:tcW w:w="1080" w:type="dxa"/>
            <w:shd w:val="clear" w:color="auto" w:fill="auto"/>
            <w:vAlign w:val="bottom"/>
          </w:tcPr>
          <w:p w14:paraId="3D8C26D0" w14:textId="77777777" w:rsidR="001C0111" w:rsidRPr="001C0111" w:rsidRDefault="001C0111" w:rsidP="001C0111">
            <w:pPr>
              <w:spacing w:before="60" w:after="60"/>
              <w:jc w:val="right"/>
              <w:rPr>
                <w:noProof/>
                <w:sz w:val="22"/>
                <w:lang w:eastAsia="en-GB"/>
              </w:rPr>
            </w:pPr>
            <w:r w:rsidRPr="001C0111">
              <w:rPr>
                <w:noProof/>
                <w:sz w:val="22"/>
                <w:lang w:eastAsia="en-GB"/>
              </w:rPr>
              <w:t>0,171</w:t>
            </w:r>
          </w:p>
        </w:tc>
        <w:tc>
          <w:tcPr>
            <w:tcW w:w="1080" w:type="dxa"/>
            <w:shd w:val="clear" w:color="auto" w:fill="auto"/>
            <w:vAlign w:val="bottom"/>
          </w:tcPr>
          <w:p w14:paraId="44B9BD99" w14:textId="77777777" w:rsidR="001C0111" w:rsidRPr="001C0111" w:rsidRDefault="001C0111" w:rsidP="001C0111">
            <w:pPr>
              <w:spacing w:before="60" w:after="60"/>
              <w:jc w:val="right"/>
              <w:rPr>
                <w:noProof/>
                <w:sz w:val="22"/>
                <w:lang w:eastAsia="en-GB"/>
              </w:rPr>
            </w:pPr>
            <w:r w:rsidRPr="001C0111">
              <w:rPr>
                <w:noProof/>
                <w:sz w:val="22"/>
                <w:lang w:eastAsia="en-GB"/>
              </w:rPr>
              <w:t>0,349</w:t>
            </w:r>
          </w:p>
        </w:tc>
        <w:tc>
          <w:tcPr>
            <w:tcW w:w="1080" w:type="dxa"/>
            <w:shd w:val="clear" w:color="auto" w:fill="auto"/>
            <w:vAlign w:val="bottom"/>
          </w:tcPr>
          <w:p w14:paraId="24AB6DBA" w14:textId="77777777" w:rsidR="001C0111" w:rsidRPr="001C0111" w:rsidRDefault="001C0111" w:rsidP="001C0111">
            <w:pPr>
              <w:spacing w:before="60" w:after="60"/>
              <w:jc w:val="right"/>
              <w:rPr>
                <w:noProof/>
                <w:sz w:val="22"/>
                <w:lang w:eastAsia="en-GB"/>
              </w:rPr>
            </w:pPr>
            <w:r w:rsidRPr="001C0111">
              <w:rPr>
                <w:noProof/>
                <w:sz w:val="22"/>
                <w:lang w:eastAsia="en-GB"/>
              </w:rPr>
              <w:t>0,356</w:t>
            </w:r>
          </w:p>
        </w:tc>
        <w:tc>
          <w:tcPr>
            <w:tcW w:w="1080" w:type="dxa"/>
            <w:shd w:val="clear" w:color="auto" w:fill="auto"/>
            <w:vAlign w:val="bottom"/>
          </w:tcPr>
          <w:p w14:paraId="5F9D358F" w14:textId="77777777" w:rsidR="001C0111" w:rsidRPr="001C0111" w:rsidRDefault="001C0111" w:rsidP="001C0111">
            <w:pPr>
              <w:spacing w:before="60" w:after="60"/>
              <w:jc w:val="right"/>
              <w:rPr>
                <w:noProof/>
                <w:sz w:val="22"/>
                <w:lang w:eastAsia="en-GB"/>
              </w:rPr>
            </w:pPr>
            <w:r w:rsidRPr="001C0111">
              <w:rPr>
                <w:noProof/>
                <w:sz w:val="22"/>
                <w:lang w:eastAsia="en-GB"/>
              </w:rPr>
              <w:t>0,363</w:t>
            </w:r>
          </w:p>
        </w:tc>
        <w:tc>
          <w:tcPr>
            <w:tcW w:w="1080" w:type="dxa"/>
            <w:shd w:val="clear" w:color="auto" w:fill="auto"/>
            <w:vAlign w:val="bottom"/>
          </w:tcPr>
          <w:p w14:paraId="2D1CA99C" w14:textId="77777777" w:rsidR="001C0111" w:rsidRPr="001C0111" w:rsidRDefault="001C0111" w:rsidP="001C0111">
            <w:pPr>
              <w:spacing w:before="60" w:after="60"/>
              <w:jc w:val="right"/>
              <w:rPr>
                <w:noProof/>
                <w:sz w:val="22"/>
                <w:lang w:eastAsia="en-GB"/>
              </w:rPr>
            </w:pPr>
            <w:r w:rsidRPr="001C0111">
              <w:rPr>
                <w:b/>
                <w:bCs/>
                <w:noProof/>
                <w:sz w:val="22"/>
                <w:lang w:eastAsia="en-GB"/>
              </w:rPr>
              <w:t>1,239</w:t>
            </w:r>
          </w:p>
        </w:tc>
      </w:tr>
      <w:tr w:rsidR="001C0111" w:rsidRPr="001C0111" w14:paraId="20D415A7" w14:textId="77777777" w:rsidTr="00EE4772">
        <w:trPr>
          <w:trHeight w:val="585"/>
          <w:jc w:val="center"/>
        </w:trPr>
        <w:tc>
          <w:tcPr>
            <w:tcW w:w="1980" w:type="dxa"/>
            <w:shd w:val="clear" w:color="auto" w:fill="CCCCCC"/>
            <w:vAlign w:val="center"/>
          </w:tcPr>
          <w:p w14:paraId="7F684195" w14:textId="77777777" w:rsidR="001C0111" w:rsidRPr="001C0111" w:rsidRDefault="001C0111" w:rsidP="001C0111">
            <w:pPr>
              <w:spacing w:before="60" w:after="60"/>
              <w:jc w:val="center"/>
              <w:rPr>
                <w:noProof/>
                <w:sz w:val="22"/>
                <w:lang w:eastAsia="en-GB"/>
              </w:rPr>
            </w:pPr>
            <w:r w:rsidRPr="001C0111">
              <w:rPr>
                <w:noProof/>
                <w:sz w:val="22"/>
                <w:lang w:eastAsia="en-GB"/>
              </w:rPr>
              <w:t>Seconded National Experts</w:t>
            </w:r>
          </w:p>
        </w:tc>
        <w:tc>
          <w:tcPr>
            <w:tcW w:w="1080" w:type="dxa"/>
            <w:vAlign w:val="center"/>
          </w:tcPr>
          <w:p w14:paraId="5DA8F05B" w14:textId="77777777" w:rsidR="001C0111" w:rsidRPr="001C0111" w:rsidRDefault="001C0111" w:rsidP="001C0111">
            <w:pPr>
              <w:spacing w:before="60" w:after="60"/>
              <w:jc w:val="right"/>
              <w:rPr>
                <w:noProof/>
                <w:sz w:val="22"/>
                <w:lang w:eastAsia="en-GB"/>
              </w:rPr>
            </w:pPr>
          </w:p>
        </w:tc>
        <w:tc>
          <w:tcPr>
            <w:tcW w:w="1080" w:type="dxa"/>
            <w:vAlign w:val="center"/>
          </w:tcPr>
          <w:p w14:paraId="3519BD62" w14:textId="77777777" w:rsidR="001C0111" w:rsidRPr="001C0111" w:rsidRDefault="001C0111" w:rsidP="001C0111">
            <w:pPr>
              <w:spacing w:before="60" w:after="60"/>
              <w:jc w:val="right"/>
              <w:rPr>
                <w:noProof/>
                <w:sz w:val="22"/>
                <w:lang w:eastAsia="en-GB"/>
              </w:rPr>
            </w:pPr>
          </w:p>
        </w:tc>
        <w:tc>
          <w:tcPr>
            <w:tcW w:w="1080" w:type="dxa"/>
          </w:tcPr>
          <w:p w14:paraId="378328C7" w14:textId="77777777" w:rsidR="001C0111" w:rsidRPr="001C0111" w:rsidRDefault="001C0111" w:rsidP="001C0111">
            <w:pPr>
              <w:spacing w:before="60" w:after="60"/>
              <w:jc w:val="right"/>
              <w:rPr>
                <w:noProof/>
                <w:sz w:val="22"/>
                <w:lang w:eastAsia="en-GB"/>
              </w:rPr>
            </w:pPr>
          </w:p>
        </w:tc>
        <w:tc>
          <w:tcPr>
            <w:tcW w:w="1080" w:type="dxa"/>
            <w:vAlign w:val="center"/>
          </w:tcPr>
          <w:p w14:paraId="3DC01B68" w14:textId="77777777" w:rsidR="001C0111" w:rsidRPr="001C0111" w:rsidRDefault="001C0111" w:rsidP="001C0111">
            <w:pPr>
              <w:spacing w:before="60" w:after="60"/>
              <w:jc w:val="right"/>
              <w:rPr>
                <w:noProof/>
                <w:sz w:val="22"/>
                <w:lang w:eastAsia="en-GB"/>
              </w:rPr>
            </w:pPr>
          </w:p>
        </w:tc>
        <w:tc>
          <w:tcPr>
            <w:tcW w:w="1080" w:type="dxa"/>
            <w:vAlign w:val="center"/>
          </w:tcPr>
          <w:p w14:paraId="0DE838B4" w14:textId="77777777" w:rsidR="001C0111" w:rsidRPr="001C0111" w:rsidRDefault="001C0111" w:rsidP="001C0111">
            <w:pPr>
              <w:spacing w:before="60" w:after="60"/>
              <w:jc w:val="right"/>
              <w:rPr>
                <w:noProof/>
                <w:sz w:val="22"/>
                <w:lang w:eastAsia="en-GB"/>
              </w:rPr>
            </w:pPr>
          </w:p>
        </w:tc>
      </w:tr>
    </w:tbl>
    <w:p w14:paraId="034F6D5B" w14:textId="77777777" w:rsidR="001C0111" w:rsidRPr="001C0111" w:rsidRDefault="001C0111" w:rsidP="001C0111">
      <w:pPr>
        <w:rPr>
          <w:noProof/>
          <w:sz w:val="22"/>
          <w:lang w:eastAsia="en-GB"/>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C0111" w:rsidRPr="001C0111" w14:paraId="5574DD2F" w14:textId="77777777" w:rsidTr="00EE4772">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1922ECB1" w14:textId="77777777" w:rsidR="001C0111" w:rsidRPr="001C0111" w:rsidRDefault="001C0111" w:rsidP="001C0111">
            <w:pPr>
              <w:spacing w:before="60" w:after="60"/>
              <w:jc w:val="center"/>
              <w:rPr>
                <w:noProof/>
                <w:sz w:val="22"/>
                <w:lang w:eastAsia="en-GB"/>
              </w:rPr>
            </w:pPr>
            <w:r w:rsidRPr="001C0111">
              <w:rPr>
                <w:b/>
                <w:noProof/>
                <w:sz w:val="22"/>
                <w:lang w:eastAsia="en-GB"/>
              </w:rPr>
              <w:t>TOTAL</w:t>
            </w:r>
          </w:p>
        </w:tc>
        <w:tc>
          <w:tcPr>
            <w:tcW w:w="1080" w:type="dxa"/>
            <w:tcBorders>
              <w:top w:val="single" w:sz="12" w:space="0" w:color="auto"/>
              <w:left w:val="single" w:sz="2" w:space="0" w:color="auto"/>
              <w:bottom w:val="single" w:sz="12" w:space="0" w:color="auto"/>
              <w:right w:val="single" w:sz="2" w:space="0" w:color="auto"/>
            </w:tcBorders>
            <w:vAlign w:val="bottom"/>
          </w:tcPr>
          <w:p w14:paraId="6BDEF15B" w14:textId="77777777" w:rsidR="001C0111" w:rsidRPr="001C0111" w:rsidRDefault="001C0111" w:rsidP="001C0111">
            <w:pPr>
              <w:spacing w:before="60" w:after="60"/>
              <w:jc w:val="right"/>
              <w:rPr>
                <w:b/>
                <w:noProof/>
                <w:sz w:val="22"/>
                <w:lang w:eastAsia="en-GB"/>
              </w:rPr>
            </w:pPr>
            <w:r w:rsidRPr="001C0111">
              <w:rPr>
                <w:b/>
                <w:bCs/>
                <w:noProof/>
                <w:sz w:val="22"/>
                <w:lang w:eastAsia="en-GB"/>
              </w:rPr>
              <w:t>0,697</w:t>
            </w:r>
          </w:p>
        </w:tc>
        <w:tc>
          <w:tcPr>
            <w:tcW w:w="1080" w:type="dxa"/>
            <w:tcBorders>
              <w:top w:val="single" w:sz="12" w:space="0" w:color="auto"/>
              <w:left w:val="single" w:sz="2" w:space="0" w:color="auto"/>
              <w:bottom w:val="single" w:sz="12" w:space="0" w:color="auto"/>
              <w:right w:val="single" w:sz="2" w:space="0" w:color="auto"/>
            </w:tcBorders>
            <w:vAlign w:val="bottom"/>
          </w:tcPr>
          <w:p w14:paraId="62DE2399" w14:textId="77777777" w:rsidR="001C0111" w:rsidRPr="001C0111" w:rsidRDefault="001C0111" w:rsidP="001C0111">
            <w:pPr>
              <w:spacing w:before="60" w:after="60"/>
              <w:jc w:val="right"/>
              <w:rPr>
                <w:b/>
                <w:noProof/>
                <w:sz w:val="22"/>
                <w:lang w:eastAsia="en-GB"/>
              </w:rPr>
            </w:pPr>
            <w:r w:rsidRPr="001C0111">
              <w:rPr>
                <w:b/>
                <w:bCs/>
                <w:noProof/>
                <w:sz w:val="22"/>
                <w:lang w:eastAsia="en-GB"/>
              </w:rPr>
              <w:t>1,423</w:t>
            </w:r>
          </w:p>
        </w:tc>
        <w:tc>
          <w:tcPr>
            <w:tcW w:w="1080" w:type="dxa"/>
            <w:tcBorders>
              <w:top w:val="single" w:sz="12" w:space="0" w:color="auto"/>
              <w:left w:val="single" w:sz="2" w:space="0" w:color="auto"/>
              <w:bottom w:val="single" w:sz="12" w:space="0" w:color="auto"/>
              <w:right w:val="single" w:sz="2" w:space="0" w:color="auto"/>
            </w:tcBorders>
            <w:vAlign w:val="bottom"/>
          </w:tcPr>
          <w:p w14:paraId="7F088204" w14:textId="77777777" w:rsidR="001C0111" w:rsidRPr="001C0111" w:rsidRDefault="001C0111" w:rsidP="001C0111">
            <w:pPr>
              <w:spacing w:before="60" w:after="60"/>
              <w:jc w:val="center"/>
              <w:rPr>
                <w:b/>
                <w:noProof/>
                <w:sz w:val="22"/>
                <w:lang w:eastAsia="en-GB"/>
              </w:rPr>
            </w:pPr>
            <w:r w:rsidRPr="001C0111">
              <w:rPr>
                <w:b/>
                <w:bCs/>
                <w:noProof/>
                <w:sz w:val="22"/>
                <w:lang w:eastAsia="en-GB"/>
              </w:rPr>
              <w:t>1,451</w:t>
            </w:r>
          </w:p>
        </w:tc>
        <w:tc>
          <w:tcPr>
            <w:tcW w:w="1080" w:type="dxa"/>
            <w:tcBorders>
              <w:top w:val="single" w:sz="12" w:space="0" w:color="auto"/>
              <w:left w:val="single" w:sz="2" w:space="0" w:color="auto"/>
              <w:bottom w:val="single" w:sz="12" w:space="0" w:color="auto"/>
              <w:right w:val="single" w:sz="2" w:space="0" w:color="auto"/>
            </w:tcBorders>
            <w:vAlign w:val="bottom"/>
          </w:tcPr>
          <w:p w14:paraId="0470C0B4" w14:textId="77777777" w:rsidR="001C0111" w:rsidRPr="001C0111" w:rsidRDefault="001C0111" w:rsidP="001C0111">
            <w:pPr>
              <w:spacing w:before="60" w:after="60"/>
              <w:jc w:val="right"/>
              <w:rPr>
                <w:b/>
                <w:noProof/>
                <w:sz w:val="22"/>
                <w:lang w:eastAsia="en-GB"/>
              </w:rPr>
            </w:pPr>
            <w:r w:rsidRPr="001C0111">
              <w:rPr>
                <w:b/>
                <w:bCs/>
                <w:noProof/>
                <w:sz w:val="22"/>
                <w:lang w:eastAsia="en-GB"/>
              </w:rPr>
              <w:t>1,480</w:t>
            </w:r>
          </w:p>
        </w:tc>
        <w:tc>
          <w:tcPr>
            <w:tcW w:w="1080" w:type="dxa"/>
            <w:tcBorders>
              <w:top w:val="single" w:sz="12" w:space="0" w:color="auto"/>
              <w:left w:val="single" w:sz="2" w:space="0" w:color="auto"/>
              <w:bottom w:val="single" w:sz="12" w:space="0" w:color="auto"/>
              <w:right w:val="single" w:sz="2" w:space="0" w:color="auto"/>
            </w:tcBorders>
            <w:vAlign w:val="bottom"/>
          </w:tcPr>
          <w:p w14:paraId="749D6692" w14:textId="77777777" w:rsidR="001C0111" w:rsidRPr="001C0111" w:rsidRDefault="001C0111" w:rsidP="001C0111">
            <w:pPr>
              <w:spacing w:before="60" w:after="60"/>
              <w:jc w:val="right"/>
              <w:rPr>
                <w:b/>
                <w:noProof/>
                <w:sz w:val="22"/>
                <w:lang w:eastAsia="en-GB"/>
              </w:rPr>
            </w:pPr>
            <w:r w:rsidRPr="001C0111">
              <w:rPr>
                <w:b/>
                <w:bCs/>
                <w:noProof/>
                <w:sz w:val="22"/>
                <w:lang w:eastAsia="en-GB"/>
              </w:rPr>
              <w:t>5,052</w:t>
            </w:r>
          </w:p>
        </w:tc>
      </w:tr>
    </w:tbl>
    <w:p w14:paraId="7F562E82" w14:textId="77777777" w:rsidR="001C0111" w:rsidRPr="001C0111" w:rsidRDefault="001C0111" w:rsidP="001C0111">
      <w:pPr>
        <w:rPr>
          <w:noProof/>
          <w:u w:val="single"/>
          <w:lang w:eastAsia="en-GB"/>
        </w:rPr>
      </w:pPr>
    </w:p>
    <w:p w14:paraId="28433AA6" w14:textId="77777777" w:rsidR="001C0111" w:rsidRPr="001C0111" w:rsidRDefault="001C0111" w:rsidP="001C0111">
      <w:pPr>
        <w:rPr>
          <w:noProof/>
          <w:sz w:val="20"/>
          <w:lang w:eastAsia="en-GB"/>
        </w:rPr>
      </w:pPr>
      <w:r w:rsidRPr="001C0111">
        <w:rPr>
          <w:noProof/>
          <w:sz w:val="20"/>
          <w:lang w:eastAsia="en-GB"/>
        </w:rPr>
        <w:t>Staff requirements (FTE):</w:t>
      </w: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1C0111" w14:paraId="3F68A327" w14:textId="77777777" w:rsidTr="00EE4772">
        <w:trPr>
          <w:trHeight w:val="585"/>
          <w:jc w:val="center"/>
        </w:trPr>
        <w:tc>
          <w:tcPr>
            <w:tcW w:w="1980" w:type="dxa"/>
          </w:tcPr>
          <w:p w14:paraId="362DAAE0" w14:textId="77777777" w:rsidR="001C0111" w:rsidRPr="001C0111" w:rsidRDefault="001C0111" w:rsidP="001C0111">
            <w:pPr>
              <w:spacing w:before="60" w:after="60"/>
              <w:rPr>
                <w:noProof/>
                <w:sz w:val="20"/>
                <w:lang w:eastAsia="en-GB"/>
              </w:rPr>
            </w:pPr>
          </w:p>
        </w:tc>
        <w:tc>
          <w:tcPr>
            <w:tcW w:w="1080" w:type="dxa"/>
            <w:vAlign w:val="center"/>
          </w:tcPr>
          <w:p w14:paraId="1101328A" w14:textId="77777777" w:rsidR="001C0111" w:rsidRPr="001C0111" w:rsidRDefault="001C0111" w:rsidP="001C0111">
            <w:pPr>
              <w:spacing w:before="60" w:after="60"/>
              <w:jc w:val="center"/>
              <w:rPr>
                <w:noProof/>
                <w:sz w:val="20"/>
                <w:lang w:eastAsia="en-GB"/>
              </w:rPr>
            </w:pPr>
            <w:r w:rsidRPr="001C0111">
              <w:rPr>
                <w:b/>
                <w:noProof/>
                <w:sz w:val="20"/>
                <w:lang w:eastAsia="en-GB"/>
              </w:rPr>
              <w:t>2024</w:t>
            </w:r>
          </w:p>
        </w:tc>
        <w:tc>
          <w:tcPr>
            <w:tcW w:w="1080" w:type="dxa"/>
            <w:vAlign w:val="center"/>
          </w:tcPr>
          <w:p w14:paraId="75FC7F78" w14:textId="77777777" w:rsidR="001C0111" w:rsidRPr="001C0111" w:rsidRDefault="001C0111" w:rsidP="001C0111">
            <w:pPr>
              <w:spacing w:before="60" w:after="60"/>
              <w:jc w:val="center"/>
              <w:rPr>
                <w:noProof/>
                <w:sz w:val="20"/>
                <w:lang w:eastAsia="en-GB"/>
              </w:rPr>
            </w:pPr>
            <w:r w:rsidRPr="001C0111">
              <w:rPr>
                <w:b/>
                <w:noProof/>
                <w:sz w:val="20"/>
                <w:lang w:eastAsia="en-GB"/>
              </w:rPr>
              <w:t>2025</w:t>
            </w:r>
          </w:p>
        </w:tc>
        <w:tc>
          <w:tcPr>
            <w:tcW w:w="1080" w:type="dxa"/>
            <w:vAlign w:val="center"/>
          </w:tcPr>
          <w:p w14:paraId="72B3064B" w14:textId="77777777" w:rsidR="001C0111" w:rsidRPr="001C0111" w:rsidRDefault="001C0111" w:rsidP="001C0111">
            <w:pPr>
              <w:spacing w:before="60" w:after="60"/>
              <w:jc w:val="center"/>
              <w:rPr>
                <w:noProof/>
                <w:sz w:val="20"/>
                <w:lang w:eastAsia="en-GB"/>
              </w:rPr>
            </w:pPr>
            <w:r w:rsidRPr="001C0111">
              <w:rPr>
                <w:b/>
                <w:noProof/>
                <w:sz w:val="20"/>
                <w:lang w:eastAsia="en-GB"/>
              </w:rPr>
              <w:t>2026</w:t>
            </w:r>
          </w:p>
        </w:tc>
        <w:tc>
          <w:tcPr>
            <w:tcW w:w="1080" w:type="dxa"/>
            <w:vAlign w:val="center"/>
          </w:tcPr>
          <w:p w14:paraId="59055412" w14:textId="77777777" w:rsidR="001C0111" w:rsidRPr="001C0111" w:rsidRDefault="001C0111" w:rsidP="001C0111">
            <w:pPr>
              <w:spacing w:before="60" w:after="60"/>
              <w:jc w:val="center"/>
              <w:rPr>
                <w:noProof/>
                <w:sz w:val="20"/>
                <w:lang w:eastAsia="en-GB"/>
              </w:rPr>
            </w:pPr>
            <w:r w:rsidRPr="001C0111">
              <w:rPr>
                <w:b/>
                <w:noProof/>
                <w:sz w:val="20"/>
                <w:lang w:eastAsia="en-GB"/>
              </w:rPr>
              <w:t>2027</w:t>
            </w:r>
          </w:p>
        </w:tc>
        <w:tc>
          <w:tcPr>
            <w:tcW w:w="1080" w:type="dxa"/>
            <w:vAlign w:val="center"/>
          </w:tcPr>
          <w:p w14:paraId="3C7714E0" w14:textId="77777777" w:rsidR="001C0111" w:rsidRPr="001C0111" w:rsidRDefault="001C0111" w:rsidP="001C0111">
            <w:pPr>
              <w:spacing w:before="60" w:after="60"/>
              <w:jc w:val="center"/>
              <w:rPr>
                <w:b/>
                <w:noProof/>
                <w:sz w:val="20"/>
                <w:lang w:eastAsia="en-GB"/>
              </w:rPr>
            </w:pPr>
            <w:r w:rsidRPr="001C0111">
              <w:rPr>
                <w:b/>
                <w:noProof/>
                <w:sz w:val="20"/>
                <w:lang w:eastAsia="en-GB"/>
              </w:rPr>
              <w:t>TOTAL</w:t>
            </w:r>
          </w:p>
        </w:tc>
      </w:tr>
    </w:tbl>
    <w:p w14:paraId="2C47D77A" w14:textId="77777777" w:rsidR="001C0111" w:rsidRPr="001C0111" w:rsidRDefault="001C0111" w:rsidP="001C0111">
      <w:pPr>
        <w:rPr>
          <w:noProof/>
          <w:sz w:val="20"/>
          <w:lang w:eastAsia="en-GB"/>
        </w:rPr>
      </w:pPr>
    </w:p>
    <w:tbl>
      <w:tblPr>
        <w:tblW w:w="73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1C0111" w:rsidRPr="001C0111" w14:paraId="66DF30BB" w14:textId="77777777" w:rsidTr="00EE4772">
        <w:trPr>
          <w:trHeight w:val="585"/>
          <w:jc w:val="center"/>
        </w:trPr>
        <w:tc>
          <w:tcPr>
            <w:tcW w:w="1980" w:type="dxa"/>
            <w:shd w:val="clear" w:color="auto" w:fill="D9D9D9" w:themeFill="background1" w:themeFillShade="D9"/>
            <w:vAlign w:val="center"/>
          </w:tcPr>
          <w:p w14:paraId="5B2221A9" w14:textId="77777777" w:rsidR="001C0111" w:rsidRPr="001C0111" w:rsidRDefault="001C0111" w:rsidP="001C0111">
            <w:pPr>
              <w:spacing w:before="60" w:after="60"/>
              <w:jc w:val="center"/>
              <w:rPr>
                <w:noProof/>
                <w:lang w:eastAsia="en-GB"/>
              </w:rPr>
            </w:pPr>
            <w:r w:rsidRPr="001C0111">
              <w:rPr>
                <w:noProof/>
                <w:sz w:val="18"/>
                <w:lang w:eastAsia="en-GB"/>
              </w:rPr>
              <w:t>Temporary agents (AD Grades)</w:t>
            </w:r>
          </w:p>
        </w:tc>
        <w:tc>
          <w:tcPr>
            <w:tcW w:w="1080" w:type="dxa"/>
            <w:vAlign w:val="center"/>
          </w:tcPr>
          <w:p w14:paraId="47722F07" w14:textId="77777777" w:rsidR="001C0111" w:rsidRPr="001C0111" w:rsidRDefault="001C0111" w:rsidP="001C0111">
            <w:pPr>
              <w:spacing w:before="60" w:after="60"/>
              <w:jc w:val="right"/>
              <w:rPr>
                <w:noProof/>
                <w:sz w:val="20"/>
                <w:lang w:eastAsia="en-GB"/>
              </w:rPr>
            </w:pPr>
            <w:r w:rsidRPr="001C0111">
              <w:rPr>
                <w:noProof/>
                <w:sz w:val="20"/>
                <w:lang w:eastAsia="en-GB"/>
              </w:rPr>
              <w:t>5</w:t>
            </w:r>
          </w:p>
        </w:tc>
        <w:tc>
          <w:tcPr>
            <w:tcW w:w="1080" w:type="dxa"/>
            <w:vAlign w:val="center"/>
          </w:tcPr>
          <w:p w14:paraId="02830932" w14:textId="77777777" w:rsidR="001C0111" w:rsidRPr="001C0111" w:rsidRDefault="001C0111" w:rsidP="001C0111">
            <w:pPr>
              <w:spacing w:before="60" w:after="60"/>
              <w:jc w:val="right"/>
              <w:rPr>
                <w:noProof/>
                <w:sz w:val="20"/>
                <w:lang w:eastAsia="en-GB"/>
              </w:rPr>
            </w:pPr>
            <w:r w:rsidRPr="001C0111">
              <w:rPr>
                <w:noProof/>
                <w:sz w:val="20"/>
                <w:lang w:eastAsia="en-GB"/>
              </w:rPr>
              <w:t>5</w:t>
            </w:r>
          </w:p>
        </w:tc>
        <w:tc>
          <w:tcPr>
            <w:tcW w:w="1080" w:type="dxa"/>
            <w:vAlign w:val="center"/>
          </w:tcPr>
          <w:p w14:paraId="78047AFC" w14:textId="77777777" w:rsidR="001C0111" w:rsidRPr="001C0111" w:rsidRDefault="001C0111" w:rsidP="001C0111">
            <w:pPr>
              <w:spacing w:before="60" w:after="60"/>
              <w:jc w:val="right"/>
              <w:rPr>
                <w:noProof/>
                <w:sz w:val="20"/>
                <w:lang w:eastAsia="en-GB"/>
              </w:rPr>
            </w:pPr>
            <w:r w:rsidRPr="001C0111">
              <w:rPr>
                <w:noProof/>
                <w:sz w:val="20"/>
                <w:lang w:eastAsia="en-GB"/>
              </w:rPr>
              <w:t>5</w:t>
            </w:r>
          </w:p>
        </w:tc>
        <w:tc>
          <w:tcPr>
            <w:tcW w:w="1080" w:type="dxa"/>
            <w:vAlign w:val="center"/>
          </w:tcPr>
          <w:p w14:paraId="5EEEFBC0" w14:textId="77777777" w:rsidR="001C0111" w:rsidRPr="001C0111" w:rsidRDefault="001C0111" w:rsidP="001C0111">
            <w:pPr>
              <w:spacing w:before="60" w:after="60"/>
              <w:jc w:val="right"/>
              <w:rPr>
                <w:noProof/>
                <w:sz w:val="20"/>
                <w:lang w:eastAsia="en-GB"/>
              </w:rPr>
            </w:pPr>
            <w:r w:rsidRPr="001C0111">
              <w:rPr>
                <w:noProof/>
                <w:sz w:val="20"/>
                <w:lang w:eastAsia="en-GB"/>
              </w:rPr>
              <w:t>5</w:t>
            </w:r>
          </w:p>
        </w:tc>
        <w:tc>
          <w:tcPr>
            <w:tcW w:w="1080" w:type="dxa"/>
            <w:vAlign w:val="center"/>
          </w:tcPr>
          <w:p w14:paraId="113CDC61" w14:textId="77777777" w:rsidR="001C0111" w:rsidRPr="001C0111" w:rsidRDefault="001C0111" w:rsidP="001C0111">
            <w:pPr>
              <w:spacing w:before="60" w:after="60"/>
              <w:jc w:val="right"/>
              <w:rPr>
                <w:b/>
                <w:noProof/>
                <w:sz w:val="20"/>
                <w:lang w:eastAsia="en-GB"/>
              </w:rPr>
            </w:pPr>
          </w:p>
        </w:tc>
      </w:tr>
      <w:tr w:rsidR="001C0111" w:rsidRPr="001C0111" w14:paraId="31DC4431" w14:textId="77777777" w:rsidTr="00EE4772">
        <w:trPr>
          <w:trHeight w:val="585"/>
          <w:jc w:val="center"/>
        </w:trPr>
        <w:tc>
          <w:tcPr>
            <w:tcW w:w="1980" w:type="dxa"/>
            <w:shd w:val="clear" w:color="auto" w:fill="BFBFBF" w:themeFill="background1" w:themeFillShade="BF"/>
            <w:vAlign w:val="center"/>
          </w:tcPr>
          <w:p w14:paraId="1B5D5851" w14:textId="77777777" w:rsidR="001C0111" w:rsidRPr="001C0111" w:rsidRDefault="001C0111" w:rsidP="001C0111">
            <w:pPr>
              <w:spacing w:before="60" w:after="60"/>
              <w:ind w:left="72"/>
              <w:rPr>
                <w:noProof/>
                <w:lang w:eastAsia="en-GB"/>
              </w:rPr>
            </w:pPr>
            <w:r w:rsidRPr="001C0111">
              <w:rPr>
                <w:noProof/>
                <w:sz w:val="20"/>
                <w:lang w:eastAsia="en-GB"/>
              </w:rPr>
              <w:t>Temporary agents (AST grades)</w:t>
            </w:r>
          </w:p>
        </w:tc>
        <w:tc>
          <w:tcPr>
            <w:tcW w:w="1080" w:type="dxa"/>
            <w:vAlign w:val="center"/>
          </w:tcPr>
          <w:p w14:paraId="6711E1DB" w14:textId="77777777" w:rsidR="001C0111" w:rsidRPr="001C0111" w:rsidRDefault="001C0111" w:rsidP="001C0111">
            <w:pPr>
              <w:spacing w:before="60" w:after="60"/>
              <w:jc w:val="right"/>
              <w:rPr>
                <w:noProof/>
                <w:sz w:val="20"/>
                <w:lang w:eastAsia="en-GB"/>
              </w:rPr>
            </w:pPr>
          </w:p>
        </w:tc>
        <w:tc>
          <w:tcPr>
            <w:tcW w:w="1080" w:type="dxa"/>
            <w:vAlign w:val="center"/>
          </w:tcPr>
          <w:p w14:paraId="341284DF" w14:textId="77777777" w:rsidR="001C0111" w:rsidRPr="001C0111" w:rsidRDefault="001C0111" w:rsidP="001C0111">
            <w:pPr>
              <w:spacing w:before="60" w:after="60"/>
              <w:jc w:val="right"/>
              <w:rPr>
                <w:noProof/>
                <w:sz w:val="20"/>
                <w:lang w:eastAsia="en-GB"/>
              </w:rPr>
            </w:pPr>
          </w:p>
        </w:tc>
        <w:tc>
          <w:tcPr>
            <w:tcW w:w="1080" w:type="dxa"/>
            <w:vAlign w:val="center"/>
          </w:tcPr>
          <w:p w14:paraId="45803195" w14:textId="77777777" w:rsidR="001C0111" w:rsidRPr="001C0111" w:rsidRDefault="001C0111" w:rsidP="001C0111">
            <w:pPr>
              <w:spacing w:before="60" w:after="60"/>
              <w:jc w:val="right"/>
              <w:rPr>
                <w:noProof/>
                <w:sz w:val="20"/>
                <w:lang w:eastAsia="en-GB"/>
              </w:rPr>
            </w:pPr>
          </w:p>
        </w:tc>
        <w:tc>
          <w:tcPr>
            <w:tcW w:w="1080" w:type="dxa"/>
            <w:vAlign w:val="center"/>
          </w:tcPr>
          <w:p w14:paraId="61FB0169" w14:textId="77777777" w:rsidR="001C0111" w:rsidRPr="001C0111" w:rsidRDefault="001C0111" w:rsidP="001C0111">
            <w:pPr>
              <w:spacing w:before="60" w:after="60"/>
              <w:jc w:val="right"/>
              <w:rPr>
                <w:noProof/>
                <w:sz w:val="20"/>
                <w:lang w:eastAsia="en-GB"/>
              </w:rPr>
            </w:pPr>
          </w:p>
        </w:tc>
        <w:tc>
          <w:tcPr>
            <w:tcW w:w="1080" w:type="dxa"/>
            <w:vAlign w:val="center"/>
          </w:tcPr>
          <w:p w14:paraId="757202A4" w14:textId="77777777" w:rsidR="001C0111" w:rsidRPr="001C0111" w:rsidRDefault="001C0111" w:rsidP="001C0111">
            <w:pPr>
              <w:spacing w:before="60" w:after="60"/>
              <w:jc w:val="right"/>
              <w:rPr>
                <w:b/>
                <w:noProof/>
                <w:sz w:val="20"/>
                <w:lang w:eastAsia="en-GB"/>
              </w:rPr>
            </w:pPr>
          </w:p>
        </w:tc>
      </w:tr>
      <w:tr w:rsidR="001C0111" w:rsidRPr="001C0111" w14:paraId="4F8DE103" w14:textId="77777777" w:rsidTr="00EE4772">
        <w:trPr>
          <w:trHeight w:val="585"/>
          <w:jc w:val="center"/>
        </w:trPr>
        <w:tc>
          <w:tcPr>
            <w:tcW w:w="1980" w:type="dxa"/>
            <w:shd w:val="clear" w:color="auto" w:fill="BFBFBF" w:themeFill="background1" w:themeFillShade="BF"/>
            <w:vAlign w:val="center"/>
          </w:tcPr>
          <w:p w14:paraId="6A30D3F4" w14:textId="77777777" w:rsidR="001C0111" w:rsidRPr="001C0111" w:rsidRDefault="001C0111" w:rsidP="001C0111">
            <w:pPr>
              <w:spacing w:before="60" w:after="60"/>
              <w:ind w:left="72"/>
              <w:rPr>
                <w:noProof/>
                <w:lang w:eastAsia="en-GB"/>
              </w:rPr>
            </w:pPr>
            <w:r w:rsidRPr="001C0111">
              <w:rPr>
                <w:noProof/>
                <w:sz w:val="20"/>
                <w:lang w:eastAsia="en-GB"/>
              </w:rPr>
              <w:t>Contract staff</w:t>
            </w:r>
          </w:p>
        </w:tc>
        <w:tc>
          <w:tcPr>
            <w:tcW w:w="1080" w:type="dxa"/>
            <w:shd w:val="clear" w:color="auto" w:fill="auto"/>
            <w:vAlign w:val="center"/>
          </w:tcPr>
          <w:p w14:paraId="6E4034C5" w14:textId="77777777" w:rsidR="001C0111" w:rsidRPr="001C0111" w:rsidRDefault="001C0111" w:rsidP="001C0111">
            <w:pPr>
              <w:spacing w:before="60" w:after="60"/>
              <w:jc w:val="right"/>
              <w:rPr>
                <w:noProof/>
                <w:sz w:val="20"/>
                <w:lang w:eastAsia="en-GB"/>
              </w:rPr>
            </w:pPr>
            <w:r w:rsidRPr="001C0111">
              <w:rPr>
                <w:noProof/>
                <w:sz w:val="20"/>
                <w:lang w:eastAsia="en-GB"/>
              </w:rPr>
              <w:t>3</w:t>
            </w:r>
          </w:p>
        </w:tc>
        <w:tc>
          <w:tcPr>
            <w:tcW w:w="1080" w:type="dxa"/>
            <w:shd w:val="clear" w:color="auto" w:fill="auto"/>
            <w:vAlign w:val="center"/>
          </w:tcPr>
          <w:p w14:paraId="30355072" w14:textId="77777777" w:rsidR="001C0111" w:rsidRPr="001C0111" w:rsidRDefault="001C0111" w:rsidP="001C0111">
            <w:pPr>
              <w:spacing w:before="60" w:after="60"/>
              <w:jc w:val="right"/>
              <w:rPr>
                <w:noProof/>
                <w:sz w:val="20"/>
                <w:lang w:eastAsia="en-GB"/>
              </w:rPr>
            </w:pPr>
            <w:r w:rsidRPr="001C0111">
              <w:rPr>
                <w:noProof/>
                <w:sz w:val="20"/>
                <w:lang w:eastAsia="en-GB"/>
              </w:rPr>
              <w:t>3</w:t>
            </w:r>
          </w:p>
        </w:tc>
        <w:tc>
          <w:tcPr>
            <w:tcW w:w="1080" w:type="dxa"/>
            <w:shd w:val="clear" w:color="auto" w:fill="auto"/>
            <w:vAlign w:val="center"/>
          </w:tcPr>
          <w:p w14:paraId="085BE807" w14:textId="77777777" w:rsidR="001C0111" w:rsidRPr="001C0111" w:rsidRDefault="001C0111" w:rsidP="001C0111">
            <w:pPr>
              <w:spacing w:before="60" w:after="60"/>
              <w:jc w:val="right"/>
              <w:rPr>
                <w:noProof/>
                <w:sz w:val="20"/>
                <w:lang w:eastAsia="en-GB"/>
              </w:rPr>
            </w:pPr>
            <w:r w:rsidRPr="001C0111">
              <w:rPr>
                <w:noProof/>
                <w:sz w:val="20"/>
                <w:lang w:eastAsia="en-GB"/>
              </w:rPr>
              <w:t>3</w:t>
            </w:r>
          </w:p>
        </w:tc>
        <w:tc>
          <w:tcPr>
            <w:tcW w:w="1080" w:type="dxa"/>
            <w:shd w:val="clear" w:color="auto" w:fill="auto"/>
            <w:vAlign w:val="center"/>
          </w:tcPr>
          <w:p w14:paraId="48E11A60" w14:textId="77777777" w:rsidR="001C0111" w:rsidRPr="001C0111" w:rsidRDefault="001C0111" w:rsidP="001C0111">
            <w:pPr>
              <w:spacing w:before="60" w:after="60"/>
              <w:jc w:val="right"/>
              <w:rPr>
                <w:noProof/>
                <w:sz w:val="20"/>
                <w:lang w:eastAsia="en-GB"/>
              </w:rPr>
            </w:pPr>
            <w:r w:rsidRPr="001C0111">
              <w:rPr>
                <w:noProof/>
                <w:sz w:val="20"/>
                <w:lang w:eastAsia="en-GB"/>
              </w:rPr>
              <w:t>3</w:t>
            </w:r>
          </w:p>
        </w:tc>
        <w:tc>
          <w:tcPr>
            <w:tcW w:w="1080" w:type="dxa"/>
            <w:shd w:val="clear" w:color="auto" w:fill="auto"/>
            <w:vAlign w:val="center"/>
          </w:tcPr>
          <w:p w14:paraId="7EBDB9CD" w14:textId="77777777" w:rsidR="001C0111" w:rsidRPr="001C0111" w:rsidRDefault="001C0111" w:rsidP="001C0111">
            <w:pPr>
              <w:spacing w:before="60" w:after="60"/>
              <w:jc w:val="right"/>
              <w:rPr>
                <w:b/>
                <w:noProof/>
                <w:sz w:val="20"/>
                <w:lang w:eastAsia="en-GB"/>
              </w:rPr>
            </w:pPr>
          </w:p>
        </w:tc>
      </w:tr>
      <w:tr w:rsidR="001C0111" w:rsidRPr="001C0111" w14:paraId="12D02200" w14:textId="77777777" w:rsidTr="00EE4772">
        <w:trPr>
          <w:trHeight w:val="585"/>
          <w:jc w:val="center"/>
        </w:trPr>
        <w:tc>
          <w:tcPr>
            <w:tcW w:w="1980" w:type="dxa"/>
            <w:shd w:val="clear" w:color="auto" w:fill="CCCCCC"/>
            <w:vAlign w:val="center"/>
          </w:tcPr>
          <w:p w14:paraId="10FE0D87" w14:textId="77777777" w:rsidR="001C0111" w:rsidRPr="001C0111" w:rsidRDefault="001C0111" w:rsidP="001C0111">
            <w:pPr>
              <w:spacing w:before="60" w:after="60"/>
              <w:jc w:val="center"/>
              <w:rPr>
                <w:noProof/>
                <w:lang w:eastAsia="en-GB"/>
              </w:rPr>
            </w:pPr>
            <w:r w:rsidRPr="001C0111">
              <w:rPr>
                <w:noProof/>
                <w:sz w:val="18"/>
                <w:lang w:eastAsia="en-GB"/>
              </w:rPr>
              <w:t>Seconded National Experts</w:t>
            </w:r>
          </w:p>
        </w:tc>
        <w:tc>
          <w:tcPr>
            <w:tcW w:w="1080" w:type="dxa"/>
            <w:vAlign w:val="center"/>
          </w:tcPr>
          <w:p w14:paraId="7D59BAEC" w14:textId="77777777" w:rsidR="001C0111" w:rsidRPr="001C0111" w:rsidRDefault="001C0111" w:rsidP="001C0111">
            <w:pPr>
              <w:spacing w:before="60" w:after="60"/>
              <w:jc w:val="right"/>
              <w:rPr>
                <w:noProof/>
                <w:sz w:val="20"/>
                <w:lang w:eastAsia="en-GB"/>
              </w:rPr>
            </w:pPr>
          </w:p>
        </w:tc>
        <w:tc>
          <w:tcPr>
            <w:tcW w:w="1080" w:type="dxa"/>
            <w:vAlign w:val="center"/>
          </w:tcPr>
          <w:p w14:paraId="7664E97D" w14:textId="77777777" w:rsidR="001C0111" w:rsidRPr="001C0111" w:rsidRDefault="001C0111" w:rsidP="001C0111">
            <w:pPr>
              <w:spacing w:before="60" w:after="60"/>
              <w:jc w:val="right"/>
              <w:rPr>
                <w:noProof/>
                <w:sz w:val="20"/>
                <w:lang w:eastAsia="en-GB"/>
              </w:rPr>
            </w:pPr>
          </w:p>
        </w:tc>
        <w:tc>
          <w:tcPr>
            <w:tcW w:w="1080" w:type="dxa"/>
            <w:vAlign w:val="center"/>
          </w:tcPr>
          <w:p w14:paraId="185E670F" w14:textId="77777777" w:rsidR="001C0111" w:rsidRPr="001C0111" w:rsidRDefault="001C0111" w:rsidP="001C0111">
            <w:pPr>
              <w:spacing w:before="60" w:after="60"/>
              <w:jc w:val="right"/>
              <w:rPr>
                <w:noProof/>
                <w:sz w:val="20"/>
                <w:lang w:eastAsia="en-GB"/>
              </w:rPr>
            </w:pPr>
          </w:p>
        </w:tc>
        <w:tc>
          <w:tcPr>
            <w:tcW w:w="1080" w:type="dxa"/>
            <w:vAlign w:val="center"/>
          </w:tcPr>
          <w:p w14:paraId="78A46DA8" w14:textId="77777777" w:rsidR="001C0111" w:rsidRPr="001C0111" w:rsidRDefault="001C0111" w:rsidP="001C0111">
            <w:pPr>
              <w:spacing w:before="60" w:after="60"/>
              <w:jc w:val="right"/>
              <w:rPr>
                <w:noProof/>
                <w:sz w:val="20"/>
                <w:lang w:eastAsia="en-GB"/>
              </w:rPr>
            </w:pPr>
          </w:p>
        </w:tc>
        <w:tc>
          <w:tcPr>
            <w:tcW w:w="1080" w:type="dxa"/>
            <w:vAlign w:val="center"/>
          </w:tcPr>
          <w:p w14:paraId="570FC39C" w14:textId="77777777" w:rsidR="001C0111" w:rsidRPr="001C0111" w:rsidRDefault="001C0111" w:rsidP="001C0111">
            <w:pPr>
              <w:spacing w:before="60" w:after="60"/>
              <w:jc w:val="right"/>
              <w:rPr>
                <w:b/>
                <w:noProof/>
                <w:sz w:val="20"/>
                <w:lang w:eastAsia="en-GB"/>
              </w:rPr>
            </w:pPr>
          </w:p>
        </w:tc>
      </w:tr>
    </w:tbl>
    <w:p w14:paraId="55B503CF" w14:textId="77777777" w:rsidR="001C0111" w:rsidRPr="001C0111" w:rsidRDefault="001C0111" w:rsidP="001C0111">
      <w:pPr>
        <w:rPr>
          <w:noProof/>
          <w:sz w:val="20"/>
          <w:lang w:eastAsia="en-GB"/>
        </w:rPr>
      </w:pPr>
    </w:p>
    <w:tbl>
      <w:tblPr>
        <w:tblW w:w="7380" w:type="dxa"/>
        <w:jc w:val="center"/>
        <w:tblLayout w:type="fixed"/>
        <w:tblLook w:val="01E0" w:firstRow="1" w:lastRow="1" w:firstColumn="1" w:lastColumn="1" w:noHBand="0" w:noVBand="0"/>
      </w:tblPr>
      <w:tblGrid>
        <w:gridCol w:w="1980"/>
        <w:gridCol w:w="1080"/>
        <w:gridCol w:w="1080"/>
        <w:gridCol w:w="1080"/>
        <w:gridCol w:w="1080"/>
        <w:gridCol w:w="1080"/>
      </w:tblGrid>
      <w:tr w:rsidR="001C0111" w:rsidRPr="001C0111" w14:paraId="350FAB34" w14:textId="77777777" w:rsidTr="00EE4772">
        <w:trPr>
          <w:trHeight w:val="585"/>
          <w:jc w:val="center"/>
        </w:trPr>
        <w:tc>
          <w:tcPr>
            <w:tcW w:w="1980" w:type="dxa"/>
            <w:tcBorders>
              <w:top w:val="single" w:sz="12" w:space="0" w:color="auto"/>
              <w:left w:val="single" w:sz="12" w:space="0" w:color="auto"/>
              <w:bottom w:val="single" w:sz="12" w:space="0" w:color="auto"/>
              <w:right w:val="single" w:sz="2" w:space="0" w:color="auto"/>
            </w:tcBorders>
            <w:vAlign w:val="center"/>
          </w:tcPr>
          <w:p w14:paraId="1C6003AD" w14:textId="77777777" w:rsidR="001C0111" w:rsidRPr="001C0111" w:rsidRDefault="001C0111" w:rsidP="001C0111">
            <w:pPr>
              <w:spacing w:before="60" w:after="60"/>
              <w:jc w:val="center"/>
              <w:rPr>
                <w:noProof/>
                <w:sz w:val="20"/>
                <w:lang w:eastAsia="en-GB"/>
              </w:rPr>
            </w:pPr>
            <w:r w:rsidRPr="001C0111">
              <w:rPr>
                <w:b/>
                <w:noProof/>
                <w:sz w:val="20"/>
                <w:lang w:eastAsia="en-GB"/>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2A79D7C5" w14:textId="77777777" w:rsidR="001C0111" w:rsidRPr="001C0111" w:rsidRDefault="001C0111" w:rsidP="001C0111">
            <w:pPr>
              <w:spacing w:before="60" w:after="60"/>
              <w:jc w:val="right"/>
              <w:rPr>
                <w:b/>
                <w:noProof/>
                <w:sz w:val="20"/>
                <w:lang w:eastAsia="en-GB"/>
              </w:rPr>
            </w:pPr>
            <w:r w:rsidRPr="001C0111">
              <w:rPr>
                <w:b/>
                <w:noProof/>
                <w:sz w:val="20"/>
                <w:lang w:eastAsia="en-GB"/>
              </w:rPr>
              <w:t>8</w:t>
            </w:r>
          </w:p>
        </w:tc>
        <w:tc>
          <w:tcPr>
            <w:tcW w:w="1080" w:type="dxa"/>
            <w:tcBorders>
              <w:top w:val="single" w:sz="12" w:space="0" w:color="auto"/>
              <w:left w:val="single" w:sz="2" w:space="0" w:color="auto"/>
              <w:bottom w:val="single" w:sz="12" w:space="0" w:color="auto"/>
              <w:right w:val="single" w:sz="2" w:space="0" w:color="auto"/>
            </w:tcBorders>
            <w:vAlign w:val="center"/>
          </w:tcPr>
          <w:p w14:paraId="1F5764D4" w14:textId="77777777" w:rsidR="001C0111" w:rsidRPr="001C0111" w:rsidRDefault="001C0111" w:rsidP="001C0111">
            <w:pPr>
              <w:spacing w:before="60" w:after="60"/>
              <w:jc w:val="right"/>
              <w:rPr>
                <w:b/>
                <w:noProof/>
                <w:sz w:val="20"/>
                <w:lang w:eastAsia="en-GB"/>
              </w:rPr>
            </w:pPr>
            <w:r w:rsidRPr="001C0111">
              <w:rPr>
                <w:b/>
                <w:noProof/>
                <w:sz w:val="20"/>
                <w:lang w:eastAsia="en-GB"/>
              </w:rPr>
              <w:t>8</w:t>
            </w:r>
          </w:p>
        </w:tc>
        <w:tc>
          <w:tcPr>
            <w:tcW w:w="1080" w:type="dxa"/>
            <w:tcBorders>
              <w:top w:val="single" w:sz="12" w:space="0" w:color="auto"/>
              <w:left w:val="single" w:sz="2" w:space="0" w:color="auto"/>
              <w:bottom w:val="single" w:sz="12" w:space="0" w:color="auto"/>
              <w:right w:val="single" w:sz="2" w:space="0" w:color="auto"/>
            </w:tcBorders>
            <w:vAlign w:val="center"/>
          </w:tcPr>
          <w:p w14:paraId="76C3DEB2" w14:textId="77777777" w:rsidR="001C0111" w:rsidRPr="001C0111" w:rsidRDefault="001C0111" w:rsidP="001C0111">
            <w:pPr>
              <w:spacing w:before="60" w:after="60"/>
              <w:jc w:val="right"/>
              <w:rPr>
                <w:b/>
                <w:noProof/>
                <w:sz w:val="20"/>
                <w:lang w:eastAsia="en-GB"/>
              </w:rPr>
            </w:pPr>
            <w:r w:rsidRPr="001C0111">
              <w:rPr>
                <w:b/>
                <w:noProof/>
                <w:sz w:val="20"/>
                <w:lang w:eastAsia="en-GB"/>
              </w:rPr>
              <w:t>8</w:t>
            </w:r>
          </w:p>
        </w:tc>
        <w:tc>
          <w:tcPr>
            <w:tcW w:w="1080" w:type="dxa"/>
            <w:tcBorders>
              <w:top w:val="single" w:sz="12" w:space="0" w:color="auto"/>
              <w:left w:val="single" w:sz="2" w:space="0" w:color="auto"/>
              <w:bottom w:val="single" w:sz="12" w:space="0" w:color="auto"/>
              <w:right w:val="single" w:sz="2" w:space="0" w:color="auto"/>
            </w:tcBorders>
            <w:vAlign w:val="center"/>
          </w:tcPr>
          <w:p w14:paraId="53435005" w14:textId="77777777" w:rsidR="001C0111" w:rsidRPr="001C0111" w:rsidRDefault="001C0111" w:rsidP="001C0111">
            <w:pPr>
              <w:spacing w:before="60" w:after="60"/>
              <w:jc w:val="right"/>
              <w:rPr>
                <w:b/>
                <w:noProof/>
                <w:sz w:val="20"/>
                <w:lang w:eastAsia="en-GB"/>
              </w:rPr>
            </w:pPr>
            <w:r w:rsidRPr="001C0111">
              <w:rPr>
                <w:b/>
                <w:noProof/>
                <w:sz w:val="20"/>
                <w:lang w:eastAsia="en-GB"/>
              </w:rPr>
              <w:t>8</w:t>
            </w:r>
          </w:p>
        </w:tc>
        <w:tc>
          <w:tcPr>
            <w:tcW w:w="1080" w:type="dxa"/>
            <w:tcBorders>
              <w:top w:val="single" w:sz="12" w:space="0" w:color="auto"/>
              <w:left w:val="single" w:sz="2" w:space="0" w:color="auto"/>
              <w:bottom w:val="single" w:sz="12" w:space="0" w:color="auto"/>
              <w:right w:val="single" w:sz="2" w:space="0" w:color="auto"/>
            </w:tcBorders>
            <w:vAlign w:val="center"/>
          </w:tcPr>
          <w:p w14:paraId="5861A54F" w14:textId="77777777" w:rsidR="001C0111" w:rsidRPr="001C0111" w:rsidRDefault="001C0111" w:rsidP="001C0111">
            <w:pPr>
              <w:spacing w:before="60" w:after="60"/>
              <w:jc w:val="right"/>
              <w:rPr>
                <w:b/>
                <w:noProof/>
                <w:sz w:val="20"/>
                <w:lang w:eastAsia="en-GB"/>
              </w:rPr>
            </w:pPr>
          </w:p>
        </w:tc>
      </w:tr>
    </w:tbl>
    <w:p w14:paraId="3527CC1F" w14:textId="77777777" w:rsidR="001C0111" w:rsidRPr="001C0111" w:rsidRDefault="001C0111" w:rsidP="001C0111">
      <w:pPr>
        <w:rPr>
          <w:noProof/>
          <w:highlight w:val="magenta"/>
          <w:u w:val="single"/>
          <w:lang w:eastAsia="en-GB"/>
        </w:rPr>
      </w:pPr>
    </w:p>
    <w:p w14:paraId="52CEA01F" w14:textId="77777777" w:rsidR="001C0111" w:rsidRPr="001C0111" w:rsidRDefault="001C0111" w:rsidP="001C0111">
      <w:pPr>
        <w:rPr>
          <w:noProof/>
          <w:highlight w:val="magenta"/>
          <w:u w:val="single"/>
          <w:lang w:eastAsia="en-GB"/>
        </w:rPr>
      </w:pPr>
    </w:p>
    <w:p w14:paraId="5BE19D73" w14:textId="77777777" w:rsidR="001C0111" w:rsidRPr="001C0111" w:rsidRDefault="001C0111" w:rsidP="002A2DB0">
      <w:pPr>
        <w:keepNext/>
        <w:outlineLvl w:val="3"/>
        <w:rPr>
          <w:rFonts w:eastAsiaTheme="majorEastAsia"/>
          <w:bCs/>
          <w:iCs/>
          <w:noProof/>
          <w:lang w:eastAsia="en-GB"/>
        </w:rPr>
      </w:pPr>
      <w:r w:rsidRPr="001C0111">
        <w:rPr>
          <w:rFonts w:eastAsiaTheme="majorEastAsia"/>
          <w:bCs/>
          <w:iCs/>
          <w:noProof/>
          <w:lang w:eastAsia="en-GB"/>
        </w:rPr>
        <w:t>Estimated requirements on administrative appropriations in the Commission</w:t>
      </w:r>
    </w:p>
    <w:p w14:paraId="79623CF6" w14:textId="77777777" w:rsidR="001C0111" w:rsidRPr="001C0111" w:rsidRDefault="001C0111" w:rsidP="002A2DB0">
      <w:pPr>
        <w:keepNext/>
        <w:outlineLvl w:val="3"/>
        <w:rPr>
          <w:rFonts w:eastAsiaTheme="majorEastAsia"/>
          <w:bCs/>
          <w:iCs/>
          <w:noProof/>
          <w:lang w:val="en-IE" w:eastAsia="en-GB"/>
        </w:rPr>
      </w:pPr>
      <w:r w:rsidRPr="001C0111">
        <w:rPr>
          <w:rFonts w:eastAsiaTheme="majorEastAsia"/>
          <w:bCs/>
          <w:iCs/>
          <w:noProof/>
          <w:lang w:eastAsia="en-GB"/>
        </w:rPr>
        <w:t>Summary of estimated impact on administrative appropriations</w:t>
      </w:r>
    </w:p>
    <w:p w14:paraId="48C990B1" w14:textId="77777777" w:rsidR="001C0111" w:rsidRPr="001C0111" w:rsidRDefault="001C0111" w:rsidP="001C0111">
      <w:pPr>
        <w:ind w:left="1134"/>
        <w:rPr>
          <w:noProof/>
          <w:lang w:val="en-IE" w:eastAsia="en-GB"/>
        </w:rPr>
      </w:pPr>
      <w:r w:rsidRPr="001C0111">
        <w:rPr>
          <w:i/>
          <w:noProof/>
          <w:lang w:eastAsia="en-GB"/>
        </w:rPr>
        <w:t xml:space="preserve"> </w:t>
      </w:r>
      <w:r w:rsidRPr="001C0111">
        <w:rPr>
          <w:rFonts w:ascii="Wingdings" w:eastAsia="Wingdings" w:hAnsi="Wingdings" w:cs="Wingdings"/>
          <w:noProof/>
          <w:lang w:val="en-IE" w:eastAsia="en-GB"/>
        </w:rPr>
        <w:t></w:t>
      </w:r>
      <w:r w:rsidRPr="001C0111">
        <w:rPr>
          <w:noProof/>
          <w:lang w:val="en-IE" w:eastAsia="en-GB"/>
        </w:rPr>
        <w:tab/>
        <w:t xml:space="preserve">The proposal/initiative does not require the use of appropriations of an administrative nature </w:t>
      </w:r>
    </w:p>
    <w:p w14:paraId="77C0C2B8" w14:textId="77777777" w:rsidR="001C0111" w:rsidRPr="001C0111" w:rsidRDefault="001C0111" w:rsidP="001C0111">
      <w:pPr>
        <w:ind w:left="1134"/>
        <w:rPr>
          <w:noProof/>
          <w:lang w:val="en-IE" w:eastAsia="en-GB"/>
        </w:rPr>
      </w:pPr>
      <w:r w:rsidRPr="001C0111">
        <w:rPr>
          <w:rFonts w:ascii="Wingdings" w:eastAsia="Wingdings" w:hAnsi="Wingdings" w:cs="Wingdings"/>
          <w:noProof/>
          <w:lang w:eastAsia="en-GB"/>
        </w:rPr>
        <w:t></w:t>
      </w:r>
      <w:r w:rsidRPr="001C0111">
        <w:rPr>
          <w:noProof/>
          <w:lang w:eastAsia="en-GB"/>
        </w:rPr>
        <w:t xml:space="preserve"> </w:t>
      </w:r>
      <w:r w:rsidRPr="001C0111">
        <w:rPr>
          <w:noProof/>
          <w:lang w:val="en-IE" w:eastAsia="en-GB"/>
        </w:rPr>
        <w:t>The proposal/initiative requires the use of appropriations of an administrative nature, as explained below:</w:t>
      </w:r>
    </w:p>
    <w:p w14:paraId="38FB06AE" w14:textId="77777777" w:rsidR="001C0111" w:rsidRPr="001C0111" w:rsidRDefault="001C0111" w:rsidP="001C0111">
      <w:pPr>
        <w:keepNext/>
        <w:ind w:left="1800"/>
        <w:outlineLvl w:val="3"/>
        <w:rPr>
          <w:rFonts w:eastAsiaTheme="majorEastAsia"/>
          <w:bCs/>
          <w:i/>
          <w:iCs/>
          <w:noProof/>
          <w:szCs w:val="24"/>
          <w:lang w:eastAsia="en-GB"/>
        </w:rPr>
      </w:pPr>
    </w:p>
    <w:p w14:paraId="113C022D" w14:textId="77777777" w:rsidR="001C0111" w:rsidRPr="001C0111" w:rsidRDefault="001C0111" w:rsidP="001C0111">
      <w:pPr>
        <w:jc w:val="right"/>
        <w:rPr>
          <w:noProof/>
          <w:sz w:val="20"/>
          <w:lang w:val="en-IE" w:eastAsia="en-GB"/>
        </w:rPr>
      </w:pPr>
      <w:r w:rsidRPr="001C0111">
        <w:rPr>
          <w:noProof/>
          <w:sz w:val="20"/>
          <w:lang w:val="en-IE" w:eastAsia="en-GB"/>
        </w:rPr>
        <w:t>EUR million (to three decimal places)</w:t>
      </w: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1C0111" w:rsidRPr="001C0111" w14:paraId="5DB5BAB8" w14:textId="77777777" w:rsidTr="00EE4772">
        <w:trPr>
          <w:trHeight w:val="585"/>
        </w:trPr>
        <w:tc>
          <w:tcPr>
            <w:tcW w:w="1980" w:type="dxa"/>
          </w:tcPr>
          <w:p w14:paraId="462C3E55" w14:textId="77777777" w:rsidR="001C0111" w:rsidRPr="001C0111" w:rsidRDefault="001C0111" w:rsidP="001C0111">
            <w:pPr>
              <w:spacing w:before="60" w:after="60" w:line="200" w:lineRule="exact"/>
              <w:rPr>
                <w:noProof/>
                <w:sz w:val="16"/>
                <w:szCs w:val="16"/>
                <w:lang w:val="en-IE" w:eastAsia="en-GB"/>
              </w:rPr>
            </w:pPr>
          </w:p>
        </w:tc>
        <w:tc>
          <w:tcPr>
            <w:tcW w:w="1080" w:type="dxa"/>
            <w:vAlign w:val="center"/>
          </w:tcPr>
          <w:p w14:paraId="2A600F62" w14:textId="77777777" w:rsidR="001C0111" w:rsidRPr="001C0111" w:rsidRDefault="001C0111" w:rsidP="001C0111">
            <w:pPr>
              <w:spacing w:before="60" w:after="60" w:line="200" w:lineRule="exact"/>
              <w:jc w:val="center"/>
              <w:rPr>
                <w:b/>
                <w:noProof/>
                <w:sz w:val="16"/>
                <w:szCs w:val="16"/>
                <w:lang w:val="en-IE" w:eastAsia="en-GB"/>
              </w:rPr>
            </w:pPr>
            <w:r w:rsidRPr="001C0111">
              <w:rPr>
                <w:b/>
                <w:noProof/>
                <w:sz w:val="16"/>
                <w:lang w:val="en-IE" w:eastAsia="en-GB"/>
              </w:rPr>
              <w:t>2023</w:t>
            </w:r>
          </w:p>
        </w:tc>
        <w:tc>
          <w:tcPr>
            <w:tcW w:w="1080" w:type="dxa"/>
            <w:vAlign w:val="center"/>
          </w:tcPr>
          <w:p w14:paraId="423AE789" w14:textId="77777777" w:rsidR="001C0111" w:rsidRPr="001C0111" w:rsidRDefault="001C0111" w:rsidP="001C0111">
            <w:pPr>
              <w:spacing w:before="60" w:after="60" w:line="200" w:lineRule="exact"/>
              <w:jc w:val="center"/>
              <w:rPr>
                <w:b/>
                <w:noProof/>
                <w:sz w:val="16"/>
                <w:szCs w:val="16"/>
                <w:lang w:val="en-IE" w:eastAsia="en-GB"/>
              </w:rPr>
            </w:pPr>
            <w:r w:rsidRPr="001C0111">
              <w:rPr>
                <w:b/>
                <w:noProof/>
                <w:sz w:val="16"/>
                <w:lang w:val="en-IE" w:eastAsia="en-GB"/>
              </w:rPr>
              <w:t>2024</w:t>
            </w:r>
          </w:p>
        </w:tc>
        <w:tc>
          <w:tcPr>
            <w:tcW w:w="1080" w:type="dxa"/>
            <w:vAlign w:val="center"/>
          </w:tcPr>
          <w:p w14:paraId="68D150CD" w14:textId="77777777" w:rsidR="001C0111" w:rsidRPr="001C0111" w:rsidRDefault="001C0111" w:rsidP="001C0111">
            <w:pPr>
              <w:spacing w:before="60" w:after="60" w:line="200" w:lineRule="exact"/>
              <w:jc w:val="center"/>
              <w:rPr>
                <w:b/>
                <w:noProof/>
                <w:sz w:val="16"/>
                <w:szCs w:val="16"/>
                <w:lang w:val="en-IE" w:eastAsia="en-GB"/>
              </w:rPr>
            </w:pPr>
            <w:r w:rsidRPr="001C0111">
              <w:rPr>
                <w:b/>
                <w:noProof/>
                <w:sz w:val="16"/>
                <w:lang w:val="en-IE" w:eastAsia="en-GB"/>
              </w:rPr>
              <w:t>2025</w:t>
            </w:r>
          </w:p>
        </w:tc>
        <w:tc>
          <w:tcPr>
            <w:tcW w:w="1080" w:type="dxa"/>
            <w:vAlign w:val="center"/>
          </w:tcPr>
          <w:p w14:paraId="4115C71A" w14:textId="77777777" w:rsidR="001C0111" w:rsidRPr="001C0111" w:rsidRDefault="001C0111" w:rsidP="001C0111">
            <w:pPr>
              <w:spacing w:before="60" w:after="60" w:line="200" w:lineRule="exact"/>
              <w:jc w:val="center"/>
              <w:rPr>
                <w:b/>
                <w:noProof/>
                <w:sz w:val="16"/>
                <w:szCs w:val="16"/>
                <w:lang w:val="en-IE" w:eastAsia="en-GB"/>
              </w:rPr>
            </w:pPr>
            <w:r w:rsidRPr="001C0111">
              <w:rPr>
                <w:b/>
                <w:noProof/>
                <w:sz w:val="16"/>
                <w:lang w:val="en-IE" w:eastAsia="en-GB"/>
              </w:rPr>
              <w:t>2026</w:t>
            </w:r>
          </w:p>
        </w:tc>
        <w:tc>
          <w:tcPr>
            <w:tcW w:w="1080" w:type="dxa"/>
            <w:vAlign w:val="center"/>
          </w:tcPr>
          <w:p w14:paraId="7B84093B" w14:textId="77777777" w:rsidR="001C0111" w:rsidRPr="001C0111" w:rsidRDefault="001C0111" w:rsidP="001C0111">
            <w:pPr>
              <w:spacing w:line="200" w:lineRule="exact"/>
              <w:jc w:val="center"/>
              <w:rPr>
                <w:b/>
                <w:noProof/>
                <w:sz w:val="16"/>
                <w:szCs w:val="16"/>
                <w:lang w:val="en-IE" w:eastAsia="en-GB"/>
              </w:rPr>
            </w:pPr>
            <w:r w:rsidRPr="001C0111">
              <w:rPr>
                <w:b/>
                <w:noProof/>
                <w:sz w:val="16"/>
                <w:szCs w:val="16"/>
                <w:lang w:val="en-IE" w:eastAsia="en-GB"/>
              </w:rPr>
              <w:t>2027 and beyond</w:t>
            </w:r>
          </w:p>
        </w:tc>
        <w:tc>
          <w:tcPr>
            <w:tcW w:w="1080" w:type="dxa"/>
            <w:vAlign w:val="center"/>
          </w:tcPr>
          <w:p w14:paraId="13632601" w14:textId="77777777" w:rsidR="001C0111" w:rsidRPr="001C0111" w:rsidRDefault="001C0111" w:rsidP="001C0111">
            <w:pPr>
              <w:spacing w:before="60" w:after="60" w:line="200" w:lineRule="exact"/>
              <w:jc w:val="center"/>
              <w:rPr>
                <w:b/>
                <w:noProof/>
                <w:sz w:val="16"/>
                <w:szCs w:val="16"/>
                <w:lang w:val="en-IE" w:eastAsia="en-GB"/>
              </w:rPr>
            </w:pPr>
            <w:r w:rsidRPr="001C0111">
              <w:rPr>
                <w:b/>
                <w:noProof/>
                <w:sz w:val="16"/>
                <w:lang w:val="en-IE" w:eastAsia="en-GB"/>
              </w:rPr>
              <w:t>TOTAL</w:t>
            </w:r>
          </w:p>
        </w:tc>
      </w:tr>
    </w:tbl>
    <w:p w14:paraId="1FC91431" w14:textId="77777777" w:rsidR="001C0111" w:rsidRPr="001C0111" w:rsidRDefault="001C0111" w:rsidP="001C0111">
      <w:pPr>
        <w:spacing w:line="200" w:lineRule="exact"/>
        <w:rPr>
          <w:noProof/>
          <w:sz w:val="16"/>
          <w:szCs w:val="16"/>
          <w:lang w:val="en-IE" w:eastAsia="en-GB"/>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1C0111" w:rsidRPr="001C0111" w14:paraId="32F2BF82" w14:textId="77777777" w:rsidTr="00EE4772">
        <w:trPr>
          <w:trHeight w:val="585"/>
        </w:trPr>
        <w:tc>
          <w:tcPr>
            <w:tcW w:w="1980" w:type="dxa"/>
            <w:shd w:val="clear" w:color="auto" w:fill="CCCCCC"/>
            <w:vAlign w:val="center"/>
          </w:tcPr>
          <w:p w14:paraId="00184C22" w14:textId="77777777" w:rsidR="001C0111" w:rsidRPr="001C0111" w:rsidRDefault="001C0111" w:rsidP="001C0111">
            <w:pPr>
              <w:spacing w:before="60" w:after="60" w:line="200" w:lineRule="exact"/>
              <w:jc w:val="center"/>
              <w:rPr>
                <w:b/>
                <w:noProof/>
                <w:sz w:val="16"/>
                <w:szCs w:val="16"/>
                <w:lang w:val="en-IE" w:eastAsia="en-GB"/>
              </w:rPr>
            </w:pPr>
            <w:r w:rsidRPr="001C0111">
              <w:rPr>
                <w:b/>
                <w:noProof/>
                <w:sz w:val="16"/>
                <w:lang w:val="en-IE" w:eastAsia="en-GB"/>
              </w:rPr>
              <w:t>HEADING 7</w:t>
            </w:r>
            <w:r w:rsidRPr="001C0111">
              <w:rPr>
                <w:noProof/>
                <w:sz w:val="22"/>
                <w:lang w:val="en-IE" w:eastAsia="en-GB"/>
              </w:rPr>
              <w:br/>
            </w:r>
            <w:r w:rsidRPr="001C0111">
              <w:rPr>
                <w:b/>
                <w:noProof/>
                <w:sz w:val="16"/>
                <w:lang w:val="en-IE" w:eastAsia="en-GB"/>
              </w:rPr>
              <w:t>of the multiannual financial framework</w:t>
            </w:r>
          </w:p>
        </w:tc>
        <w:tc>
          <w:tcPr>
            <w:tcW w:w="1080" w:type="dxa"/>
            <w:vAlign w:val="center"/>
          </w:tcPr>
          <w:p w14:paraId="3F2D6DE6"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4CDDD737"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7596251B"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1C1A6BA1"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3C9FCBD7"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595BD477" w14:textId="77777777" w:rsidR="001C0111" w:rsidRPr="001C0111" w:rsidRDefault="001C0111" w:rsidP="001C0111">
            <w:pPr>
              <w:spacing w:before="60" w:after="60" w:line="200" w:lineRule="exact"/>
              <w:jc w:val="right"/>
              <w:rPr>
                <w:noProof/>
                <w:sz w:val="16"/>
                <w:szCs w:val="16"/>
                <w:lang w:val="en-IE" w:eastAsia="en-GB"/>
              </w:rPr>
            </w:pPr>
          </w:p>
        </w:tc>
      </w:tr>
      <w:tr w:rsidR="001C0111" w:rsidRPr="001C0111" w14:paraId="088823CC" w14:textId="77777777" w:rsidTr="00EE4772">
        <w:trPr>
          <w:trHeight w:val="585"/>
        </w:trPr>
        <w:tc>
          <w:tcPr>
            <w:tcW w:w="1980" w:type="dxa"/>
            <w:vAlign w:val="center"/>
          </w:tcPr>
          <w:p w14:paraId="25A9B5BF" w14:textId="77777777" w:rsidR="001C0111" w:rsidRPr="001C0111" w:rsidRDefault="001C0111" w:rsidP="001C0111">
            <w:pPr>
              <w:spacing w:before="60" w:after="60" w:line="200" w:lineRule="exact"/>
              <w:ind w:left="72"/>
              <w:jc w:val="left"/>
              <w:rPr>
                <w:noProof/>
                <w:sz w:val="16"/>
                <w:szCs w:val="16"/>
                <w:lang w:val="en-IE" w:eastAsia="en-GB"/>
              </w:rPr>
            </w:pPr>
            <w:r w:rsidRPr="001C0111">
              <w:rPr>
                <w:noProof/>
                <w:sz w:val="16"/>
                <w:lang w:val="en-IE" w:eastAsia="en-GB"/>
              </w:rPr>
              <w:t xml:space="preserve">Human resources </w:t>
            </w:r>
          </w:p>
        </w:tc>
        <w:tc>
          <w:tcPr>
            <w:tcW w:w="1080" w:type="dxa"/>
            <w:vAlign w:val="center"/>
          </w:tcPr>
          <w:p w14:paraId="7AAE19DA"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bottom"/>
          </w:tcPr>
          <w:p w14:paraId="0422CC9D" w14:textId="77777777" w:rsidR="001C0111" w:rsidRPr="001C0111" w:rsidRDefault="001C0111" w:rsidP="001C0111">
            <w:pPr>
              <w:spacing w:before="60" w:after="60" w:line="200" w:lineRule="exact"/>
              <w:jc w:val="right"/>
              <w:rPr>
                <w:noProof/>
                <w:sz w:val="16"/>
                <w:szCs w:val="16"/>
                <w:lang w:val="en-IE" w:eastAsia="en-GB"/>
              </w:rPr>
            </w:pPr>
            <w:r w:rsidRPr="001C0111">
              <w:rPr>
                <w:noProof/>
                <w:color w:val="000000"/>
                <w:sz w:val="22"/>
                <w:lang w:eastAsia="en-GB"/>
              </w:rPr>
              <w:t>0,314</w:t>
            </w:r>
          </w:p>
        </w:tc>
        <w:tc>
          <w:tcPr>
            <w:tcW w:w="1080" w:type="dxa"/>
            <w:vAlign w:val="bottom"/>
          </w:tcPr>
          <w:p w14:paraId="461065CC" w14:textId="77777777" w:rsidR="001C0111" w:rsidRPr="001C0111" w:rsidRDefault="001C0111" w:rsidP="001C0111">
            <w:pPr>
              <w:spacing w:before="60" w:after="60" w:line="200" w:lineRule="exact"/>
              <w:jc w:val="right"/>
              <w:rPr>
                <w:noProof/>
                <w:sz w:val="16"/>
                <w:szCs w:val="16"/>
                <w:lang w:val="en-IE" w:eastAsia="en-GB"/>
              </w:rPr>
            </w:pPr>
            <w:r w:rsidRPr="001C0111">
              <w:rPr>
                <w:noProof/>
                <w:color w:val="000000"/>
                <w:sz w:val="22"/>
                <w:lang w:eastAsia="en-GB"/>
              </w:rPr>
              <w:t>0,314</w:t>
            </w:r>
          </w:p>
        </w:tc>
        <w:tc>
          <w:tcPr>
            <w:tcW w:w="1080" w:type="dxa"/>
            <w:vAlign w:val="bottom"/>
          </w:tcPr>
          <w:p w14:paraId="7E1E16E0" w14:textId="77777777" w:rsidR="001C0111" w:rsidRPr="001C0111" w:rsidRDefault="001C0111" w:rsidP="001C0111">
            <w:pPr>
              <w:spacing w:before="60" w:after="60" w:line="200" w:lineRule="exact"/>
              <w:jc w:val="right"/>
              <w:rPr>
                <w:noProof/>
                <w:sz w:val="16"/>
                <w:szCs w:val="16"/>
                <w:lang w:val="en-IE" w:eastAsia="en-GB"/>
              </w:rPr>
            </w:pPr>
            <w:r w:rsidRPr="001C0111">
              <w:rPr>
                <w:noProof/>
                <w:color w:val="000000"/>
                <w:sz w:val="22"/>
                <w:lang w:eastAsia="en-GB"/>
              </w:rPr>
              <w:t>0,314</w:t>
            </w:r>
          </w:p>
        </w:tc>
        <w:tc>
          <w:tcPr>
            <w:tcW w:w="1080" w:type="dxa"/>
            <w:vAlign w:val="bottom"/>
          </w:tcPr>
          <w:p w14:paraId="6360926C" w14:textId="77777777" w:rsidR="001C0111" w:rsidRPr="001C0111" w:rsidRDefault="001C0111" w:rsidP="001C0111">
            <w:pPr>
              <w:spacing w:before="60" w:after="60" w:line="200" w:lineRule="exact"/>
              <w:jc w:val="right"/>
              <w:rPr>
                <w:noProof/>
                <w:sz w:val="16"/>
                <w:szCs w:val="16"/>
                <w:lang w:val="en-IE" w:eastAsia="en-GB"/>
              </w:rPr>
            </w:pPr>
            <w:r w:rsidRPr="001C0111">
              <w:rPr>
                <w:noProof/>
                <w:color w:val="000000"/>
                <w:sz w:val="22"/>
                <w:lang w:eastAsia="en-GB"/>
              </w:rPr>
              <w:t>0,314</w:t>
            </w:r>
          </w:p>
        </w:tc>
        <w:tc>
          <w:tcPr>
            <w:tcW w:w="1080" w:type="dxa"/>
            <w:vAlign w:val="bottom"/>
          </w:tcPr>
          <w:p w14:paraId="0ADE2D9A" w14:textId="77777777" w:rsidR="001C0111" w:rsidRPr="001C0111" w:rsidRDefault="001C0111" w:rsidP="001C0111">
            <w:pPr>
              <w:spacing w:before="60" w:after="60" w:line="200" w:lineRule="exact"/>
              <w:jc w:val="right"/>
              <w:rPr>
                <w:noProof/>
                <w:sz w:val="16"/>
                <w:szCs w:val="16"/>
                <w:lang w:val="en-IE" w:eastAsia="en-GB"/>
              </w:rPr>
            </w:pPr>
            <w:r w:rsidRPr="001C0111">
              <w:rPr>
                <w:b/>
                <w:bCs/>
                <w:noProof/>
                <w:color w:val="000000"/>
                <w:sz w:val="22"/>
                <w:lang w:eastAsia="en-GB"/>
              </w:rPr>
              <w:t>1,256</w:t>
            </w:r>
          </w:p>
        </w:tc>
      </w:tr>
      <w:tr w:rsidR="001C0111" w:rsidRPr="001C0111" w14:paraId="48E2AD40" w14:textId="77777777" w:rsidTr="00EE4772">
        <w:trPr>
          <w:trHeight w:val="585"/>
        </w:trPr>
        <w:tc>
          <w:tcPr>
            <w:tcW w:w="1980" w:type="dxa"/>
            <w:vAlign w:val="center"/>
          </w:tcPr>
          <w:p w14:paraId="69D1FB16" w14:textId="77777777" w:rsidR="001C0111" w:rsidRPr="001C0111" w:rsidRDefault="001C0111" w:rsidP="001C0111">
            <w:pPr>
              <w:spacing w:before="60" w:after="60" w:line="200" w:lineRule="exact"/>
              <w:ind w:left="72"/>
              <w:jc w:val="left"/>
              <w:rPr>
                <w:noProof/>
                <w:sz w:val="16"/>
                <w:szCs w:val="16"/>
                <w:lang w:val="en-IE" w:eastAsia="en-GB"/>
              </w:rPr>
            </w:pPr>
            <w:r w:rsidRPr="001C0111">
              <w:rPr>
                <w:noProof/>
                <w:sz w:val="16"/>
                <w:lang w:val="en-IE" w:eastAsia="en-GB"/>
              </w:rPr>
              <w:t xml:space="preserve">Other administrative expenditure </w:t>
            </w:r>
          </w:p>
        </w:tc>
        <w:tc>
          <w:tcPr>
            <w:tcW w:w="1080" w:type="dxa"/>
            <w:vAlign w:val="center"/>
          </w:tcPr>
          <w:p w14:paraId="379A5AC0"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379856D6"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6A481679"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6A930BC7"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2637B9BF"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42DD8FCE" w14:textId="77777777" w:rsidR="001C0111" w:rsidRPr="001C0111" w:rsidRDefault="001C0111" w:rsidP="001C0111">
            <w:pPr>
              <w:spacing w:before="60" w:after="60" w:line="200" w:lineRule="exact"/>
              <w:jc w:val="right"/>
              <w:rPr>
                <w:noProof/>
                <w:sz w:val="16"/>
                <w:szCs w:val="16"/>
                <w:lang w:val="en-IE" w:eastAsia="en-GB"/>
              </w:rPr>
            </w:pPr>
          </w:p>
        </w:tc>
      </w:tr>
      <w:tr w:rsidR="001C0111" w:rsidRPr="001C0111" w14:paraId="2DD7655A" w14:textId="77777777" w:rsidTr="00EE4772">
        <w:trPr>
          <w:trHeight w:val="585"/>
        </w:trPr>
        <w:tc>
          <w:tcPr>
            <w:tcW w:w="1980" w:type="dxa"/>
            <w:shd w:val="clear" w:color="auto" w:fill="CCCCCC"/>
            <w:vAlign w:val="center"/>
          </w:tcPr>
          <w:p w14:paraId="3B1D3ACE" w14:textId="77777777" w:rsidR="001C0111" w:rsidRPr="001C0111" w:rsidRDefault="001C0111" w:rsidP="001C0111">
            <w:pPr>
              <w:spacing w:before="60" w:after="60" w:line="200" w:lineRule="exact"/>
              <w:jc w:val="center"/>
              <w:rPr>
                <w:b/>
                <w:noProof/>
                <w:sz w:val="16"/>
                <w:szCs w:val="16"/>
                <w:lang w:val="en-IE" w:eastAsia="en-GB"/>
              </w:rPr>
            </w:pPr>
            <w:r w:rsidRPr="001C0111">
              <w:rPr>
                <w:b/>
                <w:noProof/>
                <w:sz w:val="16"/>
                <w:lang w:val="en-IE" w:eastAsia="en-GB"/>
              </w:rPr>
              <w:t>Subtotal HEADING 7</w:t>
            </w:r>
            <w:r w:rsidRPr="001C0111">
              <w:rPr>
                <w:noProof/>
                <w:sz w:val="22"/>
                <w:lang w:val="en-IE" w:eastAsia="en-GB"/>
              </w:rPr>
              <w:br/>
            </w:r>
            <w:r w:rsidRPr="001C0111">
              <w:rPr>
                <w:b/>
                <w:noProof/>
                <w:sz w:val="16"/>
                <w:lang w:val="en-IE" w:eastAsia="en-GB"/>
              </w:rPr>
              <w:t xml:space="preserve">of the multiannual financial framework </w:t>
            </w:r>
          </w:p>
        </w:tc>
        <w:tc>
          <w:tcPr>
            <w:tcW w:w="1080" w:type="dxa"/>
            <w:vAlign w:val="center"/>
          </w:tcPr>
          <w:p w14:paraId="6B65C068"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bottom"/>
          </w:tcPr>
          <w:p w14:paraId="3993523D" w14:textId="77777777" w:rsidR="001C0111" w:rsidRPr="001C0111" w:rsidRDefault="001C0111" w:rsidP="001C0111">
            <w:pPr>
              <w:spacing w:before="60" w:after="60" w:line="200" w:lineRule="exact"/>
              <w:jc w:val="right"/>
              <w:rPr>
                <w:noProof/>
                <w:sz w:val="16"/>
                <w:szCs w:val="16"/>
                <w:lang w:val="en-IE" w:eastAsia="en-GB"/>
              </w:rPr>
            </w:pPr>
            <w:r w:rsidRPr="001C0111">
              <w:rPr>
                <w:noProof/>
                <w:color w:val="000000"/>
                <w:sz w:val="22"/>
                <w:lang w:eastAsia="en-GB"/>
              </w:rPr>
              <w:t>0,314</w:t>
            </w:r>
          </w:p>
        </w:tc>
        <w:tc>
          <w:tcPr>
            <w:tcW w:w="1080" w:type="dxa"/>
            <w:vAlign w:val="bottom"/>
          </w:tcPr>
          <w:p w14:paraId="63C6BCC2" w14:textId="77777777" w:rsidR="001C0111" w:rsidRPr="001C0111" w:rsidRDefault="001C0111" w:rsidP="001C0111">
            <w:pPr>
              <w:spacing w:before="60" w:after="60" w:line="200" w:lineRule="exact"/>
              <w:jc w:val="right"/>
              <w:rPr>
                <w:noProof/>
                <w:sz w:val="16"/>
                <w:szCs w:val="16"/>
                <w:lang w:val="en-IE" w:eastAsia="en-GB"/>
              </w:rPr>
            </w:pPr>
            <w:r w:rsidRPr="001C0111">
              <w:rPr>
                <w:noProof/>
                <w:color w:val="000000"/>
                <w:sz w:val="22"/>
                <w:lang w:eastAsia="en-GB"/>
              </w:rPr>
              <w:t>0,314</w:t>
            </w:r>
          </w:p>
        </w:tc>
        <w:tc>
          <w:tcPr>
            <w:tcW w:w="1080" w:type="dxa"/>
            <w:vAlign w:val="bottom"/>
          </w:tcPr>
          <w:p w14:paraId="5A444D12" w14:textId="77777777" w:rsidR="001C0111" w:rsidRPr="001C0111" w:rsidRDefault="001C0111" w:rsidP="001C0111">
            <w:pPr>
              <w:spacing w:before="60" w:after="60" w:line="200" w:lineRule="exact"/>
              <w:jc w:val="right"/>
              <w:rPr>
                <w:noProof/>
                <w:sz w:val="16"/>
                <w:szCs w:val="16"/>
                <w:lang w:val="en-IE" w:eastAsia="en-GB"/>
              </w:rPr>
            </w:pPr>
            <w:r w:rsidRPr="001C0111">
              <w:rPr>
                <w:noProof/>
                <w:color w:val="000000"/>
                <w:sz w:val="22"/>
                <w:lang w:eastAsia="en-GB"/>
              </w:rPr>
              <w:t>0,314</w:t>
            </w:r>
          </w:p>
        </w:tc>
        <w:tc>
          <w:tcPr>
            <w:tcW w:w="1080" w:type="dxa"/>
            <w:vAlign w:val="bottom"/>
          </w:tcPr>
          <w:p w14:paraId="094D8947" w14:textId="77777777" w:rsidR="001C0111" w:rsidRPr="001C0111" w:rsidRDefault="001C0111" w:rsidP="001C0111">
            <w:pPr>
              <w:spacing w:before="60" w:after="60" w:line="200" w:lineRule="exact"/>
              <w:jc w:val="right"/>
              <w:rPr>
                <w:noProof/>
                <w:sz w:val="16"/>
                <w:szCs w:val="16"/>
                <w:lang w:val="en-IE" w:eastAsia="en-GB"/>
              </w:rPr>
            </w:pPr>
            <w:r w:rsidRPr="001C0111">
              <w:rPr>
                <w:noProof/>
                <w:color w:val="000000"/>
                <w:sz w:val="22"/>
                <w:lang w:eastAsia="en-GB"/>
              </w:rPr>
              <w:t>0,314</w:t>
            </w:r>
          </w:p>
        </w:tc>
        <w:tc>
          <w:tcPr>
            <w:tcW w:w="1080" w:type="dxa"/>
            <w:vAlign w:val="bottom"/>
          </w:tcPr>
          <w:p w14:paraId="7E98252F" w14:textId="77777777" w:rsidR="001C0111" w:rsidRPr="001C0111" w:rsidRDefault="001C0111" w:rsidP="001C0111">
            <w:pPr>
              <w:spacing w:before="60" w:after="60" w:line="200" w:lineRule="exact"/>
              <w:jc w:val="right"/>
              <w:rPr>
                <w:noProof/>
                <w:sz w:val="16"/>
                <w:szCs w:val="16"/>
                <w:lang w:val="en-IE" w:eastAsia="en-GB"/>
              </w:rPr>
            </w:pPr>
            <w:r w:rsidRPr="001C0111">
              <w:rPr>
                <w:b/>
                <w:bCs/>
                <w:noProof/>
                <w:color w:val="000000"/>
                <w:sz w:val="22"/>
                <w:lang w:eastAsia="en-GB"/>
              </w:rPr>
              <w:t>1,256</w:t>
            </w:r>
          </w:p>
        </w:tc>
      </w:tr>
    </w:tbl>
    <w:p w14:paraId="3B57E91D" w14:textId="77777777" w:rsidR="001C0111" w:rsidRPr="001C0111" w:rsidRDefault="001C0111" w:rsidP="001C0111">
      <w:pPr>
        <w:spacing w:line="200" w:lineRule="exact"/>
        <w:rPr>
          <w:noProof/>
          <w:sz w:val="16"/>
          <w:szCs w:val="16"/>
          <w:lang w:val="en-IE" w:eastAsia="en-GB"/>
        </w:rPr>
      </w:pPr>
    </w:p>
    <w:tbl>
      <w:tblPr>
        <w:tblW w:w="84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tblGrid>
      <w:tr w:rsidR="001C0111" w:rsidRPr="001C0111" w14:paraId="08A0118F" w14:textId="77777777" w:rsidTr="00EE4772">
        <w:trPr>
          <w:trHeight w:val="585"/>
        </w:trPr>
        <w:tc>
          <w:tcPr>
            <w:tcW w:w="1980" w:type="dxa"/>
            <w:shd w:val="clear" w:color="auto" w:fill="CCCCCC"/>
            <w:vAlign w:val="center"/>
          </w:tcPr>
          <w:p w14:paraId="3696D8F3" w14:textId="77777777" w:rsidR="001C0111" w:rsidRPr="001C0111" w:rsidRDefault="001C0111" w:rsidP="001C0111">
            <w:pPr>
              <w:spacing w:before="60" w:after="60" w:line="200" w:lineRule="exact"/>
              <w:jc w:val="center"/>
              <w:rPr>
                <w:noProof/>
                <w:sz w:val="16"/>
                <w:szCs w:val="16"/>
                <w:lang w:val="en-IE" w:eastAsia="en-GB"/>
              </w:rPr>
            </w:pPr>
            <w:r w:rsidRPr="001C0111">
              <w:rPr>
                <w:b/>
                <w:noProof/>
                <w:sz w:val="16"/>
                <w:lang w:val="en-IE" w:eastAsia="en-GB"/>
              </w:rPr>
              <w:t>Outside HEADING 7</w:t>
            </w:r>
            <w:r w:rsidRPr="006C662D">
              <w:rPr>
                <w:rStyle w:val="FootnoteReference"/>
                <w:noProof/>
              </w:rPr>
              <w:footnoteReference w:id="74"/>
            </w:r>
            <w:r w:rsidRPr="001C0111">
              <w:rPr>
                <w:noProof/>
                <w:sz w:val="22"/>
                <w:lang w:val="en-IE" w:eastAsia="en-GB"/>
              </w:rPr>
              <w:br/>
            </w:r>
            <w:r w:rsidRPr="001C0111">
              <w:rPr>
                <w:b/>
                <w:noProof/>
                <w:sz w:val="16"/>
                <w:lang w:val="en-IE" w:eastAsia="en-GB"/>
              </w:rPr>
              <w:t xml:space="preserve">of the multiannual financial framework </w:t>
            </w:r>
          </w:p>
          <w:p w14:paraId="540DACD5" w14:textId="77777777" w:rsidR="001C0111" w:rsidRPr="001C0111" w:rsidRDefault="001C0111" w:rsidP="001C0111">
            <w:pPr>
              <w:spacing w:before="0" w:after="0" w:line="200" w:lineRule="exact"/>
              <w:jc w:val="center"/>
              <w:rPr>
                <w:b/>
                <w:noProof/>
                <w:sz w:val="16"/>
                <w:szCs w:val="16"/>
                <w:lang w:val="en-IE" w:eastAsia="en-GB"/>
              </w:rPr>
            </w:pPr>
          </w:p>
        </w:tc>
        <w:tc>
          <w:tcPr>
            <w:tcW w:w="1080" w:type="dxa"/>
            <w:vAlign w:val="center"/>
          </w:tcPr>
          <w:p w14:paraId="2BAC36F4" w14:textId="77777777" w:rsidR="001C0111" w:rsidRPr="001C0111" w:rsidRDefault="001C0111" w:rsidP="001C0111">
            <w:pPr>
              <w:spacing w:before="60" w:after="60" w:line="200" w:lineRule="exact"/>
              <w:jc w:val="right"/>
              <w:rPr>
                <w:noProof/>
                <w:sz w:val="16"/>
                <w:szCs w:val="16"/>
                <w:lang w:val="en-IE" w:eastAsia="en-GB"/>
              </w:rPr>
            </w:pPr>
            <w:r w:rsidRPr="001C0111">
              <w:rPr>
                <w:noProof/>
                <w:sz w:val="16"/>
                <w:szCs w:val="16"/>
                <w:lang w:val="en-IE" w:eastAsia="en-GB"/>
              </w:rPr>
              <w:t>N/A</w:t>
            </w:r>
          </w:p>
        </w:tc>
        <w:tc>
          <w:tcPr>
            <w:tcW w:w="1080" w:type="dxa"/>
            <w:vAlign w:val="center"/>
          </w:tcPr>
          <w:p w14:paraId="08C504BD" w14:textId="77777777" w:rsidR="001C0111" w:rsidRPr="001C0111" w:rsidRDefault="001C0111" w:rsidP="001C0111">
            <w:pPr>
              <w:spacing w:before="60" w:after="60" w:line="200" w:lineRule="exact"/>
              <w:jc w:val="right"/>
              <w:rPr>
                <w:noProof/>
                <w:sz w:val="16"/>
                <w:szCs w:val="16"/>
                <w:lang w:val="en-IE" w:eastAsia="en-GB"/>
              </w:rPr>
            </w:pPr>
            <w:r w:rsidRPr="001C0111">
              <w:rPr>
                <w:noProof/>
                <w:sz w:val="16"/>
                <w:szCs w:val="16"/>
                <w:lang w:val="en-IE" w:eastAsia="en-GB"/>
              </w:rPr>
              <w:t>N/A</w:t>
            </w:r>
          </w:p>
        </w:tc>
        <w:tc>
          <w:tcPr>
            <w:tcW w:w="1080" w:type="dxa"/>
            <w:vAlign w:val="center"/>
          </w:tcPr>
          <w:p w14:paraId="09536ED3" w14:textId="77777777" w:rsidR="001C0111" w:rsidRPr="001C0111" w:rsidRDefault="001C0111" w:rsidP="001C0111">
            <w:pPr>
              <w:spacing w:before="60" w:after="60" w:line="200" w:lineRule="exact"/>
              <w:jc w:val="right"/>
              <w:rPr>
                <w:noProof/>
                <w:sz w:val="16"/>
                <w:szCs w:val="16"/>
                <w:lang w:val="en-IE" w:eastAsia="en-GB"/>
              </w:rPr>
            </w:pPr>
            <w:r w:rsidRPr="001C0111">
              <w:rPr>
                <w:noProof/>
                <w:sz w:val="16"/>
                <w:szCs w:val="16"/>
                <w:lang w:val="en-IE" w:eastAsia="en-GB"/>
              </w:rPr>
              <w:t>N/A</w:t>
            </w:r>
          </w:p>
        </w:tc>
        <w:tc>
          <w:tcPr>
            <w:tcW w:w="1080" w:type="dxa"/>
            <w:vAlign w:val="center"/>
          </w:tcPr>
          <w:p w14:paraId="60CF55EA" w14:textId="77777777" w:rsidR="001C0111" w:rsidRPr="001C0111" w:rsidRDefault="001C0111" w:rsidP="001C0111">
            <w:pPr>
              <w:spacing w:before="60" w:after="60" w:line="200" w:lineRule="exact"/>
              <w:jc w:val="right"/>
              <w:rPr>
                <w:noProof/>
                <w:sz w:val="16"/>
                <w:szCs w:val="16"/>
                <w:lang w:val="en-IE" w:eastAsia="en-GB"/>
              </w:rPr>
            </w:pPr>
            <w:r w:rsidRPr="001C0111">
              <w:rPr>
                <w:noProof/>
                <w:sz w:val="16"/>
                <w:szCs w:val="16"/>
                <w:lang w:val="en-IE" w:eastAsia="en-GB"/>
              </w:rPr>
              <w:t>N/A</w:t>
            </w:r>
          </w:p>
        </w:tc>
        <w:tc>
          <w:tcPr>
            <w:tcW w:w="1080" w:type="dxa"/>
            <w:vAlign w:val="center"/>
          </w:tcPr>
          <w:p w14:paraId="0D1FD3DE" w14:textId="77777777" w:rsidR="001C0111" w:rsidRPr="001C0111" w:rsidRDefault="001C0111" w:rsidP="001C0111">
            <w:pPr>
              <w:spacing w:before="60" w:after="60" w:line="200" w:lineRule="exact"/>
              <w:jc w:val="right"/>
              <w:rPr>
                <w:noProof/>
                <w:sz w:val="16"/>
                <w:szCs w:val="16"/>
                <w:lang w:val="en-IE" w:eastAsia="en-GB"/>
              </w:rPr>
            </w:pPr>
            <w:r w:rsidRPr="001C0111">
              <w:rPr>
                <w:noProof/>
                <w:sz w:val="16"/>
                <w:szCs w:val="16"/>
                <w:lang w:val="en-IE" w:eastAsia="en-GB"/>
              </w:rPr>
              <w:t>N/A</w:t>
            </w:r>
          </w:p>
        </w:tc>
        <w:tc>
          <w:tcPr>
            <w:tcW w:w="1080" w:type="dxa"/>
            <w:vAlign w:val="center"/>
          </w:tcPr>
          <w:p w14:paraId="190FA7AB" w14:textId="77777777" w:rsidR="001C0111" w:rsidRPr="001C0111" w:rsidRDefault="001C0111" w:rsidP="001C0111">
            <w:pPr>
              <w:spacing w:before="60" w:after="60" w:line="200" w:lineRule="exact"/>
              <w:jc w:val="right"/>
              <w:rPr>
                <w:noProof/>
                <w:sz w:val="16"/>
                <w:szCs w:val="16"/>
                <w:lang w:val="en-IE" w:eastAsia="en-GB"/>
              </w:rPr>
            </w:pPr>
            <w:r w:rsidRPr="001C0111">
              <w:rPr>
                <w:noProof/>
                <w:sz w:val="16"/>
                <w:szCs w:val="16"/>
                <w:lang w:val="en-IE" w:eastAsia="en-GB"/>
              </w:rPr>
              <w:t>N/A</w:t>
            </w:r>
          </w:p>
        </w:tc>
      </w:tr>
      <w:tr w:rsidR="001C0111" w:rsidRPr="001C0111" w14:paraId="08479B50" w14:textId="77777777" w:rsidTr="00EE4772">
        <w:trPr>
          <w:trHeight w:val="585"/>
        </w:trPr>
        <w:tc>
          <w:tcPr>
            <w:tcW w:w="1980" w:type="dxa"/>
            <w:vAlign w:val="center"/>
          </w:tcPr>
          <w:p w14:paraId="7FCE4488" w14:textId="77777777" w:rsidR="001C0111" w:rsidRPr="001C0111" w:rsidRDefault="001C0111" w:rsidP="001C0111">
            <w:pPr>
              <w:spacing w:before="60" w:after="60" w:line="200" w:lineRule="exact"/>
              <w:ind w:left="72"/>
              <w:jc w:val="left"/>
              <w:rPr>
                <w:noProof/>
                <w:sz w:val="16"/>
                <w:szCs w:val="16"/>
                <w:lang w:val="en-IE" w:eastAsia="en-GB"/>
              </w:rPr>
            </w:pPr>
            <w:r w:rsidRPr="001C0111">
              <w:rPr>
                <w:noProof/>
                <w:sz w:val="16"/>
                <w:lang w:val="en-IE" w:eastAsia="en-GB"/>
              </w:rPr>
              <w:t xml:space="preserve">Human resources </w:t>
            </w:r>
          </w:p>
        </w:tc>
        <w:tc>
          <w:tcPr>
            <w:tcW w:w="1080" w:type="dxa"/>
            <w:vAlign w:val="center"/>
          </w:tcPr>
          <w:p w14:paraId="27280E58"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46BB000A"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0EFD50B5"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270DF7C3"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5DE6BCAB"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77E0DB3D" w14:textId="77777777" w:rsidR="001C0111" w:rsidRPr="001C0111" w:rsidRDefault="001C0111" w:rsidP="001C0111">
            <w:pPr>
              <w:spacing w:before="60" w:after="60" w:line="200" w:lineRule="exact"/>
              <w:jc w:val="right"/>
              <w:rPr>
                <w:noProof/>
                <w:sz w:val="16"/>
                <w:szCs w:val="16"/>
                <w:lang w:val="en-IE" w:eastAsia="en-GB"/>
              </w:rPr>
            </w:pPr>
          </w:p>
        </w:tc>
      </w:tr>
      <w:tr w:rsidR="001C0111" w:rsidRPr="001C0111" w14:paraId="4A76FE66" w14:textId="77777777" w:rsidTr="00EE4772">
        <w:trPr>
          <w:trHeight w:val="585"/>
        </w:trPr>
        <w:tc>
          <w:tcPr>
            <w:tcW w:w="1980" w:type="dxa"/>
            <w:vAlign w:val="center"/>
          </w:tcPr>
          <w:p w14:paraId="3E1E121F" w14:textId="77777777" w:rsidR="001C0111" w:rsidRPr="001C0111" w:rsidRDefault="001C0111" w:rsidP="001C0111">
            <w:pPr>
              <w:spacing w:before="60" w:after="60" w:line="200" w:lineRule="exact"/>
              <w:ind w:left="72"/>
              <w:jc w:val="left"/>
              <w:rPr>
                <w:noProof/>
                <w:sz w:val="16"/>
                <w:szCs w:val="16"/>
                <w:lang w:val="en-IE" w:eastAsia="en-GB"/>
              </w:rPr>
            </w:pPr>
            <w:r w:rsidRPr="001C0111">
              <w:rPr>
                <w:noProof/>
                <w:sz w:val="16"/>
                <w:lang w:val="en-IE" w:eastAsia="en-GB"/>
              </w:rPr>
              <w:t xml:space="preserve">Other expenditure </w:t>
            </w:r>
            <w:r w:rsidRPr="001C0111">
              <w:rPr>
                <w:noProof/>
                <w:sz w:val="22"/>
                <w:lang w:val="en-IE" w:eastAsia="en-GB"/>
              </w:rPr>
              <w:br/>
            </w:r>
            <w:r w:rsidRPr="001C0111">
              <w:rPr>
                <w:noProof/>
                <w:sz w:val="16"/>
                <w:lang w:val="en-IE" w:eastAsia="en-GB"/>
              </w:rPr>
              <w:t>of an administrative nature</w:t>
            </w:r>
          </w:p>
        </w:tc>
        <w:tc>
          <w:tcPr>
            <w:tcW w:w="1080" w:type="dxa"/>
            <w:vAlign w:val="center"/>
          </w:tcPr>
          <w:p w14:paraId="22AA02BC"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6F37A71B"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4512BB95"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7AB317DF"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43A7B08F" w14:textId="77777777" w:rsidR="001C0111" w:rsidRPr="001C0111" w:rsidRDefault="001C0111" w:rsidP="001C0111">
            <w:pPr>
              <w:spacing w:before="60" w:after="60" w:line="200" w:lineRule="exact"/>
              <w:jc w:val="right"/>
              <w:rPr>
                <w:noProof/>
                <w:sz w:val="16"/>
                <w:szCs w:val="16"/>
                <w:lang w:val="en-IE" w:eastAsia="en-GB"/>
              </w:rPr>
            </w:pPr>
          </w:p>
        </w:tc>
        <w:tc>
          <w:tcPr>
            <w:tcW w:w="1080" w:type="dxa"/>
            <w:vAlign w:val="center"/>
          </w:tcPr>
          <w:p w14:paraId="132D432E" w14:textId="77777777" w:rsidR="001C0111" w:rsidRPr="001C0111" w:rsidRDefault="001C0111" w:rsidP="001C0111">
            <w:pPr>
              <w:spacing w:before="60" w:after="60" w:line="200" w:lineRule="exact"/>
              <w:jc w:val="right"/>
              <w:rPr>
                <w:noProof/>
                <w:sz w:val="16"/>
                <w:szCs w:val="16"/>
                <w:lang w:val="en-IE" w:eastAsia="en-GB"/>
              </w:rPr>
            </w:pPr>
          </w:p>
        </w:tc>
      </w:tr>
      <w:tr w:rsidR="001C0111" w:rsidRPr="001C0111" w14:paraId="6CA2C1F0" w14:textId="77777777" w:rsidTr="00EE4772">
        <w:trPr>
          <w:trHeight w:val="585"/>
        </w:trPr>
        <w:tc>
          <w:tcPr>
            <w:tcW w:w="1980" w:type="dxa"/>
            <w:shd w:val="clear" w:color="auto" w:fill="CCCCCC"/>
            <w:vAlign w:val="center"/>
          </w:tcPr>
          <w:p w14:paraId="520A5BDB" w14:textId="77777777" w:rsidR="001C0111" w:rsidRPr="001C0111" w:rsidRDefault="001C0111" w:rsidP="001C0111">
            <w:pPr>
              <w:spacing w:before="60" w:after="60" w:line="200" w:lineRule="exact"/>
              <w:jc w:val="center"/>
              <w:rPr>
                <w:b/>
                <w:noProof/>
                <w:sz w:val="16"/>
                <w:szCs w:val="16"/>
                <w:lang w:val="en-IE" w:eastAsia="en-GB"/>
              </w:rPr>
            </w:pPr>
            <w:r w:rsidRPr="001C0111">
              <w:rPr>
                <w:b/>
                <w:noProof/>
                <w:sz w:val="16"/>
                <w:lang w:val="en-IE" w:eastAsia="en-GB"/>
              </w:rPr>
              <w:t xml:space="preserve">Subtotal </w:t>
            </w:r>
            <w:r w:rsidRPr="001C0111">
              <w:rPr>
                <w:noProof/>
                <w:sz w:val="22"/>
                <w:lang w:val="en-IE" w:eastAsia="en-GB"/>
              </w:rPr>
              <w:br/>
            </w:r>
            <w:r w:rsidRPr="001C0111">
              <w:rPr>
                <w:b/>
                <w:noProof/>
                <w:sz w:val="16"/>
                <w:lang w:val="en-IE" w:eastAsia="en-GB"/>
              </w:rPr>
              <w:t>outside HEADING 7</w:t>
            </w:r>
            <w:r w:rsidRPr="001C0111">
              <w:rPr>
                <w:noProof/>
                <w:sz w:val="22"/>
                <w:lang w:val="en-IE" w:eastAsia="en-GB"/>
              </w:rPr>
              <w:br/>
            </w:r>
            <w:r w:rsidRPr="001C0111">
              <w:rPr>
                <w:b/>
                <w:noProof/>
                <w:sz w:val="16"/>
                <w:lang w:val="en-IE" w:eastAsia="en-GB"/>
              </w:rPr>
              <w:t xml:space="preserve">of the multiannual financial framework </w:t>
            </w:r>
          </w:p>
        </w:tc>
        <w:tc>
          <w:tcPr>
            <w:tcW w:w="1080" w:type="dxa"/>
            <w:vAlign w:val="center"/>
          </w:tcPr>
          <w:p w14:paraId="7272C15D" w14:textId="77777777" w:rsidR="001C0111" w:rsidRPr="001C0111" w:rsidRDefault="001C0111" w:rsidP="001C0111">
            <w:pPr>
              <w:spacing w:before="60" w:after="60" w:line="200" w:lineRule="exact"/>
              <w:jc w:val="center"/>
              <w:rPr>
                <w:noProof/>
                <w:sz w:val="16"/>
                <w:szCs w:val="16"/>
                <w:lang w:val="en-IE" w:eastAsia="en-GB"/>
              </w:rPr>
            </w:pPr>
            <w:r w:rsidRPr="001C0111">
              <w:rPr>
                <w:noProof/>
                <w:sz w:val="16"/>
                <w:szCs w:val="16"/>
                <w:lang w:val="en-IE" w:eastAsia="en-GB"/>
              </w:rPr>
              <w:t>N/A</w:t>
            </w:r>
          </w:p>
        </w:tc>
        <w:tc>
          <w:tcPr>
            <w:tcW w:w="1080" w:type="dxa"/>
            <w:vAlign w:val="center"/>
          </w:tcPr>
          <w:p w14:paraId="377100B3" w14:textId="77777777" w:rsidR="001C0111" w:rsidRPr="001C0111" w:rsidRDefault="001C0111" w:rsidP="001C0111">
            <w:pPr>
              <w:spacing w:before="60" w:after="60" w:line="200" w:lineRule="exact"/>
              <w:jc w:val="center"/>
              <w:rPr>
                <w:noProof/>
                <w:sz w:val="16"/>
                <w:szCs w:val="16"/>
                <w:lang w:val="en-IE" w:eastAsia="en-GB"/>
              </w:rPr>
            </w:pPr>
            <w:r w:rsidRPr="001C0111">
              <w:rPr>
                <w:noProof/>
                <w:sz w:val="16"/>
                <w:szCs w:val="16"/>
                <w:lang w:val="en-IE" w:eastAsia="en-GB"/>
              </w:rPr>
              <w:t>N/A</w:t>
            </w:r>
          </w:p>
        </w:tc>
        <w:tc>
          <w:tcPr>
            <w:tcW w:w="1080" w:type="dxa"/>
            <w:vAlign w:val="center"/>
          </w:tcPr>
          <w:p w14:paraId="0534ACDF" w14:textId="77777777" w:rsidR="001C0111" w:rsidRPr="001C0111" w:rsidRDefault="001C0111" w:rsidP="001C0111">
            <w:pPr>
              <w:spacing w:before="60" w:after="60" w:line="200" w:lineRule="exact"/>
              <w:jc w:val="center"/>
              <w:rPr>
                <w:noProof/>
                <w:sz w:val="16"/>
                <w:szCs w:val="16"/>
                <w:lang w:val="en-IE" w:eastAsia="en-GB"/>
              </w:rPr>
            </w:pPr>
            <w:r w:rsidRPr="001C0111">
              <w:rPr>
                <w:noProof/>
                <w:sz w:val="16"/>
                <w:szCs w:val="16"/>
                <w:lang w:val="en-IE" w:eastAsia="en-GB"/>
              </w:rPr>
              <w:t>N/A</w:t>
            </w:r>
          </w:p>
        </w:tc>
        <w:tc>
          <w:tcPr>
            <w:tcW w:w="1080" w:type="dxa"/>
            <w:vAlign w:val="center"/>
          </w:tcPr>
          <w:p w14:paraId="50D89252" w14:textId="77777777" w:rsidR="001C0111" w:rsidRPr="001C0111" w:rsidRDefault="001C0111" w:rsidP="001C0111">
            <w:pPr>
              <w:spacing w:before="60" w:after="60" w:line="200" w:lineRule="exact"/>
              <w:jc w:val="center"/>
              <w:rPr>
                <w:noProof/>
                <w:sz w:val="16"/>
                <w:szCs w:val="16"/>
                <w:lang w:val="en-IE" w:eastAsia="en-GB"/>
              </w:rPr>
            </w:pPr>
            <w:r w:rsidRPr="001C0111">
              <w:rPr>
                <w:noProof/>
                <w:sz w:val="16"/>
                <w:szCs w:val="16"/>
                <w:lang w:val="en-IE" w:eastAsia="en-GB"/>
              </w:rPr>
              <w:t>N/A</w:t>
            </w:r>
          </w:p>
        </w:tc>
        <w:tc>
          <w:tcPr>
            <w:tcW w:w="1080" w:type="dxa"/>
            <w:vAlign w:val="center"/>
          </w:tcPr>
          <w:p w14:paraId="1F722D2E" w14:textId="77777777" w:rsidR="001C0111" w:rsidRPr="001C0111" w:rsidRDefault="001C0111" w:rsidP="001C0111">
            <w:pPr>
              <w:spacing w:before="60" w:after="60" w:line="200" w:lineRule="exact"/>
              <w:jc w:val="center"/>
              <w:rPr>
                <w:noProof/>
                <w:sz w:val="16"/>
                <w:szCs w:val="16"/>
                <w:lang w:val="en-IE" w:eastAsia="en-GB"/>
              </w:rPr>
            </w:pPr>
            <w:r w:rsidRPr="001C0111">
              <w:rPr>
                <w:noProof/>
                <w:sz w:val="16"/>
                <w:szCs w:val="16"/>
                <w:lang w:val="en-IE" w:eastAsia="en-GB"/>
              </w:rPr>
              <w:t>N/A</w:t>
            </w:r>
          </w:p>
        </w:tc>
        <w:tc>
          <w:tcPr>
            <w:tcW w:w="1080" w:type="dxa"/>
            <w:vAlign w:val="center"/>
          </w:tcPr>
          <w:p w14:paraId="7A3C0BEF" w14:textId="77777777" w:rsidR="001C0111" w:rsidRPr="001C0111" w:rsidRDefault="001C0111" w:rsidP="001C0111">
            <w:pPr>
              <w:spacing w:before="60" w:after="60" w:line="200" w:lineRule="exact"/>
              <w:jc w:val="center"/>
              <w:rPr>
                <w:noProof/>
                <w:sz w:val="16"/>
                <w:szCs w:val="16"/>
                <w:lang w:val="en-IE" w:eastAsia="en-GB"/>
              </w:rPr>
            </w:pPr>
            <w:r w:rsidRPr="001C0111">
              <w:rPr>
                <w:noProof/>
                <w:sz w:val="16"/>
                <w:szCs w:val="16"/>
                <w:lang w:val="en-IE" w:eastAsia="en-GB"/>
              </w:rPr>
              <w:t>N/A</w:t>
            </w:r>
          </w:p>
        </w:tc>
      </w:tr>
    </w:tbl>
    <w:p w14:paraId="3AF7069B" w14:textId="77777777" w:rsidR="001C0111" w:rsidRPr="001C0111" w:rsidRDefault="001C0111" w:rsidP="001C0111">
      <w:pPr>
        <w:spacing w:line="200" w:lineRule="exact"/>
        <w:rPr>
          <w:noProof/>
          <w:sz w:val="16"/>
          <w:szCs w:val="16"/>
          <w:lang w:val="en-IE" w:eastAsia="en-GB"/>
        </w:rPr>
      </w:pPr>
    </w:p>
    <w:tbl>
      <w:tblPr>
        <w:tblW w:w="8460" w:type="dxa"/>
        <w:tblInd w:w="-612" w:type="dxa"/>
        <w:tblLayout w:type="fixed"/>
        <w:tblLook w:val="01E0" w:firstRow="1" w:lastRow="1" w:firstColumn="1" w:lastColumn="1" w:noHBand="0" w:noVBand="0"/>
      </w:tblPr>
      <w:tblGrid>
        <w:gridCol w:w="1980"/>
        <w:gridCol w:w="1080"/>
        <w:gridCol w:w="1080"/>
        <w:gridCol w:w="1080"/>
        <w:gridCol w:w="1080"/>
        <w:gridCol w:w="1080"/>
        <w:gridCol w:w="1080"/>
      </w:tblGrid>
      <w:tr w:rsidR="001C0111" w:rsidRPr="001C0111" w14:paraId="7E5250CE" w14:textId="77777777" w:rsidTr="00EE4772">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1C529DF" w14:textId="77777777" w:rsidR="001C0111" w:rsidRPr="001C0111" w:rsidRDefault="001C0111" w:rsidP="001C0111">
            <w:pPr>
              <w:spacing w:before="60" w:after="60" w:line="200" w:lineRule="exact"/>
              <w:jc w:val="center"/>
              <w:rPr>
                <w:noProof/>
                <w:sz w:val="16"/>
                <w:szCs w:val="16"/>
                <w:lang w:val="en-IE" w:eastAsia="en-GB"/>
              </w:rPr>
            </w:pPr>
            <w:r w:rsidRPr="001C0111">
              <w:rPr>
                <w:b/>
                <w:noProof/>
                <w:sz w:val="16"/>
                <w:lang w:val="en-IE" w:eastAsia="en-GB"/>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73E42760" w14:textId="77777777" w:rsidR="001C0111" w:rsidRPr="001C0111" w:rsidRDefault="001C0111" w:rsidP="001C0111">
            <w:pPr>
              <w:spacing w:before="60" w:after="60" w:line="200" w:lineRule="exact"/>
              <w:jc w:val="right"/>
              <w:rPr>
                <w:b/>
                <w:noProof/>
                <w:sz w:val="16"/>
                <w:szCs w:val="16"/>
                <w:lang w:val="en-IE" w:eastAsia="en-GB"/>
              </w:rPr>
            </w:pPr>
          </w:p>
        </w:tc>
        <w:tc>
          <w:tcPr>
            <w:tcW w:w="1080" w:type="dxa"/>
            <w:tcBorders>
              <w:top w:val="single" w:sz="12" w:space="0" w:color="auto"/>
              <w:left w:val="single" w:sz="2" w:space="0" w:color="auto"/>
              <w:bottom w:val="single" w:sz="12" w:space="0" w:color="auto"/>
              <w:right w:val="single" w:sz="2" w:space="0" w:color="auto"/>
            </w:tcBorders>
            <w:vAlign w:val="bottom"/>
          </w:tcPr>
          <w:p w14:paraId="12C78623" w14:textId="77777777" w:rsidR="001C0111" w:rsidRPr="001C0111" w:rsidRDefault="001C0111" w:rsidP="001C0111">
            <w:pPr>
              <w:spacing w:before="60" w:after="60" w:line="200" w:lineRule="exact"/>
              <w:jc w:val="right"/>
              <w:rPr>
                <w:b/>
                <w:noProof/>
                <w:sz w:val="16"/>
                <w:szCs w:val="16"/>
                <w:lang w:val="en-IE" w:eastAsia="en-GB"/>
              </w:rPr>
            </w:pPr>
            <w:r w:rsidRPr="001C0111">
              <w:rPr>
                <w:noProof/>
                <w:color w:val="000000"/>
                <w:sz w:val="22"/>
                <w:lang w:eastAsia="en-GB"/>
              </w:rPr>
              <w:t>0,314</w:t>
            </w:r>
          </w:p>
        </w:tc>
        <w:tc>
          <w:tcPr>
            <w:tcW w:w="1080" w:type="dxa"/>
            <w:tcBorders>
              <w:top w:val="single" w:sz="12" w:space="0" w:color="auto"/>
              <w:left w:val="single" w:sz="2" w:space="0" w:color="auto"/>
              <w:bottom w:val="single" w:sz="12" w:space="0" w:color="auto"/>
              <w:right w:val="single" w:sz="2" w:space="0" w:color="auto"/>
            </w:tcBorders>
            <w:vAlign w:val="bottom"/>
          </w:tcPr>
          <w:p w14:paraId="0B71B4B9" w14:textId="77777777" w:rsidR="001C0111" w:rsidRPr="001C0111" w:rsidRDefault="001C0111" w:rsidP="001C0111">
            <w:pPr>
              <w:spacing w:before="60" w:after="60" w:line="200" w:lineRule="exact"/>
              <w:jc w:val="right"/>
              <w:rPr>
                <w:b/>
                <w:noProof/>
                <w:sz w:val="16"/>
                <w:szCs w:val="16"/>
                <w:lang w:val="en-IE" w:eastAsia="en-GB"/>
              </w:rPr>
            </w:pPr>
            <w:r w:rsidRPr="001C0111">
              <w:rPr>
                <w:noProof/>
                <w:color w:val="000000"/>
                <w:sz w:val="22"/>
                <w:lang w:eastAsia="en-GB"/>
              </w:rPr>
              <w:t>0,314</w:t>
            </w:r>
          </w:p>
        </w:tc>
        <w:tc>
          <w:tcPr>
            <w:tcW w:w="1080" w:type="dxa"/>
            <w:tcBorders>
              <w:top w:val="single" w:sz="12" w:space="0" w:color="auto"/>
              <w:left w:val="single" w:sz="2" w:space="0" w:color="auto"/>
              <w:bottom w:val="single" w:sz="12" w:space="0" w:color="auto"/>
              <w:right w:val="single" w:sz="2" w:space="0" w:color="auto"/>
            </w:tcBorders>
            <w:vAlign w:val="bottom"/>
          </w:tcPr>
          <w:p w14:paraId="242EE60A" w14:textId="77777777" w:rsidR="001C0111" w:rsidRPr="001C0111" w:rsidRDefault="001C0111" w:rsidP="001C0111">
            <w:pPr>
              <w:spacing w:before="60" w:after="60" w:line="200" w:lineRule="exact"/>
              <w:jc w:val="right"/>
              <w:rPr>
                <w:b/>
                <w:noProof/>
                <w:sz w:val="16"/>
                <w:szCs w:val="16"/>
                <w:lang w:val="en-IE" w:eastAsia="en-GB"/>
              </w:rPr>
            </w:pPr>
            <w:r w:rsidRPr="001C0111">
              <w:rPr>
                <w:noProof/>
                <w:color w:val="000000"/>
                <w:sz w:val="22"/>
                <w:lang w:eastAsia="en-GB"/>
              </w:rPr>
              <w:t>0,314</w:t>
            </w:r>
          </w:p>
        </w:tc>
        <w:tc>
          <w:tcPr>
            <w:tcW w:w="1080" w:type="dxa"/>
            <w:tcBorders>
              <w:top w:val="single" w:sz="12" w:space="0" w:color="auto"/>
              <w:left w:val="single" w:sz="2" w:space="0" w:color="auto"/>
              <w:bottom w:val="single" w:sz="12" w:space="0" w:color="auto"/>
              <w:right w:val="single" w:sz="2" w:space="0" w:color="auto"/>
            </w:tcBorders>
            <w:vAlign w:val="bottom"/>
          </w:tcPr>
          <w:p w14:paraId="363BD664" w14:textId="77777777" w:rsidR="001C0111" w:rsidRPr="001C0111" w:rsidRDefault="001C0111" w:rsidP="001C0111">
            <w:pPr>
              <w:spacing w:before="60" w:after="60" w:line="200" w:lineRule="exact"/>
              <w:jc w:val="right"/>
              <w:rPr>
                <w:b/>
                <w:noProof/>
                <w:sz w:val="16"/>
                <w:szCs w:val="16"/>
                <w:lang w:val="en-IE" w:eastAsia="en-GB"/>
              </w:rPr>
            </w:pPr>
            <w:r w:rsidRPr="001C0111">
              <w:rPr>
                <w:noProof/>
                <w:color w:val="000000"/>
                <w:sz w:val="22"/>
                <w:lang w:eastAsia="en-GB"/>
              </w:rPr>
              <w:t>0,314</w:t>
            </w:r>
          </w:p>
        </w:tc>
        <w:tc>
          <w:tcPr>
            <w:tcW w:w="1080" w:type="dxa"/>
            <w:tcBorders>
              <w:top w:val="single" w:sz="12" w:space="0" w:color="auto"/>
              <w:left w:val="single" w:sz="2" w:space="0" w:color="auto"/>
              <w:bottom w:val="single" w:sz="12" w:space="0" w:color="auto"/>
              <w:right w:val="single" w:sz="12" w:space="0" w:color="auto"/>
            </w:tcBorders>
            <w:vAlign w:val="bottom"/>
          </w:tcPr>
          <w:p w14:paraId="309C7C1E" w14:textId="77777777" w:rsidR="001C0111" w:rsidRPr="001C0111" w:rsidRDefault="001C0111" w:rsidP="001C0111">
            <w:pPr>
              <w:spacing w:before="60" w:after="60" w:line="200" w:lineRule="exact"/>
              <w:jc w:val="right"/>
              <w:rPr>
                <w:b/>
                <w:noProof/>
                <w:sz w:val="16"/>
                <w:szCs w:val="16"/>
                <w:lang w:val="en-IE" w:eastAsia="en-GB"/>
              </w:rPr>
            </w:pPr>
            <w:r w:rsidRPr="001C0111">
              <w:rPr>
                <w:b/>
                <w:bCs/>
                <w:noProof/>
                <w:color w:val="000000"/>
                <w:sz w:val="22"/>
                <w:lang w:eastAsia="en-GB"/>
              </w:rPr>
              <w:t>1,256</w:t>
            </w:r>
          </w:p>
        </w:tc>
      </w:tr>
    </w:tbl>
    <w:p w14:paraId="36F2DABC" w14:textId="77777777" w:rsidR="001C0111" w:rsidRPr="001C0111" w:rsidRDefault="001C0111" w:rsidP="001C0111">
      <w:pPr>
        <w:rPr>
          <w:noProof/>
          <w:sz w:val="18"/>
          <w:lang w:val="en-IE" w:eastAsia="en-GB"/>
        </w:rPr>
      </w:pPr>
      <w:r w:rsidRPr="001C0111">
        <w:rPr>
          <w:noProof/>
          <w:sz w:val="18"/>
          <w:lang w:val="en-IE" w:eastAsia="en-GB"/>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1DBE275B" w14:textId="77777777" w:rsidR="001C0111" w:rsidRPr="001C0111" w:rsidRDefault="001C0111" w:rsidP="002A2DB0">
      <w:pPr>
        <w:keepNext/>
        <w:outlineLvl w:val="3"/>
        <w:rPr>
          <w:rFonts w:eastAsiaTheme="majorEastAsia"/>
          <w:iCs/>
          <w:noProof/>
          <w:szCs w:val="24"/>
          <w:lang w:eastAsia="en-GB"/>
        </w:rPr>
      </w:pPr>
      <w:r w:rsidRPr="001C0111">
        <w:rPr>
          <w:rFonts w:eastAsiaTheme="majorEastAsia"/>
          <w:bCs/>
          <w:iCs/>
          <w:noProof/>
          <w:lang w:eastAsia="en-GB"/>
        </w:rPr>
        <w:t xml:space="preserve">Estimated requirements of human resources </w:t>
      </w:r>
    </w:p>
    <w:p w14:paraId="22F8855C" w14:textId="77777777" w:rsidR="001C0111" w:rsidRPr="001C0111" w:rsidRDefault="001C0111" w:rsidP="002A2DB0">
      <w:pPr>
        <w:rPr>
          <w:noProof/>
          <w:lang w:eastAsia="en-GB"/>
        </w:rPr>
      </w:pPr>
      <w:r w:rsidRPr="001C0111">
        <w:rPr>
          <w:rFonts w:ascii="Wingdings" w:eastAsia="Wingdings" w:hAnsi="Wingdings" w:cs="Wingdings"/>
          <w:noProof/>
          <w:lang w:eastAsia="en-GB"/>
        </w:rPr>
        <w:t></w:t>
      </w:r>
      <w:r w:rsidRPr="001C0111">
        <w:rPr>
          <w:noProof/>
          <w:lang w:eastAsia="en-GB"/>
        </w:rPr>
        <w:tab/>
        <w:t xml:space="preserve">The proposal/initiative does not require the use of human resources. </w:t>
      </w:r>
    </w:p>
    <w:p w14:paraId="3320CFD9" w14:textId="77777777" w:rsidR="001C0111" w:rsidRPr="001C0111" w:rsidRDefault="001C0111" w:rsidP="002A2DB0">
      <w:pPr>
        <w:rPr>
          <w:noProof/>
          <w:lang w:eastAsia="en-GB"/>
        </w:rPr>
      </w:pPr>
      <w:r w:rsidRPr="001C0111">
        <w:rPr>
          <w:rFonts w:ascii="Wingdings" w:eastAsia="Wingdings" w:hAnsi="Wingdings" w:cs="Wingdings"/>
          <w:noProof/>
          <w:lang w:eastAsia="en-GB"/>
        </w:rPr>
        <w:t></w:t>
      </w:r>
      <w:r w:rsidRPr="001C0111">
        <w:rPr>
          <w:noProof/>
          <w:lang w:eastAsia="en-GB"/>
        </w:rPr>
        <w:tab/>
        <w:t>The proposal/initiative requires the use of human resources, as explained below:</w:t>
      </w:r>
    </w:p>
    <w:p w14:paraId="0CD27EDE" w14:textId="77777777" w:rsidR="001C0111" w:rsidRPr="001C0111" w:rsidRDefault="001C0111" w:rsidP="001C0111">
      <w:pPr>
        <w:rPr>
          <w:noProof/>
          <w:sz w:val="18"/>
          <w:lang w:eastAsia="en-GB"/>
        </w:rPr>
      </w:pPr>
    </w:p>
    <w:p w14:paraId="0259C59F" w14:textId="77777777" w:rsidR="001C0111" w:rsidRPr="001C0111" w:rsidRDefault="001C0111" w:rsidP="001C0111">
      <w:pPr>
        <w:spacing w:after="60"/>
        <w:jc w:val="right"/>
        <w:rPr>
          <w:i/>
          <w:noProof/>
          <w:sz w:val="20"/>
          <w:lang w:val="en-IE" w:eastAsia="en-GB"/>
        </w:rPr>
      </w:pPr>
    </w:p>
    <w:p w14:paraId="48FF165D" w14:textId="77777777" w:rsidR="001C0111" w:rsidRPr="001C0111" w:rsidRDefault="001C0111" w:rsidP="001C0111">
      <w:pPr>
        <w:spacing w:after="60"/>
        <w:jc w:val="right"/>
        <w:rPr>
          <w:i/>
          <w:noProof/>
          <w:sz w:val="20"/>
          <w:lang w:val="en-IE" w:eastAsia="en-GB"/>
        </w:rPr>
      </w:pPr>
      <w:r w:rsidRPr="001C0111">
        <w:rPr>
          <w:i/>
          <w:noProof/>
          <w:sz w:val="20"/>
          <w:lang w:val="en-IE" w:eastAsia="en-GB"/>
        </w:rPr>
        <w:t>Estimate to be expressed in full time equivalent units</w:t>
      </w:r>
    </w:p>
    <w:tbl>
      <w:tblPr>
        <w:tblW w:w="84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376"/>
        <w:gridCol w:w="2378"/>
        <w:gridCol w:w="731"/>
        <w:gridCol w:w="731"/>
        <w:gridCol w:w="731"/>
        <w:gridCol w:w="731"/>
        <w:gridCol w:w="731"/>
      </w:tblGrid>
      <w:tr w:rsidR="001C0111" w:rsidRPr="001C0111" w14:paraId="7ADF7E2E" w14:textId="77777777" w:rsidTr="00EE4772">
        <w:trPr>
          <w:trHeight w:val="289"/>
          <w:jc w:val="center"/>
        </w:trPr>
        <w:tc>
          <w:tcPr>
            <w:tcW w:w="4754" w:type="dxa"/>
            <w:gridSpan w:val="2"/>
            <w:shd w:val="clear" w:color="auto" w:fill="auto"/>
          </w:tcPr>
          <w:p w14:paraId="7D09D110" w14:textId="77777777" w:rsidR="001C0111" w:rsidRPr="001C0111" w:rsidRDefault="001C0111" w:rsidP="001C0111">
            <w:pPr>
              <w:spacing w:before="40" w:after="40"/>
              <w:jc w:val="center"/>
              <w:rPr>
                <w:i/>
                <w:noProof/>
                <w:sz w:val="16"/>
                <w:szCs w:val="16"/>
                <w:lang w:val="en-IE" w:eastAsia="en-GB"/>
              </w:rPr>
            </w:pPr>
          </w:p>
        </w:tc>
        <w:tc>
          <w:tcPr>
            <w:tcW w:w="731" w:type="dxa"/>
            <w:shd w:val="clear" w:color="auto" w:fill="auto"/>
            <w:vAlign w:val="center"/>
          </w:tcPr>
          <w:p w14:paraId="7CA65D80" w14:textId="77777777" w:rsidR="001C0111" w:rsidRPr="001C0111" w:rsidRDefault="001C0111" w:rsidP="001C0111">
            <w:pPr>
              <w:spacing w:before="20" w:after="20"/>
              <w:jc w:val="center"/>
              <w:rPr>
                <w:b/>
                <w:noProof/>
                <w:sz w:val="16"/>
                <w:szCs w:val="16"/>
                <w:lang w:val="en-IE" w:eastAsia="en-GB"/>
              </w:rPr>
            </w:pPr>
            <w:r w:rsidRPr="001C0111">
              <w:rPr>
                <w:b/>
                <w:noProof/>
                <w:sz w:val="16"/>
                <w:lang w:val="en-IE" w:eastAsia="en-GB"/>
              </w:rPr>
              <w:t>2023</w:t>
            </w:r>
          </w:p>
        </w:tc>
        <w:tc>
          <w:tcPr>
            <w:tcW w:w="731" w:type="dxa"/>
            <w:shd w:val="clear" w:color="auto" w:fill="auto"/>
            <w:vAlign w:val="center"/>
          </w:tcPr>
          <w:p w14:paraId="155E0019" w14:textId="77777777" w:rsidR="001C0111" w:rsidRPr="001C0111" w:rsidRDefault="001C0111" w:rsidP="001C0111">
            <w:pPr>
              <w:spacing w:before="20" w:after="20"/>
              <w:jc w:val="center"/>
              <w:rPr>
                <w:b/>
                <w:noProof/>
                <w:sz w:val="16"/>
                <w:szCs w:val="16"/>
                <w:lang w:val="en-IE" w:eastAsia="en-GB"/>
              </w:rPr>
            </w:pPr>
            <w:r w:rsidRPr="001C0111">
              <w:rPr>
                <w:b/>
                <w:noProof/>
                <w:sz w:val="16"/>
                <w:lang w:val="en-IE" w:eastAsia="en-GB"/>
              </w:rPr>
              <w:t>2024</w:t>
            </w:r>
          </w:p>
        </w:tc>
        <w:tc>
          <w:tcPr>
            <w:tcW w:w="731" w:type="dxa"/>
            <w:shd w:val="clear" w:color="auto" w:fill="auto"/>
            <w:vAlign w:val="center"/>
          </w:tcPr>
          <w:p w14:paraId="523677A7" w14:textId="77777777" w:rsidR="001C0111" w:rsidRPr="001C0111" w:rsidRDefault="001C0111" w:rsidP="001C0111">
            <w:pPr>
              <w:spacing w:before="20" w:after="20"/>
              <w:jc w:val="center"/>
              <w:rPr>
                <w:b/>
                <w:noProof/>
                <w:sz w:val="16"/>
                <w:szCs w:val="16"/>
                <w:lang w:val="en-IE" w:eastAsia="en-GB"/>
              </w:rPr>
            </w:pPr>
            <w:r w:rsidRPr="001C0111">
              <w:rPr>
                <w:b/>
                <w:noProof/>
                <w:sz w:val="16"/>
                <w:szCs w:val="16"/>
                <w:lang w:val="en-IE" w:eastAsia="en-GB"/>
              </w:rPr>
              <w:t>2025</w:t>
            </w:r>
          </w:p>
        </w:tc>
        <w:tc>
          <w:tcPr>
            <w:tcW w:w="731" w:type="dxa"/>
            <w:shd w:val="clear" w:color="auto" w:fill="auto"/>
            <w:vAlign w:val="center"/>
          </w:tcPr>
          <w:p w14:paraId="0E9920D5" w14:textId="77777777" w:rsidR="001C0111" w:rsidRPr="001C0111" w:rsidRDefault="001C0111" w:rsidP="001C0111">
            <w:pPr>
              <w:spacing w:before="20" w:after="20"/>
              <w:jc w:val="center"/>
              <w:rPr>
                <w:b/>
                <w:noProof/>
                <w:sz w:val="16"/>
                <w:szCs w:val="16"/>
                <w:lang w:val="en-IE" w:eastAsia="en-GB"/>
              </w:rPr>
            </w:pPr>
            <w:r w:rsidRPr="001C0111">
              <w:rPr>
                <w:b/>
                <w:noProof/>
                <w:sz w:val="16"/>
                <w:szCs w:val="16"/>
                <w:lang w:val="en-IE" w:eastAsia="en-GB"/>
              </w:rPr>
              <w:t>2026</w:t>
            </w:r>
          </w:p>
        </w:tc>
        <w:tc>
          <w:tcPr>
            <w:tcW w:w="731" w:type="dxa"/>
            <w:shd w:val="clear" w:color="auto" w:fill="auto"/>
            <w:vAlign w:val="center"/>
          </w:tcPr>
          <w:p w14:paraId="238D32B8" w14:textId="77777777" w:rsidR="001C0111" w:rsidRPr="001C0111" w:rsidRDefault="001C0111" w:rsidP="001C0111">
            <w:pPr>
              <w:jc w:val="center"/>
              <w:rPr>
                <w:b/>
                <w:noProof/>
                <w:sz w:val="16"/>
                <w:szCs w:val="16"/>
                <w:lang w:val="en-IE" w:eastAsia="en-GB"/>
              </w:rPr>
            </w:pPr>
            <w:r w:rsidRPr="001C0111">
              <w:rPr>
                <w:b/>
                <w:noProof/>
                <w:sz w:val="16"/>
                <w:szCs w:val="16"/>
                <w:lang w:val="en-IE" w:eastAsia="en-GB"/>
              </w:rPr>
              <w:t>2027 and beyond</w:t>
            </w:r>
          </w:p>
        </w:tc>
      </w:tr>
      <w:tr w:rsidR="001C0111" w:rsidRPr="001C0111" w14:paraId="3A4BA30E" w14:textId="77777777" w:rsidTr="00EE4772">
        <w:trPr>
          <w:trHeight w:val="289"/>
          <w:jc w:val="center"/>
        </w:trPr>
        <w:tc>
          <w:tcPr>
            <w:tcW w:w="4754" w:type="dxa"/>
            <w:gridSpan w:val="2"/>
            <w:shd w:val="clear" w:color="auto" w:fill="auto"/>
            <w:vAlign w:val="center"/>
          </w:tcPr>
          <w:p w14:paraId="6AF89389" w14:textId="77777777" w:rsidR="001C0111" w:rsidRPr="001C0111" w:rsidRDefault="001C0111" w:rsidP="001C0111">
            <w:pPr>
              <w:spacing w:beforeLines="20" w:before="48" w:afterLines="20" w:after="48"/>
              <w:ind w:left="134"/>
              <w:jc w:val="left"/>
              <w:rPr>
                <w:b/>
                <w:noProof/>
                <w:sz w:val="16"/>
                <w:szCs w:val="16"/>
                <w:lang w:val="en-IE" w:eastAsia="en-GB"/>
              </w:rPr>
            </w:pPr>
            <w:r w:rsidRPr="001C0111">
              <w:rPr>
                <w:noProof/>
                <w:sz w:val="16"/>
                <w:lang w:val="en-IE" w:eastAsia="en-GB"/>
              </w:rPr>
              <w:t>20 01 02 01</w:t>
            </w:r>
            <w:r w:rsidRPr="001C0111">
              <w:rPr>
                <w:rFonts w:ascii="Arial Narrow" w:hAnsi="Arial Narrow"/>
                <w:noProof/>
                <w:color w:val="000000"/>
                <w:sz w:val="20"/>
                <w:szCs w:val="20"/>
                <w:lang w:val="en-IE" w:eastAsia="en-GB"/>
              </w:rPr>
              <w:t xml:space="preserve"> </w:t>
            </w:r>
            <w:r w:rsidRPr="001C0111">
              <w:rPr>
                <w:noProof/>
                <w:sz w:val="16"/>
                <w:lang w:val="en-IE" w:eastAsia="en-GB"/>
              </w:rPr>
              <w:t>(Headquarters and Commission’s Representation Offices)</w:t>
            </w:r>
          </w:p>
        </w:tc>
        <w:tc>
          <w:tcPr>
            <w:tcW w:w="731" w:type="dxa"/>
            <w:shd w:val="clear" w:color="auto" w:fill="auto"/>
            <w:vAlign w:val="center"/>
          </w:tcPr>
          <w:p w14:paraId="5D40CD1A" w14:textId="77777777" w:rsidR="001C0111" w:rsidRPr="001C0111" w:rsidRDefault="001C0111" w:rsidP="001C0111">
            <w:pPr>
              <w:spacing w:beforeLines="20" w:before="48" w:afterLines="20" w:after="48"/>
              <w:jc w:val="center"/>
              <w:rPr>
                <w:noProof/>
                <w:sz w:val="16"/>
                <w:szCs w:val="16"/>
                <w:lang w:val="en-IE" w:eastAsia="en-GB"/>
              </w:rPr>
            </w:pPr>
            <w:r w:rsidRPr="001C0111">
              <w:rPr>
                <w:noProof/>
                <w:sz w:val="16"/>
                <w:szCs w:val="16"/>
                <w:lang w:val="en-IE" w:eastAsia="en-GB"/>
              </w:rPr>
              <w:t>2</w:t>
            </w:r>
          </w:p>
        </w:tc>
        <w:tc>
          <w:tcPr>
            <w:tcW w:w="731" w:type="dxa"/>
            <w:shd w:val="clear" w:color="auto" w:fill="auto"/>
            <w:vAlign w:val="center"/>
          </w:tcPr>
          <w:p w14:paraId="1A0952A9" w14:textId="77777777" w:rsidR="001C0111" w:rsidRPr="001C0111" w:rsidRDefault="001C0111" w:rsidP="001C0111">
            <w:pPr>
              <w:spacing w:beforeLines="20" w:before="48" w:afterLines="20" w:after="48"/>
              <w:jc w:val="center"/>
              <w:rPr>
                <w:noProof/>
                <w:sz w:val="16"/>
                <w:szCs w:val="16"/>
                <w:lang w:val="en-IE" w:eastAsia="en-GB"/>
              </w:rPr>
            </w:pPr>
            <w:r w:rsidRPr="001C0111">
              <w:rPr>
                <w:noProof/>
                <w:sz w:val="16"/>
                <w:szCs w:val="16"/>
                <w:lang w:val="en-IE" w:eastAsia="en-GB"/>
              </w:rPr>
              <w:t>2</w:t>
            </w:r>
          </w:p>
        </w:tc>
        <w:tc>
          <w:tcPr>
            <w:tcW w:w="731" w:type="dxa"/>
            <w:shd w:val="clear" w:color="auto" w:fill="auto"/>
            <w:vAlign w:val="center"/>
          </w:tcPr>
          <w:p w14:paraId="72B4ECAA" w14:textId="77777777" w:rsidR="001C0111" w:rsidRPr="001C0111" w:rsidRDefault="001C0111" w:rsidP="001C0111">
            <w:pPr>
              <w:spacing w:beforeLines="20" w:before="48" w:afterLines="20" w:after="48"/>
              <w:jc w:val="center"/>
              <w:rPr>
                <w:noProof/>
                <w:sz w:val="16"/>
                <w:szCs w:val="16"/>
                <w:lang w:val="en-IE" w:eastAsia="en-GB"/>
              </w:rPr>
            </w:pPr>
            <w:r w:rsidRPr="001C0111">
              <w:rPr>
                <w:noProof/>
                <w:sz w:val="16"/>
                <w:szCs w:val="16"/>
                <w:lang w:val="en-IE" w:eastAsia="en-GB"/>
              </w:rPr>
              <w:t>2</w:t>
            </w:r>
          </w:p>
        </w:tc>
        <w:tc>
          <w:tcPr>
            <w:tcW w:w="731" w:type="dxa"/>
            <w:shd w:val="clear" w:color="auto" w:fill="auto"/>
            <w:vAlign w:val="center"/>
          </w:tcPr>
          <w:p w14:paraId="21E83CB5" w14:textId="77777777" w:rsidR="001C0111" w:rsidRPr="001C0111" w:rsidRDefault="001C0111" w:rsidP="001C0111">
            <w:pPr>
              <w:spacing w:beforeLines="20" w:before="48" w:afterLines="20" w:after="48"/>
              <w:jc w:val="center"/>
              <w:rPr>
                <w:noProof/>
                <w:sz w:val="16"/>
                <w:szCs w:val="16"/>
                <w:lang w:val="en-IE" w:eastAsia="en-GB"/>
              </w:rPr>
            </w:pPr>
            <w:r w:rsidRPr="001C0111">
              <w:rPr>
                <w:noProof/>
                <w:sz w:val="16"/>
                <w:szCs w:val="16"/>
                <w:lang w:val="en-IE" w:eastAsia="en-GB"/>
              </w:rPr>
              <w:t>2</w:t>
            </w:r>
          </w:p>
        </w:tc>
        <w:tc>
          <w:tcPr>
            <w:tcW w:w="731" w:type="dxa"/>
            <w:shd w:val="clear" w:color="auto" w:fill="auto"/>
            <w:vAlign w:val="center"/>
          </w:tcPr>
          <w:p w14:paraId="656DA479" w14:textId="77777777" w:rsidR="001C0111" w:rsidRPr="001C0111" w:rsidRDefault="001C0111" w:rsidP="001C0111">
            <w:pPr>
              <w:spacing w:beforeLines="20" w:before="48" w:afterLines="20" w:after="48"/>
              <w:jc w:val="center"/>
              <w:rPr>
                <w:noProof/>
                <w:sz w:val="16"/>
                <w:szCs w:val="16"/>
                <w:lang w:val="en-IE" w:eastAsia="en-GB"/>
              </w:rPr>
            </w:pPr>
            <w:r w:rsidRPr="001C0111">
              <w:rPr>
                <w:noProof/>
                <w:sz w:val="16"/>
                <w:szCs w:val="16"/>
                <w:lang w:val="en-IE" w:eastAsia="en-GB"/>
              </w:rPr>
              <w:t>2</w:t>
            </w:r>
          </w:p>
        </w:tc>
      </w:tr>
      <w:tr w:rsidR="001C0111" w:rsidRPr="001C0111" w14:paraId="54C3B4A0" w14:textId="77777777" w:rsidTr="00EE4772">
        <w:trPr>
          <w:trHeight w:val="289"/>
          <w:jc w:val="center"/>
        </w:trPr>
        <w:tc>
          <w:tcPr>
            <w:tcW w:w="4754" w:type="dxa"/>
            <w:gridSpan w:val="2"/>
            <w:shd w:val="clear" w:color="auto" w:fill="auto"/>
            <w:vAlign w:val="center"/>
          </w:tcPr>
          <w:p w14:paraId="02BB158C" w14:textId="77777777" w:rsidR="001C0111" w:rsidRPr="001C0111" w:rsidRDefault="001C0111" w:rsidP="001C0111">
            <w:pPr>
              <w:spacing w:beforeLines="20" w:before="48" w:afterLines="20" w:after="48"/>
              <w:ind w:left="134"/>
              <w:jc w:val="left"/>
              <w:rPr>
                <w:noProof/>
                <w:sz w:val="16"/>
                <w:lang w:val="en-IE" w:eastAsia="en-GB"/>
              </w:rPr>
            </w:pPr>
            <w:r w:rsidRPr="001C0111">
              <w:rPr>
                <w:noProof/>
                <w:sz w:val="16"/>
                <w:lang w:val="en-IE" w:eastAsia="en-GB"/>
              </w:rPr>
              <w:t>20 01 02 03 (Delegations)</w:t>
            </w:r>
          </w:p>
        </w:tc>
        <w:tc>
          <w:tcPr>
            <w:tcW w:w="731" w:type="dxa"/>
            <w:shd w:val="clear" w:color="auto" w:fill="auto"/>
            <w:vAlign w:val="center"/>
          </w:tcPr>
          <w:p w14:paraId="5E365DF2"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66BEEEB2"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45D81514"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0DAD881F"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554BB74C" w14:textId="77777777" w:rsidR="001C0111" w:rsidRPr="001C0111" w:rsidRDefault="001C0111" w:rsidP="001C0111">
            <w:pPr>
              <w:spacing w:beforeLines="20" w:before="48" w:afterLines="20" w:after="48"/>
              <w:jc w:val="center"/>
              <w:rPr>
                <w:noProof/>
                <w:sz w:val="16"/>
                <w:szCs w:val="16"/>
                <w:lang w:val="en-IE" w:eastAsia="en-GB"/>
              </w:rPr>
            </w:pPr>
          </w:p>
        </w:tc>
      </w:tr>
      <w:tr w:rsidR="001C0111" w:rsidRPr="001C0111" w14:paraId="718C077F" w14:textId="77777777" w:rsidTr="00EE4772">
        <w:trPr>
          <w:trHeight w:val="289"/>
          <w:jc w:val="center"/>
        </w:trPr>
        <w:tc>
          <w:tcPr>
            <w:tcW w:w="4754" w:type="dxa"/>
            <w:gridSpan w:val="2"/>
            <w:shd w:val="clear" w:color="auto" w:fill="auto"/>
            <w:vAlign w:val="center"/>
          </w:tcPr>
          <w:p w14:paraId="72F54C0B" w14:textId="77777777" w:rsidR="001C0111" w:rsidRPr="001C0111" w:rsidRDefault="001C0111" w:rsidP="001C0111">
            <w:pPr>
              <w:spacing w:beforeLines="20" w:before="48" w:afterLines="20" w:after="48"/>
              <w:ind w:left="134"/>
              <w:jc w:val="left"/>
              <w:rPr>
                <w:noProof/>
                <w:sz w:val="16"/>
                <w:szCs w:val="16"/>
                <w:lang w:val="en-IE" w:eastAsia="en-GB"/>
              </w:rPr>
            </w:pPr>
            <w:r w:rsidRPr="001C0111">
              <w:rPr>
                <w:noProof/>
                <w:sz w:val="16"/>
                <w:lang w:val="en-IE" w:eastAsia="en-GB"/>
              </w:rPr>
              <w:t>01 01 01 01</w:t>
            </w:r>
            <w:r w:rsidRPr="001C0111">
              <w:rPr>
                <w:rFonts w:ascii="Arial Narrow" w:hAnsi="Arial Narrow"/>
                <w:noProof/>
                <w:color w:val="000000"/>
                <w:sz w:val="20"/>
                <w:szCs w:val="20"/>
                <w:lang w:val="en-IE" w:eastAsia="en-GB"/>
              </w:rPr>
              <w:t xml:space="preserve"> </w:t>
            </w:r>
            <w:r w:rsidRPr="001C0111">
              <w:rPr>
                <w:noProof/>
                <w:sz w:val="16"/>
                <w:lang w:val="en-IE" w:eastAsia="en-GB"/>
              </w:rPr>
              <w:t xml:space="preserve"> (Indirect research)</w:t>
            </w:r>
          </w:p>
        </w:tc>
        <w:tc>
          <w:tcPr>
            <w:tcW w:w="731" w:type="dxa"/>
            <w:shd w:val="clear" w:color="auto" w:fill="auto"/>
            <w:vAlign w:val="center"/>
          </w:tcPr>
          <w:p w14:paraId="47732DBE"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28AEB3A8"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512F0182"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1359AB06"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7202D400" w14:textId="77777777" w:rsidR="001C0111" w:rsidRPr="001C0111" w:rsidRDefault="001C0111" w:rsidP="001C0111">
            <w:pPr>
              <w:spacing w:beforeLines="20" w:before="48" w:afterLines="20" w:after="48"/>
              <w:jc w:val="center"/>
              <w:rPr>
                <w:noProof/>
                <w:sz w:val="16"/>
                <w:szCs w:val="16"/>
                <w:lang w:val="en-IE" w:eastAsia="en-GB"/>
              </w:rPr>
            </w:pPr>
          </w:p>
        </w:tc>
      </w:tr>
      <w:tr w:rsidR="001C0111" w:rsidRPr="001C0111" w14:paraId="7E7DEDC0" w14:textId="77777777" w:rsidTr="00EE4772">
        <w:trPr>
          <w:trHeight w:val="289"/>
          <w:jc w:val="center"/>
        </w:trPr>
        <w:tc>
          <w:tcPr>
            <w:tcW w:w="4754" w:type="dxa"/>
            <w:gridSpan w:val="2"/>
            <w:shd w:val="clear" w:color="auto" w:fill="auto"/>
            <w:vAlign w:val="center"/>
          </w:tcPr>
          <w:p w14:paraId="24088AF3" w14:textId="77777777" w:rsidR="001C0111" w:rsidRPr="001C0111" w:rsidRDefault="001C0111" w:rsidP="001C0111">
            <w:pPr>
              <w:spacing w:beforeLines="20" w:before="48" w:afterLines="20" w:after="48"/>
              <w:ind w:left="134"/>
              <w:jc w:val="left"/>
              <w:rPr>
                <w:noProof/>
                <w:sz w:val="16"/>
                <w:szCs w:val="16"/>
                <w:lang w:val="en-IE" w:eastAsia="en-GB"/>
              </w:rPr>
            </w:pPr>
            <w:r w:rsidRPr="001C0111">
              <w:rPr>
                <w:noProof/>
                <w:sz w:val="16"/>
                <w:lang w:val="en-IE" w:eastAsia="en-GB"/>
              </w:rPr>
              <w:t xml:space="preserve"> 01 01 01 11 (Direct research)</w:t>
            </w:r>
          </w:p>
        </w:tc>
        <w:tc>
          <w:tcPr>
            <w:tcW w:w="731" w:type="dxa"/>
            <w:shd w:val="clear" w:color="auto" w:fill="auto"/>
            <w:vAlign w:val="center"/>
          </w:tcPr>
          <w:p w14:paraId="76C750D5"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5775034C"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3F0C67A1"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59F07057"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7812A62C" w14:textId="77777777" w:rsidR="001C0111" w:rsidRPr="001C0111" w:rsidRDefault="001C0111" w:rsidP="001C0111">
            <w:pPr>
              <w:spacing w:beforeLines="20" w:before="48" w:afterLines="20" w:after="48"/>
              <w:jc w:val="center"/>
              <w:rPr>
                <w:noProof/>
                <w:sz w:val="16"/>
                <w:szCs w:val="16"/>
                <w:lang w:val="en-IE" w:eastAsia="en-GB"/>
              </w:rPr>
            </w:pPr>
          </w:p>
        </w:tc>
      </w:tr>
      <w:tr w:rsidR="001C0111" w:rsidRPr="001C0111" w14:paraId="302BA53F" w14:textId="77777777" w:rsidTr="00EE4772">
        <w:trPr>
          <w:trHeight w:val="289"/>
          <w:jc w:val="center"/>
        </w:trPr>
        <w:tc>
          <w:tcPr>
            <w:tcW w:w="4754" w:type="dxa"/>
            <w:gridSpan w:val="2"/>
            <w:shd w:val="clear" w:color="auto" w:fill="auto"/>
            <w:vAlign w:val="center"/>
          </w:tcPr>
          <w:p w14:paraId="4016E40C" w14:textId="77777777" w:rsidR="001C0111" w:rsidRPr="001C0111" w:rsidRDefault="001C0111" w:rsidP="001C0111">
            <w:pPr>
              <w:spacing w:beforeLines="20" w:before="48" w:afterLines="20" w:after="48"/>
              <w:ind w:left="134"/>
              <w:jc w:val="left"/>
              <w:rPr>
                <w:noProof/>
                <w:sz w:val="16"/>
                <w:lang w:val="en-IE" w:eastAsia="en-GB"/>
              </w:rPr>
            </w:pPr>
            <w:r w:rsidRPr="001C0111">
              <w:rPr>
                <w:noProof/>
                <w:sz w:val="16"/>
                <w:lang w:val="en-IE" w:eastAsia="en-GB"/>
              </w:rPr>
              <w:t>Other budget lines (specify)</w:t>
            </w:r>
          </w:p>
        </w:tc>
        <w:tc>
          <w:tcPr>
            <w:tcW w:w="731" w:type="dxa"/>
            <w:shd w:val="clear" w:color="auto" w:fill="auto"/>
            <w:vAlign w:val="center"/>
          </w:tcPr>
          <w:p w14:paraId="49377F98"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7126BEE3"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7675EE0B"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253A0546"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3DE909D9" w14:textId="77777777" w:rsidR="001C0111" w:rsidRPr="001C0111" w:rsidRDefault="001C0111" w:rsidP="001C0111">
            <w:pPr>
              <w:spacing w:beforeLines="20" w:before="48" w:afterLines="20" w:after="48"/>
              <w:jc w:val="center"/>
              <w:rPr>
                <w:noProof/>
                <w:sz w:val="16"/>
                <w:szCs w:val="16"/>
                <w:lang w:val="en-IE" w:eastAsia="en-GB"/>
              </w:rPr>
            </w:pPr>
          </w:p>
        </w:tc>
      </w:tr>
      <w:tr w:rsidR="001C0111" w:rsidRPr="001C0111" w14:paraId="4F52BDC5" w14:textId="77777777" w:rsidTr="00EE4772">
        <w:trPr>
          <w:trHeight w:val="289"/>
          <w:jc w:val="center"/>
        </w:trPr>
        <w:tc>
          <w:tcPr>
            <w:tcW w:w="4754" w:type="dxa"/>
            <w:gridSpan w:val="2"/>
            <w:shd w:val="clear" w:color="auto" w:fill="auto"/>
            <w:vAlign w:val="center"/>
          </w:tcPr>
          <w:p w14:paraId="156F2C71" w14:textId="77777777" w:rsidR="001C0111" w:rsidRPr="001C0111" w:rsidRDefault="001C0111" w:rsidP="001C0111">
            <w:pPr>
              <w:spacing w:beforeLines="20" w:before="48" w:afterLines="20" w:after="48"/>
              <w:ind w:left="136"/>
              <w:jc w:val="left"/>
              <w:rPr>
                <w:b/>
                <w:noProof/>
                <w:sz w:val="16"/>
                <w:szCs w:val="16"/>
                <w:lang w:val="en-IE" w:eastAsia="en-GB"/>
              </w:rPr>
            </w:pPr>
            <w:r w:rsidRPr="001C0111">
              <w:rPr>
                <w:noProof/>
                <w:sz w:val="16"/>
                <w:lang w:val="en-IE" w:eastAsia="en-GB"/>
              </w:rPr>
              <w:t>20 02 01</w:t>
            </w:r>
            <w:r w:rsidRPr="001C0111">
              <w:rPr>
                <w:rFonts w:ascii="Arial Narrow" w:hAnsi="Arial Narrow"/>
                <w:noProof/>
                <w:color w:val="000000"/>
                <w:sz w:val="20"/>
                <w:szCs w:val="20"/>
                <w:lang w:val="en-IE" w:eastAsia="en-GB"/>
              </w:rPr>
              <w:t xml:space="preserve"> </w:t>
            </w:r>
            <w:r w:rsidRPr="001C0111">
              <w:rPr>
                <w:noProof/>
                <w:sz w:val="16"/>
                <w:lang w:val="en-IE" w:eastAsia="en-GB"/>
              </w:rPr>
              <w:t>(AC, END, INT from the ‘global envelope’)</w:t>
            </w:r>
          </w:p>
        </w:tc>
        <w:tc>
          <w:tcPr>
            <w:tcW w:w="731" w:type="dxa"/>
            <w:shd w:val="clear" w:color="auto" w:fill="auto"/>
            <w:vAlign w:val="center"/>
          </w:tcPr>
          <w:p w14:paraId="6508BA9F"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1AEC6238"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7980CCDE"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5D404846"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0621875D" w14:textId="77777777" w:rsidR="001C0111" w:rsidRPr="001C0111" w:rsidRDefault="001C0111" w:rsidP="001C0111">
            <w:pPr>
              <w:spacing w:beforeLines="20" w:before="48" w:afterLines="20" w:after="48"/>
              <w:jc w:val="center"/>
              <w:rPr>
                <w:noProof/>
                <w:sz w:val="16"/>
                <w:szCs w:val="16"/>
                <w:lang w:val="en-IE" w:eastAsia="en-GB"/>
              </w:rPr>
            </w:pPr>
          </w:p>
        </w:tc>
      </w:tr>
      <w:tr w:rsidR="001C0111" w:rsidRPr="001C0111" w14:paraId="4A38CCC4" w14:textId="77777777" w:rsidTr="00EE4772">
        <w:trPr>
          <w:trHeight w:val="289"/>
          <w:jc w:val="center"/>
        </w:trPr>
        <w:tc>
          <w:tcPr>
            <w:tcW w:w="4754" w:type="dxa"/>
            <w:gridSpan w:val="2"/>
            <w:shd w:val="clear" w:color="auto" w:fill="auto"/>
            <w:vAlign w:val="center"/>
          </w:tcPr>
          <w:p w14:paraId="3447173E" w14:textId="77777777" w:rsidR="001C0111" w:rsidRPr="001C0111" w:rsidRDefault="001C0111" w:rsidP="001C0111">
            <w:pPr>
              <w:spacing w:beforeLines="20" w:before="48" w:afterLines="20" w:after="48"/>
              <w:ind w:left="136"/>
              <w:jc w:val="left"/>
              <w:rPr>
                <w:noProof/>
                <w:sz w:val="16"/>
                <w:lang w:val="en-IE" w:eastAsia="en-GB"/>
              </w:rPr>
            </w:pPr>
            <w:r w:rsidRPr="001C0111">
              <w:rPr>
                <w:noProof/>
                <w:sz w:val="16"/>
                <w:lang w:val="en-IE" w:eastAsia="en-GB"/>
              </w:rPr>
              <w:t>20 02 03 (AC, AL, END, INT and JPD in the delegations)</w:t>
            </w:r>
          </w:p>
        </w:tc>
        <w:tc>
          <w:tcPr>
            <w:tcW w:w="731" w:type="dxa"/>
            <w:shd w:val="clear" w:color="auto" w:fill="auto"/>
            <w:vAlign w:val="center"/>
          </w:tcPr>
          <w:p w14:paraId="265375D9"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6ADCD4E1"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34DFADC8"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041A96D2"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0B189C82" w14:textId="77777777" w:rsidR="001C0111" w:rsidRPr="001C0111" w:rsidRDefault="001C0111" w:rsidP="001C0111">
            <w:pPr>
              <w:spacing w:beforeLines="20" w:before="48" w:afterLines="20" w:after="48"/>
              <w:jc w:val="center"/>
              <w:rPr>
                <w:noProof/>
                <w:sz w:val="16"/>
                <w:szCs w:val="16"/>
                <w:lang w:val="en-IE" w:eastAsia="en-GB"/>
              </w:rPr>
            </w:pPr>
          </w:p>
        </w:tc>
      </w:tr>
      <w:tr w:rsidR="001C0111" w:rsidRPr="001C0111" w14:paraId="48008317" w14:textId="77777777" w:rsidTr="00EE4772">
        <w:trPr>
          <w:trHeight w:val="289"/>
          <w:jc w:val="center"/>
        </w:trPr>
        <w:tc>
          <w:tcPr>
            <w:tcW w:w="2376" w:type="dxa"/>
            <w:vMerge w:val="restart"/>
            <w:shd w:val="clear" w:color="auto" w:fill="auto"/>
            <w:vAlign w:val="center"/>
          </w:tcPr>
          <w:p w14:paraId="0014551F" w14:textId="77777777" w:rsidR="001C0111" w:rsidRPr="001C0111" w:rsidRDefault="001C0111" w:rsidP="001C0111">
            <w:pPr>
              <w:spacing w:beforeLines="20" w:before="48" w:afterLines="20" w:after="48"/>
              <w:ind w:left="136"/>
              <w:jc w:val="left"/>
              <w:rPr>
                <w:b/>
                <w:noProof/>
                <w:sz w:val="16"/>
                <w:szCs w:val="16"/>
                <w:lang w:val="en-IE" w:eastAsia="en-GB"/>
              </w:rPr>
            </w:pPr>
            <w:r w:rsidRPr="001C0111">
              <w:rPr>
                <w:b/>
                <w:noProof/>
                <w:sz w:val="16"/>
                <w:szCs w:val="16"/>
                <w:lang w:val="en-IE" w:eastAsia="en-GB"/>
              </w:rPr>
              <w:t>XX</w:t>
            </w:r>
            <w:r w:rsidRPr="001C0111">
              <w:rPr>
                <w:noProof/>
                <w:sz w:val="16"/>
                <w:szCs w:val="16"/>
                <w:lang w:val="en-IE" w:eastAsia="en-GB"/>
              </w:rPr>
              <w:t xml:space="preserve"> 01  xx </w:t>
            </w:r>
            <w:r w:rsidRPr="001C0111">
              <w:rPr>
                <w:b/>
                <w:noProof/>
                <w:sz w:val="16"/>
                <w:szCs w:val="16"/>
                <w:lang w:val="en-IE" w:eastAsia="en-GB"/>
              </w:rPr>
              <w:t xml:space="preserve">yy zz </w:t>
            </w:r>
            <w:r w:rsidRPr="001C0111">
              <w:rPr>
                <w:b/>
                <w:i/>
                <w:noProof/>
                <w:sz w:val="16"/>
                <w:lang w:val="en-IE" w:eastAsia="en-GB"/>
              </w:rPr>
              <w:t xml:space="preserve"> </w:t>
            </w:r>
            <w:r w:rsidRPr="006C662D">
              <w:rPr>
                <w:rStyle w:val="FootnoteReference"/>
                <w:noProof/>
              </w:rPr>
              <w:footnoteReference w:id="75"/>
            </w:r>
          </w:p>
          <w:p w14:paraId="2712388A" w14:textId="77777777" w:rsidR="001C0111" w:rsidRPr="001C0111" w:rsidRDefault="001C0111" w:rsidP="001C0111">
            <w:pPr>
              <w:spacing w:beforeLines="20" w:before="48" w:afterLines="20" w:after="48"/>
              <w:ind w:left="136"/>
              <w:jc w:val="left"/>
              <w:rPr>
                <w:b/>
                <w:noProof/>
                <w:sz w:val="16"/>
                <w:szCs w:val="16"/>
                <w:lang w:val="en-IE" w:eastAsia="en-GB"/>
              </w:rPr>
            </w:pPr>
          </w:p>
        </w:tc>
        <w:tc>
          <w:tcPr>
            <w:tcW w:w="2378" w:type="dxa"/>
            <w:shd w:val="clear" w:color="auto" w:fill="auto"/>
            <w:vAlign w:val="center"/>
          </w:tcPr>
          <w:p w14:paraId="010FDB68" w14:textId="77777777" w:rsidR="001C0111" w:rsidRPr="001C0111" w:rsidRDefault="001C0111" w:rsidP="001C0111">
            <w:pPr>
              <w:spacing w:beforeLines="20" w:before="48" w:afterLines="20" w:after="48"/>
              <w:ind w:left="136"/>
              <w:jc w:val="left"/>
              <w:rPr>
                <w:b/>
                <w:noProof/>
                <w:sz w:val="16"/>
                <w:szCs w:val="16"/>
                <w:lang w:val="en-IE" w:eastAsia="en-GB"/>
              </w:rPr>
            </w:pPr>
            <w:r w:rsidRPr="001C0111">
              <w:rPr>
                <w:noProof/>
                <w:sz w:val="16"/>
                <w:lang w:val="en-IE" w:eastAsia="en-GB"/>
              </w:rPr>
              <w:t>- at Headquarters</w:t>
            </w:r>
          </w:p>
          <w:p w14:paraId="5860DAA7" w14:textId="77777777" w:rsidR="001C0111" w:rsidRPr="001C0111" w:rsidRDefault="001C0111" w:rsidP="001C0111">
            <w:pPr>
              <w:spacing w:beforeLines="20" w:before="48" w:afterLines="20" w:after="48"/>
              <w:ind w:left="136"/>
              <w:jc w:val="left"/>
              <w:rPr>
                <w:b/>
                <w:noProof/>
                <w:sz w:val="16"/>
                <w:szCs w:val="16"/>
                <w:lang w:val="en-IE" w:eastAsia="en-GB"/>
              </w:rPr>
            </w:pPr>
          </w:p>
        </w:tc>
        <w:tc>
          <w:tcPr>
            <w:tcW w:w="731" w:type="dxa"/>
            <w:shd w:val="clear" w:color="auto" w:fill="auto"/>
            <w:vAlign w:val="center"/>
          </w:tcPr>
          <w:p w14:paraId="16B12984" w14:textId="77777777" w:rsidR="001C0111" w:rsidRPr="001C0111" w:rsidRDefault="001C0111" w:rsidP="001C0111">
            <w:pPr>
              <w:spacing w:beforeLines="20" w:before="48" w:afterLines="20" w:after="48"/>
              <w:rPr>
                <w:noProof/>
                <w:sz w:val="16"/>
                <w:szCs w:val="16"/>
                <w:lang w:val="en-IE" w:eastAsia="en-GB"/>
              </w:rPr>
            </w:pPr>
          </w:p>
        </w:tc>
        <w:tc>
          <w:tcPr>
            <w:tcW w:w="731" w:type="dxa"/>
            <w:shd w:val="clear" w:color="auto" w:fill="auto"/>
            <w:vAlign w:val="center"/>
          </w:tcPr>
          <w:p w14:paraId="25925AA9"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7AACD796"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53D79FA9"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1214EE24" w14:textId="77777777" w:rsidR="001C0111" w:rsidRPr="001C0111" w:rsidRDefault="001C0111" w:rsidP="001C0111">
            <w:pPr>
              <w:spacing w:beforeLines="20" w:before="48" w:afterLines="20" w:after="48"/>
              <w:jc w:val="center"/>
              <w:rPr>
                <w:noProof/>
                <w:sz w:val="16"/>
                <w:szCs w:val="16"/>
                <w:lang w:val="en-IE" w:eastAsia="en-GB"/>
              </w:rPr>
            </w:pPr>
          </w:p>
        </w:tc>
      </w:tr>
      <w:tr w:rsidR="001C0111" w:rsidRPr="001C0111" w14:paraId="5920D3AF" w14:textId="77777777" w:rsidTr="00EE4772">
        <w:trPr>
          <w:trHeight w:val="289"/>
          <w:jc w:val="center"/>
        </w:trPr>
        <w:tc>
          <w:tcPr>
            <w:tcW w:w="2376" w:type="dxa"/>
            <w:vMerge/>
            <w:shd w:val="clear" w:color="auto" w:fill="auto"/>
            <w:vAlign w:val="center"/>
          </w:tcPr>
          <w:p w14:paraId="56B1E30B" w14:textId="77777777" w:rsidR="001C0111" w:rsidRPr="001C0111" w:rsidRDefault="001C0111" w:rsidP="001C0111">
            <w:pPr>
              <w:spacing w:beforeLines="20" w:before="48" w:afterLines="20" w:after="48"/>
              <w:ind w:left="136"/>
              <w:jc w:val="left"/>
              <w:rPr>
                <w:b/>
                <w:noProof/>
                <w:sz w:val="16"/>
                <w:szCs w:val="16"/>
                <w:lang w:val="en-IE" w:eastAsia="en-GB"/>
              </w:rPr>
            </w:pPr>
          </w:p>
        </w:tc>
        <w:tc>
          <w:tcPr>
            <w:tcW w:w="2378" w:type="dxa"/>
            <w:shd w:val="clear" w:color="auto" w:fill="auto"/>
            <w:vAlign w:val="center"/>
          </w:tcPr>
          <w:p w14:paraId="01600719" w14:textId="77777777" w:rsidR="001C0111" w:rsidRPr="001C0111" w:rsidRDefault="001C0111" w:rsidP="001C0111">
            <w:pPr>
              <w:spacing w:beforeLines="20" w:before="48" w:afterLines="20" w:after="48"/>
              <w:ind w:left="136"/>
              <w:jc w:val="left"/>
              <w:rPr>
                <w:b/>
                <w:noProof/>
                <w:sz w:val="16"/>
                <w:szCs w:val="16"/>
                <w:lang w:val="en-IE" w:eastAsia="en-GB"/>
              </w:rPr>
            </w:pPr>
            <w:r w:rsidRPr="001C0111">
              <w:rPr>
                <w:noProof/>
                <w:sz w:val="16"/>
                <w:lang w:val="en-IE" w:eastAsia="en-GB"/>
              </w:rPr>
              <w:t xml:space="preserve">- in Delegations </w:t>
            </w:r>
          </w:p>
        </w:tc>
        <w:tc>
          <w:tcPr>
            <w:tcW w:w="731" w:type="dxa"/>
            <w:shd w:val="clear" w:color="auto" w:fill="auto"/>
            <w:vAlign w:val="center"/>
          </w:tcPr>
          <w:p w14:paraId="5BFD0559" w14:textId="77777777" w:rsidR="001C0111" w:rsidRPr="001C0111" w:rsidRDefault="001C0111" w:rsidP="001C0111">
            <w:pPr>
              <w:spacing w:beforeLines="20" w:before="48" w:afterLines="20" w:after="48"/>
              <w:rPr>
                <w:noProof/>
                <w:sz w:val="16"/>
                <w:szCs w:val="16"/>
                <w:lang w:val="en-IE" w:eastAsia="en-GB"/>
              </w:rPr>
            </w:pPr>
          </w:p>
        </w:tc>
        <w:tc>
          <w:tcPr>
            <w:tcW w:w="731" w:type="dxa"/>
            <w:shd w:val="clear" w:color="auto" w:fill="auto"/>
            <w:vAlign w:val="center"/>
          </w:tcPr>
          <w:p w14:paraId="14C31B2D"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1BF6453F"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51CB48B1"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7EB0A116" w14:textId="77777777" w:rsidR="001C0111" w:rsidRPr="001C0111" w:rsidRDefault="001C0111" w:rsidP="001C0111">
            <w:pPr>
              <w:spacing w:beforeLines="20" w:before="48" w:afterLines="20" w:after="48"/>
              <w:jc w:val="center"/>
              <w:rPr>
                <w:noProof/>
                <w:sz w:val="16"/>
                <w:szCs w:val="16"/>
                <w:lang w:val="en-IE" w:eastAsia="en-GB"/>
              </w:rPr>
            </w:pPr>
          </w:p>
        </w:tc>
      </w:tr>
      <w:tr w:rsidR="001C0111" w:rsidRPr="001C0111" w14:paraId="6A5E6DE5" w14:textId="77777777" w:rsidTr="00EE4772">
        <w:trPr>
          <w:trHeight w:val="289"/>
          <w:jc w:val="center"/>
        </w:trPr>
        <w:tc>
          <w:tcPr>
            <w:tcW w:w="4754" w:type="dxa"/>
            <w:gridSpan w:val="2"/>
            <w:shd w:val="clear" w:color="auto" w:fill="auto"/>
            <w:vAlign w:val="center"/>
          </w:tcPr>
          <w:p w14:paraId="5B65C2CE" w14:textId="77777777" w:rsidR="001C0111" w:rsidRPr="001C0111" w:rsidRDefault="001C0111" w:rsidP="001C0111">
            <w:pPr>
              <w:spacing w:beforeLines="20" w:before="48" w:afterLines="20" w:after="48"/>
              <w:ind w:left="136"/>
              <w:jc w:val="left"/>
              <w:rPr>
                <w:noProof/>
                <w:sz w:val="16"/>
                <w:szCs w:val="16"/>
                <w:lang w:val="en-IE" w:eastAsia="en-GB"/>
              </w:rPr>
            </w:pPr>
            <w:r w:rsidRPr="001C0111">
              <w:rPr>
                <w:noProof/>
                <w:sz w:val="16"/>
                <w:lang w:val="en-IE" w:eastAsia="en-GB"/>
              </w:rPr>
              <w:t>01 01 01 02</w:t>
            </w:r>
            <w:r w:rsidRPr="001C0111">
              <w:rPr>
                <w:rFonts w:ascii="Arial Narrow" w:hAnsi="Arial Narrow"/>
                <w:noProof/>
                <w:color w:val="000000"/>
                <w:sz w:val="20"/>
                <w:szCs w:val="20"/>
                <w:lang w:val="en-IE" w:eastAsia="en-GB"/>
              </w:rPr>
              <w:t xml:space="preserve"> </w:t>
            </w:r>
            <w:r w:rsidRPr="001C0111">
              <w:rPr>
                <w:noProof/>
                <w:sz w:val="16"/>
                <w:szCs w:val="16"/>
                <w:lang w:val="en-IE" w:eastAsia="en-GB"/>
              </w:rPr>
              <w:t>(AC, END, INT - Indirect research)</w:t>
            </w:r>
          </w:p>
        </w:tc>
        <w:tc>
          <w:tcPr>
            <w:tcW w:w="731" w:type="dxa"/>
            <w:shd w:val="clear" w:color="auto" w:fill="auto"/>
            <w:vAlign w:val="center"/>
          </w:tcPr>
          <w:p w14:paraId="69EF37B1"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19387FDB"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278DC662"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05005E91"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7A38A6A8" w14:textId="77777777" w:rsidR="001C0111" w:rsidRPr="001C0111" w:rsidRDefault="001C0111" w:rsidP="001C0111">
            <w:pPr>
              <w:spacing w:beforeLines="20" w:before="48" w:afterLines="20" w:after="48"/>
              <w:jc w:val="center"/>
              <w:rPr>
                <w:noProof/>
                <w:sz w:val="16"/>
                <w:szCs w:val="16"/>
                <w:lang w:val="en-IE" w:eastAsia="en-GB"/>
              </w:rPr>
            </w:pPr>
          </w:p>
        </w:tc>
      </w:tr>
      <w:tr w:rsidR="001C0111" w:rsidRPr="001C0111" w14:paraId="3FE6512C" w14:textId="77777777" w:rsidTr="00EE4772">
        <w:trPr>
          <w:trHeight w:val="289"/>
          <w:jc w:val="center"/>
        </w:trPr>
        <w:tc>
          <w:tcPr>
            <w:tcW w:w="4754" w:type="dxa"/>
            <w:gridSpan w:val="2"/>
            <w:shd w:val="clear" w:color="auto" w:fill="auto"/>
            <w:vAlign w:val="center"/>
          </w:tcPr>
          <w:p w14:paraId="43AAD590" w14:textId="77777777" w:rsidR="001C0111" w:rsidRPr="001C0111" w:rsidRDefault="001C0111" w:rsidP="001C0111">
            <w:pPr>
              <w:spacing w:beforeLines="20" w:before="48" w:afterLines="20" w:after="48"/>
              <w:ind w:left="136"/>
              <w:jc w:val="left"/>
              <w:rPr>
                <w:noProof/>
                <w:color w:val="FF0000"/>
                <w:sz w:val="16"/>
                <w:szCs w:val="16"/>
                <w:lang w:val="en-IE" w:eastAsia="en-GB"/>
              </w:rPr>
            </w:pPr>
            <w:r w:rsidRPr="001C0111">
              <w:rPr>
                <w:noProof/>
                <w:sz w:val="16"/>
                <w:lang w:val="en-IE" w:eastAsia="en-GB"/>
              </w:rPr>
              <w:t xml:space="preserve"> 01 01 01 12 (AC, END, INT - Direct research)</w:t>
            </w:r>
          </w:p>
        </w:tc>
        <w:tc>
          <w:tcPr>
            <w:tcW w:w="731" w:type="dxa"/>
            <w:shd w:val="clear" w:color="auto" w:fill="auto"/>
            <w:vAlign w:val="center"/>
          </w:tcPr>
          <w:p w14:paraId="0BCFDA52"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3FF72992"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08029F35"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67A26D92"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5D527884" w14:textId="77777777" w:rsidR="001C0111" w:rsidRPr="001C0111" w:rsidRDefault="001C0111" w:rsidP="001C0111">
            <w:pPr>
              <w:spacing w:beforeLines="20" w:before="48" w:afterLines="20" w:after="48"/>
              <w:jc w:val="center"/>
              <w:rPr>
                <w:noProof/>
                <w:sz w:val="16"/>
                <w:szCs w:val="16"/>
                <w:lang w:val="en-IE" w:eastAsia="en-GB"/>
              </w:rPr>
            </w:pPr>
          </w:p>
        </w:tc>
      </w:tr>
      <w:tr w:rsidR="001C0111" w:rsidRPr="001C0111" w14:paraId="7F13CE84" w14:textId="77777777" w:rsidTr="00EE4772">
        <w:trPr>
          <w:trHeight w:val="289"/>
          <w:jc w:val="center"/>
        </w:trPr>
        <w:tc>
          <w:tcPr>
            <w:tcW w:w="4754" w:type="dxa"/>
            <w:gridSpan w:val="2"/>
            <w:shd w:val="clear" w:color="auto" w:fill="auto"/>
            <w:vAlign w:val="center"/>
          </w:tcPr>
          <w:p w14:paraId="01C4CA13" w14:textId="77777777" w:rsidR="001C0111" w:rsidRPr="001C0111" w:rsidRDefault="001C0111" w:rsidP="001C0111">
            <w:pPr>
              <w:spacing w:beforeLines="20" w:before="48" w:afterLines="20" w:after="48"/>
              <w:ind w:left="136"/>
              <w:jc w:val="left"/>
              <w:rPr>
                <w:noProof/>
                <w:sz w:val="16"/>
                <w:lang w:val="en-IE" w:eastAsia="en-GB"/>
              </w:rPr>
            </w:pPr>
            <w:r w:rsidRPr="001C0111">
              <w:rPr>
                <w:noProof/>
                <w:sz w:val="16"/>
                <w:lang w:val="en-IE" w:eastAsia="en-GB"/>
              </w:rPr>
              <w:t>Other budget lines (specify)</w:t>
            </w:r>
          </w:p>
        </w:tc>
        <w:tc>
          <w:tcPr>
            <w:tcW w:w="731" w:type="dxa"/>
            <w:shd w:val="clear" w:color="auto" w:fill="auto"/>
            <w:vAlign w:val="center"/>
          </w:tcPr>
          <w:p w14:paraId="7588DA25"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1E25B3D5"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2770BCA2"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2B016CEB" w14:textId="77777777" w:rsidR="001C0111" w:rsidRPr="001C0111" w:rsidRDefault="001C0111" w:rsidP="001C0111">
            <w:pPr>
              <w:spacing w:beforeLines="20" w:before="48" w:afterLines="20" w:after="48"/>
              <w:jc w:val="center"/>
              <w:rPr>
                <w:noProof/>
                <w:sz w:val="16"/>
                <w:szCs w:val="16"/>
                <w:lang w:val="en-IE" w:eastAsia="en-GB"/>
              </w:rPr>
            </w:pPr>
          </w:p>
        </w:tc>
        <w:tc>
          <w:tcPr>
            <w:tcW w:w="731" w:type="dxa"/>
            <w:shd w:val="clear" w:color="auto" w:fill="auto"/>
            <w:vAlign w:val="center"/>
          </w:tcPr>
          <w:p w14:paraId="70BC3395" w14:textId="77777777" w:rsidR="001C0111" w:rsidRPr="001C0111" w:rsidRDefault="001C0111" w:rsidP="001C0111">
            <w:pPr>
              <w:spacing w:beforeLines="20" w:before="48" w:afterLines="20" w:after="48"/>
              <w:jc w:val="center"/>
              <w:rPr>
                <w:noProof/>
                <w:sz w:val="16"/>
                <w:szCs w:val="16"/>
                <w:lang w:val="en-IE" w:eastAsia="en-GB"/>
              </w:rPr>
            </w:pPr>
          </w:p>
        </w:tc>
      </w:tr>
      <w:tr w:rsidR="001C0111" w:rsidRPr="001C0111" w14:paraId="53AE276F" w14:textId="77777777" w:rsidTr="00EE4772">
        <w:trPr>
          <w:trHeight w:val="289"/>
          <w:jc w:val="center"/>
        </w:trPr>
        <w:tc>
          <w:tcPr>
            <w:tcW w:w="4754" w:type="dxa"/>
            <w:gridSpan w:val="2"/>
            <w:tcBorders>
              <w:top w:val="double" w:sz="4" w:space="0" w:color="auto"/>
            </w:tcBorders>
            <w:shd w:val="clear" w:color="auto" w:fill="auto"/>
            <w:vAlign w:val="center"/>
          </w:tcPr>
          <w:p w14:paraId="35E693AB" w14:textId="77777777" w:rsidR="001C0111" w:rsidRPr="001C0111" w:rsidRDefault="001C0111" w:rsidP="001C0111">
            <w:pPr>
              <w:spacing w:beforeLines="20" w:before="48" w:afterLines="20" w:after="48"/>
              <w:ind w:left="136"/>
              <w:jc w:val="left"/>
              <w:rPr>
                <w:noProof/>
                <w:sz w:val="16"/>
                <w:szCs w:val="16"/>
                <w:lang w:val="en-IE" w:eastAsia="en-GB"/>
              </w:rPr>
            </w:pPr>
            <w:r w:rsidRPr="001C0111">
              <w:rPr>
                <w:b/>
                <w:noProof/>
                <w:sz w:val="16"/>
                <w:lang w:val="en-IE" w:eastAsia="en-GB"/>
              </w:rPr>
              <w:t>TOTAL</w:t>
            </w:r>
          </w:p>
        </w:tc>
        <w:tc>
          <w:tcPr>
            <w:tcW w:w="731" w:type="dxa"/>
            <w:tcBorders>
              <w:top w:val="double" w:sz="4" w:space="0" w:color="auto"/>
            </w:tcBorders>
            <w:shd w:val="clear" w:color="auto" w:fill="auto"/>
            <w:vAlign w:val="center"/>
          </w:tcPr>
          <w:p w14:paraId="69BBC862" w14:textId="77777777" w:rsidR="001C0111" w:rsidRPr="001C0111" w:rsidRDefault="001C0111" w:rsidP="001C0111">
            <w:pPr>
              <w:spacing w:beforeLines="20" w:before="48" w:afterLines="20" w:after="48"/>
              <w:jc w:val="center"/>
              <w:rPr>
                <w:b/>
                <w:noProof/>
                <w:sz w:val="16"/>
                <w:szCs w:val="16"/>
                <w:lang w:val="en-IE" w:eastAsia="en-GB"/>
              </w:rPr>
            </w:pPr>
            <w:r w:rsidRPr="001C0111">
              <w:rPr>
                <w:noProof/>
                <w:sz w:val="16"/>
                <w:szCs w:val="16"/>
                <w:lang w:val="en-IE" w:eastAsia="en-GB"/>
              </w:rPr>
              <w:t>2</w:t>
            </w:r>
          </w:p>
        </w:tc>
        <w:tc>
          <w:tcPr>
            <w:tcW w:w="731" w:type="dxa"/>
            <w:tcBorders>
              <w:top w:val="double" w:sz="4" w:space="0" w:color="auto"/>
            </w:tcBorders>
            <w:shd w:val="clear" w:color="auto" w:fill="auto"/>
            <w:vAlign w:val="center"/>
          </w:tcPr>
          <w:p w14:paraId="64033975" w14:textId="77777777" w:rsidR="001C0111" w:rsidRPr="001C0111" w:rsidRDefault="001C0111" w:rsidP="001C0111">
            <w:pPr>
              <w:spacing w:beforeLines="20" w:before="48" w:afterLines="20" w:after="48"/>
              <w:jc w:val="center"/>
              <w:rPr>
                <w:b/>
                <w:noProof/>
                <w:sz w:val="16"/>
                <w:szCs w:val="16"/>
                <w:lang w:val="en-IE" w:eastAsia="en-GB"/>
              </w:rPr>
            </w:pPr>
            <w:r w:rsidRPr="001C0111">
              <w:rPr>
                <w:noProof/>
                <w:sz w:val="16"/>
                <w:szCs w:val="16"/>
                <w:lang w:val="en-IE" w:eastAsia="en-GB"/>
              </w:rPr>
              <w:t>2</w:t>
            </w:r>
          </w:p>
        </w:tc>
        <w:tc>
          <w:tcPr>
            <w:tcW w:w="731" w:type="dxa"/>
            <w:tcBorders>
              <w:top w:val="double" w:sz="4" w:space="0" w:color="auto"/>
            </w:tcBorders>
            <w:shd w:val="clear" w:color="auto" w:fill="auto"/>
            <w:vAlign w:val="center"/>
          </w:tcPr>
          <w:p w14:paraId="6AC01FE2" w14:textId="77777777" w:rsidR="001C0111" w:rsidRPr="001C0111" w:rsidRDefault="001C0111" w:rsidP="001C0111">
            <w:pPr>
              <w:spacing w:beforeLines="20" w:before="48" w:afterLines="20" w:after="48"/>
              <w:jc w:val="center"/>
              <w:rPr>
                <w:b/>
                <w:noProof/>
                <w:sz w:val="16"/>
                <w:szCs w:val="16"/>
                <w:lang w:val="en-IE" w:eastAsia="en-GB"/>
              </w:rPr>
            </w:pPr>
            <w:r w:rsidRPr="001C0111">
              <w:rPr>
                <w:noProof/>
                <w:sz w:val="16"/>
                <w:szCs w:val="16"/>
                <w:lang w:val="en-IE" w:eastAsia="en-GB"/>
              </w:rPr>
              <w:t>2</w:t>
            </w:r>
          </w:p>
        </w:tc>
        <w:tc>
          <w:tcPr>
            <w:tcW w:w="731" w:type="dxa"/>
            <w:tcBorders>
              <w:top w:val="double" w:sz="4" w:space="0" w:color="auto"/>
            </w:tcBorders>
            <w:shd w:val="clear" w:color="auto" w:fill="auto"/>
            <w:vAlign w:val="center"/>
          </w:tcPr>
          <w:p w14:paraId="67940DE5" w14:textId="77777777" w:rsidR="001C0111" w:rsidRPr="001C0111" w:rsidRDefault="001C0111" w:rsidP="001C0111">
            <w:pPr>
              <w:spacing w:beforeLines="20" w:before="48" w:afterLines="20" w:after="48"/>
              <w:jc w:val="center"/>
              <w:rPr>
                <w:b/>
                <w:noProof/>
                <w:sz w:val="16"/>
                <w:szCs w:val="16"/>
                <w:lang w:val="en-IE" w:eastAsia="en-GB"/>
              </w:rPr>
            </w:pPr>
            <w:r w:rsidRPr="001C0111">
              <w:rPr>
                <w:noProof/>
                <w:sz w:val="16"/>
                <w:szCs w:val="16"/>
                <w:lang w:val="en-IE" w:eastAsia="en-GB"/>
              </w:rPr>
              <w:t>2</w:t>
            </w:r>
          </w:p>
        </w:tc>
        <w:tc>
          <w:tcPr>
            <w:tcW w:w="731" w:type="dxa"/>
            <w:tcBorders>
              <w:top w:val="double" w:sz="4" w:space="0" w:color="auto"/>
            </w:tcBorders>
            <w:shd w:val="clear" w:color="auto" w:fill="auto"/>
            <w:vAlign w:val="center"/>
          </w:tcPr>
          <w:p w14:paraId="35E60081" w14:textId="77777777" w:rsidR="001C0111" w:rsidRPr="001C0111" w:rsidRDefault="001C0111" w:rsidP="001C0111">
            <w:pPr>
              <w:spacing w:beforeLines="20" w:before="48" w:afterLines="20" w:after="48"/>
              <w:jc w:val="center"/>
              <w:rPr>
                <w:b/>
                <w:noProof/>
                <w:sz w:val="16"/>
                <w:szCs w:val="16"/>
                <w:lang w:val="en-IE" w:eastAsia="en-GB"/>
              </w:rPr>
            </w:pPr>
            <w:r w:rsidRPr="001C0111">
              <w:rPr>
                <w:noProof/>
                <w:sz w:val="16"/>
                <w:szCs w:val="16"/>
                <w:lang w:val="en-IE" w:eastAsia="en-GB"/>
              </w:rPr>
              <w:t>2</w:t>
            </w:r>
          </w:p>
        </w:tc>
      </w:tr>
    </w:tbl>
    <w:p w14:paraId="5B2BAD9B" w14:textId="77777777" w:rsidR="001C0111" w:rsidRPr="001C0111" w:rsidRDefault="001C0111" w:rsidP="001C0111">
      <w:pPr>
        <w:spacing w:before="60" w:after="60"/>
        <w:ind w:left="851"/>
        <w:rPr>
          <w:noProof/>
          <w:sz w:val="18"/>
          <w:szCs w:val="18"/>
          <w:lang w:val="en-IE" w:eastAsia="en-GB"/>
        </w:rPr>
      </w:pPr>
      <w:r w:rsidRPr="001C0111">
        <w:rPr>
          <w:b/>
          <w:noProof/>
          <w:sz w:val="18"/>
          <w:szCs w:val="18"/>
          <w:lang w:val="en-IE" w:eastAsia="en-GB"/>
        </w:rPr>
        <w:t>XX</w:t>
      </w:r>
      <w:r w:rsidRPr="001C0111">
        <w:rPr>
          <w:noProof/>
          <w:sz w:val="18"/>
          <w:szCs w:val="18"/>
          <w:lang w:val="en-IE" w:eastAsia="en-GB"/>
        </w:rPr>
        <w:t xml:space="preserve"> is the policy area or budget title concerned.</w:t>
      </w:r>
    </w:p>
    <w:p w14:paraId="35AFFCCF" w14:textId="77777777" w:rsidR="001C0111" w:rsidRPr="001C0111" w:rsidRDefault="001C0111" w:rsidP="001C0111">
      <w:pPr>
        <w:ind w:left="850"/>
        <w:rPr>
          <w:noProof/>
          <w:sz w:val="18"/>
          <w:szCs w:val="18"/>
          <w:lang w:val="en-IE" w:eastAsia="en-GB"/>
        </w:rPr>
      </w:pPr>
      <w:r w:rsidRPr="001C0111">
        <w:rPr>
          <w:noProof/>
          <w:sz w:val="18"/>
          <w:lang w:val="en-IE"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3B826173" w14:textId="77777777" w:rsidR="001C0111" w:rsidRPr="001C0111" w:rsidRDefault="001C0111" w:rsidP="001C0111">
      <w:pPr>
        <w:rPr>
          <w:noProof/>
          <w:sz w:val="20"/>
          <w:lang w:val="en-IE" w:eastAsia="en-GB"/>
        </w:rPr>
      </w:pPr>
      <w:r w:rsidRPr="001C0111">
        <w:rPr>
          <w:noProof/>
          <w:sz w:val="20"/>
          <w:lang w:val="en-IE" w:eastAsia="en-GB"/>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1C0111" w:rsidRPr="001C0111" w14:paraId="26B3EFDF" w14:textId="77777777" w:rsidTr="00EE4772">
        <w:tc>
          <w:tcPr>
            <w:tcW w:w="3240" w:type="dxa"/>
          </w:tcPr>
          <w:p w14:paraId="13E140DD" w14:textId="77777777" w:rsidR="001C0111" w:rsidRPr="001C0111" w:rsidRDefault="001C0111" w:rsidP="001C0111">
            <w:pPr>
              <w:rPr>
                <w:noProof/>
                <w:sz w:val="20"/>
                <w:lang w:val="en-IE" w:eastAsia="en-GB"/>
              </w:rPr>
            </w:pPr>
            <w:r w:rsidRPr="001C0111">
              <w:rPr>
                <w:noProof/>
                <w:sz w:val="20"/>
                <w:lang w:val="en-IE" w:eastAsia="en-GB"/>
              </w:rPr>
              <w:t>Officials and temporary staff</w:t>
            </w:r>
          </w:p>
        </w:tc>
        <w:tc>
          <w:tcPr>
            <w:tcW w:w="7200" w:type="dxa"/>
          </w:tcPr>
          <w:p w14:paraId="438207B8" w14:textId="77777777" w:rsidR="001C0111" w:rsidRPr="001C0111" w:rsidRDefault="001C0111" w:rsidP="001C0111">
            <w:pPr>
              <w:tabs>
                <w:tab w:val="num" w:pos="1417"/>
              </w:tabs>
              <w:ind w:left="1417" w:hanging="567"/>
              <w:rPr>
                <w:noProof/>
                <w:lang w:eastAsia="en-GB"/>
              </w:rPr>
            </w:pPr>
            <w:r w:rsidRPr="001C0111">
              <w:rPr>
                <w:noProof/>
                <w:lang w:eastAsia="en-GB"/>
              </w:rPr>
              <w:t>Prepare and lead the adoption of new Commission implementing acts, establishing surface and groundwater watch lists of pollutants of emerging concern for their monitoring in view of assessing the need to set EU standards;</w:t>
            </w:r>
          </w:p>
          <w:p w14:paraId="6E6F08D7" w14:textId="77777777" w:rsidR="001C0111" w:rsidRPr="001C0111" w:rsidRDefault="001C0111" w:rsidP="001C0111">
            <w:pPr>
              <w:tabs>
                <w:tab w:val="num" w:pos="1417"/>
              </w:tabs>
              <w:ind w:left="1417" w:hanging="567"/>
              <w:rPr>
                <w:noProof/>
                <w:lang w:eastAsia="en-GB"/>
              </w:rPr>
            </w:pPr>
            <w:r w:rsidRPr="001C0111">
              <w:rPr>
                <w:noProof/>
                <w:lang w:eastAsia="en-GB"/>
              </w:rPr>
              <w:t xml:space="preserve">Prepare and lead the adoption of new Commission delegated acts, every six years, to review and update the list of pollutants and corresponding EU wide standards which need to be addressed for the purpose of protecting human health and the environment;  </w:t>
            </w:r>
          </w:p>
          <w:p w14:paraId="34B308A2" w14:textId="77777777" w:rsidR="001C0111" w:rsidRPr="001C0111" w:rsidRDefault="001C0111" w:rsidP="001C0111">
            <w:pPr>
              <w:tabs>
                <w:tab w:val="num" w:pos="1417"/>
              </w:tabs>
              <w:ind w:left="1417" w:hanging="567"/>
              <w:rPr>
                <w:noProof/>
                <w:lang w:eastAsia="en-GB"/>
              </w:rPr>
            </w:pPr>
            <w:r w:rsidRPr="001C0111">
              <w:rPr>
                <w:noProof/>
                <w:lang w:eastAsia="en-GB"/>
              </w:rPr>
              <w:t>Sustain a dialogue on water management with Member States, EEA and ECHA including in the framework of relevant expert groups and committees;</w:t>
            </w:r>
          </w:p>
          <w:p w14:paraId="535EF150" w14:textId="77777777" w:rsidR="001C0111" w:rsidRPr="001C0111" w:rsidRDefault="001C0111" w:rsidP="001C0111">
            <w:pPr>
              <w:tabs>
                <w:tab w:val="num" w:pos="1417"/>
              </w:tabs>
              <w:ind w:left="1417" w:hanging="567"/>
              <w:rPr>
                <w:noProof/>
                <w:lang w:eastAsia="en-GB"/>
              </w:rPr>
            </w:pPr>
            <w:r w:rsidRPr="001C0111">
              <w:rPr>
                <w:noProof/>
                <w:lang w:eastAsia="en-GB"/>
              </w:rPr>
              <w:t>Prepare and lead the adoption of new Commission implementing acts and delegated acts</w:t>
            </w:r>
            <w:r w:rsidRPr="001C0111">
              <w:rPr>
                <w:noProof/>
                <w:lang w:val="en-IE" w:eastAsia="en-GB"/>
              </w:rPr>
              <w:t xml:space="preserve"> linked to the implementation of the new Air Quality Directive</w:t>
            </w:r>
            <w:r w:rsidRPr="001C0111">
              <w:rPr>
                <w:noProof/>
                <w:lang w:eastAsia="en-GB"/>
              </w:rPr>
              <w:t xml:space="preserve">. </w:t>
            </w:r>
          </w:p>
          <w:p w14:paraId="7C5C6852" w14:textId="77777777" w:rsidR="001C0111" w:rsidRPr="001C0111" w:rsidRDefault="001C0111" w:rsidP="001C0111">
            <w:pPr>
              <w:tabs>
                <w:tab w:val="num" w:pos="1417"/>
              </w:tabs>
              <w:ind w:left="1417" w:hanging="567"/>
              <w:rPr>
                <w:noProof/>
                <w:lang w:eastAsia="en-GB"/>
              </w:rPr>
            </w:pPr>
            <w:r w:rsidRPr="001C0111">
              <w:rPr>
                <w:noProof/>
                <w:lang w:eastAsia="en-GB"/>
              </w:rPr>
              <w:t xml:space="preserve">Support the team in the implementation of the </w:t>
            </w:r>
            <w:r w:rsidRPr="001C0111">
              <w:rPr>
                <w:noProof/>
                <w:lang w:val="en-IE" w:eastAsia="en-GB"/>
              </w:rPr>
              <w:t>revised</w:t>
            </w:r>
            <w:r w:rsidRPr="001C0111">
              <w:rPr>
                <w:noProof/>
                <w:lang w:eastAsia="en-GB"/>
              </w:rPr>
              <w:t xml:space="preserve"> </w:t>
            </w:r>
            <w:r w:rsidRPr="001C0111">
              <w:rPr>
                <w:noProof/>
                <w:lang w:val="en-IE" w:eastAsia="en-GB"/>
              </w:rPr>
              <w:t>Air Quality Directive</w:t>
            </w:r>
            <w:r w:rsidRPr="001C0111">
              <w:rPr>
                <w:noProof/>
                <w:lang w:eastAsia="en-GB"/>
              </w:rPr>
              <w:t xml:space="preserve">, especially for new provisions </w:t>
            </w:r>
            <w:r w:rsidRPr="001C0111">
              <w:rPr>
                <w:noProof/>
                <w:lang w:val="en-IE" w:eastAsia="en-GB"/>
              </w:rPr>
              <w:t>requiring reinforced engagement with competent authorities</w:t>
            </w:r>
            <w:r w:rsidRPr="001C0111">
              <w:rPr>
                <w:noProof/>
                <w:lang w:eastAsia="en-GB"/>
              </w:rPr>
              <w:t>.</w:t>
            </w:r>
          </w:p>
          <w:p w14:paraId="001AFEF7" w14:textId="77777777" w:rsidR="001C0111" w:rsidRPr="001C0111" w:rsidRDefault="001C0111" w:rsidP="001C0111">
            <w:pPr>
              <w:tabs>
                <w:tab w:val="num" w:pos="1417"/>
              </w:tabs>
              <w:ind w:left="1417" w:hanging="567"/>
              <w:rPr>
                <w:noProof/>
                <w:lang w:eastAsia="en-GB"/>
              </w:rPr>
            </w:pPr>
            <w:r w:rsidRPr="001C0111">
              <w:rPr>
                <w:noProof/>
                <w:lang w:eastAsia="en-GB"/>
              </w:rPr>
              <w:t>Prepare and lead the development of technical guidance stemming from the revision, in the field of monitoring, modelling, and air quality plans.</w:t>
            </w:r>
          </w:p>
        </w:tc>
      </w:tr>
      <w:tr w:rsidR="001C0111" w:rsidRPr="001C0111" w14:paraId="1B49B8B7" w14:textId="77777777" w:rsidTr="00EE4772">
        <w:tc>
          <w:tcPr>
            <w:tcW w:w="3240" w:type="dxa"/>
          </w:tcPr>
          <w:p w14:paraId="600602F2" w14:textId="77777777" w:rsidR="001C0111" w:rsidRPr="001C0111" w:rsidRDefault="001C0111" w:rsidP="001C0111">
            <w:pPr>
              <w:spacing w:before="60" w:after="60"/>
              <w:rPr>
                <w:noProof/>
                <w:sz w:val="20"/>
                <w:lang w:val="en-IE" w:eastAsia="en-GB"/>
              </w:rPr>
            </w:pPr>
            <w:r w:rsidRPr="001C0111">
              <w:rPr>
                <w:noProof/>
                <w:sz w:val="20"/>
                <w:lang w:val="en-IE" w:eastAsia="en-GB"/>
              </w:rPr>
              <w:t>External staff</w:t>
            </w:r>
          </w:p>
        </w:tc>
        <w:tc>
          <w:tcPr>
            <w:tcW w:w="7200" w:type="dxa"/>
          </w:tcPr>
          <w:p w14:paraId="61ABEA55" w14:textId="77777777" w:rsidR="001C0111" w:rsidRPr="001C0111" w:rsidRDefault="001C0111" w:rsidP="001C0111">
            <w:pPr>
              <w:rPr>
                <w:noProof/>
                <w:sz w:val="20"/>
                <w:lang w:val="en-IE" w:eastAsia="en-GB"/>
              </w:rPr>
            </w:pPr>
          </w:p>
        </w:tc>
      </w:tr>
    </w:tbl>
    <w:p w14:paraId="7640054A" w14:textId="77777777" w:rsidR="001C0111" w:rsidRPr="001C0111" w:rsidRDefault="001C0111" w:rsidP="001C0111">
      <w:pPr>
        <w:rPr>
          <w:noProof/>
          <w:lang w:val="en-IE" w:eastAsia="en-GB"/>
        </w:rPr>
        <w:sectPr w:rsidR="001C0111" w:rsidRPr="001C0111" w:rsidSect="00A71C3C">
          <w:headerReference w:type="default" r:id="rId21"/>
          <w:footerReference w:type="default" r:id="rId22"/>
          <w:headerReference w:type="first" r:id="rId23"/>
          <w:footerReference w:type="first" r:id="rId24"/>
          <w:footnotePr>
            <w:numRestart w:val="eachSect"/>
          </w:footnotePr>
          <w:pgSz w:w="11907" w:h="16840"/>
          <w:pgMar w:top="1134" w:right="1418" w:bottom="1134" w:left="1418" w:header="709" w:footer="709" w:gutter="0"/>
          <w:cols w:space="708"/>
          <w:docGrid w:linePitch="360"/>
        </w:sectPr>
      </w:pPr>
    </w:p>
    <w:p w14:paraId="1117ECA9" w14:textId="77777777" w:rsidR="001C0111" w:rsidRPr="001C0111" w:rsidRDefault="001C0111" w:rsidP="002A2DB0">
      <w:pPr>
        <w:keepNext/>
        <w:outlineLvl w:val="2"/>
        <w:rPr>
          <w:rFonts w:eastAsiaTheme="majorEastAsia"/>
          <w:bCs/>
          <w:i/>
          <w:noProof/>
          <w:lang w:val="en-IE" w:eastAsia="en-GB"/>
        </w:rPr>
      </w:pPr>
      <w:bookmarkStart w:id="63" w:name="_Toc514938056"/>
      <w:bookmarkStart w:id="64" w:name="_Toc520485055"/>
      <w:r w:rsidRPr="001C0111">
        <w:rPr>
          <w:rFonts w:eastAsiaTheme="majorEastAsia"/>
          <w:bCs/>
          <w:i/>
          <w:noProof/>
          <w:lang w:val="en-IE" w:eastAsia="en-GB"/>
        </w:rPr>
        <w:t>Compatibility with the current multiannual financial framework</w:t>
      </w:r>
      <w:bookmarkEnd w:id="63"/>
      <w:bookmarkEnd w:id="64"/>
      <w:r w:rsidRPr="001C0111">
        <w:rPr>
          <w:rFonts w:eastAsiaTheme="majorEastAsia"/>
          <w:bCs/>
          <w:i/>
          <w:noProof/>
          <w:lang w:val="en-IE" w:eastAsia="en-GB"/>
        </w:rPr>
        <w:t xml:space="preserve"> </w:t>
      </w:r>
    </w:p>
    <w:p w14:paraId="5DDEBDC6" w14:textId="77777777" w:rsidR="001C0111" w:rsidRPr="001C0111" w:rsidRDefault="001C0111" w:rsidP="001C0111">
      <w:pPr>
        <w:ind w:left="850"/>
        <w:rPr>
          <w:noProof/>
          <w:lang w:val="en-IE" w:eastAsia="en-GB"/>
        </w:rPr>
      </w:pPr>
      <w:r w:rsidRPr="001C0111">
        <w:rPr>
          <w:noProof/>
          <w:lang w:val="en-IE" w:eastAsia="en-GB"/>
        </w:rPr>
        <w:t>The proposal/initiative:</w:t>
      </w:r>
    </w:p>
    <w:p w14:paraId="45233F7A" w14:textId="77777777" w:rsidR="001C0111" w:rsidRPr="001C0111" w:rsidRDefault="001C0111" w:rsidP="002A2DB0">
      <w:pPr>
        <w:rPr>
          <w:noProof/>
          <w:lang w:val="en-IE" w:eastAsia="en-GB"/>
        </w:rPr>
      </w:pPr>
      <w:r w:rsidRPr="001C0111">
        <w:rPr>
          <w:rFonts w:ascii="Wingdings" w:eastAsia="Wingdings" w:hAnsi="Wingdings" w:cs="Wingdings"/>
          <w:noProof/>
          <w:lang w:eastAsia="en-GB"/>
        </w:rPr>
        <w:t></w:t>
      </w:r>
      <w:r w:rsidRPr="001C0111">
        <w:rPr>
          <w:noProof/>
          <w:lang w:val="en-IE" w:eastAsia="en-GB"/>
        </w:rPr>
        <w:tab/>
        <w:t>can be fully financed through redeployment within the relevant heading of the Multiannual Financial Framework (MFF).</w:t>
      </w:r>
    </w:p>
    <w:p w14:paraId="74471065" w14:textId="77777777" w:rsidR="001C0111" w:rsidRPr="001C0111" w:rsidRDefault="001C0111" w:rsidP="001C0111">
      <w:pPr>
        <w:ind w:left="1134"/>
        <w:rPr>
          <w:noProof/>
          <w:sz w:val="20"/>
          <w:lang w:eastAsia="en-GB"/>
        </w:rPr>
      </w:pPr>
      <w:r w:rsidRPr="001C0111">
        <w:rPr>
          <w:noProof/>
          <w:lang w:eastAsia="en-GB"/>
        </w:rPr>
        <w:t>The LIFE envelope (budget line 09.02.02) will be used to offset the increase of the ECHA and EEA subsidy.</w:t>
      </w:r>
    </w:p>
    <w:p w14:paraId="654CF42A"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ab/>
        <w:t>requires use of the unallocated margin under the relevant heading of the MFF and/or use of the special instruments as defined in the MFF Regulation.</w:t>
      </w:r>
    </w:p>
    <w:p w14:paraId="543FEAAA"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ab/>
        <w:t>requires a revision of the MFF.</w:t>
      </w:r>
    </w:p>
    <w:p w14:paraId="331A5BD1" w14:textId="77777777" w:rsidR="001C0111" w:rsidRPr="001C0111" w:rsidRDefault="001C0111" w:rsidP="002A2DB0">
      <w:pPr>
        <w:keepNext/>
        <w:outlineLvl w:val="2"/>
        <w:rPr>
          <w:rFonts w:eastAsiaTheme="majorEastAsia"/>
          <w:bCs/>
          <w:i/>
          <w:noProof/>
          <w:lang w:val="en-IE" w:eastAsia="en-GB"/>
        </w:rPr>
      </w:pPr>
      <w:bookmarkStart w:id="65" w:name="_Toc514938058"/>
      <w:bookmarkStart w:id="66" w:name="_Toc520485056"/>
      <w:r w:rsidRPr="001C0111">
        <w:rPr>
          <w:rFonts w:eastAsiaTheme="majorEastAsia"/>
          <w:bCs/>
          <w:i/>
          <w:noProof/>
          <w:lang w:val="en-IE" w:eastAsia="en-GB"/>
        </w:rPr>
        <w:t>Third-party contributions</w:t>
      </w:r>
      <w:bookmarkEnd w:id="65"/>
      <w:bookmarkEnd w:id="66"/>
      <w:r w:rsidRPr="001C0111">
        <w:rPr>
          <w:rFonts w:eastAsiaTheme="majorEastAsia"/>
          <w:bCs/>
          <w:i/>
          <w:noProof/>
          <w:lang w:val="en-IE" w:eastAsia="en-GB"/>
        </w:rPr>
        <w:t xml:space="preserve"> </w:t>
      </w:r>
    </w:p>
    <w:p w14:paraId="15413586" w14:textId="77777777" w:rsidR="001C0111" w:rsidRPr="001C0111" w:rsidRDefault="001C0111" w:rsidP="001C0111">
      <w:pPr>
        <w:ind w:left="850"/>
        <w:rPr>
          <w:noProof/>
          <w:lang w:val="en-IE" w:eastAsia="en-GB"/>
        </w:rPr>
      </w:pPr>
      <w:r w:rsidRPr="001C0111">
        <w:rPr>
          <w:noProof/>
          <w:lang w:val="en-IE" w:eastAsia="en-GB"/>
        </w:rPr>
        <w:t>The proposal/initiative:</w:t>
      </w:r>
    </w:p>
    <w:p w14:paraId="01AF0BEF" w14:textId="77777777" w:rsidR="001C0111" w:rsidRPr="001C0111" w:rsidRDefault="001C0111" w:rsidP="002A2DB0">
      <w:pPr>
        <w:rPr>
          <w:noProof/>
          <w:lang w:val="en-IE" w:eastAsia="en-GB"/>
        </w:rPr>
      </w:pPr>
      <w:r w:rsidRPr="001C0111">
        <w:rPr>
          <w:rFonts w:ascii="Wingdings" w:eastAsia="Wingdings" w:hAnsi="Wingdings" w:cs="Wingdings"/>
          <w:noProof/>
          <w:lang w:eastAsia="en-GB"/>
        </w:rPr>
        <w:t></w:t>
      </w:r>
      <w:r w:rsidRPr="001C0111">
        <w:rPr>
          <w:noProof/>
          <w:lang w:val="en-IE" w:eastAsia="en-GB"/>
        </w:rPr>
        <w:tab/>
        <w:t>does not provide for co-financing by third parties</w:t>
      </w:r>
    </w:p>
    <w:p w14:paraId="3369706B"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ab/>
        <w:t>provides for the co-financing by third parties estimated below:</w:t>
      </w:r>
    </w:p>
    <w:p w14:paraId="6F0A933C" w14:textId="77777777" w:rsidR="001C0111" w:rsidRPr="001C0111" w:rsidRDefault="001C0111" w:rsidP="001C0111">
      <w:pPr>
        <w:jc w:val="right"/>
        <w:rPr>
          <w:noProof/>
          <w:sz w:val="20"/>
          <w:lang w:val="en-IE" w:eastAsia="en-GB"/>
        </w:rPr>
      </w:pPr>
      <w:r w:rsidRPr="001C0111">
        <w:rPr>
          <w:noProof/>
          <w:sz w:val="20"/>
          <w:lang w:val="en-IE" w:eastAsia="en-GB"/>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1C0111" w:rsidRPr="001C0111" w14:paraId="691740DC" w14:textId="77777777" w:rsidTr="00EE4772">
        <w:trPr>
          <w:cantSplit/>
        </w:trPr>
        <w:tc>
          <w:tcPr>
            <w:tcW w:w="2340" w:type="dxa"/>
          </w:tcPr>
          <w:p w14:paraId="03BF57E4" w14:textId="77777777" w:rsidR="001C0111" w:rsidRPr="001C0111" w:rsidRDefault="001C0111" w:rsidP="001C0111">
            <w:pPr>
              <w:spacing w:before="60" w:after="60"/>
              <w:rPr>
                <w:noProof/>
                <w:sz w:val="20"/>
                <w:lang w:val="en-IE" w:eastAsia="en-GB"/>
              </w:rPr>
            </w:pPr>
          </w:p>
        </w:tc>
        <w:tc>
          <w:tcPr>
            <w:tcW w:w="964" w:type="dxa"/>
            <w:vAlign w:val="center"/>
          </w:tcPr>
          <w:p w14:paraId="5E9B794D" w14:textId="77777777" w:rsidR="001C0111" w:rsidRPr="001C0111" w:rsidRDefault="001C0111" w:rsidP="001C0111">
            <w:pPr>
              <w:jc w:val="center"/>
              <w:rPr>
                <w:noProof/>
                <w:sz w:val="20"/>
                <w:lang w:val="en-IE" w:eastAsia="en-GB"/>
              </w:rPr>
            </w:pPr>
            <w:r w:rsidRPr="001C0111">
              <w:rPr>
                <w:noProof/>
                <w:sz w:val="20"/>
                <w:lang w:val="en-IE" w:eastAsia="en-GB"/>
              </w:rPr>
              <w:t>Year</w:t>
            </w:r>
            <w:r w:rsidRPr="001C0111">
              <w:rPr>
                <w:noProof/>
                <w:sz w:val="22"/>
                <w:lang w:val="en-IE" w:eastAsia="en-GB"/>
              </w:rPr>
              <w:br/>
            </w:r>
            <w:r w:rsidRPr="001C0111">
              <w:rPr>
                <w:b/>
                <w:noProof/>
                <w:sz w:val="20"/>
                <w:lang w:val="en-IE" w:eastAsia="en-GB"/>
              </w:rPr>
              <w:t>N</w:t>
            </w:r>
            <w:r w:rsidRPr="006C662D">
              <w:rPr>
                <w:rStyle w:val="FootnoteReference"/>
                <w:noProof/>
              </w:rPr>
              <w:footnoteReference w:id="76"/>
            </w:r>
          </w:p>
        </w:tc>
        <w:tc>
          <w:tcPr>
            <w:tcW w:w="964" w:type="dxa"/>
            <w:vAlign w:val="center"/>
          </w:tcPr>
          <w:p w14:paraId="0D897703" w14:textId="77777777" w:rsidR="001C0111" w:rsidRPr="001C0111" w:rsidRDefault="001C0111" w:rsidP="001C0111">
            <w:pPr>
              <w:jc w:val="center"/>
              <w:rPr>
                <w:noProof/>
                <w:sz w:val="20"/>
                <w:lang w:val="en-IE" w:eastAsia="en-GB"/>
              </w:rPr>
            </w:pPr>
            <w:r w:rsidRPr="001C0111">
              <w:rPr>
                <w:noProof/>
                <w:sz w:val="20"/>
                <w:lang w:val="en-IE" w:eastAsia="en-GB"/>
              </w:rPr>
              <w:t>Year</w:t>
            </w:r>
            <w:r w:rsidRPr="001C0111">
              <w:rPr>
                <w:noProof/>
                <w:sz w:val="22"/>
                <w:lang w:val="en-IE" w:eastAsia="en-GB"/>
              </w:rPr>
              <w:br/>
            </w:r>
            <w:r w:rsidRPr="001C0111">
              <w:rPr>
                <w:b/>
                <w:noProof/>
                <w:sz w:val="20"/>
                <w:lang w:val="en-IE" w:eastAsia="en-GB"/>
              </w:rPr>
              <w:t>N+1</w:t>
            </w:r>
          </w:p>
        </w:tc>
        <w:tc>
          <w:tcPr>
            <w:tcW w:w="964" w:type="dxa"/>
            <w:vAlign w:val="center"/>
          </w:tcPr>
          <w:p w14:paraId="6DA7611D" w14:textId="77777777" w:rsidR="001C0111" w:rsidRPr="001C0111" w:rsidRDefault="001C0111" w:rsidP="001C0111">
            <w:pPr>
              <w:jc w:val="center"/>
              <w:rPr>
                <w:noProof/>
                <w:sz w:val="20"/>
                <w:lang w:val="en-IE" w:eastAsia="en-GB"/>
              </w:rPr>
            </w:pPr>
            <w:r w:rsidRPr="001C0111">
              <w:rPr>
                <w:noProof/>
                <w:sz w:val="20"/>
                <w:lang w:val="en-IE" w:eastAsia="en-GB"/>
              </w:rPr>
              <w:t>Year</w:t>
            </w:r>
            <w:r w:rsidRPr="001C0111">
              <w:rPr>
                <w:noProof/>
                <w:sz w:val="22"/>
                <w:lang w:val="en-IE" w:eastAsia="en-GB"/>
              </w:rPr>
              <w:br/>
            </w:r>
            <w:r w:rsidRPr="001C0111">
              <w:rPr>
                <w:b/>
                <w:noProof/>
                <w:sz w:val="20"/>
                <w:lang w:val="en-IE" w:eastAsia="en-GB"/>
              </w:rPr>
              <w:t>N+2</w:t>
            </w:r>
          </w:p>
        </w:tc>
        <w:tc>
          <w:tcPr>
            <w:tcW w:w="964" w:type="dxa"/>
            <w:vAlign w:val="center"/>
          </w:tcPr>
          <w:p w14:paraId="49458A20" w14:textId="77777777" w:rsidR="001C0111" w:rsidRPr="001C0111" w:rsidRDefault="001C0111" w:rsidP="001C0111">
            <w:pPr>
              <w:jc w:val="center"/>
              <w:rPr>
                <w:noProof/>
                <w:sz w:val="20"/>
                <w:lang w:val="en-IE" w:eastAsia="en-GB"/>
              </w:rPr>
            </w:pPr>
            <w:r w:rsidRPr="001C0111">
              <w:rPr>
                <w:noProof/>
                <w:sz w:val="20"/>
                <w:lang w:val="en-IE" w:eastAsia="en-GB"/>
              </w:rPr>
              <w:t>Year</w:t>
            </w:r>
            <w:r w:rsidRPr="001C0111">
              <w:rPr>
                <w:noProof/>
                <w:sz w:val="22"/>
                <w:lang w:val="en-IE" w:eastAsia="en-GB"/>
              </w:rPr>
              <w:br/>
            </w:r>
            <w:r w:rsidRPr="001C0111">
              <w:rPr>
                <w:b/>
                <w:noProof/>
                <w:sz w:val="20"/>
                <w:lang w:val="en-IE" w:eastAsia="en-GB"/>
              </w:rPr>
              <w:t>N+3</w:t>
            </w:r>
          </w:p>
        </w:tc>
        <w:tc>
          <w:tcPr>
            <w:tcW w:w="2892" w:type="dxa"/>
            <w:gridSpan w:val="3"/>
            <w:vAlign w:val="center"/>
          </w:tcPr>
          <w:p w14:paraId="0BD0B962" w14:textId="77777777" w:rsidR="001C0111" w:rsidRPr="001C0111" w:rsidRDefault="001C0111" w:rsidP="001C0111">
            <w:pPr>
              <w:jc w:val="center"/>
              <w:rPr>
                <w:b/>
                <w:noProof/>
                <w:sz w:val="20"/>
                <w:lang w:val="en-IE" w:eastAsia="en-GB"/>
              </w:rPr>
            </w:pPr>
            <w:r w:rsidRPr="001C0111">
              <w:rPr>
                <w:noProof/>
                <w:sz w:val="20"/>
                <w:lang w:val="en-IE" w:eastAsia="en-GB"/>
              </w:rPr>
              <w:t>Enter as many years as necessary to show the duration of the impact (see point 1.6)</w:t>
            </w:r>
          </w:p>
        </w:tc>
        <w:tc>
          <w:tcPr>
            <w:tcW w:w="1158" w:type="dxa"/>
            <w:vAlign w:val="center"/>
          </w:tcPr>
          <w:p w14:paraId="61648A37" w14:textId="77777777" w:rsidR="001C0111" w:rsidRPr="001C0111" w:rsidRDefault="001C0111" w:rsidP="001C0111">
            <w:pPr>
              <w:spacing w:before="60" w:after="60"/>
              <w:jc w:val="center"/>
              <w:rPr>
                <w:noProof/>
                <w:sz w:val="20"/>
                <w:lang w:val="en-IE" w:eastAsia="en-GB"/>
              </w:rPr>
            </w:pPr>
            <w:r w:rsidRPr="001C0111">
              <w:rPr>
                <w:noProof/>
                <w:sz w:val="20"/>
                <w:lang w:val="en-IE" w:eastAsia="en-GB"/>
              </w:rPr>
              <w:t>Total</w:t>
            </w:r>
          </w:p>
        </w:tc>
      </w:tr>
      <w:tr w:rsidR="001C0111" w:rsidRPr="001C0111" w14:paraId="5A97068C" w14:textId="77777777" w:rsidTr="00EE4772">
        <w:trPr>
          <w:cantSplit/>
        </w:trPr>
        <w:tc>
          <w:tcPr>
            <w:tcW w:w="2340" w:type="dxa"/>
          </w:tcPr>
          <w:p w14:paraId="3C2032CE" w14:textId="77777777" w:rsidR="001C0111" w:rsidRPr="001C0111" w:rsidRDefault="001C0111" w:rsidP="001C0111">
            <w:pPr>
              <w:rPr>
                <w:noProof/>
                <w:lang w:val="en-IE" w:eastAsia="en-GB"/>
              </w:rPr>
            </w:pPr>
            <w:r w:rsidRPr="001C0111">
              <w:rPr>
                <w:noProof/>
                <w:sz w:val="20"/>
                <w:lang w:val="en-IE" w:eastAsia="en-GB"/>
              </w:rPr>
              <w:t>Specify the co-financing body</w:t>
            </w:r>
            <w:r w:rsidRPr="001C0111">
              <w:rPr>
                <w:i/>
                <w:noProof/>
                <w:sz w:val="20"/>
                <w:lang w:val="en-IE" w:eastAsia="en-GB"/>
              </w:rPr>
              <w:t xml:space="preserve"> </w:t>
            </w:r>
          </w:p>
        </w:tc>
        <w:tc>
          <w:tcPr>
            <w:tcW w:w="964" w:type="dxa"/>
            <w:vAlign w:val="center"/>
          </w:tcPr>
          <w:p w14:paraId="3A49DE7B" w14:textId="77777777" w:rsidR="001C0111" w:rsidRPr="001C0111" w:rsidRDefault="001C0111" w:rsidP="001C0111">
            <w:pPr>
              <w:spacing w:before="60" w:after="60"/>
              <w:jc w:val="center"/>
              <w:rPr>
                <w:noProof/>
                <w:sz w:val="20"/>
                <w:lang w:val="en-IE" w:eastAsia="en-GB"/>
              </w:rPr>
            </w:pPr>
          </w:p>
        </w:tc>
        <w:tc>
          <w:tcPr>
            <w:tcW w:w="964" w:type="dxa"/>
            <w:vAlign w:val="center"/>
          </w:tcPr>
          <w:p w14:paraId="3EE8DFC3" w14:textId="77777777" w:rsidR="001C0111" w:rsidRPr="001C0111" w:rsidRDefault="001C0111" w:rsidP="001C0111">
            <w:pPr>
              <w:spacing w:before="60" w:after="60"/>
              <w:jc w:val="center"/>
              <w:rPr>
                <w:noProof/>
                <w:sz w:val="20"/>
                <w:lang w:val="en-IE" w:eastAsia="en-GB"/>
              </w:rPr>
            </w:pPr>
          </w:p>
        </w:tc>
        <w:tc>
          <w:tcPr>
            <w:tcW w:w="964" w:type="dxa"/>
            <w:vAlign w:val="center"/>
          </w:tcPr>
          <w:p w14:paraId="06DD15D5" w14:textId="77777777" w:rsidR="001C0111" w:rsidRPr="001C0111" w:rsidRDefault="001C0111" w:rsidP="001C0111">
            <w:pPr>
              <w:spacing w:before="60" w:after="60"/>
              <w:jc w:val="center"/>
              <w:rPr>
                <w:noProof/>
                <w:sz w:val="20"/>
                <w:lang w:val="en-IE" w:eastAsia="en-GB"/>
              </w:rPr>
            </w:pPr>
          </w:p>
        </w:tc>
        <w:tc>
          <w:tcPr>
            <w:tcW w:w="964" w:type="dxa"/>
            <w:vAlign w:val="center"/>
          </w:tcPr>
          <w:p w14:paraId="6A9B459F" w14:textId="77777777" w:rsidR="001C0111" w:rsidRPr="001C0111" w:rsidRDefault="001C0111" w:rsidP="001C0111">
            <w:pPr>
              <w:spacing w:before="60" w:after="60"/>
              <w:jc w:val="center"/>
              <w:rPr>
                <w:noProof/>
                <w:sz w:val="20"/>
                <w:lang w:val="en-IE" w:eastAsia="en-GB"/>
              </w:rPr>
            </w:pPr>
          </w:p>
        </w:tc>
        <w:tc>
          <w:tcPr>
            <w:tcW w:w="964" w:type="dxa"/>
            <w:vAlign w:val="center"/>
          </w:tcPr>
          <w:p w14:paraId="61CADC45" w14:textId="77777777" w:rsidR="001C0111" w:rsidRPr="001C0111" w:rsidRDefault="001C0111" w:rsidP="001C0111">
            <w:pPr>
              <w:spacing w:before="60" w:after="60"/>
              <w:jc w:val="center"/>
              <w:rPr>
                <w:noProof/>
                <w:sz w:val="20"/>
                <w:lang w:val="en-IE" w:eastAsia="en-GB"/>
              </w:rPr>
            </w:pPr>
          </w:p>
        </w:tc>
        <w:tc>
          <w:tcPr>
            <w:tcW w:w="964" w:type="dxa"/>
            <w:vAlign w:val="center"/>
          </w:tcPr>
          <w:p w14:paraId="3E713868" w14:textId="77777777" w:rsidR="001C0111" w:rsidRPr="001C0111" w:rsidRDefault="001C0111" w:rsidP="001C0111">
            <w:pPr>
              <w:spacing w:before="60" w:after="60"/>
              <w:jc w:val="center"/>
              <w:rPr>
                <w:noProof/>
                <w:sz w:val="20"/>
                <w:lang w:val="en-IE" w:eastAsia="en-GB"/>
              </w:rPr>
            </w:pPr>
          </w:p>
        </w:tc>
        <w:tc>
          <w:tcPr>
            <w:tcW w:w="964" w:type="dxa"/>
            <w:vAlign w:val="center"/>
          </w:tcPr>
          <w:p w14:paraId="188DB27E" w14:textId="77777777" w:rsidR="001C0111" w:rsidRPr="001C0111" w:rsidRDefault="001C0111" w:rsidP="001C0111">
            <w:pPr>
              <w:spacing w:before="60" w:after="60"/>
              <w:jc w:val="center"/>
              <w:rPr>
                <w:noProof/>
                <w:sz w:val="20"/>
                <w:lang w:val="en-IE" w:eastAsia="en-GB"/>
              </w:rPr>
            </w:pPr>
          </w:p>
        </w:tc>
        <w:tc>
          <w:tcPr>
            <w:tcW w:w="1158" w:type="dxa"/>
            <w:vAlign w:val="center"/>
          </w:tcPr>
          <w:p w14:paraId="0F0554E8" w14:textId="77777777" w:rsidR="001C0111" w:rsidRPr="001C0111" w:rsidRDefault="001C0111" w:rsidP="001C0111">
            <w:pPr>
              <w:spacing w:before="60" w:after="60"/>
              <w:jc w:val="center"/>
              <w:rPr>
                <w:noProof/>
                <w:sz w:val="20"/>
                <w:lang w:val="en-IE" w:eastAsia="en-GB"/>
              </w:rPr>
            </w:pPr>
          </w:p>
        </w:tc>
      </w:tr>
      <w:tr w:rsidR="001C0111" w:rsidRPr="001C0111" w14:paraId="56AB7137" w14:textId="77777777" w:rsidTr="00EE4772">
        <w:trPr>
          <w:cantSplit/>
        </w:trPr>
        <w:tc>
          <w:tcPr>
            <w:tcW w:w="2340" w:type="dxa"/>
          </w:tcPr>
          <w:p w14:paraId="6EE30086" w14:textId="77777777" w:rsidR="001C0111" w:rsidRPr="001C0111" w:rsidRDefault="001C0111" w:rsidP="001C0111">
            <w:pPr>
              <w:spacing w:before="60" w:after="60"/>
              <w:jc w:val="left"/>
              <w:rPr>
                <w:noProof/>
                <w:sz w:val="20"/>
                <w:lang w:val="en-IE" w:eastAsia="en-GB"/>
              </w:rPr>
            </w:pPr>
            <w:r w:rsidRPr="001C0111">
              <w:rPr>
                <w:noProof/>
                <w:sz w:val="20"/>
                <w:lang w:val="en-IE" w:eastAsia="en-GB"/>
              </w:rPr>
              <w:t xml:space="preserve">TOTAL appropriations co-financed </w:t>
            </w:r>
          </w:p>
        </w:tc>
        <w:tc>
          <w:tcPr>
            <w:tcW w:w="964" w:type="dxa"/>
            <w:vAlign w:val="center"/>
          </w:tcPr>
          <w:p w14:paraId="15980274" w14:textId="77777777" w:rsidR="001C0111" w:rsidRPr="001C0111" w:rsidRDefault="001C0111" w:rsidP="001C0111">
            <w:pPr>
              <w:spacing w:before="60" w:after="60"/>
              <w:jc w:val="center"/>
              <w:rPr>
                <w:noProof/>
                <w:sz w:val="20"/>
                <w:lang w:val="en-IE" w:eastAsia="en-GB"/>
              </w:rPr>
            </w:pPr>
          </w:p>
        </w:tc>
        <w:tc>
          <w:tcPr>
            <w:tcW w:w="964" w:type="dxa"/>
            <w:vAlign w:val="center"/>
          </w:tcPr>
          <w:p w14:paraId="03A2D3AB" w14:textId="77777777" w:rsidR="001C0111" w:rsidRPr="001C0111" w:rsidRDefault="001C0111" w:rsidP="001C0111">
            <w:pPr>
              <w:spacing w:before="60" w:after="60"/>
              <w:jc w:val="center"/>
              <w:rPr>
                <w:noProof/>
                <w:sz w:val="20"/>
                <w:lang w:val="en-IE" w:eastAsia="en-GB"/>
              </w:rPr>
            </w:pPr>
          </w:p>
        </w:tc>
        <w:tc>
          <w:tcPr>
            <w:tcW w:w="964" w:type="dxa"/>
            <w:vAlign w:val="center"/>
          </w:tcPr>
          <w:p w14:paraId="189EEB17" w14:textId="77777777" w:rsidR="001C0111" w:rsidRPr="001C0111" w:rsidRDefault="001C0111" w:rsidP="001C0111">
            <w:pPr>
              <w:spacing w:before="60" w:after="60"/>
              <w:jc w:val="center"/>
              <w:rPr>
                <w:noProof/>
                <w:sz w:val="20"/>
                <w:lang w:val="en-IE" w:eastAsia="en-GB"/>
              </w:rPr>
            </w:pPr>
          </w:p>
        </w:tc>
        <w:tc>
          <w:tcPr>
            <w:tcW w:w="964" w:type="dxa"/>
            <w:vAlign w:val="center"/>
          </w:tcPr>
          <w:p w14:paraId="23AD8C07" w14:textId="77777777" w:rsidR="001C0111" w:rsidRPr="001C0111" w:rsidRDefault="001C0111" w:rsidP="001C0111">
            <w:pPr>
              <w:spacing w:before="60" w:after="60"/>
              <w:jc w:val="center"/>
              <w:rPr>
                <w:noProof/>
                <w:sz w:val="20"/>
                <w:lang w:val="en-IE" w:eastAsia="en-GB"/>
              </w:rPr>
            </w:pPr>
          </w:p>
        </w:tc>
        <w:tc>
          <w:tcPr>
            <w:tcW w:w="964" w:type="dxa"/>
            <w:vAlign w:val="center"/>
          </w:tcPr>
          <w:p w14:paraId="53E1A4A2" w14:textId="77777777" w:rsidR="001C0111" w:rsidRPr="001C0111" w:rsidRDefault="001C0111" w:rsidP="001C0111">
            <w:pPr>
              <w:spacing w:before="60" w:after="60"/>
              <w:jc w:val="center"/>
              <w:rPr>
                <w:noProof/>
                <w:sz w:val="20"/>
                <w:lang w:val="en-IE" w:eastAsia="en-GB"/>
              </w:rPr>
            </w:pPr>
          </w:p>
        </w:tc>
        <w:tc>
          <w:tcPr>
            <w:tcW w:w="964" w:type="dxa"/>
            <w:vAlign w:val="center"/>
          </w:tcPr>
          <w:p w14:paraId="1275CE9E" w14:textId="77777777" w:rsidR="001C0111" w:rsidRPr="001C0111" w:rsidRDefault="001C0111" w:rsidP="001C0111">
            <w:pPr>
              <w:spacing w:before="60" w:after="60"/>
              <w:jc w:val="center"/>
              <w:rPr>
                <w:noProof/>
                <w:sz w:val="20"/>
                <w:lang w:val="en-IE" w:eastAsia="en-GB"/>
              </w:rPr>
            </w:pPr>
          </w:p>
        </w:tc>
        <w:tc>
          <w:tcPr>
            <w:tcW w:w="964" w:type="dxa"/>
            <w:vAlign w:val="center"/>
          </w:tcPr>
          <w:p w14:paraId="4C844F3A" w14:textId="77777777" w:rsidR="001C0111" w:rsidRPr="001C0111" w:rsidRDefault="001C0111" w:rsidP="001C0111">
            <w:pPr>
              <w:spacing w:before="60" w:after="60"/>
              <w:jc w:val="center"/>
              <w:rPr>
                <w:noProof/>
                <w:sz w:val="20"/>
                <w:lang w:val="en-IE" w:eastAsia="en-GB"/>
              </w:rPr>
            </w:pPr>
          </w:p>
        </w:tc>
        <w:tc>
          <w:tcPr>
            <w:tcW w:w="1158" w:type="dxa"/>
            <w:vAlign w:val="center"/>
          </w:tcPr>
          <w:p w14:paraId="0AE03705" w14:textId="77777777" w:rsidR="001C0111" w:rsidRPr="001C0111" w:rsidRDefault="001C0111" w:rsidP="001C0111">
            <w:pPr>
              <w:spacing w:before="60" w:after="60"/>
              <w:jc w:val="center"/>
              <w:rPr>
                <w:noProof/>
                <w:sz w:val="20"/>
                <w:lang w:val="en-IE" w:eastAsia="en-GB"/>
              </w:rPr>
            </w:pPr>
          </w:p>
        </w:tc>
      </w:tr>
    </w:tbl>
    <w:p w14:paraId="0A231FE1" w14:textId="77777777" w:rsidR="001C0111" w:rsidRPr="001C0111" w:rsidRDefault="001C0111" w:rsidP="001C0111">
      <w:pPr>
        <w:rPr>
          <w:noProof/>
          <w:lang w:val="en-IE" w:eastAsia="en-GB"/>
        </w:rPr>
      </w:pPr>
      <w:r w:rsidRPr="001C0111">
        <w:rPr>
          <w:noProof/>
          <w:lang w:val="en-IE" w:eastAsia="en-GB"/>
        </w:rPr>
        <w:br/>
      </w:r>
    </w:p>
    <w:p w14:paraId="008AA680" w14:textId="77777777" w:rsidR="001C0111" w:rsidRPr="001C0111" w:rsidRDefault="001C0111" w:rsidP="002A2DB0">
      <w:pPr>
        <w:keepNext/>
        <w:outlineLvl w:val="1"/>
        <w:rPr>
          <w:rFonts w:eastAsiaTheme="majorEastAsia"/>
          <w:b/>
          <w:bCs/>
          <w:noProof/>
          <w:szCs w:val="26"/>
          <w:lang w:val="en-IE" w:eastAsia="en-GB"/>
        </w:rPr>
      </w:pPr>
      <w:r w:rsidRPr="001C0111">
        <w:rPr>
          <w:rFonts w:eastAsiaTheme="majorEastAsia"/>
          <w:b/>
          <w:bCs/>
          <w:noProof/>
          <w:szCs w:val="26"/>
          <w:lang w:val="en-IE" w:eastAsia="en-GB"/>
        </w:rPr>
        <w:br w:type="page"/>
      </w:r>
      <w:bookmarkStart w:id="67" w:name="_Toc514938059"/>
      <w:bookmarkStart w:id="68" w:name="_Toc520485057"/>
      <w:r w:rsidRPr="001C0111">
        <w:rPr>
          <w:rFonts w:eastAsiaTheme="majorEastAsia"/>
          <w:b/>
          <w:bCs/>
          <w:noProof/>
          <w:szCs w:val="26"/>
          <w:lang w:val="en-IE" w:eastAsia="en-GB"/>
        </w:rPr>
        <w:t>Estimated impact on revenue</w:t>
      </w:r>
      <w:bookmarkEnd w:id="67"/>
      <w:bookmarkEnd w:id="68"/>
      <w:r w:rsidRPr="001C0111">
        <w:rPr>
          <w:rFonts w:eastAsiaTheme="majorEastAsia"/>
          <w:b/>
          <w:bCs/>
          <w:noProof/>
          <w:szCs w:val="26"/>
          <w:lang w:val="en-IE" w:eastAsia="en-GB"/>
        </w:rPr>
        <w:t xml:space="preserve"> </w:t>
      </w:r>
    </w:p>
    <w:p w14:paraId="622232F9" w14:textId="77777777" w:rsidR="001C0111" w:rsidRPr="001C0111" w:rsidRDefault="001C0111" w:rsidP="002A2DB0">
      <w:pPr>
        <w:rPr>
          <w:noProof/>
          <w:lang w:val="en-IE" w:eastAsia="en-GB"/>
        </w:rPr>
      </w:pPr>
      <w:r w:rsidRPr="001C0111">
        <w:rPr>
          <w:rFonts w:ascii="Wingdings" w:eastAsia="Wingdings" w:hAnsi="Wingdings" w:cs="Wingdings"/>
          <w:noProof/>
          <w:lang w:eastAsia="en-GB"/>
        </w:rPr>
        <w:t></w:t>
      </w:r>
      <w:r w:rsidRPr="001C0111">
        <w:rPr>
          <w:noProof/>
          <w:lang w:val="en-IE" w:eastAsia="en-GB"/>
        </w:rPr>
        <w:tab/>
        <w:t>The proposal/initiative has no financial impact on revenue.</w:t>
      </w:r>
    </w:p>
    <w:p w14:paraId="550A5652" w14:textId="77777777" w:rsidR="001C0111" w:rsidRPr="001C0111" w:rsidRDefault="001C0111" w:rsidP="002A2DB0">
      <w:pPr>
        <w:rPr>
          <w:noProof/>
          <w:lang w:val="en-IE" w:eastAsia="en-GB"/>
        </w:rPr>
      </w:pPr>
      <w:r w:rsidRPr="001C0111">
        <w:rPr>
          <w:rFonts w:ascii="Wingdings" w:eastAsia="Wingdings" w:hAnsi="Wingdings" w:cs="Wingdings"/>
          <w:noProof/>
          <w:lang w:val="en-IE" w:eastAsia="en-GB"/>
        </w:rPr>
        <w:t></w:t>
      </w:r>
      <w:r w:rsidRPr="001C0111">
        <w:rPr>
          <w:noProof/>
          <w:lang w:val="en-IE" w:eastAsia="en-GB"/>
        </w:rPr>
        <w:tab/>
        <w:t>The proposal/initiative has the following financial impact:</w:t>
      </w:r>
    </w:p>
    <w:p w14:paraId="089E6142" w14:textId="77777777" w:rsidR="001C0111" w:rsidRPr="001C0111" w:rsidRDefault="001C0111" w:rsidP="001C0111">
      <w:pPr>
        <w:numPr>
          <w:ilvl w:val="2"/>
          <w:numId w:val="0"/>
        </w:numPr>
        <w:tabs>
          <w:tab w:val="num" w:pos="1843"/>
        </w:tabs>
        <w:ind w:left="2126" w:hanging="709"/>
        <w:rPr>
          <w:noProof/>
          <w:lang w:val="en-IE" w:eastAsia="en-GB"/>
        </w:rPr>
      </w:pPr>
      <w:r w:rsidRPr="001C0111">
        <w:rPr>
          <w:rFonts w:ascii="Wingdings" w:eastAsia="Wingdings" w:hAnsi="Wingdings" w:cs="Wingdings"/>
          <w:noProof/>
          <w:lang w:val="en-IE" w:eastAsia="en-GB"/>
        </w:rPr>
        <w:t></w:t>
      </w:r>
      <w:r w:rsidRPr="001C0111">
        <w:rPr>
          <w:noProof/>
          <w:lang w:val="en-IE" w:eastAsia="en-GB"/>
        </w:rPr>
        <w:tab/>
        <w:t xml:space="preserve">on own resources </w:t>
      </w:r>
    </w:p>
    <w:p w14:paraId="3F05CFCF" w14:textId="77777777" w:rsidR="001C0111" w:rsidRPr="001C0111" w:rsidRDefault="001C0111" w:rsidP="001C0111">
      <w:pPr>
        <w:numPr>
          <w:ilvl w:val="2"/>
          <w:numId w:val="0"/>
        </w:numPr>
        <w:tabs>
          <w:tab w:val="num" w:pos="1843"/>
        </w:tabs>
        <w:ind w:left="2126" w:hanging="709"/>
        <w:rPr>
          <w:noProof/>
          <w:lang w:val="en-IE" w:eastAsia="en-GB"/>
        </w:rPr>
      </w:pPr>
      <w:r w:rsidRPr="001C0111">
        <w:rPr>
          <w:rFonts w:ascii="Wingdings" w:eastAsia="Wingdings" w:hAnsi="Wingdings" w:cs="Wingdings"/>
          <w:noProof/>
          <w:lang w:val="en-IE" w:eastAsia="en-GB"/>
        </w:rPr>
        <w:t></w:t>
      </w:r>
      <w:r w:rsidRPr="001C0111">
        <w:rPr>
          <w:noProof/>
          <w:lang w:val="en-IE" w:eastAsia="en-GB"/>
        </w:rPr>
        <w:tab/>
        <w:t>on other revenue</w:t>
      </w:r>
    </w:p>
    <w:p w14:paraId="5D01FFD4" w14:textId="77777777" w:rsidR="001C0111" w:rsidRPr="001C0111" w:rsidRDefault="001C0111" w:rsidP="001C0111">
      <w:pPr>
        <w:numPr>
          <w:ilvl w:val="2"/>
          <w:numId w:val="0"/>
        </w:numPr>
        <w:tabs>
          <w:tab w:val="num" w:pos="2126"/>
        </w:tabs>
        <w:ind w:left="2126" w:hanging="709"/>
        <w:rPr>
          <w:noProof/>
          <w:lang w:val="en-IE" w:eastAsia="en-GB"/>
        </w:rPr>
      </w:pPr>
      <w:r w:rsidRPr="001C0111">
        <w:rPr>
          <w:noProof/>
          <w:lang w:val="en-IE" w:eastAsia="en-GB"/>
        </w:rPr>
        <w:t xml:space="preserve">please indicate, if the revenue is assigned to expenditure lines </w:t>
      </w:r>
      <w:r w:rsidRPr="001C0111">
        <w:rPr>
          <w:rFonts w:ascii="Wingdings" w:eastAsia="Wingdings" w:hAnsi="Wingdings" w:cs="Wingdings"/>
          <w:noProof/>
          <w:lang w:val="en-IE" w:eastAsia="en-GB"/>
        </w:rPr>
        <w:t></w:t>
      </w:r>
      <w:r w:rsidRPr="001C0111">
        <w:rPr>
          <w:noProof/>
          <w:lang w:val="en-IE" w:eastAsia="en-GB"/>
        </w:rPr>
        <w:tab/>
      </w:r>
    </w:p>
    <w:p w14:paraId="30C05ABB" w14:textId="77777777" w:rsidR="001C0111" w:rsidRPr="001C0111" w:rsidRDefault="001C0111" w:rsidP="001C0111">
      <w:pPr>
        <w:ind w:left="4320"/>
        <w:rPr>
          <w:i/>
          <w:noProof/>
          <w:sz w:val="20"/>
          <w:lang w:val="en-IE" w:eastAsia="en-GB"/>
        </w:rPr>
      </w:pPr>
      <w:r w:rsidRPr="001C0111">
        <w:rPr>
          <w:noProof/>
          <w:lang w:val="en-IE" w:eastAsia="en-GB"/>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1C0111" w:rsidRPr="001C0111" w14:paraId="11407E00" w14:textId="77777777" w:rsidTr="00EE4772">
        <w:trPr>
          <w:trHeight w:val="388"/>
        </w:trPr>
        <w:tc>
          <w:tcPr>
            <w:tcW w:w="2144" w:type="dxa"/>
            <w:vMerge w:val="restart"/>
            <w:vAlign w:val="center"/>
          </w:tcPr>
          <w:p w14:paraId="5E65954B" w14:textId="77777777" w:rsidR="001C0111" w:rsidRPr="001C0111" w:rsidRDefault="001C0111" w:rsidP="001C0111">
            <w:pPr>
              <w:spacing w:before="40" w:after="40"/>
              <w:rPr>
                <w:noProof/>
                <w:sz w:val="18"/>
                <w:lang w:val="en-IE" w:eastAsia="en-GB"/>
              </w:rPr>
            </w:pPr>
            <w:r w:rsidRPr="001C0111">
              <w:rPr>
                <w:noProof/>
                <w:sz w:val="18"/>
                <w:lang w:val="en-IE" w:eastAsia="en-GB"/>
              </w:rPr>
              <w:t>Budget revenue line:</w:t>
            </w:r>
          </w:p>
        </w:tc>
        <w:tc>
          <w:tcPr>
            <w:tcW w:w="1325" w:type="dxa"/>
            <w:vMerge w:val="restart"/>
            <w:vAlign w:val="center"/>
          </w:tcPr>
          <w:p w14:paraId="7A1D4485" w14:textId="77777777" w:rsidR="001C0111" w:rsidRPr="001C0111" w:rsidRDefault="001C0111" w:rsidP="001C0111">
            <w:pPr>
              <w:jc w:val="center"/>
              <w:rPr>
                <w:noProof/>
                <w:sz w:val="18"/>
                <w:lang w:val="en-IE" w:eastAsia="en-GB"/>
              </w:rPr>
            </w:pPr>
            <w:r w:rsidRPr="001C0111">
              <w:rPr>
                <w:noProof/>
                <w:sz w:val="18"/>
                <w:lang w:val="en-IE" w:eastAsia="en-GB"/>
              </w:rPr>
              <w:t>Appropriations available for the current financial year</w:t>
            </w:r>
          </w:p>
        </w:tc>
        <w:tc>
          <w:tcPr>
            <w:tcW w:w="7151" w:type="dxa"/>
            <w:gridSpan w:val="7"/>
            <w:vAlign w:val="center"/>
          </w:tcPr>
          <w:p w14:paraId="4FDAA032" w14:textId="77777777" w:rsidR="001C0111" w:rsidRPr="001C0111" w:rsidRDefault="001C0111" w:rsidP="001C0111">
            <w:pPr>
              <w:jc w:val="center"/>
              <w:rPr>
                <w:noProof/>
                <w:sz w:val="18"/>
                <w:lang w:val="en-IE" w:eastAsia="en-GB"/>
              </w:rPr>
            </w:pPr>
            <w:r w:rsidRPr="001C0111">
              <w:rPr>
                <w:noProof/>
                <w:sz w:val="18"/>
                <w:lang w:val="en-IE" w:eastAsia="en-GB"/>
              </w:rPr>
              <w:t>Impact of the proposal/initiative</w:t>
            </w:r>
            <w:r w:rsidRPr="006C662D">
              <w:rPr>
                <w:rStyle w:val="FootnoteReference"/>
                <w:noProof/>
              </w:rPr>
              <w:footnoteReference w:id="77"/>
            </w:r>
          </w:p>
        </w:tc>
      </w:tr>
      <w:tr w:rsidR="001C0111" w:rsidRPr="001C0111" w14:paraId="703EFF27" w14:textId="77777777" w:rsidTr="00EE4772">
        <w:trPr>
          <w:trHeight w:val="388"/>
        </w:trPr>
        <w:tc>
          <w:tcPr>
            <w:tcW w:w="2144" w:type="dxa"/>
            <w:vMerge/>
          </w:tcPr>
          <w:p w14:paraId="722E85B0" w14:textId="77777777" w:rsidR="001C0111" w:rsidRPr="001C0111" w:rsidRDefault="001C0111" w:rsidP="001C0111">
            <w:pPr>
              <w:spacing w:before="40" w:after="40"/>
              <w:rPr>
                <w:noProof/>
                <w:sz w:val="18"/>
                <w:lang w:val="en-IE" w:eastAsia="en-GB"/>
              </w:rPr>
            </w:pPr>
          </w:p>
        </w:tc>
        <w:tc>
          <w:tcPr>
            <w:tcW w:w="1325" w:type="dxa"/>
            <w:vMerge/>
          </w:tcPr>
          <w:p w14:paraId="7DCB99E9" w14:textId="77777777" w:rsidR="001C0111" w:rsidRPr="001C0111" w:rsidRDefault="001C0111" w:rsidP="001C0111">
            <w:pPr>
              <w:spacing w:beforeLines="40" w:before="96" w:afterLines="40" w:after="96"/>
              <w:rPr>
                <w:i/>
                <w:noProof/>
                <w:sz w:val="18"/>
                <w:lang w:val="en-IE" w:eastAsia="en-GB"/>
              </w:rPr>
            </w:pPr>
          </w:p>
        </w:tc>
        <w:tc>
          <w:tcPr>
            <w:tcW w:w="1031" w:type="dxa"/>
            <w:vAlign w:val="center"/>
          </w:tcPr>
          <w:p w14:paraId="06DC6BEB" w14:textId="77777777" w:rsidR="001C0111" w:rsidRPr="001C0111" w:rsidRDefault="001C0111" w:rsidP="001C0111">
            <w:pPr>
              <w:jc w:val="center"/>
              <w:rPr>
                <w:noProof/>
                <w:sz w:val="18"/>
                <w:lang w:val="en-IE" w:eastAsia="en-GB"/>
              </w:rPr>
            </w:pPr>
            <w:r w:rsidRPr="001C0111">
              <w:rPr>
                <w:noProof/>
                <w:sz w:val="18"/>
                <w:lang w:val="en-IE" w:eastAsia="en-GB"/>
              </w:rPr>
              <w:t>Year</w:t>
            </w:r>
            <w:r w:rsidRPr="001C0111">
              <w:rPr>
                <w:noProof/>
                <w:sz w:val="22"/>
                <w:lang w:val="en-IE" w:eastAsia="en-GB"/>
              </w:rPr>
              <w:br/>
            </w:r>
            <w:r w:rsidRPr="001C0111">
              <w:rPr>
                <w:b/>
                <w:noProof/>
                <w:sz w:val="18"/>
                <w:lang w:val="en-IE" w:eastAsia="en-GB"/>
              </w:rPr>
              <w:t>N</w:t>
            </w:r>
          </w:p>
        </w:tc>
        <w:tc>
          <w:tcPr>
            <w:tcW w:w="900" w:type="dxa"/>
            <w:vAlign w:val="center"/>
          </w:tcPr>
          <w:p w14:paraId="5124DBFB" w14:textId="77777777" w:rsidR="001C0111" w:rsidRPr="001C0111" w:rsidRDefault="001C0111" w:rsidP="001C0111">
            <w:pPr>
              <w:jc w:val="center"/>
              <w:rPr>
                <w:noProof/>
                <w:sz w:val="18"/>
                <w:lang w:val="en-IE" w:eastAsia="en-GB"/>
              </w:rPr>
            </w:pPr>
            <w:r w:rsidRPr="001C0111">
              <w:rPr>
                <w:noProof/>
                <w:sz w:val="18"/>
                <w:lang w:val="en-IE" w:eastAsia="en-GB"/>
              </w:rPr>
              <w:t>Year</w:t>
            </w:r>
            <w:r w:rsidRPr="001C0111">
              <w:rPr>
                <w:noProof/>
                <w:sz w:val="22"/>
                <w:lang w:val="en-IE" w:eastAsia="en-GB"/>
              </w:rPr>
              <w:br/>
            </w:r>
            <w:r w:rsidRPr="001C0111">
              <w:rPr>
                <w:b/>
                <w:noProof/>
                <w:sz w:val="18"/>
                <w:lang w:val="en-IE" w:eastAsia="en-GB"/>
              </w:rPr>
              <w:t>N+1</w:t>
            </w:r>
          </w:p>
        </w:tc>
        <w:tc>
          <w:tcPr>
            <w:tcW w:w="900" w:type="dxa"/>
            <w:vAlign w:val="center"/>
          </w:tcPr>
          <w:p w14:paraId="0E17FC36" w14:textId="77777777" w:rsidR="001C0111" w:rsidRPr="001C0111" w:rsidRDefault="001C0111" w:rsidP="001C0111">
            <w:pPr>
              <w:jc w:val="center"/>
              <w:rPr>
                <w:noProof/>
                <w:sz w:val="18"/>
                <w:lang w:val="en-IE" w:eastAsia="en-GB"/>
              </w:rPr>
            </w:pPr>
            <w:r w:rsidRPr="001C0111">
              <w:rPr>
                <w:noProof/>
                <w:sz w:val="18"/>
                <w:lang w:val="en-IE" w:eastAsia="en-GB"/>
              </w:rPr>
              <w:t>Year</w:t>
            </w:r>
            <w:r w:rsidRPr="001C0111">
              <w:rPr>
                <w:noProof/>
                <w:sz w:val="22"/>
                <w:lang w:val="en-IE" w:eastAsia="en-GB"/>
              </w:rPr>
              <w:br/>
            </w:r>
            <w:r w:rsidRPr="001C0111">
              <w:rPr>
                <w:b/>
                <w:noProof/>
                <w:sz w:val="18"/>
                <w:lang w:val="en-IE" w:eastAsia="en-GB"/>
              </w:rPr>
              <w:t>N+2</w:t>
            </w:r>
          </w:p>
        </w:tc>
        <w:tc>
          <w:tcPr>
            <w:tcW w:w="1080" w:type="dxa"/>
            <w:vAlign w:val="center"/>
          </w:tcPr>
          <w:p w14:paraId="493356CB" w14:textId="77777777" w:rsidR="001C0111" w:rsidRPr="001C0111" w:rsidRDefault="001C0111" w:rsidP="001C0111">
            <w:pPr>
              <w:jc w:val="center"/>
              <w:rPr>
                <w:noProof/>
                <w:sz w:val="18"/>
                <w:lang w:val="en-IE" w:eastAsia="en-GB"/>
              </w:rPr>
            </w:pPr>
            <w:r w:rsidRPr="001C0111">
              <w:rPr>
                <w:noProof/>
                <w:sz w:val="18"/>
                <w:lang w:val="en-IE" w:eastAsia="en-GB"/>
              </w:rPr>
              <w:t>Year</w:t>
            </w:r>
            <w:r w:rsidRPr="001C0111">
              <w:rPr>
                <w:noProof/>
                <w:sz w:val="22"/>
                <w:lang w:val="en-IE" w:eastAsia="en-GB"/>
              </w:rPr>
              <w:br/>
            </w:r>
            <w:r w:rsidRPr="001C0111">
              <w:rPr>
                <w:b/>
                <w:noProof/>
                <w:sz w:val="18"/>
                <w:lang w:val="en-IE" w:eastAsia="en-GB"/>
              </w:rPr>
              <w:t>N+3</w:t>
            </w:r>
          </w:p>
        </w:tc>
        <w:tc>
          <w:tcPr>
            <w:tcW w:w="3240" w:type="dxa"/>
            <w:gridSpan w:val="3"/>
            <w:vAlign w:val="center"/>
          </w:tcPr>
          <w:p w14:paraId="519585E8" w14:textId="77777777" w:rsidR="001C0111" w:rsidRPr="001C0111" w:rsidRDefault="001C0111" w:rsidP="001C0111">
            <w:pPr>
              <w:jc w:val="center"/>
              <w:rPr>
                <w:b/>
                <w:noProof/>
                <w:sz w:val="18"/>
                <w:lang w:val="en-IE" w:eastAsia="en-GB"/>
              </w:rPr>
            </w:pPr>
            <w:r w:rsidRPr="001C0111">
              <w:rPr>
                <w:noProof/>
                <w:sz w:val="18"/>
                <w:lang w:val="en-IE" w:eastAsia="en-GB"/>
              </w:rPr>
              <w:t>Enter as many years as necessary to show the duration of the impact (see point 1.6)</w:t>
            </w:r>
          </w:p>
        </w:tc>
      </w:tr>
      <w:tr w:rsidR="001C0111" w:rsidRPr="001C0111" w14:paraId="5E159D58" w14:textId="77777777" w:rsidTr="00EE4772">
        <w:trPr>
          <w:trHeight w:val="388"/>
        </w:trPr>
        <w:tc>
          <w:tcPr>
            <w:tcW w:w="2144" w:type="dxa"/>
            <w:vAlign w:val="center"/>
          </w:tcPr>
          <w:p w14:paraId="3BCF6E42" w14:textId="77777777" w:rsidR="001C0111" w:rsidRPr="001C0111" w:rsidRDefault="001C0111" w:rsidP="001C0111">
            <w:pPr>
              <w:spacing w:before="40" w:after="40"/>
              <w:rPr>
                <w:noProof/>
                <w:sz w:val="18"/>
                <w:lang w:val="en-IE" w:eastAsia="en-GB"/>
              </w:rPr>
            </w:pPr>
            <w:r w:rsidRPr="001C0111">
              <w:rPr>
                <w:noProof/>
                <w:sz w:val="18"/>
                <w:lang w:val="en-IE" w:eastAsia="en-GB"/>
              </w:rPr>
              <w:t>Article ………….</w:t>
            </w:r>
          </w:p>
        </w:tc>
        <w:tc>
          <w:tcPr>
            <w:tcW w:w="1325" w:type="dxa"/>
          </w:tcPr>
          <w:p w14:paraId="1FC5B3D1" w14:textId="77777777" w:rsidR="001C0111" w:rsidRPr="001C0111" w:rsidRDefault="001C0111" w:rsidP="001C0111">
            <w:pPr>
              <w:spacing w:beforeLines="40" w:before="96" w:afterLines="40" w:after="96"/>
              <w:jc w:val="center"/>
              <w:rPr>
                <w:i/>
                <w:noProof/>
                <w:sz w:val="18"/>
                <w:lang w:val="en-IE" w:eastAsia="en-GB"/>
              </w:rPr>
            </w:pPr>
          </w:p>
        </w:tc>
        <w:tc>
          <w:tcPr>
            <w:tcW w:w="1031" w:type="dxa"/>
          </w:tcPr>
          <w:p w14:paraId="7E902A98" w14:textId="77777777" w:rsidR="001C0111" w:rsidRPr="001C0111" w:rsidRDefault="001C0111" w:rsidP="001C0111">
            <w:pPr>
              <w:spacing w:beforeLines="40" w:before="96" w:afterLines="40" w:after="96"/>
              <w:jc w:val="center"/>
              <w:rPr>
                <w:noProof/>
                <w:sz w:val="18"/>
                <w:lang w:val="en-IE" w:eastAsia="en-GB"/>
              </w:rPr>
            </w:pPr>
          </w:p>
        </w:tc>
        <w:tc>
          <w:tcPr>
            <w:tcW w:w="900" w:type="dxa"/>
          </w:tcPr>
          <w:p w14:paraId="7BBF08F8" w14:textId="77777777" w:rsidR="001C0111" w:rsidRPr="001C0111" w:rsidRDefault="001C0111" w:rsidP="001C0111">
            <w:pPr>
              <w:spacing w:beforeLines="40" w:before="96" w:afterLines="40" w:after="96"/>
              <w:jc w:val="center"/>
              <w:rPr>
                <w:noProof/>
                <w:sz w:val="18"/>
                <w:lang w:val="en-IE" w:eastAsia="en-GB"/>
              </w:rPr>
            </w:pPr>
          </w:p>
        </w:tc>
        <w:tc>
          <w:tcPr>
            <w:tcW w:w="900" w:type="dxa"/>
          </w:tcPr>
          <w:p w14:paraId="6AC806C1" w14:textId="77777777" w:rsidR="001C0111" w:rsidRPr="001C0111" w:rsidRDefault="001C0111" w:rsidP="001C0111">
            <w:pPr>
              <w:spacing w:beforeLines="40" w:before="96" w:afterLines="40" w:after="96"/>
              <w:jc w:val="center"/>
              <w:rPr>
                <w:noProof/>
                <w:sz w:val="18"/>
                <w:lang w:val="en-IE" w:eastAsia="en-GB"/>
              </w:rPr>
            </w:pPr>
          </w:p>
        </w:tc>
        <w:tc>
          <w:tcPr>
            <w:tcW w:w="1080" w:type="dxa"/>
          </w:tcPr>
          <w:p w14:paraId="16B81346" w14:textId="77777777" w:rsidR="001C0111" w:rsidRPr="001C0111" w:rsidRDefault="001C0111" w:rsidP="001C0111">
            <w:pPr>
              <w:spacing w:beforeLines="40" w:before="96" w:afterLines="40" w:after="96"/>
              <w:jc w:val="center"/>
              <w:rPr>
                <w:noProof/>
                <w:sz w:val="18"/>
                <w:lang w:val="en-IE" w:eastAsia="en-GB"/>
              </w:rPr>
            </w:pPr>
          </w:p>
        </w:tc>
        <w:tc>
          <w:tcPr>
            <w:tcW w:w="1080" w:type="dxa"/>
          </w:tcPr>
          <w:p w14:paraId="2EC83355" w14:textId="77777777" w:rsidR="001C0111" w:rsidRPr="001C0111" w:rsidRDefault="001C0111" w:rsidP="001C0111">
            <w:pPr>
              <w:spacing w:beforeLines="40" w:before="96" w:afterLines="40" w:after="96"/>
              <w:jc w:val="center"/>
              <w:rPr>
                <w:noProof/>
                <w:sz w:val="18"/>
                <w:lang w:val="en-IE" w:eastAsia="en-GB"/>
              </w:rPr>
            </w:pPr>
          </w:p>
        </w:tc>
        <w:tc>
          <w:tcPr>
            <w:tcW w:w="1080" w:type="dxa"/>
          </w:tcPr>
          <w:p w14:paraId="5166019E" w14:textId="77777777" w:rsidR="001C0111" w:rsidRPr="001C0111" w:rsidRDefault="001C0111" w:rsidP="001C0111">
            <w:pPr>
              <w:spacing w:beforeLines="40" w:before="96" w:afterLines="40" w:after="96"/>
              <w:jc w:val="center"/>
              <w:rPr>
                <w:noProof/>
                <w:sz w:val="18"/>
                <w:lang w:val="en-IE" w:eastAsia="en-GB"/>
              </w:rPr>
            </w:pPr>
          </w:p>
        </w:tc>
        <w:tc>
          <w:tcPr>
            <w:tcW w:w="1080" w:type="dxa"/>
          </w:tcPr>
          <w:p w14:paraId="5158FE03" w14:textId="77777777" w:rsidR="001C0111" w:rsidRPr="001C0111" w:rsidRDefault="001C0111" w:rsidP="001C0111">
            <w:pPr>
              <w:spacing w:beforeLines="40" w:before="96" w:afterLines="40" w:after="96"/>
              <w:jc w:val="center"/>
              <w:rPr>
                <w:noProof/>
                <w:sz w:val="18"/>
                <w:lang w:val="en-IE" w:eastAsia="en-GB"/>
              </w:rPr>
            </w:pPr>
          </w:p>
        </w:tc>
      </w:tr>
    </w:tbl>
    <w:p w14:paraId="7E421427" w14:textId="77777777" w:rsidR="001C0111" w:rsidRPr="001C0111" w:rsidRDefault="001C0111" w:rsidP="001C0111">
      <w:pPr>
        <w:ind w:left="850"/>
        <w:rPr>
          <w:noProof/>
          <w:sz w:val="20"/>
          <w:lang w:val="en-IE" w:eastAsia="en-GB"/>
        </w:rPr>
      </w:pPr>
      <w:r w:rsidRPr="001C0111">
        <w:rPr>
          <w:noProof/>
          <w:sz w:val="20"/>
          <w:lang w:val="en-IE" w:eastAsia="en-GB"/>
        </w:rPr>
        <w:t>For assigned revenue, specify the budget expenditure line(s) affected.</w:t>
      </w:r>
    </w:p>
    <w:p w14:paraId="480C1E8B"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val="en-IE" w:eastAsia="en-GB"/>
        </w:rPr>
      </w:pPr>
      <w:r w:rsidRPr="001C0111">
        <w:rPr>
          <w:noProof/>
          <w:color w:val="0000FF"/>
          <w:lang w:val="en-IE" w:eastAsia="en-GB"/>
        </w:rPr>
        <w:t>[…]</w:t>
      </w:r>
    </w:p>
    <w:p w14:paraId="13FC9670" w14:textId="77777777" w:rsidR="001C0111" w:rsidRPr="001C0111" w:rsidRDefault="001C0111" w:rsidP="001C0111">
      <w:pPr>
        <w:ind w:left="850"/>
        <w:rPr>
          <w:noProof/>
          <w:sz w:val="20"/>
          <w:lang w:val="en-IE" w:eastAsia="en-GB"/>
        </w:rPr>
      </w:pPr>
      <w:r w:rsidRPr="001C0111">
        <w:rPr>
          <w:noProof/>
          <w:sz w:val="20"/>
          <w:lang w:val="en-IE" w:eastAsia="en-GB"/>
        </w:rPr>
        <w:t>Other remarks (e.g. method/formula used for calculating the impact on revenue or any other information).</w:t>
      </w:r>
    </w:p>
    <w:p w14:paraId="5C23F54B" w14:textId="77777777" w:rsidR="001C0111" w:rsidRPr="001C0111" w:rsidRDefault="001C0111" w:rsidP="001C0111">
      <w:pPr>
        <w:pBdr>
          <w:top w:val="single" w:sz="4" w:space="1" w:color="auto"/>
          <w:left w:val="single" w:sz="4" w:space="4" w:color="auto"/>
          <w:bottom w:val="single" w:sz="4" w:space="1" w:color="auto"/>
          <w:right w:val="single" w:sz="4" w:space="4" w:color="auto"/>
        </w:pBdr>
        <w:ind w:left="850"/>
        <w:rPr>
          <w:noProof/>
          <w:lang w:val="en-IE" w:eastAsia="en-GB"/>
        </w:rPr>
      </w:pPr>
      <w:r w:rsidRPr="001C0111">
        <w:rPr>
          <w:noProof/>
          <w:color w:val="0000FF"/>
          <w:lang w:val="en-IE" w:eastAsia="en-GB"/>
        </w:rPr>
        <w:t>[…]</w:t>
      </w:r>
    </w:p>
    <w:p w14:paraId="6A861755" w14:textId="77777777" w:rsidR="00231E72" w:rsidRPr="002744F0" w:rsidRDefault="00231E72" w:rsidP="005C4F36">
      <w:pPr>
        <w:jc w:val="center"/>
        <w:rPr>
          <w:noProof/>
        </w:rPr>
      </w:pPr>
    </w:p>
    <w:sectPr w:rsidR="00231E72" w:rsidRPr="002744F0" w:rsidSect="00A71C3C">
      <w:footnotePr>
        <w:numRestart w:val="eachSect"/>
      </w:footnotePr>
      <w:pgSz w:w="11907" w:h="16840"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7D57C" w16cex:dateUtc="2022-10-05T08:05:00Z"/>
  <w16cex:commentExtensible w16cex:durableId="26E7D868" w16cex:dateUtc="2022-10-05T08:18:00Z"/>
  <w16cex:commentExtensible w16cex:durableId="26E7DA08" w16cex:dateUtc="2022-10-05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9F0D80" w16cid:durableId="26E7D57C"/>
  <w16cid:commentId w16cid:paraId="70DCF06F" w16cid:durableId="26E1494E"/>
  <w16cid:commentId w16cid:paraId="5EC3F681" w16cid:durableId="26E1494F"/>
  <w16cid:commentId w16cid:paraId="631E98FC" w16cid:durableId="26E14951"/>
  <w16cid:commentId w16cid:paraId="4080C8DE" w16cid:durableId="26E14950"/>
  <w16cid:commentId w16cid:paraId="41A54BCD" w16cid:durableId="26E7D868"/>
  <w16cid:commentId w16cid:paraId="1207BD68" w16cid:durableId="26E7DA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1D731" w14:textId="77777777" w:rsidR="00D23FFC" w:rsidRDefault="00D23FFC" w:rsidP="0047629D">
      <w:pPr>
        <w:spacing w:before="0" w:after="0"/>
      </w:pPr>
      <w:r>
        <w:separator/>
      </w:r>
    </w:p>
  </w:endnote>
  <w:endnote w:type="continuationSeparator" w:id="0">
    <w:p w14:paraId="70A45CBA" w14:textId="77777777" w:rsidR="00D23FFC" w:rsidRDefault="00D23FFC" w:rsidP="0047629D">
      <w:pPr>
        <w:spacing w:before="0" w:after="0"/>
      </w:pPr>
      <w:r>
        <w:continuationSeparator/>
      </w:r>
    </w:p>
  </w:endnote>
  <w:endnote w:type="continuationNotice" w:id="1">
    <w:p w14:paraId="731F0A67" w14:textId="77777777" w:rsidR="00D23FFC" w:rsidRDefault="00D23F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___WRD_EMBED_SUB_178">
    <w:altName w:val="MS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Roboto">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5C775" w14:textId="343625CD" w:rsidR="00C64032" w:rsidRPr="00A71C3C" w:rsidRDefault="00A71C3C" w:rsidP="00A71C3C">
    <w:pPr>
      <w:pStyle w:val="Footer"/>
      <w:rPr>
        <w:rFonts w:ascii="Arial" w:hAnsi="Arial" w:cs="Arial"/>
        <w:b/>
        <w:sz w:val="48"/>
      </w:rPr>
    </w:pPr>
    <w:r w:rsidRPr="00A71C3C">
      <w:rPr>
        <w:rFonts w:ascii="Arial" w:hAnsi="Arial" w:cs="Arial"/>
        <w:b/>
        <w:sz w:val="48"/>
      </w:rPr>
      <w:t>EN</w:t>
    </w:r>
    <w:r w:rsidRPr="00A71C3C">
      <w:rPr>
        <w:rFonts w:ascii="Arial" w:hAnsi="Arial" w:cs="Arial"/>
        <w:b/>
        <w:sz w:val="48"/>
      </w:rPr>
      <w:tab/>
    </w:r>
    <w:r w:rsidRPr="00A71C3C">
      <w:rPr>
        <w:rFonts w:ascii="Arial" w:hAnsi="Arial" w:cs="Arial"/>
        <w:b/>
        <w:sz w:val="48"/>
      </w:rPr>
      <w:tab/>
    </w:r>
    <w:r w:rsidRPr="00A71C3C">
      <w:tab/>
    </w:r>
    <w:r w:rsidRPr="00A71C3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0D66" w14:textId="5169AD08" w:rsidR="00A71C3C" w:rsidRPr="00A71C3C" w:rsidRDefault="00A71C3C" w:rsidP="00A71C3C">
    <w:pPr>
      <w:pStyle w:val="Footer"/>
      <w:rPr>
        <w:rFonts w:ascii="Arial" w:hAnsi="Arial" w:cs="Arial"/>
        <w:b/>
        <w:sz w:val="48"/>
      </w:rPr>
    </w:pPr>
    <w:r w:rsidRPr="00A71C3C">
      <w:rPr>
        <w:rFonts w:ascii="Arial" w:hAnsi="Arial" w:cs="Arial"/>
        <w:b/>
        <w:sz w:val="48"/>
      </w:rPr>
      <w:t>EN</w:t>
    </w:r>
    <w:r w:rsidRPr="00A71C3C">
      <w:rPr>
        <w:rFonts w:ascii="Arial" w:hAnsi="Arial" w:cs="Arial"/>
        <w:b/>
        <w:sz w:val="48"/>
      </w:rPr>
      <w:tab/>
    </w:r>
    <w:r>
      <w:fldChar w:fldCharType="begin"/>
    </w:r>
    <w:r>
      <w:instrText xml:space="preserve"> PAGE  \* MERGEFORMAT </w:instrText>
    </w:r>
    <w:r>
      <w:fldChar w:fldCharType="separate"/>
    </w:r>
    <w:r w:rsidR="00B0314F">
      <w:rPr>
        <w:noProof/>
      </w:rPr>
      <w:t>48</w:t>
    </w:r>
    <w:r>
      <w:fldChar w:fldCharType="end"/>
    </w:r>
    <w:r>
      <w:tab/>
    </w:r>
    <w:r w:rsidRPr="00A71C3C">
      <w:tab/>
    </w:r>
    <w:r w:rsidRPr="00A71C3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C964" w14:textId="77777777" w:rsidR="00A71C3C" w:rsidRPr="00A71C3C" w:rsidRDefault="00A71C3C" w:rsidP="00A71C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17D69" w14:textId="4D2C7D00" w:rsidR="00A71C3C" w:rsidRPr="00A71C3C" w:rsidRDefault="00A71C3C" w:rsidP="00A71C3C">
    <w:pPr>
      <w:pStyle w:val="FooterLandscape"/>
      <w:rPr>
        <w:rFonts w:ascii="Arial" w:hAnsi="Arial" w:cs="Arial"/>
        <w:b/>
        <w:sz w:val="48"/>
      </w:rPr>
    </w:pPr>
    <w:r w:rsidRPr="00A71C3C">
      <w:rPr>
        <w:rFonts w:ascii="Arial" w:hAnsi="Arial" w:cs="Arial"/>
        <w:b/>
        <w:sz w:val="48"/>
      </w:rPr>
      <w:t>EN</w:t>
    </w:r>
    <w:r w:rsidRPr="00A71C3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71C3C">
      <w:tab/>
    </w:r>
    <w:r w:rsidRPr="00A71C3C">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E155" w14:textId="77777777" w:rsidR="00A71C3C" w:rsidRPr="00A71C3C" w:rsidRDefault="00A71C3C" w:rsidP="00A71C3C">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8B76E" w14:textId="69052318" w:rsidR="00A71C3C" w:rsidRPr="00A71C3C" w:rsidRDefault="00A71C3C" w:rsidP="00A71C3C">
    <w:pPr>
      <w:pStyle w:val="Footer"/>
      <w:rPr>
        <w:rFonts w:ascii="Arial" w:hAnsi="Arial" w:cs="Arial"/>
        <w:b/>
        <w:sz w:val="48"/>
      </w:rPr>
    </w:pPr>
    <w:r w:rsidRPr="00A71C3C">
      <w:rPr>
        <w:rFonts w:ascii="Arial" w:hAnsi="Arial" w:cs="Arial"/>
        <w:b/>
        <w:sz w:val="48"/>
      </w:rPr>
      <w:t>EN</w:t>
    </w:r>
    <w:r w:rsidRPr="00A71C3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71C3C">
      <w:tab/>
    </w:r>
    <w:r w:rsidRPr="00A71C3C">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F43D8" w14:textId="77777777" w:rsidR="00A71C3C" w:rsidRPr="00A71C3C" w:rsidRDefault="00A71C3C" w:rsidP="00A71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8608E" w14:textId="77777777" w:rsidR="00D23FFC" w:rsidRDefault="00D23FFC" w:rsidP="0047629D">
      <w:pPr>
        <w:spacing w:before="0" w:after="0"/>
      </w:pPr>
      <w:r>
        <w:separator/>
      </w:r>
    </w:p>
  </w:footnote>
  <w:footnote w:type="continuationSeparator" w:id="0">
    <w:p w14:paraId="152F5FE4" w14:textId="77777777" w:rsidR="00D23FFC" w:rsidRDefault="00D23FFC" w:rsidP="0047629D">
      <w:pPr>
        <w:spacing w:before="0" w:after="0"/>
      </w:pPr>
      <w:r>
        <w:continuationSeparator/>
      </w:r>
    </w:p>
  </w:footnote>
  <w:footnote w:type="continuationNotice" w:id="1">
    <w:p w14:paraId="6F55FD40" w14:textId="77777777" w:rsidR="00D23FFC" w:rsidRDefault="00D23FFC">
      <w:pPr>
        <w:spacing w:before="0" w:after="0"/>
      </w:pPr>
    </w:p>
  </w:footnote>
  <w:footnote w:id="2">
    <w:p w14:paraId="5B9C3CB1" w14:textId="77777777" w:rsidR="00D23FFC" w:rsidRPr="00FB7B4D" w:rsidRDefault="00D23FFC" w:rsidP="005E4546">
      <w:pPr>
        <w:pStyle w:val="FootnoteText"/>
        <w:rPr>
          <w:lang w:val="en-US"/>
        </w:rPr>
      </w:pPr>
      <w:r w:rsidRPr="00F71E9E">
        <w:rPr>
          <w:rStyle w:val="FootnoteReference"/>
        </w:rPr>
        <w:footnoteRef/>
      </w:r>
      <w:r>
        <w:tab/>
      </w:r>
      <w:r w:rsidRPr="00FB7B4D">
        <w:rPr>
          <w:lang w:val="en-US"/>
        </w:rPr>
        <w:t xml:space="preserve">Directive 2000/60/EC of the European Parliament and of the Council </w:t>
      </w:r>
      <w:r>
        <w:rPr>
          <w:lang w:val="en-US"/>
        </w:rPr>
        <w:t xml:space="preserve">of </w:t>
      </w:r>
      <w:r w:rsidRPr="005E4546">
        <w:rPr>
          <w:lang w:val="en-US"/>
        </w:rPr>
        <w:t>23 October 2000</w:t>
      </w:r>
      <w:r>
        <w:rPr>
          <w:lang w:val="en-US"/>
        </w:rPr>
        <w:t xml:space="preserve"> </w:t>
      </w:r>
      <w:r w:rsidRPr="005E4546">
        <w:rPr>
          <w:lang w:val="en-US"/>
        </w:rPr>
        <w:t>establishing a framework for Community action in the field of water policy</w:t>
      </w:r>
      <w:r>
        <w:rPr>
          <w:lang w:val="en-US"/>
        </w:rPr>
        <w:t xml:space="preserve"> (</w:t>
      </w:r>
      <w:r w:rsidRPr="005E4546">
        <w:rPr>
          <w:lang w:val="en-US"/>
        </w:rPr>
        <w:t>OJ L 327, 22.12.2000, p. 1</w:t>
      </w:r>
      <w:r>
        <w:rPr>
          <w:lang w:val="en-US"/>
        </w:rPr>
        <w:t>).</w:t>
      </w:r>
    </w:p>
  </w:footnote>
  <w:footnote w:id="3">
    <w:p w14:paraId="13D128B2" w14:textId="77777777" w:rsidR="00D23FFC" w:rsidRPr="00FB7B4D" w:rsidRDefault="00D23FFC" w:rsidP="005E4546">
      <w:pPr>
        <w:pStyle w:val="FootnoteText"/>
        <w:rPr>
          <w:lang w:val="en-US"/>
        </w:rPr>
      </w:pPr>
      <w:r w:rsidRPr="00F71E9E">
        <w:rPr>
          <w:rStyle w:val="FootnoteReference"/>
        </w:rPr>
        <w:footnoteRef/>
      </w:r>
      <w:r>
        <w:tab/>
      </w:r>
      <w:r w:rsidRPr="00FB7B4D">
        <w:rPr>
          <w:lang w:val="en-US"/>
        </w:rPr>
        <w:t>Directive 2006/118/EC of the European Parliament and of t</w:t>
      </w:r>
      <w:r>
        <w:rPr>
          <w:lang w:val="en-US"/>
        </w:rPr>
        <w:t xml:space="preserve">he Council of </w:t>
      </w:r>
      <w:r w:rsidRPr="005E4546">
        <w:rPr>
          <w:lang w:val="en-US"/>
        </w:rPr>
        <w:t>12 December 2006</w:t>
      </w:r>
      <w:r>
        <w:rPr>
          <w:lang w:val="en-US"/>
        </w:rPr>
        <w:t xml:space="preserve"> </w:t>
      </w:r>
      <w:r w:rsidRPr="005E4546">
        <w:rPr>
          <w:lang w:val="en-US"/>
        </w:rPr>
        <w:t>on the protection of groundwater against pollution and deterioration</w:t>
      </w:r>
      <w:r>
        <w:rPr>
          <w:lang w:val="en-US"/>
        </w:rPr>
        <w:t xml:space="preserve"> (</w:t>
      </w:r>
      <w:r w:rsidRPr="005E4546">
        <w:rPr>
          <w:lang w:val="en-US"/>
        </w:rPr>
        <w:t>OJ L 372, 27.12.2006, p. 19</w:t>
      </w:r>
      <w:r>
        <w:rPr>
          <w:lang w:val="en-US"/>
        </w:rPr>
        <w:t>).</w:t>
      </w:r>
    </w:p>
  </w:footnote>
  <w:footnote w:id="4">
    <w:p w14:paraId="5A12F8B3" w14:textId="77777777" w:rsidR="00D23FFC" w:rsidRPr="00FB7B4D" w:rsidRDefault="00D23FFC" w:rsidP="005E4546">
      <w:pPr>
        <w:pStyle w:val="FootnoteText"/>
        <w:rPr>
          <w:lang w:val="en-US"/>
        </w:rPr>
      </w:pPr>
      <w:r w:rsidRPr="00F71E9E">
        <w:rPr>
          <w:rStyle w:val="FootnoteReference"/>
        </w:rPr>
        <w:footnoteRef/>
      </w:r>
      <w:r>
        <w:tab/>
      </w:r>
      <w:r w:rsidRPr="00FB7B4D">
        <w:rPr>
          <w:lang w:val="en-US"/>
        </w:rPr>
        <w:t>Directive 2008/105/EC of the European P</w:t>
      </w:r>
      <w:r>
        <w:rPr>
          <w:lang w:val="en-US"/>
        </w:rPr>
        <w:t xml:space="preserve">arliament and of the Council of </w:t>
      </w:r>
      <w:r w:rsidRPr="005E4546">
        <w:rPr>
          <w:lang w:val="en-US"/>
        </w:rPr>
        <w:t>16 December 2008</w:t>
      </w:r>
      <w:r>
        <w:rPr>
          <w:lang w:val="en-US"/>
        </w:rPr>
        <w:t xml:space="preserve"> </w:t>
      </w:r>
      <w:r w:rsidRPr="005E4546">
        <w:rPr>
          <w:lang w:val="en-US"/>
        </w:rPr>
        <w:t>on environmental quality standards in the field of water policy, amending and subsequently repealing Council Directives 82/176/EEC, 83/513/EEC, 84/156/EEC, 84/491/EEC, 86/280/EEC and amending Directive 2000/60/EC of the European Parliament and of the Council</w:t>
      </w:r>
      <w:r>
        <w:rPr>
          <w:lang w:val="en-US"/>
        </w:rPr>
        <w:t xml:space="preserve"> (</w:t>
      </w:r>
      <w:r w:rsidRPr="005E4546">
        <w:rPr>
          <w:lang w:val="en-US"/>
        </w:rPr>
        <w:t>OJ L 348, 24.12.2008, p. 84</w:t>
      </w:r>
      <w:r>
        <w:rPr>
          <w:lang w:val="en-US"/>
        </w:rPr>
        <w:t>).</w:t>
      </w:r>
    </w:p>
  </w:footnote>
  <w:footnote w:id="5">
    <w:p w14:paraId="24DBC22C" w14:textId="77777777" w:rsidR="00D23FFC" w:rsidRDefault="00D23FFC" w:rsidP="002C5E26">
      <w:pPr>
        <w:pStyle w:val="FootnoteText"/>
      </w:pPr>
      <w:r w:rsidRPr="00B72FB9">
        <w:rPr>
          <w:rStyle w:val="FootnoteReference"/>
        </w:rPr>
        <w:footnoteRef/>
      </w:r>
      <w:r>
        <w:tab/>
        <w:t>Council Directive 91/676/EEC of 12 December 1991 concerning the protection of waters against pollution caused by nitrates from agricultural sources (OJ L 375, 31.12.1991, p. 1).</w:t>
      </w:r>
    </w:p>
  </w:footnote>
  <w:footnote w:id="6">
    <w:p w14:paraId="1DB4CEFA" w14:textId="77777777" w:rsidR="00D23FFC" w:rsidRPr="00FB7B4D" w:rsidRDefault="00D23FFC">
      <w:pPr>
        <w:pStyle w:val="FootnoteText"/>
        <w:rPr>
          <w:lang w:val="en-US"/>
        </w:rPr>
      </w:pPr>
      <w:r w:rsidRPr="00F71E9E">
        <w:rPr>
          <w:rStyle w:val="FootnoteReference"/>
        </w:rPr>
        <w:footnoteRef/>
      </w:r>
      <w:r>
        <w:tab/>
      </w:r>
      <w:r w:rsidRPr="00FB7B4D">
        <w:rPr>
          <w:lang w:val="en-US"/>
        </w:rPr>
        <w:t xml:space="preserve">Directive (EU) 2020/2184 of the European Parliament and of the Council of 16 December 2020 on the quality of water intended for human consumption </w:t>
      </w:r>
      <w:r>
        <w:rPr>
          <w:lang w:val="en-US"/>
        </w:rPr>
        <w:t>(</w:t>
      </w:r>
      <w:r w:rsidRPr="00FB7B4D">
        <w:rPr>
          <w:lang w:val="en-US"/>
        </w:rPr>
        <w:t>OJ L 435, 23.12.2020, p. 1</w:t>
      </w:r>
      <w:r>
        <w:rPr>
          <w:lang w:val="en-US"/>
        </w:rPr>
        <w:t>).</w:t>
      </w:r>
    </w:p>
  </w:footnote>
  <w:footnote w:id="7">
    <w:p w14:paraId="3C75211D" w14:textId="77777777" w:rsidR="00D23FFC" w:rsidRPr="00FB7B4D" w:rsidRDefault="00D23FFC">
      <w:pPr>
        <w:pStyle w:val="FootnoteText"/>
        <w:rPr>
          <w:lang w:val="en-US"/>
        </w:rPr>
      </w:pPr>
      <w:r w:rsidRPr="00F71E9E">
        <w:rPr>
          <w:rStyle w:val="FootnoteReference"/>
        </w:rPr>
        <w:footnoteRef/>
      </w:r>
      <w:r>
        <w:tab/>
      </w:r>
      <w:r w:rsidRPr="00FB7B4D">
        <w:rPr>
          <w:lang w:val="en-US"/>
        </w:rPr>
        <w:t xml:space="preserve">Council Directive 91/271/EEC of 21 May 1991 concerning urban waste-water treatment </w:t>
      </w:r>
      <w:r>
        <w:rPr>
          <w:lang w:val="en-US"/>
        </w:rPr>
        <w:t>(</w:t>
      </w:r>
      <w:r w:rsidRPr="00FB7B4D">
        <w:rPr>
          <w:lang w:val="en-US"/>
        </w:rPr>
        <w:t>OJ L 135, 30.5.1991, p. 40</w:t>
      </w:r>
      <w:r>
        <w:rPr>
          <w:lang w:val="en-US"/>
        </w:rPr>
        <w:t>).</w:t>
      </w:r>
    </w:p>
  </w:footnote>
  <w:footnote w:id="8">
    <w:p w14:paraId="74843CA2" w14:textId="77777777" w:rsidR="00D23FFC" w:rsidRPr="00FB7B4D" w:rsidRDefault="00D23FFC">
      <w:pPr>
        <w:pStyle w:val="FootnoteText"/>
        <w:rPr>
          <w:lang w:val="en-US"/>
        </w:rPr>
      </w:pPr>
      <w:r w:rsidRPr="00F71E9E">
        <w:rPr>
          <w:rStyle w:val="FootnoteReference"/>
        </w:rPr>
        <w:footnoteRef/>
      </w:r>
      <w:r>
        <w:tab/>
      </w:r>
      <w:r w:rsidRPr="00FB7B4D">
        <w:rPr>
          <w:lang w:val="en-US"/>
        </w:rPr>
        <w:t xml:space="preserve">Directive 2008/56/EC of the European Parliament and of the Council of 17 June 2008 establishing a framework for community action in the field of marine environmental policy </w:t>
      </w:r>
      <w:r>
        <w:rPr>
          <w:lang w:val="en-US"/>
        </w:rPr>
        <w:t>(</w:t>
      </w:r>
      <w:r w:rsidRPr="00FB7B4D">
        <w:rPr>
          <w:lang w:val="en-US"/>
        </w:rPr>
        <w:t>OJ L 164, 25.6.2008, p. 19</w:t>
      </w:r>
      <w:r>
        <w:rPr>
          <w:lang w:val="en-US"/>
        </w:rPr>
        <w:t>).</w:t>
      </w:r>
    </w:p>
  </w:footnote>
  <w:footnote w:id="9">
    <w:p w14:paraId="101710A9" w14:textId="77777777" w:rsidR="00D23FFC" w:rsidRPr="00FB7B4D" w:rsidRDefault="00D23FFC">
      <w:pPr>
        <w:pStyle w:val="FootnoteText"/>
        <w:rPr>
          <w:lang w:val="en-US"/>
        </w:rPr>
      </w:pPr>
      <w:r w:rsidRPr="00F71E9E">
        <w:rPr>
          <w:rStyle w:val="FootnoteReference"/>
        </w:rPr>
        <w:footnoteRef/>
      </w:r>
      <w:r>
        <w:tab/>
      </w:r>
      <w:r w:rsidRPr="00AC2732">
        <w:rPr>
          <w:lang w:val="en-US"/>
        </w:rPr>
        <w:t xml:space="preserve">Directive 2006/7/EC of the European Parliament and of the Council of 15 February 2006 concerning the management of bathing water quality and repealing Directive 76/160/EEC </w:t>
      </w:r>
      <w:r>
        <w:rPr>
          <w:lang w:val="en-US"/>
        </w:rPr>
        <w:t>(</w:t>
      </w:r>
      <w:r w:rsidRPr="00AC2732">
        <w:rPr>
          <w:lang w:val="en-US"/>
        </w:rPr>
        <w:t>OJ L 64, 4.3.2006, p. 37</w:t>
      </w:r>
      <w:r>
        <w:rPr>
          <w:lang w:val="en-US"/>
        </w:rPr>
        <w:t>).</w:t>
      </w:r>
    </w:p>
  </w:footnote>
  <w:footnote w:id="10">
    <w:p w14:paraId="5FE6D5F8" w14:textId="77777777" w:rsidR="00D23FFC" w:rsidRPr="00CF6652" w:rsidRDefault="00D23FFC">
      <w:pPr>
        <w:pStyle w:val="FootnoteText"/>
        <w:rPr>
          <w:lang w:val="en-US"/>
        </w:rPr>
      </w:pPr>
      <w:r w:rsidRPr="00F71E9E">
        <w:rPr>
          <w:rStyle w:val="FootnoteReference"/>
        </w:rPr>
        <w:footnoteRef/>
      </w:r>
      <w:r>
        <w:tab/>
      </w:r>
      <w:r w:rsidRPr="00FB7B4D">
        <w:rPr>
          <w:lang w:val="en-US"/>
        </w:rPr>
        <w:t xml:space="preserve">Directive 2007/60/EC of the European Parliament and of the Council of 23 October 2007 on the </w:t>
      </w:r>
      <w:r w:rsidRPr="00CF6652">
        <w:rPr>
          <w:lang w:val="en-US"/>
        </w:rPr>
        <w:t xml:space="preserve">assessment and management of flood risks </w:t>
      </w:r>
      <w:r>
        <w:rPr>
          <w:lang w:val="en-US"/>
        </w:rPr>
        <w:t>(</w:t>
      </w:r>
      <w:r w:rsidRPr="00CF6652">
        <w:rPr>
          <w:lang w:val="en-US"/>
        </w:rPr>
        <w:t>OJ L 288, 6.11.2007, p. 27</w:t>
      </w:r>
      <w:r>
        <w:rPr>
          <w:lang w:val="en-US"/>
        </w:rPr>
        <w:t>).</w:t>
      </w:r>
    </w:p>
  </w:footnote>
  <w:footnote w:id="11">
    <w:p w14:paraId="35AB7C3D" w14:textId="77777777" w:rsidR="00D23FFC" w:rsidRPr="00CF6652" w:rsidRDefault="00D23FFC">
      <w:pPr>
        <w:pStyle w:val="FootnoteText"/>
        <w:rPr>
          <w:lang w:val="en-US"/>
        </w:rPr>
      </w:pPr>
      <w:r w:rsidRPr="00CF6652">
        <w:rPr>
          <w:rStyle w:val="FootnoteReference"/>
        </w:rPr>
        <w:footnoteRef/>
      </w:r>
      <w:r w:rsidRPr="00CF6652">
        <w:tab/>
      </w:r>
      <w:r w:rsidRPr="00CF6652">
        <w:rPr>
          <w:lang w:val="en-US"/>
        </w:rPr>
        <w:t xml:space="preserve">Council Directive 91/676/EEC of 12 December 1991 concerning the protection of waters against pollution caused by nitrates from agricultural sources </w:t>
      </w:r>
      <w:r>
        <w:rPr>
          <w:lang w:val="en-US"/>
        </w:rPr>
        <w:t>(</w:t>
      </w:r>
      <w:r w:rsidRPr="00CF6652">
        <w:rPr>
          <w:lang w:val="en-US"/>
        </w:rPr>
        <w:t>OJ L 375, 31.12.1991, p. 1</w:t>
      </w:r>
      <w:r>
        <w:rPr>
          <w:lang w:val="en-US"/>
        </w:rPr>
        <w:t>).</w:t>
      </w:r>
    </w:p>
  </w:footnote>
  <w:footnote w:id="12">
    <w:p w14:paraId="0EC9EE47" w14:textId="77777777" w:rsidR="00D23FFC" w:rsidRPr="00510B2B" w:rsidRDefault="00D23FFC" w:rsidP="001A23F5">
      <w:pPr>
        <w:pStyle w:val="FootnoteText"/>
        <w:rPr>
          <w:sz w:val="18"/>
          <w:szCs w:val="18"/>
          <w:lang w:val="en-IE"/>
        </w:rPr>
      </w:pPr>
      <w:r w:rsidRPr="00CF6652">
        <w:rPr>
          <w:rStyle w:val="FootnoteReference"/>
        </w:rPr>
        <w:footnoteRef/>
      </w:r>
      <w:r w:rsidRPr="00CF6652">
        <w:tab/>
        <w:t>Article 16(4) and 16(7) of Directive 2000/60/EC</w:t>
      </w:r>
      <w:r>
        <w:t xml:space="preserve"> (WFD)</w:t>
      </w:r>
      <w:r w:rsidRPr="00CF6652">
        <w:t>; Article 7 of Directive 2008/105/EC (EQSD) and Article 10 of Directive 2006/118/EC (GWD)</w:t>
      </w:r>
      <w:r>
        <w:rPr>
          <w:sz w:val="18"/>
          <w:szCs w:val="18"/>
        </w:rPr>
        <w:t>.</w:t>
      </w:r>
    </w:p>
  </w:footnote>
  <w:footnote w:id="13">
    <w:p w14:paraId="73C6E385" w14:textId="77777777" w:rsidR="00D23FFC" w:rsidRPr="00FB7B4D" w:rsidRDefault="00D23FFC" w:rsidP="002C5E26">
      <w:pPr>
        <w:pStyle w:val="FootnoteText"/>
        <w:rPr>
          <w:lang w:val="en-US"/>
        </w:rPr>
      </w:pPr>
      <w:r w:rsidRPr="00B72FB9">
        <w:rPr>
          <w:rStyle w:val="FootnoteReference"/>
        </w:rPr>
        <w:footnoteRef/>
      </w:r>
      <w:r>
        <w:rPr>
          <w:lang w:val="en-US"/>
        </w:rPr>
        <w:tab/>
        <w:t xml:space="preserve">Commission Staff Working Document Fitness check </w:t>
      </w:r>
      <w:r w:rsidRPr="002C5E26">
        <w:rPr>
          <w:lang w:val="en-US"/>
        </w:rPr>
        <w:t>of the</w:t>
      </w:r>
      <w:r>
        <w:rPr>
          <w:lang w:val="en-US"/>
        </w:rPr>
        <w:t xml:space="preserve"> </w:t>
      </w:r>
      <w:r w:rsidRPr="002C5E26">
        <w:rPr>
          <w:lang w:val="en-US"/>
        </w:rPr>
        <w:t>Water Framework Directive, Groundwater Directive, Environmental Quality Standards Directive and Floods Directive</w:t>
      </w:r>
      <w:r>
        <w:rPr>
          <w:lang w:val="en-US"/>
        </w:rPr>
        <w:t>,</w:t>
      </w:r>
      <w:r w:rsidRPr="002C5E26">
        <w:rPr>
          <w:lang w:val="en-US"/>
        </w:rPr>
        <w:t xml:space="preserve"> </w:t>
      </w:r>
      <w:r>
        <w:t>SWD(2019) 439 final.</w:t>
      </w:r>
    </w:p>
  </w:footnote>
  <w:footnote w:id="14">
    <w:p w14:paraId="30135B54" w14:textId="77777777" w:rsidR="00D23FFC" w:rsidRPr="00FB7B4D" w:rsidRDefault="00D23FFC">
      <w:pPr>
        <w:pStyle w:val="FootnoteText"/>
        <w:rPr>
          <w:lang w:val="en-US"/>
        </w:rPr>
      </w:pPr>
      <w:r w:rsidRPr="00F71E9E">
        <w:rPr>
          <w:rStyle w:val="FootnoteReference"/>
        </w:rPr>
        <w:footnoteRef/>
      </w:r>
      <w:r>
        <w:tab/>
      </w:r>
      <w:r w:rsidRPr="00056011">
        <w:t>Communication from the Commission to the European Parliament, the Council, the European Economic and Social Committee and the Committee of the Regions</w:t>
      </w:r>
      <w:r>
        <w:t>,</w:t>
      </w:r>
      <w:r w:rsidRPr="00056011">
        <w:t xml:space="preserve"> EU Biodiversity Strategy for 2030</w:t>
      </w:r>
      <w:r>
        <w:t xml:space="preserve"> -</w:t>
      </w:r>
      <w:r w:rsidRPr="00056011">
        <w:t xml:space="preserve"> Bringing nature back into our lives</w:t>
      </w:r>
      <w:r>
        <w:t>,</w:t>
      </w:r>
      <w:r w:rsidRPr="00056011">
        <w:t xml:space="preserve"> COM(2020) 380 final</w:t>
      </w:r>
      <w:r>
        <w:t>.</w:t>
      </w:r>
    </w:p>
  </w:footnote>
  <w:footnote w:id="15">
    <w:p w14:paraId="71A382A6" w14:textId="77777777" w:rsidR="00D23FFC" w:rsidRPr="00CF6652" w:rsidRDefault="00D23FFC">
      <w:pPr>
        <w:pStyle w:val="FootnoteText"/>
        <w:rPr>
          <w:lang w:val="en-IE"/>
        </w:rPr>
      </w:pPr>
      <w:r w:rsidRPr="006C662D">
        <w:rPr>
          <w:rStyle w:val="FootnoteReference"/>
        </w:rPr>
        <w:footnoteRef/>
      </w:r>
      <w:r>
        <w:tab/>
      </w:r>
      <w:r w:rsidRPr="00056011">
        <w:t>Communication from the Commission to the European Parliament, the Council, the European Economic and Social Committee and the Committee of the Regions</w:t>
      </w:r>
      <w:r>
        <w:t>,</w:t>
      </w:r>
      <w:r w:rsidRPr="00056011">
        <w:t xml:space="preserve"> EU </w:t>
      </w:r>
      <w:r>
        <w:t>Action Plan Towards Zero Pollution for Air, Water and Soil – Pathway to a Healthy Planet for All,</w:t>
      </w:r>
      <w:r w:rsidRPr="00056011">
        <w:t xml:space="preserve"> COM(202</w:t>
      </w:r>
      <w:r>
        <w:t>1</w:t>
      </w:r>
      <w:r w:rsidRPr="00056011">
        <w:t xml:space="preserve">) </w:t>
      </w:r>
      <w:r>
        <w:t>400</w:t>
      </w:r>
      <w:r w:rsidRPr="00056011">
        <w:t xml:space="preserve"> final</w:t>
      </w:r>
      <w:r>
        <w:t>.</w:t>
      </w:r>
    </w:p>
  </w:footnote>
  <w:footnote w:id="16">
    <w:p w14:paraId="28D8120B" w14:textId="77777777" w:rsidR="00D23FFC" w:rsidRPr="00FB7B4D" w:rsidRDefault="00D23FFC">
      <w:pPr>
        <w:pStyle w:val="FootnoteText"/>
        <w:rPr>
          <w:lang w:val="en-US"/>
        </w:rPr>
      </w:pPr>
      <w:r w:rsidRPr="00F71E9E">
        <w:rPr>
          <w:rStyle w:val="FootnoteReference"/>
        </w:rPr>
        <w:footnoteRef/>
      </w:r>
      <w:r>
        <w:tab/>
      </w:r>
      <w:r w:rsidRPr="00FB7B4D">
        <w:rPr>
          <w:lang w:val="en-US"/>
        </w:rPr>
        <w:t>Communication from the Commission to the European Parliament, the European Council, the Council, the European Economic and Social Committee and the Committee of the Regions</w:t>
      </w:r>
      <w:r>
        <w:rPr>
          <w:lang w:val="en-US"/>
        </w:rPr>
        <w:t xml:space="preserve">, </w:t>
      </w:r>
      <w:r w:rsidRPr="00FB7B4D">
        <w:rPr>
          <w:lang w:val="en-US"/>
        </w:rPr>
        <w:t>The European Green Deal</w:t>
      </w:r>
      <w:r>
        <w:rPr>
          <w:lang w:val="en-US"/>
        </w:rPr>
        <w:t xml:space="preserve">, </w:t>
      </w:r>
      <w:r w:rsidRPr="00FB7B4D">
        <w:rPr>
          <w:lang w:val="en-US"/>
        </w:rPr>
        <w:t>COM(2019) 640 final</w:t>
      </w:r>
      <w:r>
        <w:rPr>
          <w:lang w:val="en-US"/>
        </w:rPr>
        <w:t>.</w:t>
      </w:r>
    </w:p>
  </w:footnote>
  <w:footnote w:id="17">
    <w:p w14:paraId="0438EDAB" w14:textId="77777777" w:rsidR="00D23FFC" w:rsidRPr="00C6015C" w:rsidRDefault="00D23FFC" w:rsidP="009E51ED">
      <w:pPr>
        <w:pStyle w:val="FootnoteText"/>
        <w:rPr>
          <w:lang w:val="en-US"/>
        </w:rPr>
      </w:pPr>
      <w:r w:rsidRPr="006C662D">
        <w:rPr>
          <w:rStyle w:val="FootnoteReference"/>
        </w:rPr>
        <w:footnoteRef/>
      </w:r>
      <w:r>
        <w:tab/>
      </w:r>
      <w:r w:rsidRPr="00C6015C">
        <w:rPr>
          <w:lang w:val="en-US"/>
        </w:rPr>
        <w:t>Regulation (EU) 2020</w:t>
      </w:r>
      <w:r>
        <w:rPr>
          <w:lang w:val="en-US"/>
        </w:rPr>
        <w:t>/</w:t>
      </w:r>
      <w:r w:rsidRPr="00C6015C">
        <w:rPr>
          <w:lang w:val="en-US"/>
        </w:rPr>
        <w:t>741 of the European P</w:t>
      </w:r>
      <w:r>
        <w:rPr>
          <w:lang w:val="en-US"/>
        </w:rPr>
        <w:t xml:space="preserve">arliament and of the Council </w:t>
      </w:r>
      <w:r w:rsidRPr="009E51ED">
        <w:rPr>
          <w:lang w:val="en-US"/>
        </w:rPr>
        <w:t>of 25 May 2020 on minimum requirements for water reuse</w:t>
      </w:r>
      <w:r>
        <w:rPr>
          <w:lang w:val="en-US"/>
        </w:rPr>
        <w:t xml:space="preserve"> (OJ L 177 of 5.6.2020, p. 32).</w:t>
      </w:r>
    </w:p>
  </w:footnote>
  <w:footnote w:id="18">
    <w:p w14:paraId="1702590B" w14:textId="77777777" w:rsidR="00D23FFC" w:rsidRPr="00872162" w:rsidRDefault="00D23FFC" w:rsidP="002522B4">
      <w:pPr>
        <w:pStyle w:val="FootnoteText"/>
        <w:ind w:left="426" w:hanging="426"/>
      </w:pPr>
      <w:r w:rsidRPr="00B72FB9">
        <w:rPr>
          <w:rStyle w:val="FootnoteReference"/>
        </w:rPr>
        <w:footnoteRef/>
      </w:r>
      <w:r>
        <w:tab/>
      </w:r>
      <w:r>
        <w:tab/>
      </w:r>
      <w:r w:rsidRPr="00872162">
        <w:t>COM</w:t>
      </w:r>
      <w:r>
        <w:t xml:space="preserve"> </w:t>
      </w:r>
      <w:r w:rsidRPr="00872162">
        <w:t>(2022) 156 final/3 and COM/2022/157 final</w:t>
      </w:r>
      <w:r>
        <w:t>.</w:t>
      </w:r>
    </w:p>
  </w:footnote>
  <w:footnote w:id="19">
    <w:p w14:paraId="501EBD02" w14:textId="77777777" w:rsidR="00D23FFC" w:rsidRPr="00FB7B4D" w:rsidRDefault="00D23FFC">
      <w:pPr>
        <w:pStyle w:val="FootnoteText"/>
        <w:rPr>
          <w:lang w:val="en-US"/>
        </w:rPr>
      </w:pPr>
      <w:r w:rsidRPr="00F71E9E">
        <w:rPr>
          <w:rStyle w:val="FootnoteReference"/>
        </w:rPr>
        <w:footnoteRef/>
      </w:r>
      <w:r>
        <w:tab/>
      </w:r>
      <w:r w:rsidRPr="00FB7B4D">
        <w:rPr>
          <w:lang w:val="en-US"/>
        </w:rPr>
        <w:t>Communication from the Commission to the European Parliament, the Council, the European Economic and Social Committee and the Committee of the Regions A Farm to Fork Strategy for a fair, healthy and environmentally-friendly food system</w:t>
      </w:r>
      <w:r>
        <w:rPr>
          <w:lang w:val="en-US"/>
        </w:rPr>
        <w:t>,</w:t>
      </w:r>
      <w:r w:rsidRPr="00FB7B4D">
        <w:rPr>
          <w:lang w:val="en-US"/>
        </w:rPr>
        <w:t xml:space="preserve"> COM(2020) 381 final</w:t>
      </w:r>
      <w:r>
        <w:rPr>
          <w:lang w:val="en-US"/>
        </w:rPr>
        <w:t>.</w:t>
      </w:r>
    </w:p>
  </w:footnote>
  <w:footnote w:id="20">
    <w:p w14:paraId="4645D08A" w14:textId="77777777" w:rsidR="00D23FFC" w:rsidRPr="00FB7B4D" w:rsidRDefault="00D23FFC">
      <w:pPr>
        <w:pStyle w:val="FootnoteText"/>
        <w:rPr>
          <w:lang w:val="en-US"/>
        </w:rPr>
      </w:pPr>
      <w:r w:rsidRPr="00F71E9E">
        <w:rPr>
          <w:rStyle w:val="FootnoteReference"/>
        </w:rPr>
        <w:footnoteRef/>
      </w:r>
      <w:r>
        <w:tab/>
      </w:r>
      <w:r w:rsidRPr="004353C2">
        <w:t>COM(2022) 305 final</w:t>
      </w:r>
      <w:r>
        <w:t>.</w:t>
      </w:r>
    </w:p>
  </w:footnote>
  <w:footnote w:id="21">
    <w:p w14:paraId="7F5E1DAA" w14:textId="77777777" w:rsidR="00D23FFC" w:rsidRPr="00FB7B4D" w:rsidRDefault="00D23FFC" w:rsidP="004353C2">
      <w:pPr>
        <w:pStyle w:val="FootnoteText"/>
        <w:rPr>
          <w:lang w:val="en-US"/>
        </w:rPr>
      </w:pPr>
      <w:r w:rsidRPr="00F71E9E">
        <w:rPr>
          <w:rStyle w:val="FootnoteReference"/>
        </w:rPr>
        <w:footnoteRef/>
      </w:r>
      <w:r>
        <w:tab/>
      </w:r>
      <w:r w:rsidRPr="00FB7B4D">
        <w:rPr>
          <w:lang w:val="en-US"/>
        </w:rPr>
        <w:t>Regulation (EC) No 1107/2009 of the European Parliament and of the Council of 21 October 2009 concerning the placing of plant protection products on the market and repealing Council Directives 79/117/EEC and 91/414/EEC</w:t>
      </w:r>
      <w:r>
        <w:rPr>
          <w:lang w:val="en-US"/>
        </w:rPr>
        <w:t xml:space="preserve"> (</w:t>
      </w:r>
      <w:r w:rsidRPr="00FB7B4D">
        <w:rPr>
          <w:lang w:val="en-US"/>
        </w:rPr>
        <w:t>OJ L 309, 24.11.2009, p. 1</w:t>
      </w:r>
      <w:r>
        <w:rPr>
          <w:lang w:val="en-US"/>
        </w:rPr>
        <w:t>).</w:t>
      </w:r>
    </w:p>
  </w:footnote>
  <w:footnote w:id="22">
    <w:p w14:paraId="58A4F34D" w14:textId="77777777" w:rsidR="00D23FFC" w:rsidRPr="00FB7B4D" w:rsidRDefault="00D23FFC">
      <w:pPr>
        <w:pStyle w:val="FootnoteText"/>
        <w:rPr>
          <w:lang w:val="en-US"/>
        </w:rPr>
      </w:pPr>
      <w:r w:rsidRPr="00F71E9E">
        <w:rPr>
          <w:rStyle w:val="FootnoteReference"/>
        </w:rPr>
        <w:footnoteRef/>
      </w:r>
      <w:r>
        <w:tab/>
      </w:r>
      <w:r w:rsidRPr="00FB7B4D">
        <w:rPr>
          <w:lang w:val="en-US"/>
        </w:rPr>
        <w:t>Communication from the Commission to the European Parliament, the Council, the European Economic and Social Committee and the Committee of the Regions A European Strategy for Plastics in a Circular Economy COM/2018/028 final</w:t>
      </w:r>
      <w:r>
        <w:rPr>
          <w:lang w:val="en-US"/>
        </w:rPr>
        <w:t>.</w:t>
      </w:r>
    </w:p>
  </w:footnote>
  <w:footnote w:id="23">
    <w:p w14:paraId="4B16A438" w14:textId="77777777" w:rsidR="00D23FFC" w:rsidRPr="000F3938" w:rsidRDefault="00D23FFC" w:rsidP="004353C2">
      <w:pPr>
        <w:pStyle w:val="FootnoteText"/>
        <w:rPr>
          <w:lang w:val="en-US"/>
        </w:rPr>
      </w:pPr>
      <w:r w:rsidRPr="00F71E9E">
        <w:rPr>
          <w:rStyle w:val="FootnoteReference"/>
        </w:rPr>
        <w:footnoteRef/>
      </w:r>
      <w:r>
        <w:tab/>
      </w:r>
      <w:r w:rsidRPr="000F3938">
        <w:rPr>
          <w:lang w:val="en-US"/>
        </w:rPr>
        <w:t>Directive (EU) 2019/904 of the European Parliament and of the Council of 5 June 2019 on the reduction of the impact of certain plastic products on the environment</w:t>
      </w:r>
      <w:r>
        <w:rPr>
          <w:lang w:val="en-US"/>
        </w:rPr>
        <w:t xml:space="preserve"> (</w:t>
      </w:r>
      <w:r w:rsidRPr="000F3938">
        <w:rPr>
          <w:lang w:val="en-US"/>
        </w:rPr>
        <w:t>OJ L 155, 12.6.2019, p. 1</w:t>
      </w:r>
      <w:r>
        <w:rPr>
          <w:lang w:val="en-US"/>
        </w:rPr>
        <w:t>).</w:t>
      </w:r>
    </w:p>
  </w:footnote>
  <w:footnote w:id="24">
    <w:p w14:paraId="3EA6CA9E" w14:textId="77777777" w:rsidR="00D23FFC" w:rsidRPr="00FB7B4D" w:rsidRDefault="00D23FFC" w:rsidP="004353C2">
      <w:pPr>
        <w:pStyle w:val="FootnoteText"/>
        <w:rPr>
          <w:lang w:val="en-US"/>
        </w:rPr>
      </w:pPr>
      <w:r w:rsidRPr="00F71E9E">
        <w:rPr>
          <w:rStyle w:val="FootnoteReference"/>
        </w:rPr>
        <w:footnoteRef/>
      </w:r>
      <w:r>
        <w:tab/>
      </w:r>
      <w:r w:rsidRPr="00FB7B4D">
        <w:rPr>
          <w:lang w:val="en-US"/>
        </w:rPr>
        <w:t>C</w:t>
      </w:r>
      <w:r>
        <w:rPr>
          <w:lang w:val="en-US"/>
        </w:rPr>
        <w:t>ommunication from the Commission to the European Parliament, the Council, the European Economic and Social Committee and the Committee of the Regions,</w:t>
      </w:r>
      <w:r w:rsidRPr="00FB7B4D">
        <w:rPr>
          <w:lang w:val="en-US"/>
        </w:rPr>
        <w:t xml:space="preserve"> A new Circular Economy Action Plan For a cleaner and more competitive Europe</w:t>
      </w:r>
      <w:r>
        <w:rPr>
          <w:lang w:val="en-US"/>
        </w:rPr>
        <w:t xml:space="preserve">, </w:t>
      </w:r>
      <w:r w:rsidRPr="00FB7B4D">
        <w:rPr>
          <w:lang w:val="en-US"/>
        </w:rPr>
        <w:t>COM/2020/98 final</w:t>
      </w:r>
      <w:r>
        <w:rPr>
          <w:lang w:val="en-US"/>
        </w:rPr>
        <w:t>.</w:t>
      </w:r>
    </w:p>
  </w:footnote>
  <w:footnote w:id="25">
    <w:p w14:paraId="1FB7D3CF" w14:textId="77777777" w:rsidR="00D23FFC" w:rsidRPr="00FB7B4D" w:rsidRDefault="00D23FFC" w:rsidP="001D0F42">
      <w:pPr>
        <w:pStyle w:val="FootnoteText"/>
        <w:rPr>
          <w:lang w:val="en-US"/>
        </w:rPr>
      </w:pPr>
      <w:r w:rsidRPr="00F71E9E">
        <w:rPr>
          <w:rStyle w:val="FootnoteReference"/>
        </w:rPr>
        <w:footnoteRef/>
      </w:r>
      <w:r>
        <w:tab/>
      </w:r>
      <w:r w:rsidRPr="00FB7B4D">
        <w:rPr>
          <w:lang w:val="en-US"/>
        </w:rPr>
        <w:t xml:space="preserve">Council Directive 86/278/EEC of 12 June 1986 on the protection of the environment, and in particular of the soil, when sewage sludge is used in agriculture </w:t>
      </w:r>
      <w:r>
        <w:rPr>
          <w:lang w:val="en-US"/>
        </w:rPr>
        <w:t>(</w:t>
      </w:r>
      <w:r w:rsidRPr="00FB7B4D">
        <w:rPr>
          <w:lang w:val="en-US"/>
        </w:rPr>
        <w:t>OJ L 181, 4.7.1986, p. 6</w:t>
      </w:r>
      <w:r>
        <w:rPr>
          <w:lang w:val="en-US"/>
        </w:rPr>
        <w:t>).</w:t>
      </w:r>
    </w:p>
  </w:footnote>
  <w:footnote w:id="26">
    <w:p w14:paraId="6A457FD1" w14:textId="77777777" w:rsidR="00D23FFC" w:rsidRPr="00FB7B4D" w:rsidRDefault="00D23FFC">
      <w:pPr>
        <w:pStyle w:val="FootnoteText"/>
        <w:rPr>
          <w:lang w:val="en-US"/>
        </w:rPr>
      </w:pPr>
      <w:r w:rsidRPr="00F71E9E">
        <w:rPr>
          <w:rStyle w:val="FootnoteReference"/>
        </w:rPr>
        <w:footnoteRef/>
      </w:r>
      <w:r>
        <w:tab/>
      </w:r>
      <w:r w:rsidRPr="00FB7B4D">
        <w:rPr>
          <w:lang w:val="en-US"/>
        </w:rPr>
        <w:t>Communication from the Commission to the European Parliament, the Council, the European Economic and Social Committee and the Committee of the Regions, Chemicals Strategy for Sustainability Towards a Toxic-Free Environment COM(2020) 667 final</w:t>
      </w:r>
      <w:r>
        <w:rPr>
          <w:lang w:val="en-US"/>
        </w:rPr>
        <w:t>.</w:t>
      </w:r>
    </w:p>
  </w:footnote>
  <w:footnote w:id="27">
    <w:p w14:paraId="07456A0B" w14:textId="77777777" w:rsidR="00D23FFC" w:rsidRPr="00FB7B4D" w:rsidRDefault="00D23FFC" w:rsidP="00EF2787">
      <w:pPr>
        <w:pStyle w:val="FootnoteText"/>
        <w:rPr>
          <w:lang w:val="en-US"/>
        </w:rPr>
      </w:pPr>
      <w:r w:rsidRPr="00F71E9E">
        <w:rPr>
          <w:rStyle w:val="FootnoteReference"/>
        </w:rPr>
        <w:footnoteRef/>
      </w:r>
      <w:r>
        <w:tab/>
      </w:r>
      <w:r>
        <w:rPr>
          <w:lang w:val="en-US"/>
        </w:rPr>
        <w:t xml:space="preserve">Communication from the Commission to the European Parliament, the Council and the European Economic and Social Committee, </w:t>
      </w:r>
      <w:r w:rsidRPr="00FB7B4D">
        <w:rPr>
          <w:lang w:val="en-US"/>
        </w:rPr>
        <w:t>European Union Strategic Approach to Pharmaceuticals in the Environment</w:t>
      </w:r>
      <w:r>
        <w:rPr>
          <w:lang w:val="en-US"/>
        </w:rPr>
        <w:t xml:space="preserve">, </w:t>
      </w:r>
      <w:r w:rsidRPr="00EF2787">
        <w:rPr>
          <w:lang w:val="en-US"/>
        </w:rPr>
        <w:t>COM(2019) 128 final</w:t>
      </w:r>
      <w:r>
        <w:rPr>
          <w:lang w:val="en-US"/>
        </w:rPr>
        <w:t>.</w:t>
      </w:r>
    </w:p>
  </w:footnote>
  <w:footnote w:id="28">
    <w:p w14:paraId="0D01D7CE" w14:textId="77777777" w:rsidR="00D23FFC" w:rsidRPr="00FB7B4D" w:rsidRDefault="00D23FFC" w:rsidP="00EF2787">
      <w:pPr>
        <w:pStyle w:val="FootnoteText"/>
        <w:rPr>
          <w:lang w:val="en-US"/>
        </w:rPr>
      </w:pPr>
      <w:r w:rsidRPr="00F71E9E">
        <w:rPr>
          <w:rStyle w:val="FootnoteReference"/>
        </w:rPr>
        <w:footnoteRef/>
      </w:r>
      <w:r>
        <w:tab/>
      </w:r>
      <w:r w:rsidRPr="00EF2787">
        <w:rPr>
          <w:lang w:val="en-US"/>
        </w:rPr>
        <w:t>Communication from the Commission to the European Parliament, the Council, the European Economic and Social Committee and the Committee of the Regions</w:t>
      </w:r>
      <w:r>
        <w:rPr>
          <w:lang w:val="en-US"/>
        </w:rPr>
        <w:t>,</w:t>
      </w:r>
      <w:r w:rsidRPr="00FB7B4D">
        <w:rPr>
          <w:lang w:val="en-US"/>
        </w:rPr>
        <w:t xml:space="preserve"> Pharmaceutical Strategy for Europe</w:t>
      </w:r>
      <w:r>
        <w:rPr>
          <w:lang w:val="en-US"/>
        </w:rPr>
        <w:t xml:space="preserve">, </w:t>
      </w:r>
      <w:r w:rsidRPr="00FB7B4D">
        <w:rPr>
          <w:lang w:val="en-US"/>
        </w:rPr>
        <w:t>COM/2020/761 final</w:t>
      </w:r>
      <w:r>
        <w:rPr>
          <w:lang w:val="en-US"/>
        </w:rPr>
        <w:t>.</w:t>
      </w:r>
    </w:p>
  </w:footnote>
  <w:footnote w:id="29">
    <w:p w14:paraId="1AC0A8F8" w14:textId="77777777" w:rsidR="00D23FFC" w:rsidRPr="00F222BD" w:rsidRDefault="00D23FFC">
      <w:pPr>
        <w:pStyle w:val="FootnoteText"/>
      </w:pPr>
      <w:r w:rsidRPr="00B72FB9">
        <w:rPr>
          <w:rStyle w:val="FootnoteReference"/>
        </w:rPr>
        <w:footnoteRef/>
      </w:r>
      <w:r>
        <w:rPr>
          <w:sz w:val="18"/>
          <w:szCs w:val="18"/>
        </w:rPr>
        <w:tab/>
      </w:r>
      <w:r w:rsidRPr="00F222BD">
        <w:t>Communication from the Commission to the European Parliament, the Council, the European Economic and Social Committee and the Committee of the Regions on A European strategy for data, COM/2020/66 final.</w:t>
      </w:r>
    </w:p>
  </w:footnote>
  <w:footnote w:id="30">
    <w:p w14:paraId="6C1EEF3C" w14:textId="77777777" w:rsidR="00D23FFC" w:rsidRDefault="00D23FFC" w:rsidP="00DA22EB">
      <w:pPr>
        <w:pStyle w:val="FootnoteText"/>
      </w:pPr>
      <w:r w:rsidRPr="00B72FB9">
        <w:rPr>
          <w:rStyle w:val="FootnoteReference"/>
        </w:rPr>
        <w:footnoteRef/>
      </w:r>
      <w:r>
        <w:tab/>
        <w:t>Regulation (EC) No 1907/2006 of the European Parliament and of the Council of 18 December 2006 concerning the registration, evaluation, authorisation and restriction of chemicals (</w:t>
      </w:r>
      <w:r w:rsidRPr="00DA22EB">
        <w:t>OJ L 396, 30.12.2006, p. 1</w:t>
      </w:r>
      <w:r>
        <w:t>).</w:t>
      </w:r>
    </w:p>
  </w:footnote>
  <w:footnote w:id="31">
    <w:p w14:paraId="79CCB306" w14:textId="77777777" w:rsidR="00D23FFC" w:rsidRDefault="00D23FFC">
      <w:pPr>
        <w:pStyle w:val="FootnoteText"/>
      </w:pPr>
      <w:r w:rsidRPr="00B72FB9">
        <w:rPr>
          <w:rStyle w:val="FootnoteReference"/>
        </w:rPr>
        <w:footnoteRef/>
      </w:r>
      <w:r>
        <w:tab/>
      </w:r>
      <w:r w:rsidRPr="00DA22EB">
        <w:t>C</w:t>
      </w:r>
      <w:r>
        <w:t>ommission Staff Working Document Fitness Check</w:t>
      </w:r>
      <w:r w:rsidRPr="00DA22EB">
        <w:t xml:space="preserve"> of the most relevant chemicals legislation (excluding REACH), as well as related aspects of legislation applied to downstream industries</w:t>
      </w:r>
      <w:r>
        <w:t>, SWD(2019) 199 final.</w:t>
      </w:r>
    </w:p>
  </w:footnote>
  <w:footnote w:id="32">
    <w:p w14:paraId="3CFCF27A" w14:textId="77777777" w:rsidR="00D23FFC" w:rsidRDefault="00D23FFC">
      <w:pPr>
        <w:pStyle w:val="FootnoteText"/>
      </w:pPr>
      <w:r w:rsidRPr="00B72FB9">
        <w:rPr>
          <w:rStyle w:val="FootnoteReference"/>
        </w:rPr>
        <w:footnoteRef/>
      </w:r>
      <w:r>
        <w:tab/>
      </w:r>
      <w:hyperlink r:id="rId1" w:history="1">
        <w:r w:rsidRPr="00DA22EB">
          <w:rPr>
            <w:color w:val="0000FF"/>
            <w:sz w:val="24"/>
            <w:szCs w:val="22"/>
            <w:u w:val="single"/>
          </w:rPr>
          <w:t>wfd - Library (europa.eu)</w:t>
        </w:r>
      </w:hyperlink>
    </w:p>
  </w:footnote>
  <w:footnote w:id="33">
    <w:p w14:paraId="4EEF118E" w14:textId="77777777" w:rsidR="00D23FFC" w:rsidRPr="00FB7B4D" w:rsidRDefault="00D23FFC">
      <w:pPr>
        <w:pStyle w:val="FootnoteText"/>
        <w:rPr>
          <w:lang w:val="en-US"/>
        </w:rPr>
      </w:pPr>
      <w:r w:rsidRPr="00F71E9E">
        <w:rPr>
          <w:rStyle w:val="FootnoteReference"/>
        </w:rPr>
        <w:footnoteRef/>
      </w:r>
      <w:r>
        <w:tab/>
      </w:r>
      <w:r w:rsidRPr="002A647C">
        <w:t>Ares(2022)4634431)</w:t>
      </w:r>
      <w:r>
        <w:t xml:space="preserve"> 24 June 2022</w:t>
      </w:r>
    </w:p>
  </w:footnote>
  <w:footnote w:id="34">
    <w:p w14:paraId="44814941" w14:textId="0706ED42" w:rsidR="00D23FFC" w:rsidRPr="00CA5179" w:rsidRDefault="00D23FFC" w:rsidP="005C4F36">
      <w:pPr>
        <w:pStyle w:val="FootnoteText"/>
        <w:rPr>
          <w:lang w:val="pl-PL"/>
        </w:rPr>
      </w:pPr>
      <w:r>
        <w:rPr>
          <w:rStyle w:val="FootnoteReference"/>
        </w:rPr>
        <w:footnoteRef/>
      </w:r>
      <w:r w:rsidRPr="00CA5179">
        <w:rPr>
          <w:lang w:val="pl-PL"/>
        </w:rPr>
        <w:tab/>
        <w:t>OJ C , , p. .</w:t>
      </w:r>
    </w:p>
  </w:footnote>
  <w:footnote w:id="35">
    <w:p w14:paraId="2EE42632" w14:textId="300D10E1" w:rsidR="00D23FFC" w:rsidRPr="00CA5179" w:rsidRDefault="00D23FFC" w:rsidP="005C4F36">
      <w:pPr>
        <w:pStyle w:val="FootnoteText"/>
        <w:rPr>
          <w:lang w:val="pl-PL"/>
        </w:rPr>
      </w:pPr>
      <w:r>
        <w:rPr>
          <w:rStyle w:val="FootnoteReference"/>
        </w:rPr>
        <w:footnoteRef/>
      </w:r>
      <w:r w:rsidRPr="00CA5179">
        <w:rPr>
          <w:lang w:val="pl-PL"/>
        </w:rPr>
        <w:tab/>
        <w:t>OJ C , , p. .</w:t>
      </w:r>
    </w:p>
  </w:footnote>
  <w:footnote w:id="36">
    <w:p w14:paraId="019A0F01" w14:textId="77777777" w:rsidR="00D23FFC" w:rsidRPr="00D35212" w:rsidRDefault="00D23FFC" w:rsidP="003413A7">
      <w:pPr>
        <w:pStyle w:val="FootnoteText"/>
        <w:rPr>
          <w:i/>
          <w:lang w:val="en-US"/>
        </w:rPr>
      </w:pPr>
      <w:r w:rsidRPr="00B72FB9">
        <w:rPr>
          <w:rStyle w:val="FootnoteReference"/>
        </w:rPr>
        <w:footnoteRef/>
      </w:r>
      <w:r>
        <w:tab/>
      </w:r>
      <w:r w:rsidRPr="003413A7">
        <w:rPr>
          <w:lang w:val="en-US"/>
        </w:rPr>
        <w:t>Communication from the Commission to the European Parliament, the European Council, the Council, the European Economic and Social Committee and the Committee of the Regions</w:t>
      </w:r>
      <w:r>
        <w:rPr>
          <w:lang w:val="en-US"/>
        </w:rPr>
        <w:t>,</w:t>
      </w:r>
      <w:r w:rsidRPr="003413A7">
        <w:rPr>
          <w:lang w:val="en-US"/>
        </w:rPr>
        <w:t xml:space="preserve"> The European Green</w:t>
      </w:r>
      <w:r>
        <w:rPr>
          <w:lang w:val="en-US"/>
        </w:rPr>
        <w:t xml:space="preserve"> </w:t>
      </w:r>
      <w:r w:rsidRPr="003413A7">
        <w:rPr>
          <w:lang w:val="en-US"/>
        </w:rPr>
        <w:t>Deal</w:t>
      </w:r>
      <w:r>
        <w:rPr>
          <w:lang w:val="en-US"/>
        </w:rPr>
        <w:t xml:space="preserve"> (</w:t>
      </w:r>
      <w:r w:rsidRPr="00D35212">
        <w:rPr>
          <w:lang w:val="en-US"/>
        </w:rPr>
        <w:t xml:space="preserve">COM(2019) 640 </w:t>
      </w:r>
      <w:r w:rsidRPr="005E633A">
        <w:rPr>
          <w:lang w:val="en-US"/>
        </w:rPr>
        <w:t>final).</w:t>
      </w:r>
      <w:r>
        <w:rPr>
          <w:lang w:val="en-US"/>
        </w:rPr>
        <w:t xml:space="preserve"> </w:t>
      </w:r>
    </w:p>
  </w:footnote>
  <w:footnote w:id="37">
    <w:p w14:paraId="0E3E4DBE" w14:textId="77777777" w:rsidR="00D23FFC" w:rsidRPr="003413A7" w:rsidRDefault="00D23FFC" w:rsidP="003413A7">
      <w:pPr>
        <w:pStyle w:val="FootnoteText"/>
        <w:rPr>
          <w:lang w:val="en-US"/>
        </w:rPr>
      </w:pPr>
      <w:r w:rsidRPr="00B72FB9">
        <w:rPr>
          <w:rStyle w:val="FootnoteReference"/>
        </w:rPr>
        <w:footnoteRef/>
      </w:r>
      <w:r>
        <w:tab/>
      </w:r>
      <w:r w:rsidRPr="003413A7">
        <w:rPr>
          <w:lang w:val="en-US"/>
        </w:rPr>
        <w:t>Communication from the Commission to the European Parliament, the Council, the European Economic and Social Committee and the Committee of the Regions, Chemicals Strategy for Sustainability Towards a Toxic-Free Environment COM(2020) 667 final</w:t>
      </w:r>
      <w:r>
        <w:rPr>
          <w:lang w:val="en-US"/>
        </w:rPr>
        <w:t>.</w:t>
      </w:r>
    </w:p>
  </w:footnote>
  <w:footnote w:id="38">
    <w:p w14:paraId="0739243B" w14:textId="77777777" w:rsidR="00D23FFC" w:rsidRPr="003413A7" w:rsidRDefault="00D23FFC" w:rsidP="003413A7">
      <w:pPr>
        <w:pStyle w:val="FootnoteText"/>
        <w:rPr>
          <w:lang w:val="en-US"/>
        </w:rPr>
      </w:pPr>
      <w:r w:rsidRPr="00B72FB9">
        <w:rPr>
          <w:rStyle w:val="FootnoteReference"/>
        </w:rPr>
        <w:footnoteRef/>
      </w:r>
      <w:r>
        <w:tab/>
      </w:r>
      <w:r w:rsidRPr="003413A7">
        <w:rPr>
          <w:lang w:val="en-US"/>
        </w:rPr>
        <w:t>Communication from the Commission to the European Parliament, the Council, the European Economic and Social Committee and the Committee of the Regions, Pathway to a Healthy Planet for All EU Action Plan: 'Towards Zero Pollution for Air, Water and Soil' COM(2021) 400 final.</w:t>
      </w:r>
    </w:p>
  </w:footnote>
  <w:footnote w:id="39">
    <w:p w14:paraId="362F9EDF" w14:textId="77777777" w:rsidR="00D23FFC" w:rsidRPr="0022429B" w:rsidRDefault="00D23FFC" w:rsidP="00C6507C">
      <w:pPr>
        <w:pStyle w:val="FootnoteText"/>
        <w:rPr>
          <w:lang w:val="en-US"/>
        </w:rPr>
      </w:pPr>
      <w:r w:rsidRPr="00B72FB9">
        <w:rPr>
          <w:rStyle w:val="FootnoteReference"/>
        </w:rPr>
        <w:footnoteRef/>
      </w:r>
      <w:r>
        <w:tab/>
      </w:r>
      <w:r w:rsidRPr="0022429B">
        <w:rPr>
          <w:lang w:val="en-US"/>
        </w:rPr>
        <w:t>C</w:t>
      </w:r>
      <w:r>
        <w:rPr>
          <w:lang w:val="en-US"/>
        </w:rPr>
        <w:t>ommunication from the Commission to the European Parliament, the Council, the European Economic and Social Committee and the Committee of the Regions</w:t>
      </w:r>
      <w:r w:rsidRPr="0022429B">
        <w:rPr>
          <w:lang w:val="en-US"/>
        </w:rPr>
        <w:t xml:space="preserve"> A European Strategy for Plastics in a Circular Economy</w:t>
      </w:r>
      <w:r>
        <w:rPr>
          <w:lang w:val="en-US"/>
        </w:rPr>
        <w:t xml:space="preserve"> </w:t>
      </w:r>
      <w:r w:rsidRPr="0022429B">
        <w:rPr>
          <w:lang w:val="en-US"/>
        </w:rPr>
        <w:t>COM/2018/028 final</w:t>
      </w:r>
      <w:r>
        <w:rPr>
          <w:lang w:val="en-US"/>
        </w:rPr>
        <w:t>.</w:t>
      </w:r>
    </w:p>
  </w:footnote>
  <w:footnote w:id="40">
    <w:p w14:paraId="5BEEB261" w14:textId="77777777" w:rsidR="00D23FFC" w:rsidRPr="00C6507C" w:rsidRDefault="00D23FFC" w:rsidP="00C6507C">
      <w:pPr>
        <w:pStyle w:val="FootnoteText"/>
      </w:pPr>
      <w:r w:rsidRPr="00B72FB9">
        <w:rPr>
          <w:rStyle w:val="FootnoteReference"/>
        </w:rPr>
        <w:footnoteRef/>
      </w:r>
      <w:r>
        <w:tab/>
        <w:t>Communication from the Commission to the European Parliament, the Council, The European Economic and Social Committee and the Committee of the Regions Pharmaceutical Strategy for Europe COM/2020/761 final.</w:t>
      </w:r>
    </w:p>
  </w:footnote>
  <w:footnote w:id="41">
    <w:p w14:paraId="6F3E21D4" w14:textId="77777777" w:rsidR="00D23FFC" w:rsidRPr="003413A7" w:rsidRDefault="00D23FFC" w:rsidP="003413A7">
      <w:pPr>
        <w:pStyle w:val="FootnoteText"/>
        <w:rPr>
          <w:lang w:val="en-US"/>
        </w:rPr>
      </w:pPr>
      <w:r w:rsidRPr="00B72FB9">
        <w:rPr>
          <w:rStyle w:val="FootnoteReference"/>
        </w:rPr>
        <w:footnoteRef/>
      </w:r>
      <w:r>
        <w:tab/>
      </w:r>
      <w:r w:rsidRPr="003413A7">
        <w:rPr>
          <w:lang w:val="en-US"/>
        </w:rPr>
        <w:t>Communication from the Commission to the European Parliament, the Council, the European Economic and Social Committee and the Committee of the Regions EU Biodiversity Strategy for 2030 Bringing nature back into our lives COM(2020) 380 final.</w:t>
      </w:r>
    </w:p>
  </w:footnote>
  <w:footnote w:id="42">
    <w:p w14:paraId="3DA4C61D" w14:textId="77777777" w:rsidR="00D23FFC" w:rsidRPr="003413A7" w:rsidRDefault="00D23FFC" w:rsidP="003413A7">
      <w:pPr>
        <w:pStyle w:val="FootnoteText"/>
        <w:rPr>
          <w:lang w:val="en-US"/>
        </w:rPr>
      </w:pPr>
      <w:r w:rsidRPr="00B72FB9">
        <w:rPr>
          <w:rStyle w:val="FootnoteReference"/>
        </w:rPr>
        <w:footnoteRef/>
      </w:r>
      <w:r>
        <w:tab/>
      </w:r>
      <w:r w:rsidRPr="003413A7">
        <w:rPr>
          <w:lang w:val="en-US"/>
        </w:rPr>
        <w:t>Communication from the Commission to the European Parliament, the Council, the European Economic and Social Committee and the Committee of the Regions A Farm to Fork Strategy for a fair, healthy and environmentally-friendly food system COM(2020) 381 final.</w:t>
      </w:r>
    </w:p>
  </w:footnote>
  <w:footnote w:id="43">
    <w:p w14:paraId="7551295D" w14:textId="77777777" w:rsidR="00D23FFC" w:rsidRPr="006B3DB7" w:rsidRDefault="00D23FFC" w:rsidP="00BF48D1">
      <w:pPr>
        <w:pStyle w:val="FootnoteText"/>
      </w:pPr>
      <w:r w:rsidRPr="0020719C">
        <w:rPr>
          <w:rStyle w:val="FootnoteReference"/>
        </w:rPr>
        <w:footnoteRef/>
      </w:r>
      <w:r>
        <w:tab/>
      </w:r>
      <w:r w:rsidRPr="0036474B">
        <w:rPr>
          <w:lang w:val="en-US"/>
        </w:rPr>
        <w:t>C</w:t>
      </w:r>
      <w:r>
        <w:rPr>
          <w:lang w:val="en-US"/>
        </w:rPr>
        <w:t>ommunication from the Commission to the European Parliament, the Council, the European Economic and Social Committee and the Committee of the Regions</w:t>
      </w:r>
      <w:r w:rsidRPr="0036474B">
        <w:rPr>
          <w:lang w:val="en-US"/>
        </w:rPr>
        <w:t xml:space="preserve"> EU Soil Strategy for 2030 Reaping the benefits of healthy soils for people, food, nature and climate</w:t>
      </w:r>
      <w:r>
        <w:rPr>
          <w:lang w:val="en-US"/>
        </w:rPr>
        <w:t xml:space="preserve">, </w:t>
      </w:r>
      <w:r w:rsidRPr="0036474B">
        <w:rPr>
          <w:lang w:val="en-US"/>
        </w:rPr>
        <w:t>COM/2021/699 final</w:t>
      </w:r>
      <w:r>
        <w:rPr>
          <w:lang w:val="en-US"/>
        </w:rPr>
        <w:t>.</w:t>
      </w:r>
    </w:p>
  </w:footnote>
  <w:footnote w:id="44">
    <w:p w14:paraId="45ACC507" w14:textId="77777777" w:rsidR="00D23FFC" w:rsidRPr="00FE120D" w:rsidRDefault="00D23FFC" w:rsidP="00FE120D">
      <w:pPr>
        <w:pStyle w:val="FootnoteText"/>
        <w:rPr>
          <w:lang w:val="en-US"/>
        </w:rPr>
      </w:pPr>
      <w:r w:rsidRPr="00B72FB9">
        <w:rPr>
          <w:rStyle w:val="FootnoteReference"/>
        </w:rPr>
        <w:footnoteRef/>
      </w:r>
      <w:r>
        <w:tab/>
      </w:r>
      <w:r w:rsidRPr="00280282">
        <w:rPr>
          <w:lang w:val="en-US"/>
        </w:rPr>
        <w:t>C</w:t>
      </w:r>
      <w:r>
        <w:rPr>
          <w:lang w:val="en-US"/>
        </w:rPr>
        <w:t xml:space="preserve">ommunication from the Commission to the European Parliament, the Council, the European Economic and Social Committee and the Committee of the Regions </w:t>
      </w:r>
      <w:r w:rsidRPr="00FE120D">
        <w:rPr>
          <w:lang w:val="en-US"/>
        </w:rPr>
        <w:t>Shaping Europe's digital future</w:t>
      </w:r>
    </w:p>
    <w:p w14:paraId="100F7B48" w14:textId="77777777" w:rsidR="00D23FFC" w:rsidRPr="00280282" w:rsidRDefault="00D23FFC" w:rsidP="00FE120D">
      <w:pPr>
        <w:pStyle w:val="FootnoteText"/>
        <w:rPr>
          <w:lang w:val="en-US"/>
        </w:rPr>
      </w:pPr>
      <w:r>
        <w:rPr>
          <w:lang w:val="en-US"/>
        </w:rPr>
        <w:t xml:space="preserve"> </w:t>
      </w:r>
      <w:r>
        <w:rPr>
          <w:lang w:val="en-US"/>
        </w:rPr>
        <w:tab/>
        <w:t>C</w:t>
      </w:r>
      <w:r w:rsidRPr="00FE120D">
        <w:rPr>
          <w:lang w:val="en-US"/>
        </w:rPr>
        <w:t>OM/2020/67 final</w:t>
      </w:r>
      <w:r>
        <w:rPr>
          <w:lang w:val="en-US"/>
        </w:rPr>
        <w:t xml:space="preserve">. </w:t>
      </w:r>
    </w:p>
  </w:footnote>
  <w:footnote w:id="45">
    <w:p w14:paraId="3CF9358D" w14:textId="77777777" w:rsidR="00D23FFC" w:rsidRPr="00FB7B4D" w:rsidRDefault="00D23FFC" w:rsidP="00D935B6">
      <w:pPr>
        <w:pStyle w:val="FootnoteText"/>
        <w:rPr>
          <w:lang w:val="en-US"/>
        </w:rPr>
      </w:pPr>
      <w:r>
        <w:rPr>
          <w:rStyle w:val="FootnoteReference"/>
        </w:rPr>
        <w:footnoteRef/>
      </w:r>
      <w:r w:rsidRPr="00FB7B4D">
        <w:rPr>
          <w:lang w:val="en-US"/>
        </w:rPr>
        <w:tab/>
        <w:t>C</w:t>
      </w:r>
      <w:r>
        <w:rPr>
          <w:lang w:val="en-US"/>
        </w:rPr>
        <w:t xml:space="preserve">ommunication from the Commission to the European Parliament, the </w:t>
      </w:r>
      <w:r w:rsidRPr="00D935B6">
        <w:rPr>
          <w:lang w:val="en-US"/>
        </w:rPr>
        <w:t xml:space="preserve">Council, the European Economic and Social Committee and the Committee of the Regions </w:t>
      </w:r>
      <w:r>
        <w:rPr>
          <w:lang w:val="en-US"/>
        </w:rPr>
        <w:t xml:space="preserve">on </w:t>
      </w:r>
      <w:r w:rsidRPr="00FB7B4D">
        <w:rPr>
          <w:lang w:val="en-US"/>
        </w:rPr>
        <w:t>A European strategy for data</w:t>
      </w:r>
      <w:r>
        <w:rPr>
          <w:lang w:val="en-US"/>
        </w:rPr>
        <w:t>, COM</w:t>
      </w:r>
      <w:r w:rsidRPr="00D935B6">
        <w:rPr>
          <w:lang w:val="en-US"/>
        </w:rPr>
        <w:t>(2020) 66 final</w:t>
      </w:r>
      <w:r>
        <w:rPr>
          <w:lang w:val="en-US"/>
        </w:rPr>
        <w:t>.</w:t>
      </w:r>
    </w:p>
  </w:footnote>
  <w:footnote w:id="46">
    <w:p w14:paraId="3F882522" w14:textId="77777777" w:rsidR="00D23FFC" w:rsidRPr="00FB7B4D" w:rsidRDefault="00D23FFC">
      <w:pPr>
        <w:pStyle w:val="FootnoteText"/>
        <w:rPr>
          <w:lang w:val="en-US"/>
        </w:rPr>
      </w:pPr>
      <w:r w:rsidRPr="00F71E9E">
        <w:rPr>
          <w:rStyle w:val="FootnoteReference"/>
        </w:rPr>
        <w:footnoteRef/>
      </w:r>
      <w:r>
        <w:tab/>
      </w:r>
      <w:r w:rsidRPr="00FB7B4D">
        <w:rPr>
          <w:lang w:val="en-US"/>
        </w:rPr>
        <w:t xml:space="preserve">Directive 2000/60/EC of the European Parliament and of the Council of 23 October 2000 establishing a framework for Community action in the field of water policy </w:t>
      </w:r>
      <w:r>
        <w:rPr>
          <w:lang w:val="en-US"/>
        </w:rPr>
        <w:t>(</w:t>
      </w:r>
      <w:r w:rsidRPr="00FB7B4D">
        <w:rPr>
          <w:lang w:val="en-US"/>
        </w:rPr>
        <w:t>OJ L 327, 22.12.2000, p. 1</w:t>
      </w:r>
      <w:r>
        <w:rPr>
          <w:lang w:val="en-US"/>
        </w:rPr>
        <w:t>).</w:t>
      </w:r>
    </w:p>
  </w:footnote>
  <w:footnote w:id="47">
    <w:p w14:paraId="65056B0E" w14:textId="77777777" w:rsidR="00D23FFC" w:rsidRPr="00FB7B4D" w:rsidRDefault="00D23FFC">
      <w:pPr>
        <w:pStyle w:val="FootnoteText"/>
        <w:rPr>
          <w:lang w:val="en-US"/>
        </w:rPr>
      </w:pPr>
      <w:r w:rsidRPr="00F71E9E">
        <w:rPr>
          <w:rStyle w:val="FootnoteReference"/>
        </w:rPr>
        <w:footnoteRef/>
      </w:r>
      <w:r>
        <w:tab/>
      </w:r>
      <w:r w:rsidRPr="00FB7B4D">
        <w:rPr>
          <w:lang w:val="en-US"/>
        </w:rPr>
        <w:t xml:space="preserve">Directive 2008/105/EC of the European Parliament and of the Council of 16 December 2008 on environmental quality standards in the field of water policy, amending and subsequently repealing Council Directives 82/176/EEC, 83/513/EEC, 84/156/EEC, 84/491/EEC, 86/280/EEC and amending Directive 2000/60/EC of the European Parliament and of the Council </w:t>
      </w:r>
      <w:r>
        <w:rPr>
          <w:lang w:val="en-US"/>
        </w:rPr>
        <w:t>(</w:t>
      </w:r>
      <w:r w:rsidRPr="00FB7B4D">
        <w:rPr>
          <w:lang w:val="en-US"/>
        </w:rPr>
        <w:t>OJ L 348, 24.12.2008, p. 84</w:t>
      </w:r>
      <w:r>
        <w:rPr>
          <w:lang w:val="en-US"/>
        </w:rPr>
        <w:t>).</w:t>
      </w:r>
    </w:p>
  </w:footnote>
  <w:footnote w:id="48">
    <w:p w14:paraId="1BE8F2E5" w14:textId="77777777" w:rsidR="00D23FFC" w:rsidRPr="00D35212" w:rsidRDefault="00D23FFC">
      <w:pPr>
        <w:pStyle w:val="FootnoteText"/>
      </w:pPr>
      <w:r w:rsidRPr="006C662D">
        <w:rPr>
          <w:rStyle w:val="FootnoteReference"/>
        </w:rPr>
        <w:footnoteRef/>
      </w:r>
      <w:r>
        <w:tab/>
      </w:r>
      <w:r w:rsidRPr="00F222BD">
        <w:rPr>
          <w:lang w:val="en-US"/>
        </w:rPr>
        <w:t>Decision No 2455/2001/EC of the European Parliament and of the Council of 20 November 2001 establishing the list of priority substances in the field of water policy and amending Directive 2000/60/EC (OJ L 331, 15.12.2001, p. 1).</w:t>
      </w:r>
    </w:p>
  </w:footnote>
  <w:footnote w:id="49">
    <w:p w14:paraId="52BB09DE" w14:textId="77777777" w:rsidR="00D23FFC" w:rsidRPr="00FB7B4D" w:rsidRDefault="00D23FFC">
      <w:pPr>
        <w:pStyle w:val="FootnoteText"/>
        <w:rPr>
          <w:lang w:val="en-US"/>
        </w:rPr>
      </w:pPr>
      <w:r w:rsidRPr="00F71E9E">
        <w:rPr>
          <w:rStyle w:val="FootnoteReference"/>
        </w:rPr>
        <w:footnoteRef/>
      </w:r>
      <w:r>
        <w:tab/>
      </w:r>
      <w:r w:rsidRPr="00FB7B4D">
        <w:rPr>
          <w:lang w:val="en-US"/>
        </w:rPr>
        <w:t xml:space="preserve">Directive 2006/118/EC of the European Parliament and of the Council of 12 December 2006 on the protection of groundwater against pollution and deterioration </w:t>
      </w:r>
      <w:r>
        <w:rPr>
          <w:lang w:val="en-US"/>
        </w:rPr>
        <w:t>(</w:t>
      </w:r>
      <w:r w:rsidRPr="00FB7B4D">
        <w:rPr>
          <w:lang w:val="en-US"/>
        </w:rPr>
        <w:t>OJ L 372, 27.12.2006, p. 19</w:t>
      </w:r>
      <w:r>
        <w:rPr>
          <w:lang w:val="en-US"/>
        </w:rPr>
        <w:t>).</w:t>
      </w:r>
    </w:p>
  </w:footnote>
  <w:footnote w:id="50">
    <w:p w14:paraId="6C7658D8" w14:textId="77777777" w:rsidR="00D23FFC" w:rsidRPr="00FB7B4D" w:rsidRDefault="00D23FFC" w:rsidP="00E3706C">
      <w:pPr>
        <w:pStyle w:val="FootnoteText"/>
        <w:rPr>
          <w:lang w:val="en-US"/>
        </w:rPr>
      </w:pPr>
      <w:r w:rsidRPr="00F71E9E">
        <w:rPr>
          <w:rStyle w:val="FootnoteReference"/>
        </w:rPr>
        <w:footnoteRef/>
      </w:r>
      <w:r>
        <w:tab/>
      </w:r>
      <w:r w:rsidRPr="00FB7B4D">
        <w:rPr>
          <w:lang w:val="en-US"/>
        </w:rPr>
        <w:t xml:space="preserve">Regulation (EC) No 1907/2006 of the European Parliament and of the Council of 18 December 2006 concerning the Registration, Evaluation, Authorisation and Restriction of Chemicals (REACH), establishing a European Chemicals Agency </w:t>
      </w:r>
      <w:r>
        <w:rPr>
          <w:lang w:val="en-US"/>
        </w:rPr>
        <w:t>(</w:t>
      </w:r>
      <w:r w:rsidRPr="00FB7B4D">
        <w:rPr>
          <w:lang w:val="en-US"/>
        </w:rPr>
        <w:t>OJ L 396, 30.12.2006, p. 1</w:t>
      </w:r>
      <w:r>
        <w:rPr>
          <w:lang w:val="en-US"/>
        </w:rPr>
        <w:t>).</w:t>
      </w:r>
    </w:p>
  </w:footnote>
  <w:footnote w:id="51">
    <w:p w14:paraId="133B5673" w14:textId="77777777" w:rsidR="00D23FFC" w:rsidRPr="00FB7B4D" w:rsidRDefault="00D23FFC" w:rsidP="00E3706C">
      <w:pPr>
        <w:pStyle w:val="FootnoteText"/>
        <w:rPr>
          <w:lang w:val="en-US"/>
        </w:rPr>
      </w:pPr>
      <w:r w:rsidRPr="00F71E9E">
        <w:rPr>
          <w:rStyle w:val="FootnoteReference"/>
        </w:rPr>
        <w:footnoteRef/>
      </w:r>
      <w:r>
        <w:tab/>
      </w:r>
      <w:r w:rsidRPr="00FB7B4D">
        <w:rPr>
          <w:lang w:val="en-US"/>
        </w:rPr>
        <w:t>Regulation (EC) No 1107/2009 of the European Parliament and of the Council of 21 October 2009 concerning the placing of plant protection products on the market and repealing Council Directives 79/117/EEC and 91/414/EEC</w:t>
      </w:r>
      <w:r>
        <w:rPr>
          <w:lang w:val="en-US"/>
        </w:rPr>
        <w:t xml:space="preserve"> (</w:t>
      </w:r>
      <w:r w:rsidRPr="00FB7B4D">
        <w:rPr>
          <w:lang w:val="en-US"/>
        </w:rPr>
        <w:t>OJ L 309, 24.11.2009, p. 1</w:t>
      </w:r>
      <w:r>
        <w:rPr>
          <w:lang w:val="en-US"/>
        </w:rPr>
        <w:t>).</w:t>
      </w:r>
    </w:p>
  </w:footnote>
  <w:footnote w:id="52">
    <w:p w14:paraId="6670368B" w14:textId="77777777" w:rsidR="00D23FFC" w:rsidRPr="00FB7B4D" w:rsidRDefault="00D23FFC" w:rsidP="00E3706C">
      <w:pPr>
        <w:pStyle w:val="FootnoteText"/>
        <w:rPr>
          <w:lang w:val="en-US"/>
        </w:rPr>
      </w:pPr>
      <w:r w:rsidRPr="00F71E9E">
        <w:rPr>
          <w:rStyle w:val="FootnoteReference"/>
        </w:rPr>
        <w:footnoteRef/>
      </w:r>
      <w:r>
        <w:tab/>
        <w:t>Regulation (EU) No 528/2012 of the European Parliament and of the Council of 22 May 2012 concerning the making available on the market and use of biocidal products (OJ L 167, 27.6.2012, p. 1).</w:t>
      </w:r>
    </w:p>
  </w:footnote>
  <w:footnote w:id="53">
    <w:p w14:paraId="79E9583F" w14:textId="77777777" w:rsidR="00D23FFC" w:rsidRPr="00FB7B4D" w:rsidRDefault="00D23FFC" w:rsidP="00E3706C">
      <w:pPr>
        <w:pStyle w:val="FootnoteText"/>
        <w:rPr>
          <w:lang w:val="en-US"/>
        </w:rPr>
      </w:pPr>
      <w:r w:rsidRPr="00F71E9E">
        <w:rPr>
          <w:rStyle w:val="FootnoteReference"/>
        </w:rPr>
        <w:footnoteRef/>
      </w:r>
      <w:r>
        <w:tab/>
        <w:t>Regulation (EU) 2019/6 of the European Parliament and of the Council of 11 December 2018 on veterinary medicinal products and repealing Directive 2001/82/EC (OJ L 4, 7.1.2019, p. 43).</w:t>
      </w:r>
    </w:p>
  </w:footnote>
  <w:footnote w:id="54">
    <w:p w14:paraId="07EB5C5B" w14:textId="77777777" w:rsidR="00D23FFC" w:rsidRPr="00FB7B4D" w:rsidRDefault="00D23FFC" w:rsidP="00E3706C">
      <w:pPr>
        <w:pStyle w:val="FootnoteText"/>
        <w:rPr>
          <w:lang w:val="en-US"/>
        </w:rPr>
      </w:pPr>
      <w:r w:rsidRPr="00F71E9E">
        <w:rPr>
          <w:rStyle w:val="FootnoteReference"/>
        </w:rPr>
        <w:footnoteRef/>
      </w:r>
      <w:r>
        <w:tab/>
      </w:r>
      <w:r w:rsidRPr="00FB7B4D">
        <w:rPr>
          <w:lang w:val="en-US"/>
        </w:rPr>
        <w:t>Directive 2001/83/EC of the European Parliament and of the Council of 6 November 2001 on the Community code relating to medicinal products for human use</w:t>
      </w:r>
      <w:r>
        <w:rPr>
          <w:lang w:val="en-US"/>
        </w:rPr>
        <w:t xml:space="preserve"> (O</w:t>
      </w:r>
      <w:r w:rsidRPr="00FB7B4D">
        <w:rPr>
          <w:lang w:val="en-US"/>
        </w:rPr>
        <w:t>J L 311, 28.11.2001, p. 67</w:t>
      </w:r>
      <w:r>
        <w:rPr>
          <w:lang w:val="en-US"/>
        </w:rPr>
        <w:t>).</w:t>
      </w:r>
    </w:p>
  </w:footnote>
  <w:footnote w:id="55">
    <w:p w14:paraId="6B42BF16" w14:textId="77777777" w:rsidR="00D23FFC" w:rsidRPr="0036474B" w:rsidRDefault="00D23FFC" w:rsidP="00E3706C">
      <w:pPr>
        <w:pStyle w:val="FootnoteText"/>
        <w:rPr>
          <w:lang w:val="en-US"/>
        </w:rPr>
      </w:pPr>
      <w:r w:rsidRPr="0020719C">
        <w:rPr>
          <w:rStyle w:val="FootnoteReference"/>
        </w:rPr>
        <w:footnoteRef/>
      </w:r>
      <w:r>
        <w:tab/>
        <w:t>Directive 2009/128/EC of the European Parliament and of the Council of 21 October 2009 establishing a framework for Community action to achieve the sustainable use of pesticides, (OJ L 309, 24.11.2009, p. 71).</w:t>
      </w:r>
    </w:p>
  </w:footnote>
  <w:footnote w:id="56">
    <w:p w14:paraId="7AA99963" w14:textId="77777777" w:rsidR="00D23FFC" w:rsidRPr="00FB7B4D" w:rsidRDefault="00D23FFC" w:rsidP="00E3706C">
      <w:pPr>
        <w:pStyle w:val="FootnoteText"/>
        <w:rPr>
          <w:lang w:val="en-US"/>
        </w:rPr>
      </w:pPr>
      <w:r w:rsidRPr="00F71E9E">
        <w:rPr>
          <w:rStyle w:val="FootnoteReference"/>
        </w:rPr>
        <w:footnoteRef/>
      </w:r>
      <w:r>
        <w:tab/>
      </w:r>
      <w:r w:rsidRPr="00FB7B4D">
        <w:rPr>
          <w:lang w:val="en-US"/>
        </w:rPr>
        <w:t>Directive 2010/75/EU of the European Parliament and of the Council of 24 November 2010 on industrial emissions (integrated pollution prevention and control)</w:t>
      </w:r>
      <w:r>
        <w:rPr>
          <w:lang w:val="en-US"/>
        </w:rPr>
        <w:t xml:space="preserve"> (</w:t>
      </w:r>
      <w:r w:rsidRPr="00FB7B4D">
        <w:rPr>
          <w:lang w:val="en-US"/>
        </w:rPr>
        <w:t>OJ L 334, 17.12.2010, p. 17</w:t>
      </w:r>
      <w:r>
        <w:rPr>
          <w:lang w:val="en-US"/>
        </w:rPr>
        <w:t>).</w:t>
      </w:r>
    </w:p>
  </w:footnote>
  <w:footnote w:id="57">
    <w:p w14:paraId="576E6878" w14:textId="77777777" w:rsidR="00D23FFC" w:rsidRPr="00FB7B4D" w:rsidRDefault="00D23FFC" w:rsidP="00E3706C">
      <w:pPr>
        <w:pStyle w:val="FootnoteText"/>
        <w:rPr>
          <w:lang w:val="en-US"/>
        </w:rPr>
      </w:pPr>
      <w:r w:rsidRPr="00F71E9E">
        <w:rPr>
          <w:rStyle w:val="FootnoteReference"/>
        </w:rPr>
        <w:footnoteRef/>
      </w:r>
      <w:r>
        <w:tab/>
      </w:r>
      <w:r w:rsidRPr="00FB7B4D">
        <w:rPr>
          <w:lang w:val="en-US"/>
        </w:rPr>
        <w:t>Council Directive 91/271/EEC of 21 May 1991 concerning urban waste-water treatment</w:t>
      </w:r>
      <w:r>
        <w:rPr>
          <w:lang w:val="en-US"/>
        </w:rPr>
        <w:t xml:space="preserve"> (</w:t>
      </w:r>
      <w:r w:rsidRPr="00FB7B4D">
        <w:rPr>
          <w:lang w:val="en-US"/>
        </w:rPr>
        <w:t>OJ L 135, 30.5.1991, p. 40</w:t>
      </w:r>
      <w:r>
        <w:rPr>
          <w:lang w:val="en-US"/>
        </w:rPr>
        <w:t>).</w:t>
      </w:r>
    </w:p>
  </w:footnote>
  <w:footnote w:id="58">
    <w:p w14:paraId="41AAA706" w14:textId="77777777" w:rsidR="00D23FFC" w:rsidRPr="00FB7B4D" w:rsidRDefault="00D23FFC" w:rsidP="00C42577">
      <w:pPr>
        <w:pStyle w:val="FootnoteText"/>
        <w:rPr>
          <w:lang w:val="en-US"/>
        </w:rPr>
      </w:pPr>
      <w:r w:rsidRPr="00F71E9E">
        <w:rPr>
          <w:rStyle w:val="FootnoteReference"/>
        </w:rPr>
        <w:footnoteRef/>
      </w:r>
      <w:r>
        <w:tab/>
      </w:r>
      <w:r w:rsidRPr="00FB7B4D">
        <w:rPr>
          <w:lang w:val="en-US"/>
        </w:rPr>
        <w:t>Directive (EU) 2020/2184 of the European Parliament and of the Council of 16 December 2020 on the quality of water intended for human consumption (recast)</w:t>
      </w:r>
      <w:r>
        <w:rPr>
          <w:lang w:val="en-US"/>
        </w:rPr>
        <w:t xml:space="preserve"> (</w:t>
      </w:r>
      <w:r w:rsidRPr="00FB7B4D">
        <w:rPr>
          <w:lang w:val="en-US"/>
        </w:rPr>
        <w:t>OJ L 435, 23.12.2020, p. 1</w:t>
      </w:r>
      <w:r>
        <w:rPr>
          <w:lang w:val="en-US"/>
        </w:rPr>
        <w:t>).</w:t>
      </w:r>
    </w:p>
  </w:footnote>
  <w:footnote w:id="59">
    <w:p w14:paraId="4AD66C71" w14:textId="77777777" w:rsidR="00D23FFC" w:rsidRPr="007147AD" w:rsidRDefault="00D23FFC">
      <w:pPr>
        <w:pStyle w:val="FootnoteText"/>
      </w:pPr>
      <w:r w:rsidRPr="00B72FB9">
        <w:rPr>
          <w:rStyle w:val="FootnoteReference"/>
        </w:rPr>
        <w:footnoteRef/>
      </w:r>
      <w:r>
        <w:tab/>
      </w:r>
      <w:r w:rsidRPr="006B69D1">
        <w:t xml:space="preserve">Commission Staff Working Document Fitness check of the Water Framework Directive, Groundwater Directive, Environmental Quality Standards Directive and Floods Directive, </w:t>
      </w:r>
      <w:r w:rsidRPr="007147AD">
        <w:t>SWD(2019) 439 final</w:t>
      </w:r>
      <w:r>
        <w:t>.</w:t>
      </w:r>
    </w:p>
  </w:footnote>
  <w:footnote w:id="60">
    <w:p w14:paraId="062620BA" w14:textId="77777777" w:rsidR="00D23FFC" w:rsidRPr="00FB7B4D" w:rsidRDefault="00D23FFC" w:rsidP="00952FD2">
      <w:pPr>
        <w:pStyle w:val="FootnoteText"/>
        <w:rPr>
          <w:lang w:val="en-US"/>
        </w:rPr>
      </w:pPr>
      <w:r w:rsidRPr="00233013">
        <w:rPr>
          <w:rStyle w:val="FootnoteReference"/>
        </w:rPr>
        <w:footnoteRef/>
      </w:r>
      <w:r>
        <w:tab/>
      </w:r>
      <w:r w:rsidRPr="00FB7B4D">
        <w:rPr>
          <w:lang w:val="en-US"/>
        </w:rPr>
        <w:t>Directive 2007/2/EC of the European Parliament and of the Council of 14 March 2007 establishing an Infrastructure for Spatial Information in the European Community (INSPIRE)</w:t>
      </w:r>
      <w:r>
        <w:rPr>
          <w:lang w:val="en-US"/>
        </w:rPr>
        <w:t xml:space="preserve"> (</w:t>
      </w:r>
      <w:r w:rsidRPr="00FB7B4D">
        <w:rPr>
          <w:lang w:val="en-US"/>
        </w:rPr>
        <w:t>OJ L 108, 25.4.2007, p. 1</w:t>
      </w:r>
      <w:r>
        <w:rPr>
          <w:lang w:val="en-US"/>
        </w:rPr>
        <w:t>).</w:t>
      </w:r>
    </w:p>
  </w:footnote>
  <w:footnote w:id="61">
    <w:p w14:paraId="7FC22E8C" w14:textId="77777777" w:rsidR="00D23FFC" w:rsidRPr="00840C05" w:rsidRDefault="00D23FFC" w:rsidP="00674832">
      <w:pPr>
        <w:pStyle w:val="FootnoteText"/>
      </w:pPr>
      <w:r w:rsidRPr="006C662D">
        <w:rPr>
          <w:rStyle w:val="FootnoteReference"/>
        </w:rPr>
        <w:footnoteRef/>
      </w:r>
      <w:r>
        <w:tab/>
      </w:r>
      <w:r w:rsidRPr="00F222BD">
        <w:rPr>
          <w:lang w:val="en-US"/>
        </w:rPr>
        <w:t>Directive (EU) 2019/1024 of the European Parliament and of the Council of 20 June 2019 on open data and the re-use of public sector information</w:t>
      </w:r>
      <w:r>
        <w:rPr>
          <w:lang w:val="en-US"/>
        </w:rPr>
        <w:t xml:space="preserve"> (</w:t>
      </w:r>
      <w:r w:rsidRPr="00F74113">
        <w:t>OJ L 172, 26.6.2019, p. 56</w:t>
      </w:r>
      <w:r>
        <w:rPr>
          <w:lang w:val="en-US"/>
        </w:rPr>
        <w:t>).</w:t>
      </w:r>
    </w:p>
  </w:footnote>
  <w:footnote w:id="62">
    <w:p w14:paraId="5780ACCA" w14:textId="77777777" w:rsidR="00D23FFC" w:rsidRPr="007E10DC" w:rsidRDefault="00D23FFC" w:rsidP="007E10DC">
      <w:pPr>
        <w:pStyle w:val="FootnoteText"/>
        <w:rPr>
          <w:lang w:val="en-US"/>
        </w:rPr>
      </w:pPr>
      <w:r w:rsidRPr="00AF5263">
        <w:rPr>
          <w:rStyle w:val="FootnoteReference"/>
        </w:rPr>
        <w:footnoteRef/>
      </w:r>
      <w:r>
        <w:tab/>
      </w:r>
      <w:r w:rsidRPr="007E10DC">
        <w:rPr>
          <w:lang w:val="en-US"/>
        </w:rPr>
        <w:t>Regulation (EC) No 166/2006 of the European Parliament and of the Council of 18 January 2006 concerning the establishment of a European Pollutant Release and Transfer Register and amending Council Directives 91/689/EEC and 96/61/EC</w:t>
      </w:r>
      <w:r>
        <w:rPr>
          <w:lang w:val="en-US"/>
        </w:rPr>
        <w:t xml:space="preserve"> (</w:t>
      </w:r>
      <w:r w:rsidRPr="007E10DC">
        <w:rPr>
          <w:lang w:val="en-US"/>
        </w:rPr>
        <w:t>OJ L 33, 4.2.2006, p. 1</w:t>
      </w:r>
      <w:r>
        <w:rPr>
          <w:lang w:val="en-US"/>
        </w:rPr>
        <w:t>).</w:t>
      </w:r>
    </w:p>
  </w:footnote>
  <w:footnote w:id="63">
    <w:p w14:paraId="7E71AC01" w14:textId="77777777" w:rsidR="00D23FFC" w:rsidRPr="005F3242" w:rsidRDefault="00D23FFC" w:rsidP="009B5F71">
      <w:pPr>
        <w:pStyle w:val="FootnoteText"/>
        <w:rPr>
          <w:i/>
          <w:lang w:val="en-IE"/>
        </w:rPr>
      </w:pPr>
      <w:r w:rsidRPr="00C53B0E">
        <w:rPr>
          <w:rStyle w:val="FootnoteReference"/>
        </w:rPr>
        <w:footnoteRef/>
      </w:r>
      <w:r>
        <w:tab/>
      </w:r>
      <w:r w:rsidRPr="00452F7F">
        <w:rPr>
          <w:lang w:val="en-IE"/>
        </w:rPr>
        <w:t>Regulation (EU) No 182/2011 of the European Parliament and of the Council</w:t>
      </w:r>
      <w:r>
        <w:rPr>
          <w:lang w:val="en-IE"/>
        </w:rPr>
        <w:t xml:space="preserve"> </w:t>
      </w:r>
      <w:r w:rsidRPr="00452F7F">
        <w:rPr>
          <w:lang w:val="en-IE"/>
        </w:rPr>
        <w:t>of 16 February 2011 laying down the rules and general principles concerning mechanisms for control by Member States of the Commission’s exercise of implementing powers</w:t>
      </w:r>
      <w:r>
        <w:rPr>
          <w:lang w:val="en-IE"/>
        </w:rPr>
        <w:t xml:space="preserve"> (</w:t>
      </w:r>
      <w:r w:rsidRPr="00452F7F">
        <w:rPr>
          <w:lang w:val="en-IE"/>
        </w:rPr>
        <w:t>OJ L 55, 28.2.2011, p. 13</w:t>
      </w:r>
      <w:r>
        <w:rPr>
          <w:lang w:val="en-IE"/>
        </w:rPr>
        <w:t>).</w:t>
      </w:r>
    </w:p>
  </w:footnote>
  <w:footnote w:id="64">
    <w:p w14:paraId="69E08E68" w14:textId="77777777" w:rsidR="00D23FFC" w:rsidRPr="00403AE9" w:rsidRDefault="00D23FFC">
      <w:pPr>
        <w:pStyle w:val="FootnoteText"/>
        <w:rPr>
          <w:lang w:val="en-US"/>
        </w:rPr>
      </w:pPr>
      <w:r>
        <w:rPr>
          <w:rStyle w:val="FootnoteReference"/>
        </w:rPr>
        <w:t>+</w:t>
      </w:r>
      <w:r>
        <w:tab/>
      </w:r>
      <w:r w:rsidRPr="00FD620F">
        <w:rPr>
          <w:bCs/>
        </w:rPr>
        <w:t>OP: Please insert in the text the number of the Regulation contained in document COM (2022) 157 and insert the number, date, title and OJ reference of that Directive in the footnote</w:t>
      </w:r>
    </w:p>
  </w:footnote>
  <w:footnote w:id="65">
    <w:p w14:paraId="2D0324C4" w14:textId="4D36ACC3" w:rsidR="00D23FFC" w:rsidRPr="00403AE9" w:rsidRDefault="00D23FFC">
      <w:pPr>
        <w:pStyle w:val="FootnoteText"/>
        <w:rPr>
          <w:lang w:val="en-US"/>
        </w:rPr>
      </w:pPr>
      <w:r w:rsidRPr="00AF13F3">
        <w:rPr>
          <w:rStyle w:val="FootnoteReference"/>
        </w:rPr>
        <w:footnoteRef/>
      </w:r>
      <w:r>
        <w:tab/>
      </w:r>
      <w:r w:rsidRPr="00403AE9">
        <w:rPr>
          <w:lang w:val="en-US"/>
        </w:rPr>
        <w:t>Decision No 1313/2013/EU of the European Parliament and of the Council of 17 December 2013 on a Union Civil Protection Mechanism (OJ L 347, 20.12.2013, p. 924).</w:t>
      </w:r>
    </w:p>
  </w:footnote>
  <w:footnote w:id="66">
    <w:p w14:paraId="66C42949" w14:textId="72C513CE" w:rsidR="00D23FFC" w:rsidRDefault="00D23FFC" w:rsidP="00454B24">
      <w:pPr>
        <w:pStyle w:val="FootnoteText"/>
      </w:pPr>
      <w:r w:rsidRPr="000D2877">
        <w:rPr>
          <w:rStyle w:val="FootnoteReference"/>
        </w:rPr>
        <w:t>+</w:t>
      </w:r>
      <w:r>
        <w:tab/>
      </w:r>
      <w:r w:rsidRPr="00B545FE">
        <w:t>OP: Please insert in the text the number of the Regulation contained in document COM (2022) 157</w:t>
      </w:r>
    </w:p>
    <w:p w14:paraId="601EF330" w14:textId="69A2F7D2" w:rsidR="00D23FFC" w:rsidRDefault="00D23FFC" w:rsidP="00454B24">
      <w:pPr>
        <w:pStyle w:val="FootnoteText"/>
      </w:pPr>
      <w:r>
        <w:t xml:space="preserve">++          </w:t>
      </w:r>
      <w:r w:rsidRPr="00B545FE">
        <w:t>OP: Please insert in the text the number of the Regulation contained in document COM (2022) 157</w:t>
      </w:r>
    </w:p>
    <w:p w14:paraId="0E70B8E1" w14:textId="77777777" w:rsidR="00D23FFC" w:rsidRPr="00552C01" w:rsidRDefault="00D23FFC" w:rsidP="00454B24">
      <w:pPr>
        <w:pStyle w:val="FootnoteText"/>
        <w:rPr>
          <w:lang w:val="en-US"/>
        </w:rPr>
      </w:pPr>
      <w:r>
        <w:rPr>
          <w:bCs/>
        </w:rPr>
        <w:t>+++</w:t>
      </w:r>
      <w:r>
        <w:rPr>
          <w:bCs/>
        </w:rPr>
        <w:tab/>
      </w:r>
      <w:r w:rsidRPr="00B545FE">
        <w:t>OP: Please insert in the text the number of the Regulation contained in document COM (2022) 157</w:t>
      </w:r>
    </w:p>
  </w:footnote>
  <w:footnote w:id="67">
    <w:p w14:paraId="15713DAC" w14:textId="458E8DC8" w:rsidR="00D23FFC" w:rsidRDefault="00D23FFC" w:rsidP="001C0111">
      <w:pPr>
        <w:pStyle w:val="FootnoteText"/>
        <w:rPr>
          <w:szCs w:val="24"/>
        </w:rPr>
      </w:pPr>
      <w:r w:rsidRPr="00AF13F3">
        <w:rPr>
          <w:rStyle w:val="FootnoteReference"/>
        </w:rPr>
        <w:footnoteRef/>
      </w:r>
      <w:r>
        <w:tab/>
        <w:t>As referred to in Article 58(2)(a) or (b) of the Financial Regulation.</w:t>
      </w:r>
    </w:p>
  </w:footnote>
  <w:footnote w:id="68">
    <w:p w14:paraId="3457B039" w14:textId="77777777" w:rsidR="00D23FFC" w:rsidRDefault="00D23FFC" w:rsidP="001C0111">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2" w:history="1">
        <w:r>
          <w:rPr>
            <w:rStyle w:val="Hyperlink"/>
            <w:szCs w:val="24"/>
          </w:rPr>
          <w:t>https://myintracomm.ec.europa.eu/budgweb/EN/man/budgmanag/Pages/budgmanag.aspx</w:t>
        </w:r>
      </w:hyperlink>
      <w:r>
        <w:rPr>
          <w:szCs w:val="24"/>
        </w:rPr>
        <w:t xml:space="preserve"> </w:t>
      </w:r>
    </w:p>
  </w:footnote>
  <w:footnote w:id="69">
    <w:p w14:paraId="23105227" w14:textId="77777777" w:rsidR="00D23FFC" w:rsidRDefault="00D23FFC" w:rsidP="001C0111">
      <w:pPr>
        <w:pStyle w:val="FootnoteText"/>
        <w:rPr>
          <w:szCs w:val="24"/>
        </w:rPr>
      </w:pPr>
      <w:r>
        <w:rPr>
          <w:rStyle w:val="FootnoteReference"/>
        </w:rPr>
        <w:footnoteRef/>
      </w:r>
      <w:r>
        <w:tab/>
        <w:t>Diff. = Differentiated appropriations / Non-diff. = Non-differentiated appropriations.</w:t>
      </w:r>
    </w:p>
  </w:footnote>
  <w:footnote w:id="70">
    <w:p w14:paraId="442C54AB" w14:textId="77777777" w:rsidR="00D23FFC" w:rsidRDefault="00D23FFC" w:rsidP="001C0111">
      <w:pPr>
        <w:pStyle w:val="FootnoteText"/>
        <w:rPr>
          <w:szCs w:val="24"/>
        </w:rPr>
      </w:pPr>
      <w:r>
        <w:rPr>
          <w:rStyle w:val="FootnoteReference"/>
        </w:rPr>
        <w:footnoteRef/>
      </w:r>
      <w:r>
        <w:tab/>
        <w:t xml:space="preserve">EFTA: European Free Trade Association. </w:t>
      </w:r>
    </w:p>
  </w:footnote>
  <w:footnote w:id="71">
    <w:p w14:paraId="73B90E4B" w14:textId="77777777" w:rsidR="00D23FFC" w:rsidRDefault="00D23FFC" w:rsidP="001C0111">
      <w:pPr>
        <w:pStyle w:val="FootnoteText"/>
        <w:rPr>
          <w:szCs w:val="24"/>
        </w:rPr>
      </w:pPr>
      <w:r>
        <w:rPr>
          <w:rStyle w:val="FootnoteReference"/>
        </w:rPr>
        <w:footnoteRef/>
      </w:r>
      <w:r>
        <w:tab/>
        <w:t>Candidate countries and, where applicable, potential candidates from the Western Balkans.</w:t>
      </w:r>
    </w:p>
  </w:footnote>
  <w:footnote w:id="72">
    <w:p w14:paraId="1D663BD9" w14:textId="77777777" w:rsidR="00D23FFC" w:rsidRDefault="00D23FFC" w:rsidP="001C0111">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73">
    <w:p w14:paraId="7612BD2F" w14:textId="77777777" w:rsidR="00D23FFC" w:rsidRDefault="00D23FFC" w:rsidP="001C0111">
      <w:pPr>
        <w:pStyle w:val="FootnoteText"/>
        <w:rPr>
          <w:szCs w:val="24"/>
        </w:rPr>
      </w:pPr>
      <w:r>
        <w:rPr>
          <w:rStyle w:val="FootnoteReference"/>
        </w:rPr>
        <w:footnoteRef/>
      </w:r>
      <w:r>
        <w:tab/>
        <w:t xml:space="preserve">As described in point 1.4.2. ‘Specific objective(s)…’ </w:t>
      </w:r>
    </w:p>
  </w:footnote>
  <w:footnote w:id="74">
    <w:p w14:paraId="47F0AD9C" w14:textId="77777777" w:rsidR="00D23FFC" w:rsidRDefault="00D23FFC" w:rsidP="001C0111">
      <w:pPr>
        <w:pStyle w:val="FootnoteText"/>
        <w:rPr>
          <w:szCs w:val="24"/>
        </w:rPr>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75">
    <w:p w14:paraId="7741051F" w14:textId="77777777" w:rsidR="00D23FFC" w:rsidRDefault="00D23FFC" w:rsidP="001C0111">
      <w:pPr>
        <w:pStyle w:val="FootnoteText"/>
        <w:rPr>
          <w:szCs w:val="24"/>
        </w:rPr>
      </w:pPr>
      <w:r>
        <w:rPr>
          <w:rStyle w:val="FootnoteReference"/>
        </w:rPr>
        <w:footnoteRef/>
      </w:r>
      <w:r>
        <w:tab/>
        <w:t>Sub-ceiling for external staff covered by operational appropriations (former ‘BA’ lines).</w:t>
      </w:r>
    </w:p>
  </w:footnote>
  <w:footnote w:id="76">
    <w:p w14:paraId="146E7318" w14:textId="77777777" w:rsidR="00D23FFC" w:rsidRDefault="00D23FFC" w:rsidP="001C0111">
      <w:pPr>
        <w:pStyle w:val="FootnoteText"/>
      </w:pPr>
      <w:r w:rsidRPr="00CB7CD3">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77">
    <w:p w14:paraId="6C422ADF" w14:textId="77777777" w:rsidR="00D23FFC" w:rsidRDefault="00D23FFC" w:rsidP="001C0111">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AC090" w14:textId="77777777" w:rsidR="00A71C3C" w:rsidRPr="00A71C3C" w:rsidRDefault="00A71C3C" w:rsidP="00A71C3C">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2F10" w14:textId="77777777" w:rsidR="00A71C3C" w:rsidRPr="00A71C3C" w:rsidRDefault="00A71C3C" w:rsidP="00A71C3C">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A972C" w14:textId="77777777" w:rsidR="00A71C3C" w:rsidRPr="00A71C3C" w:rsidRDefault="00A71C3C" w:rsidP="00A71C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1CBFE" w14:textId="77777777" w:rsidR="00A71C3C" w:rsidRPr="00A71C3C" w:rsidRDefault="00A71C3C" w:rsidP="00A71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0BE61597"/>
    <w:multiLevelType w:val="hybridMultilevel"/>
    <w:tmpl w:val="D3BA0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3" w15:restartNumberingAfterBreak="0">
    <w:nsid w:val="13E4330B"/>
    <w:multiLevelType w:val="multilevel"/>
    <w:tmpl w:val="643A6648"/>
    <w:name w:val="List Dash 3"/>
    <w:lvl w:ilvl="0">
      <w:start w:val="1"/>
      <w:numFmt w:val="decimal"/>
      <w:pStyle w:val="ListNumber1"/>
      <w:lvlText w:val="(%1)"/>
      <w:lvlJc w:val="left"/>
      <w:pPr>
        <w:tabs>
          <w:tab w:val="num" w:pos="1701"/>
        </w:tabs>
        <w:ind w:left="1701"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5E55678"/>
    <w:multiLevelType w:val="hybridMultilevel"/>
    <w:tmpl w:val="E6F0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07E6347"/>
    <w:multiLevelType w:val="hybridMultilevel"/>
    <w:tmpl w:val="B2866D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538806B0"/>
    <w:name w:val="0.6719891"/>
    <w:lvl w:ilvl="0">
      <w:start w:val="1"/>
      <w:numFmt w:val="decimal"/>
      <w:lvlRestart w:val="0"/>
      <w:pStyle w:val="ListNumber"/>
      <w:lvlText w:val="(%1)"/>
      <w:lvlJc w:val="left"/>
      <w:pPr>
        <w:tabs>
          <w:tab w:val="num" w:pos="1276"/>
        </w:tabs>
        <w:ind w:left="1276" w:hanging="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27"/>
  </w:num>
  <w:num w:numId="5">
    <w:abstractNumId w:val="24"/>
  </w:num>
  <w:num w:numId="6">
    <w:abstractNumId w:val="28"/>
  </w:num>
  <w:num w:numId="7">
    <w:abstractNumId w:val="29"/>
  </w:num>
  <w:num w:numId="8">
    <w:abstractNumId w:val="2"/>
  </w:num>
  <w:num w:numId="9">
    <w:abstractNumId w:val="10"/>
  </w:num>
  <w:num w:numId="10">
    <w:abstractNumId w:val="3"/>
  </w:num>
  <w:num w:numId="11">
    <w:abstractNumId w:val="12"/>
  </w:num>
  <w:num w:numId="12">
    <w:abstractNumId w:val="9"/>
  </w:num>
  <w:num w:numId="13">
    <w:abstractNumId w:val="18"/>
  </w:num>
  <w:num w:numId="14">
    <w:abstractNumId w:val="1"/>
  </w:num>
  <w:num w:numId="15">
    <w:abstractNumId w:val="11"/>
  </w:num>
  <w:num w:numId="16">
    <w:abstractNumId w:val="30"/>
    <w:lvlOverride w:ilvl="0">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num>
  <w:num w:numId="23">
    <w:abstractNumId w:val="23"/>
  </w:num>
  <w:num w:numId="24">
    <w:abstractNumId w:val="14"/>
  </w:num>
  <w:num w:numId="25">
    <w:abstractNumId w:val="26"/>
  </w:num>
  <w:num w:numId="26">
    <w:abstractNumId w:val="7"/>
  </w:num>
  <w:num w:numId="27">
    <w:abstractNumId w:val="15"/>
  </w:num>
  <w:num w:numId="28">
    <w:abstractNumId w:val="16"/>
  </w:num>
  <w:num w:numId="29">
    <w:abstractNumId w:val="5"/>
  </w:num>
  <w:num w:numId="30">
    <w:abstractNumId w:val="25"/>
  </w:num>
  <w:num w:numId="31">
    <w:abstractNumId w:val="4"/>
  </w:num>
  <w:num w:numId="32">
    <w:abstractNumId w:val="17"/>
  </w:num>
  <w:num w:numId="33">
    <w:abstractNumId w:val="21"/>
  </w:num>
  <w:num w:numId="34">
    <w:abstractNumId w:val="22"/>
  </w:num>
  <w:num w:numId="35">
    <w:abstractNumId w:val="6"/>
  </w:num>
  <w:num w:numId="36">
    <w:abstractNumId w:val="19"/>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nl-BE"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pl-PL"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fr-FR" w:vendorID="64" w:dllVersion="131078" w:nlCheck="1" w:checkStyle="0"/>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0-25 11:41:17"/>
    <w:docVar w:name="DQCNUMB_1" w:val="10"/>
    <w:docVar w:name="DQCNUMB_2" w:val="11"/>
    <w:docVar w:name="DQCNUMB_3" w:val="560"/>
    <w:docVar w:name="DQCNUMB_4" w:val="561"/>
    <w:docVar w:name="DQCNUMB_5" w:val="562"/>
    <w:docVar w:name="DQCResult_Distribution" w:val="-1"/>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99E4E198-A6F1-4522-96A1-BFC6836DE0FA"/>
    <w:docVar w:name="LW_COVERPAGE_TYPE" w:val="1"/>
    <w:docVar w:name="LW_CROSSREFERENCE" w:val="{SEC(2022) 540 final} - {SWD(2022) 540 final} - {SWD(2022) 543 final}"/>
    <w:docVar w:name="LW_DocType" w:val="COM"/>
    <w:docVar w:name="LW_EMISSION" w:val="26.10.2022"/>
    <w:docVar w:name="LW_EMISSION_ISODATE" w:val="2022-10-26"/>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44"/>
    <w:docVar w:name="LW_REF.II.NEW.CP_YEAR" w:val="2022"/>
    <w:docVar w:name="LW_REF.INST.NEW" w:val="COM"/>
    <w:docVar w:name="LW_REF.INST.NEW_ADOPTED" w:val="final"/>
    <w:docVar w:name="LW_REF.INST.NEW_TEXT" w:val="(2022) 5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 2000/60/EC establishing a framework for Community action in the field of water policy, Directive 2006/118/EC on the protection of groundwater against pollution and deterioration and Directive 2008/105/EC on environmental quality standards in the field of water policy"/>
    <w:docVar w:name="LW_TYPE.DOC.CP" w:val="DIRECTIVE OF THE EUROPEAN PARLIAMENT AND OF THE COUNCIL"/>
    <w:docVar w:name="LwApiVersions" w:val="LW4CoDe 1.23.2.0; LW 8.0, Build 20211117"/>
  </w:docVars>
  <w:rsids>
    <w:rsidRoot w:val="0047629D"/>
    <w:rsid w:val="00000A07"/>
    <w:rsid w:val="00003114"/>
    <w:rsid w:val="00003C32"/>
    <w:rsid w:val="00004CA1"/>
    <w:rsid w:val="00005775"/>
    <w:rsid w:val="00005A72"/>
    <w:rsid w:val="00005F6E"/>
    <w:rsid w:val="00007363"/>
    <w:rsid w:val="00007629"/>
    <w:rsid w:val="00007766"/>
    <w:rsid w:val="00010962"/>
    <w:rsid w:val="00010A9A"/>
    <w:rsid w:val="000113E2"/>
    <w:rsid w:val="00011CDC"/>
    <w:rsid w:val="00012BDA"/>
    <w:rsid w:val="00013340"/>
    <w:rsid w:val="000136AA"/>
    <w:rsid w:val="0001385F"/>
    <w:rsid w:val="00015E6B"/>
    <w:rsid w:val="000162E5"/>
    <w:rsid w:val="00016AB9"/>
    <w:rsid w:val="000171B1"/>
    <w:rsid w:val="00017B15"/>
    <w:rsid w:val="00017D70"/>
    <w:rsid w:val="000203AA"/>
    <w:rsid w:val="00020ED3"/>
    <w:rsid w:val="0002419D"/>
    <w:rsid w:val="0002427E"/>
    <w:rsid w:val="000242C0"/>
    <w:rsid w:val="00026EC4"/>
    <w:rsid w:val="000306B0"/>
    <w:rsid w:val="00030DC3"/>
    <w:rsid w:val="00030E85"/>
    <w:rsid w:val="00030F78"/>
    <w:rsid w:val="00031A7A"/>
    <w:rsid w:val="0003263F"/>
    <w:rsid w:val="000329DA"/>
    <w:rsid w:val="000332E9"/>
    <w:rsid w:val="000339E7"/>
    <w:rsid w:val="00033CEC"/>
    <w:rsid w:val="00034B1F"/>
    <w:rsid w:val="00035623"/>
    <w:rsid w:val="00037086"/>
    <w:rsid w:val="00037F16"/>
    <w:rsid w:val="00040205"/>
    <w:rsid w:val="0004181D"/>
    <w:rsid w:val="00042656"/>
    <w:rsid w:val="0004295C"/>
    <w:rsid w:val="000430C2"/>
    <w:rsid w:val="0004391B"/>
    <w:rsid w:val="00043BF7"/>
    <w:rsid w:val="00044B04"/>
    <w:rsid w:val="00044D88"/>
    <w:rsid w:val="00044DBC"/>
    <w:rsid w:val="00044DD2"/>
    <w:rsid w:val="000466F9"/>
    <w:rsid w:val="00046C3E"/>
    <w:rsid w:val="0004768D"/>
    <w:rsid w:val="00050190"/>
    <w:rsid w:val="000503B2"/>
    <w:rsid w:val="00050925"/>
    <w:rsid w:val="00050BFF"/>
    <w:rsid w:val="00051578"/>
    <w:rsid w:val="00052C52"/>
    <w:rsid w:val="0005373D"/>
    <w:rsid w:val="000537A2"/>
    <w:rsid w:val="0005403E"/>
    <w:rsid w:val="000553AA"/>
    <w:rsid w:val="00056011"/>
    <w:rsid w:val="0005621C"/>
    <w:rsid w:val="00056D62"/>
    <w:rsid w:val="00056F4E"/>
    <w:rsid w:val="00057613"/>
    <w:rsid w:val="00057F2E"/>
    <w:rsid w:val="00061AA7"/>
    <w:rsid w:val="00061AAB"/>
    <w:rsid w:val="00061B4B"/>
    <w:rsid w:val="00063A5E"/>
    <w:rsid w:val="00064530"/>
    <w:rsid w:val="00064ADB"/>
    <w:rsid w:val="00065A43"/>
    <w:rsid w:val="000669EB"/>
    <w:rsid w:val="0006748C"/>
    <w:rsid w:val="000676BB"/>
    <w:rsid w:val="000729FD"/>
    <w:rsid w:val="00073122"/>
    <w:rsid w:val="000735B9"/>
    <w:rsid w:val="000751B0"/>
    <w:rsid w:val="00075892"/>
    <w:rsid w:val="000759A8"/>
    <w:rsid w:val="00075C5E"/>
    <w:rsid w:val="00076C4A"/>
    <w:rsid w:val="00080B2C"/>
    <w:rsid w:val="00080CA1"/>
    <w:rsid w:val="00081257"/>
    <w:rsid w:val="00085798"/>
    <w:rsid w:val="00085D30"/>
    <w:rsid w:val="000879D6"/>
    <w:rsid w:val="000909AF"/>
    <w:rsid w:val="00091A62"/>
    <w:rsid w:val="00092BDB"/>
    <w:rsid w:val="00093138"/>
    <w:rsid w:val="00093561"/>
    <w:rsid w:val="00093AF9"/>
    <w:rsid w:val="0009456C"/>
    <w:rsid w:val="00094939"/>
    <w:rsid w:val="00095578"/>
    <w:rsid w:val="00096124"/>
    <w:rsid w:val="00096997"/>
    <w:rsid w:val="00096FD7"/>
    <w:rsid w:val="00097CAA"/>
    <w:rsid w:val="000A0931"/>
    <w:rsid w:val="000A0A08"/>
    <w:rsid w:val="000A154F"/>
    <w:rsid w:val="000A1D8A"/>
    <w:rsid w:val="000A2A0D"/>
    <w:rsid w:val="000A3DAE"/>
    <w:rsid w:val="000A3E7E"/>
    <w:rsid w:val="000A56F9"/>
    <w:rsid w:val="000A5ED7"/>
    <w:rsid w:val="000A6BA2"/>
    <w:rsid w:val="000B2839"/>
    <w:rsid w:val="000B2D3E"/>
    <w:rsid w:val="000B3481"/>
    <w:rsid w:val="000B5DC5"/>
    <w:rsid w:val="000B6D15"/>
    <w:rsid w:val="000B7A7D"/>
    <w:rsid w:val="000B7C73"/>
    <w:rsid w:val="000C0A87"/>
    <w:rsid w:val="000C16E5"/>
    <w:rsid w:val="000C22E3"/>
    <w:rsid w:val="000C2605"/>
    <w:rsid w:val="000C2610"/>
    <w:rsid w:val="000C30FC"/>
    <w:rsid w:val="000C386F"/>
    <w:rsid w:val="000C3A4A"/>
    <w:rsid w:val="000C5566"/>
    <w:rsid w:val="000C6136"/>
    <w:rsid w:val="000C6344"/>
    <w:rsid w:val="000D0633"/>
    <w:rsid w:val="000D11F2"/>
    <w:rsid w:val="000D1533"/>
    <w:rsid w:val="000D2877"/>
    <w:rsid w:val="000D3201"/>
    <w:rsid w:val="000D3721"/>
    <w:rsid w:val="000D475A"/>
    <w:rsid w:val="000D4B47"/>
    <w:rsid w:val="000D57D4"/>
    <w:rsid w:val="000D5804"/>
    <w:rsid w:val="000D5F7E"/>
    <w:rsid w:val="000D65D4"/>
    <w:rsid w:val="000D6735"/>
    <w:rsid w:val="000D767D"/>
    <w:rsid w:val="000E1125"/>
    <w:rsid w:val="000E1180"/>
    <w:rsid w:val="000E39F2"/>
    <w:rsid w:val="000E4B5B"/>
    <w:rsid w:val="000E5BB7"/>
    <w:rsid w:val="000E5D0E"/>
    <w:rsid w:val="000E67AB"/>
    <w:rsid w:val="000E6892"/>
    <w:rsid w:val="000E6E27"/>
    <w:rsid w:val="000E6EC2"/>
    <w:rsid w:val="000F0F82"/>
    <w:rsid w:val="000F11FE"/>
    <w:rsid w:val="000F3452"/>
    <w:rsid w:val="000F3777"/>
    <w:rsid w:val="000F3AB5"/>
    <w:rsid w:val="000F3BCB"/>
    <w:rsid w:val="000F3DD5"/>
    <w:rsid w:val="00100B07"/>
    <w:rsid w:val="00101CDA"/>
    <w:rsid w:val="0010203D"/>
    <w:rsid w:val="001023CD"/>
    <w:rsid w:val="00102792"/>
    <w:rsid w:val="00102C4C"/>
    <w:rsid w:val="001035EF"/>
    <w:rsid w:val="00104BCA"/>
    <w:rsid w:val="001055D1"/>
    <w:rsid w:val="00105E40"/>
    <w:rsid w:val="00107E83"/>
    <w:rsid w:val="00110369"/>
    <w:rsid w:val="00110522"/>
    <w:rsid w:val="00110CA9"/>
    <w:rsid w:val="001125A5"/>
    <w:rsid w:val="00112982"/>
    <w:rsid w:val="00113258"/>
    <w:rsid w:val="00114857"/>
    <w:rsid w:val="001159B2"/>
    <w:rsid w:val="00120200"/>
    <w:rsid w:val="0012059B"/>
    <w:rsid w:val="00120905"/>
    <w:rsid w:val="00120B69"/>
    <w:rsid w:val="001210EA"/>
    <w:rsid w:val="0012302C"/>
    <w:rsid w:val="00123502"/>
    <w:rsid w:val="001239E6"/>
    <w:rsid w:val="00123B28"/>
    <w:rsid w:val="00123BCB"/>
    <w:rsid w:val="00126829"/>
    <w:rsid w:val="00126EDA"/>
    <w:rsid w:val="0013019E"/>
    <w:rsid w:val="001315B0"/>
    <w:rsid w:val="00131BB8"/>
    <w:rsid w:val="00131DFD"/>
    <w:rsid w:val="00131E07"/>
    <w:rsid w:val="00132ABC"/>
    <w:rsid w:val="00133164"/>
    <w:rsid w:val="00135039"/>
    <w:rsid w:val="0013709C"/>
    <w:rsid w:val="001414A9"/>
    <w:rsid w:val="00141965"/>
    <w:rsid w:val="00142865"/>
    <w:rsid w:val="00142A3E"/>
    <w:rsid w:val="00143175"/>
    <w:rsid w:val="001443E2"/>
    <w:rsid w:val="00144DB1"/>
    <w:rsid w:val="0014572C"/>
    <w:rsid w:val="00145762"/>
    <w:rsid w:val="00145DA6"/>
    <w:rsid w:val="00145F55"/>
    <w:rsid w:val="00146509"/>
    <w:rsid w:val="00147A70"/>
    <w:rsid w:val="00151078"/>
    <w:rsid w:val="00151F5D"/>
    <w:rsid w:val="00152894"/>
    <w:rsid w:val="001537A1"/>
    <w:rsid w:val="001545D4"/>
    <w:rsid w:val="00154EED"/>
    <w:rsid w:val="001553E4"/>
    <w:rsid w:val="001634D6"/>
    <w:rsid w:val="00164B9B"/>
    <w:rsid w:val="00165CB1"/>
    <w:rsid w:val="00165EE9"/>
    <w:rsid w:val="001665FD"/>
    <w:rsid w:val="00166CFD"/>
    <w:rsid w:val="00166D81"/>
    <w:rsid w:val="00167143"/>
    <w:rsid w:val="00167F37"/>
    <w:rsid w:val="00167FDE"/>
    <w:rsid w:val="001710FD"/>
    <w:rsid w:val="001714DA"/>
    <w:rsid w:val="0017155B"/>
    <w:rsid w:val="00171D41"/>
    <w:rsid w:val="001727E1"/>
    <w:rsid w:val="001738ED"/>
    <w:rsid w:val="00175787"/>
    <w:rsid w:val="00175791"/>
    <w:rsid w:val="00175998"/>
    <w:rsid w:val="001759E7"/>
    <w:rsid w:val="00175C32"/>
    <w:rsid w:val="00176FFE"/>
    <w:rsid w:val="00177B79"/>
    <w:rsid w:val="001802AC"/>
    <w:rsid w:val="001808A5"/>
    <w:rsid w:val="00180E14"/>
    <w:rsid w:val="001824B7"/>
    <w:rsid w:val="00182EB1"/>
    <w:rsid w:val="00183822"/>
    <w:rsid w:val="00183DEA"/>
    <w:rsid w:val="00183E83"/>
    <w:rsid w:val="00187C46"/>
    <w:rsid w:val="00187E50"/>
    <w:rsid w:val="00191FB9"/>
    <w:rsid w:val="001938C0"/>
    <w:rsid w:val="00195DA6"/>
    <w:rsid w:val="00195F3D"/>
    <w:rsid w:val="001A084F"/>
    <w:rsid w:val="001A0DE8"/>
    <w:rsid w:val="001A1029"/>
    <w:rsid w:val="001A123C"/>
    <w:rsid w:val="001A16EE"/>
    <w:rsid w:val="001A218E"/>
    <w:rsid w:val="001A23F5"/>
    <w:rsid w:val="001A2DDB"/>
    <w:rsid w:val="001A3B8D"/>
    <w:rsid w:val="001A4998"/>
    <w:rsid w:val="001A5662"/>
    <w:rsid w:val="001A5DE0"/>
    <w:rsid w:val="001B0D6C"/>
    <w:rsid w:val="001B1580"/>
    <w:rsid w:val="001B1B2A"/>
    <w:rsid w:val="001B3886"/>
    <w:rsid w:val="001B44F7"/>
    <w:rsid w:val="001B4A31"/>
    <w:rsid w:val="001B5758"/>
    <w:rsid w:val="001B5BBC"/>
    <w:rsid w:val="001B7139"/>
    <w:rsid w:val="001B775F"/>
    <w:rsid w:val="001C0111"/>
    <w:rsid w:val="001C095A"/>
    <w:rsid w:val="001C1288"/>
    <w:rsid w:val="001C1660"/>
    <w:rsid w:val="001C1773"/>
    <w:rsid w:val="001C1E4E"/>
    <w:rsid w:val="001C2405"/>
    <w:rsid w:val="001C2906"/>
    <w:rsid w:val="001C299F"/>
    <w:rsid w:val="001C3281"/>
    <w:rsid w:val="001C3E98"/>
    <w:rsid w:val="001C403F"/>
    <w:rsid w:val="001C41F7"/>
    <w:rsid w:val="001C6932"/>
    <w:rsid w:val="001C6E6E"/>
    <w:rsid w:val="001D0F42"/>
    <w:rsid w:val="001D279A"/>
    <w:rsid w:val="001D350A"/>
    <w:rsid w:val="001D3D9E"/>
    <w:rsid w:val="001D461D"/>
    <w:rsid w:val="001D4DFA"/>
    <w:rsid w:val="001D58D7"/>
    <w:rsid w:val="001D6A9B"/>
    <w:rsid w:val="001D710A"/>
    <w:rsid w:val="001E0528"/>
    <w:rsid w:val="001E101F"/>
    <w:rsid w:val="001E131C"/>
    <w:rsid w:val="001E36E5"/>
    <w:rsid w:val="001E40B5"/>
    <w:rsid w:val="001E53D5"/>
    <w:rsid w:val="001E606D"/>
    <w:rsid w:val="001E67B2"/>
    <w:rsid w:val="001E7001"/>
    <w:rsid w:val="001E7DF4"/>
    <w:rsid w:val="001E7EB5"/>
    <w:rsid w:val="001F0BA1"/>
    <w:rsid w:val="001F11B8"/>
    <w:rsid w:val="001F14FE"/>
    <w:rsid w:val="001F1D10"/>
    <w:rsid w:val="001F2B29"/>
    <w:rsid w:val="001F3805"/>
    <w:rsid w:val="001F3E40"/>
    <w:rsid w:val="001F3F33"/>
    <w:rsid w:val="001F46E1"/>
    <w:rsid w:val="001F486A"/>
    <w:rsid w:val="001F54EA"/>
    <w:rsid w:val="001F5D3F"/>
    <w:rsid w:val="001F77C4"/>
    <w:rsid w:val="001F78CE"/>
    <w:rsid w:val="002003A8"/>
    <w:rsid w:val="0020327C"/>
    <w:rsid w:val="002047CF"/>
    <w:rsid w:val="002059AE"/>
    <w:rsid w:val="00205C2E"/>
    <w:rsid w:val="00206204"/>
    <w:rsid w:val="00206A62"/>
    <w:rsid w:val="00206B62"/>
    <w:rsid w:val="0020719C"/>
    <w:rsid w:val="00207B77"/>
    <w:rsid w:val="00207E7F"/>
    <w:rsid w:val="00207F91"/>
    <w:rsid w:val="00211237"/>
    <w:rsid w:val="00211A7E"/>
    <w:rsid w:val="0021342E"/>
    <w:rsid w:val="002138E7"/>
    <w:rsid w:val="00214E56"/>
    <w:rsid w:val="00215252"/>
    <w:rsid w:val="0021588B"/>
    <w:rsid w:val="00216BA7"/>
    <w:rsid w:val="0021707F"/>
    <w:rsid w:val="00217D03"/>
    <w:rsid w:val="00217E6A"/>
    <w:rsid w:val="00220598"/>
    <w:rsid w:val="00220867"/>
    <w:rsid w:val="002218D5"/>
    <w:rsid w:val="0022429B"/>
    <w:rsid w:val="0022445A"/>
    <w:rsid w:val="00224E7E"/>
    <w:rsid w:val="0022527A"/>
    <w:rsid w:val="0022696D"/>
    <w:rsid w:val="002271E9"/>
    <w:rsid w:val="00227973"/>
    <w:rsid w:val="00230EE2"/>
    <w:rsid w:val="00231931"/>
    <w:rsid w:val="00231E72"/>
    <w:rsid w:val="00233013"/>
    <w:rsid w:val="0023310A"/>
    <w:rsid w:val="00233425"/>
    <w:rsid w:val="00235C1C"/>
    <w:rsid w:val="00240E45"/>
    <w:rsid w:val="00241C8C"/>
    <w:rsid w:val="00244140"/>
    <w:rsid w:val="00244B40"/>
    <w:rsid w:val="0024539E"/>
    <w:rsid w:val="0024574A"/>
    <w:rsid w:val="0024727A"/>
    <w:rsid w:val="002474DA"/>
    <w:rsid w:val="002479D8"/>
    <w:rsid w:val="00247B65"/>
    <w:rsid w:val="00247CFF"/>
    <w:rsid w:val="00250192"/>
    <w:rsid w:val="002509CB"/>
    <w:rsid w:val="00251721"/>
    <w:rsid w:val="00251DBD"/>
    <w:rsid w:val="002522B4"/>
    <w:rsid w:val="00252C73"/>
    <w:rsid w:val="00252D4E"/>
    <w:rsid w:val="00252EFF"/>
    <w:rsid w:val="002530F1"/>
    <w:rsid w:val="00253AE7"/>
    <w:rsid w:val="00254119"/>
    <w:rsid w:val="00254A3E"/>
    <w:rsid w:val="00256C04"/>
    <w:rsid w:val="00257B98"/>
    <w:rsid w:val="00257CFB"/>
    <w:rsid w:val="00260A00"/>
    <w:rsid w:val="00260C09"/>
    <w:rsid w:val="00260D4E"/>
    <w:rsid w:val="00261BD2"/>
    <w:rsid w:val="002627D3"/>
    <w:rsid w:val="00262C3F"/>
    <w:rsid w:val="0026318E"/>
    <w:rsid w:val="00263C00"/>
    <w:rsid w:val="00265147"/>
    <w:rsid w:val="0026519D"/>
    <w:rsid w:val="00266920"/>
    <w:rsid w:val="00266CF2"/>
    <w:rsid w:val="00271CA3"/>
    <w:rsid w:val="00272D92"/>
    <w:rsid w:val="002741A2"/>
    <w:rsid w:val="002744F0"/>
    <w:rsid w:val="002745A3"/>
    <w:rsid w:val="00274A6C"/>
    <w:rsid w:val="00274DEE"/>
    <w:rsid w:val="0027641F"/>
    <w:rsid w:val="00276D8E"/>
    <w:rsid w:val="00277FE5"/>
    <w:rsid w:val="00280282"/>
    <w:rsid w:val="00280FA9"/>
    <w:rsid w:val="002813A3"/>
    <w:rsid w:val="00281693"/>
    <w:rsid w:val="002821B9"/>
    <w:rsid w:val="002825F5"/>
    <w:rsid w:val="00282CB8"/>
    <w:rsid w:val="00285189"/>
    <w:rsid w:val="00285889"/>
    <w:rsid w:val="00286297"/>
    <w:rsid w:val="0028686B"/>
    <w:rsid w:val="00290AB6"/>
    <w:rsid w:val="002919EC"/>
    <w:rsid w:val="002921BA"/>
    <w:rsid w:val="002931A9"/>
    <w:rsid w:val="00293EFB"/>
    <w:rsid w:val="00294CE6"/>
    <w:rsid w:val="00295705"/>
    <w:rsid w:val="002959E8"/>
    <w:rsid w:val="00295DAD"/>
    <w:rsid w:val="00296C68"/>
    <w:rsid w:val="00297450"/>
    <w:rsid w:val="00297B7E"/>
    <w:rsid w:val="00297DA8"/>
    <w:rsid w:val="002A143E"/>
    <w:rsid w:val="002A242A"/>
    <w:rsid w:val="002A2C1A"/>
    <w:rsid w:val="002A2DB0"/>
    <w:rsid w:val="002A34AF"/>
    <w:rsid w:val="002A3A98"/>
    <w:rsid w:val="002A53DB"/>
    <w:rsid w:val="002A647C"/>
    <w:rsid w:val="002A7A73"/>
    <w:rsid w:val="002B1759"/>
    <w:rsid w:val="002B1EB3"/>
    <w:rsid w:val="002B3EF5"/>
    <w:rsid w:val="002B5E55"/>
    <w:rsid w:val="002B642F"/>
    <w:rsid w:val="002B7922"/>
    <w:rsid w:val="002C141F"/>
    <w:rsid w:val="002C34CE"/>
    <w:rsid w:val="002C3D33"/>
    <w:rsid w:val="002C462B"/>
    <w:rsid w:val="002C5E26"/>
    <w:rsid w:val="002C7464"/>
    <w:rsid w:val="002D0617"/>
    <w:rsid w:val="002D1D01"/>
    <w:rsid w:val="002D208B"/>
    <w:rsid w:val="002D2963"/>
    <w:rsid w:val="002D38C8"/>
    <w:rsid w:val="002D4889"/>
    <w:rsid w:val="002D4B94"/>
    <w:rsid w:val="002D52D4"/>
    <w:rsid w:val="002D56EC"/>
    <w:rsid w:val="002D7AB5"/>
    <w:rsid w:val="002E0194"/>
    <w:rsid w:val="002E0703"/>
    <w:rsid w:val="002E0B07"/>
    <w:rsid w:val="002E1255"/>
    <w:rsid w:val="002E1F99"/>
    <w:rsid w:val="002E221F"/>
    <w:rsid w:val="002E2D48"/>
    <w:rsid w:val="002E2EBE"/>
    <w:rsid w:val="002E3172"/>
    <w:rsid w:val="002E42B6"/>
    <w:rsid w:val="002E47FB"/>
    <w:rsid w:val="002E4F6A"/>
    <w:rsid w:val="002E594F"/>
    <w:rsid w:val="002E5EAE"/>
    <w:rsid w:val="002E6C80"/>
    <w:rsid w:val="002E768E"/>
    <w:rsid w:val="002E771F"/>
    <w:rsid w:val="002F0893"/>
    <w:rsid w:val="002F3DA2"/>
    <w:rsid w:val="002F4C9F"/>
    <w:rsid w:val="002F6561"/>
    <w:rsid w:val="002F71F1"/>
    <w:rsid w:val="002F7B25"/>
    <w:rsid w:val="00300D5E"/>
    <w:rsid w:val="00301198"/>
    <w:rsid w:val="00302344"/>
    <w:rsid w:val="003023B8"/>
    <w:rsid w:val="00302ED8"/>
    <w:rsid w:val="00303FE7"/>
    <w:rsid w:val="00304DC7"/>
    <w:rsid w:val="00312B26"/>
    <w:rsid w:val="00312D4D"/>
    <w:rsid w:val="00312DEE"/>
    <w:rsid w:val="0031345E"/>
    <w:rsid w:val="00315C53"/>
    <w:rsid w:val="0031717F"/>
    <w:rsid w:val="00317AFC"/>
    <w:rsid w:val="00320788"/>
    <w:rsid w:val="00320CD5"/>
    <w:rsid w:val="0032115B"/>
    <w:rsid w:val="00321497"/>
    <w:rsid w:val="003217C0"/>
    <w:rsid w:val="00321B03"/>
    <w:rsid w:val="00323848"/>
    <w:rsid w:val="00323AB1"/>
    <w:rsid w:val="00323AB9"/>
    <w:rsid w:val="00323C41"/>
    <w:rsid w:val="00326B3A"/>
    <w:rsid w:val="00326CBC"/>
    <w:rsid w:val="00327BD4"/>
    <w:rsid w:val="00327CAD"/>
    <w:rsid w:val="00327F59"/>
    <w:rsid w:val="003311DA"/>
    <w:rsid w:val="00334340"/>
    <w:rsid w:val="003349AE"/>
    <w:rsid w:val="00334F55"/>
    <w:rsid w:val="0033608D"/>
    <w:rsid w:val="003369CC"/>
    <w:rsid w:val="00336D76"/>
    <w:rsid w:val="00337FBA"/>
    <w:rsid w:val="003403D0"/>
    <w:rsid w:val="00340572"/>
    <w:rsid w:val="00340D92"/>
    <w:rsid w:val="0034110F"/>
    <w:rsid w:val="003413A7"/>
    <w:rsid w:val="00342156"/>
    <w:rsid w:val="00342AFA"/>
    <w:rsid w:val="00342D58"/>
    <w:rsid w:val="00344298"/>
    <w:rsid w:val="00344C97"/>
    <w:rsid w:val="003505D9"/>
    <w:rsid w:val="00351F3E"/>
    <w:rsid w:val="00352106"/>
    <w:rsid w:val="003525E9"/>
    <w:rsid w:val="0035356C"/>
    <w:rsid w:val="003539C2"/>
    <w:rsid w:val="003543FA"/>
    <w:rsid w:val="0035553C"/>
    <w:rsid w:val="003555D4"/>
    <w:rsid w:val="003558D6"/>
    <w:rsid w:val="003559E0"/>
    <w:rsid w:val="00355F9F"/>
    <w:rsid w:val="003573B3"/>
    <w:rsid w:val="00360685"/>
    <w:rsid w:val="00360D50"/>
    <w:rsid w:val="0036474B"/>
    <w:rsid w:val="00366933"/>
    <w:rsid w:val="0036702F"/>
    <w:rsid w:val="0036705D"/>
    <w:rsid w:val="00367148"/>
    <w:rsid w:val="003705DD"/>
    <w:rsid w:val="00370C27"/>
    <w:rsid w:val="00371549"/>
    <w:rsid w:val="003716E1"/>
    <w:rsid w:val="00371814"/>
    <w:rsid w:val="00371BBE"/>
    <w:rsid w:val="00372B49"/>
    <w:rsid w:val="00372E4E"/>
    <w:rsid w:val="00373805"/>
    <w:rsid w:val="00375511"/>
    <w:rsid w:val="0037578C"/>
    <w:rsid w:val="0037740E"/>
    <w:rsid w:val="0038083F"/>
    <w:rsid w:val="00383BB3"/>
    <w:rsid w:val="00384304"/>
    <w:rsid w:val="00384FD3"/>
    <w:rsid w:val="003852ED"/>
    <w:rsid w:val="00385782"/>
    <w:rsid w:val="00386272"/>
    <w:rsid w:val="003863D6"/>
    <w:rsid w:val="00386B0C"/>
    <w:rsid w:val="003877E3"/>
    <w:rsid w:val="00390B2A"/>
    <w:rsid w:val="00393152"/>
    <w:rsid w:val="003949A6"/>
    <w:rsid w:val="003959A3"/>
    <w:rsid w:val="00396ACD"/>
    <w:rsid w:val="00397C31"/>
    <w:rsid w:val="00397C5E"/>
    <w:rsid w:val="003A0681"/>
    <w:rsid w:val="003A124E"/>
    <w:rsid w:val="003A1436"/>
    <w:rsid w:val="003A1A7F"/>
    <w:rsid w:val="003A1D79"/>
    <w:rsid w:val="003A27DD"/>
    <w:rsid w:val="003A3043"/>
    <w:rsid w:val="003A3380"/>
    <w:rsid w:val="003A338E"/>
    <w:rsid w:val="003A3E8F"/>
    <w:rsid w:val="003A478C"/>
    <w:rsid w:val="003A5AEF"/>
    <w:rsid w:val="003A6670"/>
    <w:rsid w:val="003A7C8D"/>
    <w:rsid w:val="003A7F57"/>
    <w:rsid w:val="003B00B1"/>
    <w:rsid w:val="003B36E1"/>
    <w:rsid w:val="003B3D37"/>
    <w:rsid w:val="003B4317"/>
    <w:rsid w:val="003B6692"/>
    <w:rsid w:val="003B78E2"/>
    <w:rsid w:val="003B7969"/>
    <w:rsid w:val="003C0362"/>
    <w:rsid w:val="003C0F05"/>
    <w:rsid w:val="003C1F46"/>
    <w:rsid w:val="003C62A6"/>
    <w:rsid w:val="003D0E50"/>
    <w:rsid w:val="003D14B3"/>
    <w:rsid w:val="003D1D1F"/>
    <w:rsid w:val="003D1D52"/>
    <w:rsid w:val="003D231E"/>
    <w:rsid w:val="003D2594"/>
    <w:rsid w:val="003D2B03"/>
    <w:rsid w:val="003D5982"/>
    <w:rsid w:val="003D6CB4"/>
    <w:rsid w:val="003E0CFD"/>
    <w:rsid w:val="003E240E"/>
    <w:rsid w:val="003E291B"/>
    <w:rsid w:val="003E3FDA"/>
    <w:rsid w:val="003E4407"/>
    <w:rsid w:val="003E5CD5"/>
    <w:rsid w:val="003E6DA0"/>
    <w:rsid w:val="003F090E"/>
    <w:rsid w:val="003F1714"/>
    <w:rsid w:val="003F30AA"/>
    <w:rsid w:val="003F3F7A"/>
    <w:rsid w:val="003F419D"/>
    <w:rsid w:val="003F487C"/>
    <w:rsid w:val="003F6716"/>
    <w:rsid w:val="003F68A3"/>
    <w:rsid w:val="00400097"/>
    <w:rsid w:val="00400125"/>
    <w:rsid w:val="00400744"/>
    <w:rsid w:val="00400F6E"/>
    <w:rsid w:val="00401AEE"/>
    <w:rsid w:val="00402294"/>
    <w:rsid w:val="00402D3A"/>
    <w:rsid w:val="00403AE9"/>
    <w:rsid w:val="004052B1"/>
    <w:rsid w:val="0040530A"/>
    <w:rsid w:val="004053CF"/>
    <w:rsid w:val="00407001"/>
    <w:rsid w:val="004075E0"/>
    <w:rsid w:val="004104E4"/>
    <w:rsid w:val="00410ECF"/>
    <w:rsid w:val="00411C3F"/>
    <w:rsid w:val="00412191"/>
    <w:rsid w:val="00413F52"/>
    <w:rsid w:val="00414C75"/>
    <w:rsid w:val="00415A0F"/>
    <w:rsid w:val="0041605F"/>
    <w:rsid w:val="00416A23"/>
    <w:rsid w:val="00420912"/>
    <w:rsid w:val="0042323C"/>
    <w:rsid w:val="0042354E"/>
    <w:rsid w:val="00424823"/>
    <w:rsid w:val="0042594E"/>
    <w:rsid w:val="00425CDF"/>
    <w:rsid w:val="00425E93"/>
    <w:rsid w:val="00430C57"/>
    <w:rsid w:val="00431F6E"/>
    <w:rsid w:val="00432412"/>
    <w:rsid w:val="00433B38"/>
    <w:rsid w:val="00434DB4"/>
    <w:rsid w:val="004353C2"/>
    <w:rsid w:val="00435A38"/>
    <w:rsid w:val="00435C38"/>
    <w:rsid w:val="00436307"/>
    <w:rsid w:val="0043769F"/>
    <w:rsid w:val="00437AA5"/>
    <w:rsid w:val="00437E25"/>
    <w:rsid w:val="004425AE"/>
    <w:rsid w:val="00443EB5"/>
    <w:rsid w:val="00444B97"/>
    <w:rsid w:val="004458EE"/>
    <w:rsid w:val="00446391"/>
    <w:rsid w:val="00446DCC"/>
    <w:rsid w:val="0044753B"/>
    <w:rsid w:val="004500C1"/>
    <w:rsid w:val="004513C3"/>
    <w:rsid w:val="00454B24"/>
    <w:rsid w:val="004552CD"/>
    <w:rsid w:val="004572CA"/>
    <w:rsid w:val="004573A8"/>
    <w:rsid w:val="00461110"/>
    <w:rsid w:val="00461C6C"/>
    <w:rsid w:val="00462548"/>
    <w:rsid w:val="004626D8"/>
    <w:rsid w:val="00463608"/>
    <w:rsid w:val="0046472E"/>
    <w:rsid w:val="00464D5D"/>
    <w:rsid w:val="00465DBA"/>
    <w:rsid w:val="00465F0B"/>
    <w:rsid w:val="00467A60"/>
    <w:rsid w:val="004704C5"/>
    <w:rsid w:val="00470FF8"/>
    <w:rsid w:val="00471009"/>
    <w:rsid w:val="004723CD"/>
    <w:rsid w:val="00472FBE"/>
    <w:rsid w:val="00473065"/>
    <w:rsid w:val="00473251"/>
    <w:rsid w:val="004749D9"/>
    <w:rsid w:val="004754A2"/>
    <w:rsid w:val="0047629D"/>
    <w:rsid w:val="004807FE"/>
    <w:rsid w:val="004835F1"/>
    <w:rsid w:val="004843EE"/>
    <w:rsid w:val="00484D2B"/>
    <w:rsid w:val="0048624E"/>
    <w:rsid w:val="004908A0"/>
    <w:rsid w:val="00491B6E"/>
    <w:rsid w:val="00492396"/>
    <w:rsid w:val="004932EA"/>
    <w:rsid w:val="00493588"/>
    <w:rsid w:val="00494507"/>
    <w:rsid w:val="00495518"/>
    <w:rsid w:val="0049685E"/>
    <w:rsid w:val="00497928"/>
    <w:rsid w:val="004A014A"/>
    <w:rsid w:val="004A0585"/>
    <w:rsid w:val="004A1CA9"/>
    <w:rsid w:val="004A48A5"/>
    <w:rsid w:val="004A5B50"/>
    <w:rsid w:val="004A7758"/>
    <w:rsid w:val="004A7E8C"/>
    <w:rsid w:val="004B1614"/>
    <w:rsid w:val="004B2F12"/>
    <w:rsid w:val="004B4149"/>
    <w:rsid w:val="004B4B5F"/>
    <w:rsid w:val="004B595D"/>
    <w:rsid w:val="004B5D13"/>
    <w:rsid w:val="004B5F1D"/>
    <w:rsid w:val="004B635A"/>
    <w:rsid w:val="004B730B"/>
    <w:rsid w:val="004C001F"/>
    <w:rsid w:val="004C238F"/>
    <w:rsid w:val="004C27EB"/>
    <w:rsid w:val="004C32ED"/>
    <w:rsid w:val="004C3841"/>
    <w:rsid w:val="004C3B1B"/>
    <w:rsid w:val="004C400E"/>
    <w:rsid w:val="004C43CC"/>
    <w:rsid w:val="004C47A8"/>
    <w:rsid w:val="004C638D"/>
    <w:rsid w:val="004C67F2"/>
    <w:rsid w:val="004C7356"/>
    <w:rsid w:val="004D23CA"/>
    <w:rsid w:val="004D3599"/>
    <w:rsid w:val="004D3B1A"/>
    <w:rsid w:val="004D3C4C"/>
    <w:rsid w:val="004D44D4"/>
    <w:rsid w:val="004D5912"/>
    <w:rsid w:val="004D5B0E"/>
    <w:rsid w:val="004D6C8B"/>
    <w:rsid w:val="004D78C0"/>
    <w:rsid w:val="004E06B1"/>
    <w:rsid w:val="004E09DC"/>
    <w:rsid w:val="004E0EF7"/>
    <w:rsid w:val="004E19F9"/>
    <w:rsid w:val="004E4B29"/>
    <w:rsid w:val="004E4D8E"/>
    <w:rsid w:val="004E5253"/>
    <w:rsid w:val="004E5B9A"/>
    <w:rsid w:val="004E6A32"/>
    <w:rsid w:val="004E6CF7"/>
    <w:rsid w:val="004E6DBD"/>
    <w:rsid w:val="004E708D"/>
    <w:rsid w:val="004F0A0B"/>
    <w:rsid w:val="004F10BA"/>
    <w:rsid w:val="004F14C0"/>
    <w:rsid w:val="004F67FE"/>
    <w:rsid w:val="004F68D9"/>
    <w:rsid w:val="00500001"/>
    <w:rsid w:val="00502C65"/>
    <w:rsid w:val="00502E68"/>
    <w:rsid w:val="00503611"/>
    <w:rsid w:val="005046E8"/>
    <w:rsid w:val="00504BDE"/>
    <w:rsid w:val="00506BDF"/>
    <w:rsid w:val="00506F46"/>
    <w:rsid w:val="00510B2B"/>
    <w:rsid w:val="00511B85"/>
    <w:rsid w:val="005121D7"/>
    <w:rsid w:val="00513818"/>
    <w:rsid w:val="005142AF"/>
    <w:rsid w:val="00515034"/>
    <w:rsid w:val="00515457"/>
    <w:rsid w:val="00516738"/>
    <w:rsid w:val="00516D15"/>
    <w:rsid w:val="00517205"/>
    <w:rsid w:val="00520987"/>
    <w:rsid w:val="00520AF5"/>
    <w:rsid w:val="005226CA"/>
    <w:rsid w:val="00523893"/>
    <w:rsid w:val="00523DC6"/>
    <w:rsid w:val="00523DD6"/>
    <w:rsid w:val="00523FCC"/>
    <w:rsid w:val="00524055"/>
    <w:rsid w:val="00524235"/>
    <w:rsid w:val="00524F12"/>
    <w:rsid w:val="00527532"/>
    <w:rsid w:val="00527EF5"/>
    <w:rsid w:val="0053029D"/>
    <w:rsid w:val="00530D0F"/>
    <w:rsid w:val="00531129"/>
    <w:rsid w:val="00531CC6"/>
    <w:rsid w:val="00532137"/>
    <w:rsid w:val="0053248A"/>
    <w:rsid w:val="0053547E"/>
    <w:rsid w:val="00535B02"/>
    <w:rsid w:val="00535D36"/>
    <w:rsid w:val="0053668C"/>
    <w:rsid w:val="00536B00"/>
    <w:rsid w:val="00537AEB"/>
    <w:rsid w:val="00537B5D"/>
    <w:rsid w:val="00540633"/>
    <w:rsid w:val="00540A81"/>
    <w:rsid w:val="00542487"/>
    <w:rsid w:val="00542E52"/>
    <w:rsid w:val="00543424"/>
    <w:rsid w:val="005454EF"/>
    <w:rsid w:val="0054586A"/>
    <w:rsid w:val="00546BD7"/>
    <w:rsid w:val="005472DC"/>
    <w:rsid w:val="00551085"/>
    <w:rsid w:val="005514AF"/>
    <w:rsid w:val="00551AAE"/>
    <w:rsid w:val="00552B0A"/>
    <w:rsid w:val="0055438A"/>
    <w:rsid w:val="00555721"/>
    <w:rsid w:val="00556772"/>
    <w:rsid w:val="005569DB"/>
    <w:rsid w:val="00556A5F"/>
    <w:rsid w:val="005577B3"/>
    <w:rsid w:val="0056033B"/>
    <w:rsid w:val="0056237F"/>
    <w:rsid w:val="005623BA"/>
    <w:rsid w:val="0056303F"/>
    <w:rsid w:val="00565873"/>
    <w:rsid w:val="005659A4"/>
    <w:rsid w:val="005713A7"/>
    <w:rsid w:val="00573008"/>
    <w:rsid w:val="00573032"/>
    <w:rsid w:val="00573BCB"/>
    <w:rsid w:val="0057452B"/>
    <w:rsid w:val="0057530A"/>
    <w:rsid w:val="00576DB9"/>
    <w:rsid w:val="00576DC2"/>
    <w:rsid w:val="005775E3"/>
    <w:rsid w:val="005778F1"/>
    <w:rsid w:val="0057795F"/>
    <w:rsid w:val="0058045C"/>
    <w:rsid w:val="005810EF"/>
    <w:rsid w:val="00581FA5"/>
    <w:rsid w:val="00582810"/>
    <w:rsid w:val="00582B93"/>
    <w:rsid w:val="00583BA4"/>
    <w:rsid w:val="005869B1"/>
    <w:rsid w:val="0058726C"/>
    <w:rsid w:val="00587698"/>
    <w:rsid w:val="005879DC"/>
    <w:rsid w:val="0059173E"/>
    <w:rsid w:val="00591D57"/>
    <w:rsid w:val="00592E9F"/>
    <w:rsid w:val="00593C69"/>
    <w:rsid w:val="005941D9"/>
    <w:rsid w:val="00594A27"/>
    <w:rsid w:val="0059503D"/>
    <w:rsid w:val="00595528"/>
    <w:rsid w:val="00595540"/>
    <w:rsid w:val="00596EAA"/>
    <w:rsid w:val="0059743D"/>
    <w:rsid w:val="005A10F6"/>
    <w:rsid w:val="005A17C4"/>
    <w:rsid w:val="005A2CB1"/>
    <w:rsid w:val="005A2ED3"/>
    <w:rsid w:val="005A309F"/>
    <w:rsid w:val="005A47FD"/>
    <w:rsid w:val="005A57A8"/>
    <w:rsid w:val="005A6621"/>
    <w:rsid w:val="005A6CDC"/>
    <w:rsid w:val="005A6E5B"/>
    <w:rsid w:val="005A74E9"/>
    <w:rsid w:val="005B05BE"/>
    <w:rsid w:val="005B085F"/>
    <w:rsid w:val="005B25B7"/>
    <w:rsid w:val="005B44D4"/>
    <w:rsid w:val="005B5FA6"/>
    <w:rsid w:val="005B710D"/>
    <w:rsid w:val="005C17E4"/>
    <w:rsid w:val="005C211B"/>
    <w:rsid w:val="005C2895"/>
    <w:rsid w:val="005C35CB"/>
    <w:rsid w:val="005C37D4"/>
    <w:rsid w:val="005C3A3C"/>
    <w:rsid w:val="005C4F36"/>
    <w:rsid w:val="005C53E6"/>
    <w:rsid w:val="005C5453"/>
    <w:rsid w:val="005C6DD8"/>
    <w:rsid w:val="005C6EA8"/>
    <w:rsid w:val="005C6F65"/>
    <w:rsid w:val="005C7A72"/>
    <w:rsid w:val="005D039F"/>
    <w:rsid w:val="005D1669"/>
    <w:rsid w:val="005D1974"/>
    <w:rsid w:val="005D1D03"/>
    <w:rsid w:val="005D1F0F"/>
    <w:rsid w:val="005D27D7"/>
    <w:rsid w:val="005D282D"/>
    <w:rsid w:val="005D2837"/>
    <w:rsid w:val="005D2E50"/>
    <w:rsid w:val="005D3221"/>
    <w:rsid w:val="005D3CA1"/>
    <w:rsid w:val="005D3E18"/>
    <w:rsid w:val="005D4AC2"/>
    <w:rsid w:val="005D56E3"/>
    <w:rsid w:val="005D597B"/>
    <w:rsid w:val="005D5DBB"/>
    <w:rsid w:val="005D6832"/>
    <w:rsid w:val="005D6B17"/>
    <w:rsid w:val="005E05A8"/>
    <w:rsid w:val="005E0B89"/>
    <w:rsid w:val="005E0C35"/>
    <w:rsid w:val="005E11F7"/>
    <w:rsid w:val="005E138C"/>
    <w:rsid w:val="005E1637"/>
    <w:rsid w:val="005E16C7"/>
    <w:rsid w:val="005E1894"/>
    <w:rsid w:val="005E1E81"/>
    <w:rsid w:val="005E296F"/>
    <w:rsid w:val="005E37F8"/>
    <w:rsid w:val="005E3E59"/>
    <w:rsid w:val="005E4261"/>
    <w:rsid w:val="005E4546"/>
    <w:rsid w:val="005E4EDD"/>
    <w:rsid w:val="005E633A"/>
    <w:rsid w:val="005F0A7A"/>
    <w:rsid w:val="005F2DCC"/>
    <w:rsid w:val="005F54FC"/>
    <w:rsid w:val="005F6661"/>
    <w:rsid w:val="006000F9"/>
    <w:rsid w:val="006006B6"/>
    <w:rsid w:val="00601E87"/>
    <w:rsid w:val="006038CC"/>
    <w:rsid w:val="00604671"/>
    <w:rsid w:val="0060473D"/>
    <w:rsid w:val="00605FF6"/>
    <w:rsid w:val="006069D7"/>
    <w:rsid w:val="006073B1"/>
    <w:rsid w:val="00610F5C"/>
    <w:rsid w:val="006131B6"/>
    <w:rsid w:val="006204EA"/>
    <w:rsid w:val="0062143A"/>
    <w:rsid w:val="00621612"/>
    <w:rsid w:val="00622B7F"/>
    <w:rsid w:val="00623D18"/>
    <w:rsid w:val="00623FC7"/>
    <w:rsid w:val="006240EF"/>
    <w:rsid w:val="00624EC5"/>
    <w:rsid w:val="006258A2"/>
    <w:rsid w:val="006269B3"/>
    <w:rsid w:val="00626CEE"/>
    <w:rsid w:val="00630697"/>
    <w:rsid w:val="006311B7"/>
    <w:rsid w:val="006314AF"/>
    <w:rsid w:val="00631550"/>
    <w:rsid w:val="00631619"/>
    <w:rsid w:val="00632316"/>
    <w:rsid w:val="006326DD"/>
    <w:rsid w:val="0063294F"/>
    <w:rsid w:val="00634607"/>
    <w:rsid w:val="00636E82"/>
    <w:rsid w:val="00637E68"/>
    <w:rsid w:val="00640492"/>
    <w:rsid w:val="006405AA"/>
    <w:rsid w:val="006412D2"/>
    <w:rsid w:val="0064163A"/>
    <w:rsid w:val="006417E1"/>
    <w:rsid w:val="006422A0"/>
    <w:rsid w:val="006443F6"/>
    <w:rsid w:val="006445DE"/>
    <w:rsid w:val="0064596A"/>
    <w:rsid w:val="006470F4"/>
    <w:rsid w:val="00650DF6"/>
    <w:rsid w:val="00651299"/>
    <w:rsid w:val="006519E3"/>
    <w:rsid w:val="0065224D"/>
    <w:rsid w:val="006530FE"/>
    <w:rsid w:val="00653CE1"/>
    <w:rsid w:val="006546EB"/>
    <w:rsid w:val="00654DC8"/>
    <w:rsid w:val="006571AC"/>
    <w:rsid w:val="00660305"/>
    <w:rsid w:val="00662012"/>
    <w:rsid w:val="00662480"/>
    <w:rsid w:val="00662775"/>
    <w:rsid w:val="00662DB8"/>
    <w:rsid w:val="0066329D"/>
    <w:rsid w:val="00663424"/>
    <w:rsid w:val="00663902"/>
    <w:rsid w:val="00664E47"/>
    <w:rsid w:val="0066504C"/>
    <w:rsid w:val="006654AB"/>
    <w:rsid w:val="006674FD"/>
    <w:rsid w:val="00667587"/>
    <w:rsid w:val="00667A91"/>
    <w:rsid w:val="00667D32"/>
    <w:rsid w:val="00670680"/>
    <w:rsid w:val="00671242"/>
    <w:rsid w:val="00671F08"/>
    <w:rsid w:val="00672A6F"/>
    <w:rsid w:val="006734A3"/>
    <w:rsid w:val="00673775"/>
    <w:rsid w:val="0067390C"/>
    <w:rsid w:val="00673D25"/>
    <w:rsid w:val="00674832"/>
    <w:rsid w:val="00674DC4"/>
    <w:rsid w:val="00674EA1"/>
    <w:rsid w:val="00676DD4"/>
    <w:rsid w:val="00680051"/>
    <w:rsid w:val="0068043E"/>
    <w:rsid w:val="006811E5"/>
    <w:rsid w:val="006818F4"/>
    <w:rsid w:val="006825D3"/>
    <w:rsid w:val="00682821"/>
    <w:rsid w:val="006836C0"/>
    <w:rsid w:val="0068460E"/>
    <w:rsid w:val="00684807"/>
    <w:rsid w:val="00684FF3"/>
    <w:rsid w:val="00686745"/>
    <w:rsid w:val="00686B6E"/>
    <w:rsid w:val="00686BF2"/>
    <w:rsid w:val="00686D5E"/>
    <w:rsid w:val="00690896"/>
    <w:rsid w:val="00690A0B"/>
    <w:rsid w:val="00690D54"/>
    <w:rsid w:val="0069134F"/>
    <w:rsid w:val="00691D3F"/>
    <w:rsid w:val="00692393"/>
    <w:rsid w:val="006930FD"/>
    <w:rsid w:val="006938DE"/>
    <w:rsid w:val="00693AF5"/>
    <w:rsid w:val="00694763"/>
    <w:rsid w:val="00694AA8"/>
    <w:rsid w:val="00695269"/>
    <w:rsid w:val="006979B3"/>
    <w:rsid w:val="006A1D26"/>
    <w:rsid w:val="006A2C29"/>
    <w:rsid w:val="006A38D3"/>
    <w:rsid w:val="006A40EA"/>
    <w:rsid w:val="006A448D"/>
    <w:rsid w:val="006A4BC2"/>
    <w:rsid w:val="006A722E"/>
    <w:rsid w:val="006A761C"/>
    <w:rsid w:val="006A7945"/>
    <w:rsid w:val="006B15B2"/>
    <w:rsid w:val="006B1AA1"/>
    <w:rsid w:val="006B2571"/>
    <w:rsid w:val="006B3DB7"/>
    <w:rsid w:val="006B41B1"/>
    <w:rsid w:val="006B467A"/>
    <w:rsid w:val="006B604B"/>
    <w:rsid w:val="006B612E"/>
    <w:rsid w:val="006B69D1"/>
    <w:rsid w:val="006C077F"/>
    <w:rsid w:val="006C158E"/>
    <w:rsid w:val="006C1B63"/>
    <w:rsid w:val="006C1D1E"/>
    <w:rsid w:val="006C1E3A"/>
    <w:rsid w:val="006C20EE"/>
    <w:rsid w:val="006C31D5"/>
    <w:rsid w:val="006C3294"/>
    <w:rsid w:val="006C5ECA"/>
    <w:rsid w:val="006C662D"/>
    <w:rsid w:val="006D0ECC"/>
    <w:rsid w:val="006D103E"/>
    <w:rsid w:val="006D1AE4"/>
    <w:rsid w:val="006D1D2D"/>
    <w:rsid w:val="006D2D99"/>
    <w:rsid w:val="006D48B8"/>
    <w:rsid w:val="006D5073"/>
    <w:rsid w:val="006D680B"/>
    <w:rsid w:val="006D6CD4"/>
    <w:rsid w:val="006D6F88"/>
    <w:rsid w:val="006E03A9"/>
    <w:rsid w:val="006E0790"/>
    <w:rsid w:val="006E35DC"/>
    <w:rsid w:val="006E390F"/>
    <w:rsid w:val="006E3E8C"/>
    <w:rsid w:val="006E43B1"/>
    <w:rsid w:val="006E484C"/>
    <w:rsid w:val="006E65E8"/>
    <w:rsid w:val="006E6E74"/>
    <w:rsid w:val="006E75D0"/>
    <w:rsid w:val="006F1176"/>
    <w:rsid w:val="006F232A"/>
    <w:rsid w:val="006F3426"/>
    <w:rsid w:val="006F3A14"/>
    <w:rsid w:val="006F3DD5"/>
    <w:rsid w:val="006F7B3F"/>
    <w:rsid w:val="006F7EFE"/>
    <w:rsid w:val="007009A3"/>
    <w:rsid w:val="00702DC2"/>
    <w:rsid w:val="00702F3D"/>
    <w:rsid w:val="00705531"/>
    <w:rsid w:val="00707136"/>
    <w:rsid w:val="00710390"/>
    <w:rsid w:val="00710D8D"/>
    <w:rsid w:val="007114E4"/>
    <w:rsid w:val="007115C6"/>
    <w:rsid w:val="007117E3"/>
    <w:rsid w:val="007133AD"/>
    <w:rsid w:val="00713F50"/>
    <w:rsid w:val="007147AD"/>
    <w:rsid w:val="00715741"/>
    <w:rsid w:val="00716330"/>
    <w:rsid w:val="007169A9"/>
    <w:rsid w:val="00716B22"/>
    <w:rsid w:val="007170DC"/>
    <w:rsid w:val="00717390"/>
    <w:rsid w:val="0072013E"/>
    <w:rsid w:val="00720F54"/>
    <w:rsid w:val="007225D5"/>
    <w:rsid w:val="007228FD"/>
    <w:rsid w:val="00723071"/>
    <w:rsid w:val="00723BF5"/>
    <w:rsid w:val="007247A2"/>
    <w:rsid w:val="00724B2B"/>
    <w:rsid w:val="007251E5"/>
    <w:rsid w:val="00725411"/>
    <w:rsid w:val="007254D9"/>
    <w:rsid w:val="00725C97"/>
    <w:rsid w:val="00727453"/>
    <w:rsid w:val="007278B8"/>
    <w:rsid w:val="0073021B"/>
    <w:rsid w:val="00730558"/>
    <w:rsid w:val="00730DF2"/>
    <w:rsid w:val="00731038"/>
    <w:rsid w:val="00731173"/>
    <w:rsid w:val="007316FC"/>
    <w:rsid w:val="00731DBA"/>
    <w:rsid w:val="00732A71"/>
    <w:rsid w:val="00733DFE"/>
    <w:rsid w:val="007350F9"/>
    <w:rsid w:val="007358B3"/>
    <w:rsid w:val="00735EA3"/>
    <w:rsid w:val="00736A58"/>
    <w:rsid w:val="00736EA3"/>
    <w:rsid w:val="0074162A"/>
    <w:rsid w:val="007416FE"/>
    <w:rsid w:val="00742143"/>
    <w:rsid w:val="00743E5B"/>
    <w:rsid w:val="0074677A"/>
    <w:rsid w:val="00747A6C"/>
    <w:rsid w:val="00747DAF"/>
    <w:rsid w:val="007510FB"/>
    <w:rsid w:val="00751547"/>
    <w:rsid w:val="00751723"/>
    <w:rsid w:val="007518FB"/>
    <w:rsid w:val="00751FE0"/>
    <w:rsid w:val="007541E4"/>
    <w:rsid w:val="00754CC0"/>
    <w:rsid w:val="0075582D"/>
    <w:rsid w:val="00755919"/>
    <w:rsid w:val="00756E12"/>
    <w:rsid w:val="0075778A"/>
    <w:rsid w:val="007578F4"/>
    <w:rsid w:val="00757C88"/>
    <w:rsid w:val="0076083A"/>
    <w:rsid w:val="0076163B"/>
    <w:rsid w:val="0076188D"/>
    <w:rsid w:val="007665AD"/>
    <w:rsid w:val="0076660F"/>
    <w:rsid w:val="007667C7"/>
    <w:rsid w:val="007703AC"/>
    <w:rsid w:val="00770A97"/>
    <w:rsid w:val="0077192E"/>
    <w:rsid w:val="00771AEC"/>
    <w:rsid w:val="00771DB1"/>
    <w:rsid w:val="00773721"/>
    <w:rsid w:val="00773DC9"/>
    <w:rsid w:val="007741B0"/>
    <w:rsid w:val="0077425E"/>
    <w:rsid w:val="00774BE5"/>
    <w:rsid w:val="00775052"/>
    <w:rsid w:val="0077564C"/>
    <w:rsid w:val="00776311"/>
    <w:rsid w:val="007767F8"/>
    <w:rsid w:val="00777639"/>
    <w:rsid w:val="00777789"/>
    <w:rsid w:val="00777C83"/>
    <w:rsid w:val="00777F0A"/>
    <w:rsid w:val="007808A2"/>
    <w:rsid w:val="00780ADB"/>
    <w:rsid w:val="00780B31"/>
    <w:rsid w:val="00780B8E"/>
    <w:rsid w:val="00780E2A"/>
    <w:rsid w:val="00781E61"/>
    <w:rsid w:val="00781EF4"/>
    <w:rsid w:val="00781F4C"/>
    <w:rsid w:val="00781FE6"/>
    <w:rsid w:val="007823C0"/>
    <w:rsid w:val="00782F18"/>
    <w:rsid w:val="00782FBD"/>
    <w:rsid w:val="00783146"/>
    <w:rsid w:val="00783382"/>
    <w:rsid w:val="00783530"/>
    <w:rsid w:val="00783FE2"/>
    <w:rsid w:val="00786DF4"/>
    <w:rsid w:val="007875BE"/>
    <w:rsid w:val="00790680"/>
    <w:rsid w:val="00790D37"/>
    <w:rsid w:val="007928E0"/>
    <w:rsid w:val="00793235"/>
    <w:rsid w:val="00793BC6"/>
    <w:rsid w:val="00793F96"/>
    <w:rsid w:val="0079400A"/>
    <w:rsid w:val="00794D3D"/>
    <w:rsid w:val="00796170"/>
    <w:rsid w:val="00796585"/>
    <w:rsid w:val="0079670C"/>
    <w:rsid w:val="007971A3"/>
    <w:rsid w:val="0079782F"/>
    <w:rsid w:val="00797886"/>
    <w:rsid w:val="00797AD6"/>
    <w:rsid w:val="00797F30"/>
    <w:rsid w:val="00797FD8"/>
    <w:rsid w:val="007A09FE"/>
    <w:rsid w:val="007A2EA9"/>
    <w:rsid w:val="007A3FAD"/>
    <w:rsid w:val="007A4ADE"/>
    <w:rsid w:val="007A6516"/>
    <w:rsid w:val="007A69EE"/>
    <w:rsid w:val="007A70C4"/>
    <w:rsid w:val="007A73B7"/>
    <w:rsid w:val="007A7E61"/>
    <w:rsid w:val="007B053B"/>
    <w:rsid w:val="007B05F3"/>
    <w:rsid w:val="007B1A9E"/>
    <w:rsid w:val="007B2170"/>
    <w:rsid w:val="007B3993"/>
    <w:rsid w:val="007B5F27"/>
    <w:rsid w:val="007B6AA6"/>
    <w:rsid w:val="007C11A8"/>
    <w:rsid w:val="007C1785"/>
    <w:rsid w:val="007C220E"/>
    <w:rsid w:val="007C2A04"/>
    <w:rsid w:val="007C36D6"/>
    <w:rsid w:val="007C3942"/>
    <w:rsid w:val="007C5E2C"/>
    <w:rsid w:val="007D0085"/>
    <w:rsid w:val="007D00AB"/>
    <w:rsid w:val="007D0180"/>
    <w:rsid w:val="007D0861"/>
    <w:rsid w:val="007D24C6"/>
    <w:rsid w:val="007D2ACE"/>
    <w:rsid w:val="007D2D99"/>
    <w:rsid w:val="007D2FB7"/>
    <w:rsid w:val="007D4844"/>
    <w:rsid w:val="007D492D"/>
    <w:rsid w:val="007D6B1F"/>
    <w:rsid w:val="007D72A7"/>
    <w:rsid w:val="007D7C65"/>
    <w:rsid w:val="007E010B"/>
    <w:rsid w:val="007E08C5"/>
    <w:rsid w:val="007E09EB"/>
    <w:rsid w:val="007E10DC"/>
    <w:rsid w:val="007E1888"/>
    <w:rsid w:val="007E25A1"/>
    <w:rsid w:val="007E299C"/>
    <w:rsid w:val="007E4C34"/>
    <w:rsid w:val="007E6ADC"/>
    <w:rsid w:val="007E6EE2"/>
    <w:rsid w:val="007E7801"/>
    <w:rsid w:val="007E7EE0"/>
    <w:rsid w:val="007F01F0"/>
    <w:rsid w:val="007F375E"/>
    <w:rsid w:val="007F47C3"/>
    <w:rsid w:val="007F4E9D"/>
    <w:rsid w:val="007F4EF1"/>
    <w:rsid w:val="007F5044"/>
    <w:rsid w:val="007F5E12"/>
    <w:rsid w:val="0080292B"/>
    <w:rsid w:val="00802FC2"/>
    <w:rsid w:val="008043E4"/>
    <w:rsid w:val="008045A9"/>
    <w:rsid w:val="008058FC"/>
    <w:rsid w:val="00805FF7"/>
    <w:rsid w:val="0080635E"/>
    <w:rsid w:val="00811B30"/>
    <w:rsid w:val="008121B0"/>
    <w:rsid w:val="008125EC"/>
    <w:rsid w:val="00815008"/>
    <w:rsid w:val="00816750"/>
    <w:rsid w:val="00816B81"/>
    <w:rsid w:val="00816F94"/>
    <w:rsid w:val="00817C15"/>
    <w:rsid w:val="008211B3"/>
    <w:rsid w:val="008232C8"/>
    <w:rsid w:val="00823BE8"/>
    <w:rsid w:val="00823C92"/>
    <w:rsid w:val="00823DD0"/>
    <w:rsid w:val="00823E81"/>
    <w:rsid w:val="008241F8"/>
    <w:rsid w:val="008245BD"/>
    <w:rsid w:val="008249EA"/>
    <w:rsid w:val="00825476"/>
    <w:rsid w:val="008265B6"/>
    <w:rsid w:val="00826ED3"/>
    <w:rsid w:val="008276CA"/>
    <w:rsid w:val="008277B9"/>
    <w:rsid w:val="00830829"/>
    <w:rsid w:val="00831B96"/>
    <w:rsid w:val="008342D8"/>
    <w:rsid w:val="008344F0"/>
    <w:rsid w:val="008350B3"/>
    <w:rsid w:val="0083562D"/>
    <w:rsid w:val="008366CC"/>
    <w:rsid w:val="00840C05"/>
    <w:rsid w:val="00840FDE"/>
    <w:rsid w:val="008421B0"/>
    <w:rsid w:val="00843431"/>
    <w:rsid w:val="00843E73"/>
    <w:rsid w:val="008440E7"/>
    <w:rsid w:val="008457C2"/>
    <w:rsid w:val="00845EEA"/>
    <w:rsid w:val="0084652B"/>
    <w:rsid w:val="00846795"/>
    <w:rsid w:val="0084689C"/>
    <w:rsid w:val="00846C88"/>
    <w:rsid w:val="0084710A"/>
    <w:rsid w:val="00847155"/>
    <w:rsid w:val="0084742E"/>
    <w:rsid w:val="008479D1"/>
    <w:rsid w:val="00847D1B"/>
    <w:rsid w:val="0085062A"/>
    <w:rsid w:val="0085253F"/>
    <w:rsid w:val="00853CC9"/>
    <w:rsid w:val="00854215"/>
    <w:rsid w:val="00854716"/>
    <w:rsid w:val="00854F87"/>
    <w:rsid w:val="00855254"/>
    <w:rsid w:val="00855D07"/>
    <w:rsid w:val="00855D9B"/>
    <w:rsid w:val="00856AB6"/>
    <w:rsid w:val="00860006"/>
    <w:rsid w:val="0086030D"/>
    <w:rsid w:val="00862383"/>
    <w:rsid w:val="00862A2F"/>
    <w:rsid w:val="00863648"/>
    <w:rsid w:val="00863E61"/>
    <w:rsid w:val="008647DB"/>
    <w:rsid w:val="008677A7"/>
    <w:rsid w:val="0087078A"/>
    <w:rsid w:val="00870A8A"/>
    <w:rsid w:val="00870E2A"/>
    <w:rsid w:val="0087109D"/>
    <w:rsid w:val="00871144"/>
    <w:rsid w:val="00871908"/>
    <w:rsid w:val="008724A1"/>
    <w:rsid w:val="008731C2"/>
    <w:rsid w:val="008747EB"/>
    <w:rsid w:val="008749FB"/>
    <w:rsid w:val="00875F52"/>
    <w:rsid w:val="00877254"/>
    <w:rsid w:val="0087728E"/>
    <w:rsid w:val="008803FC"/>
    <w:rsid w:val="00880943"/>
    <w:rsid w:val="00880C33"/>
    <w:rsid w:val="00881891"/>
    <w:rsid w:val="00882514"/>
    <w:rsid w:val="00883901"/>
    <w:rsid w:val="00884086"/>
    <w:rsid w:val="00884105"/>
    <w:rsid w:val="00884ACA"/>
    <w:rsid w:val="0088519F"/>
    <w:rsid w:val="008857F4"/>
    <w:rsid w:val="00886EA1"/>
    <w:rsid w:val="00887BDB"/>
    <w:rsid w:val="008905FA"/>
    <w:rsid w:val="0089257C"/>
    <w:rsid w:val="008934CF"/>
    <w:rsid w:val="00893657"/>
    <w:rsid w:val="00893B59"/>
    <w:rsid w:val="008940A5"/>
    <w:rsid w:val="0089412A"/>
    <w:rsid w:val="0089465E"/>
    <w:rsid w:val="00895028"/>
    <w:rsid w:val="00897C22"/>
    <w:rsid w:val="008A0133"/>
    <w:rsid w:val="008A0516"/>
    <w:rsid w:val="008A05BD"/>
    <w:rsid w:val="008A0887"/>
    <w:rsid w:val="008A166C"/>
    <w:rsid w:val="008A1CFA"/>
    <w:rsid w:val="008A4C2B"/>
    <w:rsid w:val="008A6979"/>
    <w:rsid w:val="008A7721"/>
    <w:rsid w:val="008A7F85"/>
    <w:rsid w:val="008B30C7"/>
    <w:rsid w:val="008B36E6"/>
    <w:rsid w:val="008B4088"/>
    <w:rsid w:val="008B40E3"/>
    <w:rsid w:val="008B4581"/>
    <w:rsid w:val="008B4C85"/>
    <w:rsid w:val="008B6BC8"/>
    <w:rsid w:val="008B7260"/>
    <w:rsid w:val="008B788A"/>
    <w:rsid w:val="008C049B"/>
    <w:rsid w:val="008C1464"/>
    <w:rsid w:val="008C1DF9"/>
    <w:rsid w:val="008C1F74"/>
    <w:rsid w:val="008C1FC5"/>
    <w:rsid w:val="008C33C4"/>
    <w:rsid w:val="008C3418"/>
    <w:rsid w:val="008C38D2"/>
    <w:rsid w:val="008C41B7"/>
    <w:rsid w:val="008C5D53"/>
    <w:rsid w:val="008C6F3D"/>
    <w:rsid w:val="008D0444"/>
    <w:rsid w:val="008D062D"/>
    <w:rsid w:val="008D115B"/>
    <w:rsid w:val="008D1DFC"/>
    <w:rsid w:val="008D3A77"/>
    <w:rsid w:val="008D3AC6"/>
    <w:rsid w:val="008D4508"/>
    <w:rsid w:val="008D4CFD"/>
    <w:rsid w:val="008D603F"/>
    <w:rsid w:val="008D65B1"/>
    <w:rsid w:val="008D6D82"/>
    <w:rsid w:val="008D7F7C"/>
    <w:rsid w:val="008E18E0"/>
    <w:rsid w:val="008E2694"/>
    <w:rsid w:val="008E27DA"/>
    <w:rsid w:val="008E37CB"/>
    <w:rsid w:val="008E3E2F"/>
    <w:rsid w:val="008E5967"/>
    <w:rsid w:val="008E6037"/>
    <w:rsid w:val="008E78F2"/>
    <w:rsid w:val="008F079D"/>
    <w:rsid w:val="008F22C7"/>
    <w:rsid w:val="008F2506"/>
    <w:rsid w:val="008F3329"/>
    <w:rsid w:val="008F5B8A"/>
    <w:rsid w:val="008F6145"/>
    <w:rsid w:val="008F739D"/>
    <w:rsid w:val="00901019"/>
    <w:rsid w:val="00901184"/>
    <w:rsid w:val="00902565"/>
    <w:rsid w:val="00902F16"/>
    <w:rsid w:val="00904A48"/>
    <w:rsid w:val="00905051"/>
    <w:rsid w:val="00905C2A"/>
    <w:rsid w:val="0090629D"/>
    <w:rsid w:val="00906446"/>
    <w:rsid w:val="0090742E"/>
    <w:rsid w:val="009112AB"/>
    <w:rsid w:val="00911F87"/>
    <w:rsid w:val="009128E5"/>
    <w:rsid w:val="009143ED"/>
    <w:rsid w:val="0091470D"/>
    <w:rsid w:val="009147C5"/>
    <w:rsid w:val="009173F6"/>
    <w:rsid w:val="009204E9"/>
    <w:rsid w:val="00920CF4"/>
    <w:rsid w:val="00921BE0"/>
    <w:rsid w:val="00922AC0"/>
    <w:rsid w:val="00922B37"/>
    <w:rsid w:val="00922D8F"/>
    <w:rsid w:val="00922E8B"/>
    <w:rsid w:val="00924137"/>
    <w:rsid w:val="009266DE"/>
    <w:rsid w:val="00926A18"/>
    <w:rsid w:val="00927640"/>
    <w:rsid w:val="00931416"/>
    <w:rsid w:val="009314A7"/>
    <w:rsid w:val="009326EA"/>
    <w:rsid w:val="009331A2"/>
    <w:rsid w:val="00934549"/>
    <w:rsid w:val="009345B0"/>
    <w:rsid w:val="0093476F"/>
    <w:rsid w:val="00934E15"/>
    <w:rsid w:val="00935859"/>
    <w:rsid w:val="00936342"/>
    <w:rsid w:val="009405A5"/>
    <w:rsid w:val="00940731"/>
    <w:rsid w:val="00941041"/>
    <w:rsid w:val="00941698"/>
    <w:rsid w:val="009418AB"/>
    <w:rsid w:val="00941ACF"/>
    <w:rsid w:val="00941AE5"/>
    <w:rsid w:val="00942A80"/>
    <w:rsid w:val="009431E3"/>
    <w:rsid w:val="009434F0"/>
    <w:rsid w:val="00943574"/>
    <w:rsid w:val="0094597A"/>
    <w:rsid w:val="0094629E"/>
    <w:rsid w:val="00946547"/>
    <w:rsid w:val="00947A53"/>
    <w:rsid w:val="00950FFD"/>
    <w:rsid w:val="00951750"/>
    <w:rsid w:val="00951EBA"/>
    <w:rsid w:val="00951FE8"/>
    <w:rsid w:val="0095237B"/>
    <w:rsid w:val="0095241D"/>
    <w:rsid w:val="009527E3"/>
    <w:rsid w:val="00952DAA"/>
    <w:rsid w:val="00952F64"/>
    <w:rsid w:val="00952FD2"/>
    <w:rsid w:val="009537C3"/>
    <w:rsid w:val="00954313"/>
    <w:rsid w:val="00954C2C"/>
    <w:rsid w:val="009570CF"/>
    <w:rsid w:val="00957DEF"/>
    <w:rsid w:val="009606FB"/>
    <w:rsid w:val="00962F77"/>
    <w:rsid w:val="009647DD"/>
    <w:rsid w:val="00964A7F"/>
    <w:rsid w:val="00965854"/>
    <w:rsid w:val="0096597F"/>
    <w:rsid w:val="00965DE9"/>
    <w:rsid w:val="00965EB2"/>
    <w:rsid w:val="00965F65"/>
    <w:rsid w:val="009662E6"/>
    <w:rsid w:val="00966795"/>
    <w:rsid w:val="00967500"/>
    <w:rsid w:val="00967D25"/>
    <w:rsid w:val="0097013A"/>
    <w:rsid w:val="00970D01"/>
    <w:rsid w:val="0097104A"/>
    <w:rsid w:val="00971190"/>
    <w:rsid w:val="00972245"/>
    <w:rsid w:val="00976A05"/>
    <w:rsid w:val="00976B7F"/>
    <w:rsid w:val="00977A01"/>
    <w:rsid w:val="009805AF"/>
    <w:rsid w:val="00984210"/>
    <w:rsid w:val="009849D9"/>
    <w:rsid w:val="009853E3"/>
    <w:rsid w:val="009856AE"/>
    <w:rsid w:val="00987061"/>
    <w:rsid w:val="00987B47"/>
    <w:rsid w:val="00990102"/>
    <w:rsid w:val="0099053C"/>
    <w:rsid w:val="00990F44"/>
    <w:rsid w:val="00990FEF"/>
    <w:rsid w:val="0099154A"/>
    <w:rsid w:val="00992E87"/>
    <w:rsid w:val="009933B4"/>
    <w:rsid w:val="009940FB"/>
    <w:rsid w:val="009956AA"/>
    <w:rsid w:val="009957C5"/>
    <w:rsid w:val="0099757A"/>
    <w:rsid w:val="00997BC5"/>
    <w:rsid w:val="009A0FB2"/>
    <w:rsid w:val="009A11B9"/>
    <w:rsid w:val="009A19CE"/>
    <w:rsid w:val="009A200E"/>
    <w:rsid w:val="009A2678"/>
    <w:rsid w:val="009A2972"/>
    <w:rsid w:val="009A2B1B"/>
    <w:rsid w:val="009A2F9F"/>
    <w:rsid w:val="009A2FB8"/>
    <w:rsid w:val="009A3C66"/>
    <w:rsid w:val="009A3E6D"/>
    <w:rsid w:val="009A4234"/>
    <w:rsid w:val="009A5970"/>
    <w:rsid w:val="009B01A6"/>
    <w:rsid w:val="009B040C"/>
    <w:rsid w:val="009B0ABA"/>
    <w:rsid w:val="009B0EDA"/>
    <w:rsid w:val="009B1AE9"/>
    <w:rsid w:val="009B2C6D"/>
    <w:rsid w:val="009B38C3"/>
    <w:rsid w:val="009B3DE5"/>
    <w:rsid w:val="009B5BED"/>
    <w:rsid w:val="009B5CD0"/>
    <w:rsid w:val="009B5F71"/>
    <w:rsid w:val="009C1961"/>
    <w:rsid w:val="009C2985"/>
    <w:rsid w:val="009C3F65"/>
    <w:rsid w:val="009C4B5E"/>
    <w:rsid w:val="009C4E24"/>
    <w:rsid w:val="009C4F0D"/>
    <w:rsid w:val="009C5058"/>
    <w:rsid w:val="009C6498"/>
    <w:rsid w:val="009C6F11"/>
    <w:rsid w:val="009C7820"/>
    <w:rsid w:val="009C7CEF"/>
    <w:rsid w:val="009D3606"/>
    <w:rsid w:val="009D392F"/>
    <w:rsid w:val="009D4140"/>
    <w:rsid w:val="009D640A"/>
    <w:rsid w:val="009D7841"/>
    <w:rsid w:val="009D7B18"/>
    <w:rsid w:val="009E0DB3"/>
    <w:rsid w:val="009E0EFE"/>
    <w:rsid w:val="009E2921"/>
    <w:rsid w:val="009E35B6"/>
    <w:rsid w:val="009E39B1"/>
    <w:rsid w:val="009E48BA"/>
    <w:rsid w:val="009E49D7"/>
    <w:rsid w:val="009E51ED"/>
    <w:rsid w:val="009E530A"/>
    <w:rsid w:val="009E61CC"/>
    <w:rsid w:val="009E7902"/>
    <w:rsid w:val="009F2FDC"/>
    <w:rsid w:val="009F40BF"/>
    <w:rsid w:val="009F4509"/>
    <w:rsid w:val="009F5ED3"/>
    <w:rsid w:val="009F67C7"/>
    <w:rsid w:val="00A0117C"/>
    <w:rsid w:val="00A01865"/>
    <w:rsid w:val="00A01B68"/>
    <w:rsid w:val="00A060FD"/>
    <w:rsid w:val="00A07126"/>
    <w:rsid w:val="00A12E9C"/>
    <w:rsid w:val="00A131EF"/>
    <w:rsid w:val="00A13F87"/>
    <w:rsid w:val="00A14DE0"/>
    <w:rsid w:val="00A174ED"/>
    <w:rsid w:val="00A200CF"/>
    <w:rsid w:val="00A20696"/>
    <w:rsid w:val="00A23EDD"/>
    <w:rsid w:val="00A24497"/>
    <w:rsid w:val="00A25674"/>
    <w:rsid w:val="00A26D24"/>
    <w:rsid w:val="00A27185"/>
    <w:rsid w:val="00A27730"/>
    <w:rsid w:val="00A30689"/>
    <w:rsid w:val="00A30EFB"/>
    <w:rsid w:val="00A30FBF"/>
    <w:rsid w:val="00A364A0"/>
    <w:rsid w:val="00A36927"/>
    <w:rsid w:val="00A371FF"/>
    <w:rsid w:val="00A40AFE"/>
    <w:rsid w:val="00A41A9D"/>
    <w:rsid w:val="00A41E49"/>
    <w:rsid w:val="00A45CB9"/>
    <w:rsid w:val="00A4667D"/>
    <w:rsid w:val="00A4684F"/>
    <w:rsid w:val="00A46BF3"/>
    <w:rsid w:val="00A47BC2"/>
    <w:rsid w:val="00A50267"/>
    <w:rsid w:val="00A510D9"/>
    <w:rsid w:val="00A519BB"/>
    <w:rsid w:val="00A521EB"/>
    <w:rsid w:val="00A52D43"/>
    <w:rsid w:val="00A53097"/>
    <w:rsid w:val="00A534A3"/>
    <w:rsid w:val="00A538E2"/>
    <w:rsid w:val="00A565C7"/>
    <w:rsid w:val="00A57D0D"/>
    <w:rsid w:val="00A60D3E"/>
    <w:rsid w:val="00A6170C"/>
    <w:rsid w:val="00A6196F"/>
    <w:rsid w:val="00A6292A"/>
    <w:rsid w:val="00A62A54"/>
    <w:rsid w:val="00A63E93"/>
    <w:rsid w:val="00A6470C"/>
    <w:rsid w:val="00A671E8"/>
    <w:rsid w:val="00A700FC"/>
    <w:rsid w:val="00A70475"/>
    <w:rsid w:val="00A707BD"/>
    <w:rsid w:val="00A71494"/>
    <w:rsid w:val="00A715B5"/>
    <w:rsid w:val="00A71C3C"/>
    <w:rsid w:val="00A75C3D"/>
    <w:rsid w:val="00A761ED"/>
    <w:rsid w:val="00A77AD8"/>
    <w:rsid w:val="00A77C64"/>
    <w:rsid w:val="00A80194"/>
    <w:rsid w:val="00A81374"/>
    <w:rsid w:val="00A81EAA"/>
    <w:rsid w:val="00A84206"/>
    <w:rsid w:val="00A84A14"/>
    <w:rsid w:val="00A84BE6"/>
    <w:rsid w:val="00A8521C"/>
    <w:rsid w:val="00A92437"/>
    <w:rsid w:val="00A9281E"/>
    <w:rsid w:val="00A92A92"/>
    <w:rsid w:val="00A92CEC"/>
    <w:rsid w:val="00A933B1"/>
    <w:rsid w:val="00A942B8"/>
    <w:rsid w:val="00A94721"/>
    <w:rsid w:val="00A947D6"/>
    <w:rsid w:val="00A94F13"/>
    <w:rsid w:val="00A96875"/>
    <w:rsid w:val="00A96D28"/>
    <w:rsid w:val="00AA0067"/>
    <w:rsid w:val="00AA0290"/>
    <w:rsid w:val="00AA0600"/>
    <w:rsid w:val="00AA1721"/>
    <w:rsid w:val="00AA2250"/>
    <w:rsid w:val="00AA225C"/>
    <w:rsid w:val="00AA320A"/>
    <w:rsid w:val="00AA3615"/>
    <w:rsid w:val="00AA3A39"/>
    <w:rsid w:val="00AA4530"/>
    <w:rsid w:val="00AA4779"/>
    <w:rsid w:val="00AA4E33"/>
    <w:rsid w:val="00AA6A58"/>
    <w:rsid w:val="00AA6F1C"/>
    <w:rsid w:val="00AB09B4"/>
    <w:rsid w:val="00AB34C6"/>
    <w:rsid w:val="00AB4EA2"/>
    <w:rsid w:val="00AB5915"/>
    <w:rsid w:val="00AB5A0D"/>
    <w:rsid w:val="00AB7297"/>
    <w:rsid w:val="00AB73C7"/>
    <w:rsid w:val="00AC1017"/>
    <w:rsid w:val="00AC2732"/>
    <w:rsid w:val="00AC2DCE"/>
    <w:rsid w:val="00AC31D0"/>
    <w:rsid w:val="00AC34E9"/>
    <w:rsid w:val="00AC3506"/>
    <w:rsid w:val="00AC51E5"/>
    <w:rsid w:val="00AC5AB9"/>
    <w:rsid w:val="00AC7B1A"/>
    <w:rsid w:val="00AC7DEA"/>
    <w:rsid w:val="00AD08E4"/>
    <w:rsid w:val="00AD14B3"/>
    <w:rsid w:val="00AD1E57"/>
    <w:rsid w:val="00AD251D"/>
    <w:rsid w:val="00AD2873"/>
    <w:rsid w:val="00AD2D8D"/>
    <w:rsid w:val="00AD2FD8"/>
    <w:rsid w:val="00AD3CC4"/>
    <w:rsid w:val="00AD45E6"/>
    <w:rsid w:val="00AD5661"/>
    <w:rsid w:val="00AD6E9D"/>
    <w:rsid w:val="00AD72DD"/>
    <w:rsid w:val="00AD7460"/>
    <w:rsid w:val="00AD7EA7"/>
    <w:rsid w:val="00AE035E"/>
    <w:rsid w:val="00AE05C1"/>
    <w:rsid w:val="00AE15DB"/>
    <w:rsid w:val="00AE25D6"/>
    <w:rsid w:val="00AE30A1"/>
    <w:rsid w:val="00AE3849"/>
    <w:rsid w:val="00AE4070"/>
    <w:rsid w:val="00AE48A5"/>
    <w:rsid w:val="00AE5670"/>
    <w:rsid w:val="00AE56B7"/>
    <w:rsid w:val="00AE7199"/>
    <w:rsid w:val="00AF0A49"/>
    <w:rsid w:val="00AF0A9F"/>
    <w:rsid w:val="00AF13F3"/>
    <w:rsid w:val="00AF1751"/>
    <w:rsid w:val="00AF2830"/>
    <w:rsid w:val="00AF2950"/>
    <w:rsid w:val="00AF2A87"/>
    <w:rsid w:val="00AF2B34"/>
    <w:rsid w:val="00AF2EE4"/>
    <w:rsid w:val="00AF3050"/>
    <w:rsid w:val="00AF33B6"/>
    <w:rsid w:val="00AF33CB"/>
    <w:rsid w:val="00AF3BD4"/>
    <w:rsid w:val="00AF5263"/>
    <w:rsid w:val="00AF610C"/>
    <w:rsid w:val="00AF6868"/>
    <w:rsid w:val="00AF7645"/>
    <w:rsid w:val="00AF7705"/>
    <w:rsid w:val="00AF7D83"/>
    <w:rsid w:val="00B01A21"/>
    <w:rsid w:val="00B01AB2"/>
    <w:rsid w:val="00B02149"/>
    <w:rsid w:val="00B0314F"/>
    <w:rsid w:val="00B03F56"/>
    <w:rsid w:val="00B04FEF"/>
    <w:rsid w:val="00B05FEC"/>
    <w:rsid w:val="00B074EB"/>
    <w:rsid w:val="00B07912"/>
    <w:rsid w:val="00B07D90"/>
    <w:rsid w:val="00B10CE1"/>
    <w:rsid w:val="00B11484"/>
    <w:rsid w:val="00B12656"/>
    <w:rsid w:val="00B153B4"/>
    <w:rsid w:val="00B155C1"/>
    <w:rsid w:val="00B161DA"/>
    <w:rsid w:val="00B2088D"/>
    <w:rsid w:val="00B215FB"/>
    <w:rsid w:val="00B21BEF"/>
    <w:rsid w:val="00B21D4C"/>
    <w:rsid w:val="00B23082"/>
    <w:rsid w:val="00B23DCA"/>
    <w:rsid w:val="00B24D58"/>
    <w:rsid w:val="00B25656"/>
    <w:rsid w:val="00B27A17"/>
    <w:rsid w:val="00B30016"/>
    <w:rsid w:val="00B316F1"/>
    <w:rsid w:val="00B321C1"/>
    <w:rsid w:val="00B327A9"/>
    <w:rsid w:val="00B334EF"/>
    <w:rsid w:val="00B33721"/>
    <w:rsid w:val="00B344E9"/>
    <w:rsid w:val="00B3521C"/>
    <w:rsid w:val="00B3583B"/>
    <w:rsid w:val="00B36A47"/>
    <w:rsid w:val="00B36C9B"/>
    <w:rsid w:val="00B36CCC"/>
    <w:rsid w:val="00B40F61"/>
    <w:rsid w:val="00B43E57"/>
    <w:rsid w:val="00B47C2E"/>
    <w:rsid w:val="00B50509"/>
    <w:rsid w:val="00B50F11"/>
    <w:rsid w:val="00B51555"/>
    <w:rsid w:val="00B52BBD"/>
    <w:rsid w:val="00B53822"/>
    <w:rsid w:val="00B53F46"/>
    <w:rsid w:val="00B558A5"/>
    <w:rsid w:val="00B5787D"/>
    <w:rsid w:val="00B57A73"/>
    <w:rsid w:val="00B57DB1"/>
    <w:rsid w:val="00B61959"/>
    <w:rsid w:val="00B640E7"/>
    <w:rsid w:val="00B64C4C"/>
    <w:rsid w:val="00B64E21"/>
    <w:rsid w:val="00B64FD1"/>
    <w:rsid w:val="00B678B6"/>
    <w:rsid w:val="00B67A22"/>
    <w:rsid w:val="00B7238D"/>
    <w:rsid w:val="00B72464"/>
    <w:rsid w:val="00B727FC"/>
    <w:rsid w:val="00B72FB9"/>
    <w:rsid w:val="00B739EB"/>
    <w:rsid w:val="00B73AF7"/>
    <w:rsid w:val="00B74498"/>
    <w:rsid w:val="00B75A4A"/>
    <w:rsid w:val="00B7613E"/>
    <w:rsid w:val="00B76513"/>
    <w:rsid w:val="00B77111"/>
    <w:rsid w:val="00B7798A"/>
    <w:rsid w:val="00B77A21"/>
    <w:rsid w:val="00B81BE0"/>
    <w:rsid w:val="00B8356D"/>
    <w:rsid w:val="00B83CAF"/>
    <w:rsid w:val="00B84D4A"/>
    <w:rsid w:val="00B86505"/>
    <w:rsid w:val="00B867EE"/>
    <w:rsid w:val="00B87124"/>
    <w:rsid w:val="00B87236"/>
    <w:rsid w:val="00B8789F"/>
    <w:rsid w:val="00B90FED"/>
    <w:rsid w:val="00B9137C"/>
    <w:rsid w:val="00B91FDA"/>
    <w:rsid w:val="00B94E54"/>
    <w:rsid w:val="00B95207"/>
    <w:rsid w:val="00B95946"/>
    <w:rsid w:val="00B95B85"/>
    <w:rsid w:val="00B96DF7"/>
    <w:rsid w:val="00BA07AB"/>
    <w:rsid w:val="00BA0AE0"/>
    <w:rsid w:val="00BA4862"/>
    <w:rsid w:val="00BA4CA0"/>
    <w:rsid w:val="00BA5075"/>
    <w:rsid w:val="00BA517E"/>
    <w:rsid w:val="00BA589B"/>
    <w:rsid w:val="00BA6041"/>
    <w:rsid w:val="00BA609A"/>
    <w:rsid w:val="00BA60C2"/>
    <w:rsid w:val="00BA64AF"/>
    <w:rsid w:val="00BA6AF4"/>
    <w:rsid w:val="00BA7B14"/>
    <w:rsid w:val="00BB15C9"/>
    <w:rsid w:val="00BB2A44"/>
    <w:rsid w:val="00BB3299"/>
    <w:rsid w:val="00BB39B0"/>
    <w:rsid w:val="00BB45FA"/>
    <w:rsid w:val="00BB4AF5"/>
    <w:rsid w:val="00BB5BF2"/>
    <w:rsid w:val="00BB5C5D"/>
    <w:rsid w:val="00BB69C8"/>
    <w:rsid w:val="00BB6E44"/>
    <w:rsid w:val="00BB747C"/>
    <w:rsid w:val="00BB7561"/>
    <w:rsid w:val="00BC0730"/>
    <w:rsid w:val="00BC2182"/>
    <w:rsid w:val="00BC23FC"/>
    <w:rsid w:val="00BC2E06"/>
    <w:rsid w:val="00BC4CFB"/>
    <w:rsid w:val="00BC6BFF"/>
    <w:rsid w:val="00BC6D7E"/>
    <w:rsid w:val="00BC7A7A"/>
    <w:rsid w:val="00BD04D2"/>
    <w:rsid w:val="00BD1776"/>
    <w:rsid w:val="00BD1CEE"/>
    <w:rsid w:val="00BD1D65"/>
    <w:rsid w:val="00BD1FC3"/>
    <w:rsid w:val="00BD246D"/>
    <w:rsid w:val="00BD3E22"/>
    <w:rsid w:val="00BD62F6"/>
    <w:rsid w:val="00BD6780"/>
    <w:rsid w:val="00BD6E00"/>
    <w:rsid w:val="00BD7AF0"/>
    <w:rsid w:val="00BD7E30"/>
    <w:rsid w:val="00BE0263"/>
    <w:rsid w:val="00BE26F3"/>
    <w:rsid w:val="00BE2BF7"/>
    <w:rsid w:val="00BE500E"/>
    <w:rsid w:val="00BE587E"/>
    <w:rsid w:val="00BE6A2A"/>
    <w:rsid w:val="00BE6FDC"/>
    <w:rsid w:val="00BF0820"/>
    <w:rsid w:val="00BF1F31"/>
    <w:rsid w:val="00BF2CC8"/>
    <w:rsid w:val="00BF2FB0"/>
    <w:rsid w:val="00BF32B4"/>
    <w:rsid w:val="00BF48D1"/>
    <w:rsid w:val="00BF4CE7"/>
    <w:rsid w:val="00BF6C8D"/>
    <w:rsid w:val="00C01C34"/>
    <w:rsid w:val="00C0493E"/>
    <w:rsid w:val="00C04E70"/>
    <w:rsid w:val="00C04EB8"/>
    <w:rsid w:val="00C059FD"/>
    <w:rsid w:val="00C06886"/>
    <w:rsid w:val="00C07161"/>
    <w:rsid w:val="00C079ED"/>
    <w:rsid w:val="00C07B7F"/>
    <w:rsid w:val="00C10158"/>
    <w:rsid w:val="00C119CB"/>
    <w:rsid w:val="00C11E2B"/>
    <w:rsid w:val="00C11F7E"/>
    <w:rsid w:val="00C129DD"/>
    <w:rsid w:val="00C1330D"/>
    <w:rsid w:val="00C13311"/>
    <w:rsid w:val="00C150B9"/>
    <w:rsid w:val="00C15986"/>
    <w:rsid w:val="00C15A39"/>
    <w:rsid w:val="00C15F7D"/>
    <w:rsid w:val="00C16194"/>
    <w:rsid w:val="00C167C0"/>
    <w:rsid w:val="00C17DE0"/>
    <w:rsid w:val="00C21E35"/>
    <w:rsid w:val="00C22848"/>
    <w:rsid w:val="00C2300D"/>
    <w:rsid w:val="00C23A9B"/>
    <w:rsid w:val="00C23F99"/>
    <w:rsid w:val="00C24B05"/>
    <w:rsid w:val="00C24EB5"/>
    <w:rsid w:val="00C25FFD"/>
    <w:rsid w:val="00C277BB"/>
    <w:rsid w:val="00C30F9A"/>
    <w:rsid w:val="00C3190D"/>
    <w:rsid w:val="00C32708"/>
    <w:rsid w:val="00C32827"/>
    <w:rsid w:val="00C32ED4"/>
    <w:rsid w:val="00C336CC"/>
    <w:rsid w:val="00C340C3"/>
    <w:rsid w:val="00C341A4"/>
    <w:rsid w:val="00C34207"/>
    <w:rsid w:val="00C363A2"/>
    <w:rsid w:val="00C36838"/>
    <w:rsid w:val="00C3731F"/>
    <w:rsid w:val="00C40326"/>
    <w:rsid w:val="00C40A8F"/>
    <w:rsid w:val="00C41D33"/>
    <w:rsid w:val="00C41E4F"/>
    <w:rsid w:val="00C42457"/>
    <w:rsid w:val="00C42577"/>
    <w:rsid w:val="00C42980"/>
    <w:rsid w:val="00C42EFE"/>
    <w:rsid w:val="00C433AC"/>
    <w:rsid w:val="00C43576"/>
    <w:rsid w:val="00C43C7D"/>
    <w:rsid w:val="00C43D30"/>
    <w:rsid w:val="00C43F99"/>
    <w:rsid w:val="00C51489"/>
    <w:rsid w:val="00C51741"/>
    <w:rsid w:val="00C520F3"/>
    <w:rsid w:val="00C529CA"/>
    <w:rsid w:val="00C53809"/>
    <w:rsid w:val="00C53B0E"/>
    <w:rsid w:val="00C53C43"/>
    <w:rsid w:val="00C541AA"/>
    <w:rsid w:val="00C54457"/>
    <w:rsid w:val="00C548DC"/>
    <w:rsid w:val="00C576D7"/>
    <w:rsid w:val="00C57C25"/>
    <w:rsid w:val="00C6015C"/>
    <w:rsid w:val="00C604A2"/>
    <w:rsid w:val="00C60BAD"/>
    <w:rsid w:val="00C61CDB"/>
    <w:rsid w:val="00C631E4"/>
    <w:rsid w:val="00C635D0"/>
    <w:rsid w:val="00C63A3D"/>
    <w:rsid w:val="00C63E77"/>
    <w:rsid w:val="00C64032"/>
    <w:rsid w:val="00C6507C"/>
    <w:rsid w:val="00C653BF"/>
    <w:rsid w:val="00C6592E"/>
    <w:rsid w:val="00C65FF7"/>
    <w:rsid w:val="00C666EB"/>
    <w:rsid w:val="00C71B72"/>
    <w:rsid w:val="00C72343"/>
    <w:rsid w:val="00C7243B"/>
    <w:rsid w:val="00C72544"/>
    <w:rsid w:val="00C72BE4"/>
    <w:rsid w:val="00C735A6"/>
    <w:rsid w:val="00C73A5A"/>
    <w:rsid w:val="00C73B05"/>
    <w:rsid w:val="00C73B3D"/>
    <w:rsid w:val="00C74597"/>
    <w:rsid w:val="00C74ABD"/>
    <w:rsid w:val="00C75CDF"/>
    <w:rsid w:val="00C76508"/>
    <w:rsid w:val="00C76C35"/>
    <w:rsid w:val="00C80D06"/>
    <w:rsid w:val="00C817CA"/>
    <w:rsid w:val="00C82606"/>
    <w:rsid w:val="00C83D27"/>
    <w:rsid w:val="00C84675"/>
    <w:rsid w:val="00C846A9"/>
    <w:rsid w:val="00C854BC"/>
    <w:rsid w:val="00C85BEF"/>
    <w:rsid w:val="00C8646C"/>
    <w:rsid w:val="00C86DA2"/>
    <w:rsid w:val="00C87F96"/>
    <w:rsid w:val="00C90464"/>
    <w:rsid w:val="00C91A50"/>
    <w:rsid w:val="00C91B03"/>
    <w:rsid w:val="00C922F3"/>
    <w:rsid w:val="00C93E38"/>
    <w:rsid w:val="00C93F01"/>
    <w:rsid w:val="00C94EA1"/>
    <w:rsid w:val="00C95293"/>
    <w:rsid w:val="00C96221"/>
    <w:rsid w:val="00C9656E"/>
    <w:rsid w:val="00CA02F7"/>
    <w:rsid w:val="00CA0335"/>
    <w:rsid w:val="00CA045B"/>
    <w:rsid w:val="00CA180B"/>
    <w:rsid w:val="00CA32B6"/>
    <w:rsid w:val="00CA32F1"/>
    <w:rsid w:val="00CA378B"/>
    <w:rsid w:val="00CA4375"/>
    <w:rsid w:val="00CA4AE8"/>
    <w:rsid w:val="00CA4E43"/>
    <w:rsid w:val="00CA555F"/>
    <w:rsid w:val="00CA5892"/>
    <w:rsid w:val="00CA5CEE"/>
    <w:rsid w:val="00CA63D0"/>
    <w:rsid w:val="00CA6975"/>
    <w:rsid w:val="00CA77F6"/>
    <w:rsid w:val="00CB0DB6"/>
    <w:rsid w:val="00CB0EC6"/>
    <w:rsid w:val="00CB2039"/>
    <w:rsid w:val="00CB2A64"/>
    <w:rsid w:val="00CB2A85"/>
    <w:rsid w:val="00CB3A0F"/>
    <w:rsid w:val="00CB3EB5"/>
    <w:rsid w:val="00CB40C3"/>
    <w:rsid w:val="00CB42F2"/>
    <w:rsid w:val="00CB6C4D"/>
    <w:rsid w:val="00CB7AB4"/>
    <w:rsid w:val="00CC1D13"/>
    <w:rsid w:val="00CC23E9"/>
    <w:rsid w:val="00CC316D"/>
    <w:rsid w:val="00CC34F2"/>
    <w:rsid w:val="00CC386A"/>
    <w:rsid w:val="00CC65EF"/>
    <w:rsid w:val="00CC6853"/>
    <w:rsid w:val="00CD3F48"/>
    <w:rsid w:val="00CD47F5"/>
    <w:rsid w:val="00CD6040"/>
    <w:rsid w:val="00CD6529"/>
    <w:rsid w:val="00CD7821"/>
    <w:rsid w:val="00CE40B5"/>
    <w:rsid w:val="00CE4577"/>
    <w:rsid w:val="00CE4EAF"/>
    <w:rsid w:val="00CE53C1"/>
    <w:rsid w:val="00CE60D7"/>
    <w:rsid w:val="00CE661F"/>
    <w:rsid w:val="00CE677B"/>
    <w:rsid w:val="00CE72C9"/>
    <w:rsid w:val="00CF0C58"/>
    <w:rsid w:val="00CF1254"/>
    <w:rsid w:val="00CF12B3"/>
    <w:rsid w:val="00CF1BA4"/>
    <w:rsid w:val="00CF26E5"/>
    <w:rsid w:val="00CF4D3F"/>
    <w:rsid w:val="00CF5A53"/>
    <w:rsid w:val="00CF6652"/>
    <w:rsid w:val="00CF6A2E"/>
    <w:rsid w:val="00CF71C5"/>
    <w:rsid w:val="00CF7754"/>
    <w:rsid w:val="00CF7C03"/>
    <w:rsid w:val="00D0040E"/>
    <w:rsid w:val="00D01873"/>
    <w:rsid w:val="00D03004"/>
    <w:rsid w:val="00D03620"/>
    <w:rsid w:val="00D04B0F"/>
    <w:rsid w:val="00D0532F"/>
    <w:rsid w:val="00D058EE"/>
    <w:rsid w:val="00D06D85"/>
    <w:rsid w:val="00D07E87"/>
    <w:rsid w:val="00D10C48"/>
    <w:rsid w:val="00D12D5B"/>
    <w:rsid w:val="00D1379B"/>
    <w:rsid w:val="00D155DE"/>
    <w:rsid w:val="00D1644A"/>
    <w:rsid w:val="00D173C8"/>
    <w:rsid w:val="00D203CA"/>
    <w:rsid w:val="00D20860"/>
    <w:rsid w:val="00D212DB"/>
    <w:rsid w:val="00D21BF6"/>
    <w:rsid w:val="00D21E5D"/>
    <w:rsid w:val="00D2238D"/>
    <w:rsid w:val="00D22604"/>
    <w:rsid w:val="00D22B25"/>
    <w:rsid w:val="00D23F57"/>
    <w:rsid w:val="00D23FFC"/>
    <w:rsid w:val="00D2418F"/>
    <w:rsid w:val="00D24310"/>
    <w:rsid w:val="00D25BE9"/>
    <w:rsid w:val="00D26E13"/>
    <w:rsid w:val="00D27CA9"/>
    <w:rsid w:val="00D30028"/>
    <w:rsid w:val="00D32AB2"/>
    <w:rsid w:val="00D33952"/>
    <w:rsid w:val="00D35212"/>
    <w:rsid w:val="00D35FDF"/>
    <w:rsid w:val="00D3655A"/>
    <w:rsid w:val="00D375F3"/>
    <w:rsid w:val="00D37C09"/>
    <w:rsid w:val="00D41045"/>
    <w:rsid w:val="00D41907"/>
    <w:rsid w:val="00D41CB4"/>
    <w:rsid w:val="00D41DAE"/>
    <w:rsid w:val="00D42937"/>
    <w:rsid w:val="00D42AF8"/>
    <w:rsid w:val="00D43F38"/>
    <w:rsid w:val="00D4406D"/>
    <w:rsid w:val="00D44480"/>
    <w:rsid w:val="00D4712B"/>
    <w:rsid w:val="00D47688"/>
    <w:rsid w:val="00D50A7E"/>
    <w:rsid w:val="00D50B74"/>
    <w:rsid w:val="00D50F4F"/>
    <w:rsid w:val="00D517F0"/>
    <w:rsid w:val="00D524B5"/>
    <w:rsid w:val="00D52E0C"/>
    <w:rsid w:val="00D531B6"/>
    <w:rsid w:val="00D54DDB"/>
    <w:rsid w:val="00D55045"/>
    <w:rsid w:val="00D5680F"/>
    <w:rsid w:val="00D56CF9"/>
    <w:rsid w:val="00D60F33"/>
    <w:rsid w:val="00D6185F"/>
    <w:rsid w:val="00D6190E"/>
    <w:rsid w:val="00D625A4"/>
    <w:rsid w:val="00D62CD6"/>
    <w:rsid w:val="00D6330A"/>
    <w:rsid w:val="00D64D62"/>
    <w:rsid w:val="00D64FC6"/>
    <w:rsid w:val="00D65389"/>
    <w:rsid w:val="00D65398"/>
    <w:rsid w:val="00D667DB"/>
    <w:rsid w:val="00D6787A"/>
    <w:rsid w:val="00D67977"/>
    <w:rsid w:val="00D702B0"/>
    <w:rsid w:val="00D70F64"/>
    <w:rsid w:val="00D711C4"/>
    <w:rsid w:val="00D7418F"/>
    <w:rsid w:val="00D7476B"/>
    <w:rsid w:val="00D75DD8"/>
    <w:rsid w:val="00D76065"/>
    <w:rsid w:val="00D760F6"/>
    <w:rsid w:val="00D7762E"/>
    <w:rsid w:val="00D776CB"/>
    <w:rsid w:val="00D7789A"/>
    <w:rsid w:val="00D8010D"/>
    <w:rsid w:val="00D8174A"/>
    <w:rsid w:val="00D81E02"/>
    <w:rsid w:val="00D82100"/>
    <w:rsid w:val="00D831F0"/>
    <w:rsid w:val="00D83631"/>
    <w:rsid w:val="00D84A8A"/>
    <w:rsid w:val="00D84BED"/>
    <w:rsid w:val="00D86058"/>
    <w:rsid w:val="00D87176"/>
    <w:rsid w:val="00D902AA"/>
    <w:rsid w:val="00D9062B"/>
    <w:rsid w:val="00D935B6"/>
    <w:rsid w:val="00D9459C"/>
    <w:rsid w:val="00D96E0F"/>
    <w:rsid w:val="00D97EF0"/>
    <w:rsid w:val="00DA0F4B"/>
    <w:rsid w:val="00DA22EB"/>
    <w:rsid w:val="00DA28D9"/>
    <w:rsid w:val="00DA2ADD"/>
    <w:rsid w:val="00DA3D6E"/>
    <w:rsid w:val="00DA4B91"/>
    <w:rsid w:val="00DA4D7A"/>
    <w:rsid w:val="00DA4E49"/>
    <w:rsid w:val="00DA5216"/>
    <w:rsid w:val="00DA53D7"/>
    <w:rsid w:val="00DA58F5"/>
    <w:rsid w:val="00DB00D9"/>
    <w:rsid w:val="00DB0185"/>
    <w:rsid w:val="00DB0A7D"/>
    <w:rsid w:val="00DB1854"/>
    <w:rsid w:val="00DB22C6"/>
    <w:rsid w:val="00DB3214"/>
    <w:rsid w:val="00DB375C"/>
    <w:rsid w:val="00DB3DE8"/>
    <w:rsid w:val="00DB4B20"/>
    <w:rsid w:val="00DB5D64"/>
    <w:rsid w:val="00DB6116"/>
    <w:rsid w:val="00DB7D8F"/>
    <w:rsid w:val="00DC030C"/>
    <w:rsid w:val="00DC1F6A"/>
    <w:rsid w:val="00DC238E"/>
    <w:rsid w:val="00DC24D0"/>
    <w:rsid w:val="00DC272E"/>
    <w:rsid w:val="00DC356D"/>
    <w:rsid w:val="00DC3DB7"/>
    <w:rsid w:val="00DC4564"/>
    <w:rsid w:val="00DC466D"/>
    <w:rsid w:val="00DC5200"/>
    <w:rsid w:val="00DC6A35"/>
    <w:rsid w:val="00DC6C2D"/>
    <w:rsid w:val="00DC7723"/>
    <w:rsid w:val="00DC7766"/>
    <w:rsid w:val="00DC7B52"/>
    <w:rsid w:val="00DD0329"/>
    <w:rsid w:val="00DD039A"/>
    <w:rsid w:val="00DD0B8E"/>
    <w:rsid w:val="00DD0BF7"/>
    <w:rsid w:val="00DD116D"/>
    <w:rsid w:val="00DD1A64"/>
    <w:rsid w:val="00DD1BF9"/>
    <w:rsid w:val="00DD2A2C"/>
    <w:rsid w:val="00DD317F"/>
    <w:rsid w:val="00DD3769"/>
    <w:rsid w:val="00DD3FFC"/>
    <w:rsid w:val="00DD4143"/>
    <w:rsid w:val="00DD4F9F"/>
    <w:rsid w:val="00DD65B2"/>
    <w:rsid w:val="00DD6938"/>
    <w:rsid w:val="00DD6B83"/>
    <w:rsid w:val="00DE08DD"/>
    <w:rsid w:val="00DE0963"/>
    <w:rsid w:val="00DE18C9"/>
    <w:rsid w:val="00DE1CE8"/>
    <w:rsid w:val="00DE32C2"/>
    <w:rsid w:val="00DE3874"/>
    <w:rsid w:val="00DE4378"/>
    <w:rsid w:val="00DE4E65"/>
    <w:rsid w:val="00DE677A"/>
    <w:rsid w:val="00DE69A1"/>
    <w:rsid w:val="00DE7BA6"/>
    <w:rsid w:val="00DF0AD9"/>
    <w:rsid w:val="00DF18E1"/>
    <w:rsid w:val="00DF2075"/>
    <w:rsid w:val="00DF38A5"/>
    <w:rsid w:val="00DF4C1D"/>
    <w:rsid w:val="00DF4D37"/>
    <w:rsid w:val="00DF62A3"/>
    <w:rsid w:val="00DF6F9B"/>
    <w:rsid w:val="00DF7DC5"/>
    <w:rsid w:val="00E00C87"/>
    <w:rsid w:val="00E023FD"/>
    <w:rsid w:val="00E0357B"/>
    <w:rsid w:val="00E03FD4"/>
    <w:rsid w:val="00E0463B"/>
    <w:rsid w:val="00E04977"/>
    <w:rsid w:val="00E06FB2"/>
    <w:rsid w:val="00E06FD3"/>
    <w:rsid w:val="00E07235"/>
    <w:rsid w:val="00E07348"/>
    <w:rsid w:val="00E07544"/>
    <w:rsid w:val="00E079E8"/>
    <w:rsid w:val="00E10108"/>
    <w:rsid w:val="00E12E7F"/>
    <w:rsid w:val="00E13273"/>
    <w:rsid w:val="00E1393D"/>
    <w:rsid w:val="00E13F35"/>
    <w:rsid w:val="00E140A9"/>
    <w:rsid w:val="00E14BA3"/>
    <w:rsid w:val="00E1533B"/>
    <w:rsid w:val="00E15A8C"/>
    <w:rsid w:val="00E15C47"/>
    <w:rsid w:val="00E168E0"/>
    <w:rsid w:val="00E1707B"/>
    <w:rsid w:val="00E17205"/>
    <w:rsid w:val="00E175A4"/>
    <w:rsid w:val="00E1787C"/>
    <w:rsid w:val="00E20885"/>
    <w:rsid w:val="00E20D85"/>
    <w:rsid w:val="00E23C6E"/>
    <w:rsid w:val="00E241F3"/>
    <w:rsid w:val="00E26B4C"/>
    <w:rsid w:val="00E3092E"/>
    <w:rsid w:val="00E314C9"/>
    <w:rsid w:val="00E3362A"/>
    <w:rsid w:val="00E33C9F"/>
    <w:rsid w:val="00E36A47"/>
    <w:rsid w:val="00E3706C"/>
    <w:rsid w:val="00E37B10"/>
    <w:rsid w:val="00E40591"/>
    <w:rsid w:val="00E40681"/>
    <w:rsid w:val="00E40804"/>
    <w:rsid w:val="00E41622"/>
    <w:rsid w:val="00E41D59"/>
    <w:rsid w:val="00E431C7"/>
    <w:rsid w:val="00E4350B"/>
    <w:rsid w:val="00E43C46"/>
    <w:rsid w:val="00E43CCE"/>
    <w:rsid w:val="00E443B2"/>
    <w:rsid w:val="00E44B3F"/>
    <w:rsid w:val="00E456D1"/>
    <w:rsid w:val="00E469AE"/>
    <w:rsid w:val="00E46A9E"/>
    <w:rsid w:val="00E475E5"/>
    <w:rsid w:val="00E51B40"/>
    <w:rsid w:val="00E526BE"/>
    <w:rsid w:val="00E53515"/>
    <w:rsid w:val="00E53757"/>
    <w:rsid w:val="00E550AB"/>
    <w:rsid w:val="00E600D9"/>
    <w:rsid w:val="00E603A4"/>
    <w:rsid w:val="00E608FF"/>
    <w:rsid w:val="00E60D4A"/>
    <w:rsid w:val="00E61575"/>
    <w:rsid w:val="00E615F5"/>
    <w:rsid w:val="00E61D65"/>
    <w:rsid w:val="00E61FBC"/>
    <w:rsid w:val="00E61FFB"/>
    <w:rsid w:val="00E62A52"/>
    <w:rsid w:val="00E62FDE"/>
    <w:rsid w:val="00E63B58"/>
    <w:rsid w:val="00E64CEB"/>
    <w:rsid w:val="00E64E12"/>
    <w:rsid w:val="00E652C7"/>
    <w:rsid w:val="00E6669D"/>
    <w:rsid w:val="00E66D40"/>
    <w:rsid w:val="00E66E9F"/>
    <w:rsid w:val="00E67383"/>
    <w:rsid w:val="00E673A7"/>
    <w:rsid w:val="00E67D09"/>
    <w:rsid w:val="00E70601"/>
    <w:rsid w:val="00E70D23"/>
    <w:rsid w:val="00E711D3"/>
    <w:rsid w:val="00E73238"/>
    <w:rsid w:val="00E73BBD"/>
    <w:rsid w:val="00E73E3A"/>
    <w:rsid w:val="00E74747"/>
    <w:rsid w:val="00E749AF"/>
    <w:rsid w:val="00E74A76"/>
    <w:rsid w:val="00E7567E"/>
    <w:rsid w:val="00E756B3"/>
    <w:rsid w:val="00E77248"/>
    <w:rsid w:val="00E77B9C"/>
    <w:rsid w:val="00E80366"/>
    <w:rsid w:val="00E80732"/>
    <w:rsid w:val="00E8164C"/>
    <w:rsid w:val="00E81690"/>
    <w:rsid w:val="00E81E9D"/>
    <w:rsid w:val="00E83D7E"/>
    <w:rsid w:val="00E84E2A"/>
    <w:rsid w:val="00E84F30"/>
    <w:rsid w:val="00E85265"/>
    <w:rsid w:val="00E860BB"/>
    <w:rsid w:val="00E868E6"/>
    <w:rsid w:val="00E90314"/>
    <w:rsid w:val="00E90A12"/>
    <w:rsid w:val="00E93079"/>
    <w:rsid w:val="00E937D9"/>
    <w:rsid w:val="00E938D2"/>
    <w:rsid w:val="00E95FB0"/>
    <w:rsid w:val="00E96E16"/>
    <w:rsid w:val="00E979AB"/>
    <w:rsid w:val="00E97D5F"/>
    <w:rsid w:val="00EA0807"/>
    <w:rsid w:val="00EA14D1"/>
    <w:rsid w:val="00EA213E"/>
    <w:rsid w:val="00EA240B"/>
    <w:rsid w:val="00EA260B"/>
    <w:rsid w:val="00EA3F44"/>
    <w:rsid w:val="00EA473D"/>
    <w:rsid w:val="00EA5A7A"/>
    <w:rsid w:val="00EA7402"/>
    <w:rsid w:val="00EB0442"/>
    <w:rsid w:val="00EB0C80"/>
    <w:rsid w:val="00EB2A7B"/>
    <w:rsid w:val="00EB4143"/>
    <w:rsid w:val="00EB4296"/>
    <w:rsid w:val="00EB485B"/>
    <w:rsid w:val="00EB489A"/>
    <w:rsid w:val="00EB4A15"/>
    <w:rsid w:val="00EB5854"/>
    <w:rsid w:val="00EB6255"/>
    <w:rsid w:val="00EB660C"/>
    <w:rsid w:val="00EB6E2F"/>
    <w:rsid w:val="00EB78FE"/>
    <w:rsid w:val="00EC021B"/>
    <w:rsid w:val="00EC159C"/>
    <w:rsid w:val="00EC1621"/>
    <w:rsid w:val="00EC1DE0"/>
    <w:rsid w:val="00EC28E7"/>
    <w:rsid w:val="00EC2A1F"/>
    <w:rsid w:val="00EC2DF2"/>
    <w:rsid w:val="00EC36EB"/>
    <w:rsid w:val="00EC39BC"/>
    <w:rsid w:val="00EC456B"/>
    <w:rsid w:val="00EC4CE7"/>
    <w:rsid w:val="00EC5714"/>
    <w:rsid w:val="00EC5B93"/>
    <w:rsid w:val="00EC7B55"/>
    <w:rsid w:val="00ED0778"/>
    <w:rsid w:val="00ED1C99"/>
    <w:rsid w:val="00ED31B7"/>
    <w:rsid w:val="00ED4FAE"/>
    <w:rsid w:val="00ED6C8E"/>
    <w:rsid w:val="00ED7A54"/>
    <w:rsid w:val="00ED7B21"/>
    <w:rsid w:val="00ED7E4E"/>
    <w:rsid w:val="00EE140B"/>
    <w:rsid w:val="00EE1980"/>
    <w:rsid w:val="00EE2DEA"/>
    <w:rsid w:val="00EE35BE"/>
    <w:rsid w:val="00EE3A5A"/>
    <w:rsid w:val="00EE42DA"/>
    <w:rsid w:val="00EE4772"/>
    <w:rsid w:val="00EE492F"/>
    <w:rsid w:val="00EE52F6"/>
    <w:rsid w:val="00EE5E54"/>
    <w:rsid w:val="00EE6062"/>
    <w:rsid w:val="00EE60A2"/>
    <w:rsid w:val="00EE6432"/>
    <w:rsid w:val="00EE6F15"/>
    <w:rsid w:val="00EE756C"/>
    <w:rsid w:val="00EF2748"/>
    <w:rsid w:val="00EF2787"/>
    <w:rsid w:val="00EF2AB9"/>
    <w:rsid w:val="00EF33CE"/>
    <w:rsid w:val="00EF5BDA"/>
    <w:rsid w:val="00EF5C67"/>
    <w:rsid w:val="00EF6BA0"/>
    <w:rsid w:val="00EF7717"/>
    <w:rsid w:val="00EF7842"/>
    <w:rsid w:val="00F00025"/>
    <w:rsid w:val="00F00A53"/>
    <w:rsid w:val="00F00D10"/>
    <w:rsid w:val="00F0119E"/>
    <w:rsid w:val="00F01610"/>
    <w:rsid w:val="00F02603"/>
    <w:rsid w:val="00F03449"/>
    <w:rsid w:val="00F03AA9"/>
    <w:rsid w:val="00F03DB5"/>
    <w:rsid w:val="00F04CE4"/>
    <w:rsid w:val="00F06845"/>
    <w:rsid w:val="00F06FF5"/>
    <w:rsid w:val="00F07DA0"/>
    <w:rsid w:val="00F104D7"/>
    <w:rsid w:val="00F10F71"/>
    <w:rsid w:val="00F11C7E"/>
    <w:rsid w:val="00F11F1A"/>
    <w:rsid w:val="00F12435"/>
    <w:rsid w:val="00F12EC6"/>
    <w:rsid w:val="00F162C0"/>
    <w:rsid w:val="00F16598"/>
    <w:rsid w:val="00F16B26"/>
    <w:rsid w:val="00F2038A"/>
    <w:rsid w:val="00F21EE2"/>
    <w:rsid w:val="00F221F6"/>
    <w:rsid w:val="00F222BD"/>
    <w:rsid w:val="00F22535"/>
    <w:rsid w:val="00F23460"/>
    <w:rsid w:val="00F23B6D"/>
    <w:rsid w:val="00F23CB0"/>
    <w:rsid w:val="00F24A29"/>
    <w:rsid w:val="00F25488"/>
    <w:rsid w:val="00F27A7D"/>
    <w:rsid w:val="00F30347"/>
    <w:rsid w:val="00F32757"/>
    <w:rsid w:val="00F342B4"/>
    <w:rsid w:val="00F34A6C"/>
    <w:rsid w:val="00F34E40"/>
    <w:rsid w:val="00F35721"/>
    <w:rsid w:val="00F376D1"/>
    <w:rsid w:val="00F401D6"/>
    <w:rsid w:val="00F405C4"/>
    <w:rsid w:val="00F40CF7"/>
    <w:rsid w:val="00F428BB"/>
    <w:rsid w:val="00F434A2"/>
    <w:rsid w:val="00F43A3C"/>
    <w:rsid w:val="00F44440"/>
    <w:rsid w:val="00F44F98"/>
    <w:rsid w:val="00F46E31"/>
    <w:rsid w:val="00F46F6D"/>
    <w:rsid w:val="00F4735F"/>
    <w:rsid w:val="00F5159E"/>
    <w:rsid w:val="00F52F32"/>
    <w:rsid w:val="00F535A8"/>
    <w:rsid w:val="00F53FFA"/>
    <w:rsid w:val="00F55218"/>
    <w:rsid w:val="00F5570D"/>
    <w:rsid w:val="00F55F7C"/>
    <w:rsid w:val="00F56605"/>
    <w:rsid w:val="00F569D1"/>
    <w:rsid w:val="00F57B19"/>
    <w:rsid w:val="00F60330"/>
    <w:rsid w:val="00F621BC"/>
    <w:rsid w:val="00F6233A"/>
    <w:rsid w:val="00F6411C"/>
    <w:rsid w:val="00F65007"/>
    <w:rsid w:val="00F67344"/>
    <w:rsid w:val="00F71E9E"/>
    <w:rsid w:val="00F71F49"/>
    <w:rsid w:val="00F72312"/>
    <w:rsid w:val="00F73306"/>
    <w:rsid w:val="00F73BA6"/>
    <w:rsid w:val="00F74113"/>
    <w:rsid w:val="00F7452A"/>
    <w:rsid w:val="00F756F5"/>
    <w:rsid w:val="00F76331"/>
    <w:rsid w:val="00F81C94"/>
    <w:rsid w:val="00F81EF4"/>
    <w:rsid w:val="00F8576E"/>
    <w:rsid w:val="00F85A62"/>
    <w:rsid w:val="00F85DE3"/>
    <w:rsid w:val="00F85FA3"/>
    <w:rsid w:val="00F86140"/>
    <w:rsid w:val="00F8649B"/>
    <w:rsid w:val="00F8780C"/>
    <w:rsid w:val="00F9077B"/>
    <w:rsid w:val="00F9081D"/>
    <w:rsid w:val="00F909EB"/>
    <w:rsid w:val="00F90D93"/>
    <w:rsid w:val="00F91DCF"/>
    <w:rsid w:val="00F9236C"/>
    <w:rsid w:val="00F931AA"/>
    <w:rsid w:val="00F94C5C"/>
    <w:rsid w:val="00F95EEA"/>
    <w:rsid w:val="00F96135"/>
    <w:rsid w:val="00F969B3"/>
    <w:rsid w:val="00F97AE5"/>
    <w:rsid w:val="00F97E6E"/>
    <w:rsid w:val="00FA082A"/>
    <w:rsid w:val="00FA169A"/>
    <w:rsid w:val="00FA20C6"/>
    <w:rsid w:val="00FA46F9"/>
    <w:rsid w:val="00FA4D3A"/>
    <w:rsid w:val="00FA5E0C"/>
    <w:rsid w:val="00FA6D86"/>
    <w:rsid w:val="00FA7305"/>
    <w:rsid w:val="00FA78BB"/>
    <w:rsid w:val="00FA7D6E"/>
    <w:rsid w:val="00FB0028"/>
    <w:rsid w:val="00FB080F"/>
    <w:rsid w:val="00FB08E9"/>
    <w:rsid w:val="00FB1AC2"/>
    <w:rsid w:val="00FB1C5D"/>
    <w:rsid w:val="00FB24D2"/>
    <w:rsid w:val="00FB2ADB"/>
    <w:rsid w:val="00FB454C"/>
    <w:rsid w:val="00FB6970"/>
    <w:rsid w:val="00FB6A0C"/>
    <w:rsid w:val="00FB6F0C"/>
    <w:rsid w:val="00FB7B4D"/>
    <w:rsid w:val="00FC186B"/>
    <w:rsid w:val="00FC21C6"/>
    <w:rsid w:val="00FC2396"/>
    <w:rsid w:val="00FC37E6"/>
    <w:rsid w:val="00FC3DE5"/>
    <w:rsid w:val="00FC3F20"/>
    <w:rsid w:val="00FC5CBF"/>
    <w:rsid w:val="00FC5DFE"/>
    <w:rsid w:val="00FD0564"/>
    <w:rsid w:val="00FD08CD"/>
    <w:rsid w:val="00FD21EC"/>
    <w:rsid w:val="00FD2F94"/>
    <w:rsid w:val="00FD3931"/>
    <w:rsid w:val="00FD3A86"/>
    <w:rsid w:val="00FD45D9"/>
    <w:rsid w:val="00FD620F"/>
    <w:rsid w:val="00FD659F"/>
    <w:rsid w:val="00FD706D"/>
    <w:rsid w:val="00FD731D"/>
    <w:rsid w:val="00FD7854"/>
    <w:rsid w:val="00FE120D"/>
    <w:rsid w:val="00FE1432"/>
    <w:rsid w:val="00FE1AD7"/>
    <w:rsid w:val="00FE32C1"/>
    <w:rsid w:val="00FE5712"/>
    <w:rsid w:val="00FE7A9D"/>
    <w:rsid w:val="00FF0A4C"/>
    <w:rsid w:val="00FF1162"/>
    <w:rsid w:val="00FF13EE"/>
    <w:rsid w:val="00FF1497"/>
    <w:rsid w:val="00FF40A0"/>
    <w:rsid w:val="00FF4749"/>
    <w:rsid w:val="00FF5F4D"/>
    <w:rsid w:val="00FF60BC"/>
    <w:rsid w:val="00FF611A"/>
    <w:rsid w:val="00FF643B"/>
    <w:rsid w:val="00FF6C6A"/>
    <w:rsid w:val="00FF77F2"/>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16CCC10"/>
  <w15:docId w15:val="{75C369F2-4B15-46E1-9DFB-62A1A1E8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paragraph" w:styleId="Heading8">
    <w:name w:val="heading 8"/>
    <w:basedOn w:val="Normal"/>
    <w:next w:val="Normal"/>
    <w:link w:val="Heading8Char"/>
    <w:uiPriority w:val="9"/>
    <w:unhideWhenUsed/>
    <w:qFormat/>
    <w:rsid w:val="001C0111"/>
    <w:pPr>
      <w:keepNext/>
      <w:keepLines/>
      <w:spacing w:before="40" w:after="0"/>
      <w:outlineLvl w:val="7"/>
    </w:pPr>
    <w:rPr>
      <w:rFonts w:asciiTheme="majorHAnsi" w:eastAsiaTheme="majorEastAsia" w:hAnsiTheme="majorHAnsi" w:cstheme="majorBidi"/>
      <w:color w:val="272727" w:themeColor="text1" w:themeTint="D8"/>
      <w:sz w:val="21"/>
      <w:szCs w:val="2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629D"/>
    <w:rPr>
      <w:color w:val="0000FF"/>
      <w:u w:val="single"/>
      <w:shd w:val="clear" w:color="auto" w:fill="auto"/>
    </w:rPr>
  </w:style>
  <w:style w:type="paragraph" w:styleId="ListBullet4">
    <w:name w:val="List Bullet 4"/>
    <w:basedOn w:val="Normal"/>
    <w:rsid w:val="0047629D"/>
    <w:pPr>
      <w:numPr>
        <w:numId w:val="2"/>
      </w:numPr>
    </w:pPr>
    <w:rPr>
      <w:rFonts w:eastAsia="Times New Roman"/>
      <w:lang w:eastAsia="de-DE"/>
    </w:rPr>
  </w:style>
  <w:style w:type="paragraph" w:styleId="ListNumber">
    <w:name w:val="List Number"/>
    <w:basedOn w:val="Normal"/>
    <w:rsid w:val="0047629D"/>
    <w:pPr>
      <w:numPr>
        <w:numId w:val="4"/>
      </w:numPr>
    </w:pPr>
    <w:rPr>
      <w:rFonts w:eastAsia="Times New Roman"/>
      <w:lang w:eastAsia="de-DE"/>
    </w:rPr>
  </w:style>
  <w:style w:type="paragraph" w:customStyle="1" w:styleId="ListBullet1">
    <w:name w:val="List Bullet 1"/>
    <w:basedOn w:val="Normal"/>
    <w:rsid w:val="0047629D"/>
    <w:pPr>
      <w:numPr>
        <w:numId w:val="1"/>
      </w:numPr>
    </w:pPr>
    <w:rPr>
      <w:rFonts w:eastAsia="Times New Roman"/>
      <w:lang w:eastAsia="de-DE"/>
    </w:rPr>
  </w:style>
  <w:style w:type="paragraph" w:customStyle="1" w:styleId="ListDash">
    <w:name w:val="List Dash"/>
    <w:basedOn w:val="Normal"/>
    <w:rsid w:val="0047629D"/>
    <w:pPr>
      <w:numPr>
        <w:numId w:val="3"/>
      </w:numPr>
    </w:pPr>
    <w:rPr>
      <w:rFonts w:eastAsia="Times New Roman"/>
      <w:lang w:eastAsia="de-DE"/>
    </w:rPr>
  </w:style>
  <w:style w:type="paragraph" w:customStyle="1" w:styleId="ListDash1">
    <w:name w:val="List Dash 1"/>
    <w:basedOn w:val="Normal"/>
    <w:rsid w:val="0047629D"/>
    <w:rPr>
      <w:rFonts w:eastAsia="Times New Roman"/>
      <w:lang w:eastAsia="de-DE"/>
    </w:rPr>
  </w:style>
  <w:style w:type="paragraph" w:customStyle="1" w:styleId="ListDash2">
    <w:name w:val="List Dash 2"/>
    <w:basedOn w:val="Normal"/>
    <w:rsid w:val="0047629D"/>
    <w:rPr>
      <w:rFonts w:eastAsia="Times New Roman"/>
      <w:lang w:eastAsia="de-DE"/>
    </w:rPr>
  </w:style>
  <w:style w:type="paragraph" w:customStyle="1" w:styleId="ListNumberLevel2">
    <w:name w:val="List Number (Level 2)"/>
    <w:basedOn w:val="Normal"/>
    <w:rsid w:val="0047629D"/>
    <w:pPr>
      <w:numPr>
        <w:ilvl w:val="1"/>
        <w:numId w:val="4"/>
      </w:numPr>
    </w:pPr>
    <w:rPr>
      <w:rFonts w:eastAsia="Times New Roman"/>
      <w:lang w:eastAsia="de-DE"/>
    </w:rPr>
  </w:style>
  <w:style w:type="paragraph" w:customStyle="1" w:styleId="ListNumberLevel3">
    <w:name w:val="List Number (Level 3)"/>
    <w:basedOn w:val="Normal"/>
    <w:rsid w:val="0047629D"/>
    <w:pPr>
      <w:numPr>
        <w:ilvl w:val="2"/>
        <w:numId w:val="4"/>
      </w:numPr>
    </w:pPr>
    <w:rPr>
      <w:rFonts w:eastAsia="Times New Roman"/>
      <w:lang w:eastAsia="de-DE"/>
    </w:rPr>
  </w:style>
  <w:style w:type="paragraph" w:customStyle="1" w:styleId="ListNumberLevel4">
    <w:name w:val="List Number (Level 4)"/>
    <w:basedOn w:val="Normal"/>
    <w:rsid w:val="0047629D"/>
    <w:pPr>
      <w:numPr>
        <w:ilvl w:val="3"/>
        <w:numId w:val="4"/>
      </w:numPr>
    </w:pPr>
    <w:rPr>
      <w:rFonts w:eastAsia="Times New Roman"/>
      <w:lang w:eastAsia="de-DE"/>
    </w:rPr>
  </w:style>
  <w:style w:type="table" w:styleId="TableGrid">
    <w:name w:val="Table Grid"/>
    <w:basedOn w:val="TableNormal"/>
    <w:rsid w:val="0047629D"/>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47629D"/>
    <w:pPr>
      <w:numPr>
        <w:numId w:val="5"/>
      </w:numPr>
    </w:pPr>
    <w:rPr>
      <w:rFonts w:eastAsia="Times New Roman"/>
      <w:lang w:val="fr-FR" w:eastAsia="en-GB"/>
    </w:rPr>
  </w:style>
  <w:style w:type="paragraph" w:styleId="ListBullet2">
    <w:name w:val="List Bullet 2"/>
    <w:basedOn w:val="Normal"/>
    <w:rsid w:val="0047629D"/>
    <w:pPr>
      <w:numPr>
        <w:numId w:val="6"/>
      </w:numPr>
    </w:pPr>
    <w:rPr>
      <w:rFonts w:eastAsia="Times New Roman"/>
      <w:lang w:val="fr-FR" w:eastAsia="en-GB"/>
    </w:rPr>
  </w:style>
  <w:style w:type="paragraph" w:styleId="ListBullet3">
    <w:name w:val="List Bullet 3"/>
    <w:basedOn w:val="Normal"/>
    <w:rsid w:val="0047629D"/>
    <w:pPr>
      <w:numPr>
        <w:numId w:val="7"/>
      </w:numPr>
    </w:pPr>
    <w:rPr>
      <w:rFonts w:eastAsia="Times New Roman"/>
      <w:lang w:val="fr-FR" w:eastAsia="en-GB"/>
    </w:rPr>
  </w:style>
  <w:style w:type="paragraph" w:styleId="ListNumber2">
    <w:name w:val="List Number 2"/>
    <w:basedOn w:val="Normal"/>
    <w:rsid w:val="0047629D"/>
    <w:pPr>
      <w:numPr>
        <w:numId w:val="11"/>
      </w:numPr>
    </w:pPr>
    <w:rPr>
      <w:rFonts w:eastAsia="Times New Roman"/>
      <w:lang w:val="fr-FR" w:eastAsia="en-GB"/>
    </w:rPr>
  </w:style>
  <w:style w:type="paragraph" w:styleId="ListNumber3">
    <w:name w:val="List Number 3"/>
    <w:basedOn w:val="Normal"/>
    <w:rsid w:val="0047629D"/>
    <w:pPr>
      <w:numPr>
        <w:numId w:val="12"/>
      </w:numPr>
    </w:pPr>
    <w:rPr>
      <w:rFonts w:eastAsia="Times New Roman"/>
      <w:lang w:val="fr-FR" w:eastAsia="en-GB"/>
    </w:rPr>
  </w:style>
  <w:style w:type="paragraph" w:styleId="ListNumber4">
    <w:name w:val="List Number 4"/>
    <w:basedOn w:val="Normal"/>
    <w:rsid w:val="0047629D"/>
    <w:pPr>
      <w:numPr>
        <w:numId w:val="13"/>
      </w:numPr>
    </w:pPr>
    <w:rPr>
      <w:rFonts w:eastAsia="Times New Roman"/>
      <w:lang w:val="fr-FR" w:eastAsia="en-GB"/>
    </w:rPr>
  </w:style>
  <w:style w:type="paragraph" w:customStyle="1" w:styleId="ListDash3">
    <w:name w:val="List Dash 3"/>
    <w:basedOn w:val="Normal"/>
    <w:rsid w:val="0047629D"/>
    <w:pPr>
      <w:numPr>
        <w:numId w:val="8"/>
      </w:numPr>
    </w:pPr>
    <w:rPr>
      <w:rFonts w:eastAsia="Times New Roman"/>
      <w:lang w:val="fr-FR" w:eastAsia="en-GB"/>
    </w:rPr>
  </w:style>
  <w:style w:type="paragraph" w:customStyle="1" w:styleId="ListDash4">
    <w:name w:val="List Dash 4"/>
    <w:basedOn w:val="Normal"/>
    <w:rsid w:val="0047629D"/>
    <w:pPr>
      <w:numPr>
        <w:numId w:val="9"/>
      </w:numPr>
    </w:pPr>
    <w:rPr>
      <w:rFonts w:eastAsia="Times New Roman"/>
      <w:lang w:val="fr-FR" w:eastAsia="en-GB"/>
    </w:rPr>
  </w:style>
  <w:style w:type="paragraph" w:customStyle="1" w:styleId="ListNumber1">
    <w:name w:val="List Number 1"/>
    <w:basedOn w:val="Text1"/>
    <w:rsid w:val="0047629D"/>
    <w:pPr>
      <w:numPr>
        <w:numId w:val="10"/>
      </w:numPr>
    </w:pPr>
    <w:rPr>
      <w:rFonts w:eastAsia="Times New Roman"/>
      <w:lang w:val="fr-FR" w:eastAsia="en-GB"/>
    </w:rPr>
  </w:style>
  <w:style w:type="paragraph" w:customStyle="1" w:styleId="ListNumber1Level2">
    <w:name w:val="List Number 1 (Level 2)"/>
    <w:basedOn w:val="Text1"/>
    <w:rsid w:val="0047629D"/>
    <w:pPr>
      <w:numPr>
        <w:ilvl w:val="1"/>
        <w:numId w:val="10"/>
      </w:numPr>
    </w:pPr>
    <w:rPr>
      <w:rFonts w:eastAsia="Times New Roman"/>
      <w:lang w:val="fr-FR" w:eastAsia="en-GB"/>
    </w:rPr>
  </w:style>
  <w:style w:type="paragraph" w:customStyle="1" w:styleId="ListNumber2Level2">
    <w:name w:val="List Number 2 (Level 2)"/>
    <w:basedOn w:val="Text2"/>
    <w:rsid w:val="0047629D"/>
    <w:pPr>
      <w:numPr>
        <w:ilvl w:val="1"/>
        <w:numId w:val="11"/>
      </w:numPr>
    </w:pPr>
    <w:rPr>
      <w:rFonts w:eastAsia="Times New Roman"/>
      <w:lang w:val="fr-FR" w:eastAsia="en-GB"/>
    </w:rPr>
  </w:style>
  <w:style w:type="paragraph" w:customStyle="1" w:styleId="ListNumber3Level2">
    <w:name w:val="List Number 3 (Level 2)"/>
    <w:basedOn w:val="Text3"/>
    <w:rsid w:val="0047629D"/>
    <w:pPr>
      <w:numPr>
        <w:ilvl w:val="1"/>
        <w:numId w:val="12"/>
      </w:numPr>
    </w:pPr>
    <w:rPr>
      <w:rFonts w:eastAsia="Times New Roman"/>
      <w:lang w:val="fr-FR" w:eastAsia="en-GB"/>
    </w:rPr>
  </w:style>
  <w:style w:type="paragraph" w:customStyle="1" w:styleId="ListNumber4Level2">
    <w:name w:val="List Number 4 (Level 2)"/>
    <w:basedOn w:val="Text4"/>
    <w:rsid w:val="0047629D"/>
    <w:pPr>
      <w:numPr>
        <w:ilvl w:val="1"/>
        <w:numId w:val="13"/>
      </w:numPr>
    </w:pPr>
    <w:rPr>
      <w:rFonts w:eastAsia="Times New Roman"/>
      <w:lang w:val="fr-FR" w:eastAsia="en-GB"/>
    </w:rPr>
  </w:style>
  <w:style w:type="paragraph" w:customStyle="1" w:styleId="ListNumber1Level3">
    <w:name w:val="List Number 1 (Level 3)"/>
    <w:basedOn w:val="Text1"/>
    <w:rsid w:val="0047629D"/>
    <w:pPr>
      <w:numPr>
        <w:ilvl w:val="2"/>
        <w:numId w:val="10"/>
      </w:numPr>
    </w:pPr>
    <w:rPr>
      <w:rFonts w:eastAsia="Times New Roman"/>
      <w:lang w:val="fr-FR" w:eastAsia="en-GB"/>
    </w:rPr>
  </w:style>
  <w:style w:type="paragraph" w:customStyle="1" w:styleId="ListNumber2Level3">
    <w:name w:val="List Number 2 (Level 3)"/>
    <w:basedOn w:val="Text2"/>
    <w:rsid w:val="0047629D"/>
    <w:pPr>
      <w:numPr>
        <w:ilvl w:val="2"/>
        <w:numId w:val="11"/>
      </w:numPr>
    </w:pPr>
    <w:rPr>
      <w:rFonts w:eastAsia="Times New Roman"/>
      <w:lang w:val="fr-FR" w:eastAsia="en-GB"/>
    </w:rPr>
  </w:style>
  <w:style w:type="paragraph" w:customStyle="1" w:styleId="ListNumber3Level3">
    <w:name w:val="List Number 3 (Level 3)"/>
    <w:basedOn w:val="Text3"/>
    <w:rsid w:val="0047629D"/>
    <w:pPr>
      <w:numPr>
        <w:ilvl w:val="2"/>
        <w:numId w:val="12"/>
      </w:numPr>
    </w:pPr>
    <w:rPr>
      <w:rFonts w:eastAsia="Times New Roman"/>
      <w:lang w:val="fr-FR" w:eastAsia="en-GB"/>
    </w:rPr>
  </w:style>
  <w:style w:type="paragraph" w:customStyle="1" w:styleId="ListNumber4Level3">
    <w:name w:val="List Number 4 (Level 3)"/>
    <w:basedOn w:val="Text4"/>
    <w:rsid w:val="0047629D"/>
    <w:pPr>
      <w:numPr>
        <w:ilvl w:val="2"/>
        <w:numId w:val="13"/>
      </w:numPr>
    </w:pPr>
    <w:rPr>
      <w:rFonts w:eastAsia="Times New Roman"/>
      <w:lang w:val="fr-FR" w:eastAsia="en-GB"/>
    </w:rPr>
  </w:style>
  <w:style w:type="paragraph" w:customStyle="1" w:styleId="ListNumber1Level4">
    <w:name w:val="List Number 1 (Level 4)"/>
    <w:basedOn w:val="Text1"/>
    <w:rsid w:val="0047629D"/>
    <w:pPr>
      <w:numPr>
        <w:ilvl w:val="3"/>
        <w:numId w:val="10"/>
      </w:numPr>
    </w:pPr>
    <w:rPr>
      <w:rFonts w:eastAsia="Times New Roman"/>
      <w:lang w:val="fr-FR" w:eastAsia="en-GB"/>
    </w:rPr>
  </w:style>
  <w:style w:type="paragraph" w:customStyle="1" w:styleId="ListNumber2Level4">
    <w:name w:val="List Number 2 (Level 4)"/>
    <w:basedOn w:val="Text2"/>
    <w:rsid w:val="0047629D"/>
    <w:pPr>
      <w:numPr>
        <w:ilvl w:val="3"/>
        <w:numId w:val="11"/>
      </w:numPr>
    </w:pPr>
    <w:rPr>
      <w:rFonts w:eastAsia="Times New Roman"/>
      <w:lang w:val="fr-FR" w:eastAsia="en-GB"/>
    </w:rPr>
  </w:style>
  <w:style w:type="paragraph" w:customStyle="1" w:styleId="ListNumber3Level4">
    <w:name w:val="List Number 3 (Level 4)"/>
    <w:basedOn w:val="Text3"/>
    <w:rsid w:val="0047629D"/>
    <w:pPr>
      <w:numPr>
        <w:ilvl w:val="3"/>
        <w:numId w:val="12"/>
      </w:numPr>
    </w:pPr>
    <w:rPr>
      <w:rFonts w:eastAsia="Times New Roman"/>
      <w:lang w:val="fr-FR" w:eastAsia="en-GB"/>
    </w:rPr>
  </w:style>
  <w:style w:type="paragraph" w:customStyle="1" w:styleId="ListNumber4Level4">
    <w:name w:val="List Number 4 (Level 4)"/>
    <w:basedOn w:val="Text4"/>
    <w:rsid w:val="0047629D"/>
    <w:pPr>
      <w:numPr>
        <w:ilvl w:val="3"/>
        <w:numId w:val="13"/>
      </w:numPr>
    </w:pPr>
    <w:rPr>
      <w:rFonts w:eastAsia="Times New Roman"/>
      <w:lang w:val="fr-FR" w:eastAsia="en-GB"/>
    </w:rPr>
  </w:style>
  <w:style w:type="paragraph" w:customStyle="1" w:styleId="Annexetitreacte">
    <w:name w:val="Annexe titre (acte)"/>
    <w:basedOn w:val="Normal"/>
    <w:next w:val="Normal"/>
    <w:rsid w:val="0047629D"/>
    <w:pPr>
      <w:jc w:val="center"/>
    </w:pPr>
    <w:rPr>
      <w:rFonts w:eastAsia="Times New Roman"/>
      <w:b/>
      <w:u w:val="single"/>
      <w:lang w:val="fr-FR" w:eastAsia="en-GB"/>
    </w:rPr>
  </w:style>
  <w:style w:type="paragraph" w:customStyle="1" w:styleId="Annexetitreexposglobal">
    <w:name w:val="Annexe titre (exposé global)"/>
    <w:basedOn w:val="Normal"/>
    <w:next w:val="Normal"/>
    <w:rsid w:val="0047629D"/>
    <w:pPr>
      <w:jc w:val="center"/>
    </w:pPr>
    <w:rPr>
      <w:rFonts w:eastAsia="Times New Roman"/>
      <w:b/>
      <w:u w:val="single"/>
      <w:lang w:val="fr-FR" w:eastAsia="en-GB"/>
    </w:rPr>
  </w:style>
  <w:style w:type="paragraph" w:customStyle="1" w:styleId="Annexetitrefichefinacte">
    <w:name w:val="Annexe titre (fiche fin. acte)"/>
    <w:basedOn w:val="Normal"/>
    <w:next w:val="Normal"/>
    <w:rsid w:val="0047629D"/>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47629D"/>
    <w:pPr>
      <w:jc w:val="center"/>
    </w:pPr>
    <w:rPr>
      <w:rFonts w:eastAsia="Times New Roman"/>
      <w:b/>
      <w:u w:val="single"/>
      <w:lang w:val="fr-FR" w:eastAsia="en-GB"/>
    </w:rPr>
  </w:style>
  <w:style w:type="paragraph" w:customStyle="1" w:styleId="Annexetitreglobale">
    <w:name w:val="Annexe titre (globale)"/>
    <w:basedOn w:val="Normal"/>
    <w:next w:val="Normal"/>
    <w:rsid w:val="0047629D"/>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47629D"/>
    <w:pPr>
      <w:jc w:val="center"/>
    </w:pPr>
    <w:rPr>
      <w:rFonts w:eastAsia="Times New Roman"/>
      <w:b/>
      <w:u w:val="single"/>
      <w:lang w:val="fr-FR" w:eastAsia="en-GB"/>
    </w:rPr>
  </w:style>
  <w:style w:type="paragraph" w:customStyle="1" w:styleId="Langueoriginale">
    <w:name w:val="Langue originale"/>
    <w:basedOn w:val="Normal"/>
    <w:rsid w:val="0047629D"/>
    <w:pPr>
      <w:spacing w:before="360"/>
      <w:jc w:val="center"/>
    </w:pPr>
    <w:rPr>
      <w:rFonts w:eastAsia="Times New Roman"/>
      <w:caps/>
      <w:lang w:val="fr-FR" w:eastAsia="en-GB"/>
    </w:rPr>
  </w:style>
  <w:style w:type="paragraph" w:customStyle="1" w:styleId="Phrasefinale">
    <w:name w:val="Phrase finale"/>
    <w:basedOn w:val="Normal"/>
    <w:next w:val="Normal"/>
    <w:rsid w:val="0047629D"/>
    <w:pPr>
      <w:spacing w:before="360" w:after="0"/>
      <w:jc w:val="center"/>
    </w:pPr>
    <w:rPr>
      <w:rFonts w:eastAsia="Times New Roman"/>
      <w:lang w:val="fr-FR" w:eastAsia="en-GB"/>
    </w:rPr>
  </w:style>
  <w:style w:type="paragraph" w:customStyle="1" w:styleId="Prliminairetitre">
    <w:name w:val="Préliminaire titre"/>
    <w:basedOn w:val="Normal"/>
    <w:next w:val="Normal"/>
    <w:rsid w:val="0047629D"/>
    <w:pPr>
      <w:spacing w:before="360" w:after="360"/>
      <w:jc w:val="center"/>
    </w:pPr>
    <w:rPr>
      <w:rFonts w:eastAsia="Times New Roman"/>
      <w:b/>
      <w:lang w:val="fr-FR" w:eastAsia="en-GB"/>
    </w:rPr>
  </w:style>
  <w:style w:type="paragraph" w:customStyle="1" w:styleId="Prliminairetype">
    <w:name w:val="Préliminaire type"/>
    <w:basedOn w:val="Normal"/>
    <w:next w:val="Normal"/>
    <w:rsid w:val="0047629D"/>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47629D"/>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47629D"/>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47629D"/>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47629D"/>
    <w:pPr>
      <w:spacing w:before="0" w:after="0"/>
      <w:jc w:val="center"/>
    </w:pPr>
    <w:rPr>
      <w:rFonts w:eastAsia="Times New Roman"/>
      <w:b/>
      <w:lang w:val="fr-FR" w:eastAsia="en-GB"/>
    </w:rPr>
  </w:style>
  <w:style w:type="paragraph" w:customStyle="1" w:styleId="Statutprliminaire">
    <w:name w:val="Statut (préliminaire)"/>
    <w:basedOn w:val="Normal"/>
    <w:next w:val="Normal"/>
    <w:rsid w:val="0047629D"/>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47629D"/>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47629D"/>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47629D"/>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47629D"/>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47629D"/>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47629D"/>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47629D"/>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47629D"/>
    <w:pPr>
      <w:jc w:val="center"/>
    </w:pPr>
    <w:rPr>
      <w:rFonts w:eastAsia="Times New Roman"/>
      <w:b/>
      <w:u w:val="single"/>
      <w:lang w:val="fr-FR" w:eastAsia="en-GB"/>
    </w:rPr>
  </w:style>
  <w:style w:type="character" w:styleId="CommentReference">
    <w:name w:val="annotation reference"/>
    <w:rsid w:val="0047629D"/>
    <w:rPr>
      <w:rFonts w:cs="Times New Roman"/>
      <w:sz w:val="16"/>
      <w:szCs w:val="16"/>
    </w:rPr>
  </w:style>
  <w:style w:type="paragraph" w:styleId="CommentText">
    <w:name w:val="annotation text"/>
    <w:aliases w:val="Char2"/>
    <w:basedOn w:val="Normal"/>
    <w:link w:val="CommentTextChar"/>
    <w:qFormat/>
    <w:rsid w:val="0047629D"/>
    <w:rPr>
      <w:rFonts w:eastAsia="Times New Roman"/>
      <w:sz w:val="20"/>
      <w:szCs w:val="20"/>
      <w:lang w:val="fr-FR" w:eastAsia="en-GB"/>
    </w:rPr>
  </w:style>
  <w:style w:type="character" w:customStyle="1" w:styleId="CommentTextChar">
    <w:name w:val="Comment Text Char"/>
    <w:aliases w:val="Char2 Char"/>
    <w:basedOn w:val="DefaultParagraphFont"/>
    <w:link w:val="CommentText"/>
    <w:rsid w:val="0047629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47629D"/>
    <w:rPr>
      <w:b/>
      <w:bCs/>
    </w:rPr>
  </w:style>
  <w:style w:type="character" w:customStyle="1" w:styleId="CommentSubjectChar">
    <w:name w:val="Comment Subject Char"/>
    <w:basedOn w:val="CommentTextChar"/>
    <w:link w:val="CommentSubject"/>
    <w:rsid w:val="0047629D"/>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47629D"/>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47629D"/>
    <w:rPr>
      <w:rFonts w:ascii="Tahoma" w:eastAsia="Times New Roman" w:hAnsi="Tahoma" w:cs="Tahoma"/>
      <w:sz w:val="16"/>
      <w:szCs w:val="16"/>
      <w:lang w:val="fr-FR" w:eastAsia="en-GB"/>
    </w:rPr>
  </w:style>
  <w:style w:type="paragraph" w:styleId="Caption">
    <w:name w:val="caption"/>
    <w:basedOn w:val="Normal"/>
    <w:next w:val="Normal"/>
    <w:qFormat/>
    <w:rsid w:val="0047629D"/>
    <w:rPr>
      <w:rFonts w:eastAsia="Times New Roman"/>
      <w:b/>
      <w:bCs/>
      <w:sz w:val="20"/>
      <w:szCs w:val="20"/>
      <w:lang w:val="fr-FR" w:eastAsia="en-GB"/>
    </w:rPr>
  </w:style>
  <w:style w:type="paragraph" w:styleId="TableofFigures">
    <w:name w:val="table of figures"/>
    <w:basedOn w:val="Normal"/>
    <w:next w:val="Normal"/>
    <w:rsid w:val="0047629D"/>
    <w:rPr>
      <w:rFonts w:eastAsia="Times New Roman"/>
      <w:lang w:val="fr-FR" w:eastAsia="en-GB"/>
    </w:rPr>
  </w:style>
  <w:style w:type="character" w:styleId="PageNumber">
    <w:name w:val="page number"/>
    <w:rsid w:val="0047629D"/>
  </w:style>
  <w:style w:type="character" w:customStyle="1" w:styleId="tw4winMark">
    <w:name w:val="tw4winMark"/>
    <w:rsid w:val="0047629D"/>
    <w:rPr>
      <w:vanish/>
      <w:color w:val="800080"/>
      <w:vertAlign w:val="subscript"/>
    </w:rPr>
  </w:style>
  <w:style w:type="character" w:styleId="FollowedHyperlink">
    <w:name w:val="FollowedHyperlink"/>
    <w:rsid w:val="0047629D"/>
    <w:rPr>
      <w:color w:val="800080"/>
      <w:u w:val="single"/>
    </w:rPr>
  </w:style>
  <w:style w:type="paragraph" w:customStyle="1" w:styleId="Sous-titreobjet">
    <w:name w:val="Sous-titre objet"/>
    <w:basedOn w:val="Normal"/>
    <w:rsid w:val="0047629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7629D"/>
  </w:style>
  <w:style w:type="paragraph" w:styleId="Revision">
    <w:name w:val="Revision"/>
    <w:hidden/>
    <w:uiPriority w:val="99"/>
    <w:semiHidden/>
    <w:rsid w:val="0047629D"/>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47629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47629D"/>
    <w:rPr>
      <w:rFonts w:ascii="Times New Roman" w:hAnsi="Times New Roman" w:cs="Times New Roman"/>
      <w:b/>
      <w:sz w:val="28"/>
      <w:lang w:val="en-GB"/>
    </w:rPr>
  </w:style>
  <w:style w:type="character" w:customStyle="1" w:styleId="FooterCoverPageChar">
    <w:name w:val="Footer Cover Page Char"/>
    <w:link w:val="FooterCoverPage"/>
    <w:rsid w:val="0047629D"/>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47629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47629D"/>
    <w:rPr>
      <w:rFonts w:ascii="Times New Roman" w:eastAsia="Calibri" w:hAnsi="Times New Roman" w:cs="Times New Roman"/>
      <w:sz w:val="24"/>
      <w:lang w:val="en-GB" w:eastAsia="en-GB"/>
    </w:rPr>
  </w:style>
  <w:style w:type="paragraph" w:styleId="ListParagraph">
    <w:name w:val="List Paragraph"/>
    <w:basedOn w:val="Normal"/>
    <w:uiPriority w:val="34"/>
    <w:qFormat/>
    <w:rsid w:val="00EE492F"/>
    <w:pPr>
      <w:ind w:left="720"/>
      <w:contextualSpacing/>
    </w:pPr>
  </w:style>
  <w:style w:type="paragraph" w:customStyle="1" w:styleId="Default">
    <w:name w:val="Default"/>
    <w:rsid w:val="002821B9"/>
    <w:pPr>
      <w:autoSpaceDE w:val="0"/>
      <w:autoSpaceDN w:val="0"/>
      <w:adjustRightInd w:val="0"/>
      <w:spacing w:after="0" w:line="240" w:lineRule="auto"/>
    </w:pPr>
    <w:rPr>
      <w:rFonts w:ascii="Times New Roman" w:hAnsi="Times New Roman" w:cs="Times New Roman"/>
      <w:color w:val="000000"/>
      <w:sz w:val="24"/>
      <w:szCs w:val="24"/>
      <w:lang w:val="en-GB"/>
    </w:rPr>
  </w:style>
  <w:style w:type="table" w:customStyle="1" w:styleId="Table11">
    <w:name w:val="Table 11"/>
    <w:basedOn w:val="TableNormal"/>
    <w:uiPriority w:val="99"/>
    <w:rsid w:val="002821B9"/>
    <w:pPr>
      <w:spacing w:after="0" w:line="240" w:lineRule="auto"/>
      <w:jc w:val="center"/>
    </w:pPr>
    <w:rPr>
      <w:rFonts w:ascii="Trebuchet MS" w:hAnsi="Trebuchet MS"/>
      <w:sz w:val="16"/>
      <w:szCs w:val="20"/>
      <w:lang w:val="en-GB" w:eastAsia="fr-BE"/>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paragraph" w:customStyle="1" w:styleId="foonote">
    <w:name w:val="foonote"/>
    <w:basedOn w:val="FootnoteText"/>
    <w:link w:val="foonoteChar"/>
    <w:qFormat/>
    <w:rsid w:val="00BE0263"/>
    <w:pPr>
      <w:ind w:left="0" w:firstLine="0"/>
      <w:jc w:val="left"/>
    </w:pPr>
    <w:rPr>
      <w:rFonts w:eastAsia="Calibri"/>
      <w:sz w:val="16"/>
      <w:szCs w:val="16"/>
      <w:lang w:val="en-US"/>
    </w:rPr>
  </w:style>
  <w:style w:type="character" w:customStyle="1" w:styleId="foonoteChar">
    <w:name w:val="foonote Char"/>
    <w:basedOn w:val="DefaultParagraphFont"/>
    <w:link w:val="foonote"/>
    <w:rsid w:val="00BE0263"/>
    <w:rPr>
      <w:rFonts w:ascii="Times New Roman" w:eastAsia="Calibri" w:hAnsi="Times New Roman" w:cs="Times New Roman"/>
      <w:sz w:val="16"/>
      <w:szCs w:val="16"/>
    </w:rPr>
  </w:style>
  <w:style w:type="table" w:customStyle="1" w:styleId="TableGrid1">
    <w:name w:val="Table Grid1"/>
    <w:basedOn w:val="TableNormal"/>
    <w:next w:val="TableGrid"/>
    <w:rsid w:val="00BE0263"/>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31E72"/>
    <w:rPr>
      <w:color w:val="605E5C"/>
      <w:shd w:val="clear" w:color="auto" w:fill="E1DFDD"/>
    </w:rPr>
  </w:style>
  <w:style w:type="numbering" w:customStyle="1" w:styleId="NoList1">
    <w:name w:val="No List1"/>
    <w:next w:val="NoList"/>
    <w:uiPriority w:val="99"/>
    <w:semiHidden/>
    <w:unhideWhenUsed/>
    <w:rsid w:val="004723CD"/>
  </w:style>
  <w:style w:type="table" w:customStyle="1" w:styleId="TableGrid2">
    <w:name w:val="Table Grid2"/>
    <w:basedOn w:val="TableNormal"/>
    <w:next w:val="TableGrid"/>
    <w:rsid w:val="004723CD"/>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11">
    <w:name w:val="Table 111"/>
    <w:basedOn w:val="TableNormal"/>
    <w:uiPriority w:val="99"/>
    <w:rsid w:val="004723CD"/>
    <w:pPr>
      <w:spacing w:after="0" w:line="240" w:lineRule="auto"/>
      <w:jc w:val="center"/>
    </w:pPr>
    <w:rPr>
      <w:rFonts w:ascii="Trebuchet MS" w:hAnsi="Trebuchet MS"/>
      <w:sz w:val="16"/>
      <w:szCs w:val="20"/>
      <w:lang w:val="en-GB" w:eastAsia="fr-BE"/>
    </w:rPr>
    <w:tblPr>
      <w:tblInd w:w="567" w:type="dxa"/>
      <w:tblBorders>
        <w:top w:val="single" w:sz="4" w:space="0" w:color="005962"/>
        <w:left w:val="single" w:sz="4" w:space="0" w:color="005962"/>
        <w:bottom w:val="single" w:sz="4" w:space="0" w:color="005962"/>
        <w:right w:val="single" w:sz="4" w:space="0" w:color="005962"/>
        <w:insideH w:val="single" w:sz="4" w:space="0" w:color="005962"/>
        <w:insideV w:val="single" w:sz="4" w:space="0" w:color="005962"/>
      </w:tblBorders>
    </w:tblPr>
    <w:tcPr>
      <w:shd w:val="clear" w:color="auto" w:fill="auto"/>
      <w:vAlign w:val="center"/>
    </w:tcPr>
    <w:tblStylePr w:type="firstRow">
      <w:pPr>
        <w:jc w:val="center"/>
      </w:pPr>
      <w:rPr>
        <w:rFonts w:ascii="___WRD_EMBED_SUB_178" w:hAnsi="___WRD_EMBED_SUB_178"/>
        <w:b/>
        <w:color w:val="FFFFFF"/>
        <w:sz w:val="16"/>
      </w:rPr>
      <w:tblPr/>
      <w:tcPr>
        <w:shd w:val="clear" w:color="auto" w:fill="005962"/>
      </w:tcPr>
    </w:tblStylePr>
    <w:tblStylePr w:type="firstCol">
      <w:pPr>
        <w:wordWrap/>
        <w:jc w:val="left"/>
        <w:outlineLvl w:val="9"/>
      </w:pPr>
    </w:tblStylePr>
  </w:style>
  <w:style w:type="table" w:customStyle="1" w:styleId="TableGrid11">
    <w:name w:val="Table Grid11"/>
    <w:basedOn w:val="TableNormal"/>
    <w:next w:val="TableGrid"/>
    <w:rsid w:val="004723CD"/>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1C0111"/>
    <w:rPr>
      <w:rFonts w:asciiTheme="majorHAnsi" w:eastAsiaTheme="majorEastAsia" w:hAnsiTheme="majorHAnsi" w:cstheme="majorBidi"/>
      <w:color w:val="272727" w:themeColor="text1" w:themeTint="D8"/>
      <w:sz w:val="21"/>
      <w:szCs w:val="21"/>
      <w:lang w:val="en-GB" w:eastAsia="en-GB"/>
    </w:rPr>
  </w:style>
  <w:style w:type="numbering" w:customStyle="1" w:styleId="NoList2">
    <w:name w:val="No List2"/>
    <w:next w:val="NoList"/>
    <w:uiPriority w:val="99"/>
    <w:semiHidden/>
    <w:unhideWhenUsed/>
    <w:rsid w:val="001C0111"/>
  </w:style>
  <w:style w:type="character" w:customStyle="1" w:styleId="normaltextrun">
    <w:name w:val="normaltextrun"/>
    <w:basedOn w:val="DefaultParagraphFont"/>
    <w:rsid w:val="001C0111"/>
  </w:style>
  <w:style w:type="paragraph" w:styleId="List2">
    <w:name w:val="List 2"/>
    <w:basedOn w:val="Normal"/>
    <w:uiPriority w:val="99"/>
    <w:unhideWhenUsed/>
    <w:rsid w:val="001C0111"/>
    <w:pPr>
      <w:ind w:left="566" w:hanging="283"/>
      <w:contextualSpacing/>
    </w:pPr>
    <w:rPr>
      <w:lang w:eastAsia="en-GB"/>
    </w:rPr>
  </w:style>
  <w:style w:type="paragraph" w:styleId="Title">
    <w:name w:val="Title"/>
    <w:basedOn w:val="Normal"/>
    <w:next w:val="Normal"/>
    <w:link w:val="TitleChar"/>
    <w:uiPriority w:val="10"/>
    <w:qFormat/>
    <w:rsid w:val="001C0111"/>
    <w:pPr>
      <w:spacing w:before="0" w:after="0"/>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1C0111"/>
    <w:rPr>
      <w:rFonts w:asciiTheme="majorHAnsi" w:eastAsiaTheme="majorEastAsia" w:hAnsiTheme="majorHAnsi" w:cstheme="majorBidi"/>
      <w:spacing w:val="-10"/>
      <w:kern w:val="28"/>
      <w:sz w:val="56"/>
      <w:szCs w:val="56"/>
      <w:lang w:val="en-GB" w:eastAsia="en-GB"/>
    </w:rPr>
  </w:style>
  <w:style w:type="paragraph" w:styleId="BodyText">
    <w:name w:val="Body Text"/>
    <w:basedOn w:val="Normal"/>
    <w:link w:val="BodyTextChar"/>
    <w:uiPriority w:val="99"/>
    <w:unhideWhenUsed/>
    <w:rsid w:val="001C0111"/>
    <w:rPr>
      <w:lang w:eastAsia="en-GB"/>
    </w:rPr>
  </w:style>
  <w:style w:type="character" w:customStyle="1" w:styleId="BodyTextChar">
    <w:name w:val="Body Text Char"/>
    <w:basedOn w:val="DefaultParagraphFont"/>
    <w:link w:val="BodyText"/>
    <w:uiPriority w:val="99"/>
    <w:rsid w:val="001C0111"/>
    <w:rPr>
      <w:rFonts w:ascii="Times New Roman" w:hAnsi="Times New Roman" w:cs="Times New Roman"/>
      <w:sz w:val="24"/>
      <w:lang w:val="en-GB" w:eastAsia="en-GB"/>
    </w:rPr>
  </w:style>
  <w:style w:type="paragraph" w:styleId="BodyTextIndent">
    <w:name w:val="Body Text Indent"/>
    <w:basedOn w:val="Normal"/>
    <w:link w:val="BodyTextIndentChar"/>
    <w:uiPriority w:val="99"/>
    <w:unhideWhenUsed/>
    <w:rsid w:val="001C0111"/>
    <w:pPr>
      <w:ind w:left="283"/>
    </w:pPr>
    <w:rPr>
      <w:lang w:eastAsia="en-GB"/>
    </w:rPr>
  </w:style>
  <w:style w:type="character" w:customStyle="1" w:styleId="BodyTextIndentChar">
    <w:name w:val="Body Text Indent Char"/>
    <w:basedOn w:val="DefaultParagraphFont"/>
    <w:link w:val="BodyTextIndent"/>
    <w:uiPriority w:val="99"/>
    <w:rsid w:val="001C0111"/>
    <w:rPr>
      <w:rFonts w:ascii="Times New Roman" w:hAnsi="Times New Roman" w:cs="Times New Roman"/>
      <w:sz w:val="24"/>
      <w:lang w:val="en-GB" w:eastAsia="en-GB"/>
    </w:rPr>
  </w:style>
  <w:style w:type="paragraph" w:styleId="BodyTextFirstIndent2">
    <w:name w:val="Body Text First Indent 2"/>
    <w:basedOn w:val="BodyTextIndent"/>
    <w:link w:val="BodyTextFirstIndent2Char"/>
    <w:uiPriority w:val="99"/>
    <w:unhideWhenUsed/>
    <w:rsid w:val="001C0111"/>
    <w:pPr>
      <w:ind w:left="360" w:firstLine="360"/>
    </w:pPr>
  </w:style>
  <w:style w:type="character" w:customStyle="1" w:styleId="BodyTextFirstIndent2Char">
    <w:name w:val="Body Text First Indent 2 Char"/>
    <w:basedOn w:val="BodyTextIndentChar"/>
    <w:link w:val="BodyTextFirstIndent2"/>
    <w:uiPriority w:val="99"/>
    <w:rsid w:val="001C0111"/>
    <w:rPr>
      <w:rFonts w:ascii="Times New Roman" w:hAnsi="Times New Roman" w:cs="Times New Roman"/>
      <w:sz w:val="24"/>
      <w:lang w:val="en-GB" w:eastAsia="en-GB"/>
    </w:rPr>
  </w:style>
  <w:style w:type="character" w:customStyle="1" w:styleId="UnresolvedMention">
    <w:name w:val="Unresolved Mention"/>
    <w:basedOn w:val="DefaultParagraphFont"/>
    <w:uiPriority w:val="99"/>
    <w:semiHidden/>
    <w:unhideWhenUsed/>
    <w:rsid w:val="001C0111"/>
    <w:rPr>
      <w:color w:val="605E5C"/>
      <w:shd w:val="clear" w:color="auto" w:fill="E1DFDD"/>
    </w:rPr>
  </w:style>
  <w:style w:type="character" w:styleId="LineNumber">
    <w:name w:val="line number"/>
    <w:basedOn w:val="DefaultParagraphFont"/>
    <w:uiPriority w:val="99"/>
    <w:semiHidden/>
    <w:unhideWhenUsed/>
    <w:rsid w:val="00EB4A15"/>
  </w:style>
  <w:style w:type="paragraph" w:styleId="Header">
    <w:name w:val="header"/>
    <w:basedOn w:val="Normal"/>
    <w:link w:val="HeaderChar"/>
    <w:uiPriority w:val="99"/>
    <w:unhideWhenUsed/>
    <w:rsid w:val="00A71C3C"/>
    <w:pPr>
      <w:tabs>
        <w:tab w:val="center" w:pos="4535"/>
        <w:tab w:val="right" w:pos="9071"/>
      </w:tabs>
      <w:spacing w:before="0"/>
    </w:pPr>
  </w:style>
  <w:style w:type="character" w:customStyle="1" w:styleId="HeaderChar">
    <w:name w:val="Header Char"/>
    <w:basedOn w:val="DefaultParagraphFont"/>
    <w:link w:val="Header"/>
    <w:uiPriority w:val="99"/>
    <w:rsid w:val="00A71C3C"/>
    <w:rPr>
      <w:rFonts w:ascii="Times New Roman" w:hAnsi="Times New Roman" w:cs="Times New Roman"/>
      <w:sz w:val="24"/>
      <w:lang w:val="en-GB"/>
    </w:rPr>
  </w:style>
  <w:style w:type="paragraph" w:styleId="Footer">
    <w:name w:val="footer"/>
    <w:basedOn w:val="Normal"/>
    <w:link w:val="FooterChar"/>
    <w:uiPriority w:val="99"/>
    <w:unhideWhenUsed/>
    <w:rsid w:val="00A71C3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71C3C"/>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71C3C"/>
    <w:pPr>
      <w:tabs>
        <w:tab w:val="center" w:pos="7285"/>
        <w:tab w:val="right" w:pos="14003"/>
      </w:tabs>
      <w:spacing w:before="0"/>
    </w:pPr>
  </w:style>
  <w:style w:type="paragraph" w:customStyle="1" w:styleId="FooterLandscape">
    <w:name w:val="FooterLandscape"/>
    <w:basedOn w:val="Normal"/>
    <w:rsid w:val="00A71C3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71C3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71C3C"/>
    <w:pPr>
      <w:spacing w:before="0"/>
      <w:jc w:val="right"/>
    </w:pPr>
    <w:rPr>
      <w:sz w:val="28"/>
    </w:rPr>
  </w:style>
  <w:style w:type="paragraph" w:customStyle="1" w:styleId="FooterSensitivity">
    <w:name w:val="Footer Sensitivity"/>
    <w:basedOn w:val="Normal"/>
    <w:rsid w:val="00A71C3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8C38D2"/>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09572">
      <w:bodyDiv w:val="1"/>
      <w:marLeft w:val="0"/>
      <w:marRight w:val="0"/>
      <w:marTop w:val="0"/>
      <w:marBottom w:val="0"/>
      <w:divBdr>
        <w:top w:val="none" w:sz="0" w:space="0" w:color="auto"/>
        <w:left w:val="none" w:sz="0" w:space="0" w:color="auto"/>
        <w:bottom w:val="none" w:sz="0" w:space="0" w:color="auto"/>
        <w:right w:val="none" w:sz="0" w:space="0" w:color="auto"/>
      </w:divBdr>
    </w:div>
    <w:div w:id="20872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55"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corp/budget/financial-rules/legal-framework/internal-rules/Documents/2021-5-legislative-financial-statement-ann-en.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56"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s://circabc.europa.eu/ui/group/9ab5926d-bed4-4322-9aa7-9964bbe8312d/library/3eaafe7c-0857-47d4-a896-8022df48d3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DocumentLanguage xmlns="13a9b140-5058-467c-a988-17cc8299bf60">EN</EC_Collab_DocumentLanguage>
    <EC_Collab_Reference xmlns="13a9b140-5058-467c-a988-17cc8299bf6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967C-DBDE-4027-865F-CAA96F6B6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36103-F325-4E00-85E5-8EB7CE265788}">
  <ds:schemaRefs>
    <ds:schemaRef ds:uri="http://schemas.microsoft.com/sharepoint/v3/contenttype/forms"/>
  </ds:schemaRefs>
</ds:datastoreItem>
</file>

<file path=customXml/itemProps3.xml><?xml version="1.0" encoding="utf-8"?>
<ds:datastoreItem xmlns:ds="http://schemas.openxmlformats.org/officeDocument/2006/customXml" ds:itemID="{1DAC8391-98AE-4066-B907-9B45DDA5A559}">
  <ds:schemaRefs>
    <ds:schemaRef ds:uri="http://purl.org/dc/terms/"/>
    <ds:schemaRef ds:uri="b196367b-4f7f-4dcb-a98c-0b47782146f3"/>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3a9b140-5058-467c-a988-17cc8299bf60"/>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73308071-40FF-4DCE-877E-68EF84CB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73</Pages>
  <Words>31041</Words>
  <Characters>170731</Characters>
  <Application>Microsoft Office Word</Application>
  <DocSecurity>0</DocSecurity>
  <Lines>3880</Lines>
  <Paragraphs>1601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2022-10-19T12:35:00Z</cp:lastPrinted>
  <dcterms:created xsi:type="dcterms:W3CDTF">2022-10-25T14:30:00Z</dcterms:created>
  <dcterms:modified xsi:type="dcterms:W3CDTF">2022-10-25T16:08:00Z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MSIP_Label_6bd9ddd1-4d20-43f6-abfa-fc3c07406f94_Enabled">
    <vt:lpwstr>true</vt:lpwstr>
  </property>
  <property fmtid="{D5CDD505-2E9C-101B-9397-08002B2CF9AE}" pid="11" name="MSIP_Label_6bd9ddd1-4d20-43f6-abfa-fc3c07406f94_SetDate">
    <vt:lpwstr>2022-06-01T09:43:36Z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0c0ab33c-dc82-43c7-a362-a3fd34c7cb32</vt:lpwstr>
  </property>
  <property fmtid="{D5CDD505-2E9C-101B-9397-08002B2CF9AE}" pid="16" name="MSIP_Label_6bd9ddd1-4d20-43f6-abfa-fc3c07406f94_ContentBits">
    <vt:lpwstr>0</vt:lpwstr>
  </property>
  <property fmtid="{D5CDD505-2E9C-101B-9397-08002B2CF9AE}" pid="17" name="_DocHome">
    <vt:i4>1791714374</vt:i4>
  </property>
  <property fmtid="{D5CDD505-2E9C-101B-9397-08002B2CF9AE}" pid="18" name="ContentTypeId">
    <vt:lpwstr>0x010100258AA79CEB83498886A3A08681123250004EE8C8EE09F49B46AF0F503B2185EF16</vt:lpwstr>
  </property>
  <property fmtid="{D5CDD505-2E9C-101B-9397-08002B2CF9AE}" pid="19" name="DQCStatus">
    <vt:lpwstr>Yellow (DQC version 03)</vt:lpwstr>
  </property>
</Properties>
</file>