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BD4" w:rsidRDefault="00134ED5" w:rsidP="00134ED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804CBBE-875B-4146-99FE-04A732D85661" style="width:455.25pt;height:355.5pt">
            <v:imagedata r:id="rId8" o:title=""/>
          </v:shape>
        </w:pict>
      </w:r>
    </w:p>
    <w:p w:rsidR="007D3BD4" w:rsidRDefault="007D3BD4" w:rsidP="007D3BD4">
      <w:pPr>
        <w:rPr>
          <w:noProof/>
        </w:rPr>
        <w:sectPr w:rsidR="007D3BD4" w:rsidSect="00134ED5">
          <w:footerReference w:type="default" r:id="rId9"/>
          <w:pgSz w:w="11907" w:h="16839"/>
          <w:pgMar w:top="1134" w:right="1417" w:bottom="1134" w:left="1417" w:header="709" w:footer="709" w:gutter="0"/>
          <w:pgNumType w:start="0"/>
          <w:cols w:space="720"/>
          <w:docGrid w:linePitch="360"/>
        </w:sectPr>
      </w:pPr>
    </w:p>
    <w:p w:rsidR="007D3BD4" w:rsidRDefault="007D3BD4" w:rsidP="005F06FE">
      <w:pPr>
        <w:pStyle w:val="Exposdesmotifstitre"/>
        <w:rPr>
          <w:noProof/>
        </w:rPr>
      </w:pPr>
      <w:bookmarkStart w:id="0" w:name="_GoBack"/>
      <w:bookmarkEnd w:id="0"/>
      <w:r w:rsidRPr="006F770D">
        <w:rPr>
          <w:noProof/>
        </w:rPr>
        <w:lastRenderedPageBreak/>
        <w:t>EXPLANATORY MEMORANDUM</w:t>
      </w:r>
    </w:p>
    <w:p w:rsidR="007D3BD4" w:rsidRPr="006F770D" w:rsidRDefault="007D3BD4" w:rsidP="005F06FE">
      <w:pPr>
        <w:pStyle w:val="ManualHeading1"/>
        <w:rPr>
          <w:noProof/>
        </w:rPr>
      </w:pPr>
      <w:r w:rsidRPr="00C567EE">
        <w:rPr>
          <w:noProof/>
        </w:rPr>
        <w:t>1.</w:t>
      </w:r>
      <w:r w:rsidRPr="00C567EE">
        <w:rPr>
          <w:noProof/>
        </w:rPr>
        <w:tab/>
      </w:r>
      <w:r w:rsidRPr="006F770D">
        <w:rPr>
          <w:noProof/>
        </w:rPr>
        <w:t>CONTEXT OF THE PROPOSAL</w:t>
      </w:r>
    </w:p>
    <w:p w:rsidR="007D3BD4" w:rsidRPr="00044058" w:rsidRDefault="007D3BD4" w:rsidP="005F06FE">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rsidR="0040015F" w:rsidRDefault="007D3BD4" w:rsidP="007D3BD4">
      <w:pPr>
        <w:spacing w:after="240"/>
        <w:rPr>
          <w:noProof/>
        </w:rPr>
      </w:pPr>
      <w:r w:rsidRPr="007D3BD4">
        <w:rPr>
          <w:noProof/>
        </w:rPr>
        <w:t>Regulation (EU) 2017/1939 implementing enhanced cooperation on the establishment of the European Public Prosecutor’s Office (EPPO) was adopted on 12 October 2017 and entered into force on 20 November 2017</w:t>
      </w:r>
      <w:r w:rsidR="001279BD" w:rsidRPr="00FC402B">
        <w:rPr>
          <w:rStyle w:val="FootnoteReference"/>
          <w:rFonts w:eastAsia="Arial Unicode MS"/>
          <w:noProof/>
          <w:lang w:eastAsia="en-GB"/>
        </w:rPr>
        <w:footnoteReference w:id="1"/>
      </w:r>
      <w:r w:rsidRPr="007D3BD4">
        <w:rPr>
          <w:noProof/>
        </w:rPr>
        <w:t xml:space="preserve">. </w:t>
      </w:r>
      <w:r w:rsidR="003328DE" w:rsidRPr="00C81F31">
        <w:rPr>
          <w:noProof/>
        </w:rPr>
        <w:t xml:space="preserve">The EPPO </w:t>
      </w:r>
      <w:r w:rsidR="003328DE">
        <w:rPr>
          <w:noProof/>
          <w:color w:val="000000"/>
          <w:shd w:val="clear" w:color="auto" w:fill="FFFFFF"/>
        </w:rPr>
        <w:t xml:space="preserve">assumed the investigative and prosecutorial tasks conferred on it by such Regulation on 1 June 2021. The EPPO is </w:t>
      </w:r>
      <w:r w:rsidR="003328DE" w:rsidRPr="00BB2E6B">
        <w:rPr>
          <w:noProof/>
          <w:color w:val="000000"/>
          <w:shd w:val="clear" w:color="auto" w:fill="FFFFFF"/>
        </w:rPr>
        <w:t xml:space="preserve">responsible for investigating, prosecuting and bringing to judgment the perpetrators of, and accomplices to, criminal offences affecting the </w:t>
      </w:r>
      <w:r w:rsidR="003328DE">
        <w:rPr>
          <w:noProof/>
          <w:color w:val="000000"/>
          <w:shd w:val="clear" w:color="auto" w:fill="FFFFFF"/>
        </w:rPr>
        <w:t xml:space="preserve">Union’s </w:t>
      </w:r>
      <w:r w:rsidR="003328DE" w:rsidRPr="00BB2E6B">
        <w:rPr>
          <w:noProof/>
          <w:color w:val="000000"/>
          <w:shd w:val="clear" w:color="auto" w:fill="FFFFFF"/>
        </w:rPr>
        <w:t>financial interests which are provided for in Directive (EU) 2017/1371</w:t>
      </w:r>
      <w:r w:rsidR="003328DE">
        <w:rPr>
          <w:rStyle w:val="FootnoteReference"/>
          <w:noProof/>
          <w:color w:val="000000"/>
        </w:rPr>
        <w:footnoteReference w:id="2"/>
      </w:r>
      <w:r w:rsidR="003328DE" w:rsidRPr="00BB2E6B">
        <w:rPr>
          <w:noProof/>
          <w:color w:val="000000"/>
          <w:shd w:val="clear" w:color="auto" w:fill="FFFFFF"/>
        </w:rPr>
        <w:t xml:space="preserve"> and determined by Regulation</w:t>
      </w:r>
      <w:r w:rsidR="003328DE">
        <w:rPr>
          <w:noProof/>
          <w:color w:val="000000"/>
          <w:shd w:val="clear" w:color="auto" w:fill="FFFFFF"/>
        </w:rPr>
        <w:t xml:space="preserve"> (EU) 2017/1939</w:t>
      </w:r>
      <w:r w:rsidR="003328DE" w:rsidRPr="00BB2E6B">
        <w:rPr>
          <w:noProof/>
          <w:color w:val="000000"/>
          <w:shd w:val="clear" w:color="auto" w:fill="FFFFFF"/>
        </w:rPr>
        <w:t>.</w:t>
      </w:r>
      <w:r w:rsidR="003328DE">
        <w:rPr>
          <w:noProof/>
          <w:color w:val="000000"/>
          <w:shd w:val="clear" w:color="auto" w:fill="FFFFFF"/>
        </w:rPr>
        <w:t xml:space="preserve"> </w:t>
      </w:r>
      <w:r w:rsidR="003328DE" w:rsidRPr="00C81F31">
        <w:rPr>
          <w:noProof/>
        </w:rPr>
        <w:t xml:space="preserve">In accordance with Article 8 of Regulation (EU) 2017/1939, </w:t>
      </w:r>
      <w:r w:rsidR="003328DE">
        <w:rPr>
          <w:noProof/>
        </w:rPr>
        <w:t>t</w:t>
      </w:r>
      <w:r w:rsidR="0040015F">
        <w:rPr>
          <w:noProof/>
        </w:rPr>
        <w:t xml:space="preserve">he EPPO Central Office consists of, amongst others, </w:t>
      </w:r>
      <w:r w:rsidR="0040015F" w:rsidRPr="0040015F">
        <w:rPr>
          <w:noProof/>
        </w:rPr>
        <w:t>the European Chief Prosecutor</w:t>
      </w:r>
      <w:r w:rsidR="0040015F">
        <w:rPr>
          <w:noProof/>
        </w:rPr>
        <w:t xml:space="preserve"> and</w:t>
      </w:r>
      <w:r w:rsidR="0040015F" w:rsidRPr="0040015F">
        <w:rPr>
          <w:noProof/>
        </w:rPr>
        <w:t xml:space="preserve"> the European Prosecutors.</w:t>
      </w:r>
      <w:r w:rsidR="0040015F">
        <w:rPr>
          <w:noProof/>
        </w:rPr>
        <w:t xml:space="preserve"> </w:t>
      </w:r>
    </w:p>
    <w:p w:rsidR="000F052A" w:rsidRDefault="000F052A" w:rsidP="007D3BD4">
      <w:pPr>
        <w:spacing w:after="240"/>
        <w:rPr>
          <w:noProof/>
        </w:rPr>
      </w:pPr>
      <w:r>
        <w:rPr>
          <w:noProof/>
        </w:rPr>
        <w:t>Article 14 of Regulation (EU) 2017/1939 regulates the a</w:t>
      </w:r>
      <w:r w:rsidRPr="000F052A">
        <w:rPr>
          <w:noProof/>
        </w:rPr>
        <w:t>ppointment and dismissal of the European Chief Prosecutor</w:t>
      </w:r>
      <w:r>
        <w:rPr>
          <w:noProof/>
        </w:rPr>
        <w:t>, who is appointed by common accord of the European Parliament and the Council. In accordance with Article 14(3) of Regulation (EU) 2017/1939, t</w:t>
      </w:r>
      <w:r w:rsidRPr="000F052A">
        <w:rPr>
          <w:noProof/>
        </w:rPr>
        <w:t xml:space="preserve">he selection </w:t>
      </w:r>
      <w:r>
        <w:rPr>
          <w:noProof/>
        </w:rPr>
        <w:t>is</w:t>
      </w:r>
      <w:r w:rsidRPr="000F052A">
        <w:rPr>
          <w:noProof/>
        </w:rPr>
        <w:t xml:space="preserve"> based on an open call for candidates, following which a selection panel draw</w:t>
      </w:r>
      <w:r>
        <w:rPr>
          <w:noProof/>
        </w:rPr>
        <w:t>s</w:t>
      </w:r>
      <w:r w:rsidRPr="000F052A">
        <w:rPr>
          <w:noProof/>
        </w:rPr>
        <w:t xml:space="preserve"> up a shortlist of qualified candidates to be submitted to the European Parliame</w:t>
      </w:r>
      <w:r>
        <w:rPr>
          <w:noProof/>
        </w:rPr>
        <w:t>nt and</w:t>
      </w:r>
      <w:r w:rsidRPr="000F052A">
        <w:rPr>
          <w:noProof/>
        </w:rPr>
        <w:t xml:space="preserve"> the Council.</w:t>
      </w:r>
      <w:r>
        <w:rPr>
          <w:noProof/>
        </w:rPr>
        <w:t xml:space="preserve"> Article 14(3) of Regulation (EU) 2017/1939 also provides that t</w:t>
      </w:r>
      <w:r w:rsidRPr="000F052A">
        <w:rPr>
          <w:noProof/>
        </w:rPr>
        <w:t xml:space="preserve">he Council </w:t>
      </w:r>
      <w:r>
        <w:rPr>
          <w:noProof/>
        </w:rPr>
        <w:t xml:space="preserve">is to </w:t>
      </w:r>
      <w:r w:rsidRPr="000F052A">
        <w:rPr>
          <w:noProof/>
        </w:rPr>
        <w:t>establish the selection panel’s operating rules on a proposal from the Commission.</w:t>
      </w:r>
    </w:p>
    <w:p w:rsidR="0040015F" w:rsidRDefault="007D3BD4" w:rsidP="007D3BD4">
      <w:pPr>
        <w:spacing w:after="240"/>
        <w:rPr>
          <w:noProof/>
        </w:rPr>
      </w:pPr>
      <w:r>
        <w:rPr>
          <w:noProof/>
        </w:rPr>
        <w:t>Article</w:t>
      </w:r>
      <w:r w:rsidR="0040015F">
        <w:rPr>
          <w:noProof/>
        </w:rPr>
        <w:t xml:space="preserve"> 16 of </w:t>
      </w:r>
      <w:r w:rsidR="0040015F" w:rsidRPr="007D3BD4">
        <w:rPr>
          <w:noProof/>
        </w:rPr>
        <w:t xml:space="preserve">Regulation (EU) 2017/1939 </w:t>
      </w:r>
      <w:r w:rsidR="0040015F">
        <w:rPr>
          <w:noProof/>
        </w:rPr>
        <w:t>regulates the</w:t>
      </w:r>
      <w:r>
        <w:rPr>
          <w:noProof/>
        </w:rPr>
        <w:t xml:space="preserve"> </w:t>
      </w:r>
      <w:r w:rsidR="0040015F">
        <w:rPr>
          <w:noProof/>
        </w:rPr>
        <w:t>a</w:t>
      </w:r>
      <w:r w:rsidR="0040015F" w:rsidRPr="0040015F">
        <w:rPr>
          <w:noProof/>
        </w:rPr>
        <w:t>ppointment and dismissal of the European Prosecutors</w:t>
      </w:r>
      <w:r w:rsidR="0040015F">
        <w:rPr>
          <w:noProof/>
        </w:rPr>
        <w:t xml:space="preserve">. Its first paragraph </w:t>
      </w:r>
      <w:r w:rsidRPr="007D3BD4">
        <w:rPr>
          <w:noProof/>
        </w:rPr>
        <w:t xml:space="preserve">requires each Member State </w:t>
      </w:r>
      <w:r>
        <w:rPr>
          <w:noProof/>
        </w:rPr>
        <w:t>participating in the enhanced cooperation</w:t>
      </w:r>
      <w:r w:rsidR="0040015F">
        <w:rPr>
          <w:noProof/>
        </w:rPr>
        <w:t xml:space="preserve"> on the establishment of the EPPO</w:t>
      </w:r>
      <w:r>
        <w:rPr>
          <w:noProof/>
        </w:rPr>
        <w:t xml:space="preserve"> </w:t>
      </w:r>
      <w:r w:rsidRPr="007D3BD4">
        <w:rPr>
          <w:noProof/>
        </w:rPr>
        <w:t>to nominate three candidates who</w:t>
      </w:r>
      <w:r w:rsidR="0040015F">
        <w:rPr>
          <w:noProof/>
        </w:rPr>
        <w:t xml:space="preserve"> meet the requirements </w:t>
      </w:r>
      <w:r w:rsidR="000F052A">
        <w:rPr>
          <w:noProof/>
        </w:rPr>
        <w:t xml:space="preserve">set out </w:t>
      </w:r>
      <w:r w:rsidR="0040015F">
        <w:rPr>
          <w:noProof/>
        </w:rPr>
        <w:t>therein</w:t>
      </w:r>
      <w:r w:rsidRPr="007D3BD4">
        <w:rPr>
          <w:noProof/>
        </w:rPr>
        <w:t>.</w:t>
      </w:r>
      <w:r w:rsidR="0040015F">
        <w:rPr>
          <w:noProof/>
        </w:rPr>
        <w:t xml:space="preserve"> </w:t>
      </w:r>
      <w:r>
        <w:rPr>
          <w:noProof/>
        </w:rPr>
        <w:t>Article 16(2</w:t>
      </w:r>
      <w:r w:rsidRPr="007D3BD4">
        <w:rPr>
          <w:noProof/>
        </w:rPr>
        <w:t xml:space="preserve">) of Regulation (EU) 2017/1939 </w:t>
      </w:r>
      <w:r>
        <w:rPr>
          <w:noProof/>
        </w:rPr>
        <w:t>provides that the Council select</w:t>
      </w:r>
      <w:r w:rsidR="000F052A">
        <w:rPr>
          <w:noProof/>
        </w:rPr>
        <w:t>s</w:t>
      </w:r>
      <w:r>
        <w:rPr>
          <w:noProof/>
        </w:rPr>
        <w:t xml:space="preserve"> and appoint</w:t>
      </w:r>
      <w:r w:rsidR="000F052A">
        <w:rPr>
          <w:noProof/>
        </w:rPr>
        <w:t>s</w:t>
      </w:r>
      <w:r>
        <w:rPr>
          <w:noProof/>
        </w:rPr>
        <w:t xml:space="preserve"> one of the candidates to be the European Prosecutor of the Member State in question</w:t>
      </w:r>
      <w:r w:rsidR="0040015F">
        <w:rPr>
          <w:noProof/>
        </w:rPr>
        <w:t>, after having received the reasoned opinion of the selection panel referred to in Article 14(3) of Regulation (EU) 2017/1939</w:t>
      </w:r>
      <w:r>
        <w:rPr>
          <w:noProof/>
        </w:rPr>
        <w:t xml:space="preserve">. </w:t>
      </w:r>
    </w:p>
    <w:p w:rsidR="0040015F" w:rsidRDefault="0040015F" w:rsidP="007D3BD4">
      <w:pPr>
        <w:spacing w:after="240"/>
        <w:rPr>
          <w:noProof/>
        </w:rPr>
      </w:pPr>
      <w:r>
        <w:rPr>
          <w:noProof/>
        </w:rPr>
        <w:t xml:space="preserve">On 13 July 2018, the Council adopted, upon proposal of the Commission, Council Implementing Decision </w:t>
      </w:r>
      <w:r w:rsidRPr="00322A59">
        <w:rPr>
          <w:noProof/>
        </w:rPr>
        <w:t>(EU) 2018/1696</w:t>
      </w:r>
      <w:r>
        <w:rPr>
          <w:noProof/>
        </w:rPr>
        <w:t xml:space="preserve"> on </w:t>
      </w:r>
      <w:r w:rsidRPr="002808B8">
        <w:rPr>
          <w:noProof/>
        </w:rPr>
        <w:t>the operating rules of the selection panel</w:t>
      </w:r>
      <w:r w:rsidR="001279BD">
        <w:rPr>
          <w:rStyle w:val="FootnoteReference"/>
          <w:noProof/>
        </w:rPr>
        <w:footnoteReference w:id="3"/>
      </w:r>
      <w:r>
        <w:rPr>
          <w:noProof/>
        </w:rPr>
        <w:t xml:space="preserve">, which were subsequently amended by </w:t>
      </w:r>
      <w:r w:rsidRPr="002808B8">
        <w:rPr>
          <w:noProof/>
        </w:rPr>
        <w:t>Council Implementing Decision (EU) 2020/1008</w:t>
      </w:r>
      <w:r w:rsidR="001279BD">
        <w:rPr>
          <w:rStyle w:val="FootnoteReference"/>
          <w:noProof/>
        </w:rPr>
        <w:footnoteReference w:id="4"/>
      </w:r>
      <w:r>
        <w:rPr>
          <w:noProof/>
        </w:rPr>
        <w:t>. On 18 September 2018, the Council appointed</w:t>
      </w:r>
      <w:r w:rsidRPr="0040015F">
        <w:rPr>
          <w:noProof/>
        </w:rPr>
        <w:t xml:space="preserve"> the members of the selection panel</w:t>
      </w:r>
      <w:r w:rsidR="001279BD">
        <w:rPr>
          <w:rStyle w:val="FootnoteReference"/>
          <w:noProof/>
        </w:rPr>
        <w:footnoteReference w:id="5"/>
      </w:r>
      <w:r>
        <w:rPr>
          <w:noProof/>
        </w:rPr>
        <w:t xml:space="preserve">. </w:t>
      </w:r>
    </w:p>
    <w:p w:rsidR="00322A59" w:rsidRDefault="002808B8" w:rsidP="007D3BD4">
      <w:pPr>
        <w:spacing w:after="240"/>
        <w:rPr>
          <w:noProof/>
        </w:rPr>
      </w:pPr>
      <w:r>
        <w:rPr>
          <w:noProof/>
        </w:rPr>
        <w:lastRenderedPageBreak/>
        <w:t xml:space="preserve">On 27 July 2020, the Council appointed </w:t>
      </w:r>
      <w:r w:rsidRPr="002808B8">
        <w:rPr>
          <w:noProof/>
        </w:rPr>
        <w:t xml:space="preserve">the </w:t>
      </w:r>
      <w:r>
        <w:rPr>
          <w:noProof/>
        </w:rPr>
        <w:t xml:space="preserve">first </w:t>
      </w:r>
      <w:r w:rsidRPr="002808B8">
        <w:rPr>
          <w:noProof/>
        </w:rPr>
        <w:t xml:space="preserve">European Prosecutors of </w:t>
      </w:r>
      <w:r>
        <w:rPr>
          <w:noProof/>
        </w:rPr>
        <w:t>the EPPO</w:t>
      </w:r>
      <w:r w:rsidR="001279BD">
        <w:rPr>
          <w:rStyle w:val="FootnoteReference"/>
          <w:rFonts w:eastAsia="Arial Unicode MS"/>
          <w:noProof/>
          <w:lang w:eastAsia="en-GB"/>
        </w:rPr>
        <w:footnoteReference w:id="6"/>
      </w:r>
      <w:r>
        <w:rPr>
          <w:noProof/>
        </w:rPr>
        <w:t xml:space="preserve">. In accordance with Article 2 of Council Implementing Decision </w:t>
      </w:r>
      <w:r w:rsidRPr="002808B8">
        <w:rPr>
          <w:noProof/>
        </w:rPr>
        <w:t>(EU) 2020/1117</w:t>
      </w:r>
      <w:r>
        <w:rPr>
          <w:noProof/>
        </w:rPr>
        <w:t xml:space="preserve">, eight European Prosecutors have been appointed </w:t>
      </w:r>
      <w:r w:rsidRPr="002808B8">
        <w:rPr>
          <w:noProof/>
        </w:rPr>
        <w:t>for a non-renewable period o</w:t>
      </w:r>
      <w:r>
        <w:rPr>
          <w:noProof/>
        </w:rPr>
        <w:t xml:space="preserve">f three years from 29 July 2020. </w:t>
      </w:r>
      <w:r w:rsidR="000F052A">
        <w:rPr>
          <w:noProof/>
        </w:rPr>
        <w:t>T</w:t>
      </w:r>
      <w:r>
        <w:rPr>
          <w:noProof/>
        </w:rPr>
        <w:t xml:space="preserve">hey will </w:t>
      </w:r>
      <w:r w:rsidR="000F052A">
        <w:rPr>
          <w:noProof/>
        </w:rPr>
        <w:t xml:space="preserve">therefore </w:t>
      </w:r>
      <w:r>
        <w:rPr>
          <w:noProof/>
        </w:rPr>
        <w:t xml:space="preserve">have to be replaced by eight new European Prosecutors </w:t>
      </w:r>
      <w:r w:rsidR="001279BD">
        <w:rPr>
          <w:noProof/>
        </w:rPr>
        <w:t xml:space="preserve">in </w:t>
      </w:r>
      <w:r>
        <w:rPr>
          <w:noProof/>
        </w:rPr>
        <w:t xml:space="preserve">July 2023. </w:t>
      </w:r>
      <w:r w:rsidR="00322A59">
        <w:rPr>
          <w:noProof/>
        </w:rPr>
        <w:t>The eight European Prosecutors will be appointed in accordance with the procedure set out in Article 16 of Regulation (</w:t>
      </w:r>
      <w:r w:rsidR="00484D12">
        <w:rPr>
          <w:noProof/>
        </w:rPr>
        <w:t>EU) 2017/1939, which includes a</w:t>
      </w:r>
      <w:r w:rsidR="00322A59">
        <w:rPr>
          <w:noProof/>
        </w:rPr>
        <w:t xml:space="preserve"> hearing before the selection panel. </w:t>
      </w:r>
    </w:p>
    <w:p w:rsidR="0040015F" w:rsidRDefault="00322A59" w:rsidP="007D3BD4">
      <w:pPr>
        <w:spacing w:after="240"/>
        <w:rPr>
          <w:noProof/>
        </w:rPr>
      </w:pPr>
      <w:r>
        <w:rPr>
          <w:noProof/>
        </w:rPr>
        <w:t>In accordance</w:t>
      </w:r>
      <w:r w:rsidR="0040015F">
        <w:rPr>
          <w:noProof/>
        </w:rPr>
        <w:t xml:space="preserve"> with Rule VI.2 of the operating</w:t>
      </w:r>
      <w:r>
        <w:rPr>
          <w:noProof/>
        </w:rPr>
        <w:t xml:space="preserve"> rules of the selection panel, t</w:t>
      </w:r>
      <w:r w:rsidR="001279BD">
        <w:rPr>
          <w:noProof/>
        </w:rPr>
        <w:t>he selection panel should</w:t>
      </w:r>
      <w:r w:rsidRPr="00322A59">
        <w:rPr>
          <w:noProof/>
        </w:rPr>
        <w:t xml:space="preserve"> </w:t>
      </w:r>
      <w:r>
        <w:rPr>
          <w:noProof/>
        </w:rPr>
        <w:t xml:space="preserve">hear the candidates nominated by the Member States for </w:t>
      </w:r>
      <w:r w:rsidR="0040015F">
        <w:rPr>
          <w:noProof/>
        </w:rPr>
        <w:t>the post of European Prosecutor. T</w:t>
      </w:r>
      <w:r w:rsidRPr="00322A59">
        <w:rPr>
          <w:noProof/>
        </w:rPr>
        <w:t xml:space="preserve">he hearing </w:t>
      </w:r>
      <w:r w:rsidR="001279BD">
        <w:rPr>
          <w:noProof/>
        </w:rPr>
        <w:t xml:space="preserve">should </w:t>
      </w:r>
      <w:r w:rsidRPr="00322A59">
        <w:rPr>
          <w:noProof/>
        </w:rPr>
        <w:t>take place in person.</w:t>
      </w:r>
      <w:r>
        <w:rPr>
          <w:noProof/>
        </w:rPr>
        <w:t xml:space="preserve"> </w:t>
      </w:r>
      <w:r w:rsidR="00CC7AF5">
        <w:rPr>
          <w:noProof/>
        </w:rPr>
        <w:t>In the wake of the recent</w:t>
      </w:r>
      <w:r w:rsidR="00663CF0">
        <w:rPr>
          <w:noProof/>
        </w:rPr>
        <w:t xml:space="preserve"> </w:t>
      </w:r>
      <w:r w:rsidR="00484D12">
        <w:rPr>
          <w:noProof/>
        </w:rPr>
        <w:t>epidemiological situation</w:t>
      </w:r>
      <w:r>
        <w:rPr>
          <w:noProof/>
        </w:rPr>
        <w:t xml:space="preserve"> related to the outbreak of COVID-19, it </w:t>
      </w:r>
      <w:r w:rsidR="00203B28">
        <w:rPr>
          <w:noProof/>
        </w:rPr>
        <w:t xml:space="preserve">should be </w:t>
      </w:r>
      <w:r w:rsidR="004821B9">
        <w:rPr>
          <w:noProof/>
        </w:rPr>
        <w:t xml:space="preserve">clarified </w:t>
      </w:r>
      <w:r>
        <w:rPr>
          <w:noProof/>
        </w:rPr>
        <w:t xml:space="preserve">that the hearing </w:t>
      </w:r>
      <w:r w:rsidR="000F052A">
        <w:rPr>
          <w:noProof/>
        </w:rPr>
        <w:t>could</w:t>
      </w:r>
      <w:r>
        <w:rPr>
          <w:noProof/>
        </w:rPr>
        <w:t xml:space="preserve"> also take place b</w:t>
      </w:r>
      <w:r w:rsidR="00E748A2">
        <w:rPr>
          <w:noProof/>
        </w:rPr>
        <w:t>y video</w:t>
      </w:r>
      <w:r>
        <w:rPr>
          <w:noProof/>
        </w:rPr>
        <w:t>conference</w:t>
      </w:r>
      <w:r w:rsidR="003328DE">
        <w:rPr>
          <w:noProof/>
        </w:rPr>
        <w:t xml:space="preserve"> upon decision of the selection panel</w:t>
      </w:r>
      <w:r w:rsidR="004821B9">
        <w:rPr>
          <w:noProof/>
        </w:rPr>
        <w:t xml:space="preserve">, either </w:t>
      </w:r>
      <w:r w:rsidR="004821B9">
        <w:rPr>
          <w:i/>
          <w:noProof/>
        </w:rPr>
        <w:t>motu proprio</w:t>
      </w:r>
      <w:r w:rsidR="003328DE">
        <w:rPr>
          <w:noProof/>
        </w:rPr>
        <w:t xml:space="preserve"> or </w:t>
      </w:r>
      <w:r w:rsidR="005A019A">
        <w:rPr>
          <w:noProof/>
        </w:rPr>
        <w:t xml:space="preserve">at the </w:t>
      </w:r>
      <w:r w:rsidR="003328DE">
        <w:rPr>
          <w:noProof/>
        </w:rPr>
        <w:t>request of the candidate</w:t>
      </w:r>
      <w:r>
        <w:rPr>
          <w:noProof/>
        </w:rPr>
        <w:t xml:space="preserve">. </w:t>
      </w:r>
      <w:r w:rsidR="0040015F">
        <w:rPr>
          <w:noProof/>
        </w:rPr>
        <w:t>As the same rule on the hearing in person applies to the selection panel’s hearing of the candidates for the pos</w:t>
      </w:r>
      <w:r w:rsidR="00AF649F">
        <w:rPr>
          <w:noProof/>
        </w:rPr>
        <w:t>t of European Chief Prosecutor pursuant to Rule VI.1</w:t>
      </w:r>
      <w:r w:rsidR="0040015F">
        <w:rPr>
          <w:noProof/>
        </w:rPr>
        <w:t xml:space="preserve">, </w:t>
      </w:r>
      <w:r w:rsidR="00AF649F">
        <w:rPr>
          <w:noProof/>
        </w:rPr>
        <w:t>the latter</w:t>
      </w:r>
      <w:r w:rsidR="0040015F">
        <w:rPr>
          <w:noProof/>
        </w:rPr>
        <w:t xml:space="preserve"> rule </w:t>
      </w:r>
      <w:r w:rsidR="00AF649F">
        <w:rPr>
          <w:noProof/>
        </w:rPr>
        <w:t xml:space="preserve">should be amended as well </w:t>
      </w:r>
      <w:r w:rsidR="000F052A">
        <w:rPr>
          <w:noProof/>
        </w:rPr>
        <w:t>for reasons of consistency</w:t>
      </w:r>
      <w:r w:rsidR="0040015F">
        <w:rPr>
          <w:noProof/>
        </w:rPr>
        <w:t xml:space="preserve">. </w:t>
      </w:r>
      <w:r w:rsidR="00AF649F">
        <w:rPr>
          <w:noProof/>
        </w:rPr>
        <w:t xml:space="preserve">In both cases, if the </w:t>
      </w:r>
      <w:r w:rsidR="003328DE">
        <w:rPr>
          <w:noProof/>
        </w:rPr>
        <w:t>hearing takes place</w:t>
      </w:r>
      <w:r w:rsidR="00AF649F">
        <w:rPr>
          <w:noProof/>
        </w:rPr>
        <w:t xml:space="preserve"> via videoconference, </w:t>
      </w:r>
      <w:r w:rsidR="003328DE">
        <w:rPr>
          <w:noProof/>
        </w:rPr>
        <w:t>the selection</w:t>
      </w:r>
      <w:r w:rsidR="00C52D6D">
        <w:rPr>
          <w:noProof/>
        </w:rPr>
        <w:t xml:space="preserve"> panel</w:t>
      </w:r>
      <w:r w:rsidR="003328DE">
        <w:rPr>
          <w:noProof/>
        </w:rPr>
        <w:t xml:space="preserve"> </w:t>
      </w:r>
      <w:r w:rsidR="00AF649F">
        <w:rPr>
          <w:noProof/>
        </w:rPr>
        <w:t xml:space="preserve">should be able to deliberate via the same means. To this end, a clarification in Rule IV on the deliberations of the selection panel is appropriate. </w:t>
      </w:r>
    </w:p>
    <w:p w:rsidR="002808B8" w:rsidRPr="007D3BD4" w:rsidRDefault="00322A59" w:rsidP="007D3BD4">
      <w:pPr>
        <w:spacing w:after="240"/>
        <w:rPr>
          <w:noProof/>
        </w:rPr>
      </w:pPr>
      <w:r>
        <w:rPr>
          <w:noProof/>
        </w:rPr>
        <w:t xml:space="preserve">Therefore, the aim of this proposal is to </w:t>
      </w:r>
      <w:r w:rsidR="004821B9">
        <w:rPr>
          <w:noProof/>
        </w:rPr>
        <w:t xml:space="preserve">clarify that </w:t>
      </w:r>
      <w:r>
        <w:rPr>
          <w:noProof/>
        </w:rPr>
        <w:t xml:space="preserve">the selection panel </w:t>
      </w:r>
      <w:r w:rsidR="0040015F">
        <w:rPr>
          <w:noProof/>
        </w:rPr>
        <w:t xml:space="preserve">provided for by Article 14(3) of Regulation (EU) 2017/1939 </w:t>
      </w:r>
      <w:r w:rsidR="004821B9">
        <w:rPr>
          <w:noProof/>
        </w:rPr>
        <w:t xml:space="preserve">can decide to </w:t>
      </w:r>
      <w:r>
        <w:rPr>
          <w:noProof/>
        </w:rPr>
        <w:t>conduct the inter</w:t>
      </w:r>
      <w:r w:rsidR="00E748A2">
        <w:rPr>
          <w:noProof/>
        </w:rPr>
        <w:t>views of the candidates by video</w:t>
      </w:r>
      <w:r>
        <w:rPr>
          <w:noProof/>
        </w:rPr>
        <w:t>conference</w:t>
      </w:r>
      <w:r w:rsidR="0040015F">
        <w:rPr>
          <w:noProof/>
        </w:rPr>
        <w:t xml:space="preserve">, which </w:t>
      </w:r>
      <w:r w:rsidR="000565E2">
        <w:rPr>
          <w:noProof/>
        </w:rPr>
        <w:t>are</w:t>
      </w:r>
      <w:r w:rsidR="0040015F">
        <w:rPr>
          <w:noProof/>
        </w:rPr>
        <w:t xml:space="preserve"> necessary or more efficient when hearings in person </w:t>
      </w:r>
      <w:r w:rsidR="000565E2">
        <w:rPr>
          <w:noProof/>
        </w:rPr>
        <w:t>are not allowed or advisable</w:t>
      </w:r>
      <w:r w:rsidR="00AF649F">
        <w:rPr>
          <w:noProof/>
        </w:rPr>
        <w:t>, and deliberate via the same means accordingly</w:t>
      </w:r>
      <w:r>
        <w:rPr>
          <w:noProof/>
        </w:rPr>
        <w:t xml:space="preserve">. </w:t>
      </w:r>
    </w:p>
    <w:p w:rsidR="007D3BD4" w:rsidRPr="002D5EE2" w:rsidRDefault="007D3BD4" w:rsidP="005F06FE">
      <w:pPr>
        <w:pStyle w:val="ManualHeading2"/>
        <w:rPr>
          <w:rFonts w:eastAsia="Arial Unicode MS"/>
          <w:noProof/>
          <w:color w:val="000000"/>
          <w:u w:color="000000"/>
          <w:bdr w:val="nil"/>
          <w:lang w:val="en-US" w:eastAsia="en-GB"/>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Consistency with existing policy provisions in the</w:t>
      </w:r>
      <w:r>
        <w:rPr>
          <w:rFonts w:eastAsia="Arial Unicode MS"/>
          <w:noProof/>
        </w:rPr>
        <w:t xml:space="preserve"> </w:t>
      </w:r>
      <w:r w:rsidRPr="002D5EE2">
        <w:rPr>
          <w:rFonts w:eastAsia="Arial Unicode MS"/>
          <w:noProof/>
        </w:rPr>
        <w:t>policy area</w:t>
      </w:r>
    </w:p>
    <w:p w:rsidR="00322A59" w:rsidRPr="002D5EE2" w:rsidRDefault="00322A59" w:rsidP="005F06FE">
      <w:pPr>
        <w:pBdr>
          <w:top w:val="nil"/>
          <w:left w:val="nil"/>
          <w:bottom w:val="nil"/>
          <w:right w:val="nil"/>
          <w:between w:val="nil"/>
          <w:bar w:val="nil"/>
        </w:pBdr>
        <w:spacing w:before="0" w:after="240"/>
        <w:rPr>
          <w:rFonts w:eastAsia="Arial Unicode MS"/>
          <w:noProof/>
        </w:rPr>
      </w:pPr>
      <w:r w:rsidRPr="00322A59">
        <w:rPr>
          <w:rFonts w:eastAsia="Arial Unicode MS"/>
          <w:noProof/>
        </w:rPr>
        <w:t xml:space="preserve">The EPPO </w:t>
      </w:r>
      <w:r w:rsidR="000565E2">
        <w:rPr>
          <w:rFonts w:eastAsia="Arial Unicode MS"/>
          <w:noProof/>
        </w:rPr>
        <w:t xml:space="preserve">was </w:t>
      </w:r>
      <w:r w:rsidR="00203B28">
        <w:rPr>
          <w:rFonts w:eastAsia="Arial Unicode MS"/>
          <w:noProof/>
        </w:rPr>
        <w:t xml:space="preserve">established by means of Regulation (EU) 2017/1939, which was adopted on the basis of </w:t>
      </w:r>
      <w:r w:rsidRPr="00322A59">
        <w:rPr>
          <w:rFonts w:eastAsia="Arial Unicode MS"/>
          <w:noProof/>
        </w:rPr>
        <w:t xml:space="preserve">Article 86 TFEU. By submitting this proposal for an amendment of </w:t>
      </w:r>
      <w:r w:rsidRPr="00322A59">
        <w:rPr>
          <w:noProof/>
          <w:szCs w:val="24"/>
        </w:rPr>
        <w:t>Council Implementing Decision (EU) 2018/1696</w:t>
      </w:r>
      <w:r w:rsidRPr="00322A59">
        <w:rPr>
          <w:rFonts w:eastAsia="Arial Unicode MS"/>
          <w:noProof/>
        </w:rPr>
        <w:t>,</w:t>
      </w:r>
      <w:r w:rsidR="000F052A">
        <w:rPr>
          <w:rFonts w:eastAsia="Arial Unicode MS"/>
          <w:noProof/>
        </w:rPr>
        <w:t xml:space="preserve"> as amended by </w:t>
      </w:r>
      <w:r w:rsidR="000F052A" w:rsidRPr="002808B8">
        <w:rPr>
          <w:noProof/>
        </w:rPr>
        <w:t>Council Implementing Decision (EU) 20</w:t>
      </w:r>
      <w:r w:rsidR="000F052A">
        <w:rPr>
          <w:noProof/>
        </w:rPr>
        <w:t>20/1008,</w:t>
      </w:r>
      <w:r w:rsidRPr="00322A59">
        <w:rPr>
          <w:rFonts w:eastAsia="Arial Unicode MS"/>
          <w:noProof/>
        </w:rPr>
        <w:t xml:space="preserve"> the Commission is complying with its obligation</w:t>
      </w:r>
      <w:r w:rsidR="00203B28">
        <w:rPr>
          <w:rFonts w:eastAsia="Arial Unicode MS"/>
          <w:noProof/>
        </w:rPr>
        <w:t>s</w:t>
      </w:r>
      <w:r w:rsidRPr="00322A59">
        <w:rPr>
          <w:rFonts w:eastAsia="Arial Unicode MS"/>
          <w:noProof/>
        </w:rPr>
        <w:t xml:space="preserve"> under Articles 14(3) and 16(2) of Regulation</w:t>
      </w:r>
      <w:r w:rsidR="00203B28">
        <w:rPr>
          <w:rFonts w:eastAsia="Arial Unicode MS"/>
          <w:noProof/>
        </w:rPr>
        <w:t xml:space="preserve"> (EU)</w:t>
      </w:r>
      <w:r w:rsidRPr="00322A59">
        <w:rPr>
          <w:rFonts w:eastAsia="Arial Unicode MS"/>
          <w:noProof/>
        </w:rPr>
        <w:t xml:space="preserve"> 2017/1939. This proposal will enable to </w:t>
      </w:r>
      <w:r w:rsidR="000F052A">
        <w:rPr>
          <w:rFonts w:eastAsia="Arial Unicode MS"/>
          <w:noProof/>
        </w:rPr>
        <w:t xml:space="preserve">carry </w:t>
      </w:r>
      <w:r w:rsidR="001279BD">
        <w:rPr>
          <w:rFonts w:eastAsia="Arial Unicode MS"/>
          <w:noProof/>
        </w:rPr>
        <w:t xml:space="preserve">out </w:t>
      </w:r>
      <w:r w:rsidRPr="00322A59">
        <w:rPr>
          <w:rFonts w:eastAsia="Arial Unicode MS"/>
          <w:noProof/>
        </w:rPr>
        <w:t xml:space="preserve">the selection and appointment procedures of </w:t>
      </w:r>
      <w:r w:rsidR="000565E2">
        <w:rPr>
          <w:rFonts w:eastAsia="Arial Unicode MS"/>
          <w:noProof/>
        </w:rPr>
        <w:t>the European Chief Prosecutor</w:t>
      </w:r>
      <w:r w:rsidR="00203B28">
        <w:rPr>
          <w:rFonts w:eastAsia="Arial Unicode MS"/>
          <w:noProof/>
        </w:rPr>
        <w:t xml:space="preserve"> </w:t>
      </w:r>
      <w:r w:rsidR="0064629D">
        <w:rPr>
          <w:rFonts w:eastAsia="Arial Unicode MS"/>
          <w:noProof/>
        </w:rPr>
        <w:t xml:space="preserve">and the European Prosecutors </w:t>
      </w:r>
      <w:r w:rsidR="00203B28">
        <w:rPr>
          <w:rFonts w:eastAsia="Arial Unicode MS"/>
          <w:noProof/>
        </w:rPr>
        <w:t>in an efficient way</w:t>
      </w:r>
      <w:r w:rsidRPr="00322A59">
        <w:rPr>
          <w:rFonts w:eastAsia="Arial Unicode MS"/>
          <w:noProof/>
        </w:rPr>
        <w:t>. This proposal is therefore consistent with existing policy provisions in the policy area.</w:t>
      </w:r>
    </w:p>
    <w:p w:rsidR="007D3BD4" w:rsidRPr="002D5EE2" w:rsidRDefault="007D3BD4" w:rsidP="005F06FE">
      <w:pPr>
        <w:pStyle w:val="ManualHeading2"/>
        <w:rPr>
          <w:rFonts w:eastAsia="Arial Unicode MS"/>
          <w:noProof/>
        </w:rPr>
      </w:pPr>
      <w:r w:rsidRPr="002D5EE2">
        <w:rPr>
          <w:rFonts w:eastAsia="Arial Unicode MS"/>
          <w:noProof/>
          <w:color w:val="000000"/>
          <w:u w:color="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Consistency with other Union policies</w:t>
      </w:r>
    </w:p>
    <w:p w:rsidR="00322A59" w:rsidRPr="00322A59" w:rsidRDefault="00322A59" w:rsidP="00322A59">
      <w:pPr>
        <w:pBdr>
          <w:top w:val="nil"/>
          <w:left w:val="nil"/>
          <w:bottom w:val="nil"/>
          <w:right w:val="nil"/>
          <w:between w:val="nil"/>
          <w:bar w:val="nil"/>
        </w:pBdr>
        <w:spacing w:before="0" w:after="240"/>
        <w:rPr>
          <w:rFonts w:eastAsia="Arial Unicode MS"/>
          <w:noProof/>
        </w:rPr>
      </w:pPr>
      <w:r w:rsidRPr="00322A59">
        <w:rPr>
          <w:noProof/>
        </w:rPr>
        <w:t>This initiative is consistent with other Union policies aimed at strengthening the protection of the Union’s financial interests.</w:t>
      </w:r>
    </w:p>
    <w:p w:rsidR="007D3BD4" w:rsidRPr="002D5EE2" w:rsidRDefault="007D3BD4" w:rsidP="005F06FE">
      <w:pPr>
        <w:pStyle w:val="ManualHeading1"/>
        <w:rPr>
          <w:noProof/>
        </w:rPr>
      </w:pPr>
      <w:r w:rsidRPr="002D5EE2">
        <w:rPr>
          <w:noProof/>
        </w:rPr>
        <w:t>2.</w:t>
      </w:r>
      <w:r w:rsidRPr="002D5EE2">
        <w:rPr>
          <w:noProof/>
        </w:rPr>
        <w:tab/>
        <w:t>LEGAL BASIS, SUBSIDIARITY AND PROPORTIONALITY</w:t>
      </w:r>
    </w:p>
    <w:p w:rsidR="007D3BD4" w:rsidRPr="002D5EE2" w:rsidRDefault="007D3BD4" w:rsidP="005F06FE">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rsidR="00203B28" w:rsidRPr="002D5EE2" w:rsidRDefault="00203B28" w:rsidP="00203B28">
      <w:pPr>
        <w:pBdr>
          <w:top w:val="nil"/>
          <w:left w:val="nil"/>
          <w:bottom w:val="nil"/>
          <w:right w:val="nil"/>
          <w:between w:val="nil"/>
          <w:bar w:val="nil"/>
        </w:pBdr>
        <w:spacing w:before="0" w:after="240"/>
        <w:rPr>
          <w:rFonts w:eastAsia="Arial Unicode MS"/>
          <w:noProof/>
        </w:rPr>
      </w:pPr>
      <w:r>
        <w:rPr>
          <w:rFonts w:eastAsia="Arial Unicode MS"/>
          <w:noProof/>
        </w:rPr>
        <w:t xml:space="preserve">The proposal is based on </w:t>
      </w:r>
      <w:r w:rsidRPr="00066162">
        <w:rPr>
          <w:rFonts w:eastAsia="Arial Unicode MS"/>
          <w:noProof/>
        </w:rPr>
        <w:t>Article 14(3) of Regulat</w:t>
      </w:r>
      <w:r>
        <w:rPr>
          <w:rFonts w:eastAsia="Arial Unicode MS"/>
          <w:noProof/>
        </w:rPr>
        <w:t xml:space="preserve">ion (EU) 2017/1939. </w:t>
      </w:r>
    </w:p>
    <w:p w:rsidR="007D3BD4" w:rsidRPr="002D5EE2" w:rsidRDefault="007D3BD4" w:rsidP="005F06FE">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 xml:space="preserve">Subsidiarity (for non-exclusive competence) </w:t>
      </w:r>
    </w:p>
    <w:p w:rsidR="00203B28" w:rsidRPr="00044058" w:rsidRDefault="00203B28" w:rsidP="00203B28">
      <w:pPr>
        <w:pBdr>
          <w:top w:val="nil"/>
          <w:left w:val="nil"/>
          <w:bottom w:val="nil"/>
          <w:right w:val="nil"/>
          <w:between w:val="nil"/>
          <w:bar w:val="nil"/>
        </w:pBdr>
        <w:spacing w:before="0" w:after="240"/>
        <w:rPr>
          <w:rFonts w:eastAsia="Arial Unicode MS"/>
          <w:noProof/>
        </w:rPr>
      </w:pPr>
      <w:r w:rsidRPr="00DE4740">
        <w:rPr>
          <w:noProof/>
        </w:rPr>
        <w:t>The amendment of the operating rules of the selection panel provided for in Article 14(3) of Regulation (EU) 2017/1939 can only be</w:t>
      </w:r>
      <w:r>
        <w:rPr>
          <w:noProof/>
        </w:rPr>
        <w:t xml:space="preserve"> done by the </w:t>
      </w:r>
      <w:r w:rsidR="003328DE">
        <w:rPr>
          <w:noProof/>
        </w:rPr>
        <w:t xml:space="preserve">Council on a proposal from the </w:t>
      </w:r>
      <w:r w:rsidR="003328DE">
        <w:rPr>
          <w:noProof/>
        </w:rPr>
        <w:lastRenderedPageBreak/>
        <w:t xml:space="preserve">Commission </w:t>
      </w:r>
      <w:r w:rsidRPr="00DE4740">
        <w:rPr>
          <w:noProof/>
        </w:rPr>
        <w:t xml:space="preserve">and is thus an exclusive competence by nature, </w:t>
      </w:r>
      <w:r w:rsidR="0064629D">
        <w:rPr>
          <w:noProof/>
        </w:rPr>
        <w:t xml:space="preserve">which is </w:t>
      </w:r>
      <w:r w:rsidRPr="00DE4740">
        <w:rPr>
          <w:noProof/>
        </w:rPr>
        <w:t>not subject to the principle of subsidiarity.</w:t>
      </w:r>
    </w:p>
    <w:p w:rsidR="007D3BD4" w:rsidRDefault="007D3BD4" w:rsidP="005F06FE">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Proportionality</w:t>
      </w:r>
    </w:p>
    <w:p w:rsidR="00203B28" w:rsidRPr="00CB51C9" w:rsidRDefault="00203B28" w:rsidP="00203B28">
      <w:pPr>
        <w:pBdr>
          <w:top w:val="nil"/>
          <w:left w:val="nil"/>
          <w:bottom w:val="nil"/>
          <w:right w:val="nil"/>
          <w:between w:val="nil"/>
          <w:bar w:val="nil"/>
        </w:pBdr>
        <w:spacing w:before="0" w:after="240"/>
        <w:rPr>
          <w:rFonts w:eastAsia="Arial Unicode MS"/>
          <w:noProof/>
        </w:rPr>
      </w:pPr>
      <w:r w:rsidRPr="00DE4740">
        <w:rPr>
          <w:noProof/>
        </w:rPr>
        <w:t>This proposal is limited to what is necessary in order to</w:t>
      </w:r>
      <w:r>
        <w:rPr>
          <w:noProof/>
        </w:rPr>
        <w:t xml:space="preserve"> attain the proposed objectives</w:t>
      </w:r>
      <w:r w:rsidRPr="00DE4740">
        <w:rPr>
          <w:noProof/>
        </w:rPr>
        <w:t xml:space="preserve"> and is therefore compliant with the principle of proportionality. This proposal is </w:t>
      </w:r>
      <w:r w:rsidRPr="00CB51C9">
        <w:rPr>
          <w:rFonts w:eastAsia="Times New Roman"/>
          <w:noProof/>
        </w:rPr>
        <w:t xml:space="preserve">essential in ensuring </w:t>
      </w:r>
      <w:r>
        <w:rPr>
          <w:rFonts w:eastAsia="Times New Roman"/>
          <w:noProof/>
        </w:rPr>
        <w:t xml:space="preserve">the effectiveness and legality of the nomination and appointment procedures of the </w:t>
      </w:r>
      <w:r w:rsidR="000565E2">
        <w:rPr>
          <w:rFonts w:eastAsia="Times New Roman"/>
          <w:noProof/>
        </w:rPr>
        <w:t>European Chief Prosecutor</w:t>
      </w:r>
      <w:r w:rsidR="0064629D">
        <w:rPr>
          <w:rFonts w:eastAsia="Times New Roman"/>
          <w:noProof/>
        </w:rPr>
        <w:t xml:space="preserve"> and the European Prosecutors</w:t>
      </w:r>
      <w:r>
        <w:rPr>
          <w:rFonts w:eastAsia="Times New Roman"/>
          <w:noProof/>
        </w:rPr>
        <w:t xml:space="preserve">. </w:t>
      </w:r>
    </w:p>
    <w:p w:rsidR="007D3BD4" w:rsidRDefault="007D3BD4" w:rsidP="005F06FE">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Choice of the instrument</w:t>
      </w:r>
    </w:p>
    <w:p w:rsidR="00203B28" w:rsidRPr="00044058" w:rsidRDefault="00203B28" w:rsidP="00203B28">
      <w:pPr>
        <w:pBdr>
          <w:top w:val="nil"/>
          <w:left w:val="nil"/>
          <w:bottom w:val="nil"/>
          <w:right w:val="nil"/>
          <w:between w:val="nil"/>
          <w:bar w:val="nil"/>
        </w:pBdr>
        <w:spacing w:before="0" w:after="240"/>
        <w:rPr>
          <w:rFonts w:eastAsia="Arial Unicode MS"/>
          <w:noProof/>
        </w:rPr>
      </w:pPr>
      <w:r>
        <w:rPr>
          <w:rFonts w:eastAsia="Times New Roman"/>
          <w:noProof/>
        </w:rPr>
        <w:t xml:space="preserve">Article 14(3) of </w:t>
      </w:r>
      <w:r w:rsidRPr="0007215E">
        <w:rPr>
          <w:rFonts w:eastAsia="Times New Roman"/>
          <w:noProof/>
        </w:rPr>
        <w:t xml:space="preserve">Regulation (EU) 2017/1939 </w:t>
      </w:r>
      <w:r>
        <w:rPr>
          <w:rFonts w:eastAsia="Times New Roman"/>
          <w:noProof/>
        </w:rPr>
        <w:t>provides that t</w:t>
      </w:r>
      <w:r w:rsidRPr="00203B28">
        <w:rPr>
          <w:rFonts w:eastAsia="Times New Roman"/>
          <w:noProof/>
        </w:rPr>
        <w:t xml:space="preserve">he Council </w:t>
      </w:r>
      <w:r w:rsidR="0064629D">
        <w:rPr>
          <w:rFonts w:eastAsia="Times New Roman"/>
          <w:noProof/>
        </w:rPr>
        <w:t xml:space="preserve">is to </w:t>
      </w:r>
      <w:r w:rsidRPr="00203B28">
        <w:rPr>
          <w:rFonts w:eastAsia="Times New Roman"/>
          <w:noProof/>
        </w:rPr>
        <w:t>establish the selection panel’s operating rules on</w:t>
      </w:r>
      <w:r>
        <w:rPr>
          <w:rFonts w:eastAsia="Times New Roman"/>
          <w:noProof/>
        </w:rPr>
        <w:t xml:space="preserve"> a proposal from the Commission. The operating rules </w:t>
      </w:r>
      <w:r w:rsidR="000565E2">
        <w:rPr>
          <w:rFonts w:eastAsia="Times New Roman"/>
          <w:noProof/>
        </w:rPr>
        <w:t>were</w:t>
      </w:r>
      <w:r>
        <w:rPr>
          <w:rFonts w:eastAsia="Times New Roman"/>
          <w:noProof/>
        </w:rPr>
        <w:t xml:space="preserve"> adopted by means of </w:t>
      </w:r>
      <w:r>
        <w:rPr>
          <w:noProof/>
        </w:rPr>
        <w:t xml:space="preserve">Council Implementing Decision </w:t>
      </w:r>
      <w:r w:rsidRPr="00322A59">
        <w:rPr>
          <w:noProof/>
        </w:rPr>
        <w:t>(EU) 2018/1696</w:t>
      </w:r>
      <w:r>
        <w:rPr>
          <w:noProof/>
        </w:rPr>
        <w:t xml:space="preserve">. The choice of the proposed instrument is therefore required by the existing legislation on the matter. </w:t>
      </w:r>
    </w:p>
    <w:p w:rsidR="007D3BD4" w:rsidRPr="00550536" w:rsidRDefault="007D3BD4" w:rsidP="005F06FE">
      <w:pPr>
        <w:pStyle w:val="ManualHeading1"/>
        <w:rPr>
          <w:noProof/>
        </w:rPr>
      </w:pPr>
      <w:r w:rsidRPr="00550536">
        <w:rPr>
          <w:noProof/>
        </w:rPr>
        <w:t>3.</w:t>
      </w:r>
      <w:r w:rsidRPr="00550536">
        <w:rPr>
          <w:noProof/>
        </w:rPr>
        <w:tab/>
        <w:t>RESULTS OF EX-POST EVALUATIONS, STAKEHOLDER CONSULTATIONS AND IMPACT ASSESSMENTS</w:t>
      </w:r>
    </w:p>
    <w:p w:rsidR="00BA6C0D" w:rsidRPr="00044058" w:rsidRDefault="00BA6C0D" w:rsidP="00BA6C0D">
      <w:pPr>
        <w:pBdr>
          <w:top w:val="nil"/>
          <w:left w:val="nil"/>
          <w:bottom w:val="nil"/>
          <w:right w:val="nil"/>
          <w:between w:val="nil"/>
          <w:bar w:val="nil"/>
        </w:pBdr>
        <w:spacing w:before="0" w:after="240"/>
        <w:rPr>
          <w:rFonts w:eastAsia="Arial Unicode MS"/>
          <w:noProof/>
        </w:rPr>
      </w:pPr>
      <w:r w:rsidRPr="00DE4740">
        <w:rPr>
          <w:noProof/>
        </w:rPr>
        <w:t xml:space="preserve">Given the </w:t>
      </w:r>
      <w:r>
        <w:rPr>
          <w:noProof/>
        </w:rPr>
        <w:t>technical</w:t>
      </w:r>
      <w:r w:rsidRPr="00DE4740">
        <w:rPr>
          <w:noProof/>
        </w:rPr>
        <w:t xml:space="preserve"> </w:t>
      </w:r>
      <w:r w:rsidR="003E2088">
        <w:rPr>
          <w:noProof/>
        </w:rPr>
        <w:t>nature of this proposal and its very limited impact,</w:t>
      </w:r>
      <w:r w:rsidRPr="00DE4740">
        <w:rPr>
          <w:noProof/>
        </w:rPr>
        <w:t xml:space="preserve"> ex-post evaluations, s</w:t>
      </w:r>
      <w:r w:rsidR="00771B61">
        <w:rPr>
          <w:noProof/>
        </w:rPr>
        <w:t xml:space="preserve">takeholder consultations and </w:t>
      </w:r>
      <w:r w:rsidRPr="00DE4740">
        <w:rPr>
          <w:noProof/>
        </w:rPr>
        <w:t>impact assessment</w:t>
      </w:r>
      <w:r w:rsidR="00771B61">
        <w:rPr>
          <w:noProof/>
        </w:rPr>
        <w:t>s</w:t>
      </w:r>
      <w:r w:rsidRPr="00DE4740">
        <w:rPr>
          <w:noProof/>
        </w:rPr>
        <w:t xml:space="preserve"> were not carried out. </w:t>
      </w:r>
    </w:p>
    <w:p w:rsidR="007D3BD4" w:rsidRDefault="007D3BD4" w:rsidP="005F06FE">
      <w:pPr>
        <w:pStyle w:val="ManualHeading1"/>
        <w:rPr>
          <w:noProof/>
        </w:rPr>
      </w:pPr>
      <w:r w:rsidRPr="00550536">
        <w:rPr>
          <w:noProof/>
        </w:rPr>
        <w:t>4.</w:t>
      </w:r>
      <w:r w:rsidRPr="00550536">
        <w:rPr>
          <w:noProof/>
        </w:rPr>
        <w:tab/>
        <w:t>BUDGETARY IMPLICATIONS</w:t>
      </w:r>
    </w:p>
    <w:p w:rsidR="003E2088" w:rsidRPr="00375685" w:rsidRDefault="003E2088" w:rsidP="003E2088">
      <w:pPr>
        <w:pBdr>
          <w:top w:val="nil"/>
          <w:left w:val="nil"/>
          <w:bottom w:val="nil"/>
          <w:right w:val="nil"/>
          <w:between w:val="nil"/>
          <w:bar w:val="nil"/>
        </w:pBdr>
        <w:spacing w:before="0" w:after="240"/>
        <w:rPr>
          <w:rFonts w:eastAsia="Arial Unicode MS"/>
          <w:noProof/>
        </w:rPr>
      </w:pPr>
      <w:r w:rsidRPr="00DE4740">
        <w:rPr>
          <w:noProof/>
        </w:rPr>
        <w:t xml:space="preserve">The proposal has no budgetary implications.  </w:t>
      </w:r>
    </w:p>
    <w:p w:rsidR="007D3BD4" w:rsidRPr="00550536" w:rsidRDefault="007D3BD4" w:rsidP="005F06FE">
      <w:pPr>
        <w:pStyle w:val="ManualHeading1"/>
        <w:rPr>
          <w:noProof/>
        </w:rPr>
      </w:pPr>
      <w:r w:rsidRPr="00550536">
        <w:rPr>
          <w:noProof/>
        </w:rPr>
        <w:t>5.</w:t>
      </w:r>
      <w:r w:rsidRPr="00550536">
        <w:rPr>
          <w:noProof/>
        </w:rPr>
        <w:tab/>
        <w:t>OTHER ELEMENTS</w:t>
      </w:r>
    </w:p>
    <w:p w:rsidR="007D3BD4" w:rsidRDefault="007D3BD4" w:rsidP="005F06FE">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Implementation plans and </w:t>
      </w:r>
      <w:r w:rsidRPr="007718A8">
        <w:rPr>
          <w:rFonts w:eastAsia="Arial Unicode MS"/>
          <w:noProof/>
          <w:u w:color="000000"/>
          <w:bdr w:val="nil"/>
          <w:lang w:val="en-US" w:eastAsia="en-GB"/>
        </w:rPr>
        <w:t>monitoring, evaluation and reporting arrangements</w:t>
      </w:r>
    </w:p>
    <w:p w:rsidR="003E2088" w:rsidRPr="00044058" w:rsidRDefault="003E2088" w:rsidP="003E2088">
      <w:pPr>
        <w:pBdr>
          <w:top w:val="nil"/>
          <w:left w:val="nil"/>
          <w:bottom w:val="nil"/>
          <w:right w:val="nil"/>
          <w:between w:val="nil"/>
          <w:bar w:val="nil"/>
        </w:pBdr>
        <w:spacing w:before="0" w:after="240"/>
        <w:rPr>
          <w:rFonts w:eastAsia="Arial Unicode MS"/>
          <w:noProof/>
        </w:rPr>
      </w:pPr>
      <w:r w:rsidRPr="00DE4740">
        <w:rPr>
          <w:noProof/>
        </w:rPr>
        <w:t>Given the nature of this measure, there is no need for implementation</w:t>
      </w:r>
      <w:r>
        <w:rPr>
          <w:noProof/>
        </w:rPr>
        <w:t xml:space="preserve"> plans and monitoring nor</w:t>
      </w:r>
      <w:r w:rsidR="000565E2">
        <w:rPr>
          <w:noProof/>
        </w:rPr>
        <w:t xml:space="preserve"> for</w:t>
      </w:r>
      <w:r>
        <w:rPr>
          <w:noProof/>
        </w:rPr>
        <w:t xml:space="preserve"> evaluation and reporting arrangements</w:t>
      </w:r>
      <w:r w:rsidRPr="00DE4740">
        <w:rPr>
          <w:noProof/>
        </w:rPr>
        <w:t xml:space="preserve">. </w:t>
      </w:r>
    </w:p>
    <w:p w:rsidR="007D3BD4" w:rsidRDefault="007D3BD4" w:rsidP="005F06FE">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 xml:space="preserve">Detailed explanation of </w:t>
      </w:r>
      <w:r>
        <w:rPr>
          <w:rFonts w:eastAsia="Arial Unicode MS"/>
          <w:noProof/>
          <w:u w:color="000000"/>
          <w:bdr w:val="nil"/>
          <w:lang w:val="en-US" w:eastAsia="en-GB"/>
        </w:rPr>
        <w:t xml:space="preserve">the </w:t>
      </w:r>
      <w:r w:rsidRPr="007718A8">
        <w:rPr>
          <w:rFonts w:eastAsia="Arial Unicode MS"/>
          <w:noProof/>
          <w:u w:color="000000"/>
          <w:bdr w:val="nil"/>
          <w:lang w:val="en-US" w:eastAsia="en-GB"/>
        </w:rPr>
        <w:t>specific provisions of the proposal</w:t>
      </w:r>
    </w:p>
    <w:p w:rsidR="007D3BD4" w:rsidRPr="0038693A" w:rsidRDefault="0038693A" w:rsidP="0038693A">
      <w:pPr>
        <w:autoSpaceDE w:val="0"/>
        <w:autoSpaceDN w:val="0"/>
        <w:adjustRightInd w:val="0"/>
        <w:rPr>
          <w:noProof/>
        </w:rPr>
      </w:pPr>
      <w:r>
        <w:rPr>
          <w:noProof/>
        </w:rPr>
        <w:t xml:space="preserve">Article 1 </w:t>
      </w:r>
      <w:r w:rsidR="003E2088" w:rsidRPr="00243935">
        <w:rPr>
          <w:noProof/>
        </w:rPr>
        <w:t xml:space="preserve">would </w:t>
      </w:r>
      <w:r>
        <w:rPr>
          <w:noProof/>
        </w:rPr>
        <w:t xml:space="preserve">amend the operating rules so as to </w:t>
      </w:r>
      <w:r w:rsidR="004821B9">
        <w:rPr>
          <w:noProof/>
        </w:rPr>
        <w:t xml:space="preserve">clarify that </w:t>
      </w:r>
      <w:r>
        <w:rPr>
          <w:noProof/>
        </w:rPr>
        <w:t xml:space="preserve">the selection panel </w:t>
      </w:r>
      <w:r w:rsidR="003E2088">
        <w:rPr>
          <w:noProof/>
        </w:rPr>
        <w:t>provided for by Article 14(</w:t>
      </w:r>
      <w:r w:rsidR="000565E2">
        <w:rPr>
          <w:noProof/>
        </w:rPr>
        <w:t>3</w:t>
      </w:r>
      <w:r w:rsidR="003E2088">
        <w:rPr>
          <w:noProof/>
        </w:rPr>
        <w:t xml:space="preserve">) of Regulation (EU) 2017/1939 </w:t>
      </w:r>
      <w:r w:rsidR="004821B9">
        <w:rPr>
          <w:noProof/>
        </w:rPr>
        <w:t xml:space="preserve">can decide to </w:t>
      </w:r>
      <w:r w:rsidR="0064629D">
        <w:rPr>
          <w:noProof/>
        </w:rPr>
        <w:t xml:space="preserve">conduct the </w:t>
      </w:r>
      <w:r w:rsidR="003E2088">
        <w:rPr>
          <w:noProof/>
        </w:rPr>
        <w:t>hear</w:t>
      </w:r>
      <w:r w:rsidR="0064629D">
        <w:rPr>
          <w:noProof/>
        </w:rPr>
        <w:t>ing of</w:t>
      </w:r>
      <w:r w:rsidR="003E2088">
        <w:rPr>
          <w:noProof/>
        </w:rPr>
        <w:t xml:space="preserve"> the candidates for the post of </w:t>
      </w:r>
      <w:r w:rsidR="000565E2">
        <w:rPr>
          <w:noProof/>
        </w:rPr>
        <w:t xml:space="preserve">European Chief Prosecutor </w:t>
      </w:r>
      <w:r w:rsidR="0064629D">
        <w:rPr>
          <w:noProof/>
        </w:rPr>
        <w:t xml:space="preserve">and European Prosecutors </w:t>
      </w:r>
      <w:r w:rsidR="003E2088">
        <w:rPr>
          <w:noProof/>
        </w:rPr>
        <w:t xml:space="preserve">also </w:t>
      </w:r>
      <w:r w:rsidR="0064629D">
        <w:rPr>
          <w:noProof/>
        </w:rPr>
        <w:t xml:space="preserve">via </w:t>
      </w:r>
      <w:r w:rsidR="003E2088">
        <w:rPr>
          <w:noProof/>
        </w:rPr>
        <w:t>videoconference</w:t>
      </w:r>
      <w:r w:rsidR="0061391C">
        <w:rPr>
          <w:noProof/>
        </w:rPr>
        <w:t xml:space="preserve">,  </w:t>
      </w:r>
      <w:r w:rsidR="004821B9">
        <w:rPr>
          <w:noProof/>
        </w:rPr>
        <w:t xml:space="preserve">either </w:t>
      </w:r>
      <w:r w:rsidR="004821B9">
        <w:rPr>
          <w:i/>
          <w:noProof/>
        </w:rPr>
        <w:t>motu proprio</w:t>
      </w:r>
      <w:r w:rsidR="0061391C">
        <w:rPr>
          <w:noProof/>
        </w:rPr>
        <w:t xml:space="preserve"> or </w:t>
      </w:r>
      <w:r w:rsidR="004821B9">
        <w:rPr>
          <w:noProof/>
        </w:rPr>
        <w:t xml:space="preserve">at the </w:t>
      </w:r>
      <w:r w:rsidR="0061391C">
        <w:rPr>
          <w:noProof/>
        </w:rPr>
        <w:t>request of the candidate</w:t>
      </w:r>
      <w:r w:rsidR="003E2088">
        <w:rPr>
          <w:noProof/>
        </w:rPr>
        <w:t xml:space="preserve">. </w:t>
      </w:r>
      <w:r>
        <w:rPr>
          <w:noProof/>
        </w:rPr>
        <w:t xml:space="preserve">Article </w:t>
      </w:r>
      <w:r w:rsidR="005A019A">
        <w:rPr>
          <w:noProof/>
        </w:rPr>
        <w:t>1</w:t>
      </w:r>
      <w:r>
        <w:rPr>
          <w:noProof/>
        </w:rPr>
        <w:t xml:space="preserve"> </w:t>
      </w:r>
      <w:r w:rsidRPr="00243935">
        <w:rPr>
          <w:noProof/>
        </w:rPr>
        <w:t xml:space="preserve">would </w:t>
      </w:r>
      <w:r w:rsidR="005A019A">
        <w:rPr>
          <w:noProof/>
        </w:rPr>
        <w:t xml:space="preserve">further </w:t>
      </w:r>
      <w:r>
        <w:rPr>
          <w:noProof/>
        </w:rPr>
        <w:t xml:space="preserve">amend the operating rules with a view to clarifying that, whenever the hearing of a candidate takes place via videoconference, the selection panel can also deliberate via the same means. </w:t>
      </w:r>
    </w:p>
    <w:p w:rsidR="007D3BD4" w:rsidRDefault="0038693A" w:rsidP="005F06FE">
      <w:pPr>
        <w:rPr>
          <w:noProof/>
        </w:rPr>
      </w:pPr>
      <w:r>
        <w:rPr>
          <w:noProof/>
        </w:rPr>
        <w:t xml:space="preserve">In </w:t>
      </w:r>
      <w:r w:rsidR="00663CF0">
        <w:rPr>
          <w:noProof/>
        </w:rPr>
        <w:t>the wake of the recent</w:t>
      </w:r>
      <w:r>
        <w:rPr>
          <w:noProof/>
        </w:rPr>
        <w:t xml:space="preserve"> epidemiological situation, hearings in person may be forbidden or unadvisable. Therefore, by </w:t>
      </w:r>
      <w:r w:rsidR="004821B9">
        <w:rPr>
          <w:noProof/>
        </w:rPr>
        <w:t xml:space="preserve">clarifying that </w:t>
      </w:r>
      <w:r>
        <w:rPr>
          <w:noProof/>
        </w:rPr>
        <w:t xml:space="preserve">the selection panel </w:t>
      </w:r>
      <w:r w:rsidR="004821B9">
        <w:rPr>
          <w:noProof/>
        </w:rPr>
        <w:t xml:space="preserve">can </w:t>
      </w:r>
      <w:r>
        <w:rPr>
          <w:noProof/>
        </w:rPr>
        <w:t xml:space="preserve">hear the candidates via videoconference and deliberate via the same means, this amendment aims to ensure the efficiency and legality of the selection and appointment procedures of the European Chief Prosecutor and the European Prosecutors.  </w:t>
      </w:r>
    </w:p>
    <w:p w:rsidR="0038693A" w:rsidRPr="00C434E6" w:rsidRDefault="0038693A" w:rsidP="005F06FE">
      <w:pPr>
        <w:rPr>
          <w:noProof/>
        </w:rPr>
        <w:sectPr w:rsidR="0038693A" w:rsidRPr="00C434E6" w:rsidSect="00134ED5">
          <w:footerReference w:type="default" r:id="rId10"/>
          <w:footerReference w:type="first" r:id="rId11"/>
          <w:pgSz w:w="11907" w:h="16839"/>
          <w:pgMar w:top="1134" w:right="1417" w:bottom="1134" w:left="1417" w:header="709" w:footer="709" w:gutter="0"/>
          <w:cols w:space="708"/>
          <w:docGrid w:linePitch="360"/>
        </w:sectPr>
      </w:pPr>
    </w:p>
    <w:p w:rsidR="005B4071" w:rsidRDefault="005B4071" w:rsidP="005B4071">
      <w:pPr>
        <w:pStyle w:val="Rfrenceinterinstitutionnelle"/>
        <w:rPr>
          <w:noProof/>
        </w:rPr>
      </w:pPr>
      <w:r w:rsidRPr="005B4071">
        <w:lastRenderedPageBreak/>
        <w:t>2022/0351 (NLE)</w:t>
      </w:r>
    </w:p>
    <w:p w:rsidR="007D3BD4" w:rsidRPr="00C434E6" w:rsidRDefault="005A586A" w:rsidP="005A586A">
      <w:pPr>
        <w:pStyle w:val="Statut"/>
        <w:rPr>
          <w:noProof/>
        </w:rPr>
      </w:pPr>
      <w:r w:rsidRPr="005A586A">
        <w:rPr>
          <w:noProof/>
        </w:rPr>
        <w:t>Proposal for a</w:t>
      </w:r>
    </w:p>
    <w:p w:rsidR="007D3BD4" w:rsidRPr="00C434E6" w:rsidRDefault="005A586A" w:rsidP="005A586A">
      <w:pPr>
        <w:pStyle w:val="Typedudocument"/>
        <w:rPr>
          <w:noProof/>
        </w:rPr>
      </w:pPr>
      <w:r w:rsidRPr="005A586A">
        <w:rPr>
          <w:noProof/>
        </w:rPr>
        <w:t>COUNCIL IMPLEMENTING DECISION</w:t>
      </w:r>
    </w:p>
    <w:p w:rsidR="007D3BD4" w:rsidRPr="00C434E6" w:rsidRDefault="005A586A" w:rsidP="005A586A">
      <w:pPr>
        <w:pStyle w:val="Titreobjet"/>
        <w:rPr>
          <w:noProof/>
        </w:rPr>
      </w:pPr>
      <w:r w:rsidRPr="005A586A">
        <w:rPr>
          <w:noProof/>
        </w:rPr>
        <w:t>amending Implementing Decision (EU) 2018/1696, as regards using videoconference for interviewing candidates</w:t>
      </w:r>
    </w:p>
    <w:p w:rsidR="007D3BD4" w:rsidRPr="00C434E6" w:rsidRDefault="007D3BD4" w:rsidP="005F06FE">
      <w:pPr>
        <w:pStyle w:val="Institutionquiagit"/>
        <w:rPr>
          <w:noProof/>
        </w:rPr>
      </w:pPr>
      <w:r w:rsidRPr="00C434E6">
        <w:rPr>
          <w:noProof/>
        </w:rPr>
        <w:t>THE COUNCIL OF THE EUROPEAN UNION,</w:t>
      </w:r>
    </w:p>
    <w:p w:rsidR="007D3BD4" w:rsidRPr="00C434E6" w:rsidRDefault="007D3BD4" w:rsidP="005F06FE">
      <w:pPr>
        <w:rPr>
          <w:noProof/>
        </w:rPr>
      </w:pPr>
      <w:r w:rsidRPr="00C434E6">
        <w:rPr>
          <w:noProof/>
        </w:rPr>
        <w:t xml:space="preserve">Having regard to the Treaty on the Functioning of the European Union, </w:t>
      </w:r>
    </w:p>
    <w:p w:rsidR="007D3BD4" w:rsidRPr="00C434E6" w:rsidRDefault="007D3BD4" w:rsidP="005F06FE">
      <w:pPr>
        <w:rPr>
          <w:noProof/>
        </w:rPr>
      </w:pPr>
      <w:r w:rsidRPr="00C434E6">
        <w:rPr>
          <w:noProof/>
        </w:rPr>
        <w:t xml:space="preserve">Having regard to </w:t>
      </w:r>
      <w:r w:rsidR="003E2088" w:rsidRPr="00B4454C">
        <w:rPr>
          <w:noProof/>
          <w:szCs w:val="24"/>
        </w:rPr>
        <w:t>Council Regulation (EU) 2017/1939 of 12 October 2017 implementing enhanced cooperation on the establishment of the Europea</w:t>
      </w:r>
      <w:r w:rsidR="003E2088">
        <w:rPr>
          <w:noProof/>
          <w:szCs w:val="24"/>
        </w:rPr>
        <w:t xml:space="preserve">n Public Prosecutor’s Office </w:t>
      </w:r>
      <w:r w:rsidR="003E2088" w:rsidRPr="00E34143">
        <w:rPr>
          <w:noProof/>
          <w:szCs w:val="24"/>
        </w:rPr>
        <w:t>(‘the EPPO’)</w:t>
      </w:r>
      <w:r w:rsidR="003E2088">
        <w:rPr>
          <w:rStyle w:val="FootnoteReference"/>
          <w:noProof/>
          <w:szCs w:val="24"/>
        </w:rPr>
        <w:footnoteReference w:id="7"/>
      </w:r>
      <w:r w:rsidR="003E2088" w:rsidRPr="00C434E6">
        <w:rPr>
          <w:noProof/>
        </w:rPr>
        <w:t>, and in particular Article</w:t>
      </w:r>
      <w:r w:rsidR="003E2088">
        <w:rPr>
          <w:noProof/>
        </w:rPr>
        <w:t xml:space="preserve"> 14(3)</w:t>
      </w:r>
      <w:r w:rsidR="00DE2E1B">
        <w:rPr>
          <w:noProof/>
        </w:rPr>
        <w:t xml:space="preserve"> </w:t>
      </w:r>
      <w:r w:rsidR="00DE2E1B" w:rsidRPr="00FD40BA">
        <w:rPr>
          <w:noProof/>
        </w:rPr>
        <w:t>thereof</w:t>
      </w:r>
      <w:r w:rsidRPr="00C434E6">
        <w:rPr>
          <w:noProof/>
        </w:rPr>
        <w:t>,</w:t>
      </w:r>
      <w:r w:rsidR="00DE2E1B" w:rsidRPr="00DE2E1B">
        <w:rPr>
          <w:noProof/>
        </w:rPr>
        <w:t xml:space="preserve"> </w:t>
      </w:r>
    </w:p>
    <w:p w:rsidR="007D3BD4" w:rsidRPr="00C434E6" w:rsidRDefault="007D3BD4" w:rsidP="005F06FE">
      <w:pPr>
        <w:rPr>
          <w:noProof/>
        </w:rPr>
      </w:pPr>
      <w:r w:rsidRPr="00C434E6">
        <w:rPr>
          <w:noProof/>
        </w:rPr>
        <w:t>Having regard to the proposal from the European Commission,</w:t>
      </w:r>
    </w:p>
    <w:p w:rsidR="007D3BD4" w:rsidRPr="00C434E6" w:rsidRDefault="007D3BD4" w:rsidP="005F06FE">
      <w:pPr>
        <w:rPr>
          <w:noProof/>
        </w:rPr>
      </w:pPr>
      <w:r w:rsidRPr="00C434E6">
        <w:rPr>
          <w:noProof/>
        </w:rPr>
        <w:t>Whereas:</w:t>
      </w:r>
    </w:p>
    <w:p w:rsidR="007D3BD4" w:rsidRDefault="0043008D" w:rsidP="0043008D">
      <w:pPr>
        <w:pStyle w:val="ManualConsidrant"/>
        <w:rPr>
          <w:noProof/>
        </w:rPr>
      </w:pPr>
      <w:r w:rsidRPr="0043008D">
        <w:t>(1)</w:t>
      </w:r>
      <w:r w:rsidRPr="0043008D">
        <w:tab/>
      </w:r>
      <w:r w:rsidR="003E2088" w:rsidRPr="00A97F09">
        <w:rPr>
          <w:noProof/>
        </w:rPr>
        <w:t>Council Implementing Decision (EU) 2018/1696</w:t>
      </w:r>
      <w:r w:rsidR="00B1008D">
        <w:rPr>
          <w:rStyle w:val="FootnoteReference"/>
          <w:noProof/>
        </w:rPr>
        <w:footnoteReference w:id="8"/>
      </w:r>
      <w:r w:rsidR="003E2088" w:rsidRPr="00A97F09">
        <w:rPr>
          <w:noProof/>
        </w:rPr>
        <w:t xml:space="preserve"> </w:t>
      </w:r>
      <w:r w:rsidR="00B1008D">
        <w:rPr>
          <w:noProof/>
        </w:rPr>
        <w:t>established</w:t>
      </w:r>
      <w:r w:rsidR="00B1008D" w:rsidRPr="008D0881">
        <w:rPr>
          <w:noProof/>
        </w:rPr>
        <w:t xml:space="preserve"> </w:t>
      </w:r>
      <w:r w:rsidR="003E2088" w:rsidRPr="008D0881">
        <w:rPr>
          <w:noProof/>
        </w:rPr>
        <w:t>the operating rules of the selection panel</w:t>
      </w:r>
      <w:r w:rsidR="00DE2E1B">
        <w:rPr>
          <w:noProof/>
        </w:rPr>
        <w:t xml:space="preserve"> for appointing </w:t>
      </w:r>
      <w:r w:rsidR="00DE2E1B" w:rsidRPr="00DE2E1B">
        <w:rPr>
          <w:noProof/>
        </w:rPr>
        <w:t>the European Chief Prosecutor</w:t>
      </w:r>
      <w:r w:rsidR="00313B0A">
        <w:rPr>
          <w:noProof/>
        </w:rPr>
        <w:t xml:space="preserve"> and </w:t>
      </w:r>
      <w:r w:rsidR="00313B0A" w:rsidRPr="00442682">
        <w:rPr>
          <w:rFonts w:hint="eastAsia"/>
          <w:bCs/>
          <w:noProof/>
        </w:rPr>
        <w:t>European Prosecutors</w:t>
      </w:r>
      <w:r w:rsidR="00DE2E1B">
        <w:rPr>
          <w:noProof/>
        </w:rPr>
        <w:t>.</w:t>
      </w:r>
    </w:p>
    <w:p w:rsidR="003E2088" w:rsidRDefault="0043008D" w:rsidP="0043008D">
      <w:pPr>
        <w:pStyle w:val="ManualConsidrant"/>
        <w:rPr>
          <w:noProof/>
        </w:rPr>
      </w:pPr>
      <w:r w:rsidRPr="0043008D">
        <w:t>(2)</w:t>
      </w:r>
      <w:r w:rsidRPr="0043008D">
        <w:tab/>
      </w:r>
      <w:r w:rsidR="003E2088">
        <w:rPr>
          <w:noProof/>
        </w:rPr>
        <w:t>Rule</w:t>
      </w:r>
      <w:r w:rsidR="00355601">
        <w:rPr>
          <w:noProof/>
        </w:rPr>
        <w:t xml:space="preserve"> VI</w:t>
      </w:r>
      <w:r w:rsidR="00DE2E1B">
        <w:rPr>
          <w:noProof/>
        </w:rPr>
        <w:t>, points</w:t>
      </w:r>
      <w:r w:rsidR="00355601">
        <w:rPr>
          <w:noProof/>
        </w:rPr>
        <w:t xml:space="preserve"> 1 and </w:t>
      </w:r>
      <w:r w:rsidR="00DE2E1B">
        <w:rPr>
          <w:noProof/>
        </w:rPr>
        <w:t xml:space="preserve">2 </w:t>
      </w:r>
      <w:r w:rsidR="00355601">
        <w:rPr>
          <w:noProof/>
        </w:rPr>
        <w:t>of th</w:t>
      </w:r>
      <w:r w:rsidR="003E2088">
        <w:rPr>
          <w:noProof/>
        </w:rPr>
        <w:t xml:space="preserve">e operating rules provide that the hearing of the </w:t>
      </w:r>
      <w:r w:rsidR="006659B9">
        <w:rPr>
          <w:noProof/>
        </w:rPr>
        <w:t>candidates for the post of European Chief Prosecutor and European Prosecutor</w:t>
      </w:r>
      <w:r w:rsidR="000565E2">
        <w:rPr>
          <w:noProof/>
        </w:rPr>
        <w:t>s</w:t>
      </w:r>
      <w:r w:rsidR="006659B9">
        <w:rPr>
          <w:noProof/>
        </w:rPr>
        <w:t xml:space="preserve"> </w:t>
      </w:r>
      <w:r w:rsidR="00DE2E1B">
        <w:rPr>
          <w:noProof/>
        </w:rPr>
        <w:t xml:space="preserve">is to </w:t>
      </w:r>
      <w:r w:rsidR="006659B9">
        <w:rPr>
          <w:noProof/>
        </w:rPr>
        <w:t xml:space="preserve">take place in person. </w:t>
      </w:r>
    </w:p>
    <w:p w:rsidR="006659B9" w:rsidRDefault="0043008D" w:rsidP="0043008D">
      <w:pPr>
        <w:pStyle w:val="ManualConsidrant"/>
        <w:rPr>
          <w:noProof/>
        </w:rPr>
      </w:pPr>
      <w:r w:rsidRPr="0043008D">
        <w:t>(3)</w:t>
      </w:r>
      <w:r w:rsidRPr="0043008D">
        <w:tab/>
      </w:r>
      <w:r w:rsidR="006659B9">
        <w:rPr>
          <w:noProof/>
        </w:rPr>
        <w:t xml:space="preserve">In </w:t>
      </w:r>
      <w:r w:rsidR="00663CF0">
        <w:rPr>
          <w:noProof/>
        </w:rPr>
        <w:t>the wake of the recent</w:t>
      </w:r>
      <w:r w:rsidR="006659B9">
        <w:rPr>
          <w:noProof/>
        </w:rPr>
        <w:t xml:space="preserve"> epidemiological situation, it is </w:t>
      </w:r>
      <w:r w:rsidR="000565E2">
        <w:rPr>
          <w:noProof/>
        </w:rPr>
        <w:t>necessary</w:t>
      </w:r>
      <w:r w:rsidR="006659B9">
        <w:rPr>
          <w:noProof/>
        </w:rPr>
        <w:t xml:space="preserve"> to </w:t>
      </w:r>
      <w:r w:rsidR="003534FF">
        <w:rPr>
          <w:noProof/>
        </w:rPr>
        <w:t xml:space="preserve">clarify </w:t>
      </w:r>
      <w:r w:rsidR="006659B9">
        <w:rPr>
          <w:noProof/>
        </w:rPr>
        <w:t xml:space="preserve">that the interviews </w:t>
      </w:r>
      <w:r w:rsidR="000565E2">
        <w:rPr>
          <w:noProof/>
        </w:rPr>
        <w:t>of th</w:t>
      </w:r>
      <w:r w:rsidR="00EB325B">
        <w:rPr>
          <w:noProof/>
        </w:rPr>
        <w:t>os</w:t>
      </w:r>
      <w:r w:rsidR="000565E2">
        <w:rPr>
          <w:noProof/>
        </w:rPr>
        <w:t xml:space="preserve">e candidates </w:t>
      </w:r>
      <w:r w:rsidR="006659B9">
        <w:rPr>
          <w:noProof/>
        </w:rPr>
        <w:t>by the selection panel c</w:t>
      </w:r>
      <w:r w:rsidR="00EB325B">
        <w:rPr>
          <w:noProof/>
        </w:rPr>
        <w:t>ould</w:t>
      </w:r>
      <w:r w:rsidR="006659B9">
        <w:rPr>
          <w:noProof/>
        </w:rPr>
        <w:t xml:space="preserve"> also take place via videoconference</w:t>
      </w:r>
      <w:r w:rsidR="00DA3282">
        <w:rPr>
          <w:noProof/>
        </w:rPr>
        <w:t xml:space="preserve"> upon decision of the selection panel</w:t>
      </w:r>
      <w:r w:rsidR="00292B80">
        <w:rPr>
          <w:noProof/>
        </w:rPr>
        <w:t xml:space="preserve">, </w:t>
      </w:r>
      <w:r w:rsidR="004821B9">
        <w:rPr>
          <w:noProof/>
        </w:rPr>
        <w:t xml:space="preserve">either </w:t>
      </w:r>
      <w:r w:rsidR="00A90BCC" w:rsidRPr="004821B9">
        <w:rPr>
          <w:i/>
          <w:noProof/>
        </w:rPr>
        <w:t>motu proprio</w:t>
      </w:r>
      <w:r w:rsidR="00DA3282">
        <w:rPr>
          <w:noProof/>
        </w:rPr>
        <w:t xml:space="preserve"> or </w:t>
      </w:r>
      <w:r w:rsidR="00A90BCC">
        <w:rPr>
          <w:noProof/>
        </w:rPr>
        <w:t>at the</w:t>
      </w:r>
      <w:r w:rsidR="00292B80">
        <w:rPr>
          <w:noProof/>
        </w:rPr>
        <w:t xml:space="preserve"> </w:t>
      </w:r>
      <w:r w:rsidR="00DA3282">
        <w:rPr>
          <w:noProof/>
        </w:rPr>
        <w:t>request of the candidate</w:t>
      </w:r>
      <w:r w:rsidR="006659B9">
        <w:rPr>
          <w:noProof/>
        </w:rPr>
        <w:t xml:space="preserve">. </w:t>
      </w:r>
    </w:p>
    <w:p w:rsidR="0038693A" w:rsidRDefault="0043008D" w:rsidP="0043008D">
      <w:pPr>
        <w:pStyle w:val="ManualConsidrant"/>
        <w:rPr>
          <w:noProof/>
        </w:rPr>
      </w:pPr>
      <w:r w:rsidRPr="0043008D">
        <w:t>(4)</w:t>
      </w:r>
      <w:r w:rsidRPr="0043008D">
        <w:tab/>
      </w:r>
      <w:r w:rsidR="004821B9">
        <w:rPr>
          <w:noProof/>
        </w:rPr>
        <w:t xml:space="preserve">The way in which the interviews are conducted, in person or via videoconference, may affect </w:t>
      </w:r>
      <w:r w:rsidR="00A90BCC">
        <w:rPr>
          <w:noProof/>
        </w:rPr>
        <w:t xml:space="preserve">the performance of the candidates. </w:t>
      </w:r>
      <w:r w:rsidR="00870292" w:rsidRPr="00355601">
        <w:rPr>
          <w:noProof/>
        </w:rPr>
        <w:t>The select</w:t>
      </w:r>
      <w:r w:rsidR="00C97C50" w:rsidRPr="00355601">
        <w:rPr>
          <w:noProof/>
        </w:rPr>
        <w:t>ion panel</w:t>
      </w:r>
      <w:r w:rsidR="003328DE">
        <w:rPr>
          <w:noProof/>
        </w:rPr>
        <w:t xml:space="preserve"> shall</w:t>
      </w:r>
      <w:r w:rsidR="00C97C50" w:rsidRPr="00355601">
        <w:rPr>
          <w:noProof/>
        </w:rPr>
        <w:t xml:space="preserve"> </w:t>
      </w:r>
      <w:r w:rsidR="00A90BCC">
        <w:rPr>
          <w:noProof/>
        </w:rPr>
        <w:t xml:space="preserve">therefore </w:t>
      </w:r>
      <w:r w:rsidR="00C97C50" w:rsidRPr="00355601">
        <w:rPr>
          <w:noProof/>
        </w:rPr>
        <w:t>aim to ensure</w:t>
      </w:r>
      <w:r w:rsidR="00870292" w:rsidRPr="00355601">
        <w:rPr>
          <w:noProof/>
        </w:rPr>
        <w:t xml:space="preserve"> equal </w:t>
      </w:r>
      <w:r w:rsidR="00327D95" w:rsidRPr="00355601">
        <w:rPr>
          <w:noProof/>
        </w:rPr>
        <w:t>treatment</w:t>
      </w:r>
      <w:r w:rsidR="00870292" w:rsidRPr="00355601">
        <w:rPr>
          <w:noProof/>
        </w:rPr>
        <w:t xml:space="preserve"> </w:t>
      </w:r>
      <w:r w:rsidR="00327D95" w:rsidRPr="00355601">
        <w:rPr>
          <w:noProof/>
        </w:rPr>
        <w:t xml:space="preserve">to candidates </w:t>
      </w:r>
      <w:r w:rsidR="00870292" w:rsidRPr="00355601">
        <w:rPr>
          <w:noProof/>
        </w:rPr>
        <w:t xml:space="preserve">when deciding to </w:t>
      </w:r>
      <w:r w:rsidR="00327D95" w:rsidRPr="00355601">
        <w:rPr>
          <w:noProof/>
        </w:rPr>
        <w:t xml:space="preserve">conduct the </w:t>
      </w:r>
      <w:r w:rsidR="00870292" w:rsidRPr="00355601">
        <w:rPr>
          <w:noProof/>
        </w:rPr>
        <w:t>interview</w:t>
      </w:r>
      <w:r w:rsidR="00327D95" w:rsidRPr="00355601">
        <w:rPr>
          <w:noProof/>
        </w:rPr>
        <w:t>s</w:t>
      </w:r>
      <w:r w:rsidR="00870292" w:rsidRPr="00355601">
        <w:rPr>
          <w:noProof/>
        </w:rPr>
        <w:t xml:space="preserve"> via videoconference.</w:t>
      </w:r>
      <w:r w:rsidR="00327D95" w:rsidRPr="00355601">
        <w:rPr>
          <w:noProof/>
        </w:rPr>
        <w:t xml:space="preserve"> </w:t>
      </w:r>
    </w:p>
    <w:p w:rsidR="00292B80" w:rsidRPr="00292B80" w:rsidRDefault="0043008D" w:rsidP="0043008D">
      <w:pPr>
        <w:pStyle w:val="ManualConsidrant"/>
        <w:rPr>
          <w:noProof/>
        </w:rPr>
      </w:pPr>
      <w:r w:rsidRPr="0043008D">
        <w:t>(5)</w:t>
      </w:r>
      <w:r w:rsidRPr="0043008D">
        <w:tab/>
      </w:r>
      <w:r w:rsidR="004821B9">
        <w:rPr>
          <w:noProof/>
        </w:rPr>
        <w:t>Rule IV of the operating rules does not clarify whether the selection panel can deliberate via videoconference. It is therefore necessary to clarify that, w</w:t>
      </w:r>
      <w:r w:rsidR="00C97C50" w:rsidRPr="00355601">
        <w:rPr>
          <w:noProof/>
        </w:rPr>
        <w:t xml:space="preserve">hen the interview </w:t>
      </w:r>
      <w:r w:rsidR="004821B9">
        <w:rPr>
          <w:noProof/>
        </w:rPr>
        <w:t xml:space="preserve">of the candidates </w:t>
      </w:r>
      <w:r w:rsidR="00C97C50" w:rsidRPr="00355601">
        <w:rPr>
          <w:noProof/>
        </w:rPr>
        <w:t xml:space="preserve">takes place via videoconference, the selection panel can deliberate </w:t>
      </w:r>
      <w:r w:rsidR="0038693A">
        <w:rPr>
          <w:noProof/>
        </w:rPr>
        <w:t>via the same</w:t>
      </w:r>
      <w:r w:rsidR="00C97C50" w:rsidRPr="00355601">
        <w:rPr>
          <w:noProof/>
        </w:rPr>
        <w:t xml:space="preserve"> means.</w:t>
      </w:r>
      <w:r w:rsidR="00530481" w:rsidRPr="00530481">
        <w:rPr>
          <w:i/>
          <w:noProof/>
        </w:rPr>
        <w:t xml:space="preserve"> </w:t>
      </w:r>
    </w:p>
    <w:p w:rsidR="006659B9" w:rsidRPr="00C434E6" w:rsidRDefault="0043008D" w:rsidP="0043008D">
      <w:pPr>
        <w:pStyle w:val="ManualConsidrant"/>
        <w:rPr>
          <w:noProof/>
        </w:rPr>
      </w:pPr>
      <w:r w:rsidRPr="0043008D">
        <w:t>(6)</w:t>
      </w:r>
      <w:r w:rsidRPr="0043008D">
        <w:tab/>
      </w:r>
      <w:r w:rsidR="006659B9" w:rsidRPr="00A97F09">
        <w:rPr>
          <w:noProof/>
        </w:rPr>
        <w:t>Implementing Decision (EU) 2018/1696</w:t>
      </w:r>
      <w:r w:rsidR="006659B9">
        <w:rPr>
          <w:noProof/>
        </w:rPr>
        <w:t xml:space="preserve"> should </w:t>
      </w:r>
      <w:r w:rsidR="00B1008D">
        <w:rPr>
          <w:noProof/>
        </w:rPr>
        <w:t xml:space="preserve">therefore </w:t>
      </w:r>
      <w:r w:rsidR="006659B9">
        <w:rPr>
          <w:noProof/>
        </w:rPr>
        <w:t>be amended accordingly</w:t>
      </w:r>
      <w:r w:rsidR="0078326C">
        <w:rPr>
          <w:noProof/>
        </w:rPr>
        <w:t>,</w:t>
      </w:r>
    </w:p>
    <w:p w:rsidR="007D3BD4" w:rsidRPr="00C434E6" w:rsidRDefault="007D3BD4" w:rsidP="005F06FE">
      <w:pPr>
        <w:pStyle w:val="Formuledadoption"/>
        <w:rPr>
          <w:noProof/>
        </w:rPr>
      </w:pPr>
      <w:r w:rsidRPr="00C434E6">
        <w:rPr>
          <w:noProof/>
        </w:rPr>
        <w:lastRenderedPageBreak/>
        <w:t xml:space="preserve">HAS ADOPTED THIS DECISION: </w:t>
      </w:r>
    </w:p>
    <w:p w:rsidR="007D3BD4" w:rsidRPr="00C434E6" w:rsidRDefault="007D3BD4" w:rsidP="005F06FE">
      <w:pPr>
        <w:pStyle w:val="Titrearticle"/>
        <w:rPr>
          <w:noProof/>
        </w:rPr>
      </w:pPr>
      <w:r w:rsidRPr="00C434E6">
        <w:rPr>
          <w:noProof/>
        </w:rPr>
        <w:t>Article 1</w:t>
      </w:r>
    </w:p>
    <w:p w:rsidR="004F20B1" w:rsidRDefault="004F20B1" w:rsidP="006659B9">
      <w:pPr>
        <w:pStyle w:val="Titrearticle"/>
        <w:jc w:val="both"/>
        <w:rPr>
          <w:i w:val="0"/>
          <w:noProof/>
        </w:rPr>
      </w:pPr>
      <w:r>
        <w:rPr>
          <w:i w:val="0"/>
          <w:noProof/>
        </w:rPr>
        <w:t xml:space="preserve">Annex to </w:t>
      </w:r>
      <w:r w:rsidRPr="00292B80">
        <w:rPr>
          <w:i w:val="0"/>
          <w:noProof/>
        </w:rPr>
        <w:t xml:space="preserve">Implementing Decision (EU) 2018/1696 </w:t>
      </w:r>
      <w:r w:rsidRPr="004F20B1">
        <w:rPr>
          <w:i w:val="0"/>
          <w:noProof/>
        </w:rPr>
        <w:t>is amended as follows:</w:t>
      </w:r>
    </w:p>
    <w:p w:rsidR="004F20B1" w:rsidRPr="00FF3F0D" w:rsidRDefault="0043008D" w:rsidP="0043008D">
      <w:pPr>
        <w:pStyle w:val="Point0"/>
        <w:rPr>
          <w:noProof/>
        </w:rPr>
      </w:pPr>
      <w:r w:rsidRPr="0043008D">
        <w:t>(1)</w:t>
      </w:r>
      <w:r w:rsidRPr="0043008D">
        <w:tab/>
      </w:r>
      <w:r w:rsidR="004F20B1" w:rsidRPr="00FF3F0D">
        <w:rPr>
          <w:noProof/>
        </w:rPr>
        <w:t xml:space="preserve">in Rule IV the first paragraph is replaced by the following: </w:t>
      </w:r>
    </w:p>
    <w:p w:rsidR="004F20B1" w:rsidRPr="00A90BCC" w:rsidRDefault="004F20B1" w:rsidP="00FF3F0D">
      <w:pPr>
        <w:pStyle w:val="Titrearticle"/>
        <w:jc w:val="both"/>
        <w:rPr>
          <w:i w:val="0"/>
          <w:noProof/>
        </w:rPr>
      </w:pPr>
      <w:r w:rsidRPr="00A90BCC">
        <w:rPr>
          <w:i w:val="0"/>
          <w:noProof/>
        </w:rPr>
        <w:t>‘</w:t>
      </w:r>
      <w:r w:rsidRPr="00A90BCC">
        <w:rPr>
          <w:rFonts w:hint="eastAsia"/>
          <w:i w:val="0"/>
          <w:noProof/>
        </w:rPr>
        <w:t>The deliberations of the selection panel shall be confidential and shall take place </w:t>
      </w:r>
      <w:r w:rsidRPr="00A90BCC">
        <w:rPr>
          <w:rFonts w:hint="eastAsia"/>
          <w:i w:val="0"/>
          <w:iCs/>
          <w:noProof/>
        </w:rPr>
        <w:t>in camera</w:t>
      </w:r>
      <w:r w:rsidRPr="00A90BCC">
        <w:rPr>
          <w:rFonts w:hint="eastAsia"/>
          <w:i w:val="0"/>
          <w:noProof/>
        </w:rPr>
        <w:t>.</w:t>
      </w:r>
      <w:r w:rsidRPr="00A90BCC">
        <w:rPr>
          <w:i w:val="0"/>
          <w:noProof/>
        </w:rPr>
        <w:t xml:space="preserve"> When the hearing of the candidates takes place via videoconference, the selection panel </w:t>
      </w:r>
      <w:r w:rsidR="00E5754A" w:rsidRPr="00A90BCC">
        <w:rPr>
          <w:i w:val="0"/>
          <w:noProof/>
        </w:rPr>
        <w:t>may</w:t>
      </w:r>
      <w:r w:rsidRPr="00A90BCC">
        <w:rPr>
          <w:i w:val="0"/>
          <w:noProof/>
        </w:rPr>
        <w:t xml:space="preserve"> deliberate </w:t>
      </w:r>
      <w:r w:rsidR="000E5E5F" w:rsidRPr="00A90BCC">
        <w:rPr>
          <w:i w:val="0"/>
          <w:noProof/>
        </w:rPr>
        <w:t>using</w:t>
      </w:r>
      <w:r w:rsidRPr="00A90BCC">
        <w:rPr>
          <w:i w:val="0"/>
          <w:noProof/>
        </w:rPr>
        <w:t xml:space="preserve"> the same means</w:t>
      </w:r>
      <w:r w:rsidR="000E5E5F" w:rsidRPr="00A90BCC">
        <w:rPr>
          <w:i w:val="0"/>
          <w:noProof/>
        </w:rPr>
        <w:t xml:space="preserve"> of communications</w:t>
      </w:r>
      <w:r w:rsidRPr="00A90BCC">
        <w:rPr>
          <w:i w:val="0"/>
          <w:noProof/>
        </w:rPr>
        <w:t>.</w:t>
      </w:r>
      <w:r w:rsidRPr="00A90BCC">
        <w:rPr>
          <w:rFonts w:ascii="Arial Unicode MS" w:eastAsia="Arial Unicode MS" w:hAnsi="Arial Unicode MS" w:cs="Arial Unicode MS" w:hint="eastAsia"/>
          <w:i w:val="0"/>
          <w:noProof/>
          <w:color w:val="333333"/>
          <w:sz w:val="21"/>
          <w:szCs w:val="21"/>
          <w:shd w:val="clear" w:color="auto" w:fill="FFFFFF"/>
        </w:rPr>
        <w:t xml:space="preserve"> </w:t>
      </w:r>
      <w:r w:rsidRPr="00A90BCC">
        <w:rPr>
          <w:rFonts w:hint="eastAsia"/>
          <w:i w:val="0"/>
          <w:noProof/>
        </w:rPr>
        <w:t>The meetings of the selection panel shall be only valid if at least nine members are present.</w:t>
      </w:r>
      <w:r w:rsidRPr="00A90BCC">
        <w:rPr>
          <w:i w:val="0"/>
          <w:noProof/>
        </w:rPr>
        <w:t xml:space="preserve">’ </w:t>
      </w:r>
    </w:p>
    <w:p w:rsidR="004F20B1" w:rsidRPr="00FF3F0D" w:rsidRDefault="0043008D" w:rsidP="0043008D">
      <w:pPr>
        <w:pStyle w:val="Point0"/>
        <w:rPr>
          <w:noProof/>
        </w:rPr>
      </w:pPr>
      <w:r w:rsidRPr="0043008D">
        <w:t>(2)</w:t>
      </w:r>
      <w:r w:rsidRPr="0043008D">
        <w:tab/>
      </w:r>
      <w:r w:rsidR="004F20B1" w:rsidRPr="00B1008D">
        <w:rPr>
          <w:noProof/>
        </w:rPr>
        <w:t>in Rule VI, point 1, the first subparagraph is replaced by the following:</w:t>
      </w:r>
    </w:p>
    <w:p w:rsidR="006659B9" w:rsidRPr="006659B9" w:rsidRDefault="006659B9" w:rsidP="00FF3F0D">
      <w:pPr>
        <w:pStyle w:val="Titrearticle"/>
        <w:jc w:val="both"/>
        <w:rPr>
          <w:i w:val="0"/>
          <w:noProof/>
        </w:rPr>
      </w:pPr>
      <w:r w:rsidRPr="006659B9">
        <w:rPr>
          <w:i w:val="0"/>
          <w:noProof/>
        </w:rPr>
        <w:t>‘</w:t>
      </w:r>
      <w:r w:rsidR="00B1008D" w:rsidRPr="00B1008D">
        <w:rPr>
          <w:rFonts w:hint="eastAsia"/>
          <w:i w:val="0"/>
          <w:noProof/>
        </w:rPr>
        <w:t>Upon receipt of the candidates' applications, the selection panel shall review the applications with regard to the requirements set out in Article 14(2) of Regulation (EU) 2017/1939, as further specified in the vacancy notice. Candidates who do not meet the eligibility requirements shall be excluded from the next steps of the procedure. The selection panel shall rank candidates who fulfil the requirements according to their qualifications and experience, on the basis of the documentation and information provided in the application or produced following a request pursuant to Rule V. A sufficient number of the highest ranked candidates shall be heard by the selection panel to enable it to establish the shortlist referred to in Rule VII(1). The hearing shall take place in person</w:t>
      </w:r>
      <w:r w:rsidR="00B1008D">
        <w:rPr>
          <w:rFonts w:hint="eastAsia"/>
          <w:i w:val="0"/>
          <w:noProof/>
        </w:rPr>
        <w:t xml:space="preserve"> </w:t>
      </w:r>
      <w:r w:rsidRPr="006659B9">
        <w:rPr>
          <w:i w:val="0"/>
          <w:noProof/>
        </w:rPr>
        <w:t>or</w:t>
      </w:r>
      <w:r w:rsidR="0061391C">
        <w:rPr>
          <w:i w:val="0"/>
          <w:noProof/>
        </w:rPr>
        <w:t>, upon decision of the selection pa</w:t>
      </w:r>
      <w:r w:rsidR="003328DE">
        <w:rPr>
          <w:i w:val="0"/>
          <w:noProof/>
        </w:rPr>
        <w:t>nel</w:t>
      </w:r>
      <w:r w:rsidR="00A90BCC">
        <w:rPr>
          <w:i w:val="0"/>
          <w:noProof/>
        </w:rPr>
        <w:t>,</w:t>
      </w:r>
      <w:r w:rsidR="003328DE">
        <w:rPr>
          <w:i w:val="0"/>
          <w:noProof/>
        </w:rPr>
        <w:t xml:space="preserve"> </w:t>
      </w:r>
      <w:r w:rsidR="00A90BCC">
        <w:rPr>
          <w:noProof/>
        </w:rPr>
        <w:t xml:space="preserve">motu proprio </w:t>
      </w:r>
      <w:r w:rsidR="003328DE">
        <w:rPr>
          <w:i w:val="0"/>
          <w:noProof/>
        </w:rPr>
        <w:t xml:space="preserve">or </w:t>
      </w:r>
      <w:r w:rsidR="00A90BCC">
        <w:rPr>
          <w:i w:val="0"/>
          <w:noProof/>
        </w:rPr>
        <w:t xml:space="preserve">at the </w:t>
      </w:r>
      <w:r w:rsidR="003328DE">
        <w:rPr>
          <w:i w:val="0"/>
          <w:noProof/>
        </w:rPr>
        <w:t>request of the candidate</w:t>
      </w:r>
      <w:r w:rsidR="0061391C">
        <w:rPr>
          <w:i w:val="0"/>
          <w:noProof/>
        </w:rPr>
        <w:t>,</w:t>
      </w:r>
      <w:r w:rsidRPr="006659B9">
        <w:rPr>
          <w:i w:val="0"/>
          <w:noProof/>
        </w:rPr>
        <w:t xml:space="preserve"> via vide</w:t>
      </w:r>
      <w:r w:rsidR="000565E2">
        <w:rPr>
          <w:i w:val="0"/>
          <w:noProof/>
        </w:rPr>
        <w:t>o</w:t>
      </w:r>
      <w:r w:rsidRPr="006659B9">
        <w:rPr>
          <w:i w:val="0"/>
          <w:noProof/>
        </w:rPr>
        <w:t>conference</w:t>
      </w:r>
      <w:r w:rsidR="0061391C">
        <w:rPr>
          <w:i w:val="0"/>
          <w:noProof/>
        </w:rPr>
        <w:t xml:space="preserve">. </w:t>
      </w:r>
      <w:r w:rsidR="0061391C" w:rsidRPr="0061391C">
        <w:rPr>
          <w:i w:val="0"/>
          <w:noProof/>
        </w:rPr>
        <w:t xml:space="preserve">The selection panel </w:t>
      </w:r>
      <w:r w:rsidR="0061391C">
        <w:rPr>
          <w:i w:val="0"/>
          <w:noProof/>
        </w:rPr>
        <w:t>shall</w:t>
      </w:r>
      <w:r w:rsidR="0061391C" w:rsidRPr="0061391C">
        <w:rPr>
          <w:i w:val="0"/>
          <w:noProof/>
        </w:rPr>
        <w:t xml:space="preserve"> aim to ensure equal treatment to candidates when deciding to conduct the interviews via videoconference</w:t>
      </w:r>
      <w:r w:rsidR="0061391C">
        <w:rPr>
          <w:i w:val="0"/>
          <w:noProof/>
        </w:rPr>
        <w:t>.</w:t>
      </w:r>
      <w:r w:rsidRPr="0061391C">
        <w:rPr>
          <w:i w:val="0"/>
          <w:noProof/>
        </w:rPr>
        <w:t>’</w:t>
      </w:r>
    </w:p>
    <w:p w:rsidR="004F20B1" w:rsidRPr="00FF3F0D" w:rsidRDefault="0043008D" w:rsidP="0043008D">
      <w:pPr>
        <w:pStyle w:val="Point0"/>
        <w:rPr>
          <w:noProof/>
        </w:rPr>
      </w:pPr>
      <w:r w:rsidRPr="0043008D">
        <w:t>(3)</w:t>
      </w:r>
      <w:r w:rsidRPr="0043008D">
        <w:tab/>
      </w:r>
      <w:r w:rsidR="004F20B1">
        <w:rPr>
          <w:noProof/>
        </w:rPr>
        <w:t>i</w:t>
      </w:r>
      <w:r w:rsidR="004F20B1" w:rsidRPr="00BE51B3">
        <w:rPr>
          <w:noProof/>
        </w:rPr>
        <w:t>n Rule VI</w:t>
      </w:r>
      <w:r w:rsidR="004F20B1">
        <w:rPr>
          <w:noProof/>
        </w:rPr>
        <w:t>, point</w:t>
      </w:r>
      <w:r w:rsidR="004F20B1" w:rsidRPr="00BE51B3">
        <w:rPr>
          <w:noProof/>
        </w:rPr>
        <w:t xml:space="preserve"> </w:t>
      </w:r>
      <w:r w:rsidR="004F20B1">
        <w:rPr>
          <w:noProof/>
        </w:rPr>
        <w:t>2,</w:t>
      </w:r>
      <w:r w:rsidR="004F20B1" w:rsidRPr="00BE51B3">
        <w:rPr>
          <w:noProof/>
        </w:rPr>
        <w:t xml:space="preserve"> </w:t>
      </w:r>
      <w:r w:rsidR="004F20B1">
        <w:rPr>
          <w:noProof/>
        </w:rPr>
        <w:t>the first subparagraph is replaced by the following</w:t>
      </w:r>
      <w:r w:rsidR="004F20B1" w:rsidRPr="004F20B1">
        <w:rPr>
          <w:noProof/>
        </w:rPr>
        <w:t>:</w:t>
      </w:r>
    </w:p>
    <w:p w:rsidR="00B1008D" w:rsidRPr="00B1008D" w:rsidRDefault="00B1008D" w:rsidP="004821B9">
      <w:pPr>
        <w:rPr>
          <w:noProof/>
        </w:rPr>
      </w:pPr>
      <w:r w:rsidRPr="006659B9">
        <w:rPr>
          <w:noProof/>
        </w:rPr>
        <w:t>‘</w:t>
      </w:r>
      <w:r w:rsidRPr="00B1008D">
        <w:rPr>
          <w:rFonts w:hint="eastAsia"/>
          <w:noProof/>
        </w:rPr>
        <w:t>Upon receipt of the nominations, the selection panel shall review them with regard to the requirements set out in Article 16(1) of Regulation (EU) 2017/1939. The selection panel shall hear the candidates nominated. The hearing shall take place in person</w:t>
      </w:r>
      <w:r>
        <w:rPr>
          <w:noProof/>
        </w:rPr>
        <w:t xml:space="preserve"> </w:t>
      </w:r>
      <w:r w:rsidRPr="006659B9">
        <w:rPr>
          <w:noProof/>
        </w:rPr>
        <w:t>or</w:t>
      </w:r>
      <w:r>
        <w:rPr>
          <w:noProof/>
        </w:rPr>
        <w:t>, upon decision of the selection panel or request of the candidate,</w:t>
      </w:r>
      <w:r w:rsidRPr="006659B9">
        <w:rPr>
          <w:noProof/>
        </w:rPr>
        <w:t xml:space="preserve"> via vide</w:t>
      </w:r>
      <w:r>
        <w:rPr>
          <w:noProof/>
        </w:rPr>
        <w:t>o</w:t>
      </w:r>
      <w:r w:rsidRPr="006659B9">
        <w:rPr>
          <w:noProof/>
        </w:rPr>
        <w:t>conference</w:t>
      </w:r>
      <w:r>
        <w:rPr>
          <w:noProof/>
        </w:rPr>
        <w:t xml:space="preserve">. </w:t>
      </w:r>
      <w:r w:rsidRPr="0061391C">
        <w:rPr>
          <w:noProof/>
        </w:rPr>
        <w:t xml:space="preserve">The selection panel </w:t>
      </w:r>
      <w:r>
        <w:rPr>
          <w:noProof/>
        </w:rPr>
        <w:t>shall</w:t>
      </w:r>
      <w:r w:rsidRPr="0061391C">
        <w:rPr>
          <w:noProof/>
        </w:rPr>
        <w:t xml:space="preserve"> aim to ensure equal treatment to candidates when deciding to conduct the interviews via videoconference</w:t>
      </w:r>
      <w:r>
        <w:rPr>
          <w:noProof/>
        </w:rPr>
        <w:t>.</w:t>
      </w:r>
      <w:r w:rsidRPr="0061391C">
        <w:rPr>
          <w:noProof/>
        </w:rPr>
        <w:t>’</w:t>
      </w:r>
    </w:p>
    <w:p w:rsidR="00AF649F" w:rsidRDefault="007D3BD4" w:rsidP="00336606">
      <w:pPr>
        <w:pStyle w:val="Titrearticle"/>
        <w:rPr>
          <w:noProof/>
        </w:rPr>
      </w:pPr>
      <w:r w:rsidRPr="00C434E6">
        <w:rPr>
          <w:noProof/>
        </w:rPr>
        <w:t xml:space="preserve">Article </w:t>
      </w:r>
      <w:r w:rsidR="006659B9" w:rsidRPr="00C81F31">
        <w:rPr>
          <w:noProof/>
        </w:rPr>
        <w:t>2</w:t>
      </w:r>
    </w:p>
    <w:p w:rsidR="007D3BD4" w:rsidRDefault="007D3BD4" w:rsidP="005F06FE">
      <w:pPr>
        <w:keepNext/>
        <w:keepLines/>
        <w:rPr>
          <w:noProof/>
        </w:rPr>
      </w:pPr>
      <w:r w:rsidRPr="00C434E6">
        <w:rPr>
          <w:noProof/>
        </w:rPr>
        <w:t xml:space="preserve">This Decision shall enter into force on the </w:t>
      </w:r>
      <w:r w:rsidR="006659B9" w:rsidRPr="00C81F31">
        <w:rPr>
          <w:noProof/>
        </w:rPr>
        <w:t>twentieth</w:t>
      </w:r>
      <w:r w:rsidRPr="00C434E6">
        <w:rPr>
          <w:noProof/>
        </w:rPr>
        <w:t xml:space="preserve"> day following that of its publication in the </w:t>
      </w:r>
      <w:r w:rsidRPr="00C434E6">
        <w:rPr>
          <w:i/>
          <w:noProof/>
        </w:rPr>
        <w:t>Official Journal of the European Union</w:t>
      </w:r>
      <w:r w:rsidRPr="00C434E6">
        <w:rPr>
          <w:noProof/>
        </w:rPr>
        <w:t>.</w:t>
      </w:r>
    </w:p>
    <w:p w:rsidR="007D3BD4" w:rsidRDefault="00414C85" w:rsidP="00336606">
      <w:pPr>
        <w:pStyle w:val="Fait"/>
        <w:rPr>
          <w:noProof/>
        </w:rPr>
      </w:pPr>
      <w:r w:rsidRPr="00414C85">
        <w:t>Done at Brussels,</w:t>
      </w:r>
    </w:p>
    <w:p w:rsidR="007D3BD4" w:rsidRDefault="007D3BD4" w:rsidP="00336606">
      <w:pPr>
        <w:pStyle w:val="Institutionquisigne"/>
        <w:rPr>
          <w:noProof/>
        </w:rPr>
      </w:pPr>
      <w:r w:rsidRPr="007D3BD4">
        <w:rPr>
          <w:noProof/>
        </w:rPr>
        <w:tab/>
        <w:t>For the Council</w:t>
      </w:r>
    </w:p>
    <w:p w:rsidR="007D3BD4" w:rsidRDefault="006659B9" w:rsidP="00FF3F0D">
      <w:pPr>
        <w:pStyle w:val="Personnequisigne"/>
        <w:rPr>
          <w:noProof/>
        </w:rPr>
      </w:pPr>
      <w:r>
        <w:rPr>
          <w:noProof/>
        </w:rPr>
        <w:tab/>
        <w:t>The President</w:t>
      </w:r>
    </w:p>
    <w:sectPr w:rsidR="007D3BD4" w:rsidSect="00134ED5">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8A2" w:rsidRDefault="00E748A2" w:rsidP="007D3BD4">
      <w:pPr>
        <w:spacing w:before="0" w:after="0"/>
      </w:pPr>
      <w:r>
        <w:separator/>
      </w:r>
    </w:p>
  </w:endnote>
  <w:endnote w:type="continuationSeparator" w:id="0">
    <w:p w:rsidR="00E748A2" w:rsidRDefault="00E748A2" w:rsidP="007D3B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6A" w:rsidRPr="00134ED5" w:rsidRDefault="00134ED5" w:rsidP="00134ED5">
    <w:pPr>
      <w:pStyle w:val="Footer"/>
      <w:rPr>
        <w:rFonts w:ascii="Arial" w:hAnsi="Arial" w:cs="Arial"/>
        <w:b/>
        <w:sz w:val="48"/>
      </w:rPr>
    </w:pPr>
    <w:r w:rsidRPr="00134ED5">
      <w:rPr>
        <w:rFonts w:ascii="Arial" w:hAnsi="Arial" w:cs="Arial"/>
        <w:b/>
        <w:sz w:val="48"/>
      </w:rPr>
      <w:t>EN</w:t>
    </w:r>
    <w:r w:rsidRPr="00134ED5">
      <w:rPr>
        <w:rFonts w:ascii="Arial" w:hAnsi="Arial" w:cs="Arial"/>
        <w:b/>
        <w:sz w:val="48"/>
      </w:rPr>
      <w:tab/>
    </w:r>
    <w:r w:rsidRPr="00134ED5">
      <w:rPr>
        <w:rFonts w:ascii="Arial" w:hAnsi="Arial" w:cs="Arial"/>
        <w:b/>
        <w:sz w:val="48"/>
      </w:rPr>
      <w:tab/>
    </w:r>
    <w:r w:rsidRPr="00134ED5">
      <w:tab/>
    </w:r>
    <w:r w:rsidRPr="00134ED5">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ED5" w:rsidRPr="00134ED5" w:rsidRDefault="00134ED5" w:rsidP="00134ED5">
    <w:pPr>
      <w:pStyle w:val="Footer"/>
      <w:rPr>
        <w:rFonts w:ascii="Arial" w:hAnsi="Arial" w:cs="Arial"/>
        <w:b/>
        <w:sz w:val="48"/>
      </w:rPr>
    </w:pPr>
    <w:r w:rsidRPr="00134ED5">
      <w:rPr>
        <w:rFonts w:ascii="Arial" w:hAnsi="Arial" w:cs="Arial"/>
        <w:b/>
        <w:sz w:val="48"/>
      </w:rPr>
      <w:t>EN</w:t>
    </w:r>
    <w:r w:rsidRPr="00134ED5">
      <w:rPr>
        <w:rFonts w:ascii="Arial" w:hAnsi="Arial" w:cs="Arial"/>
        <w:b/>
        <w:sz w:val="48"/>
      </w:rPr>
      <w:tab/>
    </w:r>
    <w:r>
      <w:fldChar w:fldCharType="begin"/>
    </w:r>
    <w:r>
      <w:instrText xml:space="preserve"> PAGE  \* MERGEFORMAT </w:instrText>
    </w:r>
    <w:r>
      <w:fldChar w:fldCharType="separate"/>
    </w:r>
    <w:r w:rsidR="00336606">
      <w:rPr>
        <w:noProof/>
      </w:rPr>
      <w:t>5</w:t>
    </w:r>
    <w:r>
      <w:fldChar w:fldCharType="end"/>
    </w:r>
    <w:r>
      <w:tab/>
    </w:r>
    <w:r w:rsidRPr="00134ED5">
      <w:tab/>
    </w:r>
    <w:r w:rsidRPr="00134ED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ED5" w:rsidRPr="00134ED5" w:rsidRDefault="00134ED5" w:rsidP="00134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8A2" w:rsidRDefault="00E748A2" w:rsidP="007D3BD4">
      <w:pPr>
        <w:spacing w:before="0" w:after="0"/>
      </w:pPr>
      <w:r>
        <w:separator/>
      </w:r>
    </w:p>
  </w:footnote>
  <w:footnote w:type="continuationSeparator" w:id="0">
    <w:p w:rsidR="00E748A2" w:rsidRDefault="00E748A2" w:rsidP="007D3BD4">
      <w:pPr>
        <w:spacing w:before="0" w:after="0"/>
      </w:pPr>
      <w:r>
        <w:continuationSeparator/>
      </w:r>
    </w:p>
  </w:footnote>
  <w:footnote w:id="1">
    <w:p w:rsidR="001279BD" w:rsidRPr="00534769" w:rsidRDefault="001279BD" w:rsidP="001279BD">
      <w:pPr>
        <w:pStyle w:val="FootnoteText"/>
        <w:rPr>
          <w:color w:val="333333"/>
          <w:sz w:val="19"/>
          <w:szCs w:val="19"/>
          <w:shd w:val="clear" w:color="auto" w:fill="FFFFFF"/>
        </w:rPr>
      </w:pPr>
      <w:r w:rsidRPr="00C81F31">
        <w:rPr>
          <w:rStyle w:val="FootnoteReference"/>
        </w:rPr>
        <w:footnoteRef/>
      </w:r>
      <w:r w:rsidR="00C81F31">
        <w:tab/>
      </w:r>
      <w:r w:rsidRPr="00534769">
        <w:t xml:space="preserve">Council Regulation (EU) 2017/1939 of 12 October 2017 implementing enhanced cooperation on the establishment of the European Public Prosecutor’s Office (‘the EPPO’) OJ L 283, 31.10.2017, p. 1 – </w:t>
      </w:r>
      <w:r>
        <w:t>71</w:t>
      </w:r>
    </w:p>
  </w:footnote>
  <w:footnote w:id="2">
    <w:p w:rsidR="003328DE" w:rsidRPr="00BB2E6B" w:rsidRDefault="003328DE" w:rsidP="003328DE">
      <w:pPr>
        <w:pStyle w:val="FootnoteText"/>
      </w:pPr>
      <w:r w:rsidRPr="00C81F31">
        <w:rPr>
          <w:rStyle w:val="FootnoteReference"/>
        </w:rPr>
        <w:footnoteRef/>
      </w:r>
      <w:r w:rsidR="00C81F31">
        <w:tab/>
      </w:r>
      <w:r>
        <w:t>Directive (EU) 2017/1371 of the European Parliament and of the Council of 5 July 2017 on the fight against fraud to the Union’s financial interests by means of criminal law, OJ L 198, 28.7.2017, p. 29–41</w:t>
      </w:r>
    </w:p>
  </w:footnote>
  <w:footnote w:id="3">
    <w:p w:rsidR="001279BD" w:rsidRPr="001279BD" w:rsidRDefault="001279BD" w:rsidP="001279BD">
      <w:pPr>
        <w:pStyle w:val="FootnoteText"/>
      </w:pPr>
      <w:r w:rsidRPr="00C81F31">
        <w:rPr>
          <w:rStyle w:val="FootnoteReference"/>
        </w:rPr>
        <w:footnoteRef/>
      </w:r>
      <w:r w:rsidR="00C81F31">
        <w:tab/>
      </w:r>
      <w:r>
        <w:t>Council Implementing Decision (EU) 2018/1696 of 13 July 2018 on the operating rules of the selection panel provided for in Article 14(3) of Regulation (EU) 2017/1939 implementing enhanced cooperation on the establishment of the European Public Prosecutor's Office (‘the EPPO’), OJ L 282, 12.11.2018, p. 8–12</w:t>
      </w:r>
    </w:p>
  </w:footnote>
  <w:footnote w:id="4">
    <w:p w:rsidR="001279BD" w:rsidRPr="001279BD" w:rsidRDefault="001279BD" w:rsidP="001279BD">
      <w:pPr>
        <w:pStyle w:val="FootnoteText"/>
      </w:pPr>
      <w:r w:rsidRPr="00C81F31">
        <w:rPr>
          <w:rStyle w:val="FootnoteReference"/>
        </w:rPr>
        <w:footnoteRef/>
      </w:r>
      <w:r w:rsidR="00C81F31">
        <w:tab/>
      </w:r>
      <w:r>
        <w:t>Council Implementing Decision (EU) 2020/1008 of 9 July 2020 amending Implementing Decision (EU) 2018/1696 on the operating rules of the selection panel provided for in Article 14(3) of Regulation (EU) 2017/1939, OJ L 221I , 10.7.2020, p. 1–2</w:t>
      </w:r>
    </w:p>
  </w:footnote>
  <w:footnote w:id="5">
    <w:p w:rsidR="001279BD" w:rsidRPr="001279BD" w:rsidRDefault="001279BD" w:rsidP="001279BD">
      <w:pPr>
        <w:pStyle w:val="FootnoteText"/>
      </w:pPr>
      <w:r w:rsidRPr="00C81F31">
        <w:rPr>
          <w:rStyle w:val="FootnoteReference"/>
        </w:rPr>
        <w:footnoteRef/>
      </w:r>
      <w:r w:rsidR="00C81F31">
        <w:tab/>
      </w:r>
      <w:r>
        <w:t>Council Decision (</w:t>
      </w:r>
      <w:r w:rsidRPr="0040015F">
        <w:t>EU) 2018/1275</w:t>
      </w:r>
      <w:r w:rsidRPr="001279BD">
        <w:t xml:space="preserve"> </w:t>
      </w:r>
      <w:r>
        <w:t>of 18 September 2018 appointing the members of the selection panel provided for in Article 14(3) of Regulation (EU) 2017/1939, OJ L 238, 21.9.2018, p. 92–93</w:t>
      </w:r>
    </w:p>
  </w:footnote>
  <w:footnote w:id="6">
    <w:p w:rsidR="001279BD" w:rsidRPr="00534769" w:rsidRDefault="001279BD" w:rsidP="001279BD">
      <w:pPr>
        <w:pStyle w:val="FootnoteText"/>
      </w:pPr>
      <w:r w:rsidRPr="00C81F31">
        <w:rPr>
          <w:rStyle w:val="FootnoteReference"/>
        </w:rPr>
        <w:footnoteRef/>
      </w:r>
      <w:r w:rsidR="00C81F31">
        <w:tab/>
      </w:r>
      <w:r>
        <w:t>Council Implementing Decision (EU) 2020/1117 of 27 July 2020 appointing the European Prosecutors of the European Public Prosecutor’s Office, OJ L 244, 29.7.2020, p. 18–20</w:t>
      </w:r>
    </w:p>
  </w:footnote>
  <w:footnote w:id="7">
    <w:p w:rsidR="003E2088" w:rsidRPr="000C15B9" w:rsidRDefault="003E2088" w:rsidP="003E2088">
      <w:pPr>
        <w:pStyle w:val="FootnoteText"/>
        <w:rPr>
          <w:lang w:val="sk-SK"/>
        </w:rPr>
      </w:pPr>
      <w:r w:rsidRPr="00DE4740">
        <w:rPr>
          <w:rStyle w:val="FootnoteReference"/>
        </w:rPr>
        <w:footnoteRef/>
      </w:r>
      <w:r w:rsidRPr="00676C51">
        <w:rPr>
          <w:lang w:val="en-US"/>
        </w:rPr>
        <w:tab/>
      </w:r>
      <w:r w:rsidRPr="00251F4C">
        <w:rPr>
          <w:lang w:val="sk-SK"/>
        </w:rPr>
        <w:t>OJ L 283, 31.10.2017, p. 1</w:t>
      </w:r>
      <w:r>
        <w:rPr>
          <w:lang w:val="sk-SK"/>
        </w:rPr>
        <w:t>.</w:t>
      </w:r>
    </w:p>
  </w:footnote>
  <w:footnote w:id="8">
    <w:p w:rsidR="00B1008D" w:rsidRPr="00676C51" w:rsidRDefault="00B1008D" w:rsidP="00B1008D">
      <w:pPr>
        <w:pStyle w:val="FootnoteText"/>
        <w:rPr>
          <w:lang w:val="en-US"/>
        </w:rPr>
      </w:pPr>
      <w:r w:rsidRPr="00DE4740">
        <w:rPr>
          <w:rStyle w:val="FootnoteReference"/>
        </w:rPr>
        <w:footnoteRef/>
      </w:r>
      <w:r w:rsidRPr="00676C51">
        <w:rPr>
          <w:lang w:val="en-US"/>
        </w:rPr>
        <w:tab/>
        <w:t>Council Implementing Decision (EU) 2018/1696 of 13 July 2018 on the operating rules of the selection panel provided for in Article 14(3) of Regulation (EU) 2017/1939 implementing enhanced cooperation on the establishment of the European Public Prosecutor's Office (the EPPO) (OJ L 282, 12.11.2018, p.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29"/>
    <w:lvlOverride w:ilvl="0">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1"/>
  </w:num>
  <w:num w:numId="20">
    <w:abstractNumId w:val="25"/>
  </w:num>
  <w:num w:numId="21">
    <w:abstractNumId w:val="6"/>
  </w:num>
  <w:num w:numId="22">
    <w:abstractNumId w:val="12"/>
  </w:num>
  <w:num w:numId="23">
    <w:abstractNumId w:val="13"/>
  </w:num>
  <w:num w:numId="24">
    <w:abstractNumId w:val="4"/>
  </w:num>
  <w:num w:numId="25">
    <w:abstractNumId w:val="24"/>
  </w:num>
  <w:num w:numId="26">
    <w:abstractNumId w:val="3"/>
  </w:num>
  <w:num w:numId="27">
    <w:abstractNumId w:val="14"/>
  </w:num>
  <w:num w:numId="28">
    <w:abstractNumId w:val="20"/>
  </w:num>
  <w:num w:numId="29">
    <w:abstractNumId w:val="21"/>
  </w:num>
  <w:num w:numId="30">
    <w:abstractNumId w:val="5"/>
  </w:num>
  <w:num w:numId="31">
    <w:abstractNumId w:val="18"/>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10-27 15:57:4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804CBBE-875B-4146-99FE-04A732D85661"/>
    <w:docVar w:name="LW_COVERPAGE_TYPE" w:val="1"/>
    <w:docVar w:name="LW_CROSSREFERENCE" w:val="&lt;UNUSED&gt;"/>
    <w:docVar w:name="LW_DocType" w:val="COM"/>
    <w:docVar w:name="LW_EMISSION" w:val="28.10.2022"/>
    <w:docVar w:name="LW_EMISSION_ISODATE" w:val="2022-10-28"/>
    <w:docVar w:name="LW_EMISSION_LOCATION" w:val="BRX"/>
    <w:docVar w:name="LW_EMISSION_PREFIX" w:val="Brussels, "/>
    <w:docVar w:name="LW_EMISSION_SUFFIX" w:val=" "/>
    <w:docVar w:name="LW_ID_DOCMODEL" w:val="SJ-021"/>
    <w:docVar w:name="LW_ID_DOCSIGNATURE" w:val="SJ-021"/>
    <w:docVar w:name="LW_ID_DOCSTRUCTURE" w:val="COM/PL/ORG"/>
    <w:docVar w:name="LW_ID_DOCTYPE" w:val="SJ-021"/>
    <w:docVar w:name="LW_ID_EXP.MOTIFS.NEW" w:val="EM_PL_"/>
    <w:docVar w:name="LW_ID_STATUT" w:val="SJ-02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351"/>
    <w:docVar w:name="LW_REF.II.NEW.CP_YEAR" w:val="2022"/>
    <w:docVar w:name="LW_REF.INST.NEW" w:val="COM"/>
    <w:docVar w:name="LW_REF.INST.NEW_ADOPTED" w:val="final"/>
    <w:docVar w:name="LW_REF.INST.NEW_TEXT" w:val="(2022) 5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Implementing Decision (EU) 2018/1696, as regards using videoconference for interviewing candidates"/>
    <w:docVar w:name="LW_TYPE.DOC.CP" w:val="COUNCIL IMPLEMENTING DECISION"/>
    <w:docVar w:name="LwApiVersions" w:val="LW4CoDe 1.23.2.0; LW 8.0, Build 20211117"/>
  </w:docVars>
  <w:rsids>
    <w:rsidRoot w:val="007D3BD4"/>
    <w:rsid w:val="00003A26"/>
    <w:rsid w:val="00020A09"/>
    <w:rsid w:val="000565E2"/>
    <w:rsid w:val="00060BD5"/>
    <w:rsid w:val="000629EA"/>
    <w:rsid w:val="000A7517"/>
    <w:rsid w:val="000E198E"/>
    <w:rsid w:val="000E5E5F"/>
    <w:rsid w:val="000F052A"/>
    <w:rsid w:val="001279BD"/>
    <w:rsid w:val="00134ED5"/>
    <w:rsid w:val="001A070B"/>
    <w:rsid w:val="001C2816"/>
    <w:rsid w:val="001D36DB"/>
    <w:rsid w:val="001F2498"/>
    <w:rsid w:val="00203B28"/>
    <w:rsid w:val="00232E98"/>
    <w:rsid w:val="0025504F"/>
    <w:rsid w:val="002808B8"/>
    <w:rsid w:val="00283B62"/>
    <w:rsid w:val="00292B80"/>
    <w:rsid w:val="00313B0A"/>
    <w:rsid w:val="00322A59"/>
    <w:rsid w:val="00327D95"/>
    <w:rsid w:val="00331628"/>
    <w:rsid w:val="003328DE"/>
    <w:rsid w:val="00336606"/>
    <w:rsid w:val="003534FF"/>
    <w:rsid w:val="00355601"/>
    <w:rsid w:val="00370DDB"/>
    <w:rsid w:val="0038693A"/>
    <w:rsid w:val="003E2088"/>
    <w:rsid w:val="003E6F08"/>
    <w:rsid w:val="0040015F"/>
    <w:rsid w:val="00414C85"/>
    <w:rsid w:val="0043008D"/>
    <w:rsid w:val="00442682"/>
    <w:rsid w:val="004479BC"/>
    <w:rsid w:val="004578FC"/>
    <w:rsid w:val="004821B9"/>
    <w:rsid w:val="00484D12"/>
    <w:rsid w:val="004A4B65"/>
    <w:rsid w:val="004D1002"/>
    <w:rsid w:val="004F20B1"/>
    <w:rsid w:val="00530481"/>
    <w:rsid w:val="00546A95"/>
    <w:rsid w:val="005745CD"/>
    <w:rsid w:val="005A019A"/>
    <w:rsid w:val="005A586A"/>
    <w:rsid w:val="005A59A7"/>
    <w:rsid w:val="005B4071"/>
    <w:rsid w:val="005F06FE"/>
    <w:rsid w:val="0061391C"/>
    <w:rsid w:val="0064629D"/>
    <w:rsid w:val="00663CF0"/>
    <w:rsid w:val="006659B9"/>
    <w:rsid w:val="00665C0E"/>
    <w:rsid w:val="00674E94"/>
    <w:rsid w:val="00676C51"/>
    <w:rsid w:val="006D1225"/>
    <w:rsid w:val="0070128F"/>
    <w:rsid w:val="0077056F"/>
    <w:rsid w:val="00771B61"/>
    <w:rsid w:val="0078326C"/>
    <w:rsid w:val="007B64DD"/>
    <w:rsid w:val="007C06F6"/>
    <w:rsid w:val="007D3BD4"/>
    <w:rsid w:val="007E6D26"/>
    <w:rsid w:val="00853D6B"/>
    <w:rsid w:val="00870292"/>
    <w:rsid w:val="008C25D3"/>
    <w:rsid w:val="00920575"/>
    <w:rsid w:val="00944CE7"/>
    <w:rsid w:val="0094739D"/>
    <w:rsid w:val="0096756B"/>
    <w:rsid w:val="00986B33"/>
    <w:rsid w:val="00987AD5"/>
    <w:rsid w:val="009B7138"/>
    <w:rsid w:val="00A10837"/>
    <w:rsid w:val="00A17ABC"/>
    <w:rsid w:val="00A20CAD"/>
    <w:rsid w:val="00A477CB"/>
    <w:rsid w:val="00A90BCC"/>
    <w:rsid w:val="00AB459D"/>
    <w:rsid w:val="00AD4F8B"/>
    <w:rsid w:val="00AE74FD"/>
    <w:rsid w:val="00AF649F"/>
    <w:rsid w:val="00B1008D"/>
    <w:rsid w:val="00B24319"/>
    <w:rsid w:val="00B30E14"/>
    <w:rsid w:val="00B56140"/>
    <w:rsid w:val="00B63B47"/>
    <w:rsid w:val="00BA6C0D"/>
    <w:rsid w:val="00BE246D"/>
    <w:rsid w:val="00BF17AA"/>
    <w:rsid w:val="00C02340"/>
    <w:rsid w:val="00C071D0"/>
    <w:rsid w:val="00C13EAE"/>
    <w:rsid w:val="00C24556"/>
    <w:rsid w:val="00C42448"/>
    <w:rsid w:val="00C52D6D"/>
    <w:rsid w:val="00C5324D"/>
    <w:rsid w:val="00C81F31"/>
    <w:rsid w:val="00C97C50"/>
    <w:rsid w:val="00CC7AF5"/>
    <w:rsid w:val="00CD35C7"/>
    <w:rsid w:val="00CF0C37"/>
    <w:rsid w:val="00CF1DB2"/>
    <w:rsid w:val="00D02B8E"/>
    <w:rsid w:val="00D17D8F"/>
    <w:rsid w:val="00D300C6"/>
    <w:rsid w:val="00D463A0"/>
    <w:rsid w:val="00D879A2"/>
    <w:rsid w:val="00D96681"/>
    <w:rsid w:val="00DA3282"/>
    <w:rsid w:val="00DE2E1B"/>
    <w:rsid w:val="00E132C0"/>
    <w:rsid w:val="00E5754A"/>
    <w:rsid w:val="00E748A2"/>
    <w:rsid w:val="00EA0940"/>
    <w:rsid w:val="00EB325B"/>
    <w:rsid w:val="00F04435"/>
    <w:rsid w:val="00F20062"/>
    <w:rsid w:val="00F85EC5"/>
    <w:rsid w:val="00FD76BC"/>
    <w:rsid w:val="00FF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A803473C-F172-4C3F-BEE0-85D0812F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7D3BD4"/>
    <w:pPr>
      <w:numPr>
        <w:numId w:val="2"/>
      </w:numPr>
    </w:pPr>
    <w:rPr>
      <w:rFonts w:eastAsia="Times New Roman"/>
      <w:lang w:eastAsia="de-DE"/>
    </w:rPr>
  </w:style>
  <w:style w:type="paragraph" w:styleId="ListNumber">
    <w:name w:val="List Number"/>
    <w:basedOn w:val="Normal"/>
    <w:rsid w:val="007D3BD4"/>
    <w:pPr>
      <w:numPr>
        <w:numId w:val="6"/>
      </w:numPr>
    </w:pPr>
    <w:rPr>
      <w:rFonts w:eastAsia="Times New Roman"/>
      <w:lang w:eastAsia="de-DE"/>
    </w:rPr>
  </w:style>
  <w:style w:type="paragraph" w:customStyle="1" w:styleId="ListBullet1">
    <w:name w:val="List Bullet 1"/>
    <w:basedOn w:val="Normal"/>
    <w:rsid w:val="007D3BD4"/>
    <w:pPr>
      <w:numPr>
        <w:numId w:val="1"/>
      </w:numPr>
    </w:pPr>
    <w:rPr>
      <w:rFonts w:eastAsia="Times New Roman"/>
      <w:lang w:eastAsia="de-DE"/>
    </w:rPr>
  </w:style>
  <w:style w:type="paragraph" w:customStyle="1" w:styleId="ListDash">
    <w:name w:val="List Dash"/>
    <w:basedOn w:val="Normal"/>
    <w:rsid w:val="007D3BD4"/>
    <w:pPr>
      <w:numPr>
        <w:numId w:val="3"/>
      </w:numPr>
    </w:pPr>
    <w:rPr>
      <w:rFonts w:eastAsia="Times New Roman"/>
      <w:lang w:eastAsia="de-DE"/>
    </w:rPr>
  </w:style>
  <w:style w:type="paragraph" w:customStyle="1" w:styleId="ListDash1">
    <w:name w:val="List Dash 1"/>
    <w:basedOn w:val="Normal"/>
    <w:rsid w:val="007D3BD4"/>
    <w:pPr>
      <w:numPr>
        <w:numId w:val="4"/>
      </w:numPr>
    </w:pPr>
    <w:rPr>
      <w:rFonts w:eastAsia="Times New Roman"/>
      <w:lang w:eastAsia="de-DE"/>
    </w:rPr>
  </w:style>
  <w:style w:type="paragraph" w:customStyle="1" w:styleId="ListDash2">
    <w:name w:val="List Dash 2"/>
    <w:basedOn w:val="Normal"/>
    <w:rsid w:val="007D3BD4"/>
    <w:pPr>
      <w:numPr>
        <w:numId w:val="5"/>
      </w:numPr>
    </w:pPr>
    <w:rPr>
      <w:rFonts w:eastAsia="Times New Roman"/>
      <w:lang w:eastAsia="de-DE"/>
    </w:rPr>
  </w:style>
  <w:style w:type="paragraph" w:customStyle="1" w:styleId="ListNumberLevel2">
    <w:name w:val="List Number (Level 2)"/>
    <w:basedOn w:val="Normal"/>
    <w:rsid w:val="007D3BD4"/>
    <w:pPr>
      <w:numPr>
        <w:ilvl w:val="1"/>
        <w:numId w:val="6"/>
      </w:numPr>
    </w:pPr>
    <w:rPr>
      <w:rFonts w:eastAsia="Times New Roman"/>
      <w:lang w:eastAsia="de-DE"/>
    </w:rPr>
  </w:style>
  <w:style w:type="paragraph" w:customStyle="1" w:styleId="ListNumberLevel3">
    <w:name w:val="List Number (Level 3)"/>
    <w:basedOn w:val="Normal"/>
    <w:rsid w:val="007D3BD4"/>
    <w:pPr>
      <w:numPr>
        <w:ilvl w:val="2"/>
        <w:numId w:val="6"/>
      </w:numPr>
    </w:pPr>
    <w:rPr>
      <w:rFonts w:eastAsia="Times New Roman"/>
      <w:lang w:eastAsia="de-DE"/>
    </w:rPr>
  </w:style>
  <w:style w:type="paragraph" w:customStyle="1" w:styleId="ListNumberLevel4">
    <w:name w:val="List Number (Level 4)"/>
    <w:basedOn w:val="Normal"/>
    <w:rsid w:val="007D3BD4"/>
    <w:pPr>
      <w:numPr>
        <w:ilvl w:val="3"/>
        <w:numId w:val="6"/>
      </w:numPr>
    </w:pPr>
    <w:rPr>
      <w:rFonts w:eastAsia="Times New Roman"/>
      <w:lang w:eastAsia="de-DE"/>
    </w:rPr>
  </w:style>
  <w:style w:type="table" w:styleId="TableGrid">
    <w:name w:val="Table Grid"/>
    <w:basedOn w:val="TableNormal"/>
    <w:rsid w:val="007D3BD4"/>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D3BD4"/>
    <w:rPr>
      <w:color w:val="0000FF"/>
      <w:u w:val="single"/>
    </w:rPr>
  </w:style>
  <w:style w:type="paragraph" w:styleId="ListBullet">
    <w:name w:val="List Bullet"/>
    <w:basedOn w:val="Normal"/>
    <w:rsid w:val="007D3BD4"/>
    <w:pPr>
      <w:numPr>
        <w:numId w:val="7"/>
      </w:numPr>
    </w:pPr>
    <w:rPr>
      <w:rFonts w:eastAsia="Times New Roman"/>
      <w:lang w:val="fr-FR" w:eastAsia="en-GB"/>
    </w:rPr>
  </w:style>
  <w:style w:type="paragraph" w:styleId="ListBullet2">
    <w:name w:val="List Bullet 2"/>
    <w:basedOn w:val="Normal"/>
    <w:rsid w:val="007D3BD4"/>
    <w:pPr>
      <w:numPr>
        <w:numId w:val="8"/>
      </w:numPr>
    </w:pPr>
    <w:rPr>
      <w:rFonts w:eastAsia="Times New Roman"/>
      <w:lang w:val="fr-FR" w:eastAsia="en-GB"/>
    </w:rPr>
  </w:style>
  <w:style w:type="paragraph" w:styleId="ListBullet3">
    <w:name w:val="List Bullet 3"/>
    <w:basedOn w:val="Normal"/>
    <w:rsid w:val="007D3BD4"/>
    <w:pPr>
      <w:numPr>
        <w:numId w:val="9"/>
      </w:numPr>
    </w:pPr>
    <w:rPr>
      <w:rFonts w:eastAsia="Times New Roman"/>
      <w:lang w:val="fr-FR" w:eastAsia="en-GB"/>
    </w:rPr>
  </w:style>
  <w:style w:type="paragraph" w:styleId="ListNumber2">
    <w:name w:val="List Number 2"/>
    <w:basedOn w:val="Normal"/>
    <w:rsid w:val="007D3BD4"/>
    <w:pPr>
      <w:numPr>
        <w:numId w:val="13"/>
      </w:numPr>
    </w:pPr>
    <w:rPr>
      <w:rFonts w:eastAsia="Times New Roman"/>
      <w:lang w:val="fr-FR" w:eastAsia="en-GB"/>
    </w:rPr>
  </w:style>
  <w:style w:type="paragraph" w:styleId="ListNumber3">
    <w:name w:val="List Number 3"/>
    <w:basedOn w:val="Normal"/>
    <w:rsid w:val="007D3BD4"/>
    <w:pPr>
      <w:numPr>
        <w:numId w:val="14"/>
      </w:numPr>
    </w:pPr>
    <w:rPr>
      <w:rFonts w:eastAsia="Times New Roman"/>
      <w:lang w:val="fr-FR" w:eastAsia="en-GB"/>
    </w:rPr>
  </w:style>
  <w:style w:type="paragraph" w:styleId="ListNumber4">
    <w:name w:val="List Number 4"/>
    <w:basedOn w:val="Normal"/>
    <w:rsid w:val="007D3BD4"/>
    <w:pPr>
      <w:numPr>
        <w:numId w:val="15"/>
      </w:numPr>
    </w:pPr>
    <w:rPr>
      <w:rFonts w:eastAsia="Times New Roman"/>
      <w:lang w:val="fr-FR" w:eastAsia="en-GB"/>
    </w:rPr>
  </w:style>
  <w:style w:type="paragraph" w:customStyle="1" w:styleId="ListDash3">
    <w:name w:val="List Dash 3"/>
    <w:basedOn w:val="Normal"/>
    <w:rsid w:val="007D3BD4"/>
    <w:pPr>
      <w:numPr>
        <w:numId w:val="10"/>
      </w:numPr>
    </w:pPr>
    <w:rPr>
      <w:rFonts w:eastAsia="Times New Roman"/>
      <w:lang w:val="fr-FR" w:eastAsia="en-GB"/>
    </w:rPr>
  </w:style>
  <w:style w:type="paragraph" w:customStyle="1" w:styleId="ListDash4">
    <w:name w:val="List Dash 4"/>
    <w:basedOn w:val="Normal"/>
    <w:rsid w:val="007D3BD4"/>
    <w:pPr>
      <w:numPr>
        <w:numId w:val="11"/>
      </w:numPr>
    </w:pPr>
    <w:rPr>
      <w:rFonts w:eastAsia="Times New Roman"/>
      <w:lang w:val="fr-FR" w:eastAsia="en-GB"/>
    </w:rPr>
  </w:style>
  <w:style w:type="paragraph" w:customStyle="1" w:styleId="ListNumber1">
    <w:name w:val="List Number 1"/>
    <w:basedOn w:val="Text1"/>
    <w:rsid w:val="007D3BD4"/>
    <w:pPr>
      <w:numPr>
        <w:numId w:val="12"/>
      </w:numPr>
    </w:pPr>
    <w:rPr>
      <w:rFonts w:eastAsia="Times New Roman"/>
      <w:lang w:val="fr-FR" w:eastAsia="en-GB"/>
    </w:rPr>
  </w:style>
  <w:style w:type="paragraph" w:customStyle="1" w:styleId="ListNumber1Level2">
    <w:name w:val="List Number 1 (Level 2)"/>
    <w:basedOn w:val="Text1"/>
    <w:rsid w:val="007D3BD4"/>
    <w:pPr>
      <w:numPr>
        <w:ilvl w:val="1"/>
        <w:numId w:val="12"/>
      </w:numPr>
    </w:pPr>
    <w:rPr>
      <w:rFonts w:eastAsia="Times New Roman"/>
      <w:lang w:val="fr-FR" w:eastAsia="en-GB"/>
    </w:rPr>
  </w:style>
  <w:style w:type="paragraph" w:customStyle="1" w:styleId="ListNumber2Level2">
    <w:name w:val="List Number 2 (Level 2)"/>
    <w:basedOn w:val="Text2"/>
    <w:rsid w:val="007D3BD4"/>
    <w:pPr>
      <w:numPr>
        <w:ilvl w:val="1"/>
        <w:numId w:val="13"/>
      </w:numPr>
    </w:pPr>
    <w:rPr>
      <w:rFonts w:eastAsia="Times New Roman"/>
      <w:lang w:val="fr-FR" w:eastAsia="en-GB"/>
    </w:rPr>
  </w:style>
  <w:style w:type="paragraph" w:customStyle="1" w:styleId="ListNumber3Level2">
    <w:name w:val="List Number 3 (Level 2)"/>
    <w:basedOn w:val="Text3"/>
    <w:rsid w:val="007D3BD4"/>
    <w:pPr>
      <w:numPr>
        <w:ilvl w:val="1"/>
        <w:numId w:val="14"/>
      </w:numPr>
    </w:pPr>
    <w:rPr>
      <w:rFonts w:eastAsia="Times New Roman"/>
      <w:lang w:val="fr-FR" w:eastAsia="en-GB"/>
    </w:rPr>
  </w:style>
  <w:style w:type="paragraph" w:customStyle="1" w:styleId="ListNumber4Level2">
    <w:name w:val="List Number 4 (Level 2)"/>
    <w:basedOn w:val="Text4"/>
    <w:rsid w:val="007D3BD4"/>
    <w:pPr>
      <w:numPr>
        <w:ilvl w:val="1"/>
        <w:numId w:val="15"/>
      </w:numPr>
    </w:pPr>
    <w:rPr>
      <w:rFonts w:eastAsia="Times New Roman"/>
      <w:lang w:val="fr-FR" w:eastAsia="en-GB"/>
    </w:rPr>
  </w:style>
  <w:style w:type="paragraph" w:customStyle="1" w:styleId="ListNumber1Level3">
    <w:name w:val="List Number 1 (Level 3)"/>
    <w:basedOn w:val="Text1"/>
    <w:rsid w:val="007D3BD4"/>
    <w:pPr>
      <w:numPr>
        <w:ilvl w:val="2"/>
        <w:numId w:val="12"/>
      </w:numPr>
    </w:pPr>
    <w:rPr>
      <w:rFonts w:eastAsia="Times New Roman"/>
      <w:lang w:val="fr-FR" w:eastAsia="en-GB"/>
    </w:rPr>
  </w:style>
  <w:style w:type="paragraph" w:customStyle="1" w:styleId="ListNumber2Level3">
    <w:name w:val="List Number 2 (Level 3)"/>
    <w:basedOn w:val="Text2"/>
    <w:rsid w:val="007D3BD4"/>
    <w:pPr>
      <w:numPr>
        <w:ilvl w:val="2"/>
        <w:numId w:val="13"/>
      </w:numPr>
    </w:pPr>
    <w:rPr>
      <w:rFonts w:eastAsia="Times New Roman"/>
      <w:lang w:val="fr-FR" w:eastAsia="en-GB"/>
    </w:rPr>
  </w:style>
  <w:style w:type="paragraph" w:customStyle="1" w:styleId="ListNumber3Level3">
    <w:name w:val="List Number 3 (Level 3)"/>
    <w:basedOn w:val="Text3"/>
    <w:rsid w:val="007D3BD4"/>
    <w:pPr>
      <w:numPr>
        <w:ilvl w:val="2"/>
        <w:numId w:val="14"/>
      </w:numPr>
    </w:pPr>
    <w:rPr>
      <w:rFonts w:eastAsia="Times New Roman"/>
      <w:lang w:val="fr-FR" w:eastAsia="en-GB"/>
    </w:rPr>
  </w:style>
  <w:style w:type="paragraph" w:customStyle="1" w:styleId="ListNumber4Level3">
    <w:name w:val="List Number 4 (Level 3)"/>
    <w:basedOn w:val="Text4"/>
    <w:rsid w:val="007D3BD4"/>
    <w:pPr>
      <w:numPr>
        <w:ilvl w:val="2"/>
        <w:numId w:val="15"/>
      </w:numPr>
    </w:pPr>
    <w:rPr>
      <w:rFonts w:eastAsia="Times New Roman"/>
      <w:lang w:val="fr-FR" w:eastAsia="en-GB"/>
    </w:rPr>
  </w:style>
  <w:style w:type="paragraph" w:customStyle="1" w:styleId="ListNumber1Level4">
    <w:name w:val="List Number 1 (Level 4)"/>
    <w:basedOn w:val="Text1"/>
    <w:rsid w:val="007D3BD4"/>
    <w:pPr>
      <w:numPr>
        <w:ilvl w:val="3"/>
        <w:numId w:val="12"/>
      </w:numPr>
    </w:pPr>
    <w:rPr>
      <w:rFonts w:eastAsia="Times New Roman"/>
      <w:lang w:val="fr-FR" w:eastAsia="en-GB"/>
    </w:rPr>
  </w:style>
  <w:style w:type="paragraph" w:customStyle="1" w:styleId="ListNumber2Level4">
    <w:name w:val="List Number 2 (Level 4)"/>
    <w:basedOn w:val="Text2"/>
    <w:rsid w:val="007D3BD4"/>
    <w:pPr>
      <w:numPr>
        <w:ilvl w:val="3"/>
        <w:numId w:val="13"/>
      </w:numPr>
    </w:pPr>
    <w:rPr>
      <w:rFonts w:eastAsia="Times New Roman"/>
      <w:lang w:val="fr-FR" w:eastAsia="en-GB"/>
    </w:rPr>
  </w:style>
  <w:style w:type="paragraph" w:customStyle="1" w:styleId="ListNumber3Level4">
    <w:name w:val="List Number 3 (Level 4)"/>
    <w:basedOn w:val="Text3"/>
    <w:rsid w:val="007D3BD4"/>
    <w:pPr>
      <w:numPr>
        <w:ilvl w:val="3"/>
        <w:numId w:val="14"/>
      </w:numPr>
    </w:pPr>
    <w:rPr>
      <w:rFonts w:eastAsia="Times New Roman"/>
      <w:lang w:val="fr-FR" w:eastAsia="en-GB"/>
    </w:rPr>
  </w:style>
  <w:style w:type="paragraph" w:customStyle="1" w:styleId="ListNumber4Level4">
    <w:name w:val="List Number 4 (Level 4)"/>
    <w:basedOn w:val="Text4"/>
    <w:rsid w:val="007D3BD4"/>
    <w:pPr>
      <w:numPr>
        <w:ilvl w:val="3"/>
        <w:numId w:val="15"/>
      </w:numPr>
    </w:pPr>
    <w:rPr>
      <w:rFonts w:eastAsia="Times New Roman"/>
      <w:lang w:val="fr-FR" w:eastAsia="en-GB"/>
    </w:rPr>
  </w:style>
  <w:style w:type="paragraph" w:customStyle="1" w:styleId="Annexetitreacte">
    <w:name w:val="Annexe titre (acte)"/>
    <w:basedOn w:val="Normal"/>
    <w:next w:val="Normal"/>
    <w:rsid w:val="007D3BD4"/>
    <w:pPr>
      <w:jc w:val="center"/>
    </w:pPr>
    <w:rPr>
      <w:rFonts w:eastAsia="Times New Roman"/>
      <w:b/>
      <w:u w:val="single"/>
      <w:lang w:val="fr-FR" w:eastAsia="en-GB"/>
    </w:rPr>
  </w:style>
  <w:style w:type="paragraph" w:customStyle="1" w:styleId="Annexetitreexposglobal">
    <w:name w:val="Annexe titre (exposé global)"/>
    <w:basedOn w:val="Normal"/>
    <w:next w:val="Normal"/>
    <w:rsid w:val="007D3BD4"/>
    <w:pPr>
      <w:jc w:val="center"/>
    </w:pPr>
    <w:rPr>
      <w:rFonts w:eastAsia="Times New Roman"/>
      <w:b/>
      <w:u w:val="single"/>
      <w:lang w:val="fr-FR" w:eastAsia="en-GB"/>
    </w:rPr>
  </w:style>
  <w:style w:type="paragraph" w:customStyle="1" w:styleId="Annexetitrefichefinacte">
    <w:name w:val="Annexe titre (fiche fin. acte)"/>
    <w:basedOn w:val="Normal"/>
    <w:next w:val="Normal"/>
    <w:rsid w:val="007D3BD4"/>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7D3BD4"/>
    <w:pPr>
      <w:jc w:val="center"/>
    </w:pPr>
    <w:rPr>
      <w:rFonts w:eastAsia="Times New Roman"/>
      <w:b/>
      <w:u w:val="single"/>
      <w:lang w:val="fr-FR" w:eastAsia="en-GB"/>
    </w:rPr>
  </w:style>
  <w:style w:type="paragraph" w:customStyle="1" w:styleId="Annexetitreglobale">
    <w:name w:val="Annexe titre (globale)"/>
    <w:basedOn w:val="Normal"/>
    <w:next w:val="Normal"/>
    <w:rsid w:val="007D3BD4"/>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7D3BD4"/>
    <w:pPr>
      <w:jc w:val="center"/>
    </w:pPr>
    <w:rPr>
      <w:rFonts w:eastAsia="Times New Roman"/>
      <w:b/>
      <w:u w:val="single"/>
      <w:lang w:val="fr-FR" w:eastAsia="en-GB"/>
    </w:rPr>
  </w:style>
  <w:style w:type="paragraph" w:customStyle="1" w:styleId="Langueoriginale">
    <w:name w:val="Langue originale"/>
    <w:basedOn w:val="Normal"/>
    <w:rsid w:val="007D3BD4"/>
    <w:pPr>
      <w:spacing w:before="360"/>
      <w:jc w:val="center"/>
    </w:pPr>
    <w:rPr>
      <w:rFonts w:eastAsia="Times New Roman"/>
      <w:caps/>
      <w:lang w:val="fr-FR" w:eastAsia="en-GB"/>
    </w:rPr>
  </w:style>
  <w:style w:type="paragraph" w:customStyle="1" w:styleId="Phrasefinale">
    <w:name w:val="Phrase finale"/>
    <w:basedOn w:val="Normal"/>
    <w:next w:val="Normal"/>
    <w:rsid w:val="007D3BD4"/>
    <w:pPr>
      <w:spacing w:before="360" w:after="0"/>
      <w:jc w:val="center"/>
    </w:pPr>
    <w:rPr>
      <w:rFonts w:eastAsia="Times New Roman"/>
      <w:lang w:val="fr-FR" w:eastAsia="en-GB"/>
    </w:rPr>
  </w:style>
  <w:style w:type="paragraph" w:customStyle="1" w:styleId="Prliminairetitre">
    <w:name w:val="Préliminaire titre"/>
    <w:basedOn w:val="Normal"/>
    <w:next w:val="Normal"/>
    <w:rsid w:val="007D3BD4"/>
    <w:pPr>
      <w:spacing w:before="360" w:after="360"/>
      <w:jc w:val="center"/>
    </w:pPr>
    <w:rPr>
      <w:rFonts w:eastAsia="Times New Roman"/>
      <w:b/>
      <w:lang w:val="fr-FR" w:eastAsia="en-GB"/>
    </w:rPr>
  </w:style>
  <w:style w:type="paragraph" w:customStyle="1" w:styleId="Prliminairetype">
    <w:name w:val="Préliminaire type"/>
    <w:basedOn w:val="Normal"/>
    <w:next w:val="Normal"/>
    <w:rsid w:val="007D3BD4"/>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7D3BD4"/>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7D3BD4"/>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7D3BD4"/>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7D3BD4"/>
    <w:pPr>
      <w:spacing w:before="0" w:after="0"/>
      <w:jc w:val="center"/>
    </w:pPr>
    <w:rPr>
      <w:rFonts w:eastAsia="Times New Roman"/>
      <w:b/>
      <w:lang w:val="fr-FR" w:eastAsia="en-GB"/>
    </w:rPr>
  </w:style>
  <w:style w:type="paragraph" w:customStyle="1" w:styleId="Statutprliminaire">
    <w:name w:val="Statut (préliminaire)"/>
    <w:basedOn w:val="Normal"/>
    <w:next w:val="Normal"/>
    <w:rsid w:val="007D3BD4"/>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7D3BD4"/>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7D3BD4"/>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7D3BD4"/>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7D3BD4"/>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7D3BD4"/>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7D3BD4"/>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7D3BD4"/>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7D3BD4"/>
    <w:pPr>
      <w:jc w:val="center"/>
    </w:pPr>
    <w:rPr>
      <w:rFonts w:eastAsia="Times New Roman"/>
      <w:b/>
      <w:u w:val="single"/>
      <w:lang w:val="fr-FR" w:eastAsia="en-GB"/>
    </w:rPr>
  </w:style>
  <w:style w:type="character" w:styleId="CommentReference">
    <w:name w:val="annotation reference"/>
    <w:rsid w:val="007D3BD4"/>
    <w:rPr>
      <w:rFonts w:cs="Times New Roman"/>
      <w:sz w:val="16"/>
      <w:szCs w:val="16"/>
    </w:rPr>
  </w:style>
  <w:style w:type="paragraph" w:styleId="CommentText">
    <w:name w:val="annotation text"/>
    <w:basedOn w:val="Normal"/>
    <w:link w:val="CommentTextChar"/>
    <w:rsid w:val="007D3BD4"/>
    <w:rPr>
      <w:rFonts w:eastAsia="Times New Roman"/>
      <w:sz w:val="20"/>
      <w:szCs w:val="20"/>
      <w:lang w:val="fr-FR" w:eastAsia="en-GB"/>
    </w:rPr>
  </w:style>
  <w:style w:type="character" w:customStyle="1" w:styleId="CommentTextChar">
    <w:name w:val="Comment Text Char"/>
    <w:basedOn w:val="DefaultParagraphFont"/>
    <w:link w:val="CommentText"/>
    <w:rsid w:val="007D3BD4"/>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7D3BD4"/>
    <w:rPr>
      <w:b/>
      <w:bCs/>
    </w:rPr>
  </w:style>
  <w:style w:type="character" w:customStyle="1" w:styleId="CommentSubjectChar">
    <w:name w:val="Comment Subject Char"/>
    <w:basedOn w:val="CommentTextChar"/>
    <w:link w:val="CommentSubject"/>
    <w:rsid w:val="007D3BD4"/>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7D3BD4"/>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7D3BD4"/>
    <w:rPr>
      <w:rFonts w:ascii="Tahoma" w:eastAsia="Times New Roman" w:hAnsi="Tahoma" w:cs="Tahoma"/>
      <w:sz w:val="16"/>
      <w:szCs w:val="16"/>
      <w:lang w:val="fr-FR" w:eastAsia="en-GB"/>
    </w:rPr>
  </w:style>
  <w:style w:type="paragraph" w:styleId="Caption">
    <w:name w:val="caption"/>
    <w:basedOn w:val="Normal"/>
    <w:next w:val="Normal"/>
    <w:qFormat/>
    <w:rsid w:val="007D3BD4"/>
    <w:rPr>
      <w:rFonts w:eastAsia="Times New Roman"/>
      <w:b/>
      <w:bCs/>
      <w:sz w:val="20"/>
      <w:szCs w:val="20"/>
      <w:lang w:val="fr-FR" w:eastAsia="en-GB"/>
    </w:rPr>
  </w:style>
  <w:style w:type="paragraph" w:styleId="TableofFigures">
    <w:name w:val="table of figures"/>
    <w:basedOn w:val="Normal"/>
    <w:next w:val="Normal"/>
    <w:rsid w:val="007D3BD4"/>
    <w:rPr>
      <w:rFonts w:eastAsia="Times New Roman"/>
      <w:lang w:val="fr-FR" w:eastAsia="en-GB"/>
    </w:rPr>
  </w:style>
  <w:style w:type="character" w:styleId="PageNumber">
    <w:name w:val="page number"/>
    <w:rsid w:val="007D3BD4"/>
  </w:style>
  <w:style w:type="character" w:customStyle="1" w:styleId="tw4winMark">
    <w:name w:val="tw4winMark"/>
    <w:rsid w:val="007D3BD4"/>
    <w:rPr>
      <w:vanish/>
      <w:color w:val="800080"/>
      <w:vertAlign w:val="subscript"/>
    </w:rPr>
  </w:style>
  <w:style w:type="character" w:styleId="FollowedHyperlink">
    <w:name w:val="FollowedHyperlink"/>
    <w:rsid w:val="007D3BD4"/>
    <w:rPr>
      <w:color w:val="800080"/>
      <w:u w:val="single"/>
    </w:rPr>
  </w:style>
  <w:style w:type="paragraph" w:customStyle="1" w:styleId="Sous-titreobjet">
    <w:name w:val="Sous-titre objet"/>
    <w:basedOn w:val="Normal"/>
    <w:rsid w:val="007D3BD4"/>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7D3BD4"/>
  </w:style>
  <w:style w:type="paragraph" w:styleId="Revision">
    <w:name w:val="Revision"/>
    <w:hidden/>
    <w:uiPriority w:val="99"/>
    <w:semiHidden/>
    <w:rsid w:val="007D3BD4"/>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7D3BD4"/>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7D3BD4"/>
    <w:rPr>
      <w:rFonts w:ascii="Times New Roman" w:hAnsi="Times New Roman" w:cs="Times New Roman"/>
      <w:b/>
      <w:sz w:val="28"/>
      <w:lang w:val="en-GB"/>
    </w:rPr>
  </w:style>
  <w:style w:type="character" w:customStyle="1" w:styleId="FooterCoverPageChar">
    <w:name w:val="Footer Cover Page Char"/>
    <w:link w:val="FooterCoverPage"/>
    <w:rsid w:val="007D3BD4"/>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7D3BD4"/>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7D3BD4"/>
    <w:rPr>
      <w:rFonts w:ascii="Times New Roman" w:eastAsia="Calibri" w:hAnsi="Times New Roman" w:cs="Times New Roman"/>
      <w:sz w:val="24"/>
      <w:lang w:val="en-GB" w:eastAsia="en-GB"/>
    </w:rPr>
  </w:style>
  <w:style w:type="paragraph" w:styleId="Header">
    <w:name w:val="header"/>
    <w:basedOn w:val="Normal"/>
    <w:link w:val="HeaderChar"/>
    <w:uiPriority w:val="99"/>
    <w:unhideWhenUsed/>
    <w:rsid w:val="00134ED5"/>
    <w:pPr>
      <w:tabs>
        <w:tab w:val="center" w:pos="4535"/>
        <w:tab w:val="right" w:pos="9071"/>
      </w:tabs>
      <w:spacing w:before="0"/>
    </w:pPr>
  </w:style>
  <w:style w:type="character" w:customStyle="1" w:styleId="HeaderChar">
    <w:name w:val="Header Char"/>
    <w:basedOn w:val="DefaultParagraphFont"/>
    <w:link w:val="Header"/>
    <w:uiPriority w:val="99"/>
    <w:rsid w:val="00134ED5"/>
    <w:rPr>
      <w:rFonts w:ascii="Times New Roman" w:hAnsi="Times New Roman" w:cs="Times New Roman"/>
      <w:sz w:val="24"/>
      <w:lang w:val="en-GB"/>
    </w:rPr>
  </w:style>
  <w:style w:type="paragraph" w:styleId="Footer">
    <w:name w:val="footer"/>
    <w:basedOn w:val="Normal"/>
    <w:link w:val="FooterChar"/>
    <w:uiPriority w:val="99"/>
    <w:unhideWhenUsed/>
    <w:rsid w:val="00134ED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34ED5"/>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34ED5"/>
    <w:pPr>
      <w:tabs>
        <w:tab w:val="center" w:pos="7285"/>
        <w:tab w:val="right" w:pos="14003"/>
      </w:tabs>
      <w:spacing w:before="0"/>
    </w:pPr>
  </w:style>
  <w:style w:type="paragraph" w:customStyle="1" w:styleId="FooterLandscape">
    <w:name w:val="FooterLandscape"/>
    <w:basedOn w:val="Normal"/>
    <w:rsid w:val="00134ED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34ED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34ED5"/>
    <w:pPr>
      <w:spacing w:before="0"/>
      <w:jc w:val="right"/>
    </w:pPr>
    <w:rPr>
      <w:sz w:val="28"/>
    </w:rPr>
  </w:style>
  <w:style w:type="paragraph" w:customStyle="1" w:styleId="FooterSensitivity">
    <w:name w:val="Footer Sensitivity"/>
    <w:basedOn w:val="Normal"/>
    <w:rsid w:val="00134ED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Tiret5">
    <w:name w:val="Tiret 5"/>
    <w:basedOn w:val="Point5"/>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NumPar5">
    <w:name w:val="NumPar 5"/>
    <w:basedOn w:val="Normal"/>
    <w:next w:val="Text2"/>
    <w:pPr>
      <w:numPr>
        <w:ilvl w:val="4"/>
        <w:numId w:val="24"/>
      </w:numPr>
    </w:pPr>
  </w:style>
  <w:style w:type="paragraph" w:customStyle="1" w:styleId="NumPar6">
    <w:name w:val="NumPar 6"/>
    <w:basedOn w:val="Normal"/>
    <w:next w:val="Text2"/>
    <w:pPr>
      <w:numPr>
        <w:ilvl w:val="5"/>
        <w:numId w:val="24"/>
      </w:numPr>
    </w:pPr>
  </w:style>
  <w:style w:type="paragraph" w:customStyle="1" w:styleId="NumPar7">
    <w:name w:val="NumPar 7"/>
    <w:basedOn w:val="Normal"/>
    <w:next w:val="Text2"/>
    <w:pPr>
      <w:numPr>
        <w:ilvl w:val="6"/>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036757">
      <w:bodyDiv w:val="1"/>
      <w:marLeft w:val="0"/>
      <w:marRight w:val="0"/>
      <w:marTop w:val="0"/>
      <w:marBottom w:val="0"/>
      <w:divBdr>
        <w:top w:val="none" w:sz="0" w:space="0" w:color="auto"/>
        <w:left w:val="none" w:sz="0" w:space="0" w:color="auto"/>
        <w:bottom w:val="none" w:sz="0" w:space="0" w:color="auto"/>
        <w:right w:val="none" w:sz="0" w:space="0" w:color="auto"/>
      </w:divBdr>
    </w:div>
    <w:div w:id="1039622534">
      <w:bodyDiv w:val="1"/>
      <w:marLeft w:val="0"/>
      <w:marRight w:val="0"/>
      <w:marTop w:val="0"/>
      <w:marBottom w:val="0"/>
      <w:divBdr>
        <w:top w:val="none" w:sz="0" w:space="0" w:color="auto"/>
        <w:left w:val="none" w:sz="0" w:space="0" w:color="auto"/>
        <w:bottom w:val="none" w:sz="0" w:space="0" w:color="auto"/>
        <w:right w:val="none" w:sz="0" w:space="0" w:color="auto"/>
      </w:divBdr>
    </w:div>
    <w:div w:id="106478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857E6-61D5-4E2F-A871-087D41F8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6</Pages>
  <Words>1863</Words>
  <Characters>10286</Characters>
  <Application>Microsoft Office Word</Application>
  <DocSecurity>0</DocSecurity>
  <Lines>174</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38</cp:revision>
  <dcterms:created xsi:type="dcterms:W3CDTF">2022-10-05T18:12:00Z</dcterms:created>
  <dcterms:modified xsi:type="dcterms:W3CDTF">2022-10-27T13:57:00Z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8.1, Build 20220902</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SJ-021</vt:lpwstr>
  </property>
  <property fmtid="{D5CDD505-2E9C-101B-9397-08002B2CF9AE}" pid="10" name="MSIP_Label_6bd9ddd1-4d20-43f6-abfa-fc3c07406f94_Enabled">
    <vt:lpwstr>true</vt:lpwstr>
  </property>
  <property fmtid="{D5CDD505-2E9C-101B-9397-08002B2CF9AE}" pid="11" name="MSIP_Label_6bd9ddd1-4d20-43f6-abfa-fc3c07406f94_SetDate">
    <vt:lpwstr>2022-09-06T09:44:52Z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6828380b-4a92-4e6d-b197-21e2bba03bb6</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