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7A6" w:rsidRPr="004F7784" w:rsidRDefault="000A1507" w:rsidP="000A1507">
      <w:pPr>
        <w:pStyle w:val="Pagedecouverture"/>
        <w:rPr>
          <w:noProof/>
          <w:lang w:val="en-IE"/>
        </w:rPr>
      </w:pPr>
      <w:r>
        <w:rPr>
          <w:noProof/>
          <w:lang w:val="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0511BAE-35A5-4535-924C-853046CC11B2" style="width:455.25pt;height:426pt">
            <v:imagedata r:id="rId11" o:title=""/>
          </v:shape>
        </w:pict>
      </w:r>
    </w:p>
    <w:p w:rsidR="00094FF0" w:rsidRDefault="00094FF0" w:rsidP="00094FF0">
      <w:pPr>
        <w:rPr>
          <w:noProof/>
        </w:rPr>
        <w:sectPr w:rsidR="00094FF0" w:rsidSect="000A1507">
          <w:footerReference w:type="default" r:id="rId12"/>
          <w:pgSz w:w="11907" w:h="16839"/>
          <w:pgMar w:top="1134" w:right="1417" w:bottom="1134" w:left="1417" w:header="709" w:footer="709" w:gutter="0"/>
          <w:pgNumType w:start="0"/>
          <w:cols w:space="720"/>
          <w:docGrid w:linePitch="360"/>
        </w:sectPr>
      </w:pPr>
    </w:p>
    <w:p w:rsidR="007F180F" w:rsidRDefault="007F180F" w:rsidP="007F180F">
      <w:pPr>
        <w:pStyle w:val="Exposdesmotifstitre"/>
        <w:rPr>
          <w:noProof/>
        </w:rPr>
      </w:pPr>
      <w:bookmarkStart w:id="0" w:name="_GoBack"/>
      <w:bookmarkEnd w:id="0"/>
      <w:r w:rsidRPr="00094FF0">
        <w:rPr>
          <w:noProof/>
        </w:rPr>
        <w:lastRenderedPageBreak/>
        <w:t>EXPLANATORY MEMORANDUM</w:t>
      </w:r>
    </w:p>
    <w:p w:rsidR="007F180F" w:rsidRDefault="007F180F" w:rsidP="007D1438">
      <w:pPr>
        <w:pBdr>
          <w:top w:val="nil"/>
          <w:left w:val="nil"/>
          <w:bottom w:val="nil"/>
          <w:right w:val="nil"/>
          <w:between w:val="nil"/>
          <w:bar w:val="nil"/>
        </w:pBdr>
        <w:spacing w:before="0" w:after="240"/>
        <w:rPr>
          <w:rFonts w:eastAsia="Arial Unicode MS"/>
          <w:noProof/>
        </w:rPr>
      </w:pPr>
    </w:p>
    <w:p w:rsidR="007F180F" w:rsidRPr="00D33745" w:rsidRDefault="007F180F" w:rsidP="007D1438">
      <w:pPr>
        <w:pStyle w:val="ManualHeading1"/>
        <w:rPr>
          <w:noProof/>
          <w:lang w:val="en-IE"/>
        </w:rPr>
      </w:pPr>
      <w:r w:rsidRPr="00D33745">
        <w:rPr>
          <w:smallCaps w:val="0"/>
          <w:noProof/>
          <w:lang w:val="en-IE"/>
        </w:rPr>
        <w:t>1.</w:t>
      </w:r>
      <w:r w:rsidRPr="00D33745">
        <w:rPr>
          <w:noProof/>
          <w:lang w:val="en-IE"/>
        </w:rPr>
        <w:tab/>
        <w:t>CONTEXT OF THE PROPOSAL</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Reasons for and objectives of the proposal</w:t>
      </w:r>
    </w:p>
    <w:p w:rsidR="00D85359" w:rsidRPr="00D33745" w:rsidRDefault="00D85359" w:rsidP="00D85359">
      <w:pPr>
        <w:spacing w:before="0" w:after="200"/>
        <w:rPr>
          <w:noProof/>
          <w:lang w:val="en-IE"/>
        </w:rPr>
      </w:pPr>
      <w:r w:rsidRPr="00D33745">
        <w:rPr>
          <w:noProof/>
          <w:lang w:val="en-IE"/>
        </w:rPr>
        <w:t xml:space="preserve">This explanatory memorandum accompanies the proposal for a </w:t>
      </w:r>
      <w:r>
        <w:rPr>
          <w:noProof/>
          <w:lang w:val="en-IE"/>
        </w:rPr>
        <w:t>r</w:t>
      </w:r>
      <w:r w:rsidRPr="00D33745">
        <w:rPr>
          <w:noProof/>
          <w:lang w:val="en-IE"/>
        </w:rPr>
        <w:t>egulation on data collection and sharing relating to short-term accommodation rental services (the ‘Proposal’).</w:t>
      </w:r>
    </w:p>
    <w:p w:rsidR="00D85359" w:rsidRPr="00D33745" w:rsidRDefault="00D85359" w:rsidP="00D85359">
      <w:pPr>
        <w:spacing w:before="0" w:after="200"/>
        <w:rPr>
          <w:noProof/>
          <w:lang w:val="en-IE"/>
        </w:rPr>
      </w:pPr>
      <w:r w:rsidRPr="00D33745">
        <w:rPr>
          <w:noProof/>
          <w:lang w:val="en-IE"/>
        </w:rPr>
        <w:t>Short-term accommodation rentals (STRs) are an increasingly important part of the tourism sector</w:t>
      </w:r>
      <w:r>
        <w:rPr>
          <w:noProof/>
          <w:lang w:val="en-IE"/>
        </w:rPr>
        <w:t xml:space="preserve">. They </w:t>
      </w:r>
      <w:r w:rsidRPr="00D33745">
        <w:rPr>
          <w:noProof/>
          <w:lang w:val="en-IE"/>
        </w:rPr>
        <w:t xml:space="preserve">represent nearly one quarter of the total EU </w:t>
      </w:r>
      <w:r>
        <w:rPr>
          <w:noProof/>
          <w:lang w:val="en-IE"/>
        </w:rPr>
        <w:t>supply</w:t>
      </w:r>
      <w:r w:rsidRPr="00D33745">
        <w:rPr>
          <w:noProof/>
          <w:lang w:val="en-IE"/>
        </w:rPr>
        <w:t xml:space="preserve"> of tourist accommodation, and </w:t>
      </w:r>
      <w:r>
        <w:rPr>
          <w:noProof/>
          <w:lang w:val="en-IE"/>
        </w:rPr>
        <w:t xml:space="preserve">this has been </w:t>
      </w:r>
      <w:r w:rsidRPr="00D33745">
        <w:rPr>
          <w:noProof/>
          <w:lang w:val="en-IE"/>
        </w:rPr>
        <w:t>boosted by the emergence of online platforms</w:t>
      </w:r>
      <w:r w:rsidRPr="00D33745">
        <w:rPr>
          <w:rStyle w:val="FootnoteReference"/>
          <w:noProof/>
          <w:lang w:val="en-IE"/>
        </w:rPr>
        <w:footnoteReference w:id="2"/>
      </w:r>
      <w:r w:rsidRPr="00D33745">
        <w:rPr>
          <w:noProof/>
          <w:lang w:val="en-IE"/>
        </w:rPr>
        <w:t xml:space="preserve">. STRs create benefits and opportunities for guests, hosts and the </w:t>
      </w:r>
      <w:r>
        <w:rPr>
          <w:noProof/>
          <w:lang w:val="en-IE"/>
        </w:rPr>
        <w:t xml:space="preserve">overall </w:t>
      </w:r>
      <w:r w:rsidRPr="00D33745">
        <w:rPr>
          <w:noProof/>
          <w:lang w:val="en-IE"/>
        </w:rPr>
        <w:t xml:space="preserve">tourism ecosystem, </w:t>
      </w:r>
      <w:r>
        <w:rPr>
          <w:noProof/>
          <w:lang w:val="en-IE"/>
        </w:rPr>
        <w:t xml:space="preserve">but </w:t>
      </w:r>
      <w:r w:rsidRPr="00D33745">
        <w:rPr>
          <w:noProof/>
          <w:lang w:val="en-IE"/>
        </w:rPr>
        <w:t>they are also a source of concern</w:t>
      </w:r>
      <w:r>
        <w:rPr>
          <w:noProof/>
          <w:lang w:val="en-IE"/>
        </w:rPr>
        <w:t xml:space="preserve"> (</w:t>
      </w:r>
      <w:r w:rsidRPr="00D33745">
        <w:rPr>
          <w:noProof/>
          <w:lang w:val="en-IE"/>
        </w:rPr>
        <w:t xml:space="preserve">notably for local communities </w:t>
      </w:r>
      <w:r>
        <w:rPr>
          <w:noProof/>
          <w:lang w:val="en-IE"/>
        </w:rPr>
        <w:t>dealing</w:t>
      </w:r>
      <w:r w:rsidRPr="00D33745">
        <w:rPr>
          <w:noProof/>
          <w:lang w:val="en-IE"/>
        </w:rPr>
        <w:t xml:space="preserve"> with</w:t>
      </w:r>
      <w:r>
        <w:rPr>
          <w:noProof/>
          <w:lang w:val="en-IE"/>
        </w:rPr>
        <w:t xml:space="preserve"> excessive tourism flows</w:t>
      </w:r>
      <w:r w:rsidRPr="00D33745">
        <w:rPr>
          <w:noProof/>
          <w:lang w:val="en-IE"/>
        </w:rPr>
        <w:t xml:space="preserve"> and a lack of affordable long-term housing</w:t>
      </w:r>
      <w:r>
        <w:rPr>
          <w:noProof/>
          <w:lang w:val="en-IE"/>
        </w:rPr>
        <w:t>)</w:t>
      </w:r>
      <w:r w:rsidRPr="00D33745">
        <w:rPr>
          <w:noProof/>
          <w:lang w:val="en-IE"/>
        </w:rPr>
        <w:t xml:space="preserve">. STRs are </w:t>
      </w:r>
      <w:r>
        <w:rPr>
          <w:noProof/>
          <w:lang w:val="en-IE"/>
        </w:rPr>
        <w:t xml:space="preserve">therefore </w:t>
      </w:r>
      <w:r w:rsidRPr="00D33745">
        <w:rPr>
          <w:noProof/>
          <w:lang w:val="en-IE"/>
        </w:rPr>
        <w:t>increasingly regulated at national, regional and local level. Public authorities have also taken action to enhance the transparency of STR</w:t>
      </w:r>
      <w:r>
        <w:rPr>
          <w:noProof/>
          <w:lang w:val="en-IE"/>
        </w:rPr>
        <w:t>s</w:t>
      </w:r>
      <w:r w:rsidRPr="00D33745">
        <w:rPr>
          <w:noProof/>
          <w:lang w:val="en-IE"/>
        </w:rPr>
        <w:t xml:space="preserve"> by, for instance, </w:t>
      </w:r>
      <w:r>
        <w:rPr>
          <w:noProof/>
          <w:lang w:val="en-IE"/>
        </w:rPr>
        <w:t>introducing</w:t>
      </w:r>
      <w:r w:rsidRPr="00D33745">
        <w:rPr>
          <w:noProof/>
          <w:lang w:val="en-IE"/>
        </w:rPr>
        <w:t xml:space="preserve"> registration requirements for hosts (</w:t>
      </w:r>
      <w:r>
        <w:rPr>
          <w:noProof/>
          <w:lang w:val="en-IE"/>
        </w:rPr>
        <w:t xml:space="preserve">thus </w:t>
      </w:r>
      <w:r w:rsidRPr="00D33745">
        <w:rPr>
          <w:noProof/>
          <w:lang w:val="en-IE"/>
        </w:rPr>
        <w:t>enabling public authorities to know which hosts offer what rentals) and by requesting online platforms to share data</w:t>
      </w:r>
      <w:r>
        <w:rPr>
          <w:noProof/>
          <w:lang w:val="en-IE"/>
        </w:rPr>
        <w:t xml:space="preserve"> on </w:t>
      </w:r>
      <w:r w:rsidRPr="00D33745">
        <w:rPr>
          <w:noProof/>
          <w:lang w:val="en-IE"/>
        </w:rPr>
        <w:t>hosts and their activities.</w:t>
      </w:r>
    </w:p>
    <w:p w:rsidR="00D85359" w:rsidRPr="00D33745" w:rsidRDefault="00D85359" w:rsidP="00D85359">
      <w:pPr>
        <w:spacing w:before="0" w:after="200"/>
        <w:rPr>
          <w:noProof/>
          <w:lang w:val="en-IE"/>
        </w:rPr>
      </w:pPr>
      <w:r w:rsidRPr="00D33745">
        <w:rPr>
          <w:noProof/>
          <w:lang w:val="en-IE"/>
        </w:rPr>
        <w:t xml:space="preserve">Numerous and </w:t>
      </w:r>
      <w:r>
        <w:rPr>
          <w:noProof/>
          <w:lang w:val="en-IE"/>
        </w:rPr>
        <w:t xml:space="preserve">differing </w:t>
      </w:r>
      <w:r w:rsidRPr="00D33745">
        <w:rPr>
          <w:noProof/>
          <w:lang w:val="en-IE"/>
        </w:rPr>
        <w:t xml:space="preserve">data requests by public authorities impose a heavy burden, notably on platforms which operate </w:t>
      </w:r>
      <w:r>
        <w:rPr>
          <w:noProof/>
          <w:lang w:val="en-IE"/>
        </w:rPr>
        <w:t>a</w:t>
      </w:r>
      <w:r w:rsidRPr="00D33745">
        <w:rPr>
          <w:noProof/>
          <w:lang w:val="en-IE"/>
        </w:rPr>
        <w:t>cross</w:t>
      </w:r>
      <w:r>
        <w:rPr>
          <w:noProof/>
          <w:lang w:val="en-IE"/>
        </w:rPr>
        <w:t xml:space="preserve"> </w:t>
      </w:r>
      <w:r w:rsidRPr="00D33745">
        <w:rPr>
          <w:noProof/>
          <w:lang w:val="en-IE"/>
        </w:rPr>
        <w:t>border</w:t>
      </w:r>
      <w:r>
        <w:rPr>
          <w:noProof/>
          <w:lang w:val="en-IE"/>
        </w:rPr>
        <w:t>s</w:t>
      </w:r>
      <w:r w:rsidRPr="00D33745">
        <w:rPr>
          <w:noProof/>
          <w:lang w:val="en-IE"/>
        </w:rPr>
        <w:t>. This</w:t>
      </w:r>
      <w:r>
        <w:rPr>
          <w:noProof/>
          <w:lang w:val="en-IE"/>
        </w:rPr>
        <w:t xml:space="preserve"> impairs</w:t>
      </w:r>
      <w:r w:rsidRPr="00D33745">
        <w:rPr>
          <w:noProof/>
          <w:lang w:val="en-IE"/>
        </w:rPr>
        <w:t xml:space="preserve"> their ability to offer STR services</w:t>
      </w:r>
      <w:r>
        <w:rPr>
          <w:noProof/>
          <w:lang w:val="en-IE"/>
        </w:rPr>
        <w:t xml:space="preserve"> across</w:t>
      </w:r>
      <w:r w:rsidRPr="00D33745">
        <w:rPr>
          <w:noProof/>
          <w:lang w:val="en-IE"/>
        </w:rPr>
        <w:t xml:space="preserve"> the single market. </w:t>
      </w:r>
      <w:r>
        <w:rPr>
          <w:noProof/>
          <w:lang w:val="en-IE"/>
        </w:rPr>
        <w:t>P</w:t>
      </w:r>
      <w:r w:rsidRPr="00D33745">
        <w:rPr>
          <w:noProof/>
          <w:lang w:val="en-IE"/>
        </w:rPr>
        <w:t xml:space="preserve">ublic authorities </w:t>
      </w:r>
      <w:r>
        <w:rPr>
          <w:noProof/>
          <w:lang w:val="en-IE"/>
        </w:rPr>
        <w:t xml:space="preserve">are also </w:t>
      </w:r>
      <w:r w:rsidRPr="00D33745">
        <w:rPr>
          <w:noProof/>
          <w:lang w:val="en-IE"/>
        </w:rPr>
        <w:t>struggl</w:t>
      </w:r>
      <w:r>
        <w:rPr>
          <w:noProof/>
          <w:lang w:val="en-IE"/>
        </w:rPr>
        <w:t>ing</w:t>
      </w:r>
      <w:r w:rsidRPr="00D33745">
        <w:rPr>
          <w:noProof/>
          <w:lang w:val="en-IE"/>
        </w:rPr>
        <w:t xml:space="preserve"> to </w:t>
      </w:r>
      <w:r>
        <w:rPr>
          <w:noProof/>
          <w:lang w:val="en-IE"/>
        </w:rPr>
        <w:t xml:space="preserve">obtain </w:t>
      </w:r>
      <w:r w:rsidRPr="00D33745">
        <w:rPr>
          <w:noProof/>
          <w:lang w:val="en-IE"/>
        </w:rPr>
        <w:t>reliable data in an efficient manner</w:t>
      </w:r>
      <w:r>
        <w:rPr>
          <w:noProof/>
          <w:lang w:val="en-IE"/>
        </w:rPr>
        <w:t xml:space="preserve"> – which </w:t>
      </w:r>
      <w:r w:rsidRPr="00D33745">
        <w:rPr>
          <w:noProof/>
          <w:lang w:val="en-IE"/>
        </w:rPr>
        <w:t xml:space="preserve">in turn hampers their efforts to </w:t>
      </w:r>
      <w:r>
        <w:rPr>
          <w:noProof/>
          <w:lang w:val="en-IE"/>
        </w:rPr>
        <w:t>develop</w:t>
      </w:r>
      <w:r w:rsidRPr="00D33745">
        <w:rPr>
          <w:noProof/>
          <w:lang w:val="en-IE"/>
        </w:rPr>
        <w:t xml:space="preserve"> appropriate and proportionate policy responses to the </w:t>
      </w:r>
      <w:r>
        <w:rPr>
          <w:noProof/>
          <w:lang w:val="en-IE"/>
        </w:rPr>
        <w:t xml:space="preserve">increase in the number of </w:t>
      </w:r>
      <w:r w:rsidRPr="00D33745">
        <w:rPr>
          <w:noProof/>
          <w:lang w:val="en-IE"/>
        </w:rPr>
        <w:t>STR</w:t>
      </w:r>
      <w:r>
        <w:rPr>
          <w:noProof/>
          <w:lang w:val="en-IE"/>
        </w:rPr>
        <w:t>s</w:t>
      </w:r>
      <w:r w:rsidRPr="00D33745">
        <w:rPr>
          <w:noProof/>
          <w:lang w:val="en-IE"/>
        </w:rPr>
        <w:t>. Difficulties in data sharing are driven by:</w:t>
      </w:r>
    </w:p>
    <w:p w:rsidR="007F180F" w:rsidRDefault="007F180F" w:rsidP="008033AB">
      <w:pPr>
        <w:pStyle w:val="Tiret0"/>
        <w:numPr>
          <w:ilvl w:val="0"/>
          <w:numId w:val="26"/>
        </w:numPr>
        <w:rPr>
          <w:noProof/>
          <w:lang w:val="en-IE"/>
        </w:rPr>
      </w:pPr>
      <w:r w:rsidRPr="0017592A">
        <w:rPr>
          <w:noProof/>
          <w:lang w:val="en-IE"/>
        </w:rPr>
        <w:t>inefficient and diverging registration schemes</w:t>
      </w:r>
      <w:r w:rsidR="00353F1D" w:rsidRPr="00353F1D">
        <w:rPr>
          <w:noProof/>
        </w:rPr>
        <w:t xml:space="preserve"> </w:t>
      </w:r>
      <w:r w:rsidR="00353F1D" w:rsidRPr="00353F1D">
        <w:rPr>
          <w:noProof/>
          <w:lang w:val="en-IE"/>
        </w:rPr>
        <w:t>managed by public authorities (which therefore cannot efficiently obtain identification data for hosts and listings)</w:t>
      </w:r>
      <w:r>
        <w:rPr>
          <w:noProof/>
          <w:lang w:val="en-IE"/>
        </w:rPr>
        <w:t>;</w:t>
      </w:r>
    </w:p>
    <w:p w:rsidR="007F180F" w:rsidRDefault="007F180F" w:rsidP="008033AB">
      <w:pPr>
        <w:pStyle w:val="Tiret0"/>
        <w:numPr>
          <w:ilvl w:val="0"/>
          <w:numId w:val="26"/>
        </w:numPr>
        <w:rPr>
          <w:noProof/>
          <w:lang w:val="en-IE"/>
        </w:rPr>
      </w:pPr>
      <w:r>
        <w:rPr>
          <w:noProof/>
          <w:lang w:val="en-IE"/>
        </w:rPr>
        <w:t xml:space="preserve">a lack </w:t>
      </w:r>
      <w:r w:rsidRPr="0017592A">
        <w:rPr>
          <w:noProof/>
          <w:lang w:val="en-IE"/>
        </w:rPr>
        <w:t xml:space="preserve">of </w:t>
      </w:r>
      <w:r w:rsidR="00353F1D" w:rsidRPr="00353F1D">
        <w:rPr>
          <w:noProof/>
          <w:lang w:val="en-IE"/>
        </w:rPr>
        <w:t xml:space="preserve">effective and enforceable legal frameworks, standards and tools </w:t>
      </w:r>
      <w:r w:rsidRPr="0017592A">
        <w:rPr>
          <w:noProof/>
          <w:lang w:val="en-IE"/>
        </w:rPr>
        <w:t xml:space="preserve">to share data </w:t>
      </w:r>
      <w:r w:rsidR="00D85359">
        <w:rPr>
          <w:noProof/>
          <w:lang w:val="en-IE"/>
        </w:rPr>
        <w:t>among</w:t>
      </w:r>
      <w:r w:rsidR="00D85359" w:rsidRPr="00D33745">
        <w:rPr>
          <w:noProof/>
          <w:lang w:val="en-IE"/>
        </w:rPr>
        <w:t xml:space="preserve"> platforms and public authorities;</w:t>
      </w:r>
    </w:p>
    <w:p w:rsidR="00D85359" w:rsidRPr="00D33745" w:rsidRDefault="00D85359" w:rsidP="008033AB">
      <w:pPr>
        <w:pStyle w:val="Tiret0"/>
        <w:numPr>
          <w:ilvl w:val="0"/>
          <w:numId w:val="26"/>
        </w:numPr>
        <w:rPr>
          <w:noProof/>
          <w:lang w:val="en-IE"/>
        </w:rPr>
      </w:pPr>
      <w:r>
        <w:rPr>
          <w:noProof/>
          <w:lang w:val="en-IE"/>
        </w:rPr>
        <w:t>the</w:t>
      </w:r>
      <w:r w:rsidRPr="00D33745">
        <w:rPr>
          <w:noProof/>
          <w:lang w:val="en-IE"/>
        </w:rPr>
        <w:t xml:space="preserve"> lack of a proper legal framework governing transparency and data sharing.</w:t>
      </w:r>
    </w:p>
    <w:p w:rsidR="00D85359" w:rsidRPr="00D33745" w:rsidRDefault="00D85359" w:rsidP="00D85359">
      <w:pPr>
        <w:spacing w:before="0" w:after="200"/>
        <w:rPr>
          <w:noProof/>
          <w:lang w:val="en-IE"/>
        </w:rPr>
      </w:pPr>
      <w:r w:rsidRPr="00D33745">
        <w:rPr>
          <w:noProof/>
          <w:lang w:val="en-IE"/>
        </w:rPr>
        <w:t xml:space="preserve">To address these issues the </w:t>
      </w:r>
      <w:r>
        <w:rPr>
          <w:noProof/>
          <w:lang w:val="en-IE"/>
        </w:rPr>
        <w:t>P</w:t>
      </w:r>
      <w:r w:rsidRPr="00D33745">
        <w:rPr>
          <w:noProof/>
          <w:lang w:val="en-IE"/>
        </w:rPr>
        <w:t>roposal</w:t>
      </w:r>
      <w:r>
        <w:rPr>
          <w:noProof/>
          <w:lang w:val="en-IE"/>
        </w:rPr>
        <w:t xml:space="preserve">’s </w:t>
      </w:r>
      <w:r w:rsidRPr="00D33745">
        <w:rPr>
          <w:noProof/>
          <w:lang w:val="en-IE"/>
        </w:rPr>
        <w:t>main objective</w:t>
      </w:r>
      <w:r>
        <w:rPr>
          <w:noProof/>
          <w:lang w:val="en-IE"/>
        </w:rPr>
        <w:t>s</w:t>
      </w:r>
      <w:r w:rsidRPr="00D33745">
        <w:rPr>
          <w:noProof/>
          <w:lang w:val="en-IE"/>
        </w:rPr>
        <w:t xml:space="preserve"> </w:t>
      </w:r>
      <w:r>
        <w:rPr>
          <w:noProof/>
          <w:lang w:val="en-IE"/>
        </w:rPr>
        <w:t>are</w:t>
      </w:r>
      <w:r w:rsidRPr="00D33745">
        <w:rPr>
          <w:noProof/>
          <w:lang w:val="en-IE"/>
        </w:rPr>
        <w:t xml:space="preserve"> to harmonise and improve the framework for data generation and data sharing on STRs across the </w:t>
      </w:r>
      <w:r>
        <w:rPr>
          <w:noProof/>
          <w:lang w:val="en-IE"/>
        </w:rPr>
        <w:t xml:space="preserve">European </w:t>
      </w:r>
      <w:r w:rsidRPr="00D33745">
        <w:rPr>
          <w:noProof/>
          <w:lang w:val="en-IE"/>
        </w:rPr>
        <w:t xml:space="preserve">Union, and </w:t>
      </w:r>
      <w:r>
        <w:rPr>
          <w:noProof/>
          <w:lang w:val="en-IE"/>
        </w:rPr>
        <w:t xml:space="preserve">to </w:t>
      </w:r>
      <w:r w:rsidRPr="00D33745">
        <w:rPr>
          <w:noProof/>
          <w:lang w:val="en-IE"/>
        </w:rPr>
        <w:t xml:space="preserve">enhance transparency in the STR sector. More specifically, the </w:t>
      </w:r>
      <w:r>
        <w:rPr>
          <w:noProof/>
          <w:lang w:val="en-IE"/>
        </w:rPr>
        <w:t>P</w:t>
      </w:r>
      <w:r w:rsidRPr="00D33745">
        <w:rPr>
          <w:noProof/>
          <w:lang w:val="en-IE"/>
        </w:rPr>
        <w:t>roposal offers:</w:t>
      </w:r>
    </w:p>
    <w:p w:rsidR="00D85359" w:rsidRPr="00D33745" w:rsidRDefault="00D85359" w:rsidP="008033AB">
      <w:pPr>
        <w:pStyle w:val="Tiret0"/>
        <w:numPr>
          <w:ilvl w:val="0"/>
          <w:numId w:val="26"/>
        </w:numPr>
        <w:rPr>
          <w:noProof/>
          <w:lang w:val="en-IE"/>
        </w:rPr>
      </w:pPr>
      <w:r w:rsidRPr="00D33745">
        <w:rPr>
          <w:noProof/>
          <w:lang w:val="en-IE"/>
        </w:rPr>
        <w:t xml:space="preserve">a harmonised approach to registration schemes for hosts, with an obligation </w:t>
      </w:r>
      <w:r>
        <w:rPr>
          <w:noProof/>
          <w:lang w:val="en-IE"/>
        </w:rPr>
        <w:t>for</w:t>
      </w:r>
      <w:r w:rsidRPr="00D33745">
        <w:rPr>
          <w:noProof/>
          <w:lang w:val="en-IE"/>
        </w:rPr>
        <w:t xml:space="preserve"> public authorities to maintain </w:t>
      </w:r>
      <w:r w:rsidR="00AD5559">
        <w:rPr>
          <w:noProof/>
          <w:lang w:val="en-IE"/>
        </w:rPr>
        <w:t>appropriately designed registration</w:t>
      </w:r>
      <w:r w:rsidR="00AD5559" w:rsidRPr="00D33745">
        <w:rPr>
          <w:noProof/>
          <w:lang w:val="en-IE"/>
        </w:rPr>
        <w:t xml:space="preserve"> </w:t>
      </w:r>
      <w:r w:rsidRPr="00D33745">
        <w:rPr>
          <w:noProof/>
          <w:lang w:val="en-IE"/>
        </w:rPr>
        <w:t xml:space="preserve">schemes if they </w:t>
      </w:r>
      <w:r>
        <w:rPr>
          <w:noProof/>
          <w:lang w:val="en-IE"/>
        </w:rPr>
        <w:t>want</w:t>
      </w:r>
      <w:r w:rsidRPr="00D33745">
        <w:rPr>
          <w:noProof/>
          <w:lang w:val="en-IE"/>
        </w:rPr>
        <w:t xml:space="preserve"> to obtain data for policymaking and enforcement purposes;</w:t>
      </w:r>
    </w:p>
    <w:p w:rsidR="00D85359" w:rsidRPr="00D33745" w:rsidRDefault="00D85359" w:rsidP="008033AB">
      <w:pPr>
        <w:pStyle w:val="Tiret0"/>
        <w:numPr>
          <w:ilvl w:val="0"/>
          <w:numId w:val="26"/>
        </w:numPr>
        <w:rPr>
          <w:noProof/>
          <w:lang w:val="en-IE"/>
        </w:rPr>
      </w:pPr>
      <w:r w:rsidRPr="00D33745">
        <w:rPr>
          <w:noProof/>
          <w:lang w:val="en-IE"/>
        </w:rPr>
        <w:t>obligation</w:t>
      </w:r>
      <w:r>
        <w:rPr>
          <w:noProof/>
          <w:lang w:val="en-IE"/>
        </w:rPr>
        <w:t>s</w:t>
      </w:r>
      <w:r w:rsidRPr="00D33745">
        <w:rPr>
          <w:noProof/>
          <w:lang w:val="en-IE"/>
        </w:rPr>
        <w:t xml:space="preserve"> </w:t>
      </w:r>
      <w:r>
        <w:rPr>
          <w:noProof/>
          <w:lang w:val="en-IE"/>
        </w:rPr>
        <w:t>for</w:t>
      </w:r>
      <w:r w:rsidRPr="00D33745">
        <w:rPr>
          <w:noProof/>
          <w:lang w:val="en-IE"/>
        </w:rPr>
        <w:t xml:space="preserve"> online platforms to enable hosts to display registration numbers (which will ensure </w:t>
      </w:r>
      <w:r>
        <w:rPr>
          <w:noProof/>
          <w:lang w:val="en-IE"/>
        </w:rPr>
        <w:t xml:space="preserve">hosts’ </w:t>
      </w:r>
      <w:r w:rsidRPr="00D33745">
        <w:rPr>
          <w:noProof/>
          <w:lang w:val="en-IE"/>
        </w:rPr>
        <w:t xml:space="preserve">compliance with registration requirements) and to share specific data about </w:t>
      </w:r>
      <w:r w:rsidR="00467916" w:rsidRPr="00D33745">
        <w:rPr>
          <w:noProof/>
          <w:lang w:val="en-IE"/>
        </w:rPr>
        <w:t>hosts</w:t>
      </w:r>
      <w:r w:rsidR="00467916">
        <w:rPr>
          <w:noProof/>
          <w:lang w:val="en-IE"/>
        </w:rPr>
        <w:t>’</w:t>
      </w:r>
      <w:r w:rsidR="00467916" w:rsidRPr="00D33745">
        <w:rPr>
          <w:noProof/>
          <w:lang w:val="en-IE"/>
        </w:rPr>
        <w:t xml:space="preserve"> </w:t>
      </w:r>
      <w:r w:rsidR="00467916">
        <w:rPr>
          <w:noProof/>
          <w:lang w:val="en-IE"/>
        </w:rPr>
        <w:t>activities</w:t>
      </w:r>
      <w:r w:rsidR="00467916" w:rsidRPr="00D33745">
        <w:rPr>
          <w:noProof/>
          <w:lang w:val="en-IE"/>
        </w:rPr>
        <w:t xml:space="preserve"> </w:t>
      </w:r>
      <w:r w:rsidRPr="00D33745">
        <w:rPr>
          <w:noProof/>
          <w:lang w:val="en-IE"/>
        </w:rPr>
        <w:t>and their listings with public authorities</w:t>
      </w:r>
      <w:r>
        <w:rPr>
          <w:noProof/>
          <w:lang w:val="en-IE"/>
        </w:rPr>
        <w:t>;</w:t>
      </w:r>
    </w:p>
    <w:p w:rsidR="00D85359" w:rsidRPr="00D33745" w:rsidRDefault="00D85359" w:rsidP="008033AB">
      <w:pPr>
        <w:pStyle w:val="Tiret0"/>
        <w:numPr>
          <w:ilvl w:val="0"/>
          <w:numId w:val="26"/>
        </w:numPr>
        <w:rPr>
          <w:noProof/>
          <w:lang w:val="en-IE"/>
        </w:rPr>
      </w:pPr>
      <w:r w:rsidRPr="00D33745">
        <w:rPr>
          <w:noProof/>
          <w:lang w:val="en-IE"/>
        </w:rPr>
        <w:t xml:space="preserve">specific tools and procedures to ensure that data sharing is safe, compliant </w:t>
      </w:r>
      <w:r>
        <w:rPr>
          <w:noProof/>
          <w:lang w:val="en-IE"/>
        </w:rPr>
        <w:t xml:space="preserve">with the General Data Protection Regulation, </w:t>
      </w:r>
      <w:r w:rsidRPr="00D33745">
        <w:rPr>
          <w:noProof/>
          <w:lang w:val="en-IE"/>
        </w:rPr>
        <w:t xml:space="preserve">and cost-effective for all </w:t>
      </w:r>
      <w:r>
        <w:rPr>
          <w:noProof/>
          <w:lang w:val="en-IE"/>
        </w:rPr>
        <w:t>parties</w:t>
      </w:r>
      <w:r w:rsidRPr="00733CFB">
        <w:rPr>
          <w:noProof/>
          <w:lang w:val="en-IE"/>
        </w:rPr>
        <w:t xml:space="preserve"> </w:t>
      </w:r>
      <w:r>
        <w:rPr>
          <w:noProof/>
          <w:lang w:val="en-IE"/>
        </w:rPr>
        <w:t>involved</w:t>
      </w:r>
      <w:r w:rsidRPr="00D33745">
        <w:rPr>
          <w:noProof/>
          <w:lang w:val="en-IE"/>
        </w:rPr>
        <w:t>.</w:t>
      </w:r>
    </w:p>
    <w:p w:rsidR="007F180F" w:rsidRPr="00D33745" w:rsidRDefault="007F180F" w:rsidP="007D1438">
      <w:pPr>
        <w:pStyle w:val="ManualHeading2"/>
        <w:rPr>
          <w:rFonts w:eastAsia="Arial Unicode MS"/>
          <w:noProof/>
          <w:color w:val="000000"/>
          <w:u w:color="000000"/>
          <w:bdr w:val="nil"/>
          <w:lang w:val="en-IE" w:eastAsia="en-GB"/>
        </w:rPr>
      </w:pPr>
      <w:r w:rsidRPr="00D33745">
        <w:rPr>
          <w:rFonts w:eastAsia="Arial Unicode MS"/>
          <w:noProof/>
          <w:color w:val="000000"/>
          <w:u w:color="000000"/>
          <w:bdr w:val="nil"/>
          <w:lang w:val="en-IE" w:eastAsia="en-GB"/>
        </w:rPr>
        <w:t>•</w:t>
      </w:r>
      <w:r w:rsidRPr="00D33745">
        <w:rPr>
          <w:rFonts w:eastAsia="Arial Unicode MS"/>
          <w:noProof/>
          <w:color w:val="000000"/>
          <w:u w:color="000000"/>
          <w:bdr w:val="nil"/>
          <w:lang w:val="en-IE" w:eastAsia="en-GB"/>
        </w:rPr>
        <w:tab/>
      </w:r>
      <w:r w:rsidRPr="00D33745">
        <w:rPr>
          <w:rFonts w:eastAsia="Arial Unicode MS"/>
          <w:noProof/>
          <w:lang w:val="en-IE"/>
        </w:rPr>
        <w:t>Consistency with existing policy provisions in the policy area</w:t>
      </w:r>
    </w:p>
    <w:p w:rsidR="00D85359" w:rsidRPr="00D33745" w:rsidRDefault="00D85359" w:rsidP="00D85359">
      <w:pPr>
        <w:pBdr>
          <w:top w:val="nil"/>
          <w:left w:val="nil"/>
          <w:bottom w:val="nil"/>
          <w:right w:val="nil"/>
          <w:between w:val="nil"/>
          <w:bar w:val="nil"/>
        </w:pBdr>
        <w:spacing w:before="0" w:after="240"/>
        <w:rPr>
          <w:rFonts w:eastAsia="Arial Unicode MS"/>
          <w:noProof/>
          <w:lang w:val="en-IE"/>
        </w:rPr>
      </w:pPr>
      <w:r w:rsidRPr="00D33745">
        <w:rPr>
          <w:rFonts w:eastAsia="Arial Unicode MS"/>
          <w:noProof/>
          <w:lang w:val="en-IE"/>
        </w:rPr>
        <w:t>Th</w:t>
      </w:r>
      <w:r>
        <w:rPr>
          <w:rFonts w:eastAsia="Arial Unicode MS"/>
          <w:noProof/>
          <w:lang w:val="en-IE"/>
        </w:rPr>
        <w:t>e</w:t>
      </w:r>
      <w:r w:rsidRPr="00D33745">
        <w:rPr>
          <w:rFonts w:eastAsia="Arial Unicode MS"/>
          <w:noProof/>
          <w:lang w:val="en-IE"/>
        </w:rPr>
        <w:t xml:space="preserve"> Proposal seeks to harmonise and streamline </w:t>
      </w:r>
      <w:r w:rsidRPr="00D33745">
        <w:rPr>
          <w:noProof/>
          <w:lang w:val="en-IE"/>
        </w:rPr>
        <w:t xml:space="preserve">the framework for data generation and data sharing on STRs across the </w:t>
      </w:r>
      <w:r>
        <w:rPr>
          <w:noProof/>
          <w:lang w:val="en-IE"/>
        </w:rPr>
        <w:t>EU</w:t>
      </w:r>
      <w:r w:rsidRPr="00D33745">
        <w:rPr>
          <w:noProof/>
          <w:lang w:val="en-IE"/>
        </w:rPr>
        <w:t xml:space="preserve">. </w:t>
      </w:r>
      <w:r w:rsidRPr="00D33745">
        <w:rPr>
          <w:rFonts w:eastAsia="Arial Unicode MS"/>
          <w:noProof/>
          <w:lang w:val="en-IE"/>
        </w:rPr>
        <w:t xml:space="preserve">It builds on and is consistent with several other legal instruments that exist at </w:t>
      </w:r>
      <w:r>
        <w:rPr>
          <w:rFonts w:eastAsia="Arial Unicode MS"/>
          <w:noProof/>
          <w:lang w:val="en-IE"/>
        </w:rPr>
        <w:t>EU</w:t>
      </w:r>
      <w:r w:rsidRPr="00D33745">
        <w:rPr>
          <w:rFonts w:eastAsia="Arial Unicode MS"/>
          <w:noProof/>
          <w:lang w:val="en-IE"/>
        </w:rPr>
        <w:t xml:space="preserve"> level: </w:t>
      </w:r>
    </w:p>
    <w:p w:rsidR="00D85359" w:rsidRPr="00D33745" w:rsidRDefault="00D85359" w:rsidP="008033AB">
      <w:pPr>
        <w:pStyle w:val="Tiret0"/>
        <w:numPr>
          <w:ilvl w:val="0"/>
          <w:numId w:val="26"/>
        </w:numPr>
        <w:rPr>
          <w:noProof/>
          <w:lang w:val="en-IE"/>
        </w:rPr>
      </w:pPr>
      <w:r w:rsidRPr="00D33745">
        <w:rPr>
          <w:noProof/>
          <w:lang w:val="en-IE"/>
        </w:rPr>
        <w:t xml:space="preserve">The </w:t>
      </w:r>
      <w:r w:rsidRPr="00D33745">
        <w:rPr>
          <w:b/>
          <w:noProof/>
          <w:lang w:val="en-IE"/>
        </w:rPr>
        <w:t xml:space="preserve">Digital Services Act </w:t>
      </w:r>
      <w:r w:rsidRPr="00D33745">
        <w:rPr>
          <w:noProof/>
          <w:lang w:val="en-IE"/>
        </w:rPr>
        <w:t>(DSA)</w:t>
      </w:r>
      <w:r w:rsidRPr="00D33745">
        <w:rPr>
          <w:rStyle w:val="FootnoteReference"/>
          <w:noProof/>
          <w:lang w:val="en-IE"/>
        </w:rPr>
        <w:footnoteReference w:id="3"/>
      </w:r>
      <w:r w:rsidRPr="00D33745">
        <w:rPr>
          <w:noProof/>
          <w:lang w:val="en-IE"/>
        </w:rPr>
        <w:t xml:space="preserve"> </w:t>
      </w:r>
      <w:r>
        <w:rPr>
          <w:noProof/>
          <w:lang w:val="en-IE"/>
        </w:rPr>
        <w:t>imposes</w:t>
      </w:r>
      <w:r w:rsidRPr="00D33745">
        <w:rPr>
          <w:noProof/>
          <w:lang w:val="en-IE"/>
        </w:rPr>
        <w:t xml:space="preserve"> a common set of responsibilities </w:t>
      </w:r>
      <w:r>
        <w:rPr>
          <w:noProof/>
          <w:lang w:val="en-IE"/>
        </w:rPr>
        <w:t xml:space="preserve">on </w:t>
      </w:r>
      <w:r w:rsidRPr="00D33745">
        <w:rPr>
          <w:noProof/>
          <w:lang w:val="en-IE"/>
        </w:rPr>
        <w:t xml:space="preserve">online businesses providing services in the EU, including </w:t>
      </w:r>
      <w:r>
        <w:rPr>
          <w:noProof/>
          <w:lang w:val="en-IE"/>
        </w:rPr>
        <w:t xml:space="preserve">on </w:t>
      </w:r>
      <w:r w:rsidRPr="00D33745">
        <w:rPr>
          <w:noProof/>
          <w:lang w:val="en-IE"/>
        </w:rPr>
        <w:t xml:space="preserve">online platforms </w:t>
      </w:r>
      <w:r w:rsidR="00746BE3">
        <w:rPr>
          <w:noProof/>
          <w:lang w:val="en-IE"/>
        </w:rPr>
        <w:t xml:space="preserve">intermediating </w:t>
      </w:r>
      <w:r w:rsidRPr="00D33745">
        <w:rPr>
          <w:noProof/>
          <w:lang w:val="en-IE"/>
        </w:rPr>
        <w:t xml:space="preserve">STR services. The DSA </w:t>
      </w:r>
      <w:r>
        <w:rPr>
          <w:noProof/>
          <w:lang w:val="en-IE"/>
        </w:rPr>
        <w:t>establishes</w:t>
      </w:r>
      <w:r w:rsidRPr="00D33745">
        <w:rPr>
          <w:noProof/>
          <w:lang w:val="en-IE"/>
        </w:rPr>
        <w:t xml:space="preserve"> ‘compliance by design’ obligations </w:t>
      </w:r>
      <w:r>
        <w:rPr>
          <w:noProof/>
          <w:lang w:val="en-IE"/>
        </w:rPr>
        <w:t xml:space="preserve">that </w:t>
      </w:r>
      <w:r w:rsidRPr="00D33745">
        <w:rPr>
          <w:noProof/>
          <w:lang w:val="en-IE"/>
        </w:rPr>
        <w:t>require platforms to design and organise their online interface</w:t>
      </w:r>
      <w:r>
        <w:rPr>
          <w:noProof/>
          <w:lang w:val="en-IE"/>
        </w:rPr>
        <w:t>s</w:t>
      </w:r>
      <w:r w:rsidRPr="00D33745">
        <w:rPr>
          <w:noProof/>
          <w:lang w:val="en-IE"/>
        </w:rPr>
        <w:t xml:space="preserve"> in a way that enables certain information to be displayed (but only as regards service providers</w:t>
      </w:r>
      <w:r w:rsidR="00746BE3">
        <w:rPr>
          <w:noProof/>
          <w:lang w:val="en-IE"/>
        </w:rPr>
        <w:t xml:space="preserve"> that qualify as ‘traders’</w:t>
      </w:r>
      <w:r w:rsidRPr="00D33745">
        <w:rPr>
          <w:noProof/>
          <w:lang w:val="en-IE"/>
        </w:rPr>
        <w:t>) and illegal listings</w:t>
      </w:r>
      <w:r>
        <w:rPr>
          <w:noProof/>
          <w:lang w:val="en-IE"/>
        </w:rPr>
        <w:t xml:space="preserve"> to be taken down</w:t>
      </w:r>
      <w:r w:rsidRPr="00D33745">
        <w:rPr>
          <w:noProof/>
          <w:lang w:val="en-IE"/>
        </w:rPr>
        <w:t xml:space="preserve">. It does </w:t>
      </w:r>
      <w:r>
        <w:rPr>
          <w:noProof/>
          <w:lang w:val="en-IE"/>
        </w:rPr>
        <w:t>not require</w:t>
      </w:r>
      <w:r w:rsidRPr="00D33745">
        <w:rPr>
          <w:noProof/>
          <w:lang w:val="en-IE"/>
        </w:rPr>
        <w:t xml:space="preserve"> data sets </w:t>
      </w:r>
      <w:r>
        <w:rPr>
          <w:noProof/>
          <w:lang w:val="en-IE"/>
        </w:rPr>
        <w:t xml:space="preserve">to be reported </w:t>
      </w:r>
      <w:r w:rsidRPr="00D33745">
        <w:rPr>
          <w:noProof/>
          <w:lang w:val="en-IE"/>
        </w:rPr>
        <w:t>in a systematic manner.</w:t>
      </w:r>
    </w:p>
    <w:p w:rsidR="00D85359" w:rsidRDefault="00D85359" w:rsidP="008033AB">
      <w:pPr>
        <w:pStyle w:val="Tiret0"/>
        <w:numPr>
          <w:ilvl w:val="0"/>
          <w:numId w:val="26"/>
        </w:numPr>
        <w:rPr>
          <w:noProof/>
          <w:lang w:val="en-IE"/>
        </w:rPr>
      </w:pPr>
      <w:r w:rsidRPr="00D33745">
        <w:rPr>
          <w:noProof/>
          <w:lang w:val="en-IE"/>
        </w:rPr>
        <w:t>The</w:t>
      </w:r>
      <w:r w:rsidRPr="00D33745">
        <w:rPr>
          <w:b/>
          <w:noProof/>
          <w:lang w:val="en-IE"/>
        </w:rPr>
        <w:t xml:space="preserve"> Services Directive</w:t>
      </w:r>
      <w:r w:rsidRPr="00D33745">
        <w:rPr>
          <w:rStyle w:val="FootnoteReference"/>
          <w:noProof/>
          <w:lang w:val="en-IE"/>
        </w:rPr>
        <w:footnoteReference w:id="4"/>
      </w:r>
      <w:r w:rsidRPr="00D33745">
        <w:rPr>
          <w:noProof/>
          <w:lang w:val="en-IE"/>
        </w:rPr>
        <w:t xml:space="preserve"> </w:t>
      </w:r>
      <w:r>
        <w:rPr>
          <w:noProof/>
          <w:lang w:val="en-IE"/>
        </w:rPr>
        <w:t xml:space="preserve">stipulates </w:t>
      </w:r>
      <w:r w:rsidRPr="00D33745">
        <w:rPr>
          <w:noProof/>
          <w:lang w:val="en-IE"/>
        </w:rPr>
        <w:t xml:space="preserve">that service providers can only be </w:t>
      </w:r>
      <w:r>
        <w:rPr>
          <w:noProof/>
          <w:lang w:val="en-IE"/>
        </w:rPr>
        <w:t>made</w:t>
      </w:r>
      <w:r w:rsidRPr="00D33745">
        <w:rPr>
          <w:noProof/>
          <w:lang w:val="en-IE"/>
        </w:rPr>
        <w:t xml:space="preserve"> subject to market access requirements if they are non-discriminatory, justified by an overriding reason relating to the public interest and proportionate. In this context, the </w:t>
      </w:r>
      <w:r>
        <w:rPr>
          <w:noProof/>
          <w:lang w:val="en-IE"/>
        </w:rPr>
        <w:t>Court of Justice of the European Union</w:t>
      </w:r>
      <w:r w:rsidRPr="00D33745">
        <w:rPr>
          <w:noProof/>
          <w:lang w:val="en-IE"/>
        </w:rPr>
        <w:t xml:space="preserve"> </w:t>
      </w:r>
      <w:r>
        <w:rPr>
          <w:noProof/>
          <w:lang w:val="en-IE"/>
        </w:rPr>
        <w:t xml:space="preserve">has </w:t>
      </w:r>
      <w:r w:rsidRPr="00D33745">
        <w:rPr>
          <w:noProof/>
          <w:lang w:val="en-IE"/>
        </w:rPr>
        <w:t>emphasi</w:t>
      </w:r>
      <w:r>
        <w:rPr>
          <w:noProof/>
          <w:lang w:val="en-IE"/>
        </w:rPr>
        <w:t>s</w:t>
      </w:r>
      <w:r w:rsidRPr="00D33745">
        <w:rPr>
          <w:noProof/>
          <w:lang w:val="en-IE"/>
        </w:rPr>
        <w:t>ed the importance of available data and analysis for proportionate policymaking</w:t>
      </w:r>
      <w:r w:rsidRPr="00D33745">
        <w:rPr>
          <w:rStyle w:val="FootnoteReference"/>
          <w:noProof/>
          <w:lang w:val="en-IE"/>
        </w:rPr>
        <w:footnoteReference w:id="5"/>
      </w:r>
      <w:r w:rsidRPr="00D33745">
        <w:rPr>
          <w:noProof/>
          <w:lang w:val="en-IE"/>
        </w:rPr>
        <w:t xml:space="preserve">. </w:t>
      </w:r>
      <w:r>
        <w:rPr>
          <w:noProof/>
          <w:lang w:val="en-IE"/>
        </w:rPr>
        <w:t>The Services Directive</w:t>
      </w:r>
      <w:r w:rsidRPr="00D33745">
        <w:rPr>
          <w:noProof/>
          <w:lang w:val="en-IE"/>
        </w:rPr>
        <w:t xml:space="preserve"> also requires Member States to ensure that procedures and formalities applicable to </w:t>
      </w:r>
      <w:r w:rsidR="00746BE3">
        <w:rPr>
          <w:noProof/>
          <w:lang w:val="en-IE"/>
        </w:rPr>
        <w:t xml:space="preserve">the </w:t>
      </w:r>
      <w:r w:rsidRPr="00D33745">
        <w:rPr>
          <w:noProof/>
          <w:lang w:val="en-IE"/>
        </w:rPr>
        <w:t>access to a service activity</w:t>
      </w:r>
      <w:r>
        <w:rPr>
          <w:noProof/>
          <w:lang w:val="en-IE"/>
        </w:rPr>
        <w:t xml:space="preserve"> (e.g. </w:t>
      </w:r>
      <w:r w:rsidRPr="00D33745">
        <w:rPr>
          <w:noProof/>
          <w:lang w:val="en-IE"/>
        </w:rPr>
        <w:t>registration schemes</w:t>
      </w:r>
      <w:r>
        <w:rPr>
          <w:noProof/>
          <w:lang w:val="en-IE"/>
        </w:rPr>
        <w:t>)</w:t>
      </w:r>
      <w:r w:rsidRPr="00D33745">
        <w:rPr>
          <w:noProof/>
          <w:lang w:val="en-IE"/>
        </w:rPr>
        <w:t xml:space="preserve"> are simple and that </w:t>
      </w:r>
      <w:r>
        <w:rPr>
          <w:noProof/>
          <w:lang w:val="en-IE"/>
        </w:rPr>
        <w:t>they can</w:t>
      </w:r>
      <w:r w:rsidRPr="00D33745">
        <w:rPr>
          <w:noProof/>
          <w:lang w:val="en-IE"/>
        </w:rPr>
        <w:t xml:space="preserve"> be easily completed at a distance and by electronic means through the relevant point of single contact and with the relevant authorities.</w:t>
      </w:r>
    </w:p>
    <w:p w:rsidR="00467916" w:rsidRPr="00467916" w:rsidRDefault="00467916" w:rsidP="008033AB">
      <w:pPr>
        <w:pStyle w:val="Tiret0"/>
        <w:numPr>
          <w:ilvl w:val="0"/>
          <w:numId w:val="26"/>
        </w:numPr>
        <w:rPr>
          <w:noProof/>
          <w:lang w:val="en-IE"/>
        </w:rPr>
      </w:pPr>
      <w:r w:rsidRPr="00467916">
        <w:rPr>
          <w:noProof/>
          <w:lang w:val="en-IE"/>
        </w:rPr>
        <w:t xml:space="preserve">The </w:t>
      </w:r>
      <w:r w:rsidRPr="00467916">
        <w:rPr>
          <w:b/>
          <w:noProof/>
          <w:lang w:val="en-IE"/>
        </w:rPr>
        <w:t>e-Commerce Directive</w:t>
      </w:r>
      <w:r>
        <w:rPr>
          <w:rStyle w:val="FootnoteReference"/>
          <w:noProof/>
          <w:lang w:val="en-IE"/>
        </w:rPr>
        <w:footnoteReference w:id="6"/>
      </w:r>
      <w:r w:rsidRPr="00467916">
        <w:rPr>
          <w:noProof/>
          <w:lang w:val="en-IE"/>
        </w:rPr>
        <w:t xml:space="preserve"> contains provisions regulating the cross-border provision of information society services. In relevant part, </w:t>
      </w:r>
      <w:r>
        <w:rPr>
          <w:noProof/>
          <w:lang w:val="en-IE"/>
        </w:rPr>
        <w:t xml:space="preserve">it </w:t>
      </w:r>
      <w:r w:rsidRPr="00467916">
        <w:rPr>
          <w:noProof/>
          <w:lang w:val="en-IE"/>
        </w:rPr>
        <w:t>provides that Member States must not restrict the freedom to provide information society services from another Member State, unless where necessary for public policy objectives, public security, the protection of public health, or the protection of consumers, including</w:t>
      </w:r>
      <w:r>
        <w:rPr>
          <w:noProof/>
          <w:lang w:val="en-IE"/>
        </w:rPr>
        <w:t xml:space="preserve"> investors, and provided that </w:t>
      </w:r>
      <w:r w:rsidRPr="00467916">
        <w:rPr>
          <w:noProof/>
          <w:lang w:val="en-IE"/>
        </w:rPr>
        <w:t>any such restriction is proportionate to those objectives</w:t>
      </w:r>
      <w:r>
        <w:rPr>
          <w:noProof/>
          <w:lang w:val="en-IE"/>
        </w:rPr>
        <w:t xml:space="preserve"> and that certain procedural requirement are complied with.</w:t>
      </w:r>
    </w:p>
    <w:p w:rsidR="00D85359" w:rsidRPr="00D33745" w:rsidRDefault="00D85359" w:rsidP="008033AB">
      <w:pPr>
        <w:pStyle w:val="Tiret0"/>
        <w:numPr>
          <w:ilvl w:val="0"/>
          <w:numId w:val="26"/>
        </w:numPr>
        <w:rPr>
          <w:noProof/>
          <w:lang w:val="en-IE"/>
        </w:rPr>
      </w:pPr>
      <w:r w:rsidRPr="00D33745">
        <w:rPr>
          <w:noProof/>
          <w:shd w:val="clear" w:color="auto" w:fill="FFFFFF"/>
          <w:lang w:val="en-IE"/>
        </w:rPr>
        <w:t xml:space="preserve">The </w:t>
      </w:r>
      <w:r w:rsidRPr="00D33745">
        <w:rPr>
          <w:b/>
          <w:noProof/>
          <w:shd w:val="clear" w:color="auto" w:fill="FFFFFF"/>
          <w:lang w:val="en-IE"/>
        </w:rPr>
        <w:t xml:space="preserve">Platform to Business Regulation </w:t>
      </w:r>
      <w:r w:rsidRPr="00D33745">
        <w:rPr>
          <w:noProof/>
          <w:shd w:val="clear" w:color="auto" w:fill="FFFFFF"/>
          <w:lang w:val="en-IE"/>
        </w:rPr>
        <w:t>(P2B)</w:t>
      </w:r>
      <w:r w:rsidRPr="00D33745">
        <w:rPr>
          <w:rStyle w:val="FootnoteReference"/>
          <w:noProof/>
          <w:lang w:val="en-IE"/>
        </w:rPr>
        <w:footnoteReference w:id="7"/>
      </w:r>
      <w:r w:rsidRPr="00D33745">
        <w:rPr>
          <w:noProof/>
          <w:shd w:val="clear" w:color="auto" w:fill="FFFFFF"/>
          <w:lang w:val="en-IE"/>
        </w:rPr>
        <w:t xml:space="preserve"> </w:t>
      </w:r>
      <w:r w:rsidRPr="00D33745">
        <w:rPr>
          <w:noProof/>
          <w:lang w:val="en-IE"/>
        </w:rPr>
        <w:t>grants business users of online intermediation services appropriate transparency rights including minimum notice periods prior to removing offers from their services and the means to resolve disputes.</w:t>
      </w:r>
    </w:p>
    <w:p w:rsidR="00D85359" w:rsidRPr="00D33745" w:rsidRDefault="00D85359" w:rsidP="008033AB">
      <w:pPr>
        <w:pStyle w:val="Tiret0"/>
        <w:numPr>
          <w:ilvl w:val="0"/>
          <w:numId w:val="26"/>
        </w:numPr>
        <w:rPr>
          <w:noProof/>
          <w:lang w:val="en-IE"/>
        </w:rPr>
      </w:pPr>
      <w:r w:rsidRPr="00D33745">
        <w:rPr>
          <w:noProof/>
          <w:lang w:val="en-IE"/>
        </w:rPr>
        <w:t xml:space="preserve">The </w:t>
      </w:r>
      <w:r w:rsidRPr="00D33745">
        <w:rPr>
          <w:b/>
          <w:noProof/>
          <w:lang w:val="en-IE"/>
        </w:rPr>
        <w:t>Data Act proposal</w:t>
      </w:r>
      <w:r w:rsidRPr="00D33745">
        <w:rPr>
          <w:rStyle w:val="FootnoteReference"/>
          <w:noProof/>
          <w:lang w:val="en-IE"/>
        </w:rPr>
        <w:footnoteReference w:id="8"/>
      </w:r>
      <w:r w:rsidRPr="00D33745">
        <w:rPr>
          <w:noProof/>
          <w:lang w:val="en-IE"/>
        </w:rPr>
        <w:t xml:space="preserve"> addresses business-to-business and business-to-government data sharing but does not include new reporting obligations </w:t>
      </w:r>
      <w:r>
        <w:rPr>
          <w:noProof/>
          <w:lang w:val="en-IE"/>
        </w:rPr>
        <w:t>for</w:t>
      </w:r>
      <w:r w:rsidRPr="00D33745">
        <w:rPr>
          <w:noProof/>
          <w:lang w:val="en-IE"/>
        </w:rPr>
        <w:t xml:space="preserve"> online platforms.</w:t>
      </w:r>
    </w:p>
    <w:p w:rsidR="00D85359" w:rsidRPr="00D33745" w:rsidRDefault="00D85359" w:rsidP="008033AB">
      <w:pPr>
        <w:pStyle w:val="Tiret0"/>
        <w:numPr>
          <w:ilvl w:val="0"/>
          <w:numId w:val="26"/>
        </w:numPr>
        <w:rPr>
          <w:noProof/>
          <w:lang w:val="en-IE"/>
        </w:rPr>
      </w:pPr>
      <w:r w:rsidRPr="00D33745">
        <w:rPr>
          <w:noProof/>
          <w:lang w:val="en-IE"/>
        </w:rPr>
        <w:t xml:space="preserve">The </w:t>
      </w:r>
      <w:r w:rsidRPr="00D33745">
        <w:rPr>
          <w:b/>
          <w:noProof/>
          <w:lang w:val="en-IE"/>
        </w:rPr>
        <w:t xml:space="preserve">General Data Protection Regulation </w:t>
      </w:r>
      <w:r w:rsidRPr="00D33745">
        <w:rPr>
          <w:noProof/>
          <w:lang w:val="en-IE"/>
        </w:rPr>
        <w:t>(GDPR)</w:t>
      </w:r>
      <w:r w:rsidRPr="00D33745">
        <w:rPr>
          <w:rStyle w:val="FootnoteReference"/>
          <w:noProof/>
          <w:lang w:val="en-IE"/>
        </w:rPr>
        <w:footnoteReference w:id="9"/>
      </w:r>
      <w:r w:rsidRPr="00D33745">
        <w:rPr>
          <w:noProof/>
          <w:lang w:val="en-IE"/>
        </w:rPr>
        <w:t xml:space="preserve"> applies to </w:t>
      </w:r>
      <w:r>
        <w:rPr>
          <w:noProof/>
          <w:lang w:val="en-IE"/>
        </w:rPr>
        <w:t xml:space="preserve">the </w:t>
      </w:r>
      <w:r w:rsidRPr="00D33745">
        <w:rPr>
          <w:noProof/>
          <w:lang w:val="en-IE"/>
        </w:rPr>
        <w:t>processing of personal data by public authorities</w:t>
      </w:r>
      <w:r>
        <w:rPr>
          <w:noProof/>
          <w:lang w:val="en-IE"/>
        </w:rPr>
        <w:t xml:space="preserve"> and </w:t>
      </w:r>
      <w:r w:rsidRPr="00D33745">
        <w:rPr>
          <w:noProof/>
          <w:lang w:val="en-IE"/>
        </w:rPr>
        <w:t>by</w:t>
      </w:r>
      <w:r>
        <w:rPr>
          <w:noProof/>
          <w:lang w:val="en-IE"/>
        </w:rPr>
        <w:t xml:space="preserve"> online platforms</w:t>
      </w:r>
      <w:r w:rsidRPr="00D33745">
        <w:rPr>
          <w:noProof/>
          <w:lang w:val="en-IE"/>
        </w:rPr>
        <w:t xml:space="preserve"> </w:t>
      </w:r>
      <w:r>
        <w:rPr>
          <w:noProof/>
          <w:lang w:val="en-IE"/>
        </w:rPr>
        <w:t>(</w:t>
      </w:r>
      <w:r w:rsidRPr="00D33745">
        <w:rPr>
          <w:noProof/>
          <w:lang w:val="en-IE"/>
        </w:rPr>
        <w:t xml:space="preserve">including when it is necessary for providing registration numbers and maintaining </w:t>
      </w:r>
      <w:r>
        <w:rPr>
          <w:noProof/>
          <w:lang w:val="en-IE"/>
        </w:rPr>
        <w:t xml:space="preserve">a </w:t>
      </w:r>
      <w:r w:rsidRPr="00D33745">
        <w:rPr>
          <w:noProof/>
          <w:lang w:val="en-IE"/>
        </w:rPr>
        <w:t xml:space="preserve">registry </w:t>
      </w:r>
      <w:r>
        <w:rPr>
          <w:noProof/>
          <w:lang w:val="en-IE"/>
        </w:rPr>
        <w:t xml:space="preserve">for them); </w:t>
      </w:r>
      <w:r w:rsidRPr="00D33745">
        <w:rPr>
          <w:noProof/>
          <w:lang w:val="en-IE"/>
        </w:rPr>
        <w:t xml:space="preserve">and </w:t>
      </w:r>
      <w:r>
        <w:rPr>
          <w:noProof/>
          <w:lang w:val="en-IE"/>
        </w:rPr>
        <w:t xml:space="preserve">to </w:t>
      </w:r>
      <w:r w:rsidRPr="00D33745">
        <w:rPr>
          <w:noProof/>
          <w:lang w:val="en-IE"/>
        </w:rPr>
        <w:t>the exchange of personal data between online platforms</w:t>
      </w:r>
      <w:r>
        <w:rPr>
          <w:noProof/>
          <w:lang w:val="en-IE"/>
        </w:rPr>
        <w:t xml:space="preserve"> (which</w:t>
      </w:r>
      <w:r w:rsidRPr="00D33745">
        <w:rPr>
          <w:noProof/>
          <w:lang w:val="en-IE"/>
        </w:rPr>
        <w:t xml:space="preserve"> hold significant amounts of data about STR activity</w:t>
      </w:r>
      <w:r>
        <w:rPr>
          <w:noProof/>
          <w:lang w:val="en-IE"/>
        </w:rPr>
        <w:t>)</w:t>
      </w:r>
      <w:r w:rsidRPr="00D33745">
        <w:rPr>
          <w:noProof/>
          <w:lang w:val="en-IE"/>
        </w:rPr>
        <w:t xml:space="preserve"> and public authorities. </w:t>
      </w:r>
      <w:r>
        <w:rPr>
          <w:noProof/>
          <w:lang w:val="en-IE"/>
        </w:rPr>
        <w:t>T</w:t>
      </w:r>
      <w:r w:rsidRPr="00D33745">
        <w:rPr>
          <w:noProof/>
          <w:lang w:val="en-IE"/>
        </w:rPr>
        <w:t>he GDPR</w:t>
      </w:r>
      <w:r>
        <w:rPr>
          <w:noProof/>
          <w:lang w:val="en-IE"/>
        </w:rPr>
        <w:t xml:space="preserve"> states that </w:t>
      </w:r>
      <w:r w:rsidRPr="00D33745">
        <w:rPr>
          <w:noProof/>
          <w:lang w:val="en-IE"/>
        </w:rPr>
        <w:t xml:space="preserve">personal data can only be processed if </w:t>
      </w:r>
      <w:r>
        <w:rPr>
          <w:noProof/>
          <w:lang w:val="en-IE"/>
        </w:rPr>
        <w:t xml:space="preserve">a </w:t>
      </w:r>
      <w:r w:rsidRPr="00D33745">
        <w:rPr>
          <w:noProof/>
          <w:lang w:val="en-IE"/>
        </w:rPr>
        <w:t>l</w:t>
      </w:r>
      <w:r>
        <w:rPr>
          <w:noProof/>
          <w:lang w:val="en-IE"/>
        </w:rPr>
        <w:t>egal</w:t>
      </w:r>
      <w:r w:rsidRPr="00D33745">
        <w:rPr>
          <w:noProof/>
          <w:lang w:val="en-IE"/>
        </w:rPr>
        <w:t xml:space="preserve"> ground for </w:t>
      </w:r>
      <w:r w:rsidR="00746BE3">
        <w:rPr>
          <w:noProof/>
          <w:lang w:val="en-IE"/>
        </w:rPr>
        <w:t xml:space="preserve">such </w:t>
      </w:r>
      <w:r w:rsidRPr="00D33745">
        <w:rPr>
          <w:noProof/>
          <w:lang w:val="en-IE"/>
        </w:rPr>
        <w:t>processing exists</w:t>
      </w:r>
      <w:r>
        <w:rPr>
          <w:noProof/>
          <w:lang w:val="en-IE"/>
        </w:rPr>
        <w:t xml:space="preserve"> (e.g.</w:t>
      </w:r>
      <w:r w:rsidRPr="00D33745">
        <w:rPr>
          <w:noProof/>
          <w:lang w:val="en-IE"/>
        </w:rPr>
        <w:t xml:space="preserve"> </w:t>
      </w:r>
      <w:r>
        <w:rPr>
          <w:noProof/>
          <w:lang w:val="en-IE"/>
        </w:rPr>
        <w:t xml:space="preserve">the </w:t>
      </w:r>
      <w:r w:rsidRPr="00D33745">
        <w:rPr>
          <w:noProof/>
          <w:lang w:val="en-IE"/>
        </w:rPr>
        <w:t xml:space="preserve">processing is necessary </w:t>
      </w:r>
      <w:r>
        <w:rPr>
          <w:noProof/>
          <w:lang w:val="en-IE"/>
        </w:rPr>
        <w:t xml:space="preserve">in order to </w:t>
      </w:r>
      <w:r w:rsidRPr="00D33745">
        <w:rPr>
          <w:noProof/>
          <w:lang w:val="en-IE"/>
        </w:rPr>
        <w:t>compl</w:t>
      </w:r>
      <w:r>
        <w:rPr>
          <w:noProof/>
          <w:lang w:val="en-IE"/>
        </w:rPr>
        <w:t>y</w:t>
      </w:r>
      <w:r w:rsidRPr="00D33745">
        <w:rPr>
          <w:noProof/>
          <w:lang w:val="en-IE"/>
        </w:rPr>
        <w:t xml:space="preserve"> with a legal obligation or </w:t>
      </w:r>
      <w:r>
        <w:rPr>
          <w:noProof/>
          <w:lang w:val="en-IE"/>
        </w:rPr>
        <w:t>to</w:t>
      </w:r>
      <w:r w:rsidRPr="00D33745">
        <w:rPr>
          <w:noProof/>
          <w:lang w:val="en-IE"/>
        </w:rPr>
        <w:t xml:space="preserve"> perform a task carried out in the public interest</w:t>
      </w:r>
      <w:r>
        <w:rPr>
          <w:noProof/>
          <w:lang w:val="en-IE"/>
        </w:rPr>
        <w:t>)</w:t>
      </w:r>
      <w:r w:rsidRPr="00D33745">
        <w:rPr>
          <w:noProof/>
          <w:lang w:val="en-IE"/>
        </w:rPr>
        <w:t>. Th</w:t>
      </w:r>
      <w:r>
        <w:rPr>
          <w:noProof/>
          <w:lang w:val="en-IE"/>
        </w:rPr>
        <w:t>e</w:t>
      </w:r>
      <w:r w:rsidRPr="00D33745">
        <w:rPr>
          <w:noProof/>
          <w:lang w:val="en-IE"/>
        </w:rPr>
        <w:t xml:space="preserve"> Proposal lays down the ground</w:t>
      </w:r>
      <w:r>
        <w:rPr>
          <w:noProof/>
          <w:lang w:val="en-IE"/>
        </w:rPr>
        <w:t>s</w:t>
      </w:r>
      <w:r w:rsidRPr="00D33745">
        <w:rPr>
          <w:noProof/>
          <w:lang w:val="en-IE"/>
        </w:rPr>
        <w:t xml:space="preserve"> for lawful processing of personal data </w:t>
      </w:r>
      <w:r w:rsidR="00746BE3">
        <w:rPr>
          <w:noProof/>
          <w:lang w:val="en-IE"/>
        </w:rPr>
        <w:t xml:space="preserve">that </w:t>
      </w:r>
      <w:r w:rsidRPr="00D33745">
        <w:rPr>
          <w:noProof/>
          <w:lang w:val="en-IE"/>
        </w:rPr>
        <w:t>is necessary</w:t>
      </w:r>
      <w:r>
        <w:rPr>
          <w:noProof/>
          <w:lang w:val="en-IE"/>
        </w:rPr>
        <w:t xml:space="preserve"> in order</w:t>
      </w:r>
      <w:r w:rsidRPr="00D33745">
        <w:rPr>
          <w:noProof/>
          <w:lang w:val="en-IE"/>
        </w:rPr>
        <w:t xml:space="preserve"> to increase the transparency of the STR sector, and provides for data protection safeguards to ensure full compliance with the GDPR.</w:t>
      </w:r>
    </w:p>
    <w:p w:rsidR="00D85359" w:rsidRPr="00377423" w:rsidRDefault="00D85359" w:rsidP="008033AB">
      <w:pPr>
        <w:pStyle w:val="Tiret0"/>
        <w:numPr>
          <w:ilvl w:val="0"/>
          <w:numId w:val="26"/>
        </w:numPr>
        <w:rPr>
          <w:noProof/>
          <w:lang w:val="en-IE"/>
        </w:rPr>
      </w:pPr>
      <w:r w:rsidRPr="00D33745">
        <w:rPr>
          <w:noProof/>
          <w:lang w:val="en-IE"/>
        </w:rPr>
        <w:t xml:space="preserve">The </w:t>
      </w:r>
      <w:r w:rsidRPr="00D33745">
        <w:rPr>
          <w:b/>
          <w:noProof/>
          <w:lang w:val="en-IE"/>
        </w:rPr>
        <w:t>Single Digital Gateway Regulation</w:t>
      </w:r>
      <w:r w:rsidRPr="00D33745">
        <w:rPr>
          <w:rStyle w:val="FootnoteReference"/>
          <w:noProof/>
          <w:lang w:val="en-IE"/>
        </w:rPr>
        <w:footnoteReference w:id="10"/>
      </w:r>
      <w:r w:rsidRPr="00D33745">
        <w:rPr>
          <w:noProof/>
          <w:lang w:val="en-IE"/>
        </w:rPr>
        <w:t xml:space="preserve"> facilitates online access to information and e-government procedures. </w:t>
      </w:r>
      <w:r w:rsidRPr="00377423">
        <w:rPr>
          <w:noProof/>
          <w:lang w:val="en-IE"/>
        </w:rPr>
        <w:t>To reduce administrative burden</w:t>
      </w:r>
      <w:r w:rsidRPr="00506AF0">
        <w:rPr>
          <w:noProof/>
          <w:lang w:val="en-IE"/>
        </w:rPr>
        <w:t xml:space="preserve"> and to ensure </w:t>
      </w:r>
      <w:r w:rsidRPr="00677DE5">
        <w:rPr>
          <w:noProof/>
          <w:lang w:val="en-IE"/>
        </w:rPr>
        <w:t>that the administrative procedures governed by th</w:t>
      </w:r>
      <w:r>
        <w:rPr>
          <w:noProof/>
          <w:lang w:val="en-IE"/>
        </w:rPr>
        <w:t>e</w:t>
      </w:r>
      <w:r w:rsidRPr="00506AF0">
        <w:rPr>
          <w:noProof/>
          <w:lang w:val="en-IE"/>
        </w:rPr>
        <w:t xml:space="preserve"> Proposal </w:t>
      </w:r>
      <w:r w:rsidRPr="00677DE5">
        <w:rPr>
          <w:noProof/>
          <w:lang w:val="en-IE"/>
        </w:rPr>
        <w:t xml:space="preserve">comply with </w:t>
      </w:r>
      <w:r w:rsidRPr="00AD5995">
        <w:rPr>
          <w:noProof/>
          <w:lang w:val="en-IE"/>
        </w:rPr>
        <w:t>the</w:t>
      </w:r>
      <w:r w:rsidRPr="00377423">
        <w:rPr>
          <w:noProof/>
          <w:lang w:val="en-IE"/>
        </w:rPr>
        <w:t xml:space="preserve"> Single Digital Gateway Regulation, the Proposal will add these administrative procedures to Annexes I and II of that Regulation.</w:t>
      </w:r>
    </w:p>
    <w:p w:rsidR="00D85359" w:rsidRPr="00D33745" w:rsidRDefault="00D85359" w:rsidP="008033AB">
      <w:pPr>
        <w:pStyle w:val="Tiret0"/>
        <w:numPr>
          <w:ilvl w:val="0"/>
          <w:numId w:val="26"/>
        </w:numPr>
        <w:rPr>
          <w:noProof/>
          <w:lang w:val="en-IE"/>
        </w:rPr>
      </w:pPr>
      <w:r w:rsidRPr="00D33745">
        <w:rPr>
          <w:noProof/>
          <w:lang w:val="en-IE"/>
        </w:rPr>
        <w:t xml:space="preserve">The new rules under the </w:t>
      </w:r>
      <w:r w:rsidRPr="00D33745">
        <w:rPr>
          <w:b/>
          <w:noProof/>
          <w:lang w:val="en-IE"/>
        </w:rPr>
        <w:t>DAC7 Directive</w:t>
      </w:r>
      <w:r w:rsidRPr="00D33745">
        <w:rPr>
          <w:rStyle w:val="FootnoteReference"/>
          <w:noProof/>
          <w:lang w:val="en-IE"/>
        </w:rPr>
        <w:footnoteReference w:id="11"/>
      </w:r>
      <w:r>
        <w:rPr>
          <w:b/>
          <w:noProof/>
          <w:lang w:val="en-IE"/>
        </w:rPr>
        <w:t>,</w:t>
      </w:r>
      <w:r w:rsidRPr="00D33745">
        <w:rPr>
          <w:noProof/>
          <w:lang w:val="en-IE"/>
        </w:rPr>
        <w:t xml:space="preserve"> which will be applied from</w:t>
      </w:r>
      <w:r>
        <w:rPr>
          <w:noProof/>
          <w:lang w:val="en-IE"/>
        </w:rPr>
        <w:t xml:space="preserve"> 1 January</w:t>
      </w:r>
      <w:r w:rsidRPr="00D33745">
        <w:rPr>
          <w:noProof/>
          <w:lang w:val="en-IE"/>
        </w:rPr>
        <w:t xml:space="preserve"> 2023, will require online platforms to report certain information on income </w:t>
      </w:r>
      <w:r>
        <w:rPr>
          <w:noProof/>
          <w:lang w:val="en-IE"/>
        </w:rPr>
        <w:t>earned</w:t>
      </w:r>
      <w:r w:rsidRPr="00D33745">
        <w:rPr>
          <w:noProof/>
          <w:lang w:val="en-IE"/>
        </w:rPr>
        <w:t xml:space="preserve"> by those selling through them. This information will be shared only with the tax authorities of the </w:t>
      </w:r>
      <w:r>
        <w:rPr>
          <w:noProof/>
          <w:lang w:val="en-IE"/>
        </w:rPr>
        <w:t>relevant</w:t>
      </w:r>
      <w:r w:rsidRPr="00D33745">
        <w:rPr>
          <w:noProof/>
          <w:lang w:val="en-IE"/>
        </w:rPr>
        <w:t xml:space="preserve"> Member States, unless </w:t>
      </w:r>
      <w:r>
        <w:rPr>
          <w:noProof/>
          <w:lang w:val="en-IE"/>
        </w:rPr>
        <w:t>as otherwise required by other legislation</w:t>
      </w:r>
      <w:r w:rsidRPr="00D33745">
        <w:rPr>
          <w:noProof/>
          <w:lang w:val="en-IE"/>
        </w:rPr>
        <w:t>, and on an annual basis.</w:t>
      </w:r>
    </w:p>
    <w:p w:rsidR="00D85359" w:rsidRPr="00D33745" w:rsidRDefault="00D85359" w:rsidP="00D85359">
      <w:pPr>
        <w:pStyle w:val="ManualHeading2"/>
        <w:rPr>
          <w:rFonts w:eastAsia="Arial Unicode MS"/>
          <w:noProof/>
          <w:lang w:val="en-IE"/>
        </w:rPr>
      </w:pPr>
      <w:r w:rsidRPr="00D33745">
        <w:rPr>
          <w:rFonts w:eastAsia="Arial Unicode MS"/>
          <w:noProof/>
          <w:color w:val="000000"/>
          <w:u w:color="000000"/>
          <w:bdr w:val="nil"/>
          <w:lang w:val="en-IE" w:eastAsia="en-GB"/>
        </w:rPr>
        <w:t>•</w:t>
      </w:r>
      <w:r w:rsidRPr="00D33745">
        <w:rPr>
          <w:rFonts w:eastAsia="Arial Unicode MS"/>
          <w:noProof/>
          <w:color w:val="000000"/>
          <w:u w:color="000000"/>
          <w:bdr w:val="nil"/>
          <w:lang w:val="en-IE" w:eastAsia="en-GB"/>
        </w:rPr>
        <w:tab/>
      </w:r>
      <w:r w:rsidRPr="00D33745">
        <w:rPr>
          <w:rFonts w:eastAsia="Arial Unicode MS"/>
          <w:noProof/>
          <w:lang w:val="en-IE"/>
        </w:rPr>
        <w:t xml:space="preserve">Consistency with other </w:t>
      </w:r>
      <w:r>
        <w:rPr>
          <w:rFonts w:eastAsia="Arial Unicode MS"/>
          <w:noProof/>
          <w:lang w:val="en-IE"/>
        </w:rPr>
        <w:t>EU</w:t>
      </w:r>
      <w:r w:rsidRPr="00D33745">
        <w:rPr>
          <w:rFonts w:eastAsia="Arial Unicode MS"/>
          <w:noProof/>
          <w:lang w:val="en-IE"/>
        </w:rPr>
        <w:t xml:space="preserve"> policies</w:t>
      </w:r>
    </w:p>
    <w:p w:rsidR="00D85359" w:rsidRPr="00D33745" w:rsidRDefault="00D85359" w:rsidP="00D85359">
      <w:pPr>
        <w:pBdr>
          <w:top w:val="nil"/>
          <w:left w:val="nil"/>
          <w:bottom w:val="nil"/>
          <w:right w:val="nil"/>
          <w:between w:val="nil"/>
          <w:bar w:val="nil"/>
        </w:pBdr>
        <w:spacing w:before="0" w:after="240"/>
        <w:rPr>
          <w:rFonts w:eastAsia="Arial Unicode MS"/>
          <w:noProof/>
          <w:lang w:val="en-IE"/>
        </w:rPr>
      </w:pPr>
      <w:r w:rsidRPr="00D33745">
        <w:rPr>
          <w:rFonts w:eastAsia="Arial Unicode MS"/>
          <w:noProof/>
          <w:lang w:val="en-IE"/>
        </w:rPr>
        <w:t>Th</w:t>
      </w:r>
      <w:r>
        <w:rPr>
          <w:rFonts w:eastAsia="Arial Unicode MS"/>
          <w:noProof/>
          <w:lang w:val="en-IE"/>
        </w:rPr>
        <w:t>e</w:t>
      </w:r>
      <w:r w:rsidRPr="00D33745">
        <w:rPr>
          <w:rFonts w:eastAsia="Arial Unicode MS"/>
          <w:noProof/>
          <w:lang w:val="en-IE"/>
        </w:rPr>
        <w:t xml:space="preserve"> </w:t>
      </w:r>
      <w:r>
        <w:rPr>
          <w:rFonts w:eastAsia="Arial Unicode MS"/>
          <w:noProof/>
          <w:lang w:val="en-IE"/>
        </w:rPr>
        <w:t>P</w:t>
      </w:r>
      <w:r w:rsidRPr="00D33745">
        <w:rPr>
          <w:rFonts w:eastAsia="Arial Unicode MS"/>
          <w:noProof/>
          <w:lang w:val="en-IE"/>
        </w:rPr>
        <w:t xml:space="preserve">roposal is in line with the Commission’s priorities to make </w:t>
      </w:r>
      <w:r>
        <w:rPr>
          <w:rFonts w:eastAsia="Arial Unicode MS"/>
          <w:noProof/>
          <w:lang w:val="en-IE"/>
        </w:rPr>
        <w:t>the EU</w:t>
      </w:r>
      <w:r w:rsidRPr="00D33745">
        <w:rPr>
          <w:rFonts w:eastAsia="Arial Unicode MS"/>
          <w:noProof/>
          <w:lang w:val="en-IE"/>
        </w:rPr>
        <w:t xml:space="preserve"> fit for the digital age and to build a future-ready economy that works for people</w:t>
      </w:r>
      <w:r w:rsidRPr="00D33745">
        <w:rPr>
          <w:rStyle w:val="FootnoteReference"/>
          <w:rFonts w:eastAsia="Arial Unicode MS"/>
          <w:noProof/>
          <w:lang w:val="en-IE"/>
        </w:rPr>
        <w:footnoteReference w:id="12"/>
      </w:r>
      <w:r w:rsidRPr="00D33745">
        <w:rPr>
          <w:rFonts w:eastAsia="Arial Unicode MS"/>
          <w:noProof/>
          <w:lang w:val="en-IE"/>
        </w:rPr>
        <w:t>.</w:t>
      </w:r>
      <w:r w:rsidRPr="00D33745" w:rsidDel="00A47BAE">
        <w:rPr>
          <w:rStyle w:val="FootnoteReference"/>
          <w:rFonts w:eastAsia="Arial Unicode MS"/>
          <w:noProof/>
          <w:lang w:val="en-IE"/>
        </w:rPr>
        <w:t xml:space="preserve"> </w:t>
      </w:r>
      <w:r>
        <w:rPr>
          <w:rFonts w:eastAsia="Arial Unicode MS"/>
          <w:noProof/>
          <w:lang w:val="en-IE"/>
        </w:rPr>
        <w:t xml:space="preserve">It </w:t>
      </w:r>
      <w:r w:rsidRPr="00D33745">
        <w:rPr>
          <w:noProof/>
          <w:lang w:val="en-IE"/>
        </w:rPr>
        <w:t xml:space="preserve">is </w:t>
      </w:r>
      <w:r>
        <w:rPr>
          <w:noProof/>
          <w:lang w:val="en-IE"/>
        </w:rPr>
        <w:t xml:space="preserve">also </w:t>
      </w:r>
      <w:r w:rsidRPr="00D33745">
        <w:rPr>
          <w:noProof/>
          <w:lang w:val="en-IE"/>
        </w:rPr>
        <w:t>part of the EU</w:t>
      </w:r>
      <w:r>
        <w:rPr>
          <w:noProof/>
          <w:lang w:val="en-IE"/>
        </w:rPr>
        <w:t>’s</w:t>
      </w:r>
      <w:r w:rsidRPr="00D33745">
        <w:rPr>
          <w:noProof/>
          <w:lang w:val="en-IE"/>
        </w:rPr>
        <w:t xml:space="preserve"> SME strategy</w:t>
      </w:r>
      <w:r w:rsidRPr="00D33745">
        <w:rPr>
          <w:rStyle w:val="FootnoteReference"/>
          <w:noProof/>
          <w:lang w:val="en-IE"/>
        </w:rPr>
        <w:footnoteReference w:id="13"/>
      </w:r>
      <w:r>
        <w:rPr>
          <w:noProof/>
          <w:lang w:val="en-IE"/>
        </w:rPr>
        <w:t xml:space="preserve"> -</w:t>
      </w:r>
      <w:r w:rsidRPr="00D33745">
        <w:rPr>
          <w:noProof/>
          <w:lang w:val="en-IE"/>
        </w:rPr>
        <w:t xml:space="preserve"> given the need</w:t>
      </w:r>
      <w:r>
        <w:rPr>
          <w:noProof/>
          <w:lang w:val="en-IE"/>
        </w:rPr>
        <w:t>s of</w:t>
      </w:r>
      <w:r w:rsidRPr="00D33745">
        <w:rPr>
          <w:noProof/>
          <w:lang w:val="en-IE"/>
        </w:rPr>
        <w:t xml:space="preserve"> the many SME players in the STR segment, including platforms. The </w:t>
      </w:r>
      <w:r>
        <w:rPr>
          <w:noProof/>
          <w:lang w:val="en-IE"/>
        </w:rPr>
        <w:t>P</w:t>
      </w:r>
      <w:r w:rsidRPr="00D33745">
        <w:rPr>
          <w:noProof/>
          <w:lang w:val="en-IE"/>
        </w:rPr>
        <w:t xml:space="preserve">roposal will also address calls in </w:t>
      </w:r>
      <w:r w:rsidRPr="00D33745">
        <w:rPr>
          <w:rFonts w:eastAsia="Arial Unicode MS"/>
          <w:noProof/>
          <w:lang w:val="en-IE"/>
        </w:rPr>
        <w:t>the Transition Pathway for Tourism</w:t>
      </w:r>
      <w:r w:rsidRPr="00D33745">
        <w:rPr>
          <w:rStyle w:val="FootnoteReference"/>
          <w:rFonts w:eastAsia="Arial Unicode MS"/>
          <w:noProof/>
          <w:lang w:val="en-IE"/>
        </w:rPr>
        <w:footnoteReference w:id="14"/>
      </w:r>
      <w:r w:rsidRPr="00D33745">
        <w:rPr>
          <w:rFonts w:eastAsia="Arial Unicode MS"/>
          <w:noProof/>
          <w:lang w:val="en-IE"/>
        </w:rPr>
        <w:t xml:space="preserve"> and the Urban Agenda</w:t>
      </w:r>
      <w:r w:rsidRPr="00D33745">
        <w:rPr>
          <w:rStyle w:val="FootnoteReference"/>
          <w:rFonts w:eastAsia="Arial Unicode MS"/>
          <w:noProof/>
          <w:lang w:val="en-IE"/>
        </w:rPr>
        <w:footnoteReference w:id="15"/>
      </w:r>
      <w:r w:rsidRPr="00D33745">
        <w:rPr>
          <w:rFonts w:eastAsia="Arial Unicode MS"/>
          <w:noProof/>
          <w:lang w:val="en-IE"/>
        </w:rPr>
        <w:t xml:space="preserve"> for the adoption of an EU framework bringing more transparency to the STR segment.</w:t>
      </w:r>
    </w:p>
    <w:p w:rsidR="00D85359" w:rsidRPr="00D33745" w:rsidRDefault="00D85359" w:rsidP="00D85359">
      <w:pPr>
        <w:pBdr>
          <w:top w:val="nil"/>
          <w:left w:val="nil"/>
          <w:bottom w:val="nil"/>
          <w:right w:val="nil"/>
          <w:between w:val="nil"/>
          <w:bar w:val="nil"/>
        </w:pBdr>
        <w:spacing w:before="0" w:after="240"/>
        <w:rPr>
          <w:rFonts w:eastAsia="Arial Unicode MS"/>
          <w:noProof/>
          <w:lang w:val="en-IE"/>
        </w:rPr>
      </w:pPr>
      <w:r w:rsidRPr="00D33745">
        <w:rPr>
          <w:rFonts w:eastAsia="Arial Unicode MS"/>
          <w:noProof/>
          <w:lang w:val="en-IE"/>
        </w:rPr>
        <w:t xml:space="preserve">Any action under </w:t>
      </w:r>
      <w:r>
        <w:rPr>
          <w:rFonts w:eastAsia="Arial Unicode MS"/>
          <w:noProof/>
          <w:lang w:val="en-IE"/>
        </w:rPr>
        <w:t>the Proposal</w:t>
      </w:r>
      <w:r w:rsidRPr="00D33745">
        <w:rPr>
          <w:rFonts w:eastAsia="Arial Unicode MS"/>
          <w:noProof/>
          <w:lang w:val="en-IE"/>
        </w:rPr>
        <w:t xml:space="preserve"> will seek to </w:t>
      </w:r>
      <w:r>
        <w:rPr>
          <w:rFonts w:eastAsia="Arial Unicode MS"/>
          <w:noProof/>
          <w:lang w:val="en-IE"/>
        </w:rPr>
        <w:t>fill</w:t>
      </w:r>
      <w:r w:rsidRPr="00D33745">
        <w:rPr>
          <w:rFonts w:eastAsia="Arial Unicode MS"/>
          <w:noProof/>
          <w:lang w:val="en-IE"/>
        </w:rPr>
        <w:t xml:space="preserve"> gaps and overcome remaining uncertainties in a targeted manner</w:t>
      </w:r>
      <w:r>
        <w:rPr>
          <w:rFonts w:eastAsia="Arial Unicode MS"/>
          <w:noProof/>
          <w:lang w:val="en-IE"/>
        </w:rPr>
        <w:t xml:space="preserve">, in order </w:t>
      </w:r>
      <w:r w:rsidRPr="00D33745">
        <w:rPr>
          <w:rFonts w:eastAsia="Arial Unicode MS"/>
          <w:noProof/>
          <w:lang w:val="en-IE"/>
        </w:rPr>
        <w:t xml:space="preserve">to facilitate </w:t>
      </w:r>
      <w:r>
        <w:rPr>
          <w:rFonts w:eastAsia="Arial Unicode MS"/>
          <w:noProof/>
          <w:lang w:val="en-IE"/>
        </w:rPr>
        <w:t>the</w:t>
      </w:r>
      <w:r w:rsidRPr="00D33745">
        <w:rPr>
          <w:rFonts w:eastAsia="Arial Unicode MS"/>
          <w:noProof/>
          <w:lang w:val="en-IE"/>
        </w:rPr>
        <w:t xml:space="preserve"> balanced development of STRs. It will be </w:t>
      </w:r>
      <w:r>
        <w:rPr>
          <w:rFonts w:eastAsia="Arial Unicode MS"/>
          <w:noProof/>
          <w:lang w:val="en-IE"/>
        </w:rPr>
        <w:t xml:space="preserve">consistent </w:t>
      </w:r>
      <w:r w:rsidRPr="00D33745">
        <w:rPr>
          <w:rFonts w:eastAsia="Arial Unicode MS"/>
          <w:noProof/>
          <w:lang w:val="en-IE"/>
        </w:rPr>
        <w:t>with, and contribute to, the fulfilment of the Sustainable Development Goals</w:t>
      </w:r>
      <w:r w:rsidRPr="00D33745">
        <w:rPr>
          <w:rStyle w:val="FootnoteReference"/>
          <w:rFonts w:eastAsia="Arial Unicode MS"/>
          <w:noProof/>
          <w:lang w:val="en-IE"/>
        </w:rPr>
        <w:footnoteReference w:id="16"/>
      </w:r>
      <w:r>
        <w:rPr>
          <w:rFonts w:eastAsia="Arial Unicode MS"/>
          <w:noProof/>
          <w:lang w:val="en-IE"/>
        </w:rPr>
        <w:t xml:space="preserve"> (</w:t>
      </w:r>
      <w:r w:rsidRPr="00D33745">
        <w:rPr>
          <w:rFonts w:eastAsia="Arial Unicode MS"/>
          <w:noProof/>
          <w:lang w:val="en-IE"/>
        </w:rPr>
        <w:t>particular</w:t>
      </w:r>
      <w:r>
        <w:rPr>
          <w:rFonts w:eastAsia="Arial Unicode MS"/>
          <w:noProof/>
          <w:lang w:val="en-IE"/>
        </w:rPr>
        <w:t>ly</w:t>
      </w:r>
      <w:r w:rsidRPr="00D33745">
        <w:rPr>
          <w:rFonts w:eastAsia="Arial Unicode MS"/>
          <w:noProof/>
          <w:lang w:val="en-IE"/>
        </w:rPr>
        <w:t xml:space="preserve"> </w:t>
      </w:r>
      <w:r>
        <w:rPr>
          <w:rFonts w:eastAsia="Arial Unicode MS"/>
          <w:noProof/>
          <w:lang w:val="en-IE"/>
        </w:rPr>
        <w:t xml:space="preserve">Sustainable Development Goal </w:t>
      </w:r>
      <w:r w:rsidRPr="00D33745">
        <w:rPr>
          <w:rFonts w:eastAsia="Arial Unicode MS"/>
          <w:noProof/>
          <w:lang w:val="en-IE"/>
        </w:rPr>
        <w:t xml:space="preserve">11 </w:t>
      </w:r>
      <w:r>
        <w:rPr>
          <w:rFonts w:eastAsia="Arial Unicode MS"/>
          <w:noProof/>
          <w:lang w:val="en-IE"/>
        </w:rPr>
        <w:t xml:space="preserve">- </w:t>
      </w:r>
      <w:r w:rsidRPr="00D33745">
        <w:rPr>
          <w:rFonts w:eastAsia="Arial Unicode MS"/>
          <w:noProof/>
          <w:lang w:val="en-IE"/>
        </w:rPr>
        <w:t>sustainable cities and communities) by giving public authorities the tools and the data to regulate the STR sector proportionate</w:t>
      </w:r>
      <w:r>
        <w:rPr>
          <w:rFonts w:eastAsia="Arial Unicode MS"/>
          <w:noProof/>
          <w:lang w:val="en-IE"/>
        </w:rPr>
        <w:t>ly</w:t>
      </w:r>
      <w:r w:rsidRPr="00D33745">
        <w:rPr>
          <w:rFonts w:eastAsia="Arial Unicode MS"/>
          <w:noProof/>
          <w:lang w:val="en-IE"/>
        </w:rPr>
        <w:t xml:space="preserve"> and sustainabl</w:t>
      </w:r>
      <w:r>
        <w:rPr>
          <w:rFonts w:eastAsia="Arial Unicode MS"/>
          <w:noProof/>
          <w:lang w:val="en-IE"/>
        </w:rPr>
        <w:t>y</w:t>
      </w:r>
      <w:r w:rsidRPr="00D33745">
        <w:rPr>
          <w:rFonts w:eastAsia="Arial Unicode MS"/>
          <w:noProof/>
          <w:lang w:val="en-IE"/>
        </w:rPr>
        <w:t xml:space="preserve">. It will also support the </w:t>
      </w:r>
      <w:r>
        <w:rPr>
          <w:rFonts w:eastAsia="Arial Unicode MS"/>
          <w:noProof/>
          <w:lang w:val="en-IE"/>
        </w:rPr>
        <w:t xml:space="preserve">proposal by </w:t>
      </w:r>
      <w:r w:rsidRPr="00D33745">
        <w:rPr>
          <w:rFonts w:eastAsia="Arial Unicode MS"/>
          <w:noProof/>
          <w:lang w:val="en-IE"/>
        </w:rPr>
        <w:t xml:space="preserve">the Conference on the Future of Europe to </w:t>
      </w:r>
      <w:r>
        <w:rPr>
          <w:rFonts w:eastAsia="Arial Unicode MS"/>
          <w:noProof/>
          <w:lang w:val="en-IE"/>
        </w:rPr>
        <w:t>‘</w:t>
      </w:r>
      <w:r w:rsidRPr="00D33745">
        <w:rPr>
          <w:rFonts w:eastAsia="Arial Unicode MS"/>
          <w:noProof/>
          <w:lang w:val="en-IE"/>
        </w:rPr>
        <w:t>invest in an economy based on tourism and culture, including the many small destinations in Europe</w:t>
      </w:r>
      <w:r>
        <w:rPr>
          <w:rFonts w:eastAsia="Arial Unicode MS"/>
          <w:noProof/>
          <w:lang w:val="en-IE"/>
        </w:rPr>
        <w:t>’</w:t>
      </w:r>
      <w:r w:rsidRPr="00D33745">
        <w:rPr>
          <w:rStyle w:val="FootnoteReference"/>
          <w:rFonts w:eastAsia="Arial Unicode MS"/>
          <w:noProof/>
          <w:lang w:val="en-IE"/>
        </w:rPr>
        <w:footnoteReference w:id="17"/>
      </w:r>
      <w:r w:rsidRPr="00D33745">
        <w:rPr>
          <w:rFonts w:eastAsia="Arial Unicode MS"/>
          <w:noProof/>
          <w:lang w:val="en-IE"/>
        </w:rPr>
        <w:t>. It will complement and build on all existing legal instruments and will be in line with EU competition law, international trade commitments</w:t>
      </w:r>
      <w:r w:rsidRPr="00D33745">
        <w:rPr>
          <w:rStyle w:val="FootnoteReference"/>
          <w:rFonts w:eastAsia="Arial Unicode MS"/>
          <w:noProof/>
          <w:lang w:val="en-IE"/>
        </w:rPr>
        <w:footnoteReference w:id="18"/>
      </w:r>
      <w:r w:rsidRPr="00D33745">
        <w:rPr>
          <w:rFonts w:eastAsia="Arial Unicode MS"/>
          <w:noProof/>
          <w:lang w:val="en-IE"/>
        </w:rPr>
        <w:t xml:space="preserve"> and the proposed European Declaration on Digital Rights and Principles</w:t>
      </w:r>
      <w:r>
        <w:rPr>
          <w:rFonts w:eastAsia="Arial Unicode MS"/>
          <w:noProof/>
          <w:lang w:val="en-IE"/>
        </w:rPr>
        <w:t xml:space="preserve"> for the Digital Decade</w:t>
      </w:r>
      <w:r w:rsidRPr="00D33745">
        <w:rPr>
          <w:rStyle w:val="FootnoteReference"/>
          <w:rFonts w:eastAsia="Arial Unicode MS"/>
          <w:noProof/>
          <w:lang w:val="en-IE"/>
        </w:rPr>
        <w:footnoteReference w:id="19"/>
      </w:r>
      <w:r w:rsidRPr="00D33745">
        <w:rPr>
          <w:rFonts w:eastAsia="Arial Unicode MS"/>
          <w:noProof/>
          <w:lang w:val="en-IE"/>
        </w:rPr>
        <w:t>.</w:t>
      </w:r>
    </w:p>
    <w:p w:rsidR="007F180F" w:rsidRPr="00D33745" w:rsidRDefault="007F180F" w:rsidP="007D1438">
      <w:pPr>
        <w:pStyle w:val="ManualHeading1"/>
        <w:rPr>
          <w:noProof/>
          <w:lang w:val="en-IE"/>
        </w:rPr>
      </w:pPr>
      <w:r w:rsidRPr="00D33745">
        <w:rPr>
          <w:noProof/>
          <w:lang w:val="en-IE"/>
        </w:rPr>
        <w:t>2.</w:t>
      </w:r>
      <w:r w:rsidRPr="00D33745">
        <w:rPr>
          <w:noProof/>
          <w:lang w:val="en-IE"/>
        </w:rPr>
        <w:tab/>
        <w:t>LEGAL BASIS, SUBSIDIARITY AND PROPORTIONALITY</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Legal basis</w:t>
      </w:r>
    </w:p>
    <w:p w:rsidR="00D85359" w:rsidRPr="00D33745" w:rsidRDefault="00D85359" w:rsidP="00D85359">
      <w:pPr>
        <w:pStyle w:val="Text2"/>
        <w:ind w:left="0"/>
        <w:rPr>
          <w:noProof/>
          <w:lang w:val="en-IE"/>
        </w:rPr>
      </w:pPr>
      <w:r w:rsidRPr="00D33745">
        <w:rPr>
          <w:noProof/>
          <w:lang w:val="en-IE"/>
        </w:rPr>
        <w:t xml:space="preserve">The legal basis of </w:t>
      </w:r>
      <w:r>
        <w:rPr>
          <w:noProof/>
          <w:lang w:val="en-IE"/>
        </w:rPr>
        <w:t>the Proposal</w:t>
      </w:r>
      <w:r w:rsidRPr="00D33745">
        <w:rPr>
          <w:noProof/>
          <w:lang w:val="en-IE"/>
        </w:rPr>
        <w:t xml:space="preserve"> is Article 114 </w:t>
      </w:r>
      <w:r>
        <w:rPr>
          <w:noProof/>
          <w:lang w:val="en-IE"/>
        </w:rPr>
        <w:t>of the Treaty on the Functioning of the European Union (</w:t>
      </w:r>
      <w:r w:rsidRPr="00D33745">
        <w:rPr>
          <w:noProof/>
          <w:lang w:val="en-IE"/>
        </w:rPr>
        <w:t>TFEU</w:t>
      </w:r>
      <w:r>
        <w:rPr>
          <w:noProof/>
          <w:lang w:val="en-IE"/>
        </w:rPr>
        <w:t>), which</w:t>
      </w:r>
      <w:r w:rsidRPr="00D33745">
        <w:rPr>
          <w:noProof/>
          <w:lang w:val="en-IE"/>
        </w:rPr>
        <w:t xml:space="preserve"> allows the adoption of measures necessary for the approximation of the provisions laid down by law, regulation or administrative action in Member States that have as their object the establishment and functioning of the internal market.</w:t>
      </w:r>
    </w:p>
    <w:p w:rsidR="00D85359" w:rsidRPr="00D33745" w:rsidRDefault="00D85359" w:rsidP="00D85359">
      <w:pPr>
        <w:pStyle w:val="Text2"/>
        <w:ind w:left="0"/>
        <w:rPr>
          <w:noProof/>
          <w:lang w:val="en-IE"/>
        </w:rPr>
      </w:pPr>
      <w:r>
        <w:rPr>
          <w:noProof/>
          <w:szCs w:val="24"/>
          <w:lang w:val="en-IE"/>
        </w:rPr>
        <w:t>The Proposal</w:t>
      </w:r>
      <w:r w:rsidRPr="00D33745">
        <w:rPr>
          <w:noProof/>
          <w:szCs w:val="24"/>
          <w:lang w:val="en-IE"/>
        </w:rPr>
        <w:t xml:space="preserve"> aims to establish a harmonised </w:t>
      </w:r>
      <w:r>
        <w:rPr>
          <w:noProof/>
          <w:szCs w:val="24"/>
          <w:lang w:val="en-IE"/>
        </w:rPr>
        <w:t>EU</w:t>
      </w:r>
      <w:r w:rsidRPr="00D33745">
        <w:rPr>
          <w:noProof/>
          <w:szCs w:val="24"/>
          <w:lang w:val="en-IE"/>
        </w:rPr>
        <w:t xml:space="preserve"> framework for data generation and data sharing on STR services. The approximation of rules applicable to intermediary services is necessary</w:t>
      </w:r>
      <w:r>
        <w:rPr>
          <w:noProof/>
          <w:szCs w:val="24"/>
          <w:lang w:val="en-IE"/>
        </w:rPr>
        <w:t xml:space="preserve"> in order</w:t>
      </w:r>
      <w:r w:rsidRPr="00D33745">
        <w:rPr>
          <w:noProof/>
          <w:szCs w:val="24"/>
          <w:lang w:val="en-IE"/>
        </w:rPr>
        <w:t xml:space="preserve"> to avoid a proliferation of diverging data requirements and requests in the single market, which</w:t>
      </w:r>
      <w:r>
        <w:rPr>
          <w:noProof/>
          <w:szCs w:val="24"/>
          <w:lang w:val="en-IE"/>
        </w:rPr>
        <w:t xml:space="preserve"> would</w:t>
      </w:r>
      <w:r w:rsidRPr="00D33745">
        <w:rPr>
          <w:noProof/>
          <w:szCs w:val="24"/>
          <w:lang w:val="en-IE"/>
        </w:rPr>
        <w:t xml:space="preserve"> hamper the cross-border provision of online intermediation and STR services. The data</w:t>
      </w:r>
      <w:r>
        <w:rPr>
          <w:noProof/>
          <w:szCs w:val="24"/>
          <w:lang w:val="en-IE"/>
        </w:rPr>
        <w:t>-</w:t>
      </w:r>
      <w:r w:rsidRPr="00D33745">
        <w:rPr>
          <w:noProof/>
          <w:szCs w:val="24"/>
          <w:lang w:val="en-IE"/>
        </w:rPr>
        <w:t xml:space="preserve">sharing framework established under </w:t>
      </w:r>
      <w:r>
        <w:rPr>
          <w:noProof/>
          <w:szCs w:val="24"/>
          <w:lang w:val="en-IE"/>
        </w:rPr>
        <w:t>the Proposal</w:t>
      </w:r>
      <w:r w:rsidRPr="00D33745">
        <w:rPr>
          <w:noProof/>
          <w:szCs w:val="24"/>
          <w:lang w:val="en-IE"/>
        </w:rPr>
        <w:t xml:space="preserve"> is expected to have a positive effect on market access for hosts, </w:t>
      </w:r>
      <w:r>
        <w:rPr>
          <w:noProof/>
          <w:szCs w:val="24"/>
          <w:lang w:val="en-IE"/>
        </w:rPr>
        <w:t>because</w:t>
      </w:r>
      <w:r w:rsidRPr="00D33745">
        <w:rPr>
          <w:noProof/>
          <w:szCs w:val="24"/>
          <w:lang w:val="en-IE"/>
        </w:rPr>
        <w:t xml:space="preserve"> it will help reduce administrative burdens related to registration requirements for hosts. The data</w:t>
      </w:r>
      <w:r>
        <w:rPr>
          <w:noProof/>
          <w:szCs w:val="24"/>
          <w:lang w:val="en-IE"/>
        </w:rPr>
        <w:t>-</w:t>
      </w:r>
      <w:r w:rsidRPr="00D33745">
        <w:rPr>
          <w:noProof/>
          <w:szCs w:val="24"/>
          <w:lang w:val="en-IE"/>
        </w:rPr>
        <w:t xml:space="preserve">sharing framework will provide authorities with </w:t>
      </w:r>
      <w:r>
        <w:rPr>
          <w:noProof/>
          <w:szCs w:val="24"/>
          <w:lang w:val="en-IE"/>
        </w:rPr>
        <w:t xml:space="preserve">the </w:t>
      </w:r>
      <w:r w:rsidRPr="00D33745">
        <w:rPr>
          <w:noProof/>
          <w:szCs w:val="24"/>
          <w:lang w:val="en-IE"/>
        </w:rPr>
        <w:t xml:space="preserve">data </w:t>
      </w:r>
      <w:r>
        <w:rPr>
          <w:noProof/>
          <w:szCs w:val="24"/>
          <w:lang w:val="en-IE"/>
        </w:rPr>
        <w:t xml:space="preserve">that </w:t>
      </w:r>
      <w:r w:rsidRPr="00D33745">
        <w:rPr>
          <w:noProof/>
          <w:szCs w:val="24"/>
          <w:lang w:val="en-IE"/>
        </w:rPr>
        <w:t>they need</w:t>
      </w:r>
      <w:r>
        <w:rPr>
          <w:noProof/>
          <w:szCs w:val="24"/>
          <w:lang w:val="en-IE"/>
        </w:rPr>
        <w:t xml:space="preserve"> in order</w:t>
      </w:r>
      <w:r w:rsidRPr="00D33745">
        <w:rPr>
          <w:noProof/>
          <w:szCs w:val="24"/>
          <w:lang w:val="en-IE"/>
        </w:rPr>
        <w:t xml:space="preserve"> to</w:t>
      </w:r>
      <w:r>
        <w:rPr>
          <w:noProof/>
          <w:szCs w:val="24"/>
          <w:lang w:val="en-IE"/>
        </w:rPr>
        <w:t xml:space="preserve"> develop</w:t>
      </w:r>
      <w:r w:rsidRPr="00D33745">
        <w:rPr>
          <w:noProof/>
          <w:szCs w:val="24"/>
          <w:lang w:val="en-IE"/>
        </w:rPr>
        <w:t xml:space="preserve"> and maintain STR </w:t>
      </w:r>
      <w:r>
        <w:rPr>
          <w:noProof/>
          <w:szCs w:val="24"/>
          <w:lang w:val="en-IE"/>
        </w:rPr>
        <w:t xml:space="preserve">rules </w:t>
      </w:r>
      <w:r w:rsidRPr="00D33745">
        <w:rPr>
          <w:noProof/>
          <w:szCs w:val="24"/>
          <w:lang w:val="en-IE"/>
        </w:rPr>
        <w:t xml:space="preserve">(e.g. </w:t>
      </w:r>
      <w:r>
        <w:rPr>
          <w:noProof/>
          <w:szCs w:val="24"/>
          <w:lang w:val="en-IE"/>
        </w:rPr>
        <w:t xml:space="preserve">rules </w:t>
      </w:r>
      <w:r w:rsidRPr="00D33745">
        <w:rPr>
          <w:noProof/>
          <w:szCs w:val="24"/>
          <w:lang w:val="en-IE"/>
        </w:rPr>
        <w:t xml:space="preserve">to limit STR offers in some geographical areas or to ensure compliance with health and safety requirements) that are appropriate and </w:t>
      </w:r>
      <w:r>
        <w:rPr>
          <w:noProof/>
          <w:szCs w:val="24"/>
          <w:lang w:val="en-IE"/>
        </w:rPr>
        <w:t xml:space="preserve">are </w:t>
      </w:r>
      <w:r w:rsidRPr="00D33745">
        <w:rPr>
          <w:noProof/>
          <w:szCs w:val="24"/>
          <w:lang w:val="en-IE"/>
        </w:rPr>
        <w:t>not more restrictive than necessary</w:t>
      </w:r>
      <w:r>
        <w:rPr>
          <w:noProof/>
          <w:szCs w:val="24"/>
          <w:lang w:val="en-IE"/>
        </w:rPr>
        <w:t xml:space="preserve"> to achieve a public interest objective</w:t>
      </w:r>
      <w:r w:rsidRPr="00D33745">
        <w:rPr>
          <w:noProof/>
          <w:szCs w:val="24"/>
          <w:lang w:val="en-IE"/>
        </w:rPr>
        <w:t xml:space="preserve">. </w:t>
      </w:r>
      <w:r w:rsidRPr="00D33745">
        <w:rPr>
          <w:noProof/>
          <w:lang w:val="en-IE"/>
        </w:rPr>
        <w:t xml:space="preserve">Article 114 TFEU is therefore the appropriate legal basis for a legislative intervention </w:t>
      </w:r>
      <w:r>
        <w:rPr>
          <w:noProof/>
          <w:lang w:val="en-IE"/>
        </w:rPr>
        <w:t xml:space="preserve">that </w:t>
      </w:r>
      <w:r w:rsidRPr="00D33745">
        <w:rPr>
          <w:noProof/>
          <w:lang w:val="en-IE"/>
        </w:rPr>
        <w:t>cover</w:t>
      </w:r>
      <w:r>
        <w:rPr>
          <w:noProof/>
          <w:lang w:val="en-IE"/>
        </w:rPr>
        <w:t>s</w:t>
      </w:r>
      <w:r w:rsidRPr="00D33745">
        <w:rPr>
          <w:noProof/>
          <w:lang w:val="en-IE"/>
        </w:rPr>
        <w:t xml:space="preserve"> </w:t>
      </w:r>
      <w:r w:rsidR="00F3665E">
        <w:rPr>
          <w:noProof/>
          <w:lang w:val="en-IE"/>
        </w:rPr>
        <w:t xml:space="preserve">online platforms </w:t>
      </w:r>
      <w:r w:rsidRPr="00D33745">
        <w:rPr>
          <w:noProof/>
          <w:lang w:val="en-IE"/>
        </w:rPr>
        <w:t>in the internal market and address</w:t>
      </w:r>
      <w:r>
        <w:rPr>
          <w:noProof/>
          <w:lang w:val="en-IE"/>
        </w:rPr>
        <w:t>es</w:t>
      </w:r>
      <w:r w:rsidRPr="00D33745">
        <w:rPr>
          <w:noProof/>
          <w:lang w:val="en-IE"/>
        </w:rPr>
        <w:t xml:space="preserve"> divergences between Member States’ regulations and requirements</w:t>
      </w:r>
      <w:r>
        <w:rPr>
          <w:noProof/>
          <w:lang w:val="en-IE"/>
        </w:rPr>
        <w:t xml:space="preserve">, which </w:t>
      </w:r>
      <w:r w:rsidRPr="00D33745">
        <w:rPr>
          <w:noProof/>
          <w:lang w:val="en-IE"/>
        </w:rPr>
        <w:t>affect the functioning of the internal market for online platforms.</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 xml:space="preserve">Subsidiarity (for non-exclusive competence) </w:t>
      </w:r>
    </w:p>
    <w:p w:rsidR="00D85359" w:rsidRPr="00D33745" w:rsidRDefault="00D85359" w:rsidP="00D85359">
      <w:pPr>
        <w:pStyle w:val="Text2"/>
        <w:ind w:left="0"/>
        <w:rPr>
          <w:noProof/>
          <w:lang w:val="en-IE"/>
        </w:rPr>
      </w:pPr>
      <w:r w:rsidRPr="00D33745">
        <w:rPr>
          <w:noProof/>
          <w:lang w:val="en-IE"/>
        </w:rPr>
        <w:t>According to the subsidiarity principle, the EU should only act whe</w:t>
      </w:r>
      <w:r>
        <w:rPr>
          <w:noProof/>
          <w:lang w:val="en-IE"/>
        </w:rPr>
        <w:t>n</w:t>
      </w:r>
      <w:r w:rsidRPr="00D33745">
        <w:rPr>
          <w:noProof/>
          <w:lang w:val="en-IE"/>
        </w:rPr>
        <w:t xml:space="preserve"> the objectives of </w:t>
      </w:r>
      <w:r>
        <w:rPr>
          <w:noProof/>
          <w:lang w:val="en-IE"/>
        </w:rPr>
        <w:t>a</w:t>
      </w:r>
      <w:r w:rsidRPr="00D33745">
        <w:rPr>
          <w:noProof/>
          <w:lang w:val="en-IE"/>
        </w:rPr>
        <w:t xml:space="preserve"> proposed action cannot be achieved sufficiently by Member States alone and can therefore, by reason of the scale or effects of the proposed action, be better achieved by the EU.</w:t>
      </w:r>
    </w:p>
    <w:p w:rsidR="00D85359" w:rsidRPr="00D33745" w:rsidRDefault="00D85359" w:rsidP="00D85359">
      <w:pPr>
        <w:pStyle w:val="Text2"/>
        <w:ind w:left="0"/>
        <w:rPr>
          <w:noProof/>
          <w:lang w:val="en-IE"/>
        </w:rPr>
      </w:pPr>
      <w:r w:rsidRPr="00D33745">
        <w:rPr>
          <w:noProof/>
          <w:lang w:val="en-IE"/>
        </w:rPr>
        <w:t>Diverg</w:t>
      </w:r>
      <w:r>
        <w:rPr>
          <w:noProof/>
          <w:lang w:val="en-IE"/>
        </w:rPr>
        <w:t>ing</w:t>
      </w:r>
      <w:r w:rsidRPr="00D33745">
        <w:rPr>
          <w:noProof/>
          <w:lang w:val="en-IE"/>
        </w:rPr>
        <w:t xml:space="preserve"> and </w:t>
      </w:r>
      <w:r>
        <w:rPr>
          <w:noProof/>
          <w:lang w:val="en-IE"/>
        </w:rPr>
        <w:t xml:space="preserve">overly </w:t>
      </w:r>
      <w:r w:rsidRPr="00D33745">
        <w:rPr>
          <w:noProof/>
          <w:lang w:val="en-IE"/>
        </w:rPr>
        <w:t>burdensome frameworks concerning data generation and data sharing put in place by Member States are</w:t>
      </w:r>
      <w:r>
        <w:rPr>
          <w:noProof/>
          <w:lang w:val="en-IE"/>
        </w:rPr>
        <w:t xml:space="preserve"> hindering</w:t>
      </w:r>
      <w:r w:rsidRPr="00D33745">
        <w:rPr>
          <w:noProof/>
          <w:lang w:val="en-IE"/>
        </w:rPr>
        <w:t xml:space="preserve"> the ability of online platforms to operate </w:t>
      </w:r>
      <w:r>
        <w:rPr>
          <w:noProof/>
          <w:lang w:val="en-IE"/>
        </w:rPr>
        <w:t>a</w:t>
      </w:r>
      <w:r w:rsidRPr="00D33745">
        <w:rPr>
          <w:noProof/>
          <w:lang w:val="en-IE"/>
        </w:rPr>
        <w:t>cross</w:t>
      </w:r>
      <w:r>
        <w:rPr>
          <w:noProof/>
          <w:lang w:val="en-IE"/>
        </w:rPr>
        <w:t xml:space="preserve"> </w:t>
      </w:r>
      <w:r w:rsidRPr="00D33745">
        <w:rPr>
          <w:noProof/>
          <w:lang w:val="en-IE"/>
        </w:rPr>
        <w:t>border</w:t>
      </w:r>
      <w:r>
        <w:rPr>
          <w:noProof/>
          <w:lang w:val="en-IE"/>
        </w:rPr>
        <w:t>s</w:t>
      </w:r>
      <w:r w:rsidRPr="00D33745">
        <w:rPr>
          <w:noProof/>
          <w:lang w:val="en-IE"/>
        </w:rPr>
        <w:t xml:space="preserve">. At the same time, the current interventions at national, regional and local level are often excessive and ineffective because authorities </w:t>
      </w:r>
      <w:r>
        <w:rPr>
          <w:noProof/>
          <w:lang w:val="en-IE"/>
        </w:rPr>
        <w:t xml:space="preserve">generally find it difficult to </w:t>
      </w:r>
      <w:r w:rsidRPr="00D33745">
        <w:rPr>
          <w:noProof/>
          <w:lang w:val="en-IE"/>
        </w:rPr>
        <w:t xml:space="preserve">obtain data from platforms and hosts. </w:t>
      </w:r>
      <w:r w:rsidR="00F3665E">
        <w:rPr>
          <w:noProof/>
          <w:lang w:val="en-IE"/>
        </w:rPr>
        <w:t xml:space="preserve">Action at the European level </w:t>
      </w:r>
      <w:r w:rsidRPr="00D33745">
        <w:rPr>
          <w:noProof/>
          <w:lang w:val="en-IE"/>
        </w:rPr>
        <w:t xml:space="preserve">will enable data sharing by online platforms operating across the EU and ensure that the exchanged data is standardised and interoperable. Common EU standards for registration schemes will ensure that the procedure for registration is simple, </w:t>
      </w:r>
      <w:r>
        <w:rPr>
          <w:noProof/>
          <w:lang w:val="en-IE"/>
        </w:rPr>
        <w:t xml:space="preserve">thus </w:t>
      </w:r>
      <w:r w:rsidRPr="00D33745">
        <w:rPr>
          <w:noProof/>
          <w:lang w:val="en-IE"/>
        </w:rPr>
        <w:t>contributing to reduced fragmentation and administrative burdens for online platforms and hosts. The common EU framework will offer national and local authorities the level of transparency they need to enforce rules and adopt informed policy responses in line with existing EU law.</w:t>
      </w:r>
    </w:p>
    <w:p w:rsidR="00D85359" w:rsidRPr="00D33745" w:rsidRDefault="00D85359" w:rsidP="00D85359">
      <w:pPr>
        <w:pStyle w:val="Text2"/>
        <w:ind w:left="0"/>
        <w:rPr>
          <w:noProof/>
          <w:lang w:val="en-IE"/>
        </w:rPr>
      </w:pPr>
      <w:r w:rsidRPr="00D33745">
        <w:rPr>
          <w:noProof/>
          <w:lang w:val="en-IE"/>
        </w:rPr>
        <w:t>The cross-border nature of online STR services offered by platforms and the fragmentation of data</w:t>
      </w:r>
      <w:r>
        <w:rPr>
          <w:noProof/>
          <w:lang w:val="en-IE"/>
        </w:rPr>
        <w:t>-</w:t>
      </w:r>
      <w:r w:rsidRPr="00D33745">
        <w:rPr>
          <w:noProof/>
          <w:lang w:val="en-IE"/>
        </w:rPr>
        <w:t xml:space="preserve">sharing requirements </w:t>
      </w:r>
      <w:r>
        <w:rPr>
          <w:noProof/>
          <w:lang w:val="en-IE"/>
        </w:rPr>
        <w:t>means</w:t>
      </w:r>
      <w:r w:rsidRPr="00D33745">
        <w:rPr>
          <w:noProof/>
          <w:lang w:val="en-IE"/>
        </w:rPr>
        <w:t xml:space="preserve"> that the objectives</w:t>
      </w:r>
      <w:r>
        <w:rPr>
          <w:noProof/>
          <w:lang w:val="en-IE"/>
        </w:rPr>
        <w:t xml:space="preserve"> of the Proposal</w:t>
      </w:r>
      <w:r w:rsidRPr="00D33745">
        <w:rPr>
          <w:noProof/>
          <w:lang w:val="en-IE"/>
        </w:rPr>
        <w:t xml:space="preserve"> cannot be effectively </w:t>
      </w:r>
      <w:r>
        <w:rPr>
          <w:noProof/>
          <w:lang w:val="en-IE"/>
        </w:rPr>
        <w:t xml:space="preserve">achieved </w:t>
      </w:r>
      <w:r w:rsidRPr="00D33745">
        <w:rPr>
          <w:noProof/>
          <w:lang w:val="en-IE"/>
        </w:rPr>
        <w:t xml:space="preserve">by </w:t>
      </w:r>
      <w:r>
        <w:rPr>
          <w:noProof/>
          <w:lang w:val="en-IE"/>
        </w:rPr>
        <w:t xml:space="preserve">the </w:t>
      </w:r>
      <w:r w:rsidRPr="00D33745">
        <w:rPr>
          <w:noProof/>
          <w:lang w:val="en-IE"/>
        </w:rPr>
        <w:t xml:space="preserve">Member States alone. </w:t>
      </w:r>
      <w:r>
        <w:rPr>
          <w:noProof/>
          <w:lang w:val="en-IE"/>
        </w:rPr>
        <w:t>EU</w:t>
      </w:r>
      <w:r w:rsidRPr="00D33745">
        <w:rPr>
          <w:noProof/>
          <w:lang w:val="en-IE"/>
        </w:rPr>
        <w:t xml:space="preserve"> action </w:t>
      </w:r>
      <w:r>
        <w:rPr>
          <w:noProof/>
          <w:lang w:val="en-IE"/>
        </w:rPr>
        <w:t xml:space="preserve">is </w:t>
      </w:r>
      <w:r w:rsidRPr="00D33745">
        <w:rPr>
          <w:noProof/>
          <w:lang w:val="en-IE"/>
        </w:rPr>
        <w:t>therefore the only way to ensure that a harmonised framework for data generation (through registration) and data sharing is established</w:t>
      </w:r>
      <w:r>
        <w:rPr>
          <w:noProof/>
          <w:lang w:val="en-IE"/>
        </w:rPr>
        <w:t xml:space="preserve">. This will </w:t>
      </w:r>
      <w:r w:rsidRPr="00D33745">
        <w:rPr>
          <w:noProof/>
          <w:lang w:val="en-IE"/>
        </w:rPr>
        <w:t xml:space="preserve">also enable public authorities to </w:t>
      </w:r>
      <w:r w:rsidR="00F3665E">
        <w:rPr>
          <w:noProof/>
          <w:lang w:val="en-IE"/>
        </w:rPr>
        <w:t>design appropriate and proportionate rules based on</w:t>
      </w:r>
      <w:r>
        <w:rPr>
          <w:noProof/>
          <w:lang w:val="en-IE"/>
        </w:rPr>
        <w:t xml:space="preserve"> </w:t>
      </w:r>
      <w:r w:rsidRPr="00D33745">
        <w:rPr>
          <w:noProof/>
          <w:lang w:val="en-IE"/>
        </w:rPr>
        <w:t>reliable data on STRs</w:t>
      </w:r>
      <w:r>
        <w:rPr>
          <w:noProof/>
          <w:lang w:val="en-IE"/>
        </w:rPr>
        <w:t>,</w:t>
      </w:r>
      <w:r w:rsidRPr="00D33745">
        <w:rPr>
          <w:noProof/>
          <w:lang w:val="en-IE"/>
        </w:rPr>
        <w:t xml:space="preserve"> and </w:t>
      </w:r>
      <w:r>
        <w:rPr>
          <w:noProof/>
          <w:lang w:val="en-IE"/>
        </w:rPr>
        <w:t xml:space="preserve">enable </w:t>
      </w:r>
      <w:r w:rsidRPr="00D33745">
        <w:rPr>
          <w:noProof/>
          <w:lang w:val="en-IE"/>
        </w:rPr>
        <w:t xml:space="preserve">online platforms to operate and grow in the single market without </w:t>
      </w:r>
      <w:r>
        <w:rPr>
          <w:noProof/>
          <w:lang w:val="en-IE"/>
        </w:rPr>
        <w:t>having to respond to</w:t>
      </w:r>
      <w:r w:rsidRPr="00D33745">
        <w:rPr>
          <w:noProof/>
          <w:lang w:val="en-IE"/>
        </w:rPr>
        <w:t xml:space="preserve"> numerous and diverging data</w:t>
      </w:r>
      <w:r>
        <w:rPr>
          <w:noProof/>
          <w:lang w:val="en-IE"/>
        </w:rPr>
        <w:t>-</w:t>
      </w:r>
      <w:r w:rsidRPr="00D33745">
        <w:rPr>
          <w:noProof/>
          <w:lang w:val="en-IE"/>
        </w:rPr>
        <w:t>sharing requests.</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Proportionality</w:t>
      </w:r>
    </w:p>
    <w:p w:rsidR="00D85359" w:rsidRPr="00D33745" w:rsidRDefault="00D85359" w:rsidP="00D85359">
      <w:pPr>
        <w:rPr>
          <w:noProof/>
          <w:szCs w:val="24"/>
          <w:lang w:val="en-IE"/>
        </w:rPr>
      </w:pPr>
      <w:r w:rsidRPr="00D33745">
        <w:rPr>
          <w:noProof/>
          <w:szCs w:val="24"/>
          <w:lang w:val="en-IE"/>
        </w:rPr>
        <w:t>Th</w:t>
      </w:r>
      <w:r>
        <w:rPr>
          <w:noProof/>
          <w:szCs w:val="24"/>
          <w:lang w:val="en-IE"/>
        </w:rPr>
        <w:t>e</w:t>
      </w:r>
      <w:r w:rsidRPr="00D33745">
        <w:rPr>
          <w:noProof/>
          <w:szCs w:val="24"/>
          <w:lang w:val="en-IE"/>
        </w:rPr>
        <w:t xml:space="preserve"> </w:t>
      </w:r>
      <w:r>
        <w:rPr>
          <w:noProof/>
          <w:szCs w:val="24"/>
          <w:lang w:val="en-IE"/>
        </w:rPr>
        <w:t>P</w:t>
      </w:r>
      <w:r w:rsidRPr="00D33745">
        <w:rPr>
          <w:noProof/>
          <w:szCs w:val="24"/>
          <w:lang w:val="en-IE"/>
        </w:rPr>
        <w:t xml:space="preserve">roposal primarily aims at streamlining data requests across the EU </w:t>
      </w:r>
      <w:r>
        <w:rPr>
          <w:noProof/>
          <w:szCs w:val="24"/>
          <w:lang w:val="en-IE"/>
        </w:rPr>
        <w:t xml:space="preserve">in order </w:t>
      </w:r>
      <w:r w:rsidRPr="00D33745">
        <w:rPr>
          <w:noProof/>
          <w:szCs w:val="24"/>
          <w:lang w:val="en-IE"/>
        </w:rPr>
        <w:t xml:space="preserve">to </w:t>
      </w:r>
      <w:r>
        <w:rPr>
          <w:noProof/>
          <w:szCs w:val="24"/>
          <w:lang w:val="en-IE"/>
        </w:rPr>
        <w:t>make it easier for</w:t>
      </w:r>
      <w:r w:rsidRPr="00D33745">
        <w:rPr>
          <w:noProof/>
          <w:szCs w:val="24"/>
          <w:lang w:val="en-IE"/>
        </w:rPr>
        <w:t xml:space="preserve"> short-term rental platforms </w:t>
      </w:r>
      <w:r>
        <w:rPr>
          <w:noProof/>
          <w:szCs w:val="24"/>
          <w:lang w:val="en-IE"/>
        </w:rPr>
        <w:t>to respond to them</w:t>
      </w:r>
      <w:r w:rsidRPr="00D33745">
        <w:rPr>
          <w:noProof/>
          <w:szCs w:val="24"/>
          <w:lang w:val="en-IE"/>
        </w:rPr>
        <w:t xml:space="preserve">. </w:t>
      </w:r>
      <w:r w:rsidRPr="00D33745">
        <w:rPr>
          <w:noProof/>
          <w:lang w:val="en-IE"/>
        </w:rPr>
        <w:t xml:space="preserve">An EU legal basis </w:t>
      </w:r>
      <w:r>
        <w:rPr>
          <w:noProof/>
          <w:lang w:val="en-IE"/>
        </w:rPr>
        <w:t xml:space="preserve">and framework </w:t>
      </w:r>
      <w:r w:rsidRPr="00D33745">
        <w:rPr>
          <w:noProof/>
          <w:lang w:val="en-IE"/>
        </w:rPr>
        <w:t>for data sharing by online</w:t>
      </w:r>
      <w:r w:rsidRPr="00D33745" w:rsidDel="00452EEA">
        <w:rPr>
          <w:noProof/>
          <w:lang w:val="en-IE"/>
        </w:rPr>
        <w:t xml:space="preserve"> </w:t>
      </w:r>
      <w:r w:rsidR="00452EEA">
        <w:rPr>
          <w:noProof/>
          <w:lang w:val="en-IE"/>
        </w:rPr>
        <w:t>short-term rental</w:t>
      </w:r>
      <w:r w:rsidRPr="00D33745">
        <w:rPr>
          <w:noProof/>
          <w:lang w:val="en-IE"/>
        </w:rPr>
        <w:t xml:space="preserve"> platforms with public authorities will increase legal certainty and ensure that the exchanged data is standardised and interoperable. Member States </w:t>
      </w:r>
      <w:r>
        <w:rPr>
          <w:noProof/>
          <w:lang w:val="en-IE"/>
        </w:rPr>
        <w:t>will</w:t>
      </w:r>
      <w:r w:rsidRPr="00D33745">
        <w:rPr>
          <w:noProof/>
          <w:lang w:val="en-IE"/>
        </w:rPr>
        <w:t xml:space="preserve"> not </w:t>
      </w:r>
      <w:r>
        <w:rPr>
          <w:noProof/>
          <w:lang w:val="en-IE"/>
        </w:rPr>
        <w:t xml:space="preserve">be </w:t>
      </w:r>
      <w:r w:rsidRPr="00D33745">
        <w:rPr>
          <w:noProof/>
          <w:lang w:val="en-IE"/>
        </w:rPr>
        <w:t xml:space="preserve">required to put in place registration procedures for hosts, unless they wish to obtain data from platforms. </w:t>
      </w:r>
      <w:r w:rsidRPr="00D33745">
        <w:rPr>
          <w:noProof/>
          <w:szCs w:val="24"/>
          <w:lang w:val="en-IE"/>
        </w:rPr>
        <w:t>Whe</w:t>
      </w:r>
      <w:r>
        <w:rPr>
          <w:noProof/>
          <w:szCs w:val="24"/>
          <w:lang w:val="en-IE"/>
        </w:rPr>
        <w:t>n</w:t>
      </w:r>
      <w:r w:rsidRPr="00D33745">
        <w:rPr>
          <w:noProof/>
          <w:szCs w:val="24"/>
          <w:lang w:val="en-IE"/>
        </w:rPr>
        <w:t xml:space="preserve"> a registration system is in place, EU obligation</w:t>
      </w:r>
      <w:r>
        <w:rPr>
          <w:noProof/>
          <w:szCs w:val="24"/>
          <w:lang w:val="en-IE"/>
        </w:rPr>
        <w:t>s</w:t>
      </w:r>
      <w:r w:rsidRPr="00D33745">
        <w:rPr>
          <w:noProof/>
          <w:szCs w:val="24"/>
          <w:lang w:val="en-IE"/>
        </w:rPr>
        <w:t xml:space="preserve"> for authorities to issue registration numbers</w:t>
      </w:r>
      <w:r>
        <w:rPr>
          <w:noProof/>
          <w:szCs w:val="24"/>
          <w:lang w:val="en-IE"/>
        </w:rPr>
        <w:t>,</w:t>
      </w:r>
      <w:r w:rsidRPr="00D33745">
        <w:rPr>
          <w:noProof/>
          <w:szCs w:val="24"/>
          <w:lang w:val="en-IE"/>
        </w:rPr>
        <w:t xml:space="preserve"> and for online platforms to enable all hosts to display listings with </w:t>
      </w:r>
      <w:r>
        <w:rPr>
          <w:noProof/>
          <w:szCs w:val="24"/>
          <w:lang w:val="en-IE"/>
        </w:rPr>
        <w:t>these</w:t>
      </w:r>
      <w:r w:rsidRPr="00D33745">
        <w:rPr>
          <w:noProof/>
          <w:szCs w:val="24"/>
          <w:lang w:val="en-IE"/>
        </w:rPr>
        <w:t xml:space="preserve"> registration numbers will ensure that </w:t>
      </w:r>
      <w:r>
        <w:rPr>
          <w:noProof/>
          <w:szCs w:val="24"/>
          <w:lang w:val="en-IE"/>
        </w:rPr>
        <w:t>this</w:t>
      </w:r>
      <w:r w:rsidRPr="00D33745">
        <w:rPr>
          <w:noProof/>
          <w:szCs w:val="24"/>
          <w:lang w:val="en-IE"/>
        </w:rPr>
        <w:t xml:space="preserve"> requirement for hosts </w:t>
      </w:r>
      <w:r>
        <w:rPr>
          <w:noProof/>
          <w:szCs w:val="24"/>
          <w:lang w:val="en-IE"/>
        </w:rPr>
        <w:t xml:space="preserve">is </w:t>
      </w:r>
      <w:r w:rsidRPr="00D33745">
        <w:rPr>
          <w:noProof/>
          <w:szCs w:val="24"/>
          <w:lang w:val="en-IE"/>
        </w:rPr>
        <w:t xml:space="preserve">easily enforceable. </w:t>
      </w:r>
      <w:r>
        <w:rPr>
          <w:noProof/>
          <w:szCs w:val="24"/>
          <w:lang w:val="en-IE"/>
        </w:rPr>
        <w:t>A registration system</w:t>
      </w:r>
      <w:r w:rsidRPr="00D33745">
        <w:rPr>
          <w:noProof/>
          <w:szCs w:val="24"/>
          <w:lang w:val="en-IE"/>
        </w:rPr>
        <w:t xml:space="preserve"> will also facilitate data exchanges based on th</w:t>
      </w:r>
      <w:r>
        <w:rPr>
          <w:noProof/>
          <w:szCs w:val="24"/>
          <w:lang w:val="en-IE"/>
        </w:rPr>
        <w:t>ese</w:t>
      </w:r>
      <w:r w:rsidRPr="00D33745">
        <w:rPr>
          <w:noProof/>
          <w:szCs w:val="24"/>
          <w:lang w:val="en-IE"/>
        </w:rPr>
        <w:t xml:space="preserve"> registration number</w:t>
      </w:r>
      <w:r>
        <w:rPr>
          <w:noProof/>
          <w:szCs w:val="24"/>
          <w:lang w:val="en-IE"/>
        </w:rPr>
        <w:t>s</w:t>
      </w:r>
      <w:r w:rsidRPr="00D33745">
        <w:rPr>
          <w:noProof/>
          <w:szCs w:val="24"/>
          <w:lang w:val="en-IE"/>
        </w:rPr>
        <w:t xml:space="preserve">. </w:t>
      </w:r>
      <w:r w:rsidRPr="00D33745">
        <w:rPr>
          <w:noProof/>
          <w:lang w:val="en-IE"/>
        </w:rPr>
        <w:t xml:space="preserve">The common EU framework will </w:t>
      </w:r>
      <w:r>
        <w:rPr>
          <w:noProof/>
          <w:lang w:val="en-IE"/>
        </w:rPr>
        <w:t>therefore</w:t>
      </w:r>
      <w:r w:rsidRPr="00D33745">
        <w:rPr>
          <w:noProof/>
          <w:lang w:val="en-IE"/>
        </w:rPr>
        <w:t xml:space="preserve"> </w:t>
      </w:r>
      <w:r>
        <w:rPr>
          <w:noProof/>
          <w:lang w:val="en-IE"/>
        </w:rPr>
        <w:t xml:space="preserve">provide </w:t>
      </w:r>
      <w:r w:rsidRPr="00D33745">
        <w:rPr>
          <w:noProof/>
          <w:lang w:val="en-IE"/>
        </w:rPr>
        <w:t xml:space="preserve">national and local authorities </w:t>
      </w:r>
      <w:r>
        <w:rPr>
          <w:noProof/>
          <w:lang w:val="en-IE"/>
        </w:rPr>
        <w:t xml:space="preserve">with </w:t>
      </w:r>
      <w:r w:rsidRPr="00D33745">
        <w:rPr>
          <w:noProof/>
          <w:lang w:val="en-IE"/>
        </w:rPr>
        <w:t xml:space="preserve">the </w:t>
      </w:r>
      <w:r>
        <w:rPr>
          <w:noProof/>
          <w:lang w:val="en-IE"/>
        </w:rPr>
        <w:t xml:space="preserve">information </w:t>
      </w:r>
      <w:r w:rsidRPr="00D33745">
        <w:rPr>
          <w:noProof/>
          <w:lang w:val="en-IE"/>
        </w:rPr>
        <w:t xml:space="preserve">they need to enforce rules and </w:t>
      </w:r>
      <w:r>
        <w:rPr>
          <w:noProof/>
          <w:lang w:val="en-IE"/>
        </w:rPr>
        <w:t xml:space="preserve">implement </w:t>
      </w:r>
      <w:r w:rsidRPr="00D33745">
        <w:rPr>
          <w:noProof/>
          <w:lang w:val="en-IE"/>
        </w:rPr>
        <w:t>informed policy responses in line with EU law.</w:t>
      </w:r>
    </w:p>
    <w:p w:rsidR="00D85359" w:rsidRPr="00D33745" w:rsidRDefault="00D85359" w:rsidP="00D85359">
      <w:pPr>
        <w:rPr>
          <w:noProof/>
          <w:szCs w:val="24"/>
          <w:lang w:val="en-IE"/>
        </w:rPr>
      </w:pPr>
      <w:r w:rsidRPr="00D33745">
        <w:rPr>
          <w:noProof/>
          <w:szCs w:val="24"/>
          <w:lang w:val="en-IE"/>
        </w:rPr>
        <w:t xml:space="preserve">The Proposal </w:t>
      </w:r>
      <w:r>
        <w:rPr>
          <w:noProof/>
          <w:szCs w:val="24"/>
          <w:lang w:val="en-IE"/>
        </w:rPr>
        <w:t xml:space="preserve">is also proportionate because </w:t>
      </w:r>
      <w:r w:rsidRPr="00D33745">
        <w:rPr>
          <w:noProof/>
          <w:szCs w:val="24"/>
          <w:lang w:val="en-IE"/>
        </w:rPr>
        <w:t xml:space="preserve">it </w:t>
      </w:r>
      <w:r>
        <w:rPr>
          <w:noProof/>
          <w:szCs w:val="24"/>
          <w:lang w:val="en-IE"/>
        </w:rPr>
        <w:t xml:space="preserve">allows </w:t>
      </w:r>
      <w:r w:rsidRPr="00D33745">
        <w:rPr>
          <w:noProof/>
          <w:szCs w:val="24"/>
          <w:lang w:val="en-IE"/>
        </w:rPr>
        <w:t xml:space="preserve">Member States and public authorities a certain degree of flexibility </w:t>
      </w:r>
      <w:r>
        <w:rPr>
          <w:noProof/>
          <w:szCs w:val="24"/>
          <w:lang w:val="en-IE"/>
        </w:rPr>
        <w:t xml:space="preserve">not only </w:t>
      </w:r>
      <w:r w:rsidRPr="00D33745">
        <w:rPr>
          <w:noProof/>
          <w:szCs w:val="24"/>
          <w:lang w:val="en-IE"/>
        </w:rPr>
        <w:t>with regard to registration schemes (</w:t>
      </w:r>
      <w:r>
        <w:rPr>
          <w:noProof/>
          <w:szCs w:val="24"/>
          <w:lang w:val="en-IE"/>
        </w:rPr>
        <w:t xml:space="preserve">i.e. </w:t>
      </w:r>
      <w:r w:rsidRPr="00D33745">
        <w:rPr>
          <w:noProof/>
          <w:szCs w:val="24"/>
          <w:lang w:val="en-IE"/>
        </w:rPr>
        <w:t xml:space="preserve">whether </w:t>
      </w:r>
      <w:r>
        <w:rPr>
          <w:noProof/>
          <w:szCs w:val="24"/>
          <w:lang w:val="en-IE"/>
        </w:rPr>
        <w:t xml:space="preserve">or not </w:t>
      </w:r>
      <w:r w:rsidRPr="00D33745">
        <w:rPr>
          <w:noProof/>
          <w:szCs w:val="24"/>
          <w:lang w:val="en-IE"/>
        </w:rPr>
        <w:t>to introduce them and at which level)</w:t>
      </w:r>
      <w:r>
        <w:rPr>
          <w:noProof/>
          <w:szCs w:val="24"/>
          <w:lang w:val="en-IE"/>
        </w:rPr>
        <w:t>, but also</w:t>
      </w:r>
      <w:r w:rsidRPr="00D33745">
        <w:rPr>
          <w:noProof/>
          <w:szCs w:val="24"/>
          <w:lang w:val="en-IE"/>
        </w:rPr>
        <w:t xml:space="preserve"> with regard to </w:t>
      </w:r>
      <w:r w:rsidR="00F3665E">
        <w:rPr>
          <w:noProof/>
          <w:szCs w:val="24"/>
          <w:lang w:val="en-IE"/>
        </w:rPr>
        <w:t xml:space="preserve">additional </w:t>
      </w:r>
      <w:r w:rsidRPr="00D33745">
        <w:rPr>
          <w:noProof/>
          <w:szCs w:val="24"/>
          <w:lang w:val="en-IE"/>
        </w:rPr>
        <w:t>information that each</w:t>
      </w:r>
      <w:r>
        <w:rPr>
          <w:noProof/>
          <w:szCs w:val="24"/>
          <w:lang w:val="en-IE"/>
        </w:rPr>
        <w:t xml:space="preserve"> Member State and public</w:t>
      </w:r>
      <w:r w:rsidRPr="00D33745">
        <w:rPr>
          <w:noProof/>
          <w:szCs w:val="24"/>
          <w:lang w:val="en-IE"/>
        </w:rPr>
        <w:t xml:space="preserve"> authority </w:t>
      </w:r>
      <w:r w:rsidR="00F3665E">
        <w:rPr>
          <w:noProof/>
          <w:szCs w:val="24"/>
          <w:lang w:val="en-IE"/>
        </w:rPr>
        <w:t xml:space="preserve">may </w:t>
      </w:r>
      <w:r w:rsidRPr="00D33745">
        <w:rPr>
          <w:noProof/>
          <w:szCs w:val="24"/>
          <w:lang w:val="en-IE"/>
        </w:rPr>
        <w:t>request from hosts (subject to compliance with the principles of non-discrimination and proportionality established by the TFEU and the Services Directive). This ensures that the needs of Member States and local authorities are respected and taken into account.</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Choice of the instrument</w:t>
      </w:r>
    </w:p>
    <w:p w:rsidR="00D85359" w:rsidRPr="00D33745" w:rsidRDefault="00D85359" w:rsidP="00D85359">
      <w:pPr>
        <w:pStyle w:val="Text1"/>
        <w:ind w:left="0"/>
        <w:rPr>
          <w:noProof/>
          <w:lang w:val="en-IE" w:eastAsia="en-GB"/>
        </w:rPr>
      </w:pPr>
      <w:r w:rsidRPr="00D33745">
        <w:rPr>
          <w:noProof/>
          <w:lang w:val="en-IE" w:eastAsia="en-GB"/>
        </w:rPr>
        <w:t xml:space="preserve">Limiting </w:t>
      </w:r>
      <w:r>
        <w:rPr>
          <w:noProof/>
          <w:lang w:val="en-IE" w:eastAsia="en-GB"/>
        </w:rPr>
        <w:t>EU</w:t>
      </w:r>
      <w:r w:rsidRPr="00D33745">
        <w:rPr>
          <w:noProof/>
          <w:lang w:val="en-IE" w:eastAsia="en-GB"/>
        </w:rPr>
        <w:t xml:space="preserve"> action to promoting voluntary action </w:t>
      </w:r>
      <w:r>
        <w:rPr>
          <w:noProof/>
          <w:lang w:val="en-IE" w:eastAsia="en-GB"/>
        </w:rPr>
        <w:t xml:space="preserve">by the industry </w:t>
      </w:r>
      <w:r w:rsidRPr="00D33745">
        <w:rPr>
          <w:noProof/>
          <w:lang w:val="en-IE" w:eastAsia="en-GB"/>
        </w:rPr>
        <w:t>and certain accompanying measures is possible</w:t>
      </w:r>
      <w:r>
        <w:rPr>
          <w:noProof/>
          <w:lang w:val="en-IE" w:eastAsia="en-GB"/>
        </w:rPr>
        <w:t xml:space="preserve">. It would probably not </w:t>
      </w:r>
      <w:r w:rsidRPr="00D33745">
        <w:rPr>
          <w:noProof/>
          <w:lang w:val="en-IE" w:eastAsia="en-GB"/>
        </w:rPr>
        <w:t xml:space="preserve">be effective, </w:t>
      </w:r>
      <w:r>
        <w:rPr>
          <w:noProof/>
          <w:lang w:val="en-IE" w:eastAsia="en-GB"/>
        </w:rPr>
        <w:t xml:space="preserve">however, because it </w:t>
      </w:r>
      <w:r w:rsidRPr="00D33745">
        <w:rPr>
          <w:noProof/>
          <w:lang w:val="en-IE" w:eastAsia="en-GB"/>
        </w:rPr>
        <w:t>would rely on the industry’s own willingness to change the status quo. Previous soft approaches like the Communication on the collaborative economy of 2016 and the policy principles of 2018 have not led to significant improvements in terms of transparency in the STR sector</w:t>
      </w:r>
      <w:r w:rsidRPr="00D33745">
        <w:rPr>
          <w:rStyle w:val="FootnoteReference"/>
          <w:noProof/>
          <w:lang w:val="en-IE" w:eastAsia="en-GB"/>
        </w:rPr>
        <w:footnoteReference w:id="20"/>
      </w:r>
      <w:r w:rsidRPr="00D33745">
        <w:rPr>
          <w:noProof/>
          <w:lang w:val="en-IE" w:eastAsia="en-GB"/>
        </w:rPr>
        <w:t xml:space="preserve"> and were considered by a number of stakeholders to be </w:t>
      </w:r>
      <w:r>
        <w:rPr>
          <w:noProof/>
          <w:lang w:val="en-IE" w:eastAsia="en-GB"/>
        </w:rPr>
        <w:t>in</w:t>
      </w:r>
      <w:r w:rsidRPr="00D33745">
        <w:rPr>
          <w:noProof/>
          <w:lang w:val="en-IE" w:eastAsia="en-GB"/>
        </w:rPr>
        <w:t xml:space="preserve">sufficient. This was also </w:t>
      </w:r>
      <w:r>
        <w:rPr>
          <w:noProof/>
          <w:lang w:val="en-IE" w:eastAsia="en-GB"/>
        </w:rPr>
        <w:t>demonstrated</w:t>
      </w:r>
      <w:r w:rsidRPr="00D33745">
        <w:rPr>
          <w:noProof/>
          <w:lang w:val="en-IE" w:eastAsia="en-GB"/>
        </w:rPr>
        <w:t xml:space="preserve"> by calls from the Council</w:t>
      </w:r>
      <w:r w:rsidRPr="00D33745">
        <w:rPr>
          <w:rStyle w:val="FootnoteReference"/>
          <w:noProof/>
          <w:lang w:val="en-IE" w:eastAsia="en-GB"/>
        </w:rPr>
        <w:footnoteReference w:id="21"/>
      </w:r>
      <w:r w:rsidRPr="00D33745">
        <w:rPr>
          <w:noProof/>
          <w:lang w:val="en-IE" w:eastAsia="en-GB"/>
        </w:rPr>
        <w:t xml:space="preserve"> and the Parliament</w:t>
      </w:r>
      <w:r w:rsidRPr="00D33745">
        <w:rPr>
          <w:rStyle w:val="FootnoteReference"/>
          <w:noProof/>
          <w:lang w:val="en-IE" w:eastAsia="en-GB"/>
        </w:rPr>
        <w:footnoteReference w:id="22"/>
      </w:r>
      <w:r w:rsidRPr="00D33745">
        <w:rPr>
          <w:noProof/>
          <w:lang w:val="en-IE" w:eastAsia="en-GB"/>
        </w:rPr>
        <w:t xml:space="preserve"> for more legal certainty and transparency</w:t>
      </w:r>
      <w:r>
        <w:rPr>
          <w:noProof/>
          <w:lang w:val="en-IE" w:eastAsia="en-GB"/>
        </w:rPr>
        <w:t>;</w:t>
      </w:r>
      <w:r w:rsidRPr="00D33745">
        <w:rPr>
          <w:noProof/>
          <w:lang w:val="en-IE" w:eastAsia="en-GB"/>
        </w:rPr>
        <w:t xml:space="preserve"> and </w:t>
      </w:r>
      <w:r>
        <w:rPr>
          <w:noProof/>
          <w:lang w:val="en-IE" w:eastAsia="en-GB"/>
        </w:rPr>
        <w:t xml:space="preserve">by </w:t>
      </w:r>
      <w:r w:rsidRPr="00D33745">
        <w:rPr>
          <w:noProof/>
          <w:lang w:val="en-IE" w:eastAsia="en-GB"/>
        </w:rPr>
        <w:t xml:space="preserve">the consultation and impact assessment process, which revealed the limits and </w:t>
      </w:r>
      <w:r>
        <w:rPr>
          <w:noProof/>
          <w:lang w:val="en-IE" w:eastAsia="en-GB"/>
        </w:rPr>
        <w:t>in</w:t>
      </w:r>
      <w:r w:rsidRPr="00D33745">
        <w:rPr>
          <w:noProof/>
          <w:lang w:val="en-IE" w:eastAsia="en-GB"/>
        </w:rPr>
        <w:t xml:space="preserve">effectiveness of </w:t>
      </w:r>
      <w:r>
        <w:rPr>
          <w:noProof/>
          <w:lang w:val="en-IE" w:eastAsia="en-GB"/>
        </w:rPr>
        <w:t xml:space="preserve">the </w:t>
      </w:r>
      <w:r w:rsidRPr="00D33745">
        <w:rPr>
          <w:noProof/>
          <w:lang w:val="en-IE" w:eastAsia="en-GB"/>
        </w:rPr>
        <w:t xml:space="preserve">soft tools such as voluntary agreements </w:t>
      </w:r>
      <w:r>
        <w:rPr>
          <w:noProof/>
          <w:lang w:val="en-IE" w:eastAsia="en-GB"/>
        </w:rPr>
        <w:t xml:space="preserve">that have been used </w:t>
      </w:r>
      <w:r w:rsidRPr="00D33745">
        <w:rPr>
          <w:noProof/>
          <w:lang w:val="en-IE" w:eastAsia="en-GB"/>
        </w:rPr>
        <w:t xml:space="preserve">at EU and national level </w:t>
      </w:r>
      <w:r>
        <w:rPr>
          <w:noProof/>
          <w:lang w:val="en-IE" w:eastAsia="en-GB"/>
        </w:rPr>
        <w:t xml:space="preserve">to date. </w:t>
      </w:r>
      <w:r w:rsidRPr="00D33745">
        <w:rPr>
          <w:noProof/>
          <w:lang w:val="en-IE" w:eastAsia="en-GB"/>
        </w:rPr>
        <w:t xml:space="preserve">In addition, GDPR rules require a legal basis and safeguards </w:t>
      </w:r>
      <w:r>
        <w:rPr>
          <w:noProof/>
          <w:lang w:val="en-IE" w:eastAsia="en-GB"/>
        </w:rPr>
        <w:t xml:space="preserve">for </w:t>
      </w:r>
      <w:r w:rsidRPr="00D33745">
        <w:rPr>
          <w:noProof/>
          <w:lang w:val="en-IE" w:eastAsia="en-GB"/>
        </w:rPr>
        <w:t>th</w:t>
      </w:r>
      <w:r>
        <w:rPr>
          <w:noProof/>
          <w:lang w:val="en-IE" w:eastAsia="en-GB"/>
        </w:rPr>
        <w:t>e</w:t>
      </w:r>
      <w:r w:rsidRPr="00D33745">
        <w:rPr>
          <w:noProof/>
          <w:lang w:val="en-IE" w:eastAsia="en-GB"/>
        </w:rPr>
        <w:t xml:space="preserve"> </w:t>
      </w:r>
      <w:r>
        <w:rPr>
          <w:noProof/>
          <w:lang w:val="en-IE" w:eastAsia="en-GB"/>
        </w:rPr>
        <w:t>P</w:t>
      </w:r>
      <w:r w:rsidRPr="00D33745">
        <w:rPr>
          <w:noProof/>
          <w:lang w:val="en-IE" w:eastAsia="en-GB"/>
        </w:rPr>
        <w:t>roposal</w:t>
      </w:r>
      <w:r>
        <w:rPr>
          <w:noProof/>
          <w:lang w:val="en-IE" w:eastAsia="en-GB"/>
        </w:rPr>
        <w:t>’s</w:t>
      </w:r>
      <w:r w:rsidRPr="00D33745">
        <w:rPr>
          <w:noProof/>
          <w:lang w:val="en-IE" w:eastAsia="en-GB"/>
        </w:rPr>
        <w:t xml:space="preserve"> aims to promote the sharing of personal data.</w:t>
      </w:r>
    </w:p>
    <w:p w:rsidR="00D85359" w:rsidRPr="00D33745" w:rsidRDefault="00D85359" w:rsidP="00D85359">
      <w:pPr>
        <w:pBdr>
          <w:top w:val="nil"/>
          <w:left w:val="nil"/>
          <w:bottom w:val="nil"/>
          <w:right w:val="nil"/>
          <w:between w:val="nil"/>
          <w:bar w:val="nil"/>
        </w:pBdr>
        <w:spacing w:before="0" w:after="240"/>
        <w:rPr>
          <w:rFonts w:eastAsia="Arial Unicode MS"/>
          <w:noProof/>
          <w:lang w:val="en-IE"/>
        </w:rPr>
      </w:pPr>
      <w:r>
        <w:rPr>
          <w:noProof/>
          <w:lang w:val="en-IE" w:eastAsia="en-GB"/>
        </w:rPr>
        <w:t>T</w:t>
      </w:r>
      <w:r w:rsidRPr="00D33745">
        <w:rPr>
          <w:noProof/>
          <w:lang w:val="en-IE" w:eastAsia="en-GB"/>
        </w:rPr>
        <w:t>hese reasons</w:t>
      </w:r>
      <w:r>
        <w:rPr>
          <w:noProof/>
          <w:lang w:val="en-IE" w:eastAsia="en-GB"/>
        </w:rPr>
        <w:t xml:space="preserve"> mean that</w:t>
      </w:r>
      <w:r w:rsidRPr="00D33745">
        <w:rPr>
          <w:noProof/>
          <w:lang w:val="en-IE" w:eastAsia="en-GB"/>
        </w:rPr>
        <w:t xml:space="preserve"> only a legislative instrument can effectively address the problems </w:t>
      </w:r>
      <w:r>
        <w:rPr>
          <w:noProof/>
          <w:lang w:val="en-IE" w:eastAsia="en-GB"/>
        </w:rPr>
        <w:t xml:space="preserve">that have been </w:t>
      </w:r>
      <w:r w:rsidRPr="00D33745">
        <w:rPr>
          <w:noProof/>
          <w:lang w:val="en-IE" w:eastAsia="en-GB"/>
        </w:rPr>
        <w:t xml:space="preserve">identified. A </w:t>
      </w:r>
      <w:r>
        <w:rPr>
          <w:noProof/>
          <w:lang w:val="en-IE" w:eastAsia="en-GB"/>
        </w:rPr>
        <w:t>r</w:t>
      </w:r>
      <w:r w:rsidRPr="00D33745">
        <w:rPr>
          <w:noProof/>
          <w:lang w:val="en-IE" w:eastAsia="en-GB"/>
        </w:rPr>
        <w:t xml:space="preserve">egulation is </w:t>
      </w:r>
      <w:r>
        <w:rPr>
          <w:noProof/>
          <w:lang w:val="en-IE" w:eastAsia="en-GB"/>
        </w:rPr>
        <w:t xml:space="preserve">also preferable, because </w:t>
      </w:r>
      <w:r w:rsidRPr="00D33745">
        <w:rPr>
          <w:noProof/>
          <w:lang w:val="en-IE" w:eastAsia="en-GB"/>
        </w:rPr>
        <w:t xml:space="preserve">it is directly applicable in Member States, </w:t>
      </w:r>
      <w:r>
        <w:rPr>
          <w:noProof/>
          <w:lang w:val="en-IE" w:eastAsia="en-GB"/>
        </w:rPr>
        <w:t xml:space="preserve">sets </w:t>
      </w:r>
      <w:r w:rsidRPr="00D33745">
        <w:rPr>
          <w:noProof/>
          <w:lang w:val="en-IE" w:eastAsia="en-GB"/>
        </w:rPr>
        <w:t xml:space="preserve">the same level of obligations for private parties, and enables the </w:t>
      </w:r>
      <w:r>
        <w:rPr>
          <w:noProof/>
          <w:lang w:val="en-IE" w:eastAsia="en-GB"/>
        </w:rPr>
        <w:t>consistent</w:t>
      </w:r>
      <w:r w:rsidRPr="00D33745">
        <w:rPr>
          <w:noProof/>
          <w:lang w:val="en-IE" w:eastAsia="en-GB"/>
        </w:rPr>
        <w:t xml:space="preserve"> application of rules in the inherently cross-border STR sector. This will also address and prevent fragmentation of the </w:t>
      </w:r>
      <w:r>
        <w:rPr>
          <w:noProof/>
          <w:lang w:val="en-IE" w:eastAsia="en-GB"/>
        </w:rPr>
        <w:t>s</w:t>
      </w:r>
      <w:r w:rsidRPr="00D33745">
        <w:rPr>
          <w:noProof/>
          <w:lang w:val="en-IE" w:eastAsia="en-GB"/>
        </w:rPr>
        <w:t xml:space="preserve">ingle </w:t>
      </w:r>
      <w:r>
        <w:rPr>
          <w:noProof/>
          <w:lang w:val="en-IE" w:eastAsia="en-GB"/>
        </w:rPr>
        <w:t>m</w:t>
      </w:r>
      <w:r w:rsidRPr="00D33745">
        <w:rPr>
          <w:noProof/>
          <w:lang w:val="en-IE" w:eastAsia="en-GB"/>
        </w:rPr>
        <w:t>arket.</w:t>
      </w:r>
    </w:p>
    <w:p w:rsidR="00D85359" w:rsidRPr="00D33745" w:rsidRDefault="00D85359" w:rsidP="00D85359">
      <w:pPr>
        <w:pStyle w:val="ManualHeading1"/>
        <w:rPr>
          <w:noProof/>
          <w:lang w:val="en-IE"/>
        </w:rPr>
      </w:pPr>
      <w:r w:rsidRPr="00D33745">
        <w:rPr>
          <w:noProof/>
          <w:lang w:val="en-IE"/>
        </w:rPr>
        <w:t>3.</w:t>
      </w:r>
      <w:r w:rsidRPr="00D33745">
        <w:rPr>
          <w:noProof/>
          <w:lang w:val="en-IE"/>
        </w:rPr>
        <w:tab/>
        <w:t>RESULTS OF EX</w:t>
      </w:r>
      <w:r>
        <w:rPr>
          <w:noProof/>
          <w:lang w:val="en-IE"/>
        </w:rPr>
        <w:t xml:space="preserve"> </w:t>
      </w:r>
      <w:r w:rsidRPr="00D33745">
        <w:rPr>
          <w:noProof/>
          <w:lang w:val="en-IE"/>
        </w:rPr>
        <w:t>POST EVALUATIONS, STAKEHOLDER CONSULTATIONS AND IMPACT ASSESSMENTS</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r>
      <w:r w:rsidRPr="00B607EC">
        <w:rPr>
          <w:rFonts w:eastAsia="Arial Unicode MS"/>
          <w:i/>
          <w:noProof/>
          <w:u w:color="000000"/>
          <w:bdr w:val="nil"/>
          <w:lang w:val="en-IE" w:eastAsia="en-GB"/>
        </w:rPr>
        <w:t>Ex</w:t>
      </w:r>
      <w:r w:rsidR="00D85359" w:rsidRPr="00B607EC">
        <w:rPr>
          <w:rFonts w:eastAsia="Arial Unicode MS"/>
          <w:i/>
          <w:iCs/>
          <w:noProof/>
          <w:u w:color="000000"/>
          <w:bdr w:val="nil"/>
          <w:lang w:val="en-IE" w:eastAsia="en-GB"/>
        </w:rPr>
        <w:t xml:space="preserve"> </w:t>
      </w:r>
      <w:r w:rsidRPr="00B607EC">
        <w:rPr>
          <w:rFonts w:eastAsia="Arial Unicode MS"/>
          <w:i/>
          <w:noProof/>
          <w:u w:color="000000"/>
          <w:bdr w:val="nil"/>
          <w:lang w:val="en-IE" w:eastAsia="en-GB"/>
        </w:rPr>
        <w:t>post</w:t>
      </w:r>
      <w:r w:rsidRPr="00D33745">
        <w:rPr>
          <w:rFonts w:eastAsia="Arial Unicode MS"/>
          <w:noProof/>
          <w:u w:color="000000"/>
          <w:bdr w:val="nil"/>
          <w:lang w:val="en-IE" w:eastAsia="en-GB"/>
        </w:rPr>
        <w:t xml:space="preserve"> evaluations/fitness checks of existing legislation</w:t>
      </w:r>
    </w:p>
    <w:p w:rsidR="007F180F" w:rsidRPr="00D33745" w:rsidRDefault="007F180F" w:rsidP="007D1438">
      <w:pPr>
        <w:pBdr>
          <w:top w:val="nil"/>
          <w:left w:val="nil"/>
          <w:bottom w:val="nil"/>
          <w:right w:val="nil"/>
          <w:between w:val="nil"/>
          <w:bar w:val="nil"/>
        </w:pBdr>
        <w:spacing w:before="0" w:after="240"/>
        <w:rPr>
          <w:rFonts w:eastAsia="Arial Unicode MS"/>
          <w:noProof/>
          <w:lang w:val="en-IE"/>
        </w:rPr>
      </w:pPr>
      <w:r w:rsidRPr="00D33745">
        <w:rPr>
          <w:rFonts w:eastAsia="Arial Unicode MS"/>
          <w:noProof/>
          <w:lang w:val="en-IE"/>
        </w:rPr>
        <w:t>Not applicable.</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Stakeholder consultations</w:t>
      </w:r>
    </w:p>
    <w:p w:rsidR="00D85359" w:rsidRPr="00400B2A" w:rsidRDefault="00D85359" w:rsidP="00D85359">
      <w:pPr>
        <w:rPr>
          <w:rFonts w:eastAsia="Arial Unicode MS"/>
          <w:noProof/>
          <w:lang w:val="en-IE"/>
        </w:rPr>
      </w:pPr>
      <w:r w:rsidRPr="00400B2A">
        <w:rPr>
          <w:rFonts w:eastAsia="Arial Unicode MS"/>
          <w:noProof/>
          <w:lang w:val="en-IE"/>
        </w:rPr>
        <w:t xml:space="preserve">In preparing this proposal, the Commission consulted a broad range of stakeholders, including </w:t>
      </w:r>
      <w:r w:rsidRPr="00D33745">
        <w:rPr>
          <w:rFonts w:eastAsia="Calibri"/>
          <w:noProof/>
          <w:color w:val="000000" w:themeColor="text1"/>
          <w:szCs w:val="24"/>
          <w:shd w:val="clear" w:color="auto" w:fill="FFFFFF"/>
          <w:lang w:val="en-IE"/>
        </w:rPr>
        <w:t>public authorities</w:t>
      </w:r>
      <w:r>
        <w:rPr>
          <w:rFonts w:eastAsia="Calibri"/>
          <w:noProof/>
          <w:color w:val="000000" w:themeColor="text1"/>
          <w:szCs w:val="24"/>
          <w:shd w:val="clear" w:color="auto" w:fill="FFFFFF"/>
          <w:lang w:val="en-IE"/>
        </w:rPr>
        <w:t xml:space="preserve"> </w:t>
      </w:r>
      <w:r w:rsidRPr="00D33745">
        <w:rPr>
          <w:rFonts w:eastAsia="Calibri"/>
          <w:noProof/>
          <w:color w:val="000000" w:themeColor="text1"/>
          <w:szCs w:val="24"/>
          <w:shd w:val="clear" w:color="auto" w:fill="FFFFFF"/>
          <w:lang w:val="en-IE"/>
        </w:rPr>
        <w:t>(</w:t>
      </w:r>
      <w:r>
        <w:rPr>
          <w:rFonts w:eastAsia="Calibri"/>
          <w:noProof/>
          <w:color w:val="000000" w:themeColor="text1"/>
          <w:szCs w:val="24"/>
          <w:shd w:val="clear" w:color="auto" w:fill="FFFFFF"/>
          <w:lang w:val="en-IE"/>
        </w:rPr>
        <w:t xml:space="preserve">at </w:t>
      </w:r>
      <w:r w:rsidRPr="00D33745">
        <w:rPr>
          <w:rFonts w:eastAsia="Calibri"/>
          <w:noProof/>
          <w:color w:val="000000" w:themeColor="text1"/>
          <w:szCs w:val="24"/>
          <w:shd w:val="clear" w:color="auto" w:fill="FFFFFF"/>
          <w:lang w:val="en-IE"/>
        </w:rPr>
        <w:t>national, regional and local level)</w:t>
      </w:r>
      <w:r>
        <w:rPr>
          <w:rFonts w:eastAsia="Calibri"/>
          <w:noProof/>
          <w:color w:val="000000" w:themeColor="text1"/>
          <w:szCs w:val="24"/>
          <w:shd w:val="clear" w:color="auto" w:fill="FFFFFF"/>
          <w:lang w:val="en-IE"/>
        </w:rPr>
        <w:t>,</w:t>
      </w:r>
      <w:r w:rsidRPr="00D33745">
        <w:rPr>
          <w:rFonts w:eastAsia="Calibri"/>
          <w:noProof/>
          <w:color w:val="000000" w:themeColor="text1"/>
          <w:szCs w:val="24"/>
          <w:shd w:val="clear" w:color="auto" w:fill="FFFFFF"/>
          <w:lang w:val="en-IE"/>
        </w:rPr>
        <w:t xml:space="preserve"> </w:t>
      </w:r>
      <w:r>
        <w:rPr>
          <w:rFonts w:eastAsia="Calibri"/>
          <w:noProof/>
          <w:color w:val="000000" w:themeColor="text1"/>
          <w:szCs w:val="24"/>
          <w:shd w:val="clear" w:color="auto" w:fill="FFFFFF"/>
          <w:lang w:val="en-IE"/>
        </w:rPr>
        <w:t xml:space="preserve">online platforms </w:t>
      </w:r>
      <w:r w:rsidRPr="00D33745">
        <w:rPr>
          <w:rFonts w:eastAsia="Calibri"/>
          <w:noProof/>
          <w:color w:val="000000" w:themeColor="text1"/>
          <w:szCs w:val="24"/>
          <w:shd w:val="clear" w:color="auto" w:fill="FFFFFF"/>
          <w:lang w:val="en-IE"/>
        </w:rPr>
        <w:t>(and their organisations)</w:t>
      </w:r>
      <w:r>
        <w:rPr>
          <w:rFonts w:eastAsia="Calibri"/>
          <w:noProof/>
          <w:color w:val="000000" w:themeColor="text1"/>
          <w:szCs w:val="24"/>
          <w:shd w:val="clear" w:color="auto" w:fill="FFFFFF"/>
          <w:lang w:val="en-IE"/>
        </w:rPr>
        <w:t xml:space="preserve">, </w:t>
      </w:r>
      <w:r w:rsidRPr="00D33745">
        <w:rPr>
          <w:rFonts w:eastAsia="Calibri"/>
          <w:noProof/>
          <w:color w:val="000000" w:themeColor="text1"/>
          <w:szCs w:val="24"/>
          <w:shd w:val="clear" w:color="auto" w:fill="FFFFFF"/>
          <w:lang w:val="en-IE"/>
        </w:rPr>
        <w:t>hosts</w:t>
      </w:r>
      <w:r>
        <w:rPr>
          <w:rFonts w:eastAsia="Calibri"/>
          <w:noProof/>
          <w:color w:val="000000" w:themeColor="text1"/>
          <w:szCs w:val="24"/>
          <w:shd w:val="clear" w:color="auto" w:fill="FFFFFF"/>
          <w:lang w:val="en-IE"/>
        </w:rPr>
        <w:t xml:space="preserve"> and other </w:t>
      </w:r>
      <w:r w:rsidRPr="00D33745">
        <w:rPr>
          <w:rFonts w:eastAsia="Calibri"/>
          <w:noProof/>
          <w:color w:val="000000" w:themeColor="text1"/>
          <w:szCs w:val="24"/>
          <w:shd w:val="clear" w:color="auto" w:fill="FFFFFF"/>
          <w:lang w:val="en-IE"/>
        </w:rPr>
        <w:t xml:space="preserve">service providers </w:t>
      </w:r>
      <w:r>
        <w:rPr>
          <w:rFonts w:eastAsia="Calibri"/>
          <w:noProof/>
          <w:color w:val="000000" w:themeColor="text1"/>
          <w:szCs w:val="24"/>
          <w:shd w:val="clear" w:color="auto" w:fill="FFFFFF"/>
          <w:lang w:val="en-IE"/>
        </w:rPr>
        <w:t>(</w:t>
      </w:r>
      <w:r w:rsidRPr="00D33745">
        <w:rPr>
          <w:rFonts w:eastAsia="Calibri"/>
          <w:noProof/>
          <w:color w:val="000000" w:themeColor="text1"/>
          <w:szCs w:val="24"/>
          <w:shd w:val="clear" w:color="auto" w:fill="FFFFFF"/>
          <w:lang w:val="en-IE"/>
        </w:rPr>
        <w:t xml:space="preserve">such </w:t>
      </w:r>
      <w:r>
        <w:rPr>
          <w:rFonts w:eastAsia="Calibri"/>
          <w:noProof/>
          <w:color w:val="000000" w:themeColor="text1"/>
          <w:szCs w:val="24"/>
          <w:shd w:val="clear" w:color="auto" w:fill="FFFFFF"/>
          <w:lang w:val="en-IE"/>
        </w:rPr>
        <w:t>as management companies and hotels)</w:t>
      </w:r>
      <w:r w:rsidRPr="00D33745">
        <w:rPr>
          <w:rFonts w:eastAsia="Calibri"/>
          <w:noProof/>
          <w:color w:val="000000" w:themeColor="text1"/>
          <w:szCs w:val="24"/>
          <w:shd w:val="clear" w:color="auto" w:fill="FFFFFF"/>
          <w:lang w:val="en-IE"/>
        </w:rPr>
        <w:t xml:space="preserve"> and local associations</w:t>
      </w:r>
      <w:r>
        <w:rPr>
          <w:rFonts w:eastAsia="Calibri"/>
          <w:noProof/>
          <w:color w:val="000000" w:themeColor="text1"/>
          <w:szCs w:val="24"/>
          <w:shd w:val="clear" w:color="auto" w:fill="FFFFFF"/>
          <w:lang w:val="en-IE"/>
        </w:rPr>
        <w:t xml:space="preserve">. </w:t>
      </w:r>
      <w:r w:rsidRPr="00400B2A">
        <w:rPr>
          <w:rFonts w:eastAsia="Arial Unicode MS"/>
          <w:noProof/>
          <w:lang w:val="en-IE"/>
        </w:rPr>
        <w:t>The consultation activities included</w:t>
      </w:r>
      <w:r>
        <w:rPr>
          <w:rFonts w:eastAsia="Arial Unicode MS"/>
          <w:noProof/>
          <w:lang w:val="en-IE"/>
        </w:rPr>
        <w:t xml:space="preserve"> an inception impact assessment</w:t>
      </w:r>
      <w:r w:rsidRPr="00400B2A">
        <w:rPr>
          <w:rFonts w:eastAsia="Arial Unicode MS"/>
          <w:noProof/>
          <w:lang w:val="en-IE"/>
        </w:rPr>
        <w:t xml:space="preserve">, a 12-week dedicated public consultation to which </w:t>
      </w:r>
      <w:r>
        <w:rPr>
          <w:rFonts w:eastAsia="Arial Unicode MS"/>
          <w:noProof/>
          <w:lang w:val="en-IE"/>
        </w:rPr>
        <w:t xml:space="preserve">5692 </w:t>
      </w:r>
      <w:r w:rsidRPr="00400B2A">
        <w:rPr>
          <w:rFonts w:eastAsia="Arial Unicode MS"/>
          <w:noProof/>
          <w:lang w:val="en-IE"/>
        </w:rPr>
        <w:t xml:space="preserve">responses were submitted, stakeholder workshops, </w:t>
      </w:r>
      <w:r w:rsidRPr="00D33745">
        <w:rPr>
          <w:rFonts w:eastAsia="Calibri"/>
          <w:noProof/>
          <w:color w:val="000000" w:themeColor="text1"/>
          <w:szCs w:val="24"/>
          <w:shd w:val="clear" w:color="auto" w:fill="FFFFFF"/>
          <w:lang w:val="en-IE"/>
        </w:rPr>
        <w:t xml:space="preserve">two targeted surveys </w:t>
      </w:r>
      <w:r>
        <w:rPr>
          <w:rFonts w:eastAsia="Calibri"/>
          <w:noProof/>
          <w:color w:val="000000" w:themeColor="text1"/>
          <w:szCs w:val="24"/>
          <w:shd w:val="clear" w:color="auto" w:fill="FFFFFF"/>
          <w:lang w:val="en-IE"/>
        </w:rPr>
        <w:t>with</w:t>
      </w:r>
      <w:r w:rsidRPr="00D33745">
        <w:rPr>
          <w:rFonts w:eastAsia="Calibri"/>
          <w:noProof/>
          <w:color w:val="000000" w:themeColor="text1"/>
          <w:szCs w:val="24"/>
          <w:shd w:val="clear" w:color="auto" w:fill="FFFFFF"/>
          <w:lang w:val="en-IE"/>
        </w:rPr>
        <w:t xml:space="preserve"> public authorities and </w:t>
      </w:r>
      <w:r>
        <w:rPr>
          <w:rFonts w:eastAsia="Calibri"/>
          <w:noProof/>
          <w:color w:val="000000" w:themeColor="text1"/>
          <w:szCs w:val="24"/>
          <w:shd w:val="clear" w:color="auto" w:fill="FFFFFF"/>
          <w:lang w:val="en-IE"/>
        </w:rPr>
        <w:t xml:space="preserve">with </w:t>
      </w:r>
      <w:r w:rsidRPr="00D33745">
        <w:rPr>
          <w:rFonts w:eastAsia="Calibri"/>
          <w:noProof/>
          <w:color w:val="000000" w:themeColor="text1"/>
          <w:szCs w:val="24"/>
          <w:shd w:val="clear" w:color="auto" w:fill="FFFFFF"/>
          <w:lang w:val="en-IE"/>
        </w:rPr>
        <w:t>platforms</w:t>
      </w:r>
      <w:r w:rsidRPr="00400B2A">
        <w:rPr>
          <w:rFonts w:eastAsia="Arial Unicode MS"/>
          <w:noProof/>
          <w:lang w:val="en-IE"/>
        </w:rPr>
        <w:t xml:space="preserve"> </w:t>
      </w:r>
      <w:r>
        <w:rPr>
          <w:rFonts w:eastAsia="Arial Unicode MS"/>
          <w:noProof/>
          <w:lang w:val="en-IE"/>
        </w:rPr>
        <w:t>and targeted consultation</w:t>
      </w:r>
      <w:r w:rsidRPr="00400B2A">
        <w:rPr>
          <w:rFonts w:eastAsia="Arial Unicode MS"/>
          <w:noProof/>
          <w:lang w:val="en-IE"/>
        </w:rPr>
        <w:t xml:space="preserve">s with stakeholders. </w:t>
      </w:r>
    </w:p>
    <w:p w:rsidR="00D85359" w:rsidRPr="00D33745" w:rsidRDefault="00D85359" w:rsidP="00D85359">
      <w:pPr>
        <w:rPr>
          <w:rFonts w:eastAsia="Arial Unicode MS"/>
          <w:noProof/>
          <w:lang w:val="en-IE"/>
        </w:rPr>
      </w:pPr>
      <w:r>
        <w:rPr>
          <w:noProof/>
          <w:lang w:val="en-IE"/>
        </w:rPr>
        <w:t xml:space="preserve">Public authorities confirmed that they need personal and non-personal data for policy making and enforcement purposes. They highlighted that they currently struggle to obtain this data from hosts and online platforms, for various technical and legal reasons. </w:t>
      </w:r>
      <w:r w:rsidRPr="00D33745">
        <w:rPr>
          <w:noProof/>
          <w:lang w:val="en-IE"/>
        </w:rPr>
        <w:t xml:space="preserve">Hosts stressed the need to increase the responsibility of online platforms </w:t>
      </w:r>
      <w:r>
        <w:rPr>
          <w:noProof/>
          <w:lang w:val="en-IE"/>
        </w:rPr>
        <w:t>for</w:t>
      </w:r>
      <w:r w:rsidRPr="00D33745">
        <w:rPr>
          <w:noProof/>
          <w:lang w:val="en-IE"/>
        </w:rPr>
        <w:t xml:space="preserve"> ensuring that only legal listings are displayed. They warned against the multiplication of restrictive rules for hosts at local level. Property managers (mainly SMEs) suggested that simple registration procedures should be in place for STRs and that a national database should be available to map STR operators. </w:t>
      </w:r>
      <w:r>
        <w:rPr>
          <w:noProof/>
          <w:lang w:val="en-IE"/>
        </w:rPr>
        <w:t xml:space="preserve">Online </w:t>
      </w:r>
      <w:r w:rsidRPr="00D33745">
        <w:rPr>
          <w:noProof/>
          <w:lang w:val="en-IE"/>
        </w:rPr>
        <w:t>platforms</w:t>
      </w:r>
      <w:r>
        <w:rPr>
          <w:noProof/>
          <w:lang w:val="en-IE"/>
        </w:rPr>
        <w:t xml:space="preserve"> called for</w:t>
      </w:r>
      <w:r w:rsidRPr="00D33745">
        <w:rPr>
          <w:noProof/>
          <w:lang w:val="en-IE"/>
        </w:rPr>
        <w:t xml:space="preserve"> data</w:t>
      </w:r>
      <w:r>
        <w:rPr>
          <w:noProof/>
          <w:lang w:val="en-IE"/>
        </w:rPr>
        <w:t>-</w:t>
      </w:r>
      <w:r w:rsidRPr="00D33745">
        <w:rPr>
          <w:noProof/>
          <w:lang w:val="en-IE"/>
        </w:rPr>
        <w:t xml:space="preserve">sharing requests </w:t>
      </w:r>
      <w:r>
        <w:rPr>
          <w:noProof/>
          <w:lang w:val="en-IE"/>
        </w:rPr>
        <w:t xml:space="preserve">to </w:t>
      </w:r>
      <w:r w:rsidRPr="00D33745">
        <w:rPr>
          <w:noProof/>
          <w:lang w:val="en-IE"/>
        </w:rPr>
        <w:t xml:space="preserve">be proportionate and in compliance with EU law, notably GDPR. Smaller platforms stressed </w:t>
      </w:r>
      <w:r>
        <w:rPr>
          <w:noProof/>
          <w:lang w:val="en-IE"/>
        </w:rPr>
        <w:t xml:space="preserve">the need for the </w:t>
      </w:r>
      <w:r w:rsidRPr="00D33745">
        <w:rPr>
          <w:noProof/>
          <w:lang w:val="en-IE"/>
        </w:rPr>
        <w:t>new data</w:t>
      </w:r>
      <w:r>
        <w:rPr>
          <w:noProof/>
          <w:lang w:val="en-IE"/>
        </w:rPr>
        <w:t>-</w:t>
      </w:r>
      <w:r w:rsidRPr="00D33745">
        <w:rPr>
          <w:noProof/>
          <w:lang w:val="en-IE"/>
        </w:rPr>
        <w:t xml:space="preserve">sharing obligation </w:t>
      </w:r>
      <w:r>
        <w:rPr>
          <w:noProof/>
          <w:lang w:val="en-IE"/>
        </w:rPr>
        <w:t xml:space="preserve">to </w:t>
      </w:r>
      <w:r w:rsidRPr="00D33745">
        <w:rPr>
          <w:noProof/>
          <w:lang w:val="en-IE"/>
        </w:rPr>
        <w:t>build on existing obligations (e.g. under DAC7 and the DSA) and fill remaining gaps. The hospitality sector (mainly hotels) support</w:t>
      </w:r>
      <w:r w:rsidR="00F3665E">
        <w:rPr>
          <w:noProof/>
          <w:lang w:val="en-IE"/>
        </w:rPr>
        <w:t>ed</w:t>
      </w:r>
      <w:r w:rsidRPr="00D33745">
        <w:rPr>
          <w:noProof/>
          <w:lang w:val="en-IE"/>
        </w:rPr>
        <w:t xml:space="preserve"> registration schemes for hosts and increasing data sharing by online platforms. It call</w:t>
      </w:r>
      <w:r w:rsidR="00F3665E">
        <w:rPr>
          <w:noProof/>
          <w:lang w:val="en-IE"/>
        </w:rPr>
        <w:t>ed</w:t>
      </w:r>
      <w:r w:rsidRPr="00D33745">
        <w:rPr>
          <w:noProof/>
          <w:lang w:val="en-IE"/>
        </w:rPr>
        <w:t xml:space="preserve"> for a level playing field between STRs and traditional accommodation providers.</w:t>
      </w:r>
    </w:p>
    <w:p w:rsidR="00D85359" w:rsidRPr="00D33745" w:rsidRDefault="00D85359" w:rsidP="00D85359">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Collection and use of expertise</w:t>
      </w:r>
    </w:p>
    <w:p w:rsidR="00D85359" w:rsidRPr="00D33745" w:rsidRDefault="00D85359" w:rsidP="00D85359">
      <w:pPr>
        <w:rPr>
          <w:noProof/>
          <w:lang w:val="en-IE" w:eastAsia="en-GB"/>
        </w:rPr>
      </w:pPr>
      <w:r>
        <w:rPr>
          <w:noProof/>
          <w:lang w:val="en-IE" w:eastAsia="en-GB"/>
        </w:rPr>
        <w:t xml:space="preserve">The </w:t>
      </w:r>
      <w:r w:rsidRPr="00D33745">
        <w:rPr>
          <w:noProof/>
          <w:lang w:val="en-IE" w:eastAsia="en-GB"/>
        </w:rPr>
        <w:t xml:space="preserve">Commission </w:t>
      </w:r>
      <w:r>
        <w:rPr>
          <w:noProof/>
          <w:lang w:val="en-IE" w:eastAsia="en-GB"/>
        </w:rPr>
        <w:t xml:space="preserve">and </w:t>
      </w:r>
      <w:r w:rsidRPr="00D33745">
        <w:rPr>
          <w:noProof/>
          <w:lang w:val="en-IE" w:eastAsia="en-GB"/>
        </w:rPr>
        <w:t xml:space="preserve">external contractors </w:t>
      </w:r>
      <w:r>
        <w:rPr>
          <w:noProof/>
          <w:lang w:val="en-IE" w:eastAsia="en-GB"/>
        </w:rPr>
        <w:t>carried out s</w:t>
      </w:r>
      <w:r w:rsidRPr="00D33745">
        <w:rPr>
          <w:noProof/>
          <w:lang w:val="en-IE" w:eastAsia="en-GB"/>
        </w:rPr>
        <w:t xml:space="preserve">everal surveys, a public consultation and </w:t>
      </w:r>
      <w:r>
        <w:rPr>
          <w:noProof/>
          <w:lang w:val="en-IE" w:eastAsia="en-GB"/>
        </w:rPr>
        <w:t>many</w:t>
      </w:r>
      <w:r w:rsidRPr="00D33745">
        <w:rPr>
          <w:noProof/>
          <w:lang w:val="en-IE" w:eastAsia="en-GB"/>
        </w:rPr>
        <w:t xml:space="preserve"> studies. In-house economic research as well as policy</w:t>
      </w:r>
      <w:r>
        <w:rPr>
          <w:noProof/>
          <w:lang w:val="en-IE" w:eastAsia="en-GB"/>
        </w:rPr>
        <w:t>-</w:t>
      </w:r>
      <w:r w:rsidRPr="00D33745">
        <w:rPr>
          <w:noProof/>
          <w:lang w:val="en-IE" w:eastAsia="en-GB"/>
        </w:rPr>
        <w:t xml:space="preserve">design support and market analysis by the Joint Research Centre further informed the </w:t>
      </w:r>
      <w:r>
        <w:rPr>
          <w:noProof/>
          <w:lang w:val="en-IE" w:eastAsia="en-GB"/>
        </w:rPr>
        <w:t>i</w:t>
      </w:r>
      <w:r w:rsidRPr="00D33745">
        <w:rPr>
          <w:noProof/>
          <w:lang w:val="en-IE" w:eastAsia="en-GB"/>
        </w:rPr>
        <w:t xml:space="preserve">mpact </w:t>
      </w:r>
      <w:r>
        <w:rPr>
          <w:noProof/>
          <w:lang w:val="en-IE" w:eastAsia="en-GB"/>
        </w:rPr>
        <w:t>a</w:t>
      </w:r>
      <w:r w:rsidRPr="00D33745">
        <w:rPr>
          <w:noProof/>
          <w:lang w:val="en-IE" w:eastAsia="en-GB"/>
        </w:rPr>
        <w:t xml:space="preserve">ssessment </w:t>
      </w:r>
      <w:r>
        <w:rPr>
          <w:noProof/>
          <w:lang w:val="en-IE" w:eastAsia="en-GB"/>
        </w:rPr>
        <w:t>for</w:t>
      </w:r>
      <w:r w:rsidRPr="00D33745">
        <w:rPr>
          <w:noProof/>
          <w:lang w:val="en-IE" w:eastAsia="en-GB"/>
        </w:rPr>
        <w:t xml:space="preserve"> this initiative. </w:t>
      </w:r>
    </w:p>
    <w:p w:rsidR="00D85359" w:rsidRPr="00D33745" w:rsidRDefault="00D85359" w:rsidP="00D85359">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Impact assessment</w:t>
      </w:r>
    </w:p>
    <w:p w:rsidR="00D85359" w:rsidRPr="00D33745" w:rsidRDefault="00D85359" w:rsidP="00D85359">
      <w:pPr>
        <w:pBdr>
          <w:top w:val="nil"/>
          <w:left w:val="nil"/>
          <w:bottom w:val="nil"/>
          <w:right w:val="nil"/>
          <w:between w:val="nil"/>
          <w:bar w:val="nil"/>
        </w:pBdr>
        <w:spacing w:before="0" w:after="240"/>
        <w:rPr>
          <w:noProof/>
          <w:lang w:val="en-IE"/>
        </w:rPr>
      </w:pPr>
      <w:r w:rsidRPr="00D33745">
        <w:rPr>
          <w:rFonts w:eastAsia="Arial Unicode MS"/>
          <w:noProof/>
          <w:lang w:val="en-IE"/>
        </w:rPr>
        <w:t>Th</w:t>
      </w:r>
      <w:r>
        <w:rPr>
          <w:rFonts w:eastAsia="Arial Unicode MS"/>
          <w:noProof/>
          <w:lang w:val="en-IE"/>
        </w:rPr>
        <w:t>e</w:t>
      </w:r>
      <w:r w:rsidRPr="00D33745">
        <w:rPr>
          <w:rFonts w:eastAsia="Arial Unicode MS"/>
          <w:noProof/>
          <w:lang w:val="en-IE"/>
        </w:rPr>
        <w:t xml:space="preserve"> </w:t>
      </w:r>
      <w:r>
        <w:rPr>
          <w:rFonts w:eastAsia="Arial Unicode MS"/>
          <w:noProof/>
          <w:lang w:val="en-IE"/>
        </w:rPr>
        <w:t>P</w:t>
      </w:r>
      <w:r w:rsidRPr="00D33745">
        <w:rPr>
          <w:rFonts w:eastAsia="Arial Unicode MS"/>
          <w:noProof/>
          <w:lang w:val="en-IE"/>
        </w:rPr>
        <w:t xml:space="preserve">roposal is supported by an impact assessment report </w:t>
      </w:r>
      <w:r w:rsidR="00732AD4" w:rsidRPr="00C950CA">
        <w:rPr>
          <w:rFonts w:eastAsia="Arial Unicode MS"/>
          <w:noProof/>
          <w:lang w:val="en-IE"/>
        </w:rPr>
        <w:t>SWD(2022) 350</w:t>
      </w:r>
      <w:r w:rsidRPr="00D33745">
        <w:rPr>
          <w:rFonts w:eastAsia="Arial Unicode MS"/>
          <w:noProof/>
          <w:lang w:val="en-IE"/>
        </w:rPr>
        <w:t xml:space="preserve">, </w:t>
      </w:r>
      <w:r>
        <w:rPr>
          <w:rFonts w:eastAsia="Arial Unicode MS"/>
          <w:noProof/>
          <w:lang w:val="en-IE"/>
        </w:rPr>
        <w:t xml:space="preserve">which has been </w:t>
      </w:r>
      <w:r w:rsidRPr="00D33745">
        <w:rPr>
          <w:rFonts w:eastAsia="Arial Unicode MS"/>
          <w:noProof/>
          <w:lang w:val="en-IE"/>
        </w:rPr>
        <w:t>prepared in line with the Commission’s ‘</w:t>
      </w:r>
      <w:hyperlink r:id="rId13" w:history="1">
        <w:r w:rsidRPr="005C7B76">
          <w:rPr>
            <w:rStyle w:val="Hyperlink"/>
            <w:rFonts w:eastAsia="Arial Unicode MS"/>
            <w:noProof/>
            <w:lang w:val="en-IE"/>
          </w:rPr>
          <w:t>Better Regulation’ guidelines</w:t>
        </w:r>
      </w:hyperlink>
      <w:r w:rsidRPr="00D33745">
        <w:rPr>
          <w:rFonts w:eastAsia="Arial Unicode MS"/>
          <w:noProof/>
          <w:lang w:val="en-IE"/>
        </w:rPr>
        <w:t xml:space="preserve">. </w:t>
      </w:r>
      <w:r w:rsidRPr="00BD2BAB">
        <w:rPr>
          <w:rFonts w:eastAsia="Arial Unicode MS"/>
          <w:noProof/>
          <w:lang w:val="en-IE"/>
        </w:rPr>
        <w:t xml:space="preserve">The impact assessment report was reviewed by the Regulatory Scrutiny Board and was </w:t>
      </w:r>
      <w:r w:rsidR="00000386">
        <w:rPr>
          <w:rFonts w:eastAsia="Arial Unicode MS"/>
          <w:noProof/>
          <w:lang w:val="en-IE"/>
        </w:rPr>
        <w:t xml:space="preserve">then further </w:t>
      </w:r>
      <w:r w:rsidRPr="00BD2BAB">
        <w:rPr>
          <w:rFonts w:eastAsia="Arial Unicode MS"/>
          <w:noProof/>
          <w:lang w:val="en-IE"/>
        </w:rPr>
        <w:t>revised to take into account the Board’s comments</w:t>
      </w:r>
      <w:r w:rsidR="00000386">
        <w:rPr>
          <w:rFonts w:eastAsia="Arial Unicode MS"/>
          <w:noProof/>
          <w:lang w:val="en-IE"/>
        </w:rPr>
        <w:t xml:space="preserve"> and suggestions for improvements</w:t>
      </w:r>
      <w:r w:rsidRPr="00BD2BAB">
        <w:rPr>
          <w:rFonts w:eastAsia="Arial Unicode MS"/>
          <w:noProof/>
          <w:lang w:val="en-IE"/>
        </w:rPr>
        <w:t>, in particular by better explaining</w:t>
      </w:r>
      <w:r w:rsidR="00000386">
        <w:rPr>
          <w:rFonts w:eastAsia="Arial Unicode MS"/>
          <w:noProof/>
          <w:lang w:val="en-IE"/>
        </w:rPr>
        <w:t xml:space="preserve"> the problem of</w:t>
      </w:r>
      <w:r>
        <w:rPr>
          <w:rFonts w:eastAsia="Arial Unicode MS"/>
          <w:noProof/>
          <w:lang w:val="en-IE"/>
        </w:rPr>
        <w:t xml:space="preserve"> </w:t>
      </w:r>
      <w:r w:rsidRPr="00D33745">
        <w:rPr>
          <w:noProof/>
          <w:lang w:val="en-IE"/>
        </w:rPr>
        <w:t>how diverg</w:t>
      </w:r>
      <w:r>
        <w:rPr>
          <w:noProof/>
          <w:lang w:val="en-IE"/>
        </w:rPr>
        <w:t>ing</w:t>
      </w:r>
      <w:r w:rsidRPr="00D33745">
        <w:rPr>
          <w:noProof/>
          <w:lang w:val="en-IE"/>
        </w:rPr>
        <w:t xml:space="preserve"> data requests create barriers for online </w:t>
      </w:r>
      <w:r w:rsidR="00452EEA">
        <w:rPr>
          <w:noProof/>
          <w:lang w:val="en-IE"/>
        </w:rPr>
        <w:t>short-term rental</w:t>
      </w:r>
      <w:r w:rsidR="00452EEA" w:rsidRPr="00D33745">
        <w:rPr>
          <w:noProof/>
          <w:lang w:val="en-IE"/>
        </w:rPr>
        <w:t xml:space="preserve"> </w:t>
      </w:r>
      <w:r w:rsidRPr="00D33745">
        <w:rPr>
          <w:noProof/>
          <w:lang w:val="en-IE"/>
        </w:rPr>
        <w:t xml:space="preserve">platforms to operate, grow and expand in the single market. </w:t>
      </w:r>
      <w:r>
        <w:rPr>
          <w:noProof/>
          <w:lang w:val="en-IE"/>
        </w:rPr>
        <w:t>T</w:t>
      </w:r>
      <w:r w:rsidRPr="00D33745">
        <w:rPr>
          <w:noProof/>
          <w:lang w:val="en-IE"/>
        </w:rPr>
        <w:t xml:space="preserve">he </w:t>
      </w:r>
      <w:r>
        <w:rPr>
          <w:noProof/>
          <w:lang w:val="en-IE"/>
        </w:rPr>
        <w:t>need for</w:t>
      </w:r>
      <w:r w:rsidR="00000386">
        <w:rPr>
          <w:noProof/>
          <w:lang w:val="en-IE"/>
        </w:rPr>
        <w:t>, and value added of,</w:t>
      </w:r>
      <w:r>
        <w:rPr>
          <w:noProof/>
          <w:lang w:val="en-IE"/>
        </w:rPr>
        <w:t xml:space="preserve"> </w:t>
      </w:r>
      <w:r w:rsidRPr="00D33745">
        <w:rPr>
          <w:noProof/>
          <w:lang w:val="en-IE"/>
        </w:rPr>
        <w:t xml:space="preserve">EU action </w:t>
      </w:r>
      <w:r>
        <w:rPr>
          <w:noProof/>
          <w:lang w:val="en-IE"/>
        </w:rPr>
        <w:t xml:space="preserve">is </w:t>
      </w:r>
      <w:r w:rsidR="00000386">
        <w:rPr>
          <w:noProof/>
          <w:lang w:val="en-IE"/>
        </w:rPr>
        <w:t xml:space="preserve">now </w:t>
      </w:r>
      <w:r>
        <w:rPr>
          <w:noProof/>
          <w:lang w:val="en-IE"/>
        </w:rPr>
        <w:t xml:space="preserve">also better </w:t>
      </w:r>
      <w:r w:rsidRPr="00D33745">
        <w:rPr>
          <w:noProof/>
          <w:lang w:val="en-IE"/>
        </w:rPr>
        <w:t xml:space="preserve">explained by showing that rules at local, regional or national level </w:t>
      </w:r>
      <w:r>
        <w:rPr>
          <w:noProof/>
          <w:lang w:val="en-IE"/>
        </w:rPr>
        <w:t>make</w:t>
      </w:r>
      <w:r w:rsidRPr="00D33745">
        <w:rPr>
          <w:noProof/>
          <w:lang w:val="en-IE"/>
        </w:rPr>
        <w:t xml:space="preserve"> online platforms </w:t>
      </w:r>
      <w:r>
        <w:rPr>
          <w:noProof/>
          <w:lang w:val="en-IE"/>
        </w:rPr>
        <w:t xml:space="preserve">reluctant </w:t>
      </w:r>
      <w:r w:rsidRPr="00D33745">
        <w:rPr>
          <w:noProof/>
          <w:lang w:val="en-IE"/>
        </w:rPr>
        <w:t>to share data</w:t>
      </w:r>
      <w:r>
        <w:rPr>
          <w:noProof/>
          <w:lang w:val="en-IE"/>
        </w:rPr>
        <w:t xml:space="preserve"> – thus </w:t>
      </w:r>
      <w:r w:rsidRPr="00D33745">
        <w:rPr>
          <w:noProof/>
          <w:lang w:val="en-IE"/>
        </w:rPr>
        <w:t>making it difficult for public authorities to obtain reliable data on STRs.</w:t>
      </w:r>
      <w:r w:rsidR="00000386">
        <w:rPr>
          <w:noProof/>
          <w:lang w:val="en-IE"/>
        </w:rPr>
        <w:t xml:space="preserve"> The revised impact assessment report subsequently received a positive opinion from the Board.</w:t>
      </w:r>
    </w:p>
    <w:p w:rsidR="00D85359" w:rsidRPr="00D33745" w:rsidRDefault="00D85359" w:rsidP="00D85359">
      <w:pPr>
        <w:pBdr>
          <w:top w:val="nil"/>
          <w:left w:val="nil"/>
          <w:bottom w:val="nil"/>
          <w:right w:val="nil"/>
          <w:between w:val="nil"/>
          <w:bar w:val="nil"/>
        </w:pBdr>
        <w:spacing w:before="0" w:after="240"/>
        <w:rPr>
          <w:noProof/>
          <w:lang w:val="en-IE"/>
        </w:rPr>
      </w:pPr>
      <w:bookmarkStart w:id="1" w:name="_Hlk114150815"/>
      <w:r w:rsidRPr="00D33745">
        <w:rPr>
          <w:noProof/>
          <w:lang w:val="en-IE"/>
        </w:rPr>
        <w:t>In addition to the baseline scenario which entails a ‘no policy change’ approach</w:t>
      </w:r>
      <w:bookmarkEnd w:id="1"/>
      <w:r w:rsidRPr="00D33745">
        <w:rPr>
          <w:noProof/>
          <w:lang w:val="en-IE"/>
        </w:rPr>
        <w:t xml:space="preserve">, three </w:t>
      </w:r>
      <w:r>
        <w:rPr>
          <w:noProof/>
          <w:lang w:val="en-IE"/>
        </w:rPr>
        <w:t xml:space="preserve">alternative </w:t>
      </w:r>
      <w:r w:rsidRPr="00D33745">
        <w:rPr>
          <w:noProof/>
          <w:lang w:val="en-IE"/>
        </w:rPr>
        <w:t>policy options were identified and assessed</w:t>
      </w:r>
      <w:r>
        <w:rPr>
          <w:noProof/>
          <w:lang w:val="en-IE"/>
        </w:rPr>
        <w:t xml:space="preserve">. These </w:t>
      </w:r>
      <w:r w:rsidRPr="00D33745">
        <w:rPr>
          <w:noProof/>
          <w:lang w:val="en-IE"/>
        </w:rPr>
        <w:t>contain comparable measures</w:t>
      </w:r>
      <w:r>
        <w:rPr>
          <w:noProof/>
          <w:lang w:val="en-IE"/>
        </w:rPr>
        <w:t>,</w:t>
      </w:r>
      <w:r w:rsidRPr="00D33745">
        <w:rPr>
          <w:noProof/>
          <w:lang w:val="en-IE"/>
        </w:rPr>
        <w:t xml:space="preserve"> but differ considerably in terms of </w:t>
      </w:r>
      <w:r>
        <w:rPr>
          <w:noProof/>
          <w:lang w:val="en-IE"/>
        </w:rPr>
        <w:t xml:space="preserve">the </w:t>
      </w:r>
      <w:r w:rsidRPr="00D33745">
        <w:rPr>
          <w:noProof/>
          <w:lang w:val="en-IE"/>
        </w:rPr>
        <w:t>intensity of the intervention.</w:t>
      </w:r>
    </w:p>
    <w:p w:rsidR="00D85359" w:rsidRPr="00D33745" w:rsidRDefault="00D85359" w:rsidP="008033AB">
      <w:pPr>
        <w:pStyle w:val="Tiret0"/>
        <w:numPr>
          <w:ilvl w:val="0"/>
          <w:numId w:val="26"/>
        </w:numPr>
        <w:rPr>
          <w:noProof/>
          <w:lang w:val="en-IE"/>
        </w:rPr>
      </w:pPr>
      <w:r w:rsidRPr="00FE1318">
        <w:rPr>
          <w:b/>
          <w:noProof/>
          <w:lang w:val="en-IE"/>
        </w:rPr>
        <w:t>Option 1</w:t>
      </w:r>
      <w:r>
        <w:rPr>
          <w:noProof/>
          <w:lang w:val="en-IE"/>
        </w:rPr>
        <w:t xml:space="preserve"> would take the form of a Recommendation. The proposal </w:t>
      </w:r>
      <w:r w:rsidRPr="00D33745">
        <w:rPr>
          <w:noProof/>
          <w:lang w:val="en-IE"/>
        </w:rPr>
        <w:t>would encourage public authorities to put registration schemes in place for hosts</w:t>
      </w:r>
      <w:r>
        <w:rPr>
          <w:noProof/>
          <w:lang w:val="en-IE"/>
        </w:rPr>
        <w:t>. This would involve</w:t>
      </w:r>
      <w:r w:rsidRPr="00D33745">
        <w:rPr>
          <w:noProof/>
          <w:lang w:val="en-IE"/>
        </w:rPr>
        <w:t xml:space="preserve"> gather</w:t>
      </w:r>
      <w:r>
        <w:rPr>
          <w:noProof/>
          <w:lang w:val="en-IE"/>
        </w:rPr>
        <w:t>ing</w:t>
      </w:r>
      <w:r w:rsidRPr="00D33745">
        <w:rPr>
          <w:noProof/>
          <w:lang w:val="en-IE"/>
        </w:rPr>
        <w:t xml:space="preserve"> data to identify the host and the unit, and </w:t>
      </w:r>
      <w:r>
        <w:rPr>
          <w:noProof/>
          <w:lang w:val="en-IE"/>
        </w:rPr>
        <w:t xml:space="preserve">then </w:t>
      </w:r>
      <w:r w:rsidRPr="00D33745">
        <w:rPr>
          <w:noProof/>
          <w:lang w:val="en-IE"/>
        </w:rPr>
        <w:t xml:space="preserve">the automatic grant of a registration number. Public authorities would also be encouraged to require online platforms to display the registration numbers for each unit, and to share pre-agreed activity data with public authorities. </w:t>
      </w:r>
      <w:r>
        <w:rPr>
          <w:noProof/>
          <w:lang w:val="en-IE"/>
        </w:rPr>
        <w:t>This R</w:t>
      </w:r>
      <w:r w:rsidRPr="00D33745">
        <w:rPr>
          <w:noProof/>
          <w:lang w:val="en-IE"/>
        </w:rPr>
        <w:t xml:space="preserve">ecommendation would be based on </w:t>
      </w:r>
      <w:r>
        <w:rPr>
          <w:noProof/>
          <w:lang w:val="en-IE"/>
        </w:rPr>
        <w:t xml:space="preserve">examples of </w:t>
      </w:r>
      <w:r w:rsidRPr="00D33745">
        <w:rPr>
          <w:noProof/>
          <w:lang w:val="en-IE"/>
        </w:rPr>
        <w:t xml:space="preserve">good practice, and could be complemented by a </w:t>
      </w:r>
      <w:r>
        <w:rPr>
          <w:noProof/>
          <w:lang w:val="en-IE"/>
        </w:rPr>
        <w:t>c</w:t>
      </w:r>
      <w:r w:rsidRPr="00D33745">
        <w:rPr>
          <w:noProof/>
          <w:lang w:val="en-IE"/>
        </w:rPr>
        <w:t xml:space="preserve">ode of </w:t>
      </w:r>
      <w:r>
        <w:rPr>
          <w:noProof/>
          <w:lang w:val="en-IE"/>
        </w:rPr>
        <w:t>c</w:t>
      </w:r>
      <w:r w:rsidRPr="00D33745">
        <w:rPr>
          <w:noProof/>
          <w:lang w:val="en-IE"/>
        </w:rPr>
        <w:t>onduct to facilitate data sharing between public authorities and online platforms by specifying the scope of data sharing as well as the technical means.</w:t>
      </w:r>
    </w:p>
    <w:p w:rsidR="00D85359" w:rsidRPr="00D33745" w:rsidRDefault="00D85359" w:rsidP="008033AB">
      <w:pPr>
        <w:pStyle w:val="Tiret0"/>
        <w:numPr>
          <w:ilvl w:val="0"/>
          <w:numId w:val="26"/>
        </w:numPr>
        <w:rPr>
          <w:noProof/>
          <w:lang w:val="en-IE"/>
        </w:rPr>
      </w:pPr>
      <w:r w:rsidRPr="00D33745">
        <w:rPr>
          <w:b/>
          <w:noProof/>
          <w:lang w:val="en-IE"/>
        </w:rPr>
        <w:t>Option 2</w:t>
      </w:r>
      <w:r w:rsidRPr="00D33745">
        <w:rPr>
          <w:noProof/>
          <w:lang w:val="en-IE"/>
        </w:rPr>
        <w:t xml:space="preserve"> would require public authorities </w:t>
      </w:r>
      <w:r>
        <w:rPr>
          <w:noProof/>
          <w:lang w:val="en-IE"/>
        </w:rPr>
        <w:t>wanting</w:t>
      </w:r>
      <w:r w:rsidRPr="00D33745">
        <w:rPr>
          <w:noProof/>
          <w:lang w:val="en-IE"/>
        </w:rPr>
        <w:t xml:space="preserve"> to obtain data from online platforms for policymaking and enforcement purposes to maintain, as a first step, a registration scheme for hosts and their units, which would need to comply with certain requirements. Once hosts </w:t>
      </w:r>
      <w:r>
        <w:rPr>
          <w:noProof/>
          <w:lang w:val="en-IE"/>
        </w:rPr>
        <w:t xml:space="preserve">had </w:t>
      </w:r>
      <w:r w:rsidRPr="00D33745">
        <w:rPr>
          <w:noProof/>
          <w:lang w:val="en-IE"/>
        </w:rPr>
        <w:t>submit</w:t>
      </w:r>
      <w:r>
        <w:rPr>
          <w:noProof/>
          <w:lang w:val="en-IE"/>
        </w:rPr>
        <w:t>ted</w:t>
      </w:r>
      <w:r w:rsidRPr="00D33745">
        <w:rPr>
          <w:noProof/>
          <w:lang w:val="en-IE"/>
        </w:rPr>
        <w:t xml:space="preserve"> a pre-defined set of data and information, public authorities </w:t>
      </w:r>
      <w:r>
        <w:rPr>
          <w:noProof/>
          <w:lang w:val="en-IE"/>
        </w:rPr>
        <w:t xml:space="preserve">would have to </w:t>
      </w:r>
      <w:r w:rsidRPr="00D33745">
        <w:rPr>
          <w:noProof/>
          <w:lang w:val="en-IE"/>
        </w:rPr>
        <w:t xml:space="preserve">grant them a registration number per unit. Online platforms would be obliged to require </w:t>
      </w:r>
      <w:r>
        <w:rPr>
          <w:noProof/>
          <w:lang w:val="en-IE"/>
        </w:rPr>
        <w:t xml:space="preserve">hosts to provide </w:t>
      </w:r>
      <w:r w:rsidRPr="00D33745">
        <w:rPr>
          <w:noProof/>
          <w:lang w:val="en-IE"/>
        </w:rPr>
        <w:t xml:space="preserve">this registration number and to periodically share a pre-defined set of data with public authorities (e.g. </w:t>
      </w:r>
      <w:r>
        <w:rPr>
          <w:noProof/>
          <w:lang w:val="en-IE"/>
        </w:rPr>
        <w:t xml:space="preserve">the </w:t>
      </w:r>
      <w:r w:rsidRPr="00D33745">
        <w:rPr>
          <w:noProof/>
          <w:lang w:val="en-IE"/>
        </w:rPr>
        <w:t xml:space="preserve">number of expected and </w:t>
      </w:r>
      <w:r>
        <w:rPr>
          <w:noProof/>
          <w:lang w:val="en-IE"/>
        </w:rPr>
        <w:t xml:space="preserve">actual </w:t>
      </w:r>
      <w:r w:rsidRPr="00D33745">
        <w:rPr>
          <w:noProof/>
          <w:lang w:val="en-IE"/>
        </w:rPr>
        <w:t xml:space="preserve">bookings, </w:t>
      </w:r>
      <w:r>
        <w:rPr>
          <w:noProof/>
          <w:lang w:val="en-IE"/>
        </w:rPr>
        <w:t xml:space="preserve">and the </w:t>
      </w:r>
      <w:r w:rsidRPr="00D33745">
        <w:rPr>
          <w:noProof/>
          <w:lang w:val="en-IE"/>
        </w:rPr>
        <w:t xml:space="preserve">number of guests that stayed in a unit per booking). Member States would have to </w:t>
      </w:r>
      <w:r>
        <w:rPr>
          <w:noProof/>
          <w:lang w:val="en-IE"/>
        </w:rPr>
        <w:t>establish</w:t>
      </w:r>
      <w:r w:rsidRPr="00D33745">
        <w:rPr>
          <w:noProof/>
          <w:lang w:val="en-IE"/>
        </w:rPr>
        <w:t xml:space="preserve"> a </w:t>
      </w:r>
      <w:bookmarkStart w:id="2" w:name="_Hlk113456913"/>
      <w:r>
        <w:rPr>
          <w:noProof/>
          <w:lang w:val="en-IE"/>
        </w:rPr>
        <w:t>S</w:t>
      </w:r>
      <w:r w:rsidRPr="00D33745">
        <w:rPr>
          <w:noProof/>
          <w:lang w:val="en-IE"/>
        </w:rPr>
        <w:t xml:space="preserve">ingle </w:t>
      </w:r>
      <w:r>
        <w:rPr>
          <w:noProof/>
          <w:lang w:val="en-IE"/>
        </w:rPr>
        <w:t>D</w:t>
      </w:r>
      <w:r w:rsidRPr="00D33745">
        <w:rPr>
          <w:noProof/>
          <w:lang w:val="en-IE"/>
        </w:rPr>
        <w:t xml:space="preserve">igital </w:t>
      </w:r>
      <w:r>
        <w:rPr>
          <w:noProof/>
          <w:lang w:val="en-IE"/>
        </w:rPr>
        <w:t>E</w:t>
      </w:r>
      <w:r w:rsidRPr="00D33745">
        <w:rPr>
          <w:noProof/>
          <w:lang w:val="en-IE"/>
        </w:rPr>
        <w:t xml:space="preserve">ntry </w:t>
      </w:r>
      <w:r>
        <w:rPr>
          <w:noProof/>
          <w:lang w:val="en-IE"/>
        </w:rPr>
        <w:t>P</w:t>
      </w:r>
      <w:r w:rsidRPr="00D33745">
        <w:rPr>
          <w:noProof/>
          <w:lang w:val="en-IE"/>
        </w:rPr>
        <w:t>oint</w:t>
      </w:r>
      <w:bookmarkEnd w:id="2"/>
      <w:r w:rsidRPr="00D33745">
        <w:rPr>
          <w:noProof/>
          <w:lang w:val="en-IE"/>
        </w:rPr>
        <w:t xml:space="preserve"> to </w:t>
      </w:r>
      <w:r>
        <w:rPr>
          <w:noProof/>
          <w:lang w:val="en-IE"/>
        </w:rPr>
        <w:t>permit</w:t>
      </w:r>
      <w:r w:rsidRPr="00D33745">
        <w:rPr>
          <w:noProof/>
          <w:lang w:val="en-IE"/>
        </w:rPr>
        <w:t xml:space="preserve"> the transfer of data, and would have to clearly state which obligations apply to hosts and online platforms on their territory. </w:t>
      </w:r>
    </w:p>
    <w:p w:rsidR="00D85359" w:rsidRPr="00D33745" w:rsidRDefault="00D85359" w:rsidP="008033AB">
      <w:pPr>
        <w:pStyle w:val="Tiret0"/>
        <w:numPr>
          <w:ilvl w:val="0"/>
          <w:numId w:val="26"/>
        </w:numPr>
        <w:rPr>
          <w:noProof/>
          <w:lang w:val="en-IE"/>
        </w:rPr>
      </w:pPr>
      <w:r w:rsidRPr="00D33745">
        <w:rPr>
          <w:b/>
          <w:noProof/>
          <w:lang w:val="en-IE"/>
        </w:rPr>
        <w:t>Option 3</w:t>
      </w:r>
      <w:r w:rsidRPr="00D33745">
        <w:rPr>
          <w:noProof/>
          <w:lang w:val="en-IE"/>
        </w:rPr>
        <w:t xml:space="preserve"> would include </w:t>
      </w:r>
      <w:r>
        <w:rPr>
          <w:noProof/>
          <w:lang w:val="en-IE"/>
        </w:rPr>
        <w:t xml:space="preserve">the </w:t>
      </w:r>
      <w:r w:rsidRPr="00D33745">
        <w:rPr>
          <w:noProof/>
          <w:lang w:val="en-IE"/>
        </w:rPr>
        <w:t xml:space="preserve">measures </w:t>
      </w:r>
      <w:r>
        <w:rPr>
          <w:noProof/>
          <w:lang w:val="en-IE"/>
        </w:rPr>
        <w:t xml:space="preserve">foreseen under </w:t>
      </w:r>
      <w:r w:rsidRPr="00D33745">
        <w:rPr>
          <w:noProof/>
          <w:lang w:val="en-IE"/>
        </w:rPr>
        <w:t xml:space="preserve">option 2, but would </w:t>
      </w:r>
      <w:r>
        <w:rPr>
          <w:noProof/>
          <w:lang w:val="en-IE"/>
        </w:rPr>
        <w:t xml:space="preserve">extend </w:t>
      </w:r>
      <w:r w:rsidRPr="00D33745">
        <w:rPr>
          <w:noProof/>
          <w:lang w:val="en-IE"/>
        </w:rPr>
        <w:t xml:space="preserve">the </w:t>
      </w:r>
      <w:r>
        <w:rPr>
          <w:noProof/>
          <w:lang w:val="en-IE"/>
        </w:rPr>
        <w:t xml:space="preserve">registration </w:t>
      </w:r>
      <w:r w:rsidRPr="00D33745">
        <w:rPr>
          <w:noProof/>
          <w:lang w:val="en-IE"/>
        </w:rPr>
        <w:t xml:space="preserve">obligation to all hosts and units </w:t>
      </w:r>
      <w:r>
        <w:rPr>
          <w:noProof/>
          <w:lang w:val="en-IE"/>
        </w:rPr>
        <w:t xml:space="preserve">in </w:t>
      </w:r>
      <w:r w:rsidRPr="00D33745">
        <w:rPr>
          <w:noProof/>
          <w:lang w:val="en-IE"/>
        </w:rPr>
        <w:t>the</w:t>
      </w:r>
      <w:r>
        <w:rPr>
          <w:noProof/>
          <w:lang w:val="en-IE"/>
        </w:rPr>
        <w:t xml:space="preserve"> EU</w:t>
      </w:r>
      <w:r w:rsidRPr="00D33745">
        <w:rPr>
          <w:noProof/>
          <w:lang w:val="en-IE"/>
        </w:rPr>
        <w:t xml:space="preserve">. </w:t>
      </w:r>
      <w:r>
        <w:rPr>
          <w:noProof/>
          <w:lang w:val="en-IE"/>
        </w:rPr>
        <w:t>A</w:t>
      </w:r>
      <w:r w:rsidRPr="00D33745">
        <w:rPr>
          <w:noProof/>
          <w:lang w:val="en-IE"/>
        </w:rPr>
        <w:t>ll Member States would be required to put in place a registration scheme at national level for all hosts and their units.</w:t>
      </w:r>
    </w:p>
    <w:p w:rsidR="00D85359" w:rsidRPr="00D33745" w:rsidRDefault="00D85359" w:rsidP="00A16300">
      <w:pPr>
        <w:rPr>
          <w:noProof/>
          <w:lang w:val="en-IE"/>
        </w:rPr>
      </w:pPr>
      <w:r w:rsidRPr="00D33745">
        <w:rPr>
          <w:noProof/>
          <w:lang w:val="en-IE"/>
        </w:rPr>
        <w:t>Th</w:t>
      </w:r>
      <w:r>
        <w:rPr>
          <w:noProof/>
          <w:lang w:val="en-IE"/>
        </w:rPr>
        <w:t>e</w:t>
      </w:r>
      <w:r w:rsidRPr="00D33745">
        <w:rPr>
          <w:noProof/>
          <w:lang w:val="en-IE"/>
        </w:rPr>
        <w:t xml:space="preserve"> impact assessment identified </w:t>
      </w:r>
      <w:r w:rsidRPr="00D33745">
        <w:rPr>
          <w:b/>
          <w:noProof/>
          <w:lang w:val="en-IE"/>
        </w:rPr>
        <w:t>option 2 as the preferred option</w:t>
      </w:r>
      <w:r>
        <w:rPr>
          <w:noProof/>
          <w:lang w:val="en-IE"/>
        </w:rPr>
        <w:t>, because:</w:t>
      </w:r>
    </w:p>
    <w:p w:rsidR="00D85359" w:rsidRDefault="00D85359" w:rsidP="008033AB">
      <w:pPr>
        <w:pStyle w:val="Tiret0"/>
        <w:numPr>
          <w:ilvl w:val="0"/>
          <w:numId w:val="26"/>
        </w:numPr>
        <w:rPr>
          <w:noProof/>
          <w:lang w:val="en-IE"/>
        </w:rPr>
      </w:pPr>
      <w:r w:rsidRPr="00390ECC">
        <w:rPr>
          <w:noProof/>
          <w:lang w:val="en-IE"/>
        </w:rPr>
        <w:t xml:space="preserve">Option 1 would not fully ensure that the burden on platforms and access to data would be adequately addressed. Its voluntary nature means that it would only lead to improvements in some areas and only between </w:t>
      </w:r>
      <w:r w:rsidR="007B6734">
        <w:rPr>
          <w:noProof/>
          <w:lang w:val="en-IE"/>
        </w:rPr>
        <w:t xml:space="preserve">a </w:t>
      </w:r>
      <w:r w:rsidRPr="00390ECC">
        <w:rPr>
          <w:noProof/>
          <w:lang w:val="en-IE"/>
        </w:rPr>
        <w:t>limited</w:t>
      </w:r>
      <w:r w:rsidR="007B6734">
        <w:rPr>
          <w:noProof/>
          <w:lang w:val="en-IE"/>
        </w:rPr>
        <w:t xml:space="preserve"> number of</w:t>
      </w:r>
      <w:r w:rsidRPr="00390ECC">
        <w:rPr>
          <w:noProof/>
          <w:lang w:val="en-IE"/>
        </w:rPr>
        <w:t xml:space="preserve"> online platforms and public authorities</w:t>
      </w:r>
      <w:r>
        <w:rPr>
          <w:noProof/>
          <w:lang w:val="en-IE"/>
        </w:rPr>
        <w:t>;</w:t>
      </w:r>
    </w:p>
    <w:p w:rsidR="00D85359" w:rsidRPr="00390ECC" w:rsidRDefault="00D85359" w:rsidP="008033AB">
      <w:pPr>
        <w:pStyle w:val="Tiret0"/>
        <w:numPr>
          <w:ilvl w:val="0"/>
          <w:numId w:val="26"/>
        </w:numPr>
        <w:rPr>
          <w:noProof/>
          <w:lang w:val="en-IE"/>
        </w:rPr>
      </w:pPr>
      <w:r w:rsidRPr="00390ECC">
        <w:rPr>
          <w:noProof/>
          <w:lang w:val="en-IE"/>
        </w:rPr>
        <w:t>Option 2 would meet the objectives in a flexible and proportionate way. It would increase transparency in the STR segment, while reducing the burden on online platforms and leaving flexibility to public authorities</w:t>
      </w:r>
      <w:r>
        <w:rPr>
          <w:noProof/>
          <w:lang w:val="en-IE"/>
        </w:rPr>
        <w:t>;</w:t>
      </w:r>
    </w:p>
    <w:p w:rsidR="00D85359" w:rsidRPr="00390ECC" w:rsidRDefault="00D85359" w:rsidP="008033AB">
      <w:pPr>
        <w:pStyle w:val="Tiret0"/>
        <w:numPr>
          <w:ilvl w:val="0"/>
          <w:numId w:val="26"/>
        </w:numPr>
        <w:rPr>
          <w:noProof/>
          <w:lang w:val="en-IE"/>
        </w:rPr>
      </w:pPr>
      <w:r w:rsidRPr="00390ECC">
        <w:rPr>
          <w:noProof/>
          <w:lang w:val="en-IE"/>
        </w:rPr>
        <w:t>Option 3 would meet the objectives by providing an effective data-sharing framework across the EU</w:t>
      </w:r>
      <w:r>
        <w:rPr>
          <w:noProof/>
          <w:lang w:val="en-IE"/>
        </w:rPr>
        <w:t xml:space="preserve">; however, </w:t>
      </w:r>
      <w:r w:rsidRPr="00390ECC">
        <w:rPr>
          <w:noProof/>
          <w:lang w:val="en-IE"/>
        </w:rPr>
        <w:t xml:space="preserve">it </w:t>
      </w:r>
      <w:r w:rsidRPr="0052241A">
        <w:rPr>
          <w:noProof/>
          <w:lang w:val="en-IE"/>
        </w:rPr>
        <w:t xml:space="preserve">would </w:t>
      </w:r>
      <w:r w:rsidRPr="00390ECC">
        <w:rPr>
          <w:noProof/>
          <w:lang w:val="en-IE"/>
        </w:rPr>
        <w:t xml:space="preserve">also entail high </w:t>
      </w:r>
      <w:r w:rsidR="007B6734">
        <w:rPr>
          <w:noProof/>
          <w:lang w:val="en-IE"/>
        </w:rPr>
        <w:t>administrative</w:t>
      </w:r>
      <w:r w:rsidR="007B6734" w:rsidRPr="00390ECC">
        <w:rPr>
          <w:noProof/>
          <w:lang w:val="en-IE"/>
        </w:rPr>
        <w:t xml:space="preserve"> </w:t>
      </w:r>
      <w:r w:rsidRPr="00390ECC">
        <w:rPr>
          <w:noProof/>
          <w:lang w:val="en-IE"/>
        </w:rPr>
        <w:t>costs for public authorities and limit their freedom of action.</w:t>
      </w:r>
    </w:p>
    <w:p w:rsidR="00D85359" w:rsidRPr="00D33745" w:rsidRDefault="00D85359" w:rsidP="00D85359">
      <w:pPr>
        <w:pBdr>
          <w:top w:val="nil"/>
          <w:left w:val="nil"/>
          <w:bottom w:val="nil"/>
          <w:right w:val="nil"/>
          <w:between w:val="nil"/>
          <w:bar w:val="nil"/>
        </w:pBdr>
        <w:spacing w:before="0" w:after="240"/>
        <w:rPr>
          <w:noProof/>
          <w:lang w:val="en-IE"/>
        </w:rPr>
      </w:pPr>
      <w:r w:rsidRPr="00D33745">
        <w:rPr>
          <w:noProof/>
          <w:lang w:val="en-IE"/>
        </w:rPr>
        <w:t xml:space="preserve">In terms of </w:t>
      </w:r>
      <w:r w:rsidRPr="00D33745">
        <w:rPr>
          <w:b/>
          <w:noProof/>
          <w:lang w:val="en-IE"/>
        </w:rPr>
        <w:t>economic impact</w:t>
      </w:r>
      <w:r w:rsidRPr="00D33745">
        <w:rPr>
          <w:noProof/>
          <w:lang w:val="en-IE"/>
        </w:rPr>
        <w:t xml:space="preserve">, option 2 </w:t>
      </w:r>
      <w:r>
        <w:rPr>
          <w:noProof/>
          <w:lang w:val="en-IE"/>
        </w:rPr>
        <w:t xml:space="preserve">would provide </w:t>
      </w:r>
      <w:r w:rsidRPr="00D33745">
        <w:rPr>
          <w:noProof/>
          <w:lang w:val="en-IE"/>
        </w:rPr>
        <w:t>benefits</w:t>
      </w:r>
      <w:r>
        <w:rPr>
          <w:noProof/>
          <w:lang w:val="en-IE"/>
        </w:rPr>
        <w:t>,</w:t>
      </w:r>
      <w:r w:rsidRPr="00D33745">
        <w:rPr>
          <w:noProof/>
          <w:lang w:val="en-IE"/>
        </w:rPr>
        <w:t xml:space="preserve"> but also </w:t>
      </w:r>
      <w:r>
        <w:rPr>
          <w:noProof/>
          <w:lang w:val="en-IE"/>
        </w:rPr>
        <w:t xml:space="preserve">create </w:t>
      </w:r>
      <w:r w:rsidRPr="00D33745">
        <w:rPr>
          <w:noProof/>
          <w:lang w:val="en-IE"/>
        </w:rPr>
        <w:t xml:space="preserve">compliance costs for online platforms, public authorities and hosts. Online platforms </w:t>
      </w:r>
      <w:r>
        <w:rPr>
          <w:noProof/>
          <w:lang w:val="en-IE"/>
        </w:rPr>
        <w:t xml:space="preserve">would </w:t>
      </w:r>
      <w:r w:rsidRPr="00D33745">
        <w:rPr>
          <w:noProof/>
          <w:lang w:val="en-IE"/>
        </w:rPr>
        <w:t xml:space="preserve">benefit from the replacement of uncoordinated data requests </w:t>
      </w:r>
      <w:r>
        <w:rPr>
          <w:noProof/>
          <w:lang w:val="en-IE"/>
        </w:rPr>
        <w:t xml:space="preserve">with </w:t>
      </w:r>
      <w:r w:rsidRPr="00D33745">
        <w:rPr>
          <w:noProof/>
          <w:lang w:val="en-IE"/>
        </w:rPr>
        <w:t>more streamlined and proportionate requests</w:t>
      </w:r>
      <w:r>
        <w:rPr>
          <w:noProof/>
          <w:lang w:val="en-IE"/>
        </w:rPr>
        <w:t xml:space="preserve"> -</w:t>
      </w:r>
      <w:r w:rsidRPr="00D33745">
        <w:rPr>
          <w:noProof/>
          <w:lang w:val="en-IE"/>
        </w:rPr>
        <w:t xml:space="preserve"> which </w:t>
      </w:r>
      <w:r>
        <w:rPr>
          <w:noProof/>
          <w:lang w:val="en-IE"/>
        </w:rPr>
        <w:t>would reduce costs i</w:t>
      </w:r>
      <w:r w:rsidRPr="00D33745">
        <w:rPr>
          <w:noProof/>
          <w:lang w:val="en-IE"/>
        </w:rPr>
        <w:t xml:space="preserve">n the long term. In terms of costs, online platforms </w:t>
      </w:r>
      <w:r>
        <w:rPr>
          <w:noProof/>
          <w:lang w:val="en-IE"/>
        </w:rPr>
        <w:t xml:space="preserve">would </w:t>
      </w:r>
      <w:r w:rsidRPr="00D33745">
        <w:rPr>
          <w:noProof/>
          <w:lang w:val="en-IE"/>
        </w:rPr>
        <w:t>mainly incur</w:t>
      </w:r>
      <w:r>
        <w:rPr>
          <w:noProof/>
          <w:lang w:val="en-IE"/>
        </w:rPr>
        <w:t xml:space="preserve"> ‘one-off’</w:t>
      </w:r>
      <w:r w:rsidRPr="00D33745">
        <w:rPr>
          <w:noProof/>
          <w:lang w:val="en-IE"/>
        </w:rPr>
        <w:t xml:space="preserve"> administrative costs linked with the adaptation of their IT infrastructure and connection to the </w:t>
      </w:r>
      <w:r>
        <w:rPr>
          <w:noProof/>
          <w:lang w:val="en-IE"/>
        </w:rPr>
        <w:t>S</w:t>
      </w:r>
      <w:r w:rsidRPr="00D33745">
        <w:rPr>
          <w:noProof/>
          <w:lang w:val="en-IE"/>
        </w:rPr>
        <w:t xml:space="preserve">ingle </w:t>
      </w:r>
      <w:r>
        <w:rPr>
          <w:noProof/>
          <w:lang w:val="en-IE"/>
        </w:rPr>
        <w:t>D</w:t>
      </w:r>
      <w:r w:rsidRPr="00D33745">
        <w:rPr>
          <w:noProof/>
          <w:lang w:val="en-IE"/>
        </w:rPr>
        <w:t xml:space="preserve">igital </w:t>
      </w:r>
      <w:r>
        <w:rPr>
          <w:noProof/>
          <w:lang w:val="en-IE"/>
        </w:rPr>
        <w:t>E</w:t>
      </w:r>
      <w:r w:rsidRPr="00D33745">
        <w:rPr>
          <w:noProof/>
          <w:lang w:val="en-IE"/>
        </w:rPr>
        <w:t xml:space="preserve">ntry </w:t>
      </w:r>
      <w:r>
        <w:rPr>
          <w:noProof/>
          <w:lang w:val="en-IE"/>
        </w:rPr>
        <w:t>P</w:t>
      </w:r>
      <w:r w:rsidRPr="00D33745">
        <w:rPr>
          <w:noProof/>
          <w:lang w:val="en-IE"/>
        </w:rPr>
        <w:t xml:space="preserve">oint. Public authorities </w:t>
      </w:r>
      <w:r>
        <w:rPr>
          <w:noProof/>
          <w:lang w:val="en-IE"/>
        </w:rPr>
        <w:t>would</w:t>
      </w:r>
      <w:r w:rsidRPr="00D33745">
        <w:rPr>
          <w:noProof/>
          <w:lang w:val="en-IE"/>
        </w:rPr>
        <w:t xml:space="preserve"> benefit from higher certainty on data traceability and </w:t>
      </w:r>
      <w:r>
        <w:rPr>
          <w:noProof/>
          <w:lang w:val="en-IE"/>
        </w:rPr>
        <w:t xml:space="preserve">the </w:t>
      </w:r>
      <w:r w:rsidRPr="00D33745">
        <w:rPr>
          <w:noProof/>
          <w:lang w:val="en-IE"/>
        </w:rPr>
        <w:t xml:space="preserve">optimisation of data-sharing processes, which should in turn reduce </w:t>
      </w:r>
      <w:r>
        <w:rPr>
          <w:noProof/>
          <w:lang w:val="en-IE"/>
        </w:rPr>
        <w:t xml:space="preserve">the costs of </w:t>
      </w:r>
      <w:r w:rsidRPr="00D33745">
        <w:rPr>
          <w:noProof/>
          <w:lang w:val="en-IE"/>
        </w:rPr>
        <w:t>enfor</w:t>
      </w:r>
      <w:r>
        <w:rPr>
          <w:noProof/>
          <w:lang w:val="en-IE"/>
        </w:rPr>
        <w:t>cing</w:t>
      </w:r>
      <w:r w:rsidRPr="00D33745">
        <w:rPr>
          <w:noProof/>
          <w:lang w:val="en-IE"/>
        </w:rPr>
        <w:t xml:space="preserve"> STR rules. Public authorities </w:t>
      </w:r>
      <w:r>
        <w:rPr>
          <w:noProof/>
          <w:lang w:val="en-IE"/>
        </w:rPr>
        <w:t xml:space="preserve">that </w:t>
      </w:r>
      <w:r w:rsidRPr="00D33745">
        <w:rPr>
          <w:noProof/>
          <w:lang w:val="en-IE"/>
        </w:rPr>
        <w:t xml:space="preserve">put the system in place </w:t>
      </w:r>
      <w:r>
        <w:rPr>
          <w:noProof/>
          <w:lang w:val="en-IE"/>
        </w:rPr>
        <w:t xml:space="preserve">would </w:t>
      </w:r>
      <w:r w:rsidRPr="00D33745">
        <w:rPr>
          <w:noProof/>
          <w:lang w:val="en-IE"/>
        </w:rPr>
        <w:t xml:space="preserve">incur </w:t>
      </w:r>
      <w:r>
        <w:rPr>
          <w:noProof/>
          <w:lang w:val="en-IE"/>
        </w:rPr>
        <w:t xml:space="preserve">the </w:t>
      </w:r>
      <w:r w:rsidRPr="00D33745">
        <w:rPr>
          <w:noProof/>
          <w:lang w:val="en-IE"/>
        </w:rPr>
        <w:t xml:space="preserve">one-off costs </w:t>
      </w:r>
      <w:r>
        <w:rPr>
          <w:noProof/>
          <w:lang w:val="en-IE"/>
        </w:rPr>
        <w:t xml:space="preserve">of </w:t>
      </w:r>
      <w:r w:rsidRPr="00D33745">
        <w:rPr>
          <w:noProof/>
          <w:lang w:val="en-IE"/>
        </w:rPr>
        <w:t>adapt</w:t>
      </w:r>
      <w:r>
        <w:rPr>
          <w:noProof/>
          <w:lang w:val="en-IE"/>
        </w:rPr>
        <w:t xml:space="preserve">ing </w:t>
      </w:r>
      <w:r w:rsidRPr="00D33745">
        <w:rPr>
          <w:noProof/>
          <w:lang w:val="en-IE"/>
        </w:rPr>
        <w:t xml:space="preserve">to the new registration system and the </w:t>
      </w:r>
      <w:r>
        <w:rPr>
          <w:noProof/>
          <w:lang w:val="en-IE"/>
        </w:rPr>
        <w:t>S</w:t>
      </w:r>
      <w:r w:rsidRPr="00D33745">
        <w:rPr>
          <w:noProof/>
          <w:lang w:val="en-IE"/>
        </w:rPr>
        <w:t xml:space="preserve">ingle </w:t>
      </w:r>
      <w:r>
        <w:rPr>
          <w:noProof/>
          <w:lang w:val="en-IE"/>
        </w:rPr>
        <w:t>D</w:t>
      </w:r>
      <w:r w:rsidRPr="00D33745">
        <w:rPr>
          <w:noProof/>
          <w:lang w:val="en-IE"/>
        </w:rPr>
        <w:t xml:space="preserve">igital </w:t>
      </w:r>
      <w:r>
        <w:rPr>
          <w:noProof/>
          <w:lang w:val="en-IE"/>
        </w:rPr>
        <w:t>E</w:t>
      </w:r>
      <w:r w:rsidRPr="00D33745">
        <w:rPr>
          <w:noProof/>
          <w:lang w:val="en-IE"/>
        </w:rPr>
        <w:t xml:space="preserve">ntry </w:t>
      </w:r>
      <w:r>
        <w:rPr>
          <w:noProof/>
          <w:lang w:val="en-IE"/>
        </w:rPr>
        <w:t>P</w:t>
      </w:r>
      <w:r w:rsidRPr="00D33745">
        <w:rPr>
          <w:noProof/>
          <w:lang w:val="en-IE"/>
        </w:rPr>
        <w:t xml:space="preserve">oint, as well as </w:t>
      </w:r>
      <w:r>
        <w:rPr>
          <w:noProof/>
          <w:lang w:val="en-IE"/>
        </w:rPr>
        <w:t xml:space="preserve">the </w:t>
      </w:r>
      <w:r w:rsidRPr="00D33745">
        <w:rPr>
          <w:noProof/>
          <w:lang w:val="en-IE"/>
        </w:rPr>
        <w:t xml:space="preserve">costs </w:t>
      </w:r>
      <w:r>
        <w:rPr>
          <w:noProof/>
          <w:lang w:val="en-IE"/>
        </w:rPr>
        <w:t xml:space="preserve">of </w:t>
      </w:r>
      <w:r w:rsidRPr="00D33745">
        <w:rPr>
          <w:noProof/>
          <w:lang w:val="en-IE"/>
        </w:rPr>
        <w:t xml:space="preserve">setting up the IT infrastructure to receive the data (mainly hosting and maintenance costs). Hosts should on average benefit from </w:t>
      </w:r>
      <w:r>
        <w:rPr>
          <w:noProof/>
          <w:lang w:val="en-IE"/>
        </w:rPr>
        <w:t>saving time when</w:t>
      </w:r>
      <w:r w:rsidRPr="00D33745">
        <w:rPr>
          <w:noProof/>
          <w:lang w:val="en-IE"/>
        </w:rPr>
        <w:t xml:space="preserve"> completing registration procedures and</w:t>
      </w:r>
      <w:r>
        <w:rPr>
          <w:noProof/>
          <w:lang w:val="en-IE"/>
        </w:rPr>
        <w:t>,</w:t>
      </w:r>
      <w:r w:rsidRPr="00D33745">
        <w:rPr>
          <w:noProof/>
          <w:lang w:val="en-IE"/>
        </w:rPr>
        <w:t xml:space="preserve"> in the long term, from more proportionate STR rules. </w:t>
      </w:r>
      <w:r>
        <w:rPr>
          <w:noProof/>
          <w:lang w:val="en-IE"/>
        </w:rPr>
        <w:t>R</w:t>
      </w:r>
      <w:r w:rsidRPr="00D33745">
        <w:rPr>
          <w:noProof/>
          <w:lang w:val="en-IE"/>
        </w:rPr>
        <w:t xml:space="preserve">egistration will also </w:t>
      </w:r>
      <w:r>
        <w:rPr>
          <w:noProof/>
          <w:lang w:val="en-IE"/>
        </w:rPr>
        <w:t xml:space="preserve">entail </w:t>
      </w:r>
      <w:r w:rsidRPr="00D33745">
        <w:rPr>
          <w:noProof/>
          <w:lang w:val="en-IE"/>
        </w:rPr>
        <w:t>administrative costs.</w:t>
      </w:r>
    </w:p>
    <w:p w:rsidR="00D85359" w:rsidRPr="00D33745" w:rsidRDefault="00D85359" w:rsidP="00D85359">
      <w:pPr>
        <w:pBdr>
          <w:top w:val="nil"/>
          <w:left w:val="nil"/>
          <w:bottom w:val="nil"/>
          <w:right w:val="nil"/>
          <w:between w:val="nil"/>
          <w:bar w:val="nil"/>
        </w:pBdr>
        <w:spacing w:before="0" w:after="240"/>
        <w:rPr>
          <w:noProof/>
          <w:lang w:val="en-IE"/>
        </w:rPr>
      </w:pPr>
      <w:r>
        <w:rPr>
          <w:noProof/>
          <w:lang w:val="en-IE"/>
        </w:rPr>
        <w:t>The e</w:t>
      </w:r>
      <w:r w:rsidRPr="00D33745">
        <w:rPr>
          <w:noProof/>
          <w:lang w:val="en-IE"/>
        </w:rPr>
        <w:t xml:space="preserve">xpected </w:t>
      </w:r>
      <w:r w:rsidRPr="00D33745">
        <w:rPr>
          <w:b/>
          <w:noProof/>
          <w:lang w:val="en-IE"/>
        </w:rPr>
        <w:t>social impacts</w:t>
      </w:r>
      <w:r w:rsidRPr="00D33745">
        <w:rPr>
          <w:noProof/>
          <w:lang w:val="en-IE"/>
        </w:rPr>
        <w:t xml:space="preserve"> of option 2 include increased </w:t>
      </w:r>
      <w:r>
        <w:rPr>
          <w:noProof/>
          <w:lang w:val="en-IE"/>
        </w:rPr>
        <w:t xml:space="preserve">confidence on the part </w:t>
      </w:r>
      <w:r w:rsidRPr="00D33745">
        <w:rPr>
          <w:noProof/>
          <w:lang w:val="en-IE"/>
        </w:rPr>
        <w:t>of consumers and guests</w:t>
      </w:r>
      <w:r>
        <w:rPr>
          <w:noProof/>
          <w:lang w:val="en-IE"/>
        </w:rPr>
        <w:t>;</w:t>
      </w:r>
      <w:r w:rsidRPr="00D33745">
        <w:rPr>
          <w:noProof/>
          <w:lang w:val="en-IE"/>
        </w:rPr>
        <w:t xml:space="preserve"> a reduction of the number of illegal listings </w:t>
      </w:r>
      <w:r>
        <w:rPr>
          <w:noProof/>
          <w:lang w:val="en-IE"/>
        </w:rPr>
        <w:t xml:space="preserve">in places </w:t>
      </w:r>
      <w:r w:rsidRPr="00D33745">
        <w:rPr>
          <w:noProof/>
          <w:lang w:val="en-IE"/>
        </w:rPr>
        <w:t xml:space="preserve">where the </w:t>
      </w:r>
      <w:r>
        <w:rPr>
          <w:noProof/>
          <w:lang w:val="en-IE"/>
        </w:rPr>
        <w:t>P</w:t>
      </w:r>
      <w:r w:rsidRPr="00D33745">
        <w:rPr>
          <w:noProof/>
          <w:lang w:val="en-IE"/>
        </w:rPr>
        <w:t>roposal is implemented</w:t>
      </w:r>
      <w:r>
        <w:rPr>
          <w:noProof/>
          <w:lang w:val="en-IE"/>
        </w:rPr>
        <w:t>;</w:t>
      </w:r>
      <w:r w:rsidRPr="00D33745">
        <w:rPr>
          <w:noProof/>
          <w:lang w:val="en-IE"/>
        </w:rPr>
        <w:t xml:space="preserve"> better management of tourism flows</w:t>
      </w:r>
      <w:r>
        <w:rPr>
          <w:noProof/>
          <w:lang w:val="en-IE"/>
        </w:rPr>
        <w:t>;</w:t>
      </w:r>
      <w:r w:rsidRPr="00D33745">
        <w:rPr>
          <w:noProof/>
          <w:lang w:val="en-IE"/>
        </w:rPr>
        <w:t xml:space="preserve"> and public authorities</w:t>
      </w:r>
      <w:r>
        <w:rPr>
          <w:noProof/>
          <w:lang w:val="en-IE"/>
        </w:rPr>
        <w:t>’</w:t>
      </w:r>
      <w:r w:rsidRPr="00D33745">
        <w:rPr>
          <w:noProof/>
          <w:lang w:val="en-IE"/>
        </w:rPr>
        <w:t xml:space="preserve"> increased ability to assess and mitigate </w:t>
      </w:r>
      <w:r>
        <w:rPr>
          <w:noProof/>
          <w:lang w:val="en-IE"/>
        </w:rPr>
        <w:t xml:space="preserve">the </w:t>
      </w:r>
      <w:r w:rsidRPr="00D33745">
        <w:rPr>
          <w:noProof/>
          <w:lang w:val="en-IE"/>
        </w:rPr>
        <w:t xml:space="preserve">negative externalities of STRs. </w:t>
      </w:r>
      <w:r>
        <w:rPr>
          <w:noProof/>
          <w:lang w:val="en-IE"/>
        </w:rPr>
        <w:t>I</w:t>
      </w:r>
      <w:r w:rsidRPr="00D33745">
        <w:rPr>
          <w:noProof/>
          <w:lang w:val="en-IE"/>
        </w:rPr>
        <w:t xml:space="preserve">t </w:t>
      </w:r>
      <w:r>
        <w:rPr>
          <w:noProof/>
          <w:lang w:val="en-IE"/>
        </w:rPr>
        <w:t xml:space="preserve">would also </w:t>
      </w:r>
      <w:r w:rsidRPr="00D33745">
        <w:rPr>
          <w:noProof/>
          <w:lang w:val="en-IE"/>
        </w:rPr>
        <w:t>provide national statistics offices</w:t>
      </w:r>
      <w:r>
        <w:rPr>
          <w:noProof/>
          <w:lang w:val="en-IE"/>
        </w:rPr>
        <w:t xml:space="preserve">, </w:t>
      </w:r>
      <w:r w:rsidRPr="00D33745">
        <w:rPr>
          <w:noProof/>
          <w:lang w:val="en-IE"/>
        </w:rPr>
        <w:t xml:space="preserve">Eurostat and researchers with aggregated data on STRs. Option 2 </w:t>
      </w:r>
      <w:r>
        <w:rPr>
          <w:noProof/>
          <w:lang w:val="en-IE"/>
        </w:rPr>
        <w:t xml:space="preserve">could also be </w:t>
      </w:r>
      <w:r w:rsidRPr="00D33745">
        <w:rPr>
          <w:noProof/>
          <w:lang w:val="en-IE"/>
        </w:rPr>
        <w:t xml:space="preserve">expected to have an impact on fundamental rights, as explained below. </w:t>
      </w:r>
    </w:p>
    <w:p w:rsidR="00D85359" w:rsidRPr="00D33745" w:rsidRDefault="00D85359" w:rsidP="00D85359">
      <w:pPr>
        <w:pBdr>
          <w:top w:val="nil"/>
          <w:left w:val="nil"/>
          <w:bottom w:val="nil"/>
          <w:right w:val="nil"/>
          <w:between w:val="nil"/>
          <w:bar w:val="nil"/>
        </w:pBdr>
        <w:spacing w:before="0" w:after="240"/>
        <w:rPr>
          <w:noProof/>
          <w:lang w:val="en-IE"/>
        </w:rPr>
      </w:pPr>
      <w:r w:rsidRPr="00D33745">
        <w:rPr>
          <w:noProof/>
          <w:lang w:val="en-IE"/>
        </w:rPr>
        <w:t xml:space="preserve">In terms of </w:t>
      </w:r>
      <w:r w:rsidRPr="00D33745">
        <w:rPr>
          <w:b/>
          <w:noProof/>
          <w:lang w:val="en-IE"/>
        </w:rPr>
        <w:t>environmental impacts</w:t>
      </w:r>
      <w:r w:rsidRPr="00D33745">
        <w:rPr>
          <w:noProof/>
          <w:lang w:val="en-IE"/>
        </w:rPr>
        <w:t>, option 2 is expected to increase public authorities</w:t>
      </w:r>
      <w:r>
        <w:rPr>
          <w:noProof/>
          <w:lang w:val="en-IE"/>
        </w:rPr>
        <w:t>’ ability</w:t>
      </w:r>
      <w:r w:rsidRPr="00D33745">
        <w:rPr>
          <w:noProof/>
          <w:lang w:val="en-IE"/>
        </w:rPr>
        <w:t xml:space="preserve"> to assess and mitigate the ecological footprint of STR activity, and </w:t>
      </w:r>
      <w:r>
        <w:rPr>
          <w:noProof/>
          <w:lang w:val="en-IE"/>
        </w:rPr>
        <w:t xml:space="preserve">to </w:t>
      </w:r>
      <w:r w:rsidRPr="00D33745">
        <w:rPr>
          <w:noProof/>
          <w:lang w:val="en-IE"/>
        </w:rPr>
        <w:t xml:space="preserve">help public authorities to attract STRs </w:t>
      </w:r>
      <w:r>
        <w:rPr>
          <w:noProof/>
          <w:lang w:val="en-IE"/>
        </w:rPr>
        <w:t>to</w:t>
      </w:r>
      <w:r w:rsidRPr="00D33745">
        <w:rPr>
          <w:noProof/>
          <w:lang w:val="en-IE"/>
        </w:rPr>
        <w:t xml:space="preserve"> rural areas where STRs can have a positive impact</w:t>
      </w:r>
      <w:r>
        <w:rPr>
          <w:noProof/>
          <w:lang w:val="en-IE"/>
        </w:rPr>
        <w:t xml:space="preserve"> (e.g. </w:t>
      </w:r>
      <w:r w:rsidRPr="00D33745">
        <w:rPr>
          <w:noProof/>
          <w:lang w:val="en-IE"/>
        </w:rPr>
        <w:t>invest</w:t>
      </w:r>
      <w:r>
        <w:rPr>
          <w:noProof/>
          <w:lang w:val="en-IE"/>
        </w:rPr>
        <w:t>ing</w:t>
      </w:r>
      <w:r w:rsidRPr="00D33745">
        <w:rPr>
          <w:noProof/>
          <w:lang w:val="en-IE"/>
        </w:rPr>
        <w:t xml:space="preserve"> in the renovation </w:t>
      </w:r>
      <w:r>
        <w:rPr>
          <w:noProof/>
          <w:lang w:val="en-IE"/>
        </w:rPr>
        <w:t>and greening</w:t>
      </w:r>
      <w:r w:rsidRPr="00D33745">
        <w:rPr>
          <w:noProof/>
          <w:lang w:val="en-IE"/>
        </w:rPr>
        <w:t xml:space="preserve"> of buildings</w:t>
      </w:r>
      <w:r>
        <w:rPr>
          <w:noProof/>
          <w:lang w:val="en-IE"/>
        </w:rPr>
        <w:t>)</w:t>
      </w:r>
      <w:r w:rsidRPr="00D33745">
        <w:rPr>
          <w:noProof/>
          <w:lang w:val="en-IE"/>
        </w:rPr>
        <w:t xml:space="preserve">. </w:t>
      </w:r>
      <w:r>
        <w:rPr>
          <w:noProof/>
          <w:lang w:val="en-IE"/>
        </w:rPr>
        <w:t>The</w:t>
      </w:r>
      <w:r w:rsidRPr="00D33745" w:rsidDel="00306338">
        <w:rPr>
          <w:noProof/>
          <w:lang w:val="en-IE"/>
        </w:rPr>
        <w:t xml:space="preserve"> </w:t>
      </w:r>
      <w:r w:rsidR="00306338">
        <w:rPr>
          <w:noProof/>
          <w:lang w:val="en-IE"/>
        </w:rPr>
        <w:t>environmental</w:t>
      </w:r>
      <w:r w:rsidRPr="00D33745">
        <w:rPr>
          <w:noProof/>
          <w:lang w:val="en-IE"/>
        </w:rPr>
        <w:t xml:space="preserve"> impacts cannot be quantified</w:t>
      </w:r>
      <w:r>
        <w:rPr>
          <w:noProof/>
          <w:lang w:val="en-IE"/>
        </w:rPr>
        <w:t>, because</w:t>
      </w:r>
      <w:r w:rsidRPr="00D33745">
        <w:rPr>
          <w:noProof/>
          <w:lang w:val="en-IE"/>
        </w:rPr>
        <w:t xml:space="preserve"> the</w:t>
      </w:r>
      <w:r>
        <w:rPr>
          <w:noProof/>
          <w:lang w:val="en-IE"/>
        </w:rPr>
        <w:t>y</w:t>
      </w:r>
      <w:r w:rsidRPr="00D33745">
        <w:rPr>
          <w:noProof/>
          <w:lang w:val="en-IE"/>
        </w:rPr>
        <w:t xml:space="preserve"> would only materiali</w:t>
      </w:r>
      <w:r>
        <w:rPr>
          <w:noProof/>
          <w:lang w:val="en-IE"/>
        </w:rPr>
        <w:t>s</w:t>
      </w:r>
      <w:r w:rsidRPr="00D33745">
        <w:rPr>
          <w:noProof/>
          <w:lang w:val="en-IE"/>
        </w:rPr>
        <w:t>e whe</w:t>
      </w:r>
      <w:r>
        <w:rPr>
          <w:noProof/>
          <w:lang w:val="en-IE"/>
        </w:rPr>
        <w:t>n</w:t>
      </w:r>
      <w:r w:rsidRPr="00D33745">
        <w:rPr>
          <w:noProof/>
          <w:lang w:val="en-IE"/>
        </w:rPr>
        <w:t xml:space="preserve"> public authorities use the collected data to design green policies.</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Regulatory fitness and simplification</w:t>
      </w:r>
    </w:p>
    <w:p w:rsidR="00D85359" w:rsidRPr="00D33745" w:rsidRDefault="00D85359" w:rsidP="00D85359">
      <w:pPr>
        <w:pBdr>
          <w:top w:val="nil"/>
          <w:left w:val="nil"/>
          <w:bottom w:val="nil"/>
          <w:right w:val="nil"/>
          <w:between w:val="nil"/>
          <w:bar w:val="nil"/>
        </w:pBdr>
        <w:spacing w:before="0" w:after="240"/>
        <w:rPr>
          <w:rFonts w:eastAsia="Arial Unicode MS"/>
          <w:noProof/>
          <w:lang w:val="en-IE"/>
        </w:rPr>
      </w:pPr>
      <w:r w:rsidRPr="00D33745">
        <w:rPr>
          <w:rFonts w:eastAsia="Arial Unicode MS"/>
          <w:noProof/>
          <w:lang w:val="en-IE"/>
        </w:rPr>
        <w:t xml:space="preserve">REFIT </w:t>
      </w:r>
      <w:r>
        <w:rPr>
          <w:rFonts w:eastAsia="Arial Unicode MS"/>
          <w:noProof/>
          <w:lang w:val="en-IE"/>
        </w:rPr>
        <w:t>(t</w:t>
      </w:r>
      <w:r w:rsidRPr="00881D5C">
        <w:rPr>
          <w:rFonts w:eastAsia="Arial Unicode MS"/>
          <w:noProof/>
          <w:lang w:val="en-IE"/>
        </w:rPr>
        <w:t>he European Commission's regulatory fitness and performance programme</w:t>
      </w:r>
      <w:r>
        <w:rPr>
          <w:rFonts w:eastAsia="Arial Unicode MS"/>
          <w:noProof/>
          <w:lang w:val="en-IE"/>
        </w:rPr>
        <w:t>)</w:t>
      </w:r>
      <w:r w:rsidRPr="00881D5C">
        <w:rPr>
          <w:rFonts w:eastAsia="Arial Unicode MS"/>
          <w:noProof/>
          <w:lang w:val="en-IE"/>
        </w:rPr>
        <w:t xml:space="preserve"> </w:t>
      </w:r>
      <w:r w:rsidRPr="00D33745">
        <w:rPr>
          <w:rFonts w:eastAsia="Arial Unicode MS"/>
          <w:noProof/>
          <w:lang w:val="en-IE"/>
        </w:rPr>
        <w:t>is not applicable to th</w:t>
      </w:r>
      <w:r>
        <w:rPr>
          <w:rFonts w:eastAsia="Arial Unicode MS"/>
          <w:noProof/>
          <w:lang w:val="en-IE"/>
        </w:rPr>
        <w:t>e</w:t>
      </w:r>
      <w:r w:rsidRPr="00D33745">
        <w:rPr>
          <w:rFonts w:eastAsia="Arial Unicode MS"/>
          <w:noProof/>
          <w:lang w:val="en-IE"/>
        </w:rPr>
        <w:t xml:space="preserve"> </w:t>
      </w:r>
      <w:r>
        <w:rPr>
          <w:rFonts w:eastAsia="Arial Unicode MS"/>
          <w:noProof/>
          <w:lang w:val="en-IE"/>
        </w:rPr>
        <w:t>P</w:t>
      </w:r>
      <w:r w:rsidRPr="00D33745">
        <w:rPr>
          <w:rFonts w:eastAsia="Arial Unicode MS"/>
          <w:noProof/>
          <w:lang w:val="en-IE"/>
        </w:rPr>
        <w:t>roposal.</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Fundamental rights</w:t>
      </w:r>
    </w:p>
    <w:p w:rsidR="00D85359" w:rsidRPr="00D33745" w:rsidRDefault="00D85359" w:rsidP="00D85359">
      <w:pPr>
        <w:pBdr>
          <w:top w:val="nil"/>
          <w:left w:val="nil"/>
          <w:bottom w:val="nil"/>
          <w:right w:val="nil"/>
          <w:between w:val="nil"/>
          <w:bar w:val="nil"/>
        </w:pBdr>
        <w:spacing w:before="0" w:after="240"/>
        <w:rPr>
          <w:rFonts w:eastAsia="Arial Unicode MS"/>
          <w:noProof/>
          <w:lang w:val="en-IE"/>
        </w:rPr>
      </w:pPr>
      <w:r w:rsidRPr="00D33745">
        <w:rPr>
          <w:rFonts w:eastAsia="Arial Unicode MS"/>
          <w:noProof/>
          <w:lang w:val="en-IE"/>
        </w:rPr>
        <w:t>Th</w:t>
      </w:r>
      <w:r>
        <w:rPr>
          <w:rFonts w:eastAsia="Arial Unicode MS"/>
          <w:noProof/>
          <w:lang w:val="en-IE"/>
        </w:rPr>
        <w:t>e</w:t>
      </w:r>
      <w:r w:rsidRPr="00D33745">
        <w:rPr>
          <w:rFonts w:eastAsia="Arial Unicode MS"/>
          <w:noProof/>
          <w:lang w:val="en-IE"/>
        </w:rPr>
        <w:t xml:space="preserve"> </w:t>
      </w:r>
      <w:r>
        <w:rPr>
          <w:rFonts w:eastAsia="Arial Unicode MS"/>
          <w:noProof/>
          <w:lang w:val="en-IE"/>
        </w:rPr>
        <w:t>P</w:t>
      </w:r>
      <w:r w:rsidRPr="00D33745">
        <w:rPr>
          <w:rFonts w:eastAsia="Arial Unicode MS"/>
          <w:noProof/>
          <w:lang w:val="en-IE"/>
        </w:rPr>
        <w:t xml:space="preserve">roposal will ensure that the fundamental right of the protection of personal data, </w:t>
      </w:r>
      <w:r>
        <w:rPr>
          <w:rFonts w:eastAsia="Arial Unicode MS"/>
          <w:noProof/>
          <w:lang w:val="en-IE"/>
        </w:rPr>
        <w:t>which is</w:t>
      </w:r>
      <w:r w:rsidRPr="00D33745">
        <w:rPr>
          <w:rFonts w:eastAsia="Arial Unicode MS"/>
          <w:noProof/>
          <w:lang w:val="en-IE"/>
        </w:rPr>
        <w:t xml:space="preserve"> guaranteed under Article 8 of the Charter of </w:t>
      </w:r>
      <w:r>
        <w:rPr>
          <w:rFonts w:eastAsia="Arial Unicode MS"/>
          <w:noProof/>
          <w:lang w:val="en-IE"/>
        </w:rPr>
        <w:t>F</w:t>
      </w:r>
      <w:r w:rsidRPr="00D33745">
        <w:rPr>
          <w:rFonts w:eastAsia="Arial Unicode MS"/>
          <w:noProof/>
          <w:lang w:val="en-IE"/>
        </w:rPr>
        <w:t xml:space="preserve">undamental </w:t>
      </w:r>
      <w:r>
        <w:rPr>
          <w:rFonts w:eastAsia="Arial Unicode MS"/>
          <w:noProof/>
          <w:lang w:val="en-IE"/>
        </w:rPr>
        <w:t>R</w:t>
      </w:r>
      <w:r w:rsidRPr="00D33745">
        <w:rPr>
          <w:rFonts w:eastAsia="Arial Unicode MS"/>
          <w:noProof/>
          <w:lang w:val="en-IE"/>
        </w:rPr>
        <w:t>ights of the European Union, is safeguarded. The processing of personal data under th</w:t>
      </w:r>
      <w:r>
        <w:rPr>
          <w:rFonts w:eastAsia="Arial Unicode MS"/>
          <w:noProof/>
          <w:lang w:val="en-IE"/>
        </w:rPr>
        <w:t>e</w:t>
      </w:r>
      <w:r w:rsidRPr="00D33745">
        <w:rPr>
          <w:rFonts w:eastAsia="Arial Unicode MS"/>
          <w:noProof/>
          <w:lang w:val="en-IE"/>
        </w:rPr>
        <w:t xml:space="preserve"> </w:t>
      </w:r>
      <w:r>
        <w:rPr>
          <w:rFonts w:eastAsia="Arial Unicode MS"/>
          <w:noProof/>
          <w:lang w:val="en-IE"/>
        </w:rPr>
        <w:t>P</w:t>
      </w:r>
      <w:r w:rsidRPr="00D33745">
        <w:rPr>
          <w:rFonts w:eastAsia="Arial Unicode MS"/>
          <w:noProof/>
          <w:lang w:val="en-IE"/>
        </w:rPr>
        <w:t>roposal is necessary and proportionate to achieve the objectives described above.</w:t>
      </w:r>
    </w:p>
    <w:p w:rsidR="007F180F" w:rsidRPr="00D33745" w:rsidRDefault="007F180F" w:rsidP="007D1438">
      <w:pPr>
        <w:pStyle w:val="ManualHeading1"/>
        <w:rPr>
          <w:noProof/>
          <w:lang w:val="en-IE"/>
        </w:rPr>
      </w:pPr>
      <w:r w:rsidRPr="00D33745">
        <w:rPr>
          <w:noProof/>
          <w:lang w:val="en-IE"/>
        </w:rPr>
        <w:t>4.</w:t>
      </w:r>
      <w:r w:rsidRPr="00D33745">
        <w:rPr>
          <w:noProof/>
          <w:lang w:val="en-IE"/>
        </w:rPr>
        <w:tab/>
        <w:t>BUDGETARY IMPLICATIONS</w:t>
      </w:r>
    </w:p>
    <w:p w:rsidR="00D85359" w:rsidRPr="00D33745" w:rsidRDefault="00D85359" w:rsidP="00D85359">
      <w:pPr>
        <w:spacing w:before="0" w:after="200"/>
        <w:rPr>
          <w:noProof/>
          <w:lang w:val="en-IE"/>
        </w:rPr>
      </w:pPr>
      <w:r w:rsidRPr="00D33745">
        <w:rPr>
          <w:noProof/>
          <w:lang w:val="en-IE"/>
        </w:rPr>
        <w:t>Th</w:t>
      </w:r>
      <w:r>
        <w:rPr>
          <w:noProof/>
          <w:lang w:val="en-IE"/>
        </w:rPr>
        <w:t>e</w:t>
      </w:r>
      <w:r w:rsidRPr="00D33745">
        <w:rPr>
          <w:noProof/>
          <w:lang w:val="en-IE"/>
        </w:rPr>
        <w:t xml:space="preserve"> </w:t>
      </w:r>
      <w:r>
        <w:rPr>
          <w:noProof/>
          <w:lang w:val="en-IE"/>
        </w:rPr>
        <w:t>P</w:t>
      </w:r>
      <w:r w:rsidRPr="00D33745">
        <w:rPr>
          <w:noProof/>
          <w:lang w:val="en-IE"/>
        </w:rPr>
        <w:t xml:space="preserve">roposal does not have any implications for the </w:t>
      </w:r>
      <w:r>
        <w:rPr>
          <w:noProof/>
          <w:lang w:val="en-IE"/>
        </w:rPr>
        <w:t xml:space="preserve">EU’s </w:t>
      </w:r>
      <w:r w:rsidRPr="00D33745">
        <w:rPr>
          <w:noProof/>
          <w:lang w:val="en-IE"/>
        </w:rPr>
        <w:t>budget.</w:t>
      </w:r>
    </w:p>
    <w:p w:rsidR="007F180F" w:rsidRPr="00D33745" w:rsidRDefault="007F180F" w:rsidP="007D1438">
      <w:pPr>
        <w:pStyle w:val="ManualHeading1"/>
        <w:rPr>
          <w:noProof/>
          <w:lang w:val="en-IE"/>
        </w:rPr>
      </w:pPr>
      <w:r w:rsidRPr="00D33745">
        <w:rPr>
          <w:noProof/>
          <w:lang w:val="en-IE"/>
        </w:rPr>
        <w:t>5.</w:t>
      </w:r>
      <w:r w:rsidRPr="00D33745">
        <w:rPr>
          <w:noProof/>
          <w:lang w:val="en-IE"/>
        </w:rPr>
        <w:tab/>
        <w:t>OTHER ELEMENTS</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Implementation plans and monitoring, evaluation and reporting arrangements</w:t>
      </w:r>
    </w:p>
    <w:p w:rsidR="00D85359" w:rsidRDefault="00D85359" w:rsidP="00D85359">
      <w:pPr>
        <w:adjustRightInd w:val="0"/>
        <w:snapToGrid w:val="0"/>
        <w:rPr>
          <w:noProof/>
          <w:szCs w:val="24"/>
          <w:lang w:val="en-IE"/>
        </w:rPr>
      </w:pPr>
      <w:r w:rsidRPr="00D33745">
        <w:rPr>
          <w:noProof/>
          <w:szCs w:val="24"/>
          <w:lang w:val="en-IE"/>
        </w:rPr>
        <w:t xml:space="preserve">After the adoption of </w:t>
      </w:r>
      <w:r>
        <w:rPr>
          <w:noProof/>
          <w:szCs w:val="24"/>
          <w:lang w:val="en-IE"/>
        </w:rPr>
        <w:t>this Regulation</w:t>
      </w:r>
      <w:r w:rsidRPr="00D33745">
        <w:rPr>
          <w:noProof/>
          <w:szCs w:val="24"/>
          <w:lang w:val="en-IE"/>
        </w:rPr>
        <w:t xml:space="preserve">, </w:t>
      </w:r>
      <w:r>
        <w:rPr>
          <w:noProof/>
          <w:szCs w:val="24"/>
          <w:lang w:val="en-IE"/>
        </w:rPr>
        <w:t xml:space="preserve">Member States would have </w:t>
      </w:r>
      <w:r w:rsidRPr="00D33745">
        <w:rPr>
          <w:noProof/>
          <w:szCs w:val="24"/>
          <w:lang w:val="en-IE"/>
        </w:rPr>
        <w:t>a transition period of 2 years to map the</w:t>
      </w:r>
      <w:r>
        <w:rPr>
          <w:noProof/>
          <w:szCs w:val="24"/>
          <w:lang w:val="en-IE"/>
        </w:rPr>
        <w:t xml:space="preserve"> relevant</w:t>
      </w:r>
      <w:r w:rsidRPr="00D33745">
        <w:rPr>
          <w:noProof/>
          <w:szCs w:val="24"/>
          <w:lang w:val="en-IE"/>
        </w:rPr>
        <w:t xml:space="preserve"> local authorities, create or adapt local/national existing registration systems (connecting local registration schemes, if any) and set up the IT infrastructure at national level to streamline data</w:t>
      </w:r>
      <w:r>
        <w:rPr>
          <w:noProof/>
          <w:szCs w:val="24"/>
          <w:lang w:val="en-IE"/>
        </w:rPr>
        <w:t xml:space="preserve"> </w:t>
      </w:r>
      <w:r w:rsidRPr="00D33745">
        <w:rPr>
          <w:noProof/>
          <w:szCs w:val="24"/>
          <w:lang w:val="en-IE"/>
        </w:rPr>
        <w:t xml:space="preserve">sharing with online platforms (through the </w:t>
      </w:r>
      <w:r w:rsidRPr="00A66C13">
        <w:rPr>
          <w:iCs/>
          <w:noProof/>
          <w:szCs w:val="24"/>
          <w:lang w:val="en-IE"/>
        </w:rPr>
        <w:t>Single Digital Entry Point</w:t>
      </w:r>
      <w:r w:rsidRPr="00D33745">
        <w:rPr>
          <w:noProof/>
          <w:szCs w:val="24"/>
          <w:lang w:val="en-IE"/>
        </w:rPr>
        <w:t xml:space="preserve">). The first evaluation </w:t>
      </w:r>
      <w:r>
        <w:rPr>
          <w:noProof/>
          <w:szCs w:val="24"/>
          <w:lang w:val="en-IE"/>
        </w:rPr>
        <w:t xml:space="preserve">will take place </w:t>
      </w:r>
      <w:r w:rsidRPr="00D33745">
        <w:rPr>
          <w:noProof/>
          <w:szCs w:val="24"/>
          <w:lang w:val="en-IE"/>
        </w:rPr>
        <w:t xml:space="preserve">no earlier than </w:t>
      </w:r>
      <w:r w:rsidR="000C2FC2">
        <w:rPr>
          <w:noProof/>
          <w:szCs w:val="24"/>
          <w:lang w:val="en-IE"/>
        </w:rPr>
        <w:t>five</w:t>
      </w:r>
      <w:r w:rsidR="000C2FC2" w:rsidRPr="00D33745">
        <w:rPr>
          <w:noProof/>
          <w:szCs w:val="24"/>
          <w:lang w:val="en-IE"/>
        </w:rPr>
        <w:t xml:space="preserve"> </w:t>
      </w:r>
      <w:r w:rsidRPr="00D33745">
        <w:rPr>
          <w:noProof/>
          <w:szCs w:val="24"/>
          <w:lang w:val="en-IE"/>
        </w:rPr>
        <w:t>years after the</w:t>
      </w:r>
      <w:r w:rsidR="007B6734">
        <w:rPr>
          <w:noProof/>
          <w:szCs w:val="24"/>
          <w:lang w:val="en-IE"/>
        </w:rPr>
        <w:t xml:space="preserve"> date of application</w:t>
      </w:r>
      <w:r w:rsidRPr="00D33745">
        <w:rPr>
          <w:noProof/>
          <w:szCs w:val="24"/>
          <w:lang w:val="en-IE"/>
        </w:rPr>
        <w:t xml:space="preserve"> of the Regulation (i.e. </w:t>
      </w:r>
      <w:r w:rsidR="000C2FC2">
        <w:rPr>
          <w:noProof/>
          <w:szCs w:val="24"/>
          <w:lang w:val="en-IE"/>
        </w:rPr>
        <w:t>five</w:t>
      </w:r>
      <w:r w:rsidR="000C2FC2" w:rsidRPr="00D33745">
        <w:rPr>
          <w:noProof/>
          <w:szCs w:val="24"/>
          <w:lang w:val="en-IE"/>
        </w:rPr>
        <w:t xml:space="preserve"> </w:t>
      </w:r>
      <w:r w:rsidRPr="00D33745">
        <w:rPr>
          <w:noProof/>
          <w:szCs w:val="24"/>
          <w:lang w:val="en-IE"/>
        </w:rPr>
        <w:t>years after the initial two</w:t>
      </w:r>
      <w:r>
        <w:rPr>
          <w:noProof/>
          <w:szCs w:val="24"/>
          <w:lang w:val="en-IE"/>
        </w:rPr>
        <w:t>-</w:t>
      </w:r>
      <w:r w:rsidRPr="00D33745">
        <w:rPr>
          <w:noProof/>
          <w:szCs w:val="24"/>
          <w:lang w:val="en-IE"/>
        </w:rPr>
        <w:t xml:space="preserve">year transition period). </w:t>
      </w:r>
    </w:p>
    <w:p w:rsidR="00D85359" w:rsidRPr="00D33745" w:rsidRDefault="00D85359" w:rsidP="00D85359">
      <w:pPr>
        <w:adjustRightInd w:val="0"/>
        <w:snapToGrid w:val="0"/>
        <w:rPr>
          <w:noProof/>
          <w:szCs w:val="24"/>
          <w:lang w:val="en-IE"/>
        </w:rPr>
      </w:pPr>
      <w:r w:rsidRPr="00D33745">
        <w:rPr>
          <w:noProof/>
          <w:szCs w:val="24"/>
          <w:lang w:val="en-IE"/>
        </w:rPr>
        <w:t>The Commission will monitor the implementation</w:t>
      </w:r>
      <w:r>
        <w:rPr>
          <w:noProof/>
          <w:szCs w:val="24"/>
          <w:lang w:val="en-IE"/>
        </w:rPr>
        <w:t xml:space="preserve"> and</w:t>
      </w:r>
      <w:r w:rsidRPr="00D33745">
        <w:rPr>
          <w:noProof/>
          <w:szCs w:val="24"/>
          <w:lang w:val="en-IE"/>
        </w:rPr>
        <w:t xml:space="preserve"> application of</w:t>
      </w:r>
      <w:r>
        <w:rPr>
          <w:noProof/>
          <w:szCs w:val="24"/>
          <w:lang w:val="en-IE"/>
        </w:rPr>
        <w:t>,</w:t>
      </w:r>
      <w:r w:rsidRPr="00D33745">
        <w:rPr>
          <w:noProof/>
          <w:szCs w:val="24"/>
          <w:lang w:val="en-IE"/>
        </w:rPr>
        <w:t xml:space="preserve"> and compliance with</w:t>
      </w:r>
      <w:r>
        <w:rPr>
          <w:noProof/>
          <w:szCs w:val="24"/>
          <w:lang w:val="en-IE"/>
        </w:rPr>
        <w:t>,</w:t>
      </w:r>
      <w:r w:rsidRPr="00D33745">
        <w:rPr>
          <w:noProof/>
          <w:szCs w:val="24"/>
          <w:lang w:val="en-IE"/>
        </w:rPr>
        <w:t xml:space="preserve"> the new system in order to assess its effectiveness. </w:t>
      </w:r>
      <w:r>
        <w:rPr>
          <w:noProof/>
          <w:szCs w:val="24"/>
          <w:lang w:val="en-IE"/>
        </w:rPr>
        <w:t xml:space="preserve">The effectiveness of the new rules will be assessed </w:t>
      </w:r>
      <w:r w:rsidRPr="00D33745">
        <w:rPr>
          <w:noProof/>
          <w:szCs w:val="24"/>
          <w:lang w:val="en-IE"/>
        </w:rPr>
        <w:t xml:space="preserve">mainly (but not exclusively) on </w:t>
      </w:r>
      <w:r>
        <w:rPr>
          <w:noProof/>
          <w:szCs w:val="24"/>
          <w:lang w:val="en-IE"/>
        </w:rPr>
        <w:t xml:space="preserve">the basis of </w:t>
      </w:r>
      <w:r w:rsidRPr="00D33745">
        <w:rPr>
          <w:noProof/>
          <w:szCs w:val="24"/>
          <w:lang w:val="en-IE"/>
        </w:rPr>
        <w:t>a set of key performance indicators</w:t>
      </w:r>
      <w:r>
        <w:rPr>
          <w:noProof/>
          <w:szCs w:val="24"/>
          <w:lang w:val="en-IE"/>
        </w:rPr>
        <w:t xml:space="preserve">. </w:t>
      </w:r>
    </w:p>
    <w:p w:rsidR="007F180F" w:rsidRPr="00D33745" w:rsidRDefault="007F180F" w:rsidP="007D1438">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Explanatory documents (for directives)</w:t>
      </w:r>
    </w:p>
    <w:p w:rsidR="00D85359" w:rsidRPr="00D33745" w:rsidRDefault="00D85359" w:rsidP="00D85359">
      <w:pPr>
        <w:pBdr>
          <w:top w:val="nil"/>
          <w:left w:val="nil"/>
          <w:bottom w:val="nil"/>
          <w:right w:val="nil"/>
          <w:between w:val="nil"/>
          <w:bar w:val="nil"/>
        </w:pBdr>
        <w:spacing w:before="0" w:after="240"/>
        <w:rPr>
          <w:rFonts w:eastAsia="Arial Unicode MS"/>
          <w:noProof/>
          <w:lang w:val="en-IE"/>
        </w:rPr>
      </w:pPr>
      <w:r w:rsidRPr="00D33745">
        <w:rPr>
          <w:rFonts w:eastAsia="Arial Unicode MS"/>
          <w:noProof/>
          <w:lang w:val="en-IE"/>
        </w:rPr>
        <w:t>Not applicable.</w:t>
      </w:r>
    </w:p>
    <w:p w:rsidR="00D85359" w:rsidRPr="00D33745" w:rsidRDefault="00D85359" w:rsidP="00D85359">
      <w:pPr>
        <w:pStyle w:val="ManualHeading2"/>
        <w:rPr>
          <w:rFonts w:eastAsia="Arial Unicode MS"/>
          <w:noProof/>
          <w:u w:color="000000"/>
          <w:bdr w:val="nil"/>
          <w:lang w:val="en-IE" w:eastAsia="en-GB"/>
        </w:rPr>
      </w:pPr>
      <w:r w:rsidRPr="00D33745">
        <w:rPr>
          <w:rFonts w:eastAsia="Arial Unicode MS"/>
          <w:noProof/>
          <w:u w:color="000000"/>
          <w:bdr w:val="nil"/>
          <w:lang w:val="en-IE" w:eastAsia="en-GB"/>
        </w:rPr>
        <w:t>•</w:t>
      </w:r>
      <w:r w:rsidRPr="00D33745">
        <w:rPr>
          <w:rFonts w:eastAsia="Arial Unicode MS"/>
          <w:noProof/>
          <w:u w:color="000000"/>
          <w:bdr w:val="nil"/>
          <w:lang w:val="en-IE" w:eastAsia="en-GB"/>
        </w:rPr>
        <w:tab/>
        <w:t xml:space="preserve">Detailed explanation of the specific provisions of the </w:t>
      </w:r>
      <w:r>
        <w:rPr>
          <w:rFonts w:eastAsia="Arial Unicode MS"/>
          <w:noProof/>
          <w:u w:color="000000"/>
          <w:bdr w:val="nil"/>
          <w:lang w:val="en-IE" w:eastAsia="en-GB"/>
        </w:rPr>
        <w:t>P</w:t>
      </w:r>
      <w:r w:rsidRPr="00D33745">
        <w:rPr>
          <w:rFonts w:eastAsia="Arial Unicode MS"/>
          <w:noProof/>
          <w:u w:color="000000"/>
          <w:bdr w:val="nil"/>
          <w:lang w:val="en-IE" w:eastAsia="en-GB"/>
        </w:rPr>
        <w:t>roposal</w:t>
      </w:r>
    </w:p>
    <w:p w:rsidR="00D85359" w:rsidRPr="00D33745" w:rsidRDefault="00D85359" w:rsidP="00D85359">
      <w:pPr>
        <w:pBdr>
          <w:top w:val="nil"/>
          <w:left w:val="nil"/>
          <w:bottom w:val="nil"/>
          <w:right w:val="nil"/>
          <w:between w:val="nil"/>
          <w:bar w:val="nil"/>
        </w:pBdr>
        <w:spacing w:before="0" w:after="240"/>
        <w:rPr>
          <w:noProof/>
          <w:lang w:val="en-IE"/>
        </w:rPr>
      </w:pPr>
      <w:r w:rsidRPr="00D33745">
        <w:rPr>
          <w:rFonts w:eastAsia="Arial Unicode MS"/>
          <w:noProof/>
          <w:lang w:val="en-IE"/>
        </w:rPr>
        <w:t xml:space="preserve">The first </w:t>
      </w:r>
      <w:r>
        <w:rPr>
          <w:rFonts w:eastAsia="Arial Unicode MS"/>
          <w:noProof/>
          <w:lang w:val="en-IE"/>
        </w:rPr>
        <w:t>C</w:t>
      </w:r>
      <w:r w:rsidRPr="00D33745">
        <w:rPr>
          <w:rFonts w:eastAsia="Arial Unicode MS"/>
          <w:noProof/>
          <w:lang w:val="en-IE"/>
        </w:rPr>
        <w:t>hapter sets out general provisions. Article 1 establishes the subject matter of th</w:t>
      </w:r>
      <w:r>
        <w:rPr>
          <w:rFonts w:eastAsia="Arial Unicode MS"/>
          <w:noProof/>
          <w:lang w:val="en-IE"/>
        </w:rPr>
        <w:t>e proposed Regulation (i.e.</w:t>
      </w:r>
      <w:r w:rsidRPr="00D33745">
        <w:rPr>
          <w:rFonts w:eastAsia="Arial Unicode MS"/>
          <w:noProof/>
          <w:lang w:val="en-IE"/>
        </w:rPr>
        <w:t xml:space="preserve"> harmonised </w:t>
      </w:r>
      <w:r w:rsidRPr="00D33745">
        <w:rPr>
          <w:noProof/>
          <w:lang w:val="en-IE"/>
        </w:rPr>
        <w:t>rules for data collection and data sharing with competent authorities relating to the provision of short-term accommodation rental services offered by hosts through online platforms</w:t>
      </w:r>
      <w:r>
        <w:rPr>
          <w:noProof/>
          <w:lang w:val="en-IE"/>
        </w:rPr>
        <w:t>)</w:t>
      </w:r>
      <w:r w:rsidRPr="00D33745">
        <w:rPr>
          <w:noProof/>
          <w:lang w:val="en-IE"/>
        </w:rPr>
        <w:t>. Article 2 defines the scope of th</w:t>
      </w:r>
      <w:r>
        <w:rPr>
          <w:noProof/>
          <w:lang w:val="en-IE"/>
        </w:rPr>
        <w:t>e Regulation</w:t>
      </w:r>
      <w:r w:rsidRPr="00D33745">
        <w:rPr>
          <w:noProof/>
          <w:lang w:val="en-IE"/>
        </w:rPr>
        <w:t xml:space="preserve">, </w:t>
      </w:r>
      <w:r>
        <w:rPr>
          <w:noProof/>
          <w:lang w:val="en-IE"/>
        </w:rPr>
        <w:t xml:space="preserve">the </w:t>
      </w:r>
      <w:r w:rsidR="00F3665E">
        <w:rPr>
          <w:noProof/>
          <w:lang w:val="en-IE"/>
        </w:rPr>
        <w:t xml:space="preserve">entities </w:t>
      </w:r>
      <w:r>
        <w:rPr>
          <w:noProof/>
          <w:lang w:val="en-IE"/>
        </w:rPr>
        <w:t xml:space="preserve">to which </w:t>
      </w:r>
      <w:r w:rsidRPr="00D33745">
        <w:rPr>
          <w:noProof/>
          <w:lang w:val="en-IE"/>
        </w:rPr>
        <w:t>it applies</w:t>
      </w:r>
      <w:r>
        <w:rPr>
          <w:noProof/>
          <w:lang w:val="en-IE"/>
        </w:rPr>
        <w:t>,</w:t>
      </w:r>
      <w:r w:rsidRPr="00D33745">
        <w:rPr>
          <w:noProof/>
          <w:lang w:val="en-IE"/>
        </w:rPr>
        <w:t xml:space="preserve"> and </w:t>
      </w:r>
      <w:r>
        <w:rPr>
          <w:noProof/>
          <w:lang w:val="en-IE"/>
        </w:rPr>
        <w:t xml:space="preserve">the </w:t>
      </w:r>
      <w:r w:rsidRPr="00D33745">
        <w:rPr>
          <w:noProof/>
          <w:lang w:val="en-IE"/>
        </w:rPr>
        <w:t xml:space="preserve">provisions of national and EU law </w:t>
      </w:r>
      <w:r>
        <w:rPr>
          <w:noProof/>
          <w:lang w:val="en-IE"/>
        </w:rPr>
        <w:t xml:space="preserve">which </w:t>
      </w:r>
      <w:r w:rsidRPr="00D33745">
        <w:rPr>
          <w:noProof/>
          <w:lang w:val="en-IE"/>
        </w:rPr>
        <w:t>it does not affect. Article</w:t>
      </w:r>
      <w:r w:rsidR="00F3665E">
        <w:rPr>
          <w:noProof/>
          <w:lang w:val="en-IE"/>
        </w:rPr>
        <w:t xml:space="preserve"> </w:t>
      </w:r>
      <w:r w:rsidRPr="00D33745">
        <w:rPr>
          <w:noProof/>
          <w:lang w:val="en-IE"/>
        </w:rPr>
        <w:t xml:space="preserve">3 defines the key terms used in the </w:t>
      </w:r>
      <w:r>
        <w:rPr>
          <w:noProof/>
          <w:lang w:val="en-IE"/>
        </w:rPr>
        <w:t>Regulation</w:t>
      </w:r>
      <w:r w:rsidRPr="00D33745">
        <w:rPr>
          <w:noProof/>
          <w:lang w:val="en-IE"/>
        </w:rPr>
        <w:t>.</w:t>
      </w:r>
    </w:p>
    <w:p w:rsidR="00D85359" w:rsidRPr="00D33745" w:rsidRDefault="00D85359" w:rsidP="00D85359">
      <w:pPr>
        <w:pBdr>
          <w:top w:val="nil"/>
          <w:left w:val="nil"/>
          <w:bottom w:val="nil"/>
          <w:right w:val="nil"/>
          <w:between w:val="nil"/>
          <w:bar w:val="nil"/>
        </w:pBdr>
        <w:spacing w:before="0" w:after="240"/>
        <w:rPr>
          <w:noProof/>
          <w:lang w:val="en-IE"/>
        </w:rPr>
      </w:pPr>
      <w:r w:rsidRPr="00D33745">
        <w:rPr>
          <w:noProof/>
          <w:lang w:val="en-IE"/>
        </w:rPr>
        <w:t xml:space="preserve">The second </w:t>
      </w:r>
      <w:r>
        <w:rPr>
          <w:noProof/>
          <w:lang w:val="en-IE"/>
        </w:rPr>
        <w:t>C</w:t>
      </w:r>
      <w:r w:rsidRPr="00D33745">
        <w:rPr>
          <w:noProof/>
          <w:lang w:val="en-IE"/>
        </w:rPr>
        <w:t>hapter concerns registration</w:t>
      </w:r>
      <w:r w:rsidR="00F3665E">
        <w:rPr>
          <w:noProof/>
          <w:lang w:val="en-IE"/>
        </w:rPr>
        <w:t xml:space="preserve"> of hosts and properties</w:t>
      </w:r>
      <w:r w:rsidRPr="00D33745">
        <w:rPr>
          <w:noProof/>
          <w:lang w:val="en-IE"/>
        </w:rPr>
        <w:t xml:space="preserve">. Article 4 </w:t>
      </w:r>
      <w:r>
        <w:rPr>
          <w:noProof/>
          <w:lang w:val="en-IE"/>
        </w:rPr>
        <w:t>sets out</w:t>
      </w:r>
      <w:r w:rsidRPr="00D33745">
        <w:rPr>
          <w:noProof/>
          <w:lang w:val="en-IE"/>
        </w:rPr>
        <w:t xml:space="preserve"> </w:t>
      </w:r>
      <w:r>
        <w:rPr>
          <w:noProof/>
          <w:lang w:val="en-IE"/>
        </w:rPr>
        <w:t xml:space="preserve">the </w:t>
      </w:r>
      <w:r w:rsidRPr="00D33745">
        <w:rPr>
          <w:noProof/>
          <w:lang w:val="en-IE"/>
        </w:rPr>
        <w:t xml:space="preserve">procedural requirements </w:t>
      </w:r>
      <w:r>
        <w:rPr>
          <w:noProof/>
          <w:lang w:val="en-IE"/>
        </w:rPr>
        <w:t xml:space="preserve">with which </w:t>
      </w:r>
      <w:r w:rsidRPr="00D33745">
        <w:rPr>
          <w:noProof/>
          <w:lang w:val="en-IE"/>
        </w:rPr>
        <w:t xml:space="preserve">they need to comply </w:t>
      </w:r>
      <w:r>
        <w:rPr>
          <w:noProof/>
          <w:lang w:val="en-IE"/>
        </w:rPr>
        <w:t xml:space="preserve">in </w:t>
      </w:r>
      <w:r w:rsidRPr="00D33745">
        <w:rPr>
          <w:noProof/>
          <w:lang w:val="en-IE"/>
        </w:rPr>
        <w:t xml:space="preserve">this respect. It </w:t>
      </w:r>
      <w:r w:rsidR="00F3665E">
        <w:rPr>
          <w:noProof/>
          <w:lang w:val="en-IE"/>
        </w:rPr>
        <w:t xml:space="preserve">provides </w:t>
      </w:r>
      <w:r w:rsidRPr="00D33745">
        <w:rPr>
          <w:noProof/>
          <w:lang w:val="en-IE"/>
        </w:rPr>
        <w:t xml:space="preserve">that only authorities </w:t>
      </w:r>
      <w:r>
        <w:rPr>
          <w:noProof/>
          <w:lang w:val="en-IE"/>
        </w:rPr>
        <w:t xml:space="preserve">that </w:t>
      </w:r>
      <w:r w:rsidRPr="00D33745">
        <w:rPr>
          <w:noProof/>
          <w:lang w:val="en-IE"/>
        </w:rPr>
        <w:t>hav</w:t>
      </w:r>
      <w:r>
        <w:rPr>
          <w:noProof/>
          <w:lang w:val="en-IE"/>
        </w:rPr>
        <w:t>e</w:t>
      </w:r>
      <w:r w:rsidRPr="00D33745">
        <w:rPr>
          <w:noProof/>
          <w:lang w:val="en-IE"/>
        </w:rPr>
        <w:t xml:space="preserve"> registration systems can </w:t>
      </w:r>
      <w:r>
        <w:rPr>
          <w:noProof/>
          <w:lang w:val="en-IE"/>
        </w:rPr>
        <w:t xml:space="preserve">require </w:t>
      </w:r>
      <w:r w:rsidR="00F3665E">
        <w:rPr>
          <w:noProof/>
          <w:lang w:val="en-IE"/>
        </w:rPr>
        <w:t xml:space="preserve">online </w:t>
      </w:r>
      <w:r w:rsidRPr="00D33745">
        <w:rPr>
          <w:noProof/>
          <w:lang w:val="en-IE"/>
        </w:rPr>
        <w:t>platforms to regularly report activity data, and that all registration systems must comply with the requirements of th</w:t>
      </w:r>
      <w:r>
        <w:rPr>
          <w:noProof/>
          <w:lang w:val="en-IE"/>
        </w:rPr>
        <w:t>e</w:t>
      </w:r>
      <w:r w:rsidRPr="00D33745">
        <w:rPr>
          <w:noProof/>
          <w:lang w:val="en-IE"/>
        </w:rPr>
        <w:t xml:space="preserve"> Regulation. Article 5 lists the information that hosts must provide </w:t>
      </w:r>
      <w:r>
        <w:rPr>
          <w:noProof/>
          <w:lang w:val="en-IE"/>
        </w:rPr>
        <w:t xml:space="preserve">in order </w:t>
      </w:r>
      <w:r w:rsidRPr="00D33745">
        <w:rPr>
          <w:noProof/>
          <w:lang w:val="en-IE"/>
        </w:rPr>
        <w:t xml:space="preserve">to receive a registration number. Article 6 </w:t>
      </w:r>
      <w:r w:rsidR="00F3665E">
        <w:rPr>
          <w:noProof/>
          <w:lang w:val="en-IE"/>
        </w:rPr>
        <w:t>lays down the obligations for</w:t>
      </w:r>
      <w:r w:rsidR="00F3665E" w:rsidRPr="00D33745">
        <w:rPr>
          <w:noProof/>
          <w:lang w:val="en-IE"/>
        </w:rPr>
        <w:t xml:space="preserve"> </w:t>
      </w:r>
      <w:r w:rsidRPr="00D33745">
        <w:rPr>
          <w:noProof/>
          <w:lang w:val="en-IE"/>
        </w:rPr>
        <w:t xml:space="preserve">competent authorities </w:t>
      </w:r>
      <w:r w:rsidR="00F3665E">
        <w:rPr>
          <w:noProof/>
          <w:lang w:val="en-IE"/>
        </w:rPr>
        <w:t xml:space="preserve">to </w:t>
      </w:r>
      <w:r w:rsidRPr="00D33745">
        <w:rPr>
          <w:noProof/>
          <w:lang w:val="en-IE"/>
        </w:rPr>
        <w:t>verify the information submitted by hosts, request additional information from hosts</w:t>
      </w:r>
      <w:r>
        <w:rPr>
          <w:noProof/>
          <w:lang w:val="en-IE"/>
        </w:rPr>
        <w:t>,</w:t>
      </w:r>
      <w:r w:rsidRPr="00D33745">
        <w:rPr>
          <w:noProof/>
          <w:lang w:val="en-IE"/>
        </w:rPr>
        <w:t xml:space="preserve"> and suspend the validity of the registration number. Article 7 details the role of online </w:t>
      </w:r>
      <w:r w:rsidR="00452EEA">
        <w:rPr>
          <w:noProof/>
          <w:lang w:val="en-IE"/>
        </w:rPr>
        <w:t>short-term rental</w:t>
      </w:r>
      <w:r w:rsidRPr="00D33745">
        <w:rPr>
          <w:noProof/>
          <w:lang w:val="en-IE"/>
        </w:rPr>
        <w:t xml:space="preserve"> platforms in organising their online interface to ensure the validity of registration numbers.</w:t>
      </w:r>
    </w:p>
    <w:p w:rsidR="00D85359" w:rsidRPr="00D33745" w:rsidRDefault="00D85359" w:rsidP="00D85359">
      <w:pPr>
        <w:pBdr>
          <w:top w:val="nil"/>
          <w:left w:val="nil"/>
          <w:bottom w:val="nil"/>
          <w:right w:val="nil"/>
          <w:between w:val="nil"/>
          <w:bar w:val="nil"/>
        </w:pBdr>
        <w:spacing w:before="0" w:after="240"/>
        <w:rPr>
          <w:noProof/>
          <w:lang w:val="en-IE"/>
        </w:rPr>
      </w:pPr>
      <w:r w:rsidRPr="00D33745">
        <w:rPr>
          <w:noProof/>
          <w:lang w:val="en-IE"/>
        </w:rPr>
        <w:t xml:space="preserve">The third </w:t>
      </w:r>
      <w:r>
        <w:rPr>
          <w:noProof/>
          <w:lang w:val="en-IE"/>
        </w:rPr>
        <w:t>C</w:t>
      </w:r>
      <w:r w:rsidRPr="00D33745">
        <w:rPr>
          <w:noProof/>
          <w:lang w:val="en-IE"/>
        </w:rPr>
        <w:t xml:space="preserve">hapter concerns data reporting. </w:t>
      </w:r>
      <w:r w:rsidR="00381BBC">
        <w:rPr>
          <w:noProof/>
          <w:lang w:val="en-IE"/>
        </w:rPr>
        <w:t xml:space="preserve">Article 8 sets out the </w:t>
      </w:r>
      <w:r w:rsidR="004F17B6">
        <w:rPr>
          <w:noProof/>
          <w:lang w:val="en-IE"/>
        </w:rPr>
        <w:t xml:space="preserve">condition </w:t>
      </w:r>
      <w:r w:rsidR="00EE6275">
        <w:rPr>
          <w:noProof/>
          <w:lang w:val="en-IE"/>
        </w:rPr>
        <w:t xml:space="preserve">according to which </w:t>
      </w:r>
      <w:r w:rsidR="00EE6275" w:rsidRPr="00EE6275">
        <w:rPr>
          <w:noProof/>
          <w:lang w:val="en-IE"/>
        </w:rPr>
        <w:t xml:space="preserve">competent authorities </w:t>
      </w:r>
      <w:r w:rsidR="00EE6275">
        <w:rPr>
          <w:noProof/>
          <w:lang w:val="en-IE"/>
        </w:rPr>
        <w:t xml:space="preserve">may </w:t>
      </w:r>
      <w:r w:rsidR="00EE6275" w:rsidRPr="00EE6275">
        <w:rPr>
          <w:noProof/>
          <w:lang w:val="en-IE"/>
        </w:rPr>
        <w:t xml:space="preserve">receive from online short-term rental platforms specific </w:t>
      </w:r>
      <w:r w:rsidR="00EE6275">
        <w:rPr>
          <w:noProof/>
          <w:lang w:val="en-IE"/>
        </w:rPr>
        <w:t xml:space="preserve">information </w:t>
      </w:r>
      <w:r w:rsidR="00EE6275" w:rsidRPr="00EE6275">
        <w:rPr>
          <w:noProof/>
          <w:lang w:val="en-IE"/>
        </w:rPr>
        <w:t>about hosts’ activities relating to one or more units offered for short-ter</w:t>
      </w:r>
      <w:r w:rsidR="00EE6275">
        <w:rPr>
          <w:noProof/>
          <w:lang w:val="en-IE"/>
        </w:rPr>
        <w:t>m accommodation rental services</w:t>
      </w:r>
      <w:r w:rsidR="00EE6275" w:rsidRPr="00EE6275">
        <w:rPr>
          <w:noProof/>
          <w:lang w:val="en-IE"/>
        </w:rPr>
        <w:t>.</w:t>
      </w:r>
      <w:r w:rsidR="00EE6275">
        <w:rPr>
          <w:noProof/>
          <w:lang w:val="en-IE"/>
        </w:rPr>
        <w:t xml:space="preserve"> </w:t>
      </w:r>
      <w:r w:rsidRPr="00D33745">
        <w:rPr>
          <w:noProof/>
          <w:lang w:val="en-IE"/>
        </w:rPr>
        <w:t xml:space="preserve">Article </w:t>
      </w:r>
      <w:r w:rsidR="00381BBC">
        <w:rPr>
          <w:noProof/>
          <w:lang w:val="en-IE"/>
        </w:rPr>
        <w:t>9</w:t>
      </w:r>
      <w:r w:rsidRPr="00D33745">
        <w:rPr>
          <w:noProof/>
          <w:lang w:val="en-IE"/>
        </w:rPr>
        <w:t xml:space="preserve"> </w:t>
      </w:r>
      <w:r>
        <w:rPr>
          <w:noProof/>
          <w:lang w:val="en-IE"/>
        </w:rPr>
        <w:t>introduces</w:t>
      </w:r>
      <w:r w:rsidRPr="00D33745">
        <w:rPr>
          <w:noProof/>
          <w:lang w:val="en-IE"/>
        </w:rPr>
        <w:t xml:space="preserve"> an obligation for </w:t>
      </w:r>
      <w:r w:rsidR="00F3665E">
        <w:rPr>
          <w:noProof/>
          <w:lang w:val="en-IE"/>
        </w:rPr>
        <w:t>online short-term rental</w:t>
      </w:r>
      <w:r w:rsidR="00F3665E" w:rsidRPr="00D33745">
        <w:rPr>
          <w:noProof/>
          <w:lang w:val="en-IE"/>
        </w:rPr>
        <w:t xml:space="preserve"> </w:t>
      </w:r>
      <w:r w:rsidRPr="00D33745">
        <w:rPr>
          <w:noProof/>
          <w:lang w:val="en-IE"/>
        </w:rPr>
        <w:t xml:space="preserve">platforms to transmit the activity data to competent authorities through the Single Digital </w:t>
      </w:r>
      <w:r>
        <w:rPr>
          <w:noProof/>
          <w:lang w:val="en-IE"/>
        </w:rPr>
        <w:t>E</w:t>
      </w:r>
      <w:r w:rsidRPr="00D33745">
        <w:rPr>
          <w:noProof/>
          <w:lang w:val="en-IE"/>
        </w:rPr>
        <w:t xml:space="preserve">ntry Point. More lenient reporting obligations are </w:t>
      </w:r>
      <w:r>
        <w:rPr>
          <w:noProof/>
          <w:lang w:val="en-IE"/>
        </w:rPr>
        <w:t>laid down</w:t>
      </w:r>
      <w:r w:rsidRPr="00D33745">
        <w:rPr>
          <w:noProof/>
          <w:lang w:val="en-IE"/>
        </w:rPr>
        <w:t xml:space="preserve"> for </w:t>
      </w:r>
      <w:r w:rsidRPr="00D33745">
        <w:rPr>
          <w:noProof/>
          <w:lang w:val="en-IE" w:eastAsia="zh-CN"/>
        </w:rPr>
        <w:t xml:space="preserve">small </w:t>
      </w:r>
      <w:r>
        <w:rPr>
          <w:noProof/>
          <w:lang w:val="en-IE" w:eastAsia="zh-CN"/>
        </w:rPr>
        <w:t>and</w:t>
      </w:r>
      <w:r w:rsidRPr="00D33745">
        <w:rPr>
          <w:noProof/>
          <w:lang w:val="en-IE" w:eastAsia="zh-CN"/>
        </w:rPr>
        <w:t xml:space="preserve"> micro online </w:t>
      </w:r>
      <w:r w:rsidRPr="00D33745">
        <w:rPr>
          <w:rFonts w:eastAsia="Times New Roman"/>
          <w:noProof/>
          <w:color w:val="000000"/>
          <w:szCs w:val="24"/>
          <w:lang w:val="en-IE" w:eastAsia="zh-CN"/>
        </w:rPr>
        <w:t xml:space="preserve">short-term rental </w:t>
      </w:r>
      <w:r w:rsidRPr="00D33745">
        <w:rPr>
          <w:noProof/>
          <w:lang w:val="en-IE" w:eastAsia="zh-CN"/>
        </w:rPr>
        <w:t>platforms</w:t>
      </w:r>
      <w:r w:rsidRPr="00D33745">
        <w:rPr>
          <w:noProof/>
          <w:lang w:val="en-IE"/>
        </w:rPr>
        <w:t xml:space="preserve">. Article </w:t>
      </w:r>
      <w:r w:rsidR="00381BBC">
        <w:rPr>
          <w:noProof/>
          <w:lang w:val="en-IE"/>
        </w:rPr>
        <w:t>10</w:t>
      </w:r>
      <w:r w:rsidRPr="00D33745">
        <w:rPr>
          <w:noProof/>
          <w:lang w:val="en-IE"/>
        </w:rPr>
        <w:t xml:space="preserve"> </w:t>
      </w:r>
      <w:r>
        <w:rPr>
          <w:noProof/>
          <w:lang w:val="en-IE"/>
        </w:rPr>
        <w:t>sets out</w:t>
      </w:r>
      <w:r w:rsidRPr="00D33745">
        <w:rPr>
          <w:noProof/>
          <w:lang w:val="en-IE"/>
        </w:rPr>
        <w:t xml:space="preserve"> the creation and functionalities of the Single Digital Entry Point. Article 1</w:t>
      </w:r>
      <w:r w:rsidR="00381BBC">
        <w:rPr>
          <w:noProof/>
          <w:lang w:val="en-IE"/>
        </w:rPr>
        <w:t>1</w:t>
      </w:r>
      <w:r w:rsidRPr="00D33745">
        <w:rPr>
          <w:noProof/>
          <w:lang w:val="en-IE"/>
        </w:rPr>
        <w:t xml:space="preserve"> establishes a coordination group to support the implementation of the Single Digital Entry </w:t>
      </w:r>
      <w:r>
        <w:rPr>
          <w:noProof/>
          <w:lang w:val="en-IE"/>
        </w:rPr>
        <w:t>P</w:t>
      </w:r>
      <w:r w:rsidRPr="00D33745">
        <w:rPr>
          <w:noProof/>
          <w:lang w:val="en-IE"/>
        </w:rPr>
        <w:t>oints. Article 1</w:t>
      </w:r>
      <w:r w:rsidR="00381BBC">
        <w:rPr>
          <w:noProof/>
          <w:lang w:val="en-IE"/>
        </w:rPr>
        <w:t>2</w:t>
      </w:r>
      <w:r w:rsidRPr="00D33745">
        <w:rPr>
          <w:noProof/>
          <w:lang w:val="en-IE"/>
        </w:rPr>
        <w:t xml:space="preserve"> clarifies which authorities can access the data collected and shared by </w:t>
      </w:r>
      <w:r w:rsidR="00F3665E">
        <w:rPr>
          <w:noProof/>
          <w:lang w:val="en-IE"/>
        </w:rPr>
        <w:t>online short-term rental</w:t>
      </w:r>
      <w:r w:rsidR="00F3665E" w:rsidRPr="00D33745">
        <w:rPr>
          <w:noProof/>
          <w:lang w:val="en-IE"/>
        </w:rPr>
        <w:t xml:space="preserve"> </w:t>
      </w:r>
      <w:r w:rsidRPr="00D33745">
        <w:rPr>
          <w:noProof/>
          <w:lang w:val="en-IE"/>
        </w:rPr>
        <w:t>platforms.</w:t>
      </w:r>
    </w:p>
    <w:p w:rsidR="00D85359" w:rsidRPr="00D33745" w:rsidRDefault="00D85359" w:rsidP="00D85359">
      <w:pPr>
        <w:pBdr>
          <w:top w:val="nil"/>
          <w:left w:val="nil"/>
          <w:bottom w:val="nil"/>
          <w:right w:val="nil"/>
          <w:between w:val="nil"/>
          <w:bar w:val="nil"/>
        </w:pBdr>
        <w:spacing w:before="0" w:after="240"/>
        <w:rPr>
          <w:rFonts w:eastAsia="Arial Unicode MS"/>
          <w:noProof/>
          <w:lang w:val="en-IE"/>
        </w:rPr>
      </w:pPr>
      <w:r w:rsidRPr="00D33745">
        <w:rPr>
          <w:rFonts w:eastAsia="Arial Unicode MS"/>
          <w:noProof/>
          <w:lang w:val="en-IE"/>
        </w:rPr>
        <w:t xml:space="preserve">The fourth </w:t>
      </w:r>
      <w:r>
        <w:rPr>
          <w:rFonts w:eastAsia="Arial Unicode MS"/>
          <w:noProof/>
          <w:lang w:val="en-IE"/>
        </w:rPr>
        <w:t>C</w:t>
      </w:r>
      <w:r w:rsidRPr="00D33745">
        <w:rPr>
          <w:rFonts w:eastAsia="Arial Unicode MS"/>
          <w:noProof/>
          <w:lang w:val="en-IE"/>
        </w:rPr>
        <w:t xml:space="preserve">hapter </w:t>
      </w:r>
      <w:r>
        <w:rPr>
          <w:rFonts w:eastAsia="Arial Unicode MS"/>
          <w:noProof/>
          <w:lang w:val="en-IE"/>
        </w:rPr>
        <w:t>sets out</w:t>
      </w:r>
      <w:r w:rsidRPr="00D33745">
        <w:rPr>
          <w:rFonts w:eastAsia="Arial Unicode MS"/>
          <w:noProof/>
          <w:lang w:val="en-IE"/>
        </w:rPr>
        <w:t xml:space="preserve"> the rules on information, </w:t>
      </w:r>
      <w:r w:rsidR="00F3665E" w:rsidRPr="00284677">
        <w:rPr>
          <w:rFonts w:eastAsia="Arial Unicode MS"/>
          <w:noProof/>
          <w:lang w:val="en-IE"/>
        </w:rPr>
        <w:t>monitoring</w:t>
      </w:r>
      <w:r w:rsidR="000956BF" w:rsidRPr="00284677">
        <w:rPr>
          <w:rFonts w:eastAsia="Arial Unicode MS"/>
          <w:noProof/>
          <w:lang w:val="en-IE"/>
        </w:rPr>
        <w:t xml:space="preserve"> </w:t>
      </w:r>
      <w:r w:rsidRPr="00284677">
        <w:rPr>
          <w:rFonts w:eastAsia="Arial Unicode MS"/>
          <w:noProof/>
          <w:lang w:val="en-IE"/>
        </w:rPr>
        <w:t>and enforcement. Article 1</w:t>
      </w:r>
      <w:r w:rsidR="00381BBC" w:rsidRPr="00284677">
        <w:rPr>
          <w:rFonts w:eastAsia="Arial Unicode MS"/>
          <w:noProof/>
          <w:lang w:val="en-IE"/>
        </w:rPr>
        <w:t>3</w:t>
      </w:r>
      <w:r w:rsidRPr="00284677">
        <w:rPr>
          <w:rFonts w:eastAsia="Arial Unicode MS"/>
          <w:noProof/>
          <w:lang w:val="en-IE"/>
        </w:rPr>
        <w:t xml:space="preserve"> entails information obligations for Member States. Article 1</w:t>
      </w:r>
      <w:r w:rsidR="00381BBC" w:rsidRPr="00284677">
        <w:rPr>
          <w:rFonts w:eastAsia="Arial Unicode MS"/>
          <w:noProof/>
          <w:lang w:val="en-IE"/>
        </w:rPr>
        <w:t>4</w:t>
      </w:r>
      <w:r w:rsidRPr="00284677">
        <w:rPr>
          <w:rFonts w:eastAsia="Arial Unicode MS"/>
          <w:noProof/>
          <w:lang w:val="en-IE"/>
        </w:rPr>
        <w:t xml:space="preserve"> </w:t>
      </w:r>
      <w:r w:rsidR="00F37EEB" w:rsidRPr="00284677">
        <w:rPr>
          <w:rFonts w:eastAsia="Arial Unicode MS"/>
          <w:noProof/>
          <w:lang w:val="en-IE"/>
        </w:rPr>
        <w:t xml:space="preserve">requires </w:t>
      </w:r>
      <w:r w:rsidR="005D3DCD" w:rsidRPr="00284677">
        <w:rPr>
          <w:rFonts w:eastAsia="Arial Unicode MS"/>
          <w:noProof/>
          <w:lang w:val="en-IE"/>
        </w:rPr>
        <w:t xml:space="preserve">each </w:t>
      </w:r>
      <w:r w:rsidR="00F37EEB" w:rsidRPr="00284677">
        <w:rPr>
          <w:rFonts w:eastAsia="Arial Unicode MS"/>
          <w:noProof/>
          <w:lang w:val="en-IE"/>
        </w:rPr>
        <w:t xml:space="preserve">Member State </w:t>
      </w:r>
      <w:r w:rsidR="005D3DCD" w:rsidRPr="00284677">
        <w:rPr>
          <w:rFonts w:eastAsia="Arial Unicode MS"/>
          <w:noProof/>
          <w:lang w:val="en-IE"/>
        </w:rPr>
        <w:t>to designate a</w:t>
      </w:r>
      <w:r w:rsidR="00F3665E" w:rsidRPr="00284677">
        <w:rPr>
          <w:rFonts w:eastAsia="Arial Unicode MS"/>
          <w:noProof/>
          <w:lang w:val="en-IE"/>
        </w:rPr>
        <w:t xml:space="preserve">n </w:t>
      </w:r>
      <w:r w:rsidR="005D3DCD" w:rsidRPr="00284677">
        <w:rPr>
          <w:rFonts w:eastAsia="Arial Unicode MS"/>
          <w:noProof/>
          <w:lang w:val="en-IE"/>
        </w:rPr>
        <w:t xml:space="preserve">authority </w:t>
      </w:r>
      <w:r w:rsidR="000648CF" w:rsidRPr="00284677">
        <w:rPr>
          <w:rFonts w:eastAsia="Arial Unicode MS"/>
          <w:noProof/>
          <w:lang w:val="en-IE"/>
        </w:rPr>
        <w:t xml:space="preserve">that should monitor the correct and consistent implementation of this Regulation. </w:t>
      </w:r>
      <w:r w:rsidR="00D970EF" w:rsidRPr="00284677">
        <w:rPr>
          <w:rFonts w:eastAsia="Arial Unicode MS"/>
          <w:noProof/>
          <w:lang w:val="en-IE"/>
        </w:rPr>
        <w:t>Article 1</w:t>
      </w:r>
      <w:r w:rsidR="00381BBC" w:rsidRPr="00284677">
        <w:rPr>
          <w:rFonts w:eastAsia="Arial Unicode MS"/>
          <w:noProof/>
          <w:lang w:val="en-IE"/>
        </w:rPr>
        <w:t>5</w:t>
      </w:r>
      <w:r w:rsidR="00F37EEB" w:rsidRPr="00284677">
        <w:rPr>
          <w:rFonts w:eastAsia="Arial Unicode MS"/>
          <w:noProof/>
          <w:lang w:val="en-IE"/>
        </w:rPr>
        <w:t xml:space="preserve"> </w:t>
      </w:r>
      <w:r w:rsidR="000648CF" w:rsidRPr="00284677">
        <w:rPr>
          <w:rFonts w:eastAsia="Arial Unicode MS"/>
          <w:noProof/>
          <w:lang w:val="en-IE"/>
        </w:rPr>
        <w:t xml:space="preserve">requires Member States to ensure the enforcement of this Regulation and </w:t>
      </w:r>
      <w:r w:rsidRPr="00284677">
        <w:rPr>
          <w:rFonts w:eastAsia="Arial Unicode MS"/>
          <w:noProof/>
          <w:lang w:val="en-IE"/>
        </w:rPr>
        <w:t>lay down the penalties in case of non-compliance with the Regulation.</w:t>
      </w:r>
    </w:p>
    <w:p w:rsidR="00B33D17" w:rsidRDefault="00D85359" w:rsidP="00A16300">
      <w:pPr>
        <w:pBdr>
          <w:top w:val="nil"/>
          <w:left w:val="nil"/>
          <w:bottom w:val="nil"/>
          <w:right w:val="nil"/>
          <w:between w:val="nil"/>
          <w:bar w:val="nil"/>
        </w:pBdr>
        <w:spacing w:before="0" w:after="240"/>
        <w:rPr>
          <w:rFonts w:eastAsia="Arial Unicode MS"/>
          <w:noProof/>
        </w:rPr>
      </w:pPr>
      <w:r w:rsidRPr="00D33745">
        <w:rPr>
          <w:rFonts w:eastAsia="Arial Unicode MS"/>
          <w:noProof/>
          <w:lang w:val="en-IE"/>
        </w:rPr>
        <w:t xml:space="preserve">The </w:t>
      </w:r>
      <w:r>
        <w:rPr>
          <w:rFonts w:eastAsia="Arial Unicode MS"/>
          <w:noProof/>
          <w:lang w:val="en-IE"/>
        </w:rPr>
        <w:t>fifth and final</w:t>
      </w:r>
      <w:r w:rsidRPr="00D33745">
        <w:rPr>
          <w:rFonts w:eastAsia="Arial Unicode MS"/>
          <w:noProof/>
          <w:lang w:val="en-IE"/>
        </w:rPr>
        <w:t xml:space="preserve"> </w:t>
      </w:r>
      <w:r>
        <w:rPr>
          <w:rFonts w:eastAsia="Arial Unicode MS"/>
          <w:noProof/>
          <w:lang w:val="en-IE"/>
        </w:rPr>
        <w:t>C</w:t>
      </w:r>
      <w:r w:rsidRPr="00D33745">
        <w:rPr>
          <w:rFonts w:eastAsia="Arial Unicode MS"/>
          <w:noProof/>
          <w:lang w:val="en-IE"/>
        </w:rPr>
        <w:t>hapter</w:t>
      </w:r>
      <w:r w:rsidR="007F180F" w:rsidRPr="00D33745">
        <w:rPr>
          <w:rFonts w:eastAsia="Arial Unicode MS"/>
          <w:noProof/>
          <w:lang w:val="en-IE"/>
        </w:rPr>
        <w:t xml:space="preserve"> sets out the final provisions.</w:t>
      </w:r>
      <w:r w:rsidR="007F180F" w:rsidRPr="00A10DD5">
        <w:rPr>
          <w:noProof/>
        </w:rPr>
        <w:t xml:space="preserve"> </w:t>
      </w:r>
      <w:r w:rsidR="00A10DD5" w:rsidRPr="00A10DD5">
        <w:rPr>
          <w:rFonts w:eastAsia="Arial Unicode MS"/>
          <w:noProof/>
          <w:lang w:val="en-IE"/>
        </w:rPr>
        <w:t>Article 1</w:t>
      </w:r>
      <w:r w:rsidR="00381BBC">
        <w:rPr>
          <w:rFonts w:eastAsia="Arial Unicode MS"/>
          <w:noProof/>
          <w:lang w:val="en-IE"/>
        </w:rPr>
        <w:t>6</w:t>
      </w:r>
      <w:r w:rsidR="00A10DD5" w:rsidRPr="00A10DD5">
        <w:rPr>
          <w:rFonts w:eastAsia="Arial Unicode MS"/>
          <w:noProof/>
          <w:lang w:val="en-IE"/>
        </w:rPr>
        <w:t xml:space="preserve"> creates a Committee within the meaning </w:t>
      </w:r>
      <w:r w:rsidR="00A10DD5">
        <w:rPr>
          <w:rFonts w:eastAsia="Arial Unicode MS"/>
          <w:noProof/>
          <w:lang w:val="en-IE"/>
        </w:rPr>
        <w:t>of Regulation (EU) No 182/2011.</w:t>
      </w:r>
      <w:r w:rsidR="007F180F">
        <w:rPr>
          <w:rFonts w:eastAsia="Arial Unicode MS"/>
          <w:noProof/>
          <w:lang w:val="en-IE"/>
        </w:rPr>
        <w:t xml:space="preserve"> </w:t>
      </w:r>
      <w:r w:rsidR="007F180F" w:rsidRPr="00D33745">
        <w:rPr>
          <w:rFonts w:eastAsia="Arial Unicode MS"/>
          <w:noProof/>
          <w:lang w:val="en-IE"/>
        </w:rPr>
        <w:t>Article 1</w:t>
      </w:r>
      <w:r w:rsidR="00381BBC">
        <w:rPr>
          <w:rFonts w:eastAsia="Arial Unicode MS"/>
          <w:noProof/>
          <w:lang w:val="en-IE"/>
        </w:rPr>
        <w:t>7</w:t>
      </w:r>
      <w:r w:rsidR="007F180F" w:rsidRPr="00D33745">
        <w:rPr>
          <w:rFonts w:eastAsia="Arial Unicode MS"/>
          <w:noProof/>
          <w:lang w:val="en-IE"/>
        </w:rPr>
        <w:t xml:space="preserve"> </w:t>
      </w:r>
      <w:r>
        <w:rPr>
          <w:rFonts w:eastAsia="Arial Unicode MS"/>
          <w:noProof/>
          <w:lang w:val="en-IE"/>
        </w:rPr>
        <w:t xml:space="preserve">adds the administrative procedures </w:t>
      </w:r>
      <w:r w:rsidRPr="00677DE5">
        <w:rPr>
          <w:noProof/>
          <w:lang w:val="en-IE"/>
        </w:rPr>
        <w:t>governed by th</w:t>
      </w:r>
      <w:r>
        <w:rPr>
          <w:noProof/>
          <w:lang w:val="en-IE"/>
        </w:rPr>
        <w:t>e</w:t>
      </w:r>
      <w:r w:rsidRPr="00506AF0">
        <w:rPr>
          <w:noProof/>
          <w:lang w:val="en-IE"/>
        </w:rPr>
        <w:t xml:space="preserve"> </w:t>
      </w:r>
      <w:r>
        <w:rPr>
          <w:noProof/>
          <w:lang w:val="en-IE"/>
        </w:rPr>
        <w:t>Regulation</w:t>
      </w:r>
      <w:r>
        <w:rPr>
          <w:rFonts w:eastAsia="Arial Unicode MS"/>
          <w:noProof/>
          <w:lang w:val="en-IE"/>
        </w:rPr>
        <w:t xml:space="preserve"> to </w:t>
      </w:r>
      <w:r w:rsidRPr="008F6B05">
        <w:rPr>
          <w:rFonts w:eastAsia="Arial Unicode MS"/>
          <w:noProof/>
          <w:lang w:val="en-IE"/>
        </w:rPr>
        <w:t xml:space="preserve">Annexes I and II </w:t>
      </w:r>
      <w:r>
        <w:rPr>
          <w:rFonts w:eastAsia="Arial Unicode MS"/>
          <w:noProof/>
          <w:lang w:val="en-IE"/>
        </w:rPr>
        <w:t xml:space="preserve">of </w:t>
      </w:r>
      <w:r w:rsidR="007F180F">
        <w:rPr>
          <w:rFonts w:eastAsia="Arial Unicode MS"/>
          <w:noProof/>
          <w:lang w:val="en-IE"/>
        </w:rPr>
        <w:t xml:space="preserve">Regulation </w:t>
      </w:r>
      <w:r w:rsidR="007F180F" w:rsidRPr="00D33745">
        <w:rPr>
          <w:rFonts w:eastAsia="Arial Unicode MS"/>
          <w:noProof/>
          <w:lang w:val="en-IE"/>
        </w:rPr>
        <w:t>(EU) 2018/1724</w:t>
      </w:r>
      <w:r>
        <w:rPr>
          <w:rFonts w:eastAsia="Arial Unicode MS"/>
          <w:noProof/>
          <w:lang w:val="en-IE"/>
        </w:rPr>
        <w:t xml:space="preserve"> through an amendment to that Regulation</w:t>
      </w:r>
      <w:r w:rsidRPr="00D33745">
        <w:rPr>
          <w:rFonts w:eastAsia="Arial Unicode MS"/>
          <w:noProof/>
          <w:lang w:val="en-IE"/>
        </w:rPr>
        <w:t>.</w:t>
      </w:r>
      <w:r w:rsidR="007F180F" w:rsidRPr="00D33745">
        <w:rPr>
          <w:rFonts w:eastAsia="Arial Unicode MS"/>
          <w:noProof/>
          <w:lang w:val="en-IE"/>
        </w:rPr>
        <w:t xml:space="preserve"> Article 1</w:t>
      </w:r>
      <w:r w:rsidR="00381BBC">
        <w:rPr>
          <w:rFonts w:eastAsia="Arial Unicode MS"/>
          <w:noProof/>
          <w:lang w:val="en-IE"/>
        </w:rPr>
        <w:t>8</w:t>
      </w:r>
      <w:r w:rsidR="007F180F" w:rsidRPr="00D33745">
        <w:rPr>
          <w:rFonts w:eastAsia="Arial Unicode MS"/>
          <w:noProof/>
          <w:lang w:val="en-IE"/>
        </w:rPr>
        <w:t xml:space="preserve"> details the evaluation and review process </w:t>
      </w:r>
      <w:r>
        <w:rPr>
          <w:rFonts w:eastAsia="Arial Unicode MS"/>
          <w:noProof/>
          <w:lang w:val="en-IE"/>
        </w:rPr>
        <w:t xml:space="preserve">for </w:t>
      </w:r>
      <w:r w:rsidRPr="00D33745">
        <w:rPr>
          <w:rFonts w:eastAsia="Arial Unicode MS"/>
          <w:noProof/>
          <w:lang w:val="en-IE"/>
        </w:rPr>
        <w:t>th</w:t>
      </w:r>
      <w:r>
        <w:rPr>
          <w:rFonts w:eastAsia="Arial Unicode MS"/>
          <w:noProof/>
          <w:lang w:val="en-IE"/>
        </w:rPr>
        <w:t>e</w:t>
      </w:r>
      <w:r w:rsidRPr="00D33745">
        <w:rPr>
          <w:rFonts w:eastAsia="Arial Unicode MS"/>
          <w:noProof/>
          <w:lang w:val="en-IE"/>
        </w:rPr>
        <w:t xml:space="preserve"> Regulation. Article 1</w:t>
      </w:r>
      <w:r w:rsidR="00381BBC">
        <w:rPr>
          <w:rFonts w:eastAsia="Arial Unicode MS"/>
          <w:noProof/>
          <w:lang w:val="en-IE"/>
        </w:rPr>
        <w:t>9</w:t>
      </w:r>
      <w:r w:rsidRPr="00D33745">
        <w:rPr>
          <w:rFonts w:eastAsia="Arial Unicode MS"/>
          <w:noProof/>
          <w:lang w:val="en-IE"/>
        </w:rPr>
        <w:t xml:space="preserve"> </w:t>
      </w:r>
      <w:r>
        <w:rPr>
          <w:rFonts w:eastAsia="Arial Unicode MS"/>
          <w:noProof/>
          <w:lang w:val="en-IE"/>
        </w:rPr>
        <w:t>states the dates of</w:t>
      </w:r>
      <w:r w:rsidR="007F180F">
        <w:rPr>
          <w:rFonts w:eastAsia="Arial Unicode MS"/>
          <w:noProof/>
          <w:lang w:val="en-IE"/>
        </w:rPr>
        <w:t xml:space="preserve"> entry </w:t>
      </w:r>
      <w:r w:rsidR="007F180F" w:rsidRPr="00D33745">
        <w:rPr>
          <w:rFonts w:eastAsia="Arial Unicode MS"/>
          <w:noProof/>
          <w:lang w:val="en-IE"/>
        </w:rPr>
        <w:t xml:space="preserve">into force and application of </w:t>
      </w:r>
      <w:r w:rsidRPr="00D33745">
        <w:rPr>
          <w:rFonts w:eastAsia="Arial Unicode MS"/>
          <w:noProof/>
          <w:lang w:val="en-IE"/>
        </w:rPr>
        <w:t>th</w:t>
      </w:r>
      <w:r>
        <w:rPr>
          <w:rFonts w:eastAsia="Arial Unicode MS"/>
          <w:noProof/>
          <w:lang w:val="en-IE"/>
        </w:rPr>
        <w:t>e</w:t>
      </w:r>
      <w:r w:rsidR="00F3665E">
        <w:rPr>
          <w:rFonts w:eastAsia="Arial Unicode MS"/>
          <w:noProof/>
          <w:lang w:val="en-IE"/>
        </w:rPr>
        <w:t xml:space="preserve"> </w:t>
      </w:r>
      <w:r w:rsidR="007F180F" w:rsidRPr="00D33745">
        <w:rPr>
          <w:rFonts w:eastAsia="Arial Unicode MS"/>
          <w:noProof/>
          <w:lang w:val="en-IE"/>
        </w:rPr>
        <w:t>Regulation</w:t>
      </w:r>
      <w:r w:rsidR="007F180F">
        <w:rPr>
          <w:rFonts w:eastAsia="Arial Unicode MS"/>
          <w:noProof/>
        </w:rPr>
        <w:t>.</w:t>
      </w:r>
    </w:p>
    <w:p w:rsidR="00F3665E" w:rsidRPr="00A16300" w:rsidRDefault="00F3665E" w:rsidP="00A16300">
      <w:pPr>
        <w:pBdr>
          <w:top w:val="nil"/>
          <w:left w:val="nil"/>
          <w:bottom w:val="nil"/>
          <w:right w:val="nil"/>
          <w:between w:val="nil"/>
          <w:bar w:val="nil"/>
        </w:pBdr>
        <w:spacing w:before="0" w:after="240"/>
        <w:rPr>
          <w:rFonts w:eastAsia="Arial Unicode MS"/>
          <w:noProof/>
        </w:rPr>
        <w:sectPr w:rsidR="00F3665E" w:rsidRPr="00A16300" w:rsidSect="000A1507">
          <w:footerReference w:type="default" r:id="rId14"/>
          <w:footerReference w:type="first" r:id="rId15"/>
          <w:pgSz w:w="11907" w:h="16839"/>
          <w:pgMar w:top="1134" w:right="1417" w:bottom="1134" w:left="1417" w:header="709" w:footer="709" w:gutter="0"/>
          <w:cols w:space="720"/>
          <w:docGrid w:linePitch="360"/>
        </w:sectPr>
      </w:pPr>
    </w:p>
    <w:p w:rsidR="00D13DB5" w:rsidRDefault="00D13DB5" w:rsidP="00D13DB5">
      <w:pPr>
        <w:pStyle w:val="Rfrenceinterinstitutionnelle"/>
        <w:rPr>
          <w:noProof/>
        </w:rPr>
      </w:pPr>
      <w:r w:rsidRPr="00D13DB5">
        <w:t>2022/0358 (COD)</w:t>
      </w:r>
    </w:p>
    <w:p w:rsidR="008E658F" w:rsidRPr="004F7784" w:rsidRDefault="00A16300" w:rsidP="00A16300">
      <w:pPr>
        <w:pStyle w:val="Statut"/>
        <w:rPr>
          <w:noProof/>
          <w:lang w:val="en-IE"/>
        </w:rPr>
      </w:pPr>
      <w:r w:rsidRPr="00A16300">
        <w:rPr>
          <w:noProof/>
        </w:rPr>
        <w:t>Proposal for a</w:t>
      </w:r>
    </w:p>
    <w:p w:rsidR="008E658F" w:rsidRPr="004F7784" w:rsidRDefault="00A16300" w:rsidP="00A16300">
      <w:pPr>
        <w:pStyle w:val="Typedudocument"/>
        <w:rPr>
          <w:noProof/>
          <w:lang w:val="en-IE"/>
        </w:rPr>
      </w:pPr>
      <w:r w:rsidRPr="00A16300">
        <w:rPr>
          <w:noProof/>
        </w:rPr>
        <w:t>REGULATION OF THE EUROPEAN PARLIAMENT AND OF THE COUNCIL</w:t>
      </w:r>
    </w:p>
    <w:p w:rsidR="008E658F" w:rsidRPr="004F7784" w:rsidRDefault="00A16300" w:rsidP="00A16300">
      <w:pPr>
        <w:pStyle w:val="Titreobjet"/>
        <w:rPr>
          <w:noProof/>
          <w:lang w:val="en-IE"/>
        </w:rPr>
      </w:pPr>
      <w:r w:rsidRPr="00A16300">
        <w:rPr>
          <w:noProof/>
        </w:rPr>
        <w:t>on data collection and sharing relating to short-term accommodation rental services and amending Regulation (EU) 2018/1724</w:t>
      </w:r>
    </w:p>
    <w:p w:rsidR="008E658F" w:rsidRPr="004F7784" w:rsidRDefault="00A16300" w:rsidP="00A16300">
      <w:pPr>
        <w:pStyle w:val="IntrtEEE"/>
        <w:rPr>
          <w:noProof/>
          <w:lang w:val="en-IE"/>
        </w:rPr>
      </w:pPr>
      <w:r w:rsidRPr="00A16300">
        <w:rPr>
          <w:noProof/>
        </w:rPr>
        <w:t>(Text with EEA relevance)</w:t>
      </w:r>
    </w:p>
    <w:p w:rsidR="008E658F" w:rsidRPr="004F7784" w:rsidRDefault="008E658F" w:rsidP="005C48DA">
      <w:pPr>
        <w:pStyle w:val="Institutionquiagit"/>
        <w:rPr>
          <w:noProof/>
          <w:lang w:val="en-IE"/>
        </w:rPr>
      </w:pPr>
      <w:r w:rsidRPr="004F7784">
        <w:rPr>
          <w:noProof/>
          <w:lang w:val="en-IE"/>
        </w:rPr>
        <w:t>THE EUROPEAN PARLIAMENT AND THE COUNCIL OF THE EUROPEAN UNION,</w:t>
      </w:r>
    </w:p>
    <w:p w:rsidR="008E658F" w:rsidRPr="004F7784" w:rsidRDefault="008E658F" w:rsidP="005C48DA">
      <w:pPr>
        <w:rPr>
          <w:noProof/>
          <w:lang w:val="en-IE"/>
        </w:rPr>
      </w:pPr>
      <w:r w:rsidRPr="004F7784">
        <w:rPr>
          <w:noProof/>
          <w:lang w:val="en-IE"/>
        </w:rPr>
        <w:t xml:space="preserve">Having regard to the Treaty on the Functioning of the European Union, and in particular Article </w:t>
      </w:r>
      <w:r w:rsidR="00FB4804" w:rsidRPr="004F7784">
        <w:rPr>
          <w:noProof/>
          <w:lang w:val="en-IE"/>
        </w:rPr>
        <w:t>114</w:t>
      </w:r>
      <w:r w:rsidRPr="004F7784">
        <w:rPr>
          <w:noProof/>
          <w:lang w:val="en-IE"/>
        </w:rPr>
        <w:t xml:space="preserve"> thereof,</w:t>
      </w:r>
    </w:p>
    <w:p w:rsidR="008E658F" w:rsidRPr="004F7784" w:rsidRDefault="008E658F" w:rsidP="005C48DA">
      <w:pPr>
        <w:rPr>
          <w:noProof/>
          <w:lang w:val="en-IE"/>
        </w:rPr>
      </w:pPr>
      <w:r w:rsidRPr="004F7784">
        <w:rPr>
          <w:noProof/>
          <w:lang w:val="en-IE"/>
        </w:rPr>
        <w:t>Having regard to the proposal from the European Commission,</w:t>
      </w:r>
    </w:p>
    <w:p w:rsidR="008E658F" w:rsidRPr="004F7784" w:rsidRDefault="008E658F" w:rsidP="005C48DA">
      <w:pPr>
        <w:rPr>
          <w:noProof/>
          <w:lang w:val="en-IE"/>
        </w:rPr>
      </w:pPr>
      <w:r w:rsidRPr="004F7784">
        <w:rPr>
          <w:noProof/>
          <w:lang w:val="en-IE"/>
        </w:rPr>
        <w:t>After transmission of the draft legislative act to the national parliaments,</w:t>
      </w:r>
    </w:p>
    <w:p w:rsidR="008E658F" w:rsidRPr="00DE111B" w:rsidRDefault="008E658F" w:rsidP="005C48DA">
      <w:pPr>
        <w:rPr>
          <w:noProof/>
          <w:lang w:val="en-IE"/>
        </w:rPr>
      </w:pPr>
      <w:r w:rsidRPr="00DE111B">
        <w:rPr>
          <w:noProof/>
          <w:lang w:val="en-IE"/>
        </w:rPr>
        <w:t>Having regard to the opinion of the European Economic and Social Committee</w:t>
      </w:r>
      <w:r w:rsidRPr="003A39BD">
        <w:rPr>
          <w:rStyle w:val="FootnoteReference"/>
          <w:noProof/>
          <w:lang w:val="en-IE"/>
        </w:rPr>
        <w:footnoteReference w:id="23"/>
      </w:r>
      <w:r w:rsidRPr="00DE111B">
        <w:rPr>
          <w:noProof/>
          <w:lang w:val="en-IE"/>
        </w:rPr>
        <w:t xml:space="preserve">, </w:t>
      </w:r>
    </w:p>
    <w:p w:rsidR="00E8735C" w:rsidRDefault="008E658F" w:rsidP="005C48DA">
      <w:pPr>
        <w:rPr>
          <w:noProof/>
          <w:lang w:val="en-IE"/>
        </w:rPr>
      </w:pPr>
      <w:r w:rsidRPr="00DE111B">
        <w:rPr>
          <w:noProof/>
          <w:lang w:val="en-IE"/>
        </w:rPr>
        <w:t>Having regard to the opinion of the Committee of the Regions</w:t>
      </w:r>
      <w:r w:rsidRPr="003A39BD">
        <w:rPr>
          <w:rStyle w:val="FootnoteReference"/>
          <w:noProof/>
          <w:lang w:val="en-IE"/>
        </w:rPr>
        <w:footnoteReference w:id="24"/>
      </w:r>
      <w:r w:rsidRPr="00DE111B">
        <w:rPr>
          <w:noProof/>
          <w:lang w:val="en-IE"/>
        </w:rPr>
        <w:t xml:space="preserve">, </w:t>
      </w:r>
    </w:p>
    <w:p w:rsidR="00EB39CA" w:rsidRPr="004F7784" w:rsidRDefault="00EB39CA" w:rsidP="005C48DA">
      <w:pPr>
        <w:rPr>
          <w:noProof/>
          <w:lang w:val="en-IE"/>
        </w:rPr>
      </w:pPr>
      <w:r>
        <w:rPr>
          <w:noProof/>
        </w:rPr>
        <w:t>Having regard to the opinion of the European Data Protection Supervisor</w:t>
      </w:r>
      <w:r w:rsidRPr="003A39BD">
        <w:rPr>
          <w:rStyle w:val="FootnoteReference"/>
          <w:noProof/>
        </w:rPr>
        <w:footnoteReference w:id="25"/>
      </w:r>
      <w:r w:rsidR="007B6734">
        <w:rPr>
          <w:noProof/>
        </w:rPr>
        <w:t>,</w:t>
      </w:r>
    </w:p>
    <w:p w:rsidR="008E658F" w:rsidRPr="004F7784" w:rsidRDefault="008E658F" w:rsidP="005C48DA">
      <w:pPr>
        <w:rPr>
          <w:noProof/>
          <w:lang w:val="en-IE"/>
        </w:rPr>
      </w:pPr>
      <w:r w:rsidRPr="004F7784">
        <w:rPr>
          <w:noProof/>
          <w:lang w:val="en-IE"/>
        </w:rPr>
        <w:t>Acting in accordance with the ordinary legislative procedure,</w:t>
      </w:r>
    </w:p>
    <w:p w:rsidR="009F2F19" w:rsidRDefault="009F2F19" w:rsidP="009F2F19">
      <w:pPr>
        <w:rPr>
          <w:noProof/>
          <w:lang w:val="en-IE"/>
        </w:rPr>
      </w:pPr>
      <w:r w:rsidRPr="004F7784">
        <w:rPr>
          <w:noProof/>
          <w:lang w:val="en-IE"/>
        </w:rPr>
        <w:t>Whereas:</w:t>
      </w:r>
    </w:p>
    <w:p w:rsidR="004E2A68" w:rsidRDefault="00795BB5" w:rsidP="00795BB5">
      <w:pPr>
        <w:pStyle w:val="ManualConsidrant"/>
        <w:rPr>
          <w:noProof/>
          <w:lang w:val="en-IE"/>
        </w:rPr>
      </w:pPr>
      <w:r w:rsidRPr="00795BB5">
        <w:t>(1)</w:t>
      </w:r>
      <w:r w:rsidRPr="00795BB5">
        <w:tab/>
      </w:r>
      <w:r w:rsidR="009F2F19" w:rsidRPr="002E27BC">
        <w:rPr>
          <w:noProof/>
          <w:lang w:val="en-IE"/>
        </w:rPr>
        <w:t xml:space="preserve">Short-term accommodation rental services </w:t>
      </w:r>
      <w:r w:rsidR="00743715">
        <w:rPr>
          <w:noProof/>
          <w:lang w:val="en-IE"/>
        </w:rPr>
        <w:t xml:space="preserve">offered by hosts </w:t>
      </w:r>
      <w:r w:rsidR="001F654F">
        <w:rPr>
          <w:noProof/>
          <w:lang w:val="en-IE"/>
        </w:rPr>
        <w:t xml:space="preserve">have existed for many years as </w:t>
      </w:r>
      <w:r w:rsidR="00FF3255">
        <w:rPr>
          <w:noProof/>
          <w:lang w:val="en-IE"/>
        </w:rPr>
        <w:t>a</w:t>
      </w:r>
      <w:r w:rsidR="001F654F">
        <w:rPr>
          <w:noProof/>
          <w:lang w:val="en-IE"/>
        </w:rPr>
        <w:t xml:space="preserve"> complement to </w:t>
      </w:r>
      <w:r w:rsidR="00BD6E69">
        <w:rPr>
          <w:noProof/>
          <w:lang w:val="en-IE"/>
        </w:rPr>
        <w:t xml:space="preserve">other </w:t>
      </w:r>
      <w:r w:rsidR="001F654F">
        <w:rPr>
          <w:noProof/>
          <w:lang w:val="en-IE"/>
        </w:rPr>
        <w:t>accommodation services such as hotels</w:t>
      </w:r>
      <w:r w:rsidR="00270581">
        <w:rPr>
          <w:noProof/>
          <w:lang w:val="en-IE"/>
        </w:rPr>
        <w:t xml:space="preserve">, hostels, </w:t>
      </w:r>
      <w:r w:rsidR="000E38A3">
        <w:rPr>
          <w:noProof/>
          <w:lang w:val="en-IE"/>
        </w:rPr>
        <w:t xml:space="preserve">or </w:t>
      </w:r>
      <w:r w:rsidR="00270581">
        <w:rPr>
          <w:noProof/>
          <w:lang w:val="en-IE"/>
        </w:rPr>
        <w:t>bed and breakfasts</w:t>
      </w:r>
      <w:r w:rsidR="001F654F">
        <w:rPr>
          <w:noProof/>
          <w:lang w:val="en-IE"/>
        </w:rPr>
        <w:t xml:space="preserve">. </w:t>
      </w:r>
      <w:r w:rsidR="000E38A3">
        <w:rPr>
          <w:noProof/>
          <w:lang w:val="en-IE"/>
        </w:rPr>
        <w:t>The volume of s</w:t>
      </w:r>
      <w:r w:rsidR="007600CD" w:rsidRPr="002E27BC">
        <w:rPr>
          <w:noProof/>
          <w:lang w:val="en-IE"/>
        </w:rPr>
        <w:t xml:space="preserve">hort-term accommodation rental </w:t>
      </w:r>
      <w:r w:rsidR="00E26830">
        <w:rPr>
          <w:noProof/>
          <w:lang w:val="en-IE"/>
        </w:rPr>
        <w:t>services</w:t>
      </w:r>
      <w:r w:rsidR="001F654F">
        <w:rPr>
          <w:noProof/>
          <w:lang w:val="en-IE"/>
        </w:rPr>
        <w:t xml:space="preserve"> </w:t>
      </w:r>
      <w:r w:rsidR="000E38A3">
        <w:rPr>
          <w:noProof/>
          <w:lang w:val="en-IE"/>
        </w:rPr>
        <w:t xml:space="preserve">is </w:t>
      </w:r>
      <w:r w:rsidR="001F654F">
        <w:rPr>
          <w:noProof/>
          <w:lang w:val="en-IE"/>
        </w:rPr>
        <w:t xml:space="preserve">increasing significantly across the </w:t>
      </w:r>
      <w:r w:rsidR="00044CF6">
        <w:rPr>
          <w:noProof/>
          <w:lang w:val="en-IE"/>
        </w:rPr>
        <w:t>Union</w:t>
      </w:r>
      <w:r w:rsidR="001F654F">
        <w:rPr>
          <w:noProof/>
          <w:lang w:val="en-IE"/>
        </w:rPr>
        <w:t xml:space="preserve"> as a result of the </w:t>
      </w:r>
      <w:r w:rsidR="00E87917">
        <w:rPr>
          <w:noProof/>
          <w:lang w:val="en-IE"/>
        </w:rPr>
        <w:t>growth of the platform</w:t>
      </w:r>
      <w:r w:rsidR="001F654F">
        <w:rPr>
          <w:noProof/>
          <w:lang w:val="en-IE"/>
        </w:rPr>
        <w:t xml:space="preserve"> economy. While </w:t>
      </w:r>
      <w:r w:rsidR="007600CD">
        <w:rPr>
          <w:noProof/>
          <w:lang w:val="en-IE"/>
        </w:rPr>
        <w:t>s</w:t>
      </w:r>
      <w:r w:rsidR="007600CD" w:rsidRPr="002E27BC">
        <w:rPr>
          <w:noProof/>
          <w:lang w:val="en-IE"/>
        </w:rPr>
        <w:t xml:space="preserve">hort-term accommodation rental </w:t>
      </w:r>
      <w:r w:rsidR="00BD6E69">
        <w:rPr>
          <w:noProof/>
          <w:lang w:val="en-IE"/>
        </w:rPr>
        <w:t>services</w:t>
      </w:r>
      <w:r w:rsidR="00D67786">
        <w:rPr>
          <w:noProof/>
          <w:lang w:val="en-IE"/>
        </w:rPr>
        <w:t xml:space="preserve"> </w:t>
      </w:r>
      <w:r w:rsidR="001F654F">
        <w:rPr>
          <w:noProof/>
          <w:lang w:val="en-IE"/>
        </w:rPr>
        <w:t xml:space="preserve">create </w:t>
      </w:r>
      <w:r w:rsidR="00D67786">
        <w:rPr>
          <w:noProof/>
          <w:lang w:val="en-IE"/>
        </w:rPr>
        <w:t xml:space="preserve">many </w:t>
      </w:r>
      <w:r w:rsidR="001F654F">
        <w:rPr>
          <w:noProof/>
          <w:lang w:val="en-IE"/>
        </w:rPr>
        <w:t>opportunities</w:t>
      </w:r>
      <w:r w:rsidR="00743715">
        <w:rPr>
          <w:noProof/>
          <w:lang w:val="en-IE"/>
        </w:rPr>
        <w:t xml:space="preserve"> for guests, hosts and the entire tourism ecosystem</w:t>
      </w:r>
      <w:r w:rsidR="00D67786">
        <w:rPr>
          <w:noProof/>
          <w:lang w:val="en-IE"/>
        </w:rPr>
        <w:t xml:space="preserve">, </w:t>
      </w:r>
      <w:r w:rsidR="001F654F">
        <w:rPr>
          <w:noProof/>
          <w:lang w:val="en-IE"/>
        </w:rPr>
        <w:t xml:space="preserve">their rapid growth has also </w:t>
      </w:r>
      <w:r w:rsidR="001F654F" w:rsidRPr="008F7877">
        <w:rPr>
          <w:noProof/>
          <w:lang w:val="en-IE"/>
        </w:rPr>
        <w:t>triggered</w:t>
      </w:r>
      <w:r w:rsidR="001F654F">
        <w:rPr>
          <w:noProof/>
          <w:lang w:val="en-IE"/>
        </w:rPr>
        <w:t xml:space="preserve"> concerns </w:t>
      </w:r>
      <w:r w:rsidR="001F654F" w:rsidRPr="0052431E">
        <w:rPr>
          <w:noProof/>
          <w:lang w:val="en-IE"/>
        </w:rPr>
        <w:t>and challenges</w:t>
      </w:r>
      <w:r w:rsidR="00B07906" w:rsidRPr="0052431E">
        <w:rPr>
          <w:noProof/>
          <w:lang w:val="en-IE"/>
        </w:rPr>
        <w:t>, in particular for local communities</w:t>
      </w:r>
      <w:r w:rsidR="00133A6E" w:rsidRPr="0052431E">
        <w:rPr>
          <w:noProof/>
          <w:lang w:val="en-IE"/>
        </w:rPr>
        <w:t xml:space="preserve"> and </w:t>
      </w:r>
      <w:r w:rsidR="000E38A3">
        <w:rPr>
          <w:noProof/>
          <w:lang w:val="en-IE"/>
        </w:rPr>
        <w:t xml:space="preserve">public </w:t>
      </w:r>
      <w:r w:rsidR="00133A6E" w:rsidRPr="0052431E">
        <w:rPr>
          <w:noProof/>
          <w:lang w:val="en-IE"/>
        </w:rPr>
        <w:t>authorities</w:t>
      </w:r>
      <w:r w:rsidR="001F654F" w:rsidRPr="0052431E">
        <w:rPr>
          <w:noProof/>
          <w:lang w:val="en-IE"/>
        </w:rPr>
        <w:t>.</w:t>
      </w:r>
      <w:r w:rsidR="00D67786" w:rsidRPr="0052431E">
        <w:rPr>
          <w:noProof/>
          <w:lang w:val="en-IE"/>
        </w:rPr>
        <w:t xml:space="preserve"> One </w:t>
      </w:r>
      <w:r w:rsidR="00044CF6">
        <w:rPr>
          <w:noProof/>
          <w:lang w:val="en-IE"/>
        </w:rPr>
        <w:t>of the main</w:t>
      </w:r>
      <w:r w:rsidR="00D67786">
        <w:rPr>
          <w:noProof/>
          <w:lang w:val="en-IE"/>
        </w:rPr>
        <w:t xml:space="preserve"> challenge</w:t>
      </w:r>
      <w:r w:rsidR="00044CF6">
        <w:rPr>
          <w:noProof/>
          <w:lang w:val="en-IE"/>
        </w:rPr>
        <w:t>s</w:t>
      </w:r>
      <w:r w:rsidR="00D67786">
        <w:rPr>
          <w:noProof/>
          <w:lang w:val="en-IE"/>
        </w:rPr>
        <w:t xml:space="preserve"> is the lack of reliable </w:t>
      </w:r>
      <w:r w:rsidR="007C3062">
        <w:rPr>
          <w:noProof/>
          <w:lang w:val="en-IE"/>
        </w:rPr>
        <w:t xml:space="preserve">information </w:t>
      </w:r>
      <w:r w:rsidR="00D67786">
        <w:rPr>
          <w:noProof/>
          <w:lang w:val="en-IE"/>
        </w:rPr>
        <w:t xml:space="preserve">about </w:t>
      </w:r>
      <w:r w:rsidR="007600CD">
        <w:rPr>
          <w:noProof/>
          <w:lang w:val="en-IE"/>
        </w:rPr>
        <w:t>s</w:t>
      </w:r>
      <w:r w:rsidR="007600CD" w:rsidRPr="002E27BC">
        <w:rPr>
          <w:noProof/>
          <w:lang w:val="en-IE"/>
        </w:rPr>
        <w:t xml:space="preserve">hort-term accommodation rental </w:t>
      </w:r>
      <w:r w:rsidR="002A7AAC">
        <w:rPr>
          <w:noProof/>
          <w:lang w:val="en-IE"/>
        </w:rPr>
        <w:t>service</w:t>
      </w:r>
      <w:r w:rsidR="00743715">
        <w:rPr>
          <w:noProof/>
          <w:lang w:val="en-IE"/>
        </w:rPr>
        <w:t>s</w:t>
      </w:r>
      <w:r w:rsidR="00D67786">
        <w:rPr>
          <w:noProof/>
          <w:lang w:val="en-IE"/>
        </w:rPr>
        <w:t>,</w:t>
      </w:r>
      <w:r w:rsidR="00743715">
        <w:rPr>
          <w:noProof/>
          <w:lang w:val="en-IE"/>
        </w:rPr>
        <w:t xml:space="preserve"> such as </w:t>
      </w:r>
      <w:r w:rsidR="00044CF6">
        <w:rPr>
          <w:noProof/>
          <w:lang w:val="en-IE"/>
        </w:rPr>
        <w:t>the identity of the host</w:t>
      </w:r>
      <w:r w:rsidR="00743715">
        <w:rPr>
          <w:noProof/>
          <w:lang w:val="en-IE"/>
        </w:rPr>
        <w:t xml:space="preserve">, the location </w:t>
      </w:r>
      <w:r w:rsidR="007B6734">
        <w:rPr>
          <w:noProof/>
          <w:lang w:val="en-IE"/>
        </w:rPr>
        <w:t>where</w:t>
      </w:r>
      <w:r w:rsidR="00743715">
        <w:rPr>
          <w:noProof/>
          <w:lang w:val="en-IE"/>
        </w:rPr>
        <w:t xml:space="preserve"> those services are being offered,</w:t>
      </w:r>
      <w:r w:rsidR="00D67786">
        <w:rPr>
          <w:noProof/>
          <w:lang w:val="en-IE"/>
        </w:rPr>
        <w:t xml:space="preserve"> </w:t>
      </w:r>
      <w:r w:rsidR="007B6734">
        <w:rPr>
          <w:noProof/>
          <w:lang w:val="en-IE"/>
        </w:rPr>
        <w:t xml:space="preserve">and their duration, </w:t>
      </w:r>
      <w:r w:rsidR="00D67786">
        <w:rPr>
          <w:noProof/>
          <w:lang w:val="en-IE"/>
        </w:rPr>
        <w:t xml:space="preserve">making it difficult for authorities to assess the impact of </w:t>
      </w:r>
      <w:r w:rsidR="007600CD">
        <w:rPr>
          <w:noProof/>
          <w:lang w:val="en-IE"/>
        </w:rPr>
        <w:t>s</w:t>
      </w:r>
      <w:r w:rsidR="007600CD" w:rsidRPr="002E27BC">
        <w:rPr>
          <w:noProof/>
          <w:lang w:val="en-IE"/>
        </w:rPr>
        <w:t xml:space="preserve">hort-term accommodation rental </w:t>
      </w:r>
      <w:r w:rsidR="00051B6B">
        <w:rPr>
          <w:noProof/>
          <w:lang w:val="en-IE"/>
        </w:rPr>
        <w:t>services</w:t>
      </w:r>
      <w:r w:rsidR="00D67786">
        <w:rPr>
          <w:noProof/>
          <w:lang w:val="en-IE"/>
        </w:rPr>
        <w:t xml:space="preserve"> </w:t>
      </w:r>
      <w:r w:rsidR="00044CF6">
        <w:rPr>
          <w:noProof/>
          <w:lang w:val="en-IE"/>
        </w:rPr>
        <w:t xml:space="preserve">and </w:t>
      </w:r>
      <w:r w:rsidR="001038CE">
        <w:rPr>
          <w:noProof/>
          <w:lang w:val="en-IE"/>
        </w:rPr>
        <w:t xml:space="preserve">develop and enforce </w:t>
      </w:r>
      <w:r w:rsidR="007F2063" w:rsidRPr="0052431E">
        <w:rPr>
          <w:noProof/>
          <w:lang w:val="en-IE"/>
        </w:rPr>
        <w:t>appropr</w:t>
      </w:r>
      <w:r w:rsidR="007F2063" w:rsidRPr="00C740D5">
        <w:rPr>
          <w:noProof/>
          <w:lang w:val="en-IE"/>
        </w:rPr>
        <w:t xml:space="preserve">iate </w:t>
      </w:r>
      <w:r w:rsidR="00597D34">
        <w:rPr>
          <w:noProof/>
          <w:lang w:val="en-IE"/>
        </w:rPr>
        <w:t xml:space="preserve">and proportionate </w:t>
      </w:r>
      <w:r w:rsidR="007F2063" w:rsidRPr="00C740D5">
        <w:rPr>
          <w:noProof/>
          <w:lang w:val="en-IE"/>
        </w:rPr>
        <w:t>policy responses.</w:t>
      </w:r>
    </w:p>
    <w:p w:rsidR="001025AF" w:rsidRPr="004E2A68" w:rsidRDefault="00795BB5" w:rsidP="00795BB5">
      <w:pPr>
        <w:pStyle w:val="ManualConsidrant"/>
        <w:rPr>
          <w:noProof/>
          <w:lang w:val="en-IE"/>
        </w:rPr>
      </w:pPr>
      <w:r w:rsidRPr="00795BB5">
        <w:t>(2)</w:t>
      </w:r>
      <w:r w:rsidRPr="00795BB5">
        <w:tab/>
      </w:r>
      <w:r w:rsidR="00D67786" w:rsidRPr="004E2A68">
        <w:rPr>
          <w:noProof/>
          <w:lang w:val="en-IE"/>
        </w:rPr>
        <w:t xml:space="preserve">Public authorities at national, regional and local level are </w:t>
      </w:r>
      <w:r w:rsidR="00366DAC" w:rsidRPr="004E2A68">
        <w:rPr>
          <w:noProof/>
          <w:lang w:val="en-IE"/>
        </w:rPr>
        <w:t>increasingly</w:t>
      </w:r>
      <w:r w:rsidR="00D67786" w:rsidRPr="004E2A68">
        <w:rPr>
          <w:noProof/>
          <w:lang w:val="en-IE"/>
        </w:rPr>
        <w:t xml:space="preserve"> </w:t>
      </w:r>
      <w:r w:rsidR="0028394B" w:rsidRPr="004E2A68">
        <w:rPr>
          <w:noProof/>
          <w:lang w:val="en-IE"/>
        </w:rPr>
        <w:t xml:space="preserve">taking measures </w:t>
      </w:r>
      <w:r w:rsidR="00D67786" w:rsidRPr="004E2A68">
        <w:rPr>
          <w:noProof/>
          <w:lang w:val="en-IE"/>
        </w:rPr>
        <w:t xml:space="preserve">to obtain </w:t>
      </w:r>
      <w:r w:rsidR="007C5CF9">
        <w:rPr>
          <w:noProof/>
          <w:lang w:val="en-IE"/>
        </w:rPr>
        <w:t xml:space="preserve">information </w:t>
      </w:r>
      <w:r w:rsidR="00D67786" w:rsidRPr="004E2A68">
        <w:rPr>
          <w:noProof/>
          <w:lang w:val="en-IE"/>
        </w:rPr>
        <w:t>from hosts and</w:t>
      </w:r>
      <w:r w:rsidR="00FF4CE5" w:rsidRPr="004E2A68">
        <w:rPr>
          <w:noProof/>
          <w:lang w:val="en-IE"/>
        </w:rPr>
        <w:t xml:space="preserve"> online </w:t>
      </w:r>
      <w:r w:rsidR="00E87917" w:rsidRPr="004E2A68">
        <w:rPr>
          <w:noProof/>
          <w:lang w:val="en-IE"/>
        </w:rPr>
        <w:t xml:space="preserve">short-term rental </w:t>
      </w:r>
      <w:r w:rsidR="00D67786" w:rsidRPr="004E2A68">
        <w:rPr>
          <w:noProof/>
          <w:lang w:val="en-IE"/>
        </w:rPr>
        <w:t>platforms</w:t>
      </w:r>
      <w:r w:rsidR="002E708E" w:rsidRPr="004E2A68">
        <w:rPr>
          <w:noProof/>
          <w:lang w:val="en-IE"/>
        </w:rPr>
        <w:t xml:space="preserve">, </w:t>
      </w:r>
      <w:r w:rsidR="008D2257" w:rsidRPr="004E2A68">
        <w:rPr>
          <w:noProof/>
          <w:lang w:val="en-IE"/>
        </w:rPr>
        <w:t xml:space="preserve">by </w:t>
      </w:r>
      <w:r w:rsidR="002E708E" w:rsidRPr="004E2A68">
        <w:rPr>
          <w:noProof/>
          <w:lang w:val="en-IE"/>
        </w:rPr>
        <w:t>imposing registration schemes and other transparency requirements</w:t>
      </w:r>
      <w:r w:rsidR="00C740D5" w:rsidRPr="004E2A68">
        <w:rPr>
          <w:noProof/>
          <w:lang w:val="en-IE"/>
        </w:rPr>
        <w:t>, including on online short-term rental platforms</w:t>
      </w:r>
      <w:r w:rsidR="00D67786" w:rsidRPr="004E2A68">
        <w:rPr>
          <w:noProof/>
          <w:lang w:val="en-IE"/>
        </w:rPr>
        <w:t>. However, legal obligations</w:t>
      </w:r>
      <w:r w:rsidR="00DC54AE" w:rsidRPr="004E2A68">
        <w:rPr>
          <w:noProof/>
          <w:lang w:val="en-IE"/>
        </w:rPr>
        <w:t xml:space="preserve"> regarding data </w:t>
      </w:r>
      <w:r w:rsidR="00E87917" w:rsidRPr="004E2A68">
        <w:rPr>
          <w:noProof/>
          <w:lang w:val="en-IE"/>
        </w:rPr>
        <w:t>generation and data sharing</w:t>
      </w:r>
      <w:r w:rsidR="00D67786" w:rsidRPr="004E2A68">
        <w:rPr>
          <w:noProof/>
          <w:lang w:val="en-IE"/>
        </w:rPr>
        <w:t xml:space="preserve"> </w:t>
      </w:r>
      <w:r w:rsidR="009F2F19" w:rsidRPr="004E2A68">
        <w:rPr>
          <w:noProof/>
          <w:lang w:val="en-IE"/>
        </w:rPr>
        <w:t xml:space="preserve">diverge considerably </w:t>
      </w:r>
      <w:r w:rsidR="007F2063" w:rsidRPr="004E2A68">
        <w:rPr>
          <w:noProof/>
          <w:lang w:val="en-IE"/>
        </w:rPr>
        <w:t xml:space="preserve">within and </w:t>
      </w:r>
      <w:r w:rsidR="009F2F19" w:rsidRPr="004E2A68">
        <w:rPr>
          <w:noProof/>
          <w:lang w:val="en-IE"/>
        </w:rPr>
        <w:t>between Member States</w:t>
      </w:r>
      <w:r w:rsidR="0028394B" w:rsidRPr="004E2A68">
        <w:rPr>
          <w:noProof/>
          <w:lang w:val="en-IE"/>
        </w:rPr>
        <w:t xml:space="preserve"> </w:t>
      </w:r>
      <w:r w:rsidR="008D2257" w:rsidRPr="004E2A68">
        <w:rPr>
          <w:noProof/>
          <w:lang w:val="en-IE"/>
        </w:rPr>
        <w:t xml:space="preserve">as regards their </w:t>
      </w:r>
      <w:r w:rsidR="009F2F19" w:rsidRPr="004E2A68">
        <w:rPr>
          <w:noProof/>
          <w:lang w:val="en-IE"/>
        </w:rPr>
        <w:t>scope</w:t>
      </w:r>
      <w:r w:rsidR="000E38A3">
        <w:rPr>
          <w:noProof/>
          <w:lang w:val="en-IE"/>
        </w:rPr>
        <w:t xml:space="preserve"> and</w:t>
      </w:r>
      <w:r w:rsidR="009F2F19" w:rsidRPr="004E2A68">
        <w:rPr>
          <w:noProof/>
          <w:lang w:val="en-IE"/>
        </w:rPr>
        <w:t xml:space="preserve"> frequency</w:t>
      </w:r>
      <w:r w:rsidR="000E38A3">
        <w:rPr>
          <w:noProof/>
          <w:lang w:val="en-IE"/>
        </w:rPr>
        <w:t>, as well as in terms of related</w:t>
      </w:r>
      <w:r w:rsidR="009F2F19" w:rsidRPr="004E2A68">
        <w:rPr>
          <w:noProof/>
          <w:lang w:val="en-IE"/>
        </w:rPr>
        <w:t xml:space="preserve"> procedures.</w:t>
      </w:r>
      <w:r w:rsidR="00892B7C" w:rsidRPr="004E2A68">
        <w:rPr>
          <w:noProof/>
          <w:lang w:val="en-IE"/>
        </w:rPr>
        <w:t xml:space="preserve"> </w:t>
      </w:r>
      <w:r w:rsidR="001025AF" w:rsidRPr="004E2A68">
        <w:rPr>
          <w:noProof/>
          <w:lang w:val="en-IE"/>
        </w:rPr>
        <w:t xml:space="preserve">The large majority of online platforms intermediating the provision of </w:t>
      </w:r>
      <w:r w:rsidR="007600CD">
        <w:rPr>
          <w:noProof/>
          <w:lang w:val="en-IE"/>
        </w:rPr>
        <w:t>s</w:t>
      </w:r>
      <w:r w:rsidR="007600CD" w:rsidRPr="002E27BC">
        <w:rPr>
          <w:noProof/>
          <w:lang w:val="en-IE"/>
        </w:rPr>
        <w:t xml:space="preserve">hort-term accommodation rental </w:t>
      </w:r>
      <w:r w:rsidR="001025AF" w:rsidRPr="004E2A68">
        <w:rPr>
          <w:noProof/>
          <w:lang w:val="en-IE"/>
        </w:rPr>
        <w:t xml:space="preserve">services provide their services across borders and indeed across the internal market. </w:t>
      </w:r>
      <w:r w:rsidR="00743715" w:rsidRPr="004E2A68">
        <w:rPr>
          <w:noProof/>
          <w:lang w:val="en-IE"/>
        </w:rPr>
        <w:t xml:space="preserve">As a result of diverging transparency requirements, the </w:t>
      </w:r>
      <w:r w:rsidR="001025AF" w:rsidRPr="004E2A68">
        <w:rPr>
          <w:noProof/>
          <w:lang w:val="en-IE"/>
        </w:rPr>
        <w:t xml:space="preserve">full realisation of </w:t>
      </w:r>
      <w:r w:rsidR="007600CD">
        <w:rPr>
          <w:noProof/>
          <w:lang w:val="en-IE"/>
        </w:rPr>
        <w:t>s</w:t>
      </w:r>
      <w:r w:rsidR="007600CD" w:rsidRPr="002E27BC">
        <w:rPr>
          <w:noProof/>
          <w:lang w:val="en-IE"/>
        </w:rPr>
        <w:t xml:space="preserve">hort-term accommodation rental </w:t>
      </w:r>
      <w:r w:rsidR="00743715" w:rsidRPr="004E2A68">
        <w:rPr>
          <w:noProof/>
          <w:lang w:val="en-IE"/>
        </w:rPr>
        <w:t xml:space="preserve">services </w:t>
      </w:r>
      <w:r w:rsidR="001025AF" w:rsidRPr="004E2A68">
        <w:rPr>
          <w:noProof/>
          <w:lang w:val="en-IE"/>
        </w:rPr>
        <w:t xml:space="preserve">potential is hampered, and the proper functioning of the internal market is negatively affected. </w:t>
      </w:r>
      <w:r w:rsidR="00743715" w:rsidRPr="004E2A68">
        <w:rPr>
          <w:noProof/>
          <w:lang w:val="en-IE"/>
        </w:rPr>
        <w:t xml:space="preserve">In order to achieve more harmonised rules and requirements, and ensure a fair, unambiguous and transparent provision of </w:t>
      </w:r>
      <w:r w:rsidR="007600CD">
        <w:rPr>
          <w:noProof/>
          <w:lang w:val="en-IE"/>
        </w:rPr>
        <w:t>s</w:t>
      </w:r>
      <w:r w:rsidR="007600CD" w:rsidRPr="002E27BC">
        <w:rPr>
          <w:noProof/>
          <w:lang w:val="en-IE"/>
        </w:rPr>
        <w:t>hort-term accommodation rental</w:t>
      </w:r>
      <w:r w:rsidR="007600CD" w:rsidRPr="004E2A68">
        <w:rPr>
          <w:noProof/>
          <w:lang w:val="en-IE"/>
        </w:rPr>
        <w:t xml:space="preserve"> </w:t>
      </w:r>
      <w:r w:rsidR="00743715" w:rsidRPr="004E2A68">
        <w:rPr>
          <w:noProof/>
          <w:lang w:val="en-IE"/>
        </w:rPr>
        <w:t xml:space="preserve">services as part of efforts to promote a balanced tourism ecosystem within the internal market, a </w:t>
      </w:r>
      <w:r w:rsidR="001025AF" w:rsidRPr="004E2A68">
        <w:rPr>
          <w:noProof/>
          <w:lang w:val="en-IE"/>
        </w:rPr>
        <w:t xml:space="preserve">uniform and targeted set of </w:t>
      </w:r>
      <w:r w:rsidR="00880FB7" w:rsidRPr="004E2A68">
        <w:rPr>
          <w:noProof/>
          <w:lang w:val="en-IE"/>
        </w:rPr>
        <w:t>r</w:t>
      </w:r>
      <w:r w:rsidR="001025AF" w:rsidRPr="004E2A68">
        <w:rPr>
          <w:noProof/>
          <w:lang w:val="en-IE"/>
        </w:rPr>
        <w:t xml:space="preserve">ules should be established at Union level. </w:t>
      </w:r>
    </w:p>
    <w:p w:rsidR="00CB7DF4" w:rsidRPr="006D1C73" w:rsidRDefault="00795BB5" w:rsidP="00795BB5">
      <w:pPr>
        <w:pStyle w:val="ManualConsidrant"/>
        <w:rPr>
          <w:rStyle w:val="num0"/>
          <w:noProof/>
          <w:lang w:val="en-IE"/>
        </w:rPr>
      </w:pPr>
      <w:r w:rsidRPr="00795BB5">
        <w:rPr>
          <w:rStyle w:val="num0"/>
        </w:rPr>
        <w:t>(3)</w:t>
      </w:r>
      <w:r w:rsidRPr="00795BB5">
        <w:rPr>
          <w:rStyle w:val="num0"/>
        </w:rPr>
        <w:tab/>
      </w:r>
      <w:r w:rsidR="00880FB7" w:rsidRPr="00650999">
        <w:rPr>
          <w:noProof/>
          <w:lang w:val="en-IE"/>
        </w:rPr>
        <w:t>T</w:t>
      </w:r>
      <w:r w:rsidR="00880FB7">
        <w:rPr>
          <w:noProof/>
          <w:lang w:val="en-IE"/>
        </w:rPr>
        <w:t xml:space="preserve">o </w:t>
      </w:r>
      <w:r w:rsidR="00994452">
        <w:rPr>
          <w:noProof/>
          <w:lang w:val="en-IE"/>
        </w:rPr>
        <w:t>that</w:t>
      </w:r>
      <w:r w:rsidR="00880FB7">
        <w:rPr>
          <w:noProof/>
          <w:lang w:val="en-IE"/>
        </w:rPr>
        <w:t xml:space="preserve"> end, harmonised rules on </w:t>
      </w:r>
      <w:r w:rsidR="00880FB7" w:rsidRPr="00650999">
        <w:rPr>
          <w:noProof/>
          <w:lang w:val="en-IE"/>
        </w:rPr>
        <w:t xml:space="preserve">data generation and data sharing </w:t>
      </w:r>
      <w:r w:rsidR="00880FB7">
        <w:rPr>
          <w:noProof/>
          <w:lang w:val="en-IE"/>
        </w:rPr>
        <w:t xml:space="preserve">for </w:t>
      </w:r>
      <w:r w:rsidR="007600CD">
        <w:rPr>
          <w:noProof/>
          <w:lang w:val="en-IE"/>
        </w:rPr>
        <w:t>s</w:t>
      </w:r>
      <w:r w:rsidR="007600CD" w:rsidRPr="002E27BC">
        <w:rPr>
          <w:noProof/>
          <w:lang w:val="en-IE"/>
        </w:rPr>
        <w:t>hort-term accommodation rental</w:t>
      </w:r>
      <w:r w:rsidR="007600CD" w:rsidRPr="00650999">
        <w:rPr>
          <w:noProof/>
          <w:lang w:val="en-IE"/>
        </w:rPr>
        <w:t xml:space="preserve"> </w:t>
      </w:r>
      <w:r w:rsidR="00880FB7" w:rsidRPr="00650999">
        <w:rPr>
          <w:noProof/>
          <w:lang w:val="en-IE"/>
        </w:rPr>
        <w:t>services</w:t>
      </w:r>
      <w:r w:rsidR="00BA6230">
        <w:rPr>
          <w:noProof/>
          <w:lang w:val="en-IE"/>
        </w:rPr>
        <w:t xml:space="preserve"> should be laid down</w:t>
      </w:r>
      <w:r w:rsidR="000E38A3">
        <w:rPr>
          <w:noProof/>
          <w:lang w:val="en-IE"/>
        </w:rPr>
        <w:t xml:space="preserve"> to </w:t>
      </w:r>
      <w:r w:rsidR="00F0672A">
        <w:rPr>
          <w:noProof/>
          <w:lang w:val="en-IE"/>
        </w:rPr>
        <w:t xml:space="preserve">increase access to and quality of data </w:t>
      </w:r>
      <w:r w:rsidR="008D2257">
        <w:rPr>
          <w:noProof/>
          <w:lang w:val="en-IE"/>
        </w:rPr>
        <w:t xml:space="preserve">for public authorities </w:t>
      </w:r>
      <w:r w:rsidR="00F0672A">
        <w:rPr>
          <w:noProof/>
          <w:lang w:val="en-IE"/>
        </w:rPr>
        <w:t xml:space="preserve">on the provision of </w:t>
      </w:r>
      <w:r w:rsidR="007600CD">
        <w:rPr>
          <w:noProof/>
          <w:lang w:val="en-IE"/>
        </w:rPr>
        <w:t>s</w:t>
      </w:r>
      <w:r w:rsidR="007600CD" w:rsidRPr="002E27BC">
        <w:rPr>
          <w:noProof/>
          <w:lang w:val="en-IE"/>
        </w:rPr>
        <w:t>hort-term accommodation rental</w:t>
      </w:r>
      <w:r w:rsidR="007600CD">
        <w:rPr>
          <w:noProof/>
          <w:lang w:val="en-IE"/>
        </w:rPr>
        <w:t xml:space="preserve"> </w:t>
      </w:r>
      <w:r w:rsidR="00F0672A">
        <w:rPr>
          <w:noProof/>
          <w:lang w:val="en-IE"/>
        </w:rPr>
        <w:t>services</w:t>
      </w:r>
      <w:r w:rsidR="002E708E">
        <w:rPr>
          <w:noProof/>
          <w:lang w:val="en-IE"/>
        </w:rPr>
        <w:t xml:space="preserve">, which in turn </w:t>
      </w:r>
      <w:r w:rsidR="002F0B0C">
        <w:rPr>
          <w:noProof/>
          <w:lang w:val="en-IE"/>
        </w:rPr>
        <w:t xml:space="preserve">should </w:t>
      </w:r>
      <w:r w:rsidR="001025AF">
        <w:rPr>
          <w:noProof/>
          <w:lang w:val="en-IE"/>
        </w:rPr>
        <w:t xml:space="preserve">enable </w:t>
      </w:r>
      <w:r w:rsidR="002E708E">
        <w:rPr>
          <w:noProof/>
          <w:lang w:val="en-IE"/>
        </w:rPr>
        <w:t xml:space="preserve">them </w:t>
      </w:r>
      <w:r w:rsidR="00F0672A">
        <w:rPr>
          <w:noProof/>
          <w:lang w:val="en-IE"/>
        </w:rPr>
        <w:t xml:space="preserve">to design </w:t>
      </w:r>
      <w:r w:rsidR="001025AF">
        <w:rPr>
          <w:noProof/>
          <w:lang w:val="en-IE"/>
        </w:rPr>
        <w:t>and implement policies on such services in an effective and proportionate manner</w:t>
      </w:r>
      <w:r w:rsidR="00F0672A">
        <w:rPr>
          <w:noProof/>
          <w:lang w:val="en-IE"/>
        </w:rPr>
        <w:t>.</w:t>
      </w:r>
    </w:p>
    <w:p w:rsidR="007341FB" w:rsidRPr="00913022" w:rsidRDefault="00795BB5" w:rsidP="00795BB5">
      <w:pPr>
        <w:pStyle w:val="ManualConsidrant"/>
        <w:rPr>
          <w:noProof/>
          <w:lang w:val="en-IE"/>
        </w:rPr>
      </w:pPr>
      <w:r w:rsidRPr="00795BB5">
        <w:t>(4)</w:t>
      </w:r>
      <w:r w:rsidRPr="00795BB5">
        <w:tab/>
      </w:r>
      <w:r w:rsidR="00366DAC">
        <w:rPr>
          <w:noProof/>
          <w:lang w:val="en-IE"/>
        </w:rPr>
        <w:t xml:space="preserve">Rules should be laid down to harmonise transparency requirements for the provision of </w:t>
      </w:r>
      <w:r w:rsidR="007600CD">
        <w:rPr>
          <w:noProof/>
          <w:lang w:val="en-IE"/>
        </w:rPr>
        <w:t>s</w:t>
      </w:r>
      <w:r w:rsidR="007600CD" w:rsidRPr="002E27BC">
        <w:rPr>
          <w:noProof/>
          <w:lang w:val="en-IE"/>
        </w:rPr>
        <w:t>hort-term accommodation rental</w:t>
      </w:r>
      <w:r w:rsidR="007600CD">
        <w:rPr>
          <w:noProof/>
          <w:lang w:val="en-IE"/>
        </w:rPr>
        <w:t xml:space="preserve"> </w:t>
      </w:r>
      <w:r w:rsidR="00366DAC">
        <w:rPr>
          <w:noProof/>
          <w:lang w:val="en-IE"/>
        </w:rPr>
        <w:t>services through online short-term rental platforms in cases where Member States decide to impose such transparency requirements.</w:t>
      </w:r>
      <w:r w:rsidR="00EF3939">
        <w:rPr>
          <w:noProof/>
          <w:lang w:val="en-IE"/>
        </w:rPr>
        <w:t xml:space="preserve"> </w:t>
      </w:r>
      <w:r w:rsidR="00C763AE">
        <w:rPr>
          <w:noProof/>
          <w:lang w:val="en-IE"/>
        </w:rPr>
        <w:t xml:space="preserve">Accordingly, </w:t>
      </w:r>
      <w:r w:rsidR="004A2237">
        <w:rPr>
          <w:noProof/>
          <w:lang w:val="en-IE"/>
        </w:rPr>
        <w:t xml:space="preserve">harmonised </w:t>
      </w:r>
      <w:r w:rsidR="00BA6230">
        <w:rPr>
          <w:noProof/>
          <w:lang w:val="en-IE"/>
        </w:rPr>
        <w:t xml:space="preserve">rules should be provided </w:t>
      </w:r>
      <w:r w:rsidR="002B7182">
        <w:rPr>
          <w:noProof/>
          <w:lang w:val="en-IE"/>
        </w:rPr>
        <w:t>for</w:t>
      </w:r>
      <w:r w:rsidR="00C763AE">
        <w:rPr>
          <w:noProof/>
          <w:lang w:val="en-IE"/>
        </w:rPr>
        <w:t xml:space="preserve"> registration schemes </w:t>
      </w:r>
      <w:r w:rsidR="002E708E">
        <w:rPr>
          <w:noProof/>
          <w:lang w:val="en-IE"/>
        </w:rPr>
        <w:t>and data</w:t>
      </w:r>
      <w:r w:rsidR="008D2257">
        <w:rPr>
          <w:noProof/>
          <w:lang w:val="en-IE"/>
        </w:rPr>
        <w:t>-</w:t>
      </w:r>
      <w:r w:rsidR="002E708E">
        <w:rPr>
          <w:noProof/>
          <w:lang w:val="en-IE"/>
        </w:rPr>
        <w:t>sharing requ</w:t>
      </w:r>
      <w:r w:rsidR="006E58A7">
        <w:rPr>
          <w:noProof/>
          <w:lang w:val="en-IE"/>
        </w:rPr>
        <w:t>irements</w:t>
      </w:r>
      <w:r w:rsidR="002E708E">
        <w:rPr>
          <w:noProof/>
          <w:lang w:val="en-IE"/>
        </w:rPr>
        <w:t xml:space="preserve"> </w:t>
      </w:r>
      <w:r w:rsidR="000C6B55">
        <w:rPr>
          <w:noProof/>
          <w:lang w:val="en-IE"/>
        </w:rPr>
        <w:t xml:space="preserve">concerning online short-term rental platforms </w:t>
      </w:r>
      <w:r w:rsidR="00880FB7" w:rsidRPr="008F7877">
        <w:rPr>
          <w:noProof/>
          <w:lang w:val="en-IE"/>
        </w:rPr>
        <w:t xml:space="preserve">should </w:t>
      </w:r>
      <w:r w:rsidR="00C763AE" w:rsidRPr="008F7877">
        <w:rPr>
          <w:noProof/>
          <w:lang w:val="en-IE"/>
        </w:rPr>
        <w:t>Member States</w:t>
      </w:r>
      <w:r w:rsidR="00880FB7" w:rsidRPr="008F7877">
        <w:rPr>
          <w:noProof/>
          <w:lang w:val="en-IE"/>
        </w:rPr>
        <w:t xml:space="preserve"> decide</w:t>
      </w:r>
      <w:r w:rsidR="00880FB7" w:rsidRPr="002B7182">
        <w:rPr>
          <w:noProof/>
          <w:lang w:val="en-IE"/>
        </w:rPr>
        <w:t xml:space="preserve"> to put in place such </w:t>
      </w:r>
      <w:r w:rsidR="00366DAC">
        <w:rPr>
          <w:noProof/>
          <w:lang w:val="en-IE"/>
        </w:rPr>
        <w:t>schemes or requirements</w:t>
      </w:r>
      <w:r w:rsidR="00BA6230">
        <w:rPr>
          <w:noProof/>
          <w:lang w:val="en-IE"/>
        </w:rPr>
        <w:t>.</w:t>
      </w:r>
      <w:r w:rsidR="000C6B55">
        <w:rPr>
          <w:noProof/>
          <w:lang w:val="en-IE"/>
        </w:rPr>
        <w:t xml:space="preserve"> </w:t>
      </w:r>
      <w:r w:rsidR="000C6B55" w:rsidRPr="00906FC4">
        <w:rPr>
          <w:noProof/>
          <w:lang w:val="en-IE"/>
        </w:rPr>
        <w:t xml:space="preserve">To achieve effective harmonisation, </w:t>
      </w:r>
      <w:r w:rsidR="00C27010">
        <w:rPr>
          <w:noProof/>
          <w:lang w:val="en-IE"/>
        </w:rPr>
        <w:t xml:space="preserve">and to ensure a uniform application of the rules, </w:t>
      </w:r>
      <w:r w:rsidR="000C6B55" w:rsidRPr="00906FC4">
        <w:rPr>
          <w:noProof/>
          <w:lang w:val="en-IE"/>
        </w:rPr>
        <w:t>Member States will not be able to legislate on access to data from online short-term rental</w:t>
      </w:r>
      <w:r w:rsidR="000C6B55" w:rsidRPr="00AD37A5">
        <w:rPr>
          <w:noProof/>
          <w:lang w:val="en-IE"/>
        </w:rPr>
        <w:t xml:space="preserve"> platforms outside the specific regime laid down in the present Regulation.</w:t>
      </w:r>
      <w:r w:rsidR="000C6B55">
        <w:rPr>
          <w:noProof/>
          <w:lang w:val="en-IE"/>
        </w:rPr>
        <w:t xml:space="preserve"> Th</w:t>
      </w:r>
      <w:r w:rsidR="00AB6F68">
        <w:rPr>
          <w:noProof/>
          <w:lang w:val="en-IE"/>
        </w:rPr>
        <w:t xml:space="preserve">at is in order to ensure that </w:t>
      </w:r>
      <w:r w:rsidR="000C6B55">
        <w:rPr>
          <w:noProof/>
          <w:lang w:val="en-IE"/>
        </w:rPr>
        <w:t xml:space="preserve">Member States </w:t>
      </w:r>
      <w:r w:rsidR="00AB6F68">
        <w:rPr>
          <w:noProof/>
          <w:lang w:val="en-IE"/>
        </w:rPr>
        <w:t xml:space="preserve">do not </w:t>
      </w:r>
      <w:r w:rsidR="00597D34">
        <w:rPr>
          <w:noProof/>
          <w:lang w:val="en-IE"/>
        </w:rPr>
        <w:t xml:space="preserve">regulate the requests in question without </w:t>
      </w:r>
      <w:r w:rsidR="000C6B55">
        <w:rPr>
          <w:noProof/>
          <w:lang w:val="en-IE"/>
        </w:rPr>
        <w:t>put</w:t>
      </w:r>
      <w:r w:rsidR="00597D34">
        <w:rPr>
          <w:noProof/>
          <w:lang w:val="en-IE"/>
        </w:rPr>
        <w:t>ting</w:t>
      </w:r>
      <w:r w:rsidR="000C6B55">
        <w:rPr>
          <w:noProof/>
          <w:lang w:val="en-IE"/>
        </w:rPr>
        <w:t xml:space="preserve"> in place the necessary registration schemes, databases and single digital entry point </w:t>
      </w:r>
      <w:r w:rsidR="00C27010">
        <w:rPr>
          <w:noProof/>
          <w:lang w:val="en-IE"/>
        </w:rPr>
        <w:t xml:space="preserve">and </w:t>
      </w:r>
      <w:r w:rsidR="000C6B55">
        <w:rPr>
          <w:noProof/>
          <w:lang w:val="en-IE"/>
        </w:rPr>
        <w:t>to facilitate proportionate, privacy-compliant and secure data sharing by online short-term rental platforms within the internal market.</w:t>
      </w:r>
      <w:r w:rsidR="00880FB7">
        <w:rPr>
          <w:noProof/>
          <w:lang w:val="en-IE"/>
        </w:rPr>
        <w:t xml:space="preserve"> </w:t>
      </w:r>
      <w:r w:rsidR="00AB6F68">
        <w:rPr>
          <w:noProof/>
          <w:lang w:val="en-IE"/>
        </w:rPr>
        <w:t xml:space="preserve">This Regulation does not affect </w:t>
      </w:r>
      <w:r w:rsidR="00E56F73" w:rsidRPr="000928C6">
        <w:rPr>
          <w:noProof/>
          <w:lang w:val="en-IE"/>
        </w:rPr>
        <w:t xml:space="preserve">Member </w:t>
      </w:r>
      <w:r w:rsidR="00AB6F68" w:rsidRPr="000928C6">
        <w:rPr>
          <w:noProof/>
          <w:lang w:val="en-IE"/>
        </w:rPr>
        <w:t>States</w:t>
      </w:r>
      <w:r w:rsidR="00AB6F68">
        <w:rPr>
          <w:noProof/>
          <w:lang w:val="en-IE"/>
        </w:rPr>
        <w:t>’ competence</w:t>
      </w:r>
      <w:r w:rsidR="00E56F73" w:rsidRPr="000928C6">
        <w:rPr>
          <w:noProof/>
          <w:lang w:val="en-IE"/>
        </w:rPr>
        <w:t xml:space="preserve"> to adopt and maintain </w:t>
      </w:r>
      <w:r w:rsidR="006E58A7" w:rsidRPr="000928C6">
        <w:rPr>
          <w:noProof/>
          <w:lang w:val="en-IE"/>
        </w:rPr>
        <w:t xml:space="preserve">market access </w:t>
      </w:r>
      <w:r w:rsidR="00880FB7" w:rsidRPr="000928C6">
        <w:rPr>
          <w:noProof/>
          <w:lang w:val="en-IE"/>
        </w:rPr>
        <w:t xml:space="preserve">requirements </w:t>
      </w:r>
      <w:r w:rsidR="008D2257" w:rsidRPr="000928C6">
        <w:rPr>
          <w:noProof/>
          <w:lang w:val="en-IE"/>
        </w:rPr>
        <w:t xml:space="preserve">relating to </w:t>
      </w:r>
      <w:r w:rsidR="00E56F73" w:rsidRPr="000928C6">
        <w:rPr>
          <w:noProof/>
          <w:lang w:val="en-IE"/>
        </w:rPr>
        <w:t xml:space="preserve">the provision of </w:t>
      </w:r>
      <w:r w:rsidR="007600CD">
        <w:rPr>
          <w:noProof/>
          <w:lang w:val="en-IE"/>
        </w:rPr>
        <w:t>s</w:t>
      </w:r>
      <w:r w:rsidR="007600CD" w:rsidRPr="002E27BC">
        <w:rPr>
          <w:noProof/>
          <w:lang w:val="en-IE"/>
        </w:rPr>
        <w:t>hort-term accommodation rental</w:t>
      </w:r>
      <w:r w:rsidR="007600CD" w:rsidRPr="000928C6" w:rsidDel="007600CD">
        <w:rPr>
          <w:noProof/>
          <w:lang w:val="en-IE"/>
        </w:rPr>
        <w:t xml:space="preserve"> </w:t>
      </w:r>
      <w:r w:rsidR="00E56F73" w:rsidRPr="000928C6">
        <w:rPr>
          <w:noProof/>
          <w:lang w:val="en-IE"/>
        </w:rPr>
        <w:t xml:space="preserve">services by </w:t>
      </w:r>
      <w:r w:rsidR="006D508E" w:rsidRPr="000928C6">
        <w:rPr>
          <w:noProof/>
          <w:lang w:val="en-IE"/>
        </w:rPr>
        <w:t>hosts</w:t>
      </w:r>
      <w:r w:rsidR="00AB6F68">
        <w:rPr>
          <w:noProof/>
          <w:lang w:val="en-IE"/>
        </w:rPr>
        <w:t>, including</w:t>
      </w:r>
      <w:r w:rsidR="008D2257" w:rsidRPr="000928C6">
        <w:rPr>
          <w:noProof/>
          <w:lang w:val="en-IE"/>
        </w:rPr>
        <w:t xml:space="preserve"> </w:t>
      </w:r>
      <w:r w:rsidR="00E56F73" w:rsidRPr="000928C6">
        <w:rPr>
          <w:noProof/>
          <w:lang w:val="en-IE"/>
        </w:rPr>
        <w:t>health and safety requirements</w:t>
      </w:r>
      <w:r w:rsidR="00880FB7" w:rsidRPr="000928C6">
        <w:rPr>
          <w:noProof/>
          <w:lang w:val="en-IE"/>
        </w:rPr>
        <w:t xml:space="preserve">, </w:t>
      </w:r>
      <w:r w:rsidR="00E56F73" w:rsidRPr="000928C6">
        <w:rPr>
          <w:noProof/>
          <w:lang w:val="en-IE"/>
        </w:rPr>
        <w:t xml:space="preserve">minimum </w:t>
      </w:r>
      <w:r w:rsidR="00E56F73" w:rsidRPr="002C2744">
        <w:rPr>
          <w:noProof/>
          <w:lang w:val="en-IE"/>
        </w:rPr>
        <w:t>quality standards</w:t>
      </w:r>
      <w:r w:rsidR="00880FB7" w:rsidRPr="000928C6">
        <w:rPr>
          <w:noProof/>
          <w:lang w:val="en-IE"/>
        </w:rPr>
        <w:t xml:space="preserve"> or quantitative restrictions</w:t>
      </w:r>
      <w:r w:rsidR="00AB6F68">
        <w:rPr>
          <w:noProof/>
          <w:lang w:val="en-IE"/>
        </w:rPr>
        <w:t>,</w:t>
      </w:r>
      <w:r w:rsidR="00E56F73" w:rsidRPr="000928C6">
        <w:rPr>
          <w:noProof/>
          <w:lang w:val="en-IE"/>
        </w:rPr>
        <w:t xml:space="preserve"> </w:t>
      </w:r>
      <w:r w:rsidR="00366DAC">
        <w:rPr>
          <w:noProof/>
          <w:lang w:val="en-IE"/>
        </w:rPr>
        <w:t xml:space="preserve">provided that </w:t>
      </w:r>
      <w:r w:rsidR="00880FB7" w:rsidRPr="000928C6">
        <w:rPr>
          <w:noProof/>
          <w:lang w:val="en-IE"/>
        </w:rPr>
        <w:t xml:space="preserve">such requirements </w:t>
      </w:r>
      <w:r w:rsidR="00EF3939" w:rsidRPr="000928C6">
        <w:rPr>
          <w:noProof/>
          <w:lang w:val="en-IE"/>
        </w:rPr>
        <w:t xml:space="preserve">are necessary and proportionate to protect public interest objectives, </w:t>
      </w:r>
      <w:r w:rsidR="00E56F73" w:rsidRPr="000928C6">
        <w:rPr>
          <w:noProof/>
          <w:lang w:val="en-IE"/>
        </w:rPr>
        <w:t xml:space="preserve">in </w:t>
      </w:r>
      <w:r w:rsidR="006D508E" w:rsidRPr="000928C6">
        <w:rPr>
          <w:noProof/>
          <w:lang w:val="en-IE"/>
        </w:rPr>
        <w:t xml:space="preserve">accordance </w:t>
      </w:r>
      <w:r w:rsidR="00E56F73" w:rsidRPr="000928C6">
        <w:rPr>
          <w:noProof/>
          <w:lang w:val="en-IE"/>
        </w:rPr>
        <w:t>with the provisions of the Treaty on the Functioning of the European Union and Directive 2006/123</w:t>
      </w:r>
      <w:r w:rsidR="00B947DD" w:rsidRPr="000928C6">
        <w:rPr>
          <w:noProof/>
        </w:rPr>
        <w:t>/EC of the European Parliament and of the Council</w:t>
      </w:r>
      <w:r w:rsidR="005F59BD" w:rsidRPr="0045553B">
        <w:rPr>
          <w:rStyle w:val="FootnoteReference"/>
          <w:noProof/>
        </w:rPr>
        <w:footnoteReference w:id="26"/>
      </w:r>
      <w:r w:rsidR="00E56F73" w:rsidRPr="0045553B">
        <w:rPr>
          <w:noProof/>
          <w:lang w:val="en-IE"/>
        </w:rPr>
        <w:t>.</w:t>
      </w:r>
      <w:r w:rsidR="00E56F73" w:rsidRPr="00913022">
        <w:rPr>
          <w:noProof/>
          <w:lang w:val="en-IE"/>
        </w:rPr>
        <w:t xml:space="preserve"> </w:t>
      </w:r>
      <w:r w:rsidR="00CC4A68">
        <w:rPr>
          <w:noProof/>
          <w:lang w:val="en-IE"/>
        </w:rPr>
        <w:t xml:space="preserve">The </w:t>
      </w:r>
      <w:r w:rsidR="00C70F3C" w:rsidRPr="00913022">
        <w:rPr>
          <w:noProof/>
          <w:lang w:val="en-IE"/>
        </w:rPr>
        <w:t xml:space="preserve">availability of reliable data </w:t>
      </w:r>
      <w:r w:rsidR="00CC4A68">
        <w:rPr>
          <w:noProof/>
          <w:lang w:val="en-IE"/>
        </w:rPr>
        <w:t xml:space="preserve">on a uniform basis </w:t>
      </w:r>
      <w:r w:rsidR="00880FB7">
        <w:rPr>
          <w:noProof/>
          <w:lang w:val="en-IE"/>
        </w:rPr>
        <w:t xml:space="preserve">should </w:t>
      </w:r>
      <w:r w:rsidR="00C70F3C" w:rsidRPr="00913022">
        <w:rPr>
          <w:noProof/>
          <w:lang w:val="en-IE"/>
        </w:rPr>
        <w:t>support Member States</w:t>
      </w:r>
      <w:r w:rsidR="00880FB7">
        <w:rPr>
          <w:noProof/>
          <w:lang w:val="en-IE"/>
        </w:rPr>
        <w:t>’ efforts</w:t>
      </w:r>
      <w:r w:rsidR="00C70F3C" w:rsidRPr="00913022">
        <w:rPr>
          <w:noProof/>
          <w:lang w:val="en-IE"/>
        </w:rPr>
        <w:t xml:space="preserve"> in </w:t>
      </w:r>
      <w:r w:rsidR="00355A72" w:rsidRPr="00913022">
        <w:rPr>
          <w:noProof/>
          <w:lang w:val="en-IE"/>
        </w:rPr>
        <w:t xml:space="preserve">developing policies and regulations that </w:t>
      </w:r>
      <w:r w:rsidR="00C70F3C" w:rsidRPr="00913022">
        <w:rPr>
          <w:noProof/>
          <w:lang w:val="en-IE"/>
        </w:rPr>
        <w:t>compl</w:t>
      </w:r>
      <w:r w:rsidR="00355A72" w:rsidRPr="00913022">
        <w:rPr>
          <w:noProof/>
          <w:lang w:val="en-IE"/>
        </w:rPr>
        <w:t>y</w:t>
      </w:r>
      <w:r w:rsidR="00C70F3C" w:rsidRPr="00913022">
        <w:rPr>
          <w:noProof/>
          <w:lang w:val="en-IE"/>
        </w:rPr>
        <w:t xml:space="preserve"> with Union law.</w:t>
      </w:r>
      <w:r w:rsidR="005F3D54">
        <w:rPr>
          <w:noProof/>
          <w:lang w:val="en-IE"/>
        </w:rPr>
        <w:t xml:space="preserve"> </w:t>
      </w:r>
      <w:r w:rsidR="005F3D54" w:rsidRPr="001A6DC1">
        <w:rPr>
          <w:noProof/>
          <w:lang w:val="en-IE"/>
        </w:rPr>
        <w:t xml:space="preserve">In fact, as the </w:t>
      </w:r>
      <w:r w:rsidR="001A6DC1" w:rsidRPr="001A6DC1">
        <w:rPr>
          <w:noProof/>
          <w:lang w:val="en-IE"/>
        </w:rPr>
        <w:t>case-law of the Court of Justice of the European Union</w:t>
      </w:r>
      <w:r w:rsidR="005F3D54">
        <w:rPr>
          <w:noProof/>
          <w:lang w:val="en-IE"/>
        </w:rPr>
        <w:t xml:space="preserve"> made clear, Member States are required to justify possible market access restrictions for hosts on the basis of data and evidence.</w:t>
      </w:r>
      <w:r w:rsidR="00C70F3C" w:rsidRPr="00913022">
        <w:rPr>
          <w:noProof/>
          <w:lang w:val="en-IE"/>
        </w:rPr>
        <w:t xml:space="preserve"> </w:t>
      </w:r>
    </w:p>
    <w:p w:rsidR="0040512B" w:rsidRPr="00FC4AAF" w:rsidRDefault="00795BB5" w:rsidP="00795BB5">
      <w:pPr>
        <w:pStyle w:val="ManualConsidrant"/>
        <w:rPr>
          <w:noProof/>
          <w:lang w:val="en-IE"/>
        </w:rPr>
      </w:pPr>
      <w:r w:rsidRPr="00795BB5">
        <w:t>(5)</w:t>
      </w:r>
      <w:r w:rsidRPr="00795BB5">
        <w:tab/>
      </w:r>
      <w:r w:rsidR="00366DAC">
        <w:rPr>
          <w:noProof/>
          <w:lang w:val="en-IE"/>
        </w:rPr>
        <w:t>This Regulation is not intended</w:t>
      </w:r>
      <w:r w:rsidR="007C3062" w:rsidRPr="00FC4AAF">
        <w:rPr>
          <w:noProof/>
          <w:lang w:val="en-IE"/>
        </w:rPr>
        <w:t xml:space="preserve"> to </w:t>
      </w:r>
      <w:r w:rsidR="00366DAC">
        <w:rPr>
          <w:noProof/>
          <w:lang w:val="en-IE"/>
        </w:rPr>
        <w:t>ensure</w:t>
      </w:r>
      <w:r w:rsidR="00366DAC" w:rsidRPr="00FC4AAF">
        <w:rPr>
          <w:noProof/>
          <w:lang w:val="en-IE"/>
        </w:rPr>
        <w:t xml:space="preserve"> </w:t>
      </w:r>
      <w:r w:rsidR="007C3062" w:rsidRPr="00FC4AAF">
        <w:rPr>
          <w:noProof/>
          <w:lang w:val="en-IE"/>
        </w:rPr>
        <w:t xml:space="preserve">compliance with </w:t>
      </w:r>
      <w:r w:rsidR="00113B2E" w:rsidRPr="00FC4AAF">
        <w:rPr>
          <w:noProof/>
          <w:lang w:val="en-IE"/>
        </w:rPr>
        <w:t xml:space="preserve">customs </w:t>
      </w:r>
      <w:r w:rsidR="00366DAC">
        <w:rPr>
          <w:noProof/>
          <w:lang w:val="en-IE"/>
        </w:rPr>
        <w:t>or</w:t>
      </w:r>
      <w:r w:rsidR="00366DAC" w:rsidRPr="00FC4AAF">
        <w:rPr>
          <w:noProof/>
          <w:lang w:val="en-IE"/>
        </w:rPr>
        <w:t xml:space="preserve"> </w:t>
      </w:r>
      <w:r w:rsidR="007C3062" w:rsidRPr="00FC4AAF">
        <w:rPr>
          <w:noProof/>
          <w:lang w:val="en-IE"/>
        </w:rPr>
        <w:t xml:space="preserve">taxation </w:t>
      </w:r>
      <w:r w:rsidR="00432581" w:rsidRPr="00FC4AAF">
        <w:rPr>
          <w:noProof/>
          <w:lang w:val="en-IE"/>
        </w:rPr>
        <w:t>rules</w:t>
      </w:r>
      <w:r w:rsidR="00432581">
        <w:rPr>
          <w:noProof/>
          <w:lang w:val="en-IE"/>
        </w:rPr>
        <w:t xml:space="preserve"> </w:t>
      </w:r>
      <w:r w:rsidR="00AB6F68">
        <w:rPr>
          <w:noProof/>
          <w:lang w:val="en-IE"/>
        </w:rPr>
        <w:t xml:space="preserve">and </w:t>
      </w:r>
      <w:r w:rsidR="002E708E">
        <w:rPr>
          <w:noProof/>
          <w:lang w:val="en-IE"/>
        </w:rPr>
        <w:t xml:space="preserve">does </w:t>
      </w:r>
      <w:r w:rsidR="00AB6F68">
        <w:rPr>
          <w:noProof/>
          <w:lang w:val="en-IE"/>
        </w:rPr>
        <w:t>not</w:t>
      </w:r>
      <w:r w:rsidR="002E708E">
        <w:rPr>
          <w:noProof/>
          <w:lang w:val="en-IE"/>
        </w:rPr>
        <w:t xml:space="preserve"> affect Member States’ </w:t>
      </w:r>
      <w:r w:rsidR="002E708E" w:rsidRPr="000A3CAF">
        <w:rPr>
          <w:noProof/>
          <w:lang w:val="en-IE"/>
        </w:rPr>
        <w:t>competences in</w:t>
      </w:r>
      <w:r w:rsidR="007C3062" w:rsidRPr="000A3CAF">
        <w:rPr>
          <w:noProof/>
          <w:lang w:val="en-IE"/>
        </w:rPr>
        <w:t xml:space="preserve"> the area of criminal offences</w:t>
      </w:r>
      <w:r w:rsidR="007C3062" w:rsidRPr="00FC4AAF">
        <w:rPr>
          <w:noProof/>
          <w:lang w:val="en-IE"/>
        </w:rPr>
        <w:t xml:space="preserve">. </w:t>
      </w:r>
      <w:r w:rsidR="00366DAC">
        <w:rPr>
          <w:noProof/>
          <w:lang w:val="en-IE"/>
        </w:rPr>
        <w:t>A</w:t>
      </w:r>
      <w:r w:rsidR="00234738" w:rsidRPr="00FC4AAF">
        <w:rPr>
          <w:noProof/>
          <w:lang w:val="en-IE"/>
        </w:rPr>
        <w:t>ccordingly</w:t>
      </w:r>
      <w:r w:rsidR="00366DAC">
        <w:rPr>
          <w:noProof/>
          <w:lang w:val="en-IE"/>
        </w:rPr>
        <w:t>, it</w:t>
      </w:r>
      <w:r w:rsidR="00234738" w:rsidRPr="00FC4AAF">
        <w:rPr>
          <w:noProof/>
          <w:lang w:val="en-IE"/>
        </w:rPr>
        <w:t xml:space="preserve"> do</w:t>
      </w:r>
      <w:r w:rsidR="00366DAC">
        <w:rPr>
          <w:noProof/>
          <w:lang w:val="en-IE"/>
        </w:rPr>
        <w:t>es</w:t>
      </w:r>
      <w:r w:rsidR="00234738" w:rsidRPr="00FC4AAF">
        <w:rPr>
          <w:noProof/>
          <w:lang w:val="en-IE"/>
        </w:rPr>
        <w:t xml:space="preserve"> not affect </w:t>
      </w:r>
      <w:r w:rsidR="00113B2E" w:rsidRPr="006D1C73">
        <w:rPr>
          <w:noProof/>
          <w:lang w:val="en-IE"/>
        </w:rPr>
        <w:t xml:space="preserve">the competence of Member States or of the Union in those fields or any </w:t>
      </w:r>
      <w:r w:rsidR="00234738" w:rsidRPr="00FC4AAF">
        <w:rPr>
          <w:noProof/>
          <w:lang w:val="en-IE"/>
        </w:rPr>
        <w:t xml:space="preserve">instruments </w:t>
      </w:r>
      <w:r w:rsidR="00113B2E" w:rsidRPr="006D1C73">
        <w:rPr>
          <w:noProof/>
          <w:lang w:val="en-IE"/>
        </w:rPr>
        <w:t>of national or Union law</w:t>
      </w:r>
      <w:r w:rsidR="00113B2E" w:rsidRPr="00FC4AAF">
        <w:rPr>
          <w:noProof/>
          <w:lang w:val="en-IE"/>
        </w:rPr>
        <w:t xml:space="preserve"> adopted pursuant to such competence </w:t>
      </w:r>
      <w:r w:rsidR="00234738" w:rsidRPr="00FC4AAF">
        <w:rPr>
          <w:noProof/>
          <w:lang w:val="en-IE"/>
        </w:rPr>
        <w:t>for the access</w:t>
      </w:r>
      <w:r w:rsidR="00113B2E" w:rsidRPr="00FC4AAF">
        <w:rPr>
          <w:noProof/>
          <w:lang w:val="en-IE"/>
        </w:rPr>
        <w:t>,</w:t>
      </w:r>
      <w:r w:rsidR="00234738" w:rsidRPr="00FC4AAF">
        <w:rPr>
          <w:noProof/>
          <w:lang w:val="en-IE"/>
        </w:rPr>
        <w:t xml:space="preserve"> </w:t>
      </w:r>
      <w:r w:rsidR="00113B2E" w:rsidRPr="00FC4AAF">
        <w:rPr>
          <w:noProof/>
          <w:lang w:val="en-IE"/>
        </w:rPr>
        <w:t xml:space="preserve">sharing, </w:t>
      </w:r>
      <w:r w:rsidR="00234738" w:rsidRPr="00FC4AAF">
        <w:rPr>
          <w:noProof/>
          <w:lang w:val="en-IE"/>
        </w:rPr>
        <w:t>and use of data in those areas</w:t>
      </w:r>
      <w:r w:rsidR="00113B2E" w:rsidRPr="00FC4AAF">
        <w:rPr>
          <w:noProof/>
          <w:lang w:val="en-IE"/>
        </w:rPr>
        <w:t>.</w:t>
      </w:r>
      <w:r w:rsidR="0048525D">
        <w:rPr>
          <w:noProof/>
          <w:lang w:val="en-IE"/>
        </w:rPr>
        <w:t xml:space="preserve"> Therefore, possible future use of personal data processed pursuant to the Regulation for law enforcement or for taxation and customs purposes should be excluded.</w:t>
      </w:r>
    </w:p>
    <w:p w:rsidR="00FD4CDD" w:rsidRPr="00400470" w:rsidRDefault="00795BB5" w:rsidP="00795BB5">
      <w:pPr>
        <w:pStyle w:val="ManualConsidrant"/>
        <w:rPr>
          <w:i/>
          <w:noProof/>
          <w:lang w:val="en-IE"/>
        </w:rPr>
      </w:pPr>
      <w:r w:rsidRPr="00795BB5">
        <w:t>(6)</w:t>
      </w:r>
      <w:r w:rsidRPr="00795BB5">
        <w:tab/>
      </w:r>
      <w:r w:rsidR="00366DAC">
        <w:rPr>
          <w:noProof/>
        </w:rPr>
        <w:t>This</w:t>
      </w:r>
      <w:r w:rsidR="00A92220">
        <w:rPr>
          <w:noProof/>
        </w:rPr>
        <w:t xml:space="preserve"> Regulation</w:t>
      </w:r>
      <w:r w:rsidR="00BA6230">
        <w:rPr>
          <w:noProof/>
        </w:rPr>
        <w:t xml:space="preserve"> should apply </w:t>
      </w:r>
      <w:r w:rsidR="002E708E">
        <w:rPr>
          <w:noProof/>
        </w:rPr>
        <w:t xml:space="preserve">to </w:t>
      </w:r>
      <w:r w:rsidR="002A2B8D">
        <w:rPr>
          <w:noProof/>
        </w:rPr>
        <w:t>service</w:t>
      </w:r>
      <w:r w:rsidR="00716385">
        <w:rPr>
          <w:noProof/>
        </w:rPr>
        <w:t>s</w:t>
      </w:r>
      <w:r w:rsidR="002A2B8D">
        <w:rPr>
          <w:noProof/>
        </w:rPr>
        <w:t xml:space="preserve"> </w:t>
      </w:r>
      <w:r w:rsidR="00234738" w:rsidRPr="00400470">
        <w:rPr>
          <w:noProof/>
        </w:rPr>
        <w:t>consisting</w:t>
      </w:r>
      <w:r w:rsidR="002A2B8D" w:rsidRPr="00400470">
        <w:rPr>
          <w:noProof/>
        </w:rPr>
        <w:t xml:space="preserve"> in the </w:t>
      </w:r>
      <w:r w:rsidR="00234738" w:rsidRPr="00400470">
        <w:rPr>
          <w:noProof/>
        </w:rPr>
        <w:t xml:space="preserve">short-term </w:t>
      </w:r>
      <w:r w:rsidR="002A2B8D" w:rsidRPr="00400470">
        <w:rPr>
          <w:noProof/>
        </w:rPr>
        <w:t>letting</w:t>
      </w:r>
      <w:r w:rsidR="00716385" w:rsidRPr="00400470">
        <w:rPr>
          <w:noProof/>
        </w:rPr>
        <w:t xml:space="preserve"> of </w:t>
      </w:r>
      <w:r w:rsidR="00234738" w:rsidRPr="00400470">
        <w:rPr>
          <w:noProof/>
        </w:rPr>
        <w:t xml:space="preserve">furnished </w:t>
      </w:r>
      <w:r w:rsidR="00716385" w:rsidRPr="00400470">
        <w:rPr>
          <w:noProof/>
        </w:rPr>
        <w:t>accommodation</w:t>
      </w:r>
      <w:r w:rsidR="00234738" w:rsidRPr="00400470">
        <w:rPr>
          <w:noProof/>
        </w:rPr>
        <w:t xml:space="preserve">, </w:t>
      </w:r>
      <w:r w:rsidR="00936DAE">
        <w:rPr>
          <w:noProof/>
        </w:rPr>
        <w:t>against</w:t>
      </w:r>
      <w:r w:rsidR="00936DAE" w:rsidRPr="00400470">
        <w:rPr>
          <w:noProof/>
        </w:rPr>
        <w:t xml:space="preserve"> </w:t>
      </w:r>
      <w:r w:rsidR="00ED079B" w:rsidRPr="00400470">
        <w:rPr>
          <w:noProof/>
        </w:rPr>
        <w:t>remuneration,</w:t>
      </w:r>
      <w:r w:rsidR="002A2B8D" w:rsidRPr="00400470">
        <w:rPr>
          <w:noProof/>
        </w:rPr>
        <w:t xml:space="preserve"> whether on a professional or non-professional basis. </w:t>
      </w:r>
      <w:r w:rsidR="007600CD">
        <w:rPr>
          <w:noProof/>
          <w:lang w:val="en-IE"/>
        </w:rPr>
        <w:t>S</w:t>
      </w:r>
      <w:r w:rsidR="007600CD" w:rsidRPr="002E27BC">
        <w:rPr>
          <w:noProof/>
          <w:lang w:val="en-IE"/>
        </w:rPr>
        <w:t>hort-term accommodation rental</w:t>
      </w:r>
      <w:r w:rsidR="007600CD">
        <w:rPr>
          <w:noProof/>
        </w:rPr>
        <w:t xml:space="preserve"> services </w:t>
      </w:r>
      <w:r w:rsidR="00CE40FE" w:rsidRPr="00400470">
        <w:rPr>
          <w:noProof/>
        </w:rPr>
        <w:t xml:space="preserve">can </w:t>
      </w:r>
      <w:r w:rsidR="004B77F5" w:rsidRPr="00400470">
        <w:rPr>
          <w:noProof/>
        </w:rPr>
        <w:t>concern</w:t>
      </w:r>
      <w:r w:rsidR="00CE40FE" w:rsidRPr="00400470">
        <w:rPr>
          <w:noProof/>
        </w:rPr>
        <w:t>, for example, a room in a host’s primary residence</w:t>
      </w:r>
      <w:r w:rsidR="007242F0">
        <w:rPr>
          <w:noProof/>
        </w:rPr>
        <w:t xml:space="preserve"> with the host present</w:t>
      </w:r>
      <w:r w:rsidR="00CE40FE" w:rsidRPr="00400470">
        <w:rPr>
          <w:noProof/>
        </w:rPr>
        <w:t xml:space="preserve">, a host’s primary or secondary residence rented out for a </w:t>
      </w:r>
      <w:r w:rsidR="004B77F5" w:rsidRPr="00400470">
        <w:rPr>
          <w:noProof/>
        </w:rPr>
        <w:t xml:space="preserve">limited </w:t>
      </w:r>
      <w:r w:rsidR="00B00E12" w:rsidRPr="00400470">
        <w:rPr>
          <w:noProof/>
        </w:rPr>
        <w:t xml:space="preserve">number </w:t>
      </w:r>
      <w:r w:rsidR="00CE40FE" w:rsidRPr="00400470">
        <w:rPr>
          <w:noProof/>
        </w:rPr>
        <w:t xml:space="preserve">of days per year, </w:t>
      </w:r>
      <w:r w:rsidR="00CB7DF4" w:rsidRPr="00400470">
        <w:rPr>
          <w:noProof/>
        </w:rPr>
        <w:t xml:space="preserve">or one or more </w:t>
      </w:r>
      <w:r w:rsidR="00400470">
        <w:rPr>
          <w:noProof/>
        </w:rPr>
        <w:t xml:space="preserve">properties </w:t>
      </w:r>
      <w:r w:rsidR="00CE40FE" w:rsidRPr="00400470">
        <w:rPr>
          <w:noProof/>
        </w:rPr>
        <w:t xml:space="preserve">bought by the host as an investment to be rented out </w:t>
      </w:r>
      <w:r w:rsidR="00CB7DF4" w:rsidRPr="00400470">
        <w:rPr>
          <w:noProof/>
        </w:rPr>
        <w:t xml:space="preserve">on </w:t>
      </w:r>
      <w:r w:rsidR="00644D2B">
        <w:rPr>
          <w:noProof/>
        </w:rPr>
        <w:t>a</w:t>
      </w:r>
      <w:r w:rsidR="00CB7DF4" w:rsidRPr="00400470">
        <w:rPr>
          <w:noProof/>
        </w:rPr>
        <w:t xml:space="preserve"> </w:t>
      </w:r>
      <w:r w:rsidR="00CE40FE" w:rsidRPr="00400470">
        <w:rPr>
          <w:noProof/>
        </w:rPr>
        <w:t xml:space="preserve">short-term </w:t>
      </w:r>
      <w:r w:rsidR="00C71183" w:rsidRPr="00400470">
        <w:rPr>
          <w:noProof/>
        </w:rPr>
        <w:t>basis</w:t>
      </w:r>
      <w:r w:rsidR="00FB561C">
        <w:rPr>
          <w:noProof/>
        </w:rPr>
        <w:t xml:space="preserve">, </w:t>
      </w:r>
      <w:r w:rsidR="00C71183" w:rsidRPr="00400470">
        <w:rPr>
          <w:noProof/>
        </w:rPr>
        <w:t xml:space="preserve">typically for less than a year </w:t>
      </w:r>
      <w:r w:rsidR="00CE40FE" w:rsidRPr="00400470">
        <w:rPr>
          <w:noProof/>
        </w:rPr>
        <w:t>throughout the year.</w:t>
      </w:r>
      <w:r w:rsidR="00CB7DF4" w:rsidRPr="00CB7DF4">
        <w:rPr>
          <w:noProof/>
        </w:rPr>
        <w:t xml:space="preserve"> </w:t>
      </w:r>
      <w:r w:rsidR="00400470">
        <w:rPr>
          <w:noProof/>
        </w:rPr>
        <w:t xml:space="preserve">The </w:t>
      </w:r>
      <w:r w:rsidR="00400470" w:rsidRPr="00400470">
        <w:rPr>
          <w:noProof/>
        </w:rPr>
        <w:t xml:space="preserve">provision of furnished </w:t>
      </w:r>
      <w:r w:rsidR="00400470">
        <w:rPr>
          <w:noProof/>
        </w:rPr>
        <w:t xml:space="preserve">accommodation </w:t>
      </w:r>
      <w:r w:rsidR="00400470" w:rsidRPr="00400470">
        <w:rPr>
          <w:noProof/>
        </w:rPr>
        <w:t xml:space="preserve">for more permanent use, typically </w:t>
      </w:r>
      <w:r w:rsidR="00400470">
        <w:rPr>
          <w:noProof/>
        </w:rPr>
        <w:t>for one year or more,</w:t>
      </w:r>
      <w:r w:rsidR="00FB561C">
        <w:rPr>
          <w:noProof/>
        </w:rPr>
        <w:t xml:space="preserve"> </w:t>
      </w:r>
      <w:r w:rsidR="007242F0">
        <w:rPr>
          <w:noProof/>
        </w:rPr>
        <w:t>sh</w:t>
      </w:r>
      <w:r w:rsidR="00FB561C">
        <w:rPr>
          <w:noProof/>
        </w:rPr>
        <w:t xml:space="preserve">ould </w:t>
      </w:r>
      <w:r w:rsidR="00400470">
        <w:rPr>
          <w:noProof/>
        </w:rPr>
        <w:t xml:space="preserve">not be considered to be provided on short-term basis. </w:t>
      </w:r>
      <w:r w:rsidR="00CB7DF4">
        <w:rPr>
          <w:noProof/>
        </w:rPr>
        <w:t xml:space="preserve">Short-term accommodation rental services </w:t>
      </w:r>
      <w:r w:rsidR="00CB7DF4" w:rsidRPr="00400470">
        <w:rPr>
          <w:noProof/>
        </w:rPr>
        <w:t xml:space="preserve">are not limited to </w:t>
      </w:r>
      <w:r w:rsidR="009451CC">
        <w:rPr>
          <w:noProof/>
        </w:rPr>
        <w:t xml:space="preserve">units let for </w:t>
      </w:r>
      <w:r w:rsidR="00CB7DF4" w:rsidRPr="00400470">
        <w:rPr>
          <w:noProof/>
        </w:rPr>
        <w:t xml:space="preserve">touristic or leisure purposes but </w:t>
      </w:r>
      <w:r w:rsidR="007242F0">
        <w:rPr>
          <w:noProof/>
        </w:rPr>
        <w:t xml:space="preserve">should </w:t>
      </w:r>
      <w:r w:rsidR="00CB7DF4" w:rsidRPr="00400470">
        <w:rPr>
          <w:noProof/>
        </w:rPr>
        <w:t xml:space="preserve">include short-term stays for </w:t>
      </w:r>
      <w:r w:rsidR="007242F0">
        <w:rPr>
          <w:noProof/>
        </w:rPr>
        <w:t xml:space="preserve">other purposes, such as </w:t>
      </w:r>
      <w:r w:rsidR="00CB7DF4" w:rsidRPr="00400470">
        <w:rPr>
          <w:noProof/>
        </w:rPr>
        <w:t>business or study.</w:t>
      </w:r>
    </w:p>
    <w:p w:rsidR="009F2F19" w:rsidRPr="00FF47FD" w:rsidRDefault="00795BB5" w:rsidP="00795BB5">
      <w:pPr>
        <w:pStyle w:val="ManualConsidrant"/>
        <w:rPr>
          <w:i/>
          <w:noProof/>
          <w:lang w:val="en-IE"/>
        </w:rPr>
      </w:pPr>
      <w:r w:rsidRPr="00795BB5">
        <w:t>(7)</w:t>
      </w:r>
      <w:r w:rsidRPr="00795BB5">
        <w:tab/>
      </w:r>
      <w:r w:rsidR="00DD72A3" w:rsidRPr="00FF47FD">
        <w:rPr>
          <w:noProof/>
          <w:lang w:val="en-IE"/>
        </w:rPr>
        <w:t xml:space="preserve">The </w:t>
      </w:r>
      <w:r w:rsidR="00314536" w:rsidRPr="00FF47FD">
        <w:rPr>
          <w:noProof/>
          <w:lang w:val="en-IE"/>
        </w:rPr>
        <w:t>rules</w:t>
      </w:r>
      <w:r w:rsidR="002B7182" w:rsidRPr="00FF47FD">
        <w:rPr>
          <w:noProof/>
          <w:lang w:val="en-IE"/>
        </w:rPr>
        <w:t xml:space="preserve"> laid down in this Regulation</w:t>
      </w:r>
      <w:r w:rsidR="00DD72A3" w:rsidRPr="00FF47FD">
        <w:rPr>
          <w:noProof/>
          <w:lang w:val="en-IE"/>
        </w:rPr>
        <w:t xml:space="preserve"> </w:t>
      </w:r>
      <w:r w:rsidR="00DD72A3" w:rsidRPr="00B10278">
        <w:rPr>
          <w:noProof/>
          <w:lang w:val="en-IE"/>
        </w:rPr>
        <w:t>should not apply</w:t>
      </w:r>
      <w:r w:rsidR="00DD72A3" w:rsidRPr="00FF47FD">
        <w:rPr>
          <w:noProof/>
          <w:lang w:val="en-IE"/>
        </w:rPr>
        <w:t xml:space="preserve"> to </w:t>
      </w:r>
      <w:r w:rsidR="009F2F19" w:rsidRPr="00FF47FD">
        <w:rPr>
          <w:noProof/>
          <w:lang w:val="en-IE"/>
        </w:rPr>
        <w:t xml:space="preserve">hotels and </w:t>
      </w:r>
      <w:r w:rsidR="002814F4">
        <w:rPr>
          <w:noProof/>
          <w:lang w:val="en-IE"/>
        </w:rPr>
        <w:t xml:space="preserve">other </w:t>
      </w:r>
      <w:r w:rsidR="009F2F19" w:rsidRPr="00FF47FD">
        <w:rPr>
          <w:noProof/>
          <w:lang w:val="en-IE"/>
        </w:rPr>
        <w:t xml:space="preserve">similar </w:t>
      </w:r>
      <w:r w:rsidR="00A66864" w:rsidRPr="00FF47FD">
        <w:rPr>
          <w:noProof/>
          <w:lang w:val="en-IE"/>
        </w:rPr>
        <w:t xml:space="preserve">tourist </w:t>
      </w:r>
      <w:r w:rsidR="009F2F19" w:rsidRPr="00FF47FD">
        <w:rPr>
          <w:noProof/>
          <w:lang w:val="en-IE"/>
        </w:rPr>
        <w:t>accommodations</w:t>
      </w:r>
      <w:r w:rsidR="00A66864" w:rsidRPr="00FF47FD">
        <w:rPr>
          <w:noProof/>
          <w:lang w:val="en-IE"/>
        </w:rPr>
        <w:t>,</w:t>
      </w:r>
      <w:r w:rsidR="009F2F19" w:rsidRPr="00FF47FD">
        <w:rPr>
          <w:noProof/>
          <w:lang w:val="en-IE"/>
        </w:rPr>
        <w:t xml:space="preserve"> including resort hotels, suite or apartment hotels</w:t>
      </w:r>
      <w:r w:rsidR="00CB7DF4" w:rsidRPr="00FF47FD">
        <w:rPr>
          <w:noProof/>
          <w:lang w:val="en-IE"/>
        </w:rPr>
        <w:t>, hostels</w:t>
      </w:r>
      <w:r w:rsidR="009F2F19" w:rsidRPr="00FF47FD">
        <w:rPr>
          <w:noProof/>
          <w:lang w:val="en-IE"/>
        </w:rPr>
        <w:t xml:space="preserve"> </w:t>
      </w:r>
      <w:r w:rsidR="00644D2B">
        <w:rPr>
          <w:noProof/>
          <w:lang w:val="en-IE"/>
        </w:rPr>
        <w:t>or</w:t>
      </w:r>
      <w:r w:rsidR="00644D2B" w:rsidRPr="00FF47FD">
        <w:rPr>
          <w:noProof/>
          <w:lang w:val="en-IE"/>
        </w:rPr>
        <w:t xml:space="preserve"> </w:t>
      </w:r>
      <w:r w:rsidR="009F2F19" w:rsidRPr="00FF47FD">
        <w:rPr>
          <w:noProof/>
          <w:lang w:val="en-IE"/>
        </w:rPr>
        <w:t>motels</w:t>
      </w:r>
      <w:r w:rsidR="00A66864" w:rsidRPr="00FF47FD">
        <w:rPr>
          <w:noProof/>
          <w:lang w:val="en-IE"/>
        </w:rPr>
        <w:t xml:space="preserve">, as their services </w:t>
      </w:r>
      <w:r w:rsidR="000A446B">
        <w:rPr>
          <w:noProof/>
        </w:rPr>
        <w:t>are</w:t>
      </w:r>
      <w:r w:rsidR="00435D8B">
        <w:rPr>
          <w:noProof/>
        </w:rPr>
        <w:t xml:space="preserve"> already</w:t>
      </w:r>
      <w:r w:rsidR="000A446B">
        <w:rPr>
          <w:noProof/>
        </w:rPr>
        <w:t xml:space="preserve"> covered by </w:t>
      </w:r>
      <w:r w:rsidR="000E13AF">
        <w:rPr>
          <w:noProof/>
        </w:rPr>
        <w:t xml:space="preserve">existing </w:t>
      </w:r>
      <w:r w:rsidR="00910318">
        <w:rPr>
          <w:noProof/>
        </w:rPr>
        <w:t xml:space="preserve">transparency and </w:t>
      </w:r>
      <w:r w:rsidR="000A446B">
        <w:rPr>
          <w:noProof/>
        </w:rPr>
        <w:t>reporting</w:t>
      </w:r>
      <w:r w:rsidR="000E13AF">
        <w:rPr>
          <w:noProof/>
        </w:rPr>
        <w:t xml:space="preserve"> obligations</w:t>
      </w:r>
      <w:r w:rsidR="000A446B">
        <w:rPr>
          <w:noProof/>
        </w:rPr>
        <w:t xml:space="preserve">, notably </w:t>
      </w:r>
      <w:r w:rsidR="00B00E12">
        <w:rPr>
          <w:noProof/>
        </w:rPr>
        <w:t xml:space="preserve">by </w:t>
      </w:r>
      <w:r w:rsidR="000A446B" w:rsidRPr="000A446B">
        <w:rPr>
          <w:noProof/>
        </w:rPr>
        <w:t>Regulation (EU) No 692/2011 of the European Parliament and of the Council</w:t>
      </w:r>
      <w:r w:rsidR="000E13AF" w:rsidRPr="0052431E">
        <w:rPr>
          <w:rStyle w:val="FootnoteReference"/>
          <w:noProof/>
        </w:rPr>
        <w:footnoteReference w:id="27"/>
      </w:r>
      <w:r w:rsidR="00ED079B" w:rsidRPr="0052431E">
        <w:rPr>
          <w:noProof/>
        </w:rPr>
        <w:t>.</w:t>
      </w:r>
      <w:r w:rsidR="00ED079B">
        <w:rPr>
          <w:noProof/>
        </w:rPr>
        <w:t xml:space="preserve"> </w:t>
      </w:r>
      <w:r w:rsidR="004F17B6">
        <w:rPr>
          <w:noProof/>
          <w:lang w:val="en-US"/>
        </w:rPr>
        <w:t xml:space="preserve">Accommodation provided </w:t>
      </w:r>
      <w:r w:rsidR="002C2744">
        <w:rPr>
          <w:noProof/>
          <w:lang w:val="en-US"/>
        </w:rPr>
        <w:t>o</w:t>
      </w:r>
      <w:r w:rsidR="004F17B6">
        <w:rPr>
          <w:noProof/>
          <w:lang w:val="en-US"/>
        </w:rPr>
        <w:t>n c</w:t>
      </w:r>
      <w:r w:rsidR="004F17B6" w:rsidRPr="002E761E">
        <w:rPr>
          <w:noProof/>
          <w:lang w:val="en-US"/>
        </w:rPr>
        <w:t xml:space="preserve">amping grounds, </w:t>
      </w:r>
      <w:r w:rsidR="002C2744">
        <w:rPr>
          <w:noProof/>
          <w:lang w:val="en-US"/>
        </w:rPr>
        <w:t xml:space="preserve">or in </w:t>
      </w:r>
      <w:r w:rsidR="004F17B6" w:rsidRPr="002E761E">
        <w:rPr>
          <w:noProof/>
          <w:lang w:val="en-US"/>
        </w:rPr>
        <w:t>recreational vehicle parks and trailer parks</w:t>
      </w:r>
      <w:r w:rsidR="00522291" w:rsidRPr="00FF47FD">
        <w:rPr>
          <w:noProof/>
          <w:lang w:val="en-IE"/>
        </w:rPr>
        <w:t xml:space="preserve">, </w:t>
      </w:r>
      <w:r w:rsidR="00611ADD">
        <w:rPr>
          <w:noProof/>
          <w:lang w:val="en-IE"/>
        </w:rPr>
        <w:t xml:space="preserve">such as </w:t>
      </w:r>
      <w:r w:rsidR="00522291" w:rsidRPr="00FF47FD">
        <w:rPr>
          <w:noProof/>
          <w:lang w:val="en-IE"/>
        </w:rPr>
        <w:t xml:space="preserve">tents, </w:t>
      </w:r>
      <w:r w:rsidR="00B00E12" w:rsidRPr="00FF47FD">
        <w:rPr>
          <w:noProof/>
          <w:lang w:val="en-IE"/>
        </w:rPr>
        <w:t xml:space="preserve">caravans </w:t>
      </w:r>
      <w:r w:rsidR="00522291" w:rsidRPr="00FF47FD">
        <w:rPr>
          <w:noProof/>
          <w:lang w:val="en-IE"/>
        </w:rPr>
        <w:t>or recreational vehicles</w:t>
      </w:r>
      <w:r w:rsidR="004F17B6">
        <w:rPr>
          <w:noProof/>
          <w:lang w:val="en-IE"/>
        </w:rPr>
        <w:t>,</w:t>
      </w:r>
      <w:r w:rsidR="00522291" w:rsidRPr="00FF47FD">
        <w:rPr>
          <w:noProof/>
          <w:lang w:val="en-IE"/>
        </w:rPr>
        <w:t xml:space="preserve"> </w:t>
      </w:r>
      <w:r w:rsidR="00314536" w:rsidRPr="00B10278">
        <w:rPr>
          <w:noProof/>
          <w:lang w:val="en-IE"/>
        </w:rPr>
        <w:t xml:space="preserve">should </w:t>
      </w:r>
      <w:r w:rsidR="00522291" w:rsidRPr="00B10278">
        <w:rPr>
          <w:noProof/>
          <w:lang w:val="en-IE"/>
        </w:rPr>
        <w:t xml:space="preserve">also not </w:t>
      </w:r>
      <w:r w:rsidR="00314536" w:rsidRPr="00B10278">
        <w:rPr>
          <w:noProof/>
          <w:lang w:val="en-IE"/>
        </w:rPr>
        <w:t xml:space="preserve">be </w:t>
      </w:r>
      <w:r w:rsidR="00522291" w:rsidRPr="00B10278">
        <w:rPr>
          <w:noProof/>
          <w:lang w:val="en-IE"/>
        </w:rPr>
        <w:t>covered</w:t>
      </w:r>
      <w:r w:rsidR="00522291" w:rsidRPr="00FF47FD">
        <w:rPr>
          <w:noProof/>
          <w:lang w:val="en-IE"/>
        </w:rPr>
        <w:t xml:space="preserve"> </w:t>
      </w:r>
      <w:r w:rsidR="001152C2" w:rsidRPr="00FF47FD">
        <w:rPr>
          <w:noProof/>
          <w:lang w:val="en-IE"/>
        </w:rPr>
        <w:t>by th</w:t>
      </w:r>
      <w:r w:rsidR="00730FE3" w:rsidRPr="00FF47FD">
        <w:rPr>
          <w:noProof/>
          <w:lang w:val="en-IE"/>
        </w:rPr>
        <w:t>os</w:t>
      </w:r>
      <w:r w:rsidR="00314536" w:rsidRPr="00FF47FD">
        <w:rPr>
          <w:noProof/>
          <w:lang w:val="en-IE"/>
        </w:rPr>
        <w:t>e rules</w:t>
      </w:r>
      <w:r w:rsidR="00644D2B">
        <w:rPr>
          <w:noProof/>
          <w:lang w:val="en-IE"/>
        </w:rPr>
        <w:t>,</w:t>
      </w:r>
      <w:r w:rsidR="00314536" w:rsidRPr="00FF47FD">
        <w:rPr>
          <w:noProof/>
          <w:lang w:val="en-IE"/>
        </w:rPr>
        <w:t xml:space="preserve"> </w:t>
      </w:r>
      <w:r w:rsidR="00522291" w:rsidRPr="00FF47FD">
        <w:rPr>
          <w:noProof/>
          <w:lang w:val="en-IE"/>
        </w:rPr>
        <w:t xml:space="preserve">given that </w:t>
      </w:r>
      <w:r w:rsidR="00730FE3" w:rsidRPr="00FF47FD">
        <w:rPr>
          <w:noProof/>
          <w:lang w:val="en-IE"/>
        </w:rPr>
        <w:t xml:space="preserve">such </w:t>
      </w:r>
      <w:r w:rsidR="00F62E58" w:rsidRPr="00FF47FD">
        <w:rPr>
          <w:noProof/>
          <w:lang w:val="en-IE"/>
        </w:rPr>
        <w:t>accommodations</w:t>
      </w:r>
      <w:r w:rsidR="00522291" w:rsidRPr="00FF47FD">
        <w:rPr>
          <w:noProof/>
          <w:lang w:val="en-IE"/>
        </w:rPr>
        <w:t xml:space="preserve"> are normally found in dedicated areas, such as camp</w:t>
      </w:r>
      <w:r w:rsidR="00B00E12" w:rsidRPr="00FF47FD">
        <w:rPr>
          <w:noProof/>
          <w:lang w:val="en-IE"/>
        </w:rPr>
        <w:t>sites</w:t>
      </w:r>
      <w:r w:rsidR="00522291" w:rsidRPr="00FF47FD">
        <w:rPr>
          <w:noProof/>
          <w:lang w:val="en-IE"/>
        </w:rPr>
        <w:t xml:space="preserve"> or </w:t>
      </w:r>
      <w:r w:rsidR="00B00E12" w:rsidRPr="00FF47FD">
        <w:rPr>
          <w:noProof/>
          <w:lang w:val="en-IE"/>
        </w:rPr>
        <w:t xml:space="preserve">caravan </w:t>
      </w:r>
      <w:r w:rsidR="00522291" w:rsidRPr="00FF47FD">
        <w:rPr>
          <w:noProof/>
          <w:lang w:val="en-IE"/>
        </w:rPr>
        <w:t>parks</w:t>
      </w:r>
      <w:r w:rsidR="0037308C" w:rsidRPr="00FF47FD">
        <w:rPr>
          <w:noProof/>
          <w:lang w:val="en-IE"/>
        </w:rPr>
        <w:t>,</w:t>
      </w:r>
      <w:r w:rsidR="00522291" w:rsidRPr="00FF47FD">
        <w:rPr>
          <w:noProof/>
          <w:lang w:val="en-IE"/>
        </w:rPr>
        <w:t xml:space="preserve"> and</w:t>
      </w:r>
      <w:r w:rsidR="00A55C8B">
        <w:rPr>
          <w:noProof/>
          <w:lang w:val="en-IE"/>
        </w:rPr>
        <w:t xml:space="preserve"> </w:t>
      </w:r>
      <w:r w:rsidR="00684209" w:rsidRPr="00FF47FD">
        <w:rPr>
          <w:noProof/>
          <w:lang w:val="en-IE"/>
        </w:rPr>
        <w:t>do not have a</w:t>
      </w:r>
      <w:r w:rsidR="005B142B">
        <w:rPr>
          <w:noProof/>
          <w:lang w:val="en-IE"/>
        </w:rPr>
        <w:t>n</w:t>
      </w:r>
      <w:r w:rsidR="00684209" w:rsidRPr="00FF47FD">
        <w:rPr>
          <w:noProof/>
          <w:lang w:val="en-IE"/>
        </w:rPr>
        <w:t xml:space="preserve"> impact on residential</w:t>
      </w:r>
      <w:r w:rsidR="00654CF1">
        <w:rPr>
          <w:noProof/>
          <w:lang w:val="en-IE"/>
        </w:rPr>
        <w:t xml:space="preserve"> housing</w:t>
      </w:r>
      <w:r w:rsidR="00314536" w:rsidRPr="00FF47FD">
        <w:rPr>
          <w:noProof/>
          <w:lang w:val="en-IE"/>
        </w:rPr>
        <w:t xml:space="preserve">, </w:t>
      </w:r>
      <w:r w:rsidR="002814F4" w:rsidRPr="00FF47FD">
        <w:rPr>
          <w:noProof/>
          <w:lang w:val="en-IE"/>
        </w:rPr>
        <w:t xml:space="preserve">comparable </w:t>
      </w:r>
      <w:r w:rsidR="002814F4">
        <w:rPr>
          <w:noProof/>
          <w:lang w:val="en-IE"/>
        </w:rPr>
        <w:t xml:space="preserve">to that of short-term accommodation rental </w:t>
      </w:r>
      <w:r w:rsidR="00314536" w:rsidRPr="00FF47FD">
        <w:rPr>
          <w:noProof/>
          <w:lang w:val="en-IE"/>
        </w:rPr>
        <w:t>services</w:t>
      </w:r>
      <w:r w:rsidR="009D426D" w:rsidRPr="00FF47FD">
        <w:rPr>
          <w:noProof/>
          <w:lang w:val="en-IE"/>
        </w:rPr>
        <w:t>.</w:t>
      </w:r>
      <w:r w:rsidR="00522291" w:rsidRPr="00FF47FD">
        <w:rPr>
          <w:noProof/>
          <w:lang w:val="en-IE"/>
        </w:rPr>
        <w:t xml:space="preserve"> </w:t>
      </w:r>
    </w:p>
    <w:p w:rsidR="00075438" w:rsidRPr="00302067" w:rsidRDefault="00795BB5" w:rsidP="00795BB5">
      <w:pPr>
        <w:pStyle w:val="ManualConsidrant"/>
        <w:rPr>
          <w:noProof/>
          <w:lang w:val="en-IE"/>
        </w:rPr>
      </w:pPr>
      <w:r w:rsidRPr="00795BB5">
        <w:t>(8)</w:t>
      </w:r>
      <w:r w:rsidRPr="00795BB5">
        <w:tab/>
      </w:r>
      <w:r w:rsidR="008625FE" w:rsidRPr="00302067">
        <w:rPr>
          <w:noProof/>
          <w:lang w:val="en-IE"/>
        </w:rPr>
        <w:t xml:space="preserve">The </w:t>
      </w:r>
      <w:r w:rsidR="00314536" w:rsidRPr="00C740D5">
        <w:rPr>
          <w:noProof/>
          <w:lang w:val="en-IE"/>
        </w:rPr>
        <w:t>rules</w:t>
      </w:r>
      <w:r w:rsidR="00730FE3" w:rsidRPr="00C740D5">
        <w:rPr>
          <w:noProof/>
          <w:lang w:val="en-IE"/>
        </w:rPr>
        <w:t xml:space="preserve"> laid down in this Regulation</w:t>
      </w:r>
      <w:r w:rsidR="00314536" w:rsidRPr="00C740D5">
        <w:rPr>
          <w:noProof/>
          <w:lang w:val="en-IE"/>
        </w:rPr>
        <w:t xml:space="preserve"> should apply </w:t>
      </w:r>
      <w:r w:rsidR="008625FE" w:rsidRPr="00C740D5">
        <w:rPr>
          <w:noProof/>
          <w:lang w:val="en-IE"/>
        </w:rPr>
        <w:t xml:space="preserve">to online platforms within the meaning of Article </w:t>
      </w:r>
      <w:r w:rsidR="000F5522">
        <w:rPr>
          <w:noProof/>
          <w:lang w:val="en-IE"/>
        </w:rPr>
        <w:t>3</w:t>
      </w:r>
      <w:r w:rsidR="00F36A55">
        <w:rPr>
          <w:noProof/>
          <w:lang w:val="en-IE"/>
        </w:rPr>
        <w:t xml:space="preserve"> point </w:t>
      </w:r>
      <w:r w:rsidR="008625FE" w:rsidRPr="00C740D5">
        <w:rPr>
          <w:noProof/>
          <w:lang w:val="en-IE"/>
        </w:rPr>
        <w:t>(</w:t>
      </w:r>
      <w:r w:rsidR="00B63F45" w:rsidRPr="00C740D5">
        <w:rPr>
          <w:noProof/>
          <w:lang w:val="en-IE"/>
        </w:rPr>
        <w:t>i</w:t>
      </w:r>
      <w:r w:rsidR="008625FE" w:rsidRPr="00C740D5">
        <w:rPr>
          <w:noProof/>
          <w:lang w:val="en-IE"/>
        </w:rPr>
        <w:t xml:space="preserve">) of </w:t>
      </w:r>
      <w:r w:rsidR="00D3086A">
        <w:rPr>
          <w:rFonts w:eastAsia="Times New Roman"/>
          <w:noProof/>
          <w:color w:val="000000"/>
          <w:szCs w:val="24"/>
          <w:lang w:eastAsia="zh-CN"/>
        </w:rPr>
        <w:t xml:space="preserve">Regulation (EU) </w:t>
      </w:r>
      <w:r w:rsidR="00000386">
        <w:rPr>
          <w:rFonts w:eastAsia="Times New Roman"/>
          <w:noProof/>
          <w:color w:val="000000"/>
          <w:szCs w:val="24"/>
          <w:lang w:eastAsia="zh-CN"/>
        </w:rPr>
        <w:t>2022/2065 of the European Parliament and the Council</w:t>
      </w:r>
      <w:r w:rsidR="00000386">
        <w:rPr>
          <w:rStyle w:val="FootnoteReference"/>
          <w:rFonts w:eastAsia="Times New Roman"/>
          <w:noProof/>
          <w:color w:val="000000"/>
          <w:szCs w:val="24"/>
          <w:lang w:eastAsia="zh-CN"/>
        </w:rPr>
        <w:footnoteReference w:id="28"/>
      </w:r>
      <w:r w:rsidR="0045553B">
        <w:rPr>
          <w:rFonts w:eastAsia="Times New Roman"/>
          <w:noProof/>
          <w:color w:val="000000"/>
          <w:szCs w:val="24"/>
          <w:lang w:eastAsia="zh-CN"/>
        </w:rPr>
        <w:t>,</w:t>
      </w:r>
      <w:r w:rsidR="00D3086A" w:rsidRPr="00C740D5">
        <w:rPr>
          <w:noProof/>
          <w:lang w:val="en-IE"/>
        </w:rPr>
        <w:t xml:space="preserve"> </w:t>
      </w:r>
      <w:r w:rsidR="00314536" w:rsidRPr="00C740D5">
        <w:rPr>
          <w:noProof/>
          <w:lang w:val="en-IE"/>
        </w:rPr>
        <w:t xml:space="preserve">which </w:t>
      </w:r>
      <w:r w:rsidR="008625FE" w:rsidRPr="00C740D5">
        <w:rPr>
          <w:noProof/>
          <w:lang w:val="en-IE"/>
        </w:rPr>
        <w:t xml:space="preserve">allow guests to conclude distance contracts with hosts for the provision of </w:t>
      </w:r>
      <w:r w:rsidR="005B142B">
        <w:rPr>
          <w:noProof/>
          <w:lang w:val="en-IE"/>
        </w:rPr>
        <w:t xml:space="preserve">short-term accommodation rental </w:t>
      </w:r>
      <w:r w:rsidR="00314536" w:rsidRPr="00C740D5">
        <w:rPr>
          <w:noProof/>
          <w:lang w:val="en-IE"/>
        </w:rPr>
        <w:t xml:space="preserve">services. </w:t>
      </w:r>
      <w:r w:rsidR="00F829A4" w:rsidRPr="00B37312">
        <w:rPr>
          <w:noProof/>
          <w:lang w:val="en-IE"/>
        </w:rPr>
        <w:t>Therefore, w</w:t>
      </w:r>
      <w:r w:rsidR="0071710F" w:rsidRPr="00B37312">
        <w:rPr>
          <w:noProof/>
          <w:lang w:val="en-IE"/>
        </w:rPr>
        <w:t xml:space="preserve">ebpages connecting hosts with guests without </w:t>
      </w:r>
      <w:r w:rsidR="00707CE2">
        <w:rPr>
          <w:noProof/>
          <w:lang w:val="en-IE"/>
        </w:rPr>
        <w:t xml:space="preserve">any further role in </w:t>
      </w:r>
      <w:r w:rsidR="00F829A4" w:rsidRPr="00B37312">
        <w:rPr>
          <w:noProof/>
          <w:lang w:val="en-IE"/>
        </w:rPr>
        <w:t xml:space="preserve">the conclusion of direct </w:t>
      </w:r>
      <w:r w:rsidR="0071710F" w:rsidRPr="00B37312">
        <w:rPr>
          <w:noProof/>
          <w:lang w:val="en-IE"/>
        </w:rPr>
        <w:t xml:space="preserve">transactions </w:t>
      </w:r>
      <w:r w:rsidR="00314536" w:rsidRPr="00B37312">
        <w:rPr>
          <w:noProof/>
          <w:lang w:val="en-IE"/>
        </w:rPr>
        <w:t xml:space="preserve">should be </w:t>
      </w:r>
      <w:r w:rsidR="0071710F" w:rsidRPr="00B37312">
        <w:rPr>
          <w:noProof/>
          <w:lang w:val="en-IE"/>
        </w:rPr>
        <w:t>excluded from the scope of this Regulation.</w:t>
      </w:r>
      <w:r w:rsidR="00747042" w:rsidRPr="00B37312">
        <w:rPr>
          <w:noProof/>
          <w:lang w:val="en-IE"/>
        </w:rPr>
        <w:t xml:space="preserve"> Online platforms </w:t>
      </w:r>
      <w:r w:rsidR="00206527" w:rsidRPr="00B37312">
        <w:rPr>
          <w:noProof/>
          <w:lang w:val="en-IE"/>
        </w:rPr>
        <w:t xml:space="preserve">intermediating the </w:t>
      </w:r>
      <w:r w:rsidR="007F6A83" w:rsidRPr="00B37312">
        <w:rPr>
          <w:noProof/>
          <w:lang w:val="en-IE"/>
        </w:rPr>
        <w:t xml:space="preserve">provision of short-term accommodation rental services </w:t>
      </w:r>
      <w:r w:rsidR="00707CE2">
        <w:rPr>
          <w:noProof/>
          <w:lang w:val="en-IE"/>
        </w:rPr>
        <w:t xml:space="preserve">without payment </w:t>
      </w:r>
      <w:r w:rsidR="007F6A83" w:rsidRPr="00B37312">
        <w:rPr>
          <w:noProof/>
          <w:lang w:val="en-IE"/>
        </w:rPr>
        <w:t xml:space="preserve">(for example, online platforms intermediating the </w:t>
      </w:r>
      <w:r w:rsidR="00206527" w:rsidRPr="00B37312">
        <w:rPr>
          <w:noProof/>
          <w:lang w:val="en-IE"/>
        </w:rPr>
        <w:t xml:space="preserve">exchange </w:t>
      </w:r>
      <w:r w:rsidR="00747042" w:rsidRPr="00B37312">
        <w:rPr>
          <w:noProof/>
          <w:lang w:val="en-IE"/>
        </w:rPr>
        <w:t xml:space="preserve">of </w:t>
      </w:r>
      <w:r w:rsidR="007F6A83" w:rsidRPr="00B37312">
        <w:rPr>
          <w:noProof/>
          <w:lang w:val="en-IE"/>
        </w:rPr>
        <w:t xml:space="preserve">dwellings) </w:t>
      </w:r>
      <w:r w:rsidR="00747042" w:rsidRPr="00B37312">
        <w:rPr>
          <w:noProof/>
          <w:lang w:val="en-IE"/>
        </w:rPr>
        <w:t>are not covered by th</w:t>
      </w:r>
      <w:r w:rsidR="00522FEC" w:rsidRPr="00B37312">
        <w:rPr>
          <w:noProof/>
          <w:lang w:val="en-IE"/>
        </w:rPr>
        <w:t>ese rules</w:t>
      </w:r>
      <w:r w:rsidR="007F6A83" w:rsidRPr="00B37312">
        <w:rPr>
          <w:noProof/>
          <w:lang w:val="en-IE"/>
        </w:rPr>
        <w:t>, given that</w:t>
      </w:r>
      <w:r w:rsidR="00747042" w:rsidRPr="00B37312">
        <w:rPr>
          <w:noProof/>
          <w:lang w:val="en-IE"/>
        </w:rPr>
        <w:t xml:space="preserve"> </w:t>
      </w:r>
      <w:r w:rsidR="006F3808" w:rsidRPr="00B37312">
        <w:rPr>
          <w:noProof/>
          <w:lang w:val="en-IE"/>
        </w:rPr>
        <w:t xml:space="preserve">only </w:t>
      </w:r>
      <w:r w:rsidR="00DF7DE9">
        <w:rPr>
          <w:noProof/>
          <w:lang w:val="en-IE"/>
        </w:rPr>
        <w:t>s</w:t>
      </w:r>
      <w:r w:rsidR="00DF7DE9" w:rsidRPr="002E27BC">
        <w:rPr>
          <w:noProof/>
          <w:lang w:val="en-IE"/>
        </w:rPr>
        <w:t>hort-term accommodation rental</w:t>
      </w:r>
      <w:r w:rsidR="00DF7DE9" w:rsidRPr="00B37312" w:rsidDel="00DF7DE9">
        <w:rPr>
          <w:noProof/>
          <w:lang w:val="en-IE"/>
        </w:rPr>
        <w:t xml:space="preserve"> </w:t>
      </w:r>
      <w:r w:rsidR="00314536" w:rsidRPr="00B37312">
        <w:rPr>
          <w:noProof/>
          <w:lang w:val="en-IE"/>
        </w:rPr>
        <w:t>services</w:t>
      </w:r>
      <w:r w:rsidR="007F6A83" w:rsidRPr="00B37312">
        <w:rPr>
          <w:noProof/>
          <w:lang w:val="en-IE"/>
        </w:rPr>
        <w:t xml:space="preserve"> </w:t>
      </w:r>
      <w:r w:rsidR="006F3808" w:rsidRPr="00B37312">
        <w:rPr>
          <w:noProof/>
          <w:lang w:val="en-IE"/>
        </w:rPr>
        <w:t xml:space="preserve">provided </w:t>
      </w:r>
      <w:r w:rsidR="00936DAE" w:rsidRPr="00B37312">
        <w:rPr>
          <w:noProof/>
          <w:lang w:val="en-IE"/>
        </w:rPr>
        <w:t xml:space="preserve">against </w:t>
      </w:r>
      <w:r w:rsidR="006F3808" w:rsidRPr="00B37312">
        <w:rPr>
          <w:noProof/>
          <w:lang w:val="en-IE"/>
        </w:rPr>
        <w:t xml:space="preserve">remuneration are </w:t>
      </w:r>
      <w:r w:rsidR="007F6A83" w:rsidRPr="00B37312">
        <w:rPr>
          <w:noProof/>
          <w:lang w:val="en-IE"/>
        </w:rPr>
        <w:t>covered</w:t>
      </w:r>
      <w:r w:rsidR="007F6A83" w:rsidRPr="00302067">
        <w:rPr>
          <w:noProof/>
          <w:lang w:val="en-IE"/>
        </w:rPr>
        <w:t>.</w:t>
      </w:r>
    </w:p>
    <w:p w:rsidR="000871D6" w:rsidRPr="00C76374" w:rsidRDefault="00795BB5" w:rsidP="00795BB5">
      <w:pPr>
        <w:pStyle w:val="ManualConsidrant"/>
        <w:rPr>
          <w:noProof/>
          <w:lang w:val="en-IE"/>
        </w:rPr>
      </w:pPr>
      <w:r w:rsidRPr="00795BB5">
        <w:t>(9)</w:t>
      </w:r>
      <w:r w:rsidRPr="00795BB5">
        <w:tab/>
      </w:r>
      <w:r w:rsidR="00B02BD5" w:rsidRPr="00C76374">
        <w:rPr>
          <w:noProof/>
          <w:lang w:val="en-IE"/>
        </w:rPr>
        <w:t>R</w:t>
      </w:r>
      <w:r w:rsidR="00DB4A16" w:rsidRPr="00C76374">
        <w:rPr>
          <w:noProof/>
          <w:lang w:val="en-IE"/>
        </w:rPr>
        <w:t xml:space="preserve">egistration procedures </w:t>
      </w:r>
      <w:r w:rsidR="00B02BD5" w:rsidRPr="00C76374">
        <w:rPr>
          <w:noProof/>
          <w:lang w:val="en-IE"/>
        </w:rPr>
        <w:t xml:space="preserve">enable competent authorities to collect </w:t>
      </w:r>
      <w:r w:rsidR="00C8237E">
        <w:rPr>
          <w:noProof/>
          <w:lang w:val="en-IE"/>
        </w:rPr>
        <w:t xml:space="preserve">information on </w:t>
      </w:r>
      <w:r w:rsidR="00B02BD5" w:rsidRPr="00FD7EBD">
        <w:rPr>
          <w:noProof/>
          <w:lang w:val="en-IE"/>
        </w:rPr>
        <w:t>hosts and units re</w:t>
      </w:r>
      <w:r w:rsidR="00314536">
        <w:rPr>
          <w:noProof/>
          <w:lang w:val="en-IE"/>
        </w:rPr>
        <w:t>lat</w:t>
      </w:r>
      <w:r w:rsidR="00724BCB">
        <w:rPr>
          <w:noProof/>
          <w:lang w:val="en-IE"/>
        </w:rPr>
        <w:t>ing</w:t>
      </w:r>
      <w:r w:rsidR="00314536">
        <w:rPr>
          <w:noProof/>
          <w:lang w:val="en-IE"/>
        </w:rPr>
        <w:t xml:space="preserve"> to </w:t>
      </w:r>
      <w:r w:rsidR="00DF7DE9">
        <w:rPr>
          <w:noProof/>
          <w:lang w:val="en-IE"/>
        </w:rPr>
        <w:t>s</w:t>
      </w:r>
      <w:r w:rsidR="00DF7DE9" w:rsidRPr="002E27BC">
        <w:rPr>
          <w:noProof/>
          <w:lang w:val="en-IE"/>
        </w:rPr>
        <w:t>hort-term accommodation rental</w:t>
      </w:r>
      <w:r w:rsidR="00DF7DE9">
        <w:rPr>
          <w:noProof/>
          <w:lang w:val="en-IE"/>
        </w:rPr>
        <w:t xml:space="preserve"> </w:t>
      </w:r>
      <w:r w:rsidR="00314536">
        <w:rPr>
          <w:noProof/>
          <w:lang w:val="en-IE"/>
        </w:rPr>
        <w:t xml:space="preserve">services. </w:t>
      </w:r>
      <w:r w:rsidR="00B07906">
        <w:rPr>
          <w:noProof/>
          <w:lang w:val="en-IE"/>
        </w:rPr>
        <w:t>The registration number</w:t>
      </w:r>
      <w:r w:rsidR="0018527A">
        <w:rPr>
          <w:noProof/>
          <w:lang w:val="en-IE"/>
        </w:rPr>
        <w:t>,</w:t>
      </w:r>
      <w:r w:rsidR="00B07906">
        <w:rPr>
          <w:noProof/>
          <w:lang w:val="en-IE"/>
        </w:rPr>
        <w:t xml:space="preserve"> which </w:t>
      </w:r>
      <w:r w:rsidR="004619FD">
        <w:rPr>
          <w:noProof/>
          <w:lang w:val="en-IE"/>
        </w:rPr>
        <w:t>is</w:t>
      </w:r>
      <w:r w:rsidR="00B07906">
        <w:rPr>
          <w:noProof/>
          <w:lang w:val="en-IE"/>
        </w:rPr>
        <w:t xml:space="preserve"> a unique identifier of </w:t>
      </w:r>
      <w:r w:rsidR="004619FD">
        <w:rPr>
          <w:noProof/>
          <w:lang w:val="en-IE"/>
        </w:rPr>
        <w:t>a</w:t>
      </w:r>
      <w:r w:rsidR="00B07906">
        <w:rPr>
          <w:noProof/>
          <w:lang w:val="en-IE"/>
        </w:rPr>
        <w:t xml:space="preserve"> unit</w:t>
      </w:r>
      <w:r w:rsidR="00166072">
        <w:rPr>
          <w:noProof/>
          <w:lang w:val="en-IE"/>
        </w:rPr>
        <w:t xml:space="preserve"> rented</w:t>
      </w:r>
      <w:r w:rsidR="00B07906">
        <w:rPr>
          <w:noProof/>
          <w:lang w:val="en-IE"/>
        </w:rPr>
        <w:t xml:space="preserve">, </w:t>
      </w:r>
      <w:r w:rsidR="00916597">
        <w:rPr>
          <w:noProof/>
          <w:lang w:val="en-IE"/>
        </w:rPr>
        <w:t xml:space="preserve">should </w:t>
      </w:r>
      <w:r w:rsidR="00F3514A">
        <w:rPr>
          <w:noProof/>
          <w:lang w:val="en-IE"/>
        </w:rPr>
        <w:t xml:space="preserve">ensure that the data </w:t>
      </w:r>
      <w:r w:rsidR="00166072">
        <w:rPr>
          <w:noProof/>
          <w:lang w:val="en-IE"/>
        </w:rPr>
        <w:t xml:space="preserve">collected and shared by platforms </w:t>
      </w:r>
      <w:r w:rsidR="00F3514A">
        <w:rPr>
          <w:noProof/>
          <w:lang w:val="en-IE"/>
        </w:rPr>
        <w:t>can be properly attributed to hosts and</w:t>
      </w:r>
      <w:r w:rsidR="007A1AED">
        <w:rPr>
          <w:noProof/>
          <w:lang w:val="en-IE"/>
        </w:rPr>
        <w:t xml:space="preserve"> units</w:t>
      </w:r>
      <w:r w:rsidR="004A574E">
        <w:rPr>
          <w:noProof/>
          <w:lang w:val="en-IE"/>
        </w:rPr>
        <w:t>.</w:t>
      </w:r>
      <w:r w:rsidR="004B3C85">
        <w:rPr>
          <w:noProof/>
          <w:lang w:val="en-IE"/>
        </w:rPr>
        <w:t xml:space="preserve"> </w:t>
      </w:r>
      <w:r w:rsidR="000871D6" w:rsidRPr="00FD7EBD">
        <w:rPr>
          <w:noProof/>
          <w:lang w:val="en-IE"/>
        </w:rPr>
        <w:t xml:space="preserve">It </w:t>
      </w:r>
      <w:r w:rsidR="00953118">
        <w:rPr>
          <w:noProof/>
          <w:lang w:val="en-IE"/>
        </w:rPr>
        <w:t>should</w:t>
      </w:r>
      <w:r w:rsidR="000871D6" w:rsidRPr="00FD7EBD">
        <w:rPr>
          <w:noProof/>
          <w:lang w:val="en-IE"/>
        </w:rPr>
        <w:t xml:space="preserve"> therefore</w:t>
      </w:r>
      <w:r w:rsidR="004619FD">
        <w:rPr>
          <w:noProof/>
          <w:lang w:val="en-IE"/>
        </w:rPr>
        <w:t xml:space="preserve"> be</w:t>
      </w:r>
      <w:r w:rsidR="000871D6" w:rsidRPr="00FD7EBD">
        <w:rPr>
          <w:noProof/>
          <w:lang w:val="en-IE"/>
        </w:rPr>
        <w:t xml:space="preserve"> </w:t>
      </w:r>
      <w:r w:rsidR="00916597">
        <w:rPr>
          <w:noProof/>
          <w:lang w:val="en-IE"/>
        </w:rPr>
        <w:t>for</w:t>
      </w:r>
      <w:r w:rsidR="000871D6" w:rsidRPr="00FD7EBD">
        <w:rPr>
          <w:noProof/>
          <w:lang w:val="en-IE"/>
        </w:rPr>
        <w:t xml:space="preserve"> </w:t>
      </w:r>
      <w:r w:rsidR="00234738">
        <w:rPr>
          <w:noProof/>
          <w:lang w:val="en-IE"/>
        </w:rPr>
        <w:t xml:space="preserve">competent </w:t>
      </w:r>
      <w:r w:rsidR="000871D6" w:rsidRPr="00234738">
        <w:rPr>
          <w:noProof/>
          <w:lang w:val="en-IE"/>
        </w:rPr>
        <w:t>authorities</w:t>
      </w:r>
      <w:r w:rsidR="00F829A4">
        <w:rPr>
          <w:noProof/>
          <w:lang w:val="en-IE"/>
        </w:rPr>
        <w:t xml:space="preserve">, where they wish to receive data from providers of online </w:t>
      </w:r>
      <w:r w:rsidR="00452EEA">
        <w:rPr>
          <w:noProof/>
          <w:lang w:val="en-IE"/>
        </w:rPr>
        <w:t>short-term rental</w:t>
      </w:r>
      <w:r w:rsidR="00452EEA" w:rsidRPr="00D33745">
        <w:rPr>
          <w:noProof/>
          <w:lang w:val="en-IE"/>
        </w:rPr>
        <w:t xml:space="preserve"> </w:t>
      </w:r>
      <w:r w:rsidR="00F829A4">
        <w:rPr>
          <w:noProof/>
          <w:lang w:val="en-IE"/>
        </w:rPr>
        <w:t>platforms,</w:t>
      </w:r>
      <w:r w:rsidR="000871D6" w:rsidRPr="00234738">
        <w:rPr>
          <w:noProof/>
          <w:lang w:val="en-IE"/>
        </w:rPr>
        <w:t xml:space="preserve"> to put in place or maintain registration procedure</w:t>
      </w:r>
      <w:r w:rsidR="00696644" w:rsidRPr="00234738">
        <w:rPr>
          <w:noProof/>
          <w:lang w:val="en-IE"/>
        </w:rPr>
        <w:t>s for hosts</w:t>
      </w:r>
      <w:r w:rsidR="00B07906">
        <w:rPr>
          <w:noProof/>
          <w:lang w:val="en-IE"/>
        </w:rPr>
        <w:t xml:space="preserve"> and their units</w:t>
      </w:r>
      <w:r w:rsidR="00CD393C">
        <w:rPr>
          <w:noProof/>
          <w:lang w:val="en-IE"/>
        </w:rPr>
        <w:t xml:space="preserve">, either </w:t>
      </w:r>
      <w:r w:rsidR="007D756C">
        <w:rPr>
          <w:noProof/>
          <w:lang w:val="en-IE"/>
        </w:rPr>
        <w:t>at</w:t>
      </w:r>
      <w:r w:rsidR="00CD393C">
        <w:rPr>
          <w:noProof/>
          <w:lang w:val="en-IE"/>
        </w:rPr>
        <w:t xml:space="preserve"> national</w:t>
      </w:r>
      <w:r w:rsidR="00B07906">
        <w:rPr>
          <w:noProof/>
          <w:lang w:val="en-IE"/>
        </w:rPr>
        <w:t>,</w:t>
      </w:r>
      <w:r w:rsidR="00CD393C">
        <w:rPr>
          <w:noProof/>
          <w:lang w:val="en-IE"/>
        </w:rPr>
        <w:t xml:space="preserve"> regional or local level</w:t>
      </w:r>
      <w:r w:rsidR="000871D6" w:rsidRPr="00234738">
        <w:rPr>
          <w:noProof/>
          <w:lang w:val="en-IE"/>
        </w:rPr>
        <w:t>.</w:t>
      </w:r>
      <w:r w:rsidR="008C2F79">
        <w:rPr>
          <w:noProof/>
          <w:lang w:val="en-IE"/>
        </w:rPr>
        <w:t xml:space="preserve"> </w:t>
      </w:r>
    </w:p>
    <w:p w:rsidR="00CC7FF4" w:rsidRDefault="00795BB5" w:rsidP="00795BB5">
      <w:pPr>
        <w:pStyle w:val="ManualConsidrant"/>
        <w:rPr>
          <w:i/>
          <w:noProof/>
          <w:lang w:val="en-IE"/>
        </w:rPr>
      </w:pPr>
      <w:r w:rsidRPr="00795BB5">
        <w:t>(10)</w:t>
      </w:r>
      <w:r w:rsidRPr="00795BB5">
        <w:tab/>
      </w:r>
      <w:r w:rsidR="00916597">
        <w:rPr>
          <w:noProof/>
          <w:lang w:val="en-IE"/>
        </w:rPr>
        <w:t xml:space="preserve">In order to ensure that competent authorities obtain the information and data they need, without imposing disproportionate burdens on </w:t>
      </w:r>
      <w:r w:rsidR="00597D34">
        <w:rPr>
          <w:noProof/>
          <w:lang w:val="en-IE"/>
        </w:rPr>
        <w:t xml:space="preserve">online </w:t>
      </w:r>
      <w:r w:rsidR="00916597">
        <w:rPr>
          <w:noProof/>
          <w:lang w:val="en-IE"/>
        </w:rPr>
        <w:t xml:space="preserve">platforms and hosts, it is necessary to </w:t>
      </w:r>
      <w:r w:rsidR="001911F4">
        <w:rPr>
          <w:noProof/>
          <w:lang w:val="en-IE"/>
        </w:rPr>
        <w:t>lay out</w:t>
      </w:r>
      <w:r w:rsidR="00916597">
        <w:rPr>
          <w:noProof/>
          <w:lang w:val="en-IE"/>
        </w:rPr>
        <w:t xml:space="preserve"> a</w:t>
      </w:r>
      <w:r w:rsidR="00592B69" w:rsidRPr="00FD7EBD">
        <w:rPr>
          <w:noProof/>
          <w:lang w:val="en-IE"/>
        </w:rPr>
        <w:t xml:space="preserve"> common approach </w:t>
      </w:r>
      <w:r w:rsidR="00592B69" w:rsidRPr="00234738">
        <w:rPr>
          <w:noProof/>
          <w:lang w:val="en-IE"/>
        </w:rPr>
        <w:t>to registration</w:t>
      </w:r>
      <w:r w:rsidR="00CD393C">
        <w:rPr>
          <w:noProof/>
          <w:lang w:val="en-IE"/>
        </w:rPr>
        <w:t xml:space="preserve"> procedures </w:t>
      </w:r>
      <w:r w:rsidR="00251EDC">
        <w:rPr>
          <w:noProof/>
          <w:lang w:val="en-IE"/>
        </w:rPr>
        <w:t>with</w:t>
      </w:r>
      <w:r w:rsidR="00CD393C">
        <w:rPr>
          <w:noProof/>
          <w:lang w:val="en-IE"/>
        </w:rPr>
        <w:t>in Member State</w:t>
      </w:r>
      <w:r w:rsidR="004619FD">
        <w:rPr>
          <w:noProof/>
          <w:lang w:val="en-IE"/>
        </w:rPr>
        <w:t>s</w:t>
      </w:r>
      <w:r w:rsidR="00C23219">
        <w:rPr>
          <w:noProof/>
          <w:lang w:val="en-IE"/>
        </w:rPr>
        <w:t xml:space="preserve"> that is limited to basic information allowing the identification of the unit and the host</w:t>
      </w:r>
      <w:r w:rsidR="00916597">
        <w:rPr>
          <w:noProof/>
          <w:lang w:val="en-IE"/>
        </w:rPr>
        <w:t xml:space="preserve">. </w:t>
      </w:r>
      <w:r w:rsidR="000871D6" w:rsidRPr="00172BC5">
        <w:rPr>
          <w:noProof/>
          <w:lang w:val="en-IE"/>
        </w:rPr>
        <w:t xml:space="preserve">To that end, Member States </w:t>
      </w:r>
      <w:r w:rsidR="00916597">
        <w:rPr>
          <w:noProof/>
          <w:lang w:val="en-IE"/>
        </w:rPr>
        <w:t xml:space="preserve">should </w:t>
      </w:r>
      <w:r w:rsidR="000871D6" w:rsidRPr="00172BC5">
        <w:rPr>
          <w:noProof/>
          <w:lang w:val="en-IE"/>
        </w:rPr>
        <w:t>ensure that</w:t>
      </w:r>
      <w:r w:rsidR="00696A8D">
        <w:rPr>
          <w:noProof/>
          <w:lang w:val="en-IE"/>
        </w:rPr>
        <w:t>,</w:t>
      </w:r>
      <w:r w:rsidR="000871D6" w:rsidRPr="00172BC5">
        <w:rPr>
          <w:noProof/>
          <w:lang w:val="en-IE"/>
        </w:rPr>
        <w:t xml:space="preserve"> upon the submission of all relevant information and documents, </w:t>
      </w:r>
      <w:r w:rsidR="00916597">
        <w:rPr>
          <w:noProof/>
          <w:lang w:val="en-IE"/>
        </w:rPr>
        <w:t xml:space="preserve">hosts and units are </w:t>
      </w:r>
      <w:r w:rsidR="001249E5">
        <w:rPr>
          <w:noProof/>
          <w:lang w:val="en-IE"/>
        </w:rPr>
        <w:t>given</w:t>
      </w:r>
      <w:r w:rsidR="00916597">
        <w:rPr>
          <w:noProof/>
          <w:lang w:val="en-IE"/>
        </w:rPr>
        <w:t xml:space="preserve"> a registration number. </w:t>
      </w:r>
      <w:r w:rsidR="006D2310">
        <w:rPr>
          <w:noProof/>
          <w:lang w:val="en-IE"/>
        </w:rPr>
        <w:t>H</w:t>
      </w:r>
      <w:r w:rsidR="009702AA" w:rsidRPr="009702AA">
        <w:rPr>
          <w:noProof/>
          <w:lang w:val="en-IE"/>
        </w:rPr>
        <w:t>osts</w:t>
      </w:r>
      <w:r w:rsidR="006D2310">
        <w:rPr>
          <w:noProof/>
          <w:lang w:val="en-IE"/>
        </w:rPr>
        <w:t xml:space="preserve"> </w:t>
      </w:r>
      <w:r w:rsidR="00835962">
        <w:rPr>
          <w:noProof/>
          <w:lang w:val="en-IE"/>
        </w:rPr>
        <w:t>should</w:t>
      </w:r>
      <w:r w:rsidR="009702AA" w:rsidRPr="009702AA">
        <w:rPr>
          <w:noProof/>
          <w:lang w:val="en-IE"/>
        </w:rPr>
        <w:t xml:space="preserve"> be able to identify and</w:t>
      </w:r>
      <w:r w:rsidR="006F2129">
        <w:rPr>
          <w:noProof/>
          <w:lang w:val="en-IE"/>
        </w:rPr>
        <w:t xml:space="preserve"> authenticate themselves using e</w:t>
      </w:r>
      <w:r w:rsidR="009702AA" w:rsidRPr="009702AA">
        <w:rPr>
          <w:noProof/>
          <w:lang w:val="en-IE"/>
        </w:rPr>
        <w:t>lectronic identification means issued under a notified electronic identity scheme pursuant to Regulation (EU)</w:t>
      </w:r>
      <w:r w:rsidR="00000386">
        <w:rPr>
          <w:noProof/>
          <w:lang w:val="en-IE"/>
        </w:rPr>
        <w:t xml:space="preserve"> No</w:t>
      </w:r>
      <w:r w:rsidR="009702AA" w:rsidRPr="009702AA">
        <w:rPr>
          <w:noProof/>
          <w:lang w:val="en-IE"/>
        </w:rPr>
        <w:t xml:space="preserve"> 910/2014</w:t>
      </w:r>
      <w:r w:rsidR="00DC5A51">
        <w:rPr>
          <w:noProof/>
          <w:lang w:val="en-IE"/>
        </w:rPr>
        <w:t xml:space="preserve"> </w:t>
      </w:r>
      <w:r w:rsidR="00DC5A51" w:rsidRPr="00DC5A51">
        <w:rPr>
          <w:noProof/>
          <w:lang w:val="en-IE"/>
        </w:rPr>
        <w:t>of the European Parliament and of the Council</w:t>
      </w:r>
      <w:r w:rsidR="00DC5A51">
        <w:rPr>
          <w:rStyle w:val="FootnoteReference"/>
          <w:noProof/>
          <w:lang w:val="en-IE"/>
        </w:rPr>
        <w:footnoteReference w:id="29"/>
      </w:r>
      <w:r w:rsidR="009702AA" w:rsidRPr="009702AA">
        <w:rPr>
          <w:noProof/>
          <w:lang w:val="en-IE"/>
        </w:rPr>
        <w:t xml:space="preserve"> to complete th</w:t>
      </w:r>
      <w:r w:rsidR="00835962">
        <w:rPr>
          <w:noProof/>
          <w:lang w:val="en-IE"/>
        </w:rPr>
        <w:t>o</w:t>
      </w:r>
      <w:r w:rsidR="009702AA" w:rsidRPr="009702AA">
        <w:rPr>
          <w:noProof/>
          <w:lang w:val="en-IE"/>
        </w:rPr>
        <w:t>se registration procedures.</w:t>
      </w:r>
      <w:r w:rsidR="009702AA">
        <w:rPr>
          <w:noProof/>
          <w:lang w:val="en-IE"/>
        </w:rPr>
        <w:t xml:space="preserve"> </w:t>
      </w:r>
    </w:p>
    <w:p w:rsidR="009F2F19" w:rsidRPr="00C9799B" w:rsidRDefault="00795BB5" w:rsidP="00795BB5">
      <w:pPr>
        <w:pStyle w:val="ManualConsidrant"/>
        <w:rPr>
          <w:noProof/>
          <w:lang w:val="en-IE"/>
        </w:rPr>
      </w:pPr>
      <w:r w:rsidRPr="00795BB5">
        <w:t>(11)</w:t>
      </w:r>
      <w:r w:rsidRPr="00795BB5">
        <w:tab/>
      </w:r>
      <w:r w:rsidR="00906FC4">
        <w:rPr>
          <w:noProof/>
          <w:lang w:val="en-IE"/>
        </w:rPr>
        <w:t>H</w:t>
      </w:r>
      <w:r w:rsidR="009F2F19" w:rsidRPr="00C01FF0">
        <w:rPr>
          <w:noProof/>
          <w:lang w:val="en-IE"/>
        </w:rPr>
        <w:t xml:space="preserve">osts should </w:t>
      </w:r>
      <w:r w:rsidR="00916597">
        <w:rPr>
          <w:noProof/>
          <w:lang w:val="en-IE"/>
        </w:rPr>
        <w:t xml:space="preserve">provide information regarding </w:t>
      </w:r>
      <w:r w:rsidR="006D16F5" w:rsidRPr="00C01FF0">
        <w:rPr>
          <w:noProof/>
          <w:lang w:val="en-IE"/>
        </w:rPr>
        <w:t>themselves</w:t>
      </w:r>
      <w:r w:rsidR="00916597">
        <w:rPr>
          <w:noProof/>
          <w:lang w:val="en-IE"/>
        </w:rPr>
        <w:t xml:space="preserve">, </w:t>
      </w:r>
      <w:r w:rsidR="006D16F5" w:rsidRPr="00C01FF0">
        <w:rPr>
          <w:noProof/>
          <w:lang w:val="en-IE"/>
        </w:rPr>
        <w:t xml:space="preserve">the units they offer for </w:t>
      </w:r>
      <w:r w:rsidR="00DF7DE9">
        <w:rPr>
          <w:noProof/>
          <w:lang w:val="en-IE"/>
        </w:rPr>
        <w:t>s</w:t>
      </w:r>
      <w:r w:rsidR="00DF7DE9" w:rsidRPr="002E27BC">
        <w:rPr>
          <w:noProof/>
          <w:lang w:val="en-IE"/>
        </w:rPr>
        <w:t>hort-term accommodation rental</w:t>
      </w:r>
      <w:r w:rsidR="00DF7DE9">
        <w:rPr>
          <w:noProof/>
          <w:lang w:val="en-IE"/>
        </w:rPr>
        <w:t xml:space="preserve"> </w:t>
      </w:r>
      <w:r w:rsidR="00E84168">
        <w:rPr>
          <w:noProof/>
          <w:lang w:val="en-IE"/>
        </w:rPr>
        <w:t>services</w:t>
      </w:r>
      <w:r w:rsidR="00DD72A3">
        <w:rPr>
          <w:noProof/>
          <w:lang w:val="en-IE"/>
        </w:rPr>
        <w:t xml:space="preserve"> and </w:t>
      </w:r>
      <w:r w:rsidR="00916597">
        <w:rPr>
          <w:noProof/>
          <w:lang w:val="en-IE"/>
        </w:rPr>
        <w:t>other</w:t>
      </w:r>
      <w:r w:rsidR="00DD72A3">
        <w:rPr>
          <w:noProof/>
          <w:lang w:val="en-IE"/>
        </w:rPr>
        <w:t xml:space="preserve"> necessary information</w:t>
      </w:r>
      <w:r w:rsidR="00910318">
        <w:rPr>
          <w:noProof/>
          <w:lang w:val="en-IE"/>
        </w:rPr>
        <w:t xml:space="preserve"> </w:t>
      </w:r>
      <w:r w:rsidR="00916597">
        <w:rPr>
          <w:noProof/>
          <w:lang w:val="en-IE"/>
        </w:rPr>
        <w:t xml:space="preserve">so that </w:t>
      </w:r>
      <w:r w:rsidR="00882AEB">
        <w:rPr>
          <w:noProof/>
          <w:lang w:val="en-IE"/>
        </w:rPr>
        <w:t xml:space="preserve">the competent </w:t>
      </w:r>
      <w:r w:rsidR="00910318">
        <w:rPr>
          <w:noProof/>
          <w:lang w:val="en-IE"/>
        </w:rPr>
        <w:t xml:space="preserve">authorities </w:t>
      </w:r>
      <w:r w:rsidR="00916597">
        <w:rPr>
          <w:noProof/>
          <w:lang w:val="en-IE"/>
        </w:rPr>
        <w:t xml:space="preserve">know the identity of </w:t>
      </w:r>
      <w:r w:rsidR="00D941EB" w:rsidRPr="001F0755">
        <w:rPr>
          <w:noProof/>
        </w:rPr>
        <w:t>the host</w:t>
      </w:r>
      <w:r w:rsidR="00906FC4">
        <w:rPr>
          <w:noProof/>
        </w:rPr>
        <w:t xml:space="preserve"> and </w:t>
      </w:r>
      <w:r w:rsidR="00916597">
        <w:rPr>
          <w:noProof/>
        </w:rPr>
        <w:t>their contact details,</w:t>
      </w:r>
      <w:r w:rsidR="00EB37D7">
        <w:rPr>
          <w:noProof/>
        </w:rPr>
        <w:t xml:space="preserve"> </w:t>
      </w:r>
      <w:r w:rsidR="00906FC4">
        <w:rPr>
          <w:noProof/>
        </w:rPr>
        <w:t xml:space="preserve">as well as </w:t>
      </w:r>
      <w:r w:rsidR="00882AEB">
        <w:rPr>
          <w:noProof/>
        </w:rPr>
        <w:t>the location</w:t>
      </w:r>
      <w:r w:rsidR="00B52B25">
        <w:rPr>
          <w:noProof/>
        </w:rPr>
        <w:t>, the type</w:t>
      </w:r>
      <w:r w:rsidR="00882AEB">
        <w:rPr>
          <w:noProof/>
        </w:rPr>
        <w:t xml:space="preserve"> </w:t>
      </w:r>
      <w:r w:rsidR="00B52B25">
        <w:rPr>
          <w:noProof/>
        </w:rPr>
        <w:t>(</w:t>
      </w:r>
      <w:r w:rsidR="005751AC">
        <w:rPr>
          <w:noProof/>
        </w:rPr>
        <w:t xml:space="preserve">e.g. house, apartment, room) </w:t>
      </w:r>
      <w:r w:rsidR="00882AEB">
        <w:rPr>
          <w:noProof/>
        </w:rPr>
        <w:t>and characteristics of the</w:t>
      </w:r>
      <w:r w:rsidR="00882AEB" w:rsidRPr="001F0755" w:rsidDel="00882AEB">
        <w:rPr>
          <w:noProof/>
        </w:rPr>
        <w:t xml:space="preserve"> </w:t>
      </w:r>
      <w:r w:rsidR="009F2F19" w:rsidRPr="00D941EB">
        <w:rPr>
          <w:noProof/>
          <w:szCs w:val="24"/>
        </w:rPr>
        <w:t>unit.</w:t>
      </w:r>
      <w:r w:rsidR="001152C2">
        <w:rPr>
          <w:noProof/>
        </w:rPr>
        <w:t xml:space="preserve"> </w:t>
      </w:r>
      <w:r w:rsidR="00916597">
        <w:rPr>
          <w:noProof/>
        </w:rPr>
        <w:t xml:space="preserve">Such information is </w:t>
      </w:r>
      <w:r w:rsidR="00F0467B">
        <w:rPr>
          <w:noProof/>
        </w:rPr>
        <w:t xml:space="preserve">needed to ensure traceability of hosts and units offered. </w:t>
      </w:r>
      <w:r w:rsidR="009E4880" w:rsidRPr="001152C2">
        <w:rPr>
          <w:noProof/>
          <w:lang w:val="en-IE"/>
        </w:rPr>
        <w:t>Th</w:t>
      </w:r>
      <w:r w:rsidR="00327C04">
        <w:rPr>
          <w:noProof/>
          <w:lang w:val="en-IE"/>
        </w:rPr>
        <w:t>e description of the unit’s characteristics</w:t>
      </w:r>
      <w:r w:rsidR="00D941EB" w:rsidRPr="001152C2">
        <w:rPr>
          <w:noProof/>
          <w:lang w:val="en-IE"/>
        </w:rPr>
        <w:t xml:space="preserve"> should </w:t>
      </w:r>
      <w:r w:rsidR="009E4880" w:rsidRPr="001152C2">
        <w:rPr>
          <w:noProof/>
          <w:lang w:val="en-IE"/>
        </w:rPr>
        <w:t xml:space="preserve">include </w:t>
      </w:r>
      <w:r w:rsidR="00910318">
        <w:rPr>
          <w:noProof/>
          <w:lang w:val="en-IE"/>
        </w:rPr>
        <w:t xml:space="preserve">an </w:t>
      </w:r>
      <w:r w:rsidR="00D941EB" w:rsidRPr="001152C2">
        <w:rPr>
          <w:noProof/>
          <w:lang w:val="en-IE"/>
        </w:rPr>
        <w:t xml:space="preserve">indication </w:t>
      </w:r>
      <w:r w:rsidR="009E4880" w:rsidRPr="001152C2">
        <w:rPr>
          <w:noProof/>
          <w:lang w:val="en-IE"/>
        </w:rPr>
        <w:t>o</w:t>
      </w:r>
      <w:r w:rsidR="00882AEB">
        <w:rPr>
          <w:noProof/>
          <w:lang w:val="en-IE"/>
        </w:rPr>
        <w:t>f</w:t>
      </w:r>
      <w:r w:rsidR="009E4880" w:rsidRPr="001152C2">
        <w:rPr>
          <w:noProof/>
          <w:lang w:val="en-IE"/>
        </w:rPr>
        <w:t xml:space="preserve"> whether </w:t>
      </w:r>
      <w:r w:rsidR="009F2F19" w:rsidRPr="001152C2">
        <w:rPr>
          <w:noProof/>
          <w:szCs w:val="24"/>
        </w:rPr>
        <w:t xml:space="preserve">the unit is </w:t>
      </w:r>
      <w:r w:rsidR="009E4880" w:rsidRPr="001152C2">
        <w:rPr>
          <w:noProof/>
          <w:szCs w:val="24"/>
        </w:rPr>
        <w:t xml:space="preserve">offered </w:t>
      </w:r>
      <w:r w:rsidR="00535A3C">
        <w:rPr>
          <w:noProof/>
          <w:szCs w:val="24"/>
        </w:rPr>
        <w:t>in</w:t>
      </w:r>
      <w:r w:rsidR="009E4880" w:rsidRPr="001152C2">
        <w:rPr>
          <w:noProof/>
          <w:szCs w:val="24"/>
        </w:rPr>
        <w:t xml:space="preserve"> </w:t>
      </w:r>
      <w:r w:rsidR="009F2F19" w:rsidRPr="001152C2">
        <w:rPr>
          <w:noProof/>
          <w:szCs w:val="24"/>
        </w:rPr>
        <w:t>whole or part</w:t>
      </w:r>
      <w:r w:rsidR="00D941EB" w:rsidRPr="001152C2">
        <w:rPr>
          <w:noProof/>
          <w:szCs w:val="24"/>
        </w:rPr>
        <w:t xml:space="preserve"> </w:t>
      </w:r>
      <w:r w:rsidR="00327B62" w:rsidRPr="001152C2">
        <w:rPr>
          <w:noProof/>
          <w:szCs w:val="24"/>
        </w:rPr>
        <w:t xml:space="preserve">and whether </w:t>
      </w:r>
      <w:r w:rsidR="00910318">
        <w:rPr>
          <w:noProof/>
          <w:szCs w:val="24"/>
        </w:rPr>
        <w:t xml:space="preserve">the </w:t>
      </w:r>
      <w:r w:rsidR="00882AEB">
        <w:rPr>
          <w:noProof/>
          <w:szCs w:val="24"/>
        </w:rPr>
        <w:t xml:space="preserve">host uses the </w:t>
      </w:r>
      <w:r w:rsidR="00910318">
        <w:rPr>
          <w:noProof/>
          <w:szCs w:val="24"/>
        </w:rPr>
        <w:t>unit for residential purpose</w:t>
      </w:r>
      <w:r w:rsidR="00882AEB">
        <w:rPr>
          <w:noProof/>
          <w:szCs w:val="24"/>
        </w:rPr>
        <w:t>s</w:t>
      </w:r>
      <w:r w:rsidR="00910318">
        <w:rPr>
          <w:noProof/>
          <w:szCs w:val="24"/>
        </w:rPr>
        <w:t xml:space="preserve"> as a </w:t>
      </w:r>
      <w:r w:rsidR="00327B62" w:rsidRPr="001152C2">
        <w:rPr>
          <w:noProof/>
          <w:szCs w:val="24"/>
        </w:rPr>
        <w:t>primary or secondary residence</w:t>
      </w:r>
      <w:r w:rsidR="00B21B37">
        <w:rPr>
          <w:noProof/>
          <w:szCs w:val="24"/>
        </w:rPr>
        <w:t xml:space="preserve"> or for </w:t>
      </w:r>
      <w:r w:rsidR="00C34300">
        <w:rPr>
          <w:noProof/>
          <w:szCs w:val="24"/>
        </w:rPr>
        <w:t xml:space="preserve">other </w:t>
      </w:r>
      <w:r w:rsidR="00B21B37" w:rsidRPr="00C34300">
        <w:rPr>
          <w:noProof/>
          <w:szCs w:val="24"/>
        </w:rPr>
        <w:t>purposes</w:t>
      </w:r>
      <w:r w:rsidR="009F2F19" w:rsidRPr="001152C2">
        <w:rPr>
          <w:noProof/>
          <w:szCs w:val="24"/>
        </w:rPr>
        <w:t>.</w:t>
      </w:r>
      <w:r w:rsidR="0085488F">
        <w:rPr>
          <w:noProof/>
          <w:szCs w:val="24"/>
        </w:rPr>
        <w:t xml:space="preserve"> </w:t>
      </w:r>
      <w:r w:rsidR="00724BCB">
        <w:rPr>
          <w:noProof/>
          <w:szCs w:val="24"/>
        </w:rPr>
        <w:t>H</w:t>
      </w:r>
      <w:r w:rsidR="00910318">
        <w:rPr>
          <w:noProof/>
          <w:szCs w:val="24"/>
        </w:rPr>
        <w:t xml:space="preserve">osts should </w:t>
      </w:r>
      <w:r w:rsidR="00724BCB">
        <w:rPr>
          <w:noProof/>
          <w:szCs w:val="24"/>
        </w:rPr>
        <w:t>also</w:t>
      </w:r>
      <w:r w:rsidR="00910318">
        <w:rPr>
          <w:noProof/>
          <w:szCs w:val="24"/>
        </w:rPr>
        <w:t xml:space="preserve"> provide </w:t>
      </w:r>
      <w:r w:rsidR="009E4880" w:rsidRPr="001152C2">
        <w:rPr>
          <w:noProof/>
          <w:szCs w:val="24"/>
        </w:rPr>
        <w:t xml:space="preserve">information </w:t>
      </w:r>
      <w:r w:rsidR="009F2F19" w:rsidRPr="001152C2">
        <w:rPr>
          <w:noProof/>
          <w:szCs w:val="24"/>
        </w:rPr>
        <w:t xml:space="preserve">on the maximum number of guests </w:t>
      </w:r>
      <w:r w:rsidR="00D20856">
        <w:rPr>
          <w:noProof/>
          <w:szCs w:val="24"/>
        </w:rPr>
        <w:t xml:space="preserve">that the unit is </w:t>
      </w:r>
      <w:r w:rsidR="009F2F19" w:rsidRPr="001152C2">
        <w:rPr>
          <w:noProof/>
          <w:szCs w:val="24"/>
        </w:rPr>
        <w:t xml:space="preserve">capable of </w:t>
      </w:r>
      <w:r w:rsidR="00D20856">
        <w:rPr>
          <w:noProof/>
          <w:szCs w:val="24"/>
        </w:rPr>
        <w:t>accommodating</w:t>
      </w:r>
      <w:r w:rsidR="009F2F19" w:rsidRPr="001152C2">
        <w:rPr>
          <w:noProof/>
          <w:szCs w:val="24"/>
        </w:rPr>
        <w:t>.</w:t>
      </w:r>
    </w:p>
    <w:p w:rsidR="00A901B8" w:rsidRPr="000148B0" w:rsidRDefault="00795BB5" w:rsidP="00795BB5">
      <w:pPr>
        <w:pStyle w:val="ManualConsidrant"/>
        <w:rPr>
          <w:noProof/>
        </w:rPr>
      </w:pPr>
      <w:r w:rsidRPr="00795BB5">
        <w:t>(12)</w:t>
      </w:r>
      <w:r w:rsidRPr="00795BB5">
        <w:tab/>
      </w:r>
      <w:r w:rsidR="00F0467B">
        <w:rPr>
          <w:noProof/>
        </w:rPr>
        <w:t xml:space="preserve">It should be possible for </w:t>
      </w:r>
      <w:r w:rsidR="0088719C">
        <w:rPr>
          <w:noProof/>
        </w:rPr>
        <w:t xml:space="preserve">Member States </w:t>
      </w:r>
      <w:r w:rsidR="00F0467B">
        <w:rPr>
          <w:noProof/>
        </w:rPr>
        <w:t xml:space="preserve">to </w:t>
      </w:r>
      <w:r w:rsidR="00C37609">
        <w:rPr>
          <w:noProof/>
        </w:rPr>
        <w:t xml:space="preserve">require </w:t>
      </w:r>
      <w:r w:rsidR="00933040">
        <w:rPr>
          <w:noProof/>
        </w:rPr>
        <w:t xml:space="preserve">hosts to submit </w:t>
      </w:r>
      <w:r w:rsidR="00C37609">
        <w:rPr>
          <w:noProof/>
        </w:rPr>
        <w:t xml:space="preserve">additional information and documentation attesting compliance </w:t>
      </w:r>
      <w:r w:rsidR="00933040">
        <w:rPr>
          <w:noProof/>
        </w:rPr>
        <w:t xml:space="preserve">with </w:t>
      </w:r>
      <w:r w:rsidR="0088719C">
        <w:rPr>
          <w:noProof/>
        </w:rPr>
        <w:t>requirements</w:t>
      </w:r>
      <w:r w:rsidR="00933040">
        <w:rPr>
          <w:noProof/>
        </w:rPr>
        <w:t xml:space="preserve"> established by national l</w:t>
      </w:r>
      <w:r w:rsidR="00522FEC">
        <w:rPr>
          <w:noProof/>
        </w:rPr>
        <w:t>a</w:t>
      </w:r>
      <w:r w:rsidR="00F0467B">
        <w:rPr>
          <w:noProof/>
        </w:rPr>
        <w:t>w</w:t>
      </w:r>
      <w:r w:rsidR="00A901B8">
        <w:rPr>
          <w:noProof/>
        </w:rPr>
        <w:t xml:space="preserve">, </w:t>
      </w:r>
      <w:r w:rsidR="001A6B2B">
        <w:rPr>
          <w:noProof/>
        </w:rPr>
        <w:t xml:space="preserve">such as </w:t>
      </w:r>
      <w:r w:rsidR="00B5039A" w:rsidRPr="00B5039A">
        <w:rPr>
          <w:noProof/>
        </w:rPr>
        <w:t xml:space="preserve">health and safety </w:t>
      </w:r>
      <w:r w:rsidR="00757C12">
        <w:rPr>
          <w:noProof/>
        </w:rPr>
        <w:t xml:space="preserve">and consumer protection </w:t>
      </w:r>
      <w:r w:rsidR="00B5039A" w:rsidRPr="00B5039A">
        <w:rPr>
          <w:noProof/>
        </w:rPr>
        <w:t>requirements</w:t>
      </w:r>
      <w:r w:rsidR="00482527">
        <w:rPr>
          <w:noProof/>
        </w:rPr>
        <w:t xml:space="preserve">. </w:t>
      </w:r>
      <w:r w:rsidR="008935AA" w:rsidRPr="008935AA">
        <w:rPr>
          <w:noProof/>
        </w:rPr>
        <w:t xml:space="preserve">Member States may, in particular, in order to ensure equal access and inclusion, require hosts to </w:t>
      </w:r>
      <w:r w:rsidR="00BF662E">
        <w:rPr>
          <w:noProof/>
        </w:rPr>
        <w:t>provide</w:t>
      </w:r>
      <w:r w:rsidR="008935AA" w:rsidRPr="008935AA">
        <w:rPr>
          <w:noProof/>
        </w:rPr>
        <w:t xml:space="preserve"> information concerning the accessibility for persons with disabilities of the units offered for short-term accommodation rental services in relation to national or local accessibility requirements.</w:t>
      </w:r>
      <w:r w:rsidR="008935AA">
        <w:rPr>
          <w:noProof/>
        </w:rPr>
        <w:t xml:space="preserve"> </w:t>
      </w:r>
      <w:r w:rsidR="00482527">
        <w:rPr>
          <w:noProof/>
          <w:lang w:val="en-IE"/>
        </w:rPr>
        <w:t xml:space="preserve">However, </w:t>
      </w:r>
      <w:r w:rsidR="008935AA">
        <w:rPr>
          <w:noProof/>
          <w:lang w:val="en-IE"/>
        </w:rPr>
        <w:t xml:space="preserve">any </w:t>
      </w:r>
      <w:r w:rsidR="00482527" w:rsidRPr="00FD4CDD">
        <w:rPr>
          <w:noProof/>
        </w:rPr>
        <w:t xml:space="preserve">requirements </w:t>
      </w:r>
      <w:r w:rsidR="00906FC4">
        <w:rPr>
          <w:noProof/>
        </w:rPr>
        <w:t xml:space="preserve">should comply </w:t>
      </w:r>
      <w:r w:rsidR="00482527" w:rsidRPr="00FD4CDD">
        <w:rPr>
          <w:noProof/>
        </w:rPr>
        <w:t>with the principles of non-discriminat</w:t>
      </w:r>
      <w:r w:rsidR="00482527">
        <w:rPr>
          <w:noProof/>
        </w:rPr>
        <w:t>ion</w:t>
      </w:r>
      <w:r w:rsidR="00482527" w:rsidRPr="00FD4CDD">
        <w:rPr>
          <w:noProof/>
        </w:rPr>
        <w:t xml:space="preserve"> and proportionality</w:t>
      </w:r>
      <w:r w:rsidR="00E120D8">
        <w:rPr>
          <w:noProof/>
        </w:rPr>
        <w:t xml:space="preserve">, meaning that they must be appropriate and necessary to achieve </w:t>
      </w:r>
      <w:r w:rsidR="00E120D8">
        <w:rPr>
          <w:noProof/>
          <w:lang w:val="en-IE"/>
        </w:rPr>
        <w:t>a legitimate regulatory</w:t>
      </w:r>
      <w:r w:rsidR="00482527">
        <w:rPr>
          <w:noProof/>
        </w:rPr>
        <w:t xml:space="preserve"> </w:t>
      </w:r>
      <w:r w:rsidR="00482527" w:rsidRPr="00FD4CDD">
        <w:rPr>
          <w:noProof/>
          <w:lang w:val="en-IE"/>
        </w:rPr>
        <w:t>objective</w:t>
      </w:r>
      <w:r w:rsidR="005F3D54">
        <w:rPr>
          <w:noProof/>
          <w:lang w:val="en-IE"/>
        </w:rPr>
        <w:t xml:space="preserve">, </w:t>
      </w:r>
      <w:r w:rsidR="00906FC4">
        <w:rPr>
          <w:noProof/>
          <w:lang w:val="en-IE"/>
        </w:rPr>
        <w:t xml:space="preserve">and </w:t>
      </w:r>
      <w:r w:rsidR="005F3D54">
        <w:rPr>
          <w:noProof/>
        </w:rPr>
        <w:t xml:space="preserve">with </w:t>
      </w:r>
      <w:r w:rsidR="00A33E63">
        <w:rPr>
          <w:noProof/>
        </w:rPr>
        <w:t xml:space="preserve">the </w:t>
      </w:r>
      <w:r w:rsidR="001A6B2B">
        <w:rPr>
          <w:noProof/>
        </w:rPr>
        <w:t>Treaty on the Functioning of the European Union and</w:t>
      </w:r>
      <w:r w:rsidR="005F43FF">
        <w:rPr>
          <w:noProof/>
        </w:rPr>
        <w:t xml:space="preserve"> </w:t>
      </w:r>
      <w:r w:rsidR="005F43FF" w:rsidRPr="005F43FF">
        <w:rPr>
          <w:noProof/>
        </w:rPr>
        <w:t>Directive 2006/123/EC</w:t>
      </w:r>
      <w:r w:rsidR="001A6B2B" w:rsidRPr="0052431E">
        <w:rPr>
          <w:noProof/>
        </w:rPr>
        <w:t>.</w:t>
      </w:r>
      <w:r w:rsidR="00A33E63" w:rsidRPr="0052431E">
        <w:rPr>
          <w:noProof/>
        </w:rPr>
        <w:t xml:space="preserve"> </w:t>
      </w:r>
      <w:r w:rsidR="008935AA" w:rsidRPr="008935AA">
        <w:rPr>
          <w:noProof/>
        </w:rPr>
        <w:t>Furthermore, Member States should be able to impose information requirements on hosts that comply with Union law concerning issues not covered by this Regulation, such as non-remunerated stays including where hosting arrangements concern vulnerable individuals, such as refugees or beneficiaries of temporary protection.</w:t>
      </w:r>
    </w:p>
    <w:p w:rsidR="00415FD7" w:rsidRPr="00466018" w:rsidRDefault="00795BB5" w:rsidP="00795BB5">
      <w:pPr>
        <w:pStyle w:val="ManualConsidrant"/>
        <w:rPr>
          <w:i/>
          <w:noProof/>
          <w:lang w:val="en-IE"/>
        </w:rPr>
      </w:pPr>
      <w:r w:rsidRPr="00795BB5">
        <w:t>(13)</w:t>
      </w:r>
      <w:r w:rsidRPr="00795BB5">
        <w:tab/>
      </w:r>
      <w:r w:rsidR="00805364">
        <w:rPr>
          <w:noProof/>
          <w:lang w:val="en-IE"/>
        </w:rPr>
        <w:t xml:space="preserve">Where the </w:t>
      </w:r>
      <w:r w:rsidR="00345841">
        <w:rPr>
          <w:noProof/>
          <w:lang w:val="en-IE"/>
        </w:rPr>
        <w:t xml:space="preserve">information and documentation provided by hosts via the registration procedure </w:t>
      </w:r>
      <w:r w:rsidR="00F0467B">
        <w:rPr>
          <w:noProof/>
          <w:lang w:val="en-IE"/>
        </w:rPr>
        <w:t>is valid for a limited period of time, for example in the case of a</w:t>
      </w:r>
      <w:r w:rsidR="00906FC4">
        <w:rPr>
          <w:noProof/>
          <w:lang w:val="en-IE"/>
        </w:rPr>
        <w:t>n identity document or a</w:t>
      </w:r>
      <w:r w:rsidR="00F0467B">
        <w:rPr>
          <w:noProof/>
          <w:lang w:val="en-IE"/>
        </w:rPr>
        <w:t xml:space="preserve"> fire o</w:t>
      </w:r>
      <w:r w:rsidR="007B118E">
        <w:rPr>
          <w:noProof/>
          <w:lang w:val="en-IE"/>
        </w:rPr>
        <w:t>r</w:t>
      </w:r>
      <w:r w:rsidR="00F0467B">
        <w:rPr>
          <w:noProof/>
          <w:lang w:val="en-IE"/>
        </w:rPr>
        <w:t xml:space="preserve"> </w:t>
      </w:r>
      <w:r w:rsidR="00906FC4">
        <w:rPr>
          <w:noProof/>
          <w:lang w:val="en-IE"/>
        </w:rPr>
        <w:t xml:space="preserve">other </w:t>
      </w:r>
      <w:r w:rsidR="00F0467B">
        <w:rPr>
          <w:noProof/>
          <w:lang w:val="en-IE"/>
        </w:rPr>
        <w:t>safety</w:t>
      </w:r>
      <w:r w:rsidR="00906FC4">
        <w:rPr>
          <w:noProof/>
          <w:lang w:val="en-IE"/>
        </w:rPr>
        <w:t xml:space="preserve"> certificate</w:t>
      </w:r>
      <w:r w:rsidR="00F0467B">
        <w:rPr>
          <w:noProof/>
          <w:lang w:val="en-IE"/>
        </w:rPr>
        <w:t xml:space="preserve">, </w:t>
      </w:r>
      <w:r w:rsidR="00805364">
        <w:rPr>
          <w:noProof/>
          <w:lang w:val="en-IE"/>
        </w:rPr>
        <w:t xml:space="preserve">hosts should be able to update the information or documentation. Where a host fails to submit the updated information and documentation, the competent authorities </w:t>
      </w:r>
      <w:r w:rsidR="008D4C4E">
        <w:rPr>
          <w:noProof/>
          <w:lang w:val="en-IE"/>
        </w:rPr>
        <w:t xml:space="preserve">should </w:t>
      </w:r>
      <w:r w:rsidR="00691584">
        <w:rPr>
          <w:noProof/>
          <w:lang w:val="en-IE"/>
        </w:rPr>
        <w:t xml:space="preserve">have the power to </w:t>
      </w:r>
      <w:r w:rsidR="00805364">
        <w:rPr>
          <w:noProof/>
          <w:lang w:val="en-IE"/>
        </w:rPr>
        <w:t>suspend the validity of the registration</w:t>
      </w:r>
      <w:r w:rsidR="0032276B">
        <w:rPr>
          <w:noProof/>
          <w:lang w:val="en-IE"/>
        </w:rPr>
        <w:t xml:space="preserve"> number</w:t>
      </w:r>
      <w:r w:rsidR="00805364">
        <w:rPr>
          <w:noProof/>
          <w:lang w:val="en-IE"/>
        </w:rPr>
        <w:t xml:space="preserve"> until the updated information or documentation </w:t>
      </w:r>
      <w:r w:rsidR="00823793">
        <w:rPr>
          <w:noProof/>
          <w:lang w:val="en-IE"/>
        </w:rPr>
        <w:t>has been</w:t>
      </w:r>
      <w:r w:rsidR="00805364">
        <w:rPr>
          <w:noProof/>
          <w:lang w:val="en-IE"/>
        </w:rPr>
        <w:t xml:space="preserve"> submitted.</w:t>
      </w:r>
      <w:r w:rsidR="002E588D">
        <w:rPr>
          <w:i/>
          <w:noProof/>
          <w:lang w:val="en-IE"/>
        </w:rPr>
        <w:t xml:space="preserve"> </w:t>
      </w:r>
      <w:r w:rsidR="00017865">
        <w:rPr>
          <w:noProof/>
          <w:lang w:val="en-IE"/>
        </w:rPr>
        <w:t>The</w:t>
      </w:r>
      <w:r w:rsidR="002772C0">
        <w:rPr>
          <w:noProof/>
          <w:lang w:val="en-IE"/>
        </w:rPr>
        <w:t xml:space="preserve"> information</w:t>
      </w:r>
      <w:r w:rsidR="00017865">
        <w:rPr>
          <w:noProof/>
          <w:lang w:val="en-IE"/>
        </w:rPr>
        <w:t xml:space="preserve"> </w:t>
      </w:r>
      <w:r w:rsidR="002772C0">
        <w:rPr>
          <w:noProof/>
          <w:lang w:val="en-IE"/>
        </w:rPr>
        <w:t xml:space="preserve">and </w:t>
      </w:r>
      <w:r w:rsidR="00017865">
        <w:rPr>
          <w:noProof/>
          <w:lang w:val="en-IE"/>
        </w:rPr>
        <w:t xml:space="preserve">documentation submitted by the host should be retained for the entire period of validity of the registration number and for </w:t>
      </w:r>
      <w:r w:rsidR="00654CF1">
        <w:rPr>
          <w:noProof/>
          <w:lang w:val="en-IE"/>
        </w:rPr>
        <w:t xml:space="preserve">a maximum period of </w:t>
      </w:r>
      <w:r w:rsidR="00017865">
        <w:rPr>
          <w:noProof/>
          <w:lang w:val="en-IE"/>
        </w:rPr>
        <w:t xml:space="preserve">1 year following the host’s request for removal </w:t>
      </w:r>
      <w:r w:rsidR="008D4C4E">
        <w:rPr>
          <w:noProof/>
          <w:lang w:val="en-IE"/>
        </w:rPr>
        <w:t xml:space="preserve">of a unit </w:t>
      </w:r>
      <w:r w:rsidR="00017865">
        <w:rPr>
          <w:noProof/>
          <w:lang w:val="en-IE"/>
        </w:rPr>
        <w:t xml:space="preserve">from the registry, in order to </w:t>
      </w:r>
      <w:r w:rsidR="002E588D">
        <w:rPr>
          <w:noProof/>
          <w:lang w:val="en-IE"/>
        </w:rPr>
        <w:t>allow competent authorities to perform</w:t>
      </w:r>
      <w:r w:rsidR="008D4C4E">
        <w:rPr>
          <w:noProof/>
          <w:lang w:val="en-IE"/>
        </w:rPr>
        <w:t xml:space="preserve"> any relevant</w:t>
      </w:r>
      <w:r w:rsidR="002E588D">
        <w:rPr>
          <w:noProof/>
          <w:lang w:val="en-IE"/>
        </w:rPr>
        <w:t xml:space="preserve"> checks </w:t>
      </w:r>
      <w:r w:rsidR="008D4C4E">
        <w:rPr>
          <w:noProof/>
          <w:lang w:val="en-IE"/>
        </w:rPr>
        <w:t xml:space="preserve">even </w:t>
      </w:r>
      <w:r w:rsidR="002772C0">
        <w:rPr>
          <w:noProof/>
          <w:lang w:val="en-IE"/>
        </w:rPr>
        <w:t xml:space="preserve">after the removal </w:t>
      </w:r>
      <w:r w:rsidR="008D4C4E">
        <w:rPr>
          <w:noProof/>
          <w:lang w:val="en-IE"/>
        </w:rPr>
        <w:t xml:space="preserve">of the unit </w:t>
      </w:r>
      <w:r w:rsidR="002772C0">
        <w:rPr>
          <w:noProof/>
          <w:lang w:val="en-IE"/>
        </w:rPr>
        <w:t>from the registry</w:t>
      </w:r>
      <w:r w:rsidR="002E588D">
        <w:rPr>
          <w:noProof/>
          <w:lang w:val="en-IE"/>
        </w:rPr>
        <w:t>.</w:t>
      </w:r>
    </w:p>
    <w:p w:rsidR="00B06554" w:rsidRDefault="00795BB5" w:rsidP="00795BB5">
      <w:pPr>
        <w:pStyle w:val="ManualConsidrant"/>
        <w:rPr>
          <w:noProof/>
          <w:lang w:val="en-IE"/>
        </w:rPr>
      </w:pPr>
      <w:r w:rsidRPr="00795BB5">
        <w:t>(14)</w:t>
      </w:r>
      <w:r w:rsidRPr="00795BB5">
        <w:tab/>
      </w:r>
      <w:r w:rsidR="00185808">
        <w:rPr>
          <w:noProof/>
          <w:lang w:val="en-IE"/>
        </w:rPr>
        <w:t>T</w:t>
      </w:r>
      <w:r w:rsidR="001232C2">
        <w:rPr>
          <w:noProof/>
          <w:lang w:val="en-IE"/>
        </w:rPr>
        <w:t xml:space="preserve">he information and documentation provided by hosts via the registration procedure should be verified by competent authorities only after the issuance of the registration number. </w:t>
      </w:r>
      <w:r w:rsidR="00185808">
        <w:rPr>
          <w:noProof/>
          <w:lang w:val="en-IE"/>
        </w:rPr>
        <w:t xml:space="preserve">It is appropriate to </w:t>
      </w:r>
      <w:r w:rsidR="00F71DDA">
        <w:rPr>
          <w:noProof/>
          <w:lang w:val="en-IE"/>
        </w:rPr>
        <w:t xml:space="preserve">enable </w:t>
      </w:r>
      <w:r w:rsidR="00185808">
        <w:rPr>
          <w:noProof/>
          <w:lang w:val="en-IE"/>
        </w:rPr>
        <w:t>hosts</w:t>
      </w:r>
      <w:r w:rsidR="002A6035">
        <w:rPr>
          <w:noProof/>
          <w:lang w:val="en-IE"/>
        </w:rPr>
        <w:t>,</w:t>
      </w:r>
      <w:r w:rsidR="00185808">
        <w:rPr>
          <w:noProof/>
          <w:lang w:val="en-IE"/>
        </w:rPr>
        <w:t xml:space="preserve"> </w:t>
      </w:r>
      <w:r w:rsidR="002A6035">
        <w:rPr>
          <w:noProof/>
          <w:lang w:val="en-IE"/>
        </w:rPr>
        <w:t xml:space="preserve">within a reasonable period of time, </w:t>
      </w:r>
      <w:r w:rsidR="00185808">
        <w:rPr>
          <w:noProof/>
          <w:lang w:val="en-IE"/>
        </w:rPr>
        <w:t xml:space="preserve">to rectify the information and documentation </w:t>
      </w:r>
      <w:r w:rsidR="00021AAD">
        <w:rPr>
          <w:noProof/>
          <w:lang w:val="en-IE"/>
        </w:rPr>
        <w:t xml:space="preserve">submitted </w:t>
      </w:r>
      <w:r w:rsidR="002A6035">
        <w:rPr>
          <w:noProof/>
          <w:lang w:val="en-IE"/>
        </w:rPr>
        <w:t xml:space="preserve">which a </w:t>
      </w:r>
      <w:r w:rsidR="00185808">
        <w:rPr>
          <w:noProof/>
          <w:lang w:val="en-IE"/>
        </w:rPr>
        <w:t>competent authorit</w:t>
      </w:r>
      <w:r w:rsidR="002A6035">
        <w:rPr>
          <w:noProof/>
          <w:lang w:val="en-IE"/>
        </w:rPr>
        <w:t>y considers</w:t>
      </w:r>
      <w:r w:rsidR="00185808">
        <w:rPr>
          <w:noProof/>
          <w:lang w:val="en-IE"/>
        </w:rPr>
        <w:t xml:space="preserve"> to be </w:t>
      </w:r>
      <w:r w:rsidR="00185808" w:rsidRPr="002C2744">
        <w:rPr>
          <w:noProof/>
          <w:lang w:val="en-IE"/>
        </w:rPr>
        <w:t>incomplete</w:t>
      </w:r>
      <w:r w:rsidR="00185808">
        <w:rPr>
          <w:noProof/>
          <w:lang w:val="en-IE"/>
        </w:rPr>
        <w:t xml:space="preserve"> or inaccurate</w:t>
      </w:r>
      <w:r w:rsidR="00F71DDA">
        <w:rPr>
          <w:noProof/>
          <w:lang w:val="en-IE"/>
        </w:rPr>
        <w:t xml:space="preserve">. Where the host fails to rectify the information and documentation </w:t>
      </w:r>
      <w:r w:rsidR="008D4C4E">
        <w:rPr>
          <w:noProof/>
          <w:lang w:val="en-IE"/>
        </w:rPr>
        <w:t xml:space="preserve">within the period indicated, </w:t>
      </w:r>
      <w:r w:rsidR="00F71DDA">
        <w:rPr>
          <w:noProof/>
          <w:lang w:val="en-IE"/>
        </w:rPr>
        <w:t xml:space="preserve">the competent authority </w:t>
      </w:r>
      <w:r w:rsidR="00691584">
        <w:rPr>
          <w:noProof/>
          <w:lang w:val="en-IE"/>
        </w:rPr>
        <w:t>sh</w:t>
      </w:r>
      <w:r w:rsidR="008D4C4E">
        <w:rPr>
          <w:noProof/>
          <w:lang w:val="en-IE"/>
        </w:rPr>
        <w:t>ould</w:t>
      </w:r>
      <w:r w:rsidR="00691584">
        <w:rPr>
          <w:noProof/>
          <w:lang w:val="en-IE"/>
        </w:rPr>
        <w:t xml:space="preserve"> have the power to </w:t>
      </w:r>
      <w:r w:rsidR="00F71DDA">
        <w:rPr>
          <w:noProof/>
          <w:lang w:val="en-IE"/>
        </w:rPr>
        <w:t xml:space="preserve">suspend the validity of the registration number. </w:t>
      </w:r>
      <w:r w:rsidR="00021AAD">
        <w:rPr>
          <w:noProof/>
          <w:lang w:val="en-IE"/>
        </w:rPr>
        <w:t xml:space="preserve">The competent authority </w:t>
      </w:r>
      <w:r w:rsidR="008D4C4E">
        <w:rPr>
          <w:noProof/>
          <w:lang w:val="en-IE"/>
        </w:rPr>
        <w:t xml:space="preserve">should </w:t>
      </w:r>
      <w:r w:rsidR="00691584">
        <w:rPr>
          <w:noProof/>
          <w:lang w:val="en-IE"/>
        </w:rPr>
        <w:t xml:space="preserve">have the power to </w:t>
      </w:r>
      <w:r w:rsidR="00021AAD">
        <w:rPr>
          <w:noProof/>
          <w:lang w:val="en-IE"/>
        </w:rPr>
        <w:t xml:space="preserve">suspend the validity of the registration number also in cases where it finds that there are manifest and serious doubts as regards the authenticity and validity of the information or documentation provided by the host. In </w:t>
      </w:r>
      <w:r w:rsidR="008D4C4E">
        <w:rPr>
          <w:noProof/>
          <w:lang w:val="en-IE"/>
        </w:rPr>
        <w:t xml:space="preserve">those </w:t>
      </w:r>
      <w:r w:rsidR="00021AAD">
        <w:rPr>
          <w:noProof/>
          <w:lang w:val="en-IE"/>
        </w:rPr>
        <w:t>case</w:t>
      </w:r>
      <w:r w:rsidR="008D4C4E">
        <w:rPr>
          <w:noProof/>
          <w:lang w:val="en-IE"/>
        </w:rPr>
        <w:t>s</w:t>
      </w:r>
      <w:r w:rsidR="005F3D54">
        <w:rPr>
          <w:noProof/>
          <w:lang w:val="en-IE"/>
        </w:rPr>
        <w:t xml:space="preserve">, </w:t>
      </w:r>
      <w:r w:rsidR="00424959">
        <w:rPr>
          <w:noProof/>
          <w:lang w:val="en-IE"/>
        </w:rPr>
        <w:t xml:space="preserve">competent authorities should inform </w:t>
      </w:r>
      <w:r w:rsidR="00021AAD">
        <w:rPr>
          <w:noProof/>
          <w:lang w:val="en-IE"/>
        </w:rPr>
        <w:t xml:space="preserve">hosts about </w:t>
      </w:r>
      <w:r w:rsidR="007B6734">
        <w:rPr>
          <w:noProof/>
          <w:lang w:val="en-IE"/>
        </w:rPr>
        <w:t xml:space="preserve">their </w:t>
      </w:r>
      <w:r w:rsidR="008D4C4E">
        <w:rPr>
          <w:noProof/>
          <w:lang w:val="en-IE"/>
        </w:rPr>
        <w:t xml:space="preserve">intention to suspend </w:t>
      </w:r>
      <w:r w:rsidR="00654CF1">
        <w:rPr>
          <w:noProof/>
          <w:lang w:val="en-IE"/>
        </w:rPr>
        <w:t xml:space="preserve">the validity of the registration number </w:t>
      </w:r>
      <w:r w:rsidR="00021AAD">
        <w:rPr>
          <w:noProof/>
          <w:lang w:val="en-IE"/>
        </w:rPr>
        <w:t>and the reasons</w:t>
      </w:r>
      <w:r w:rsidR="008D4C4E">
        <w:rPr>
          <w:noProof/>
          <w:lang w:val="en-IE"/>
        </w:rPr>
        <w:t xml:space="preserve"> for it</w:t>
      </w:r>
      <w:r w:rsidR="00AC0DAE">
        <w:rPr>
          <w:noProof/>
          <w:lang w:val="en-IE"/>
        </w:rPr>
        <w:t xml:space="preserve">. Hosts </w:t>
      </w:r>
      <w:r w:rsidR="008D4C4E">
        <w:rPr>
          <w:noProof/>
          <w:lang w:val="en-IE"/>
        </w:rPr>
        <w:t xml:space="preserve">should </w:t>
      </w:r>
      <w:r w:rsidR="005F3D54">
        <w:rPr>
          <w:noProof/>
          <w:lang w:val="en-IE"/>
        </w:rPr>
        <w:t xml:space="preserve">have </w:t>
      </w:r>
      <w:r w:rsidR="00021AAD">
        <w:rPr>
          <w:noProof/>
          <w:lang w:val="en-IE"/>
        </w:rPr>
        <w:t>the possibility to be heard and</w:t>
      </w:r>
      <w:r w:rsidR="008D4C4E">
        <w:rPr>
          <w:noProof/>
          <w:lang w:val="en-IE"/>
        </w:rPr>
        <w:t>, where appropriate,</w:t>
      </w:r>
      <w:r w:rsidR="00021AAD">
        <w:rPr>
          <w:noProof/>
          <w:lang w:val="en-IE"/>
        </w:rPr>
        <w:t xml:space="preserve"> to rectify the information and documentation provided within a reasonable period of time.</w:t>
      </w:r>
      <w:r w:rsidR="00362D6A">
        <w:rPr>
          <w:noProof/>
          <w:lang w:val="en-IE"/>
        </w:rPr>
        <w:t xml:space="preserve"> </w:t>
      </w:r>
      <w:r w:rsidR="00B04699" w:rsidRPr="00362D6A">
        <w:rPr>
          <w:noProof/>
          <w:lang w:val="en-IE"/>
        </w:rPr>
        <w:t xml:space="preserve">Where the validity of the registration number has been suspended, </w:t>
      </w:r>
      <w:r w:rsidR="008D4C4E">
        <w:rPr>
          <w:noProof/>
          <w:lang w:val="en-IE"/>
        </w:rPr>
        <w:t xml:space="preserve">competent </w:t>
      </w:r>
      <w:r w:rsidR="00B04699" w:rsidRPr="00362D6A">
        <w:rPr>
          <w:noProof/>
          <w:lang w:val="en-IE"/>
        </w:rPr>
        <w:t xml:space="preserve">authorities </w:t>
      </w:r>
      <w:r w:rsidR="008D4C4E">
        <w:rPr>
          <w:noProof/>
          <w:lang w:val="en-IE"/>
        </w:rPr>
        <w:t xml:space="preserve">should </w:t>
      </w:r>
      <w:r w:rsidR="00AC0DAE">
        <w:rPr>
          <w:noProof/>
          <w:lang w:val="en-IE"/>
        </w:rPr>
        <w:t>have the power to</w:t>
      </w:r>
      <w:r w:rsidR="00B04699" w:rsidRPr="00362D6A">
        <w:rPr>
          <w:noProof/>
          <w:lang w:val="en-IE"/>
        </w:rPr>
        <w:t xml:space="preserve"> issue an order requesting the online short-term rental platforms to remove or disable access to the listing </w:t>
      </w:r>
      <w:r w:rsidR="00126FBA" w:rsidRPr="00362D6A">
        <w:rPr>
          <w:noProof/>
          <w:lang w:val="en-IE"/>
        </w:rPr>
        <w:t xml:space="preserve">relating to the unit in question </w:t>
      </w:r>
      <w:r w:rsidR="00B04699" w:rsidRPr="00362D6A">
        <w:rPr>
          <w:noProof/>
          <w:lang w:val="en-IE"/>
        </w:rPr>
        <w:t>without undue delay.</w:t>
      </w:r>
      <w:r w:rsidR="00611073" w:rsidRPr="00362D6A">
        <w:rPr>
          <w:noProof/>
          <w:lang w:val="en-IE"/>
        </w:rPr>
        <w:t xml:space="preserve"> </w:t>
      </w:r>
      <w:r w:rsidR="00000386">
        <w:rPr>
          <w:noProof/>
          <w:lang w:val="en-IE"/>
        </w:rPr>
        <w:t>Those orders should include all necessary information to identify the listing, including the individual Uniform Resource Locator (URL) of the listings.</w:t>
      </w:r>
    </w:p>
    <w:p w:rsidR="00132A7E" w:rsidRPr="00D970EF" w:rsidRDefault="00795BB5" w:rsidP="00795BB5">
      <w:pPr>
        <w:pStyle w:val="ManualConsidrant"/>
        <w:rPr>
          <w:noProof/>
          <w:lang w:val="en-IE"/>
        </w:rPr>
      </w:pPr>
      <w:r w:rsidRPr="00795BB5">
        <w:t>(15)</w:t>
      </w:r>
      <w:r w:rsidRPr="00795BB5">
        <w:tab/>
      </w:r>
      <w:r w:rsidR="00E120D8">
        <w:rPr>
          <w:noProof/>
          <w:lang w:val="en-IE"/>
        </w:rPr>
        <w:t xml:space="preserve">Where </w:t>
      </w:r>
      <w:r w:rsidR="001E4478" w:rsidRPr="001E4478">
        <w:rPr>
          <w:noProof/>
          <w:lang w:val="en-IE"/>
        </w:rPr>
        <w:t xml:space="preserve">a registration procedure applies, hosts should be required to provide online </w:t>
      </w:r>
      <w:r w:rsidR="001E4478" w:rsidRPr="00B55728">
        <w:rPr>
          <w:noProof/>
          <w:lang w:val="en-IE"/>
        </w:rPr>
        <w:t>short-term rental</w:t>
      </w:r>
      <w:r w:rsidR="001E4478" w:rsidRPr="001E4478">
        <w:rPr>
          <w:noProof/>
          <w:lang w:val="en-IE"/>
        </w:rPr>
        <w:t xml:space="preserve"> platforms with their registration numbers, display them in each respective unit listing </w:t>
      </w:r>
      <w:r w:rsidR="001E4478" w:rsidRPr="0024751C">
        <w:rPr>
          <w:noProof/>
          <w:lang w:val="en-IE"/>
        </w:rPr>
        <w:t>and provide guests with the unit’s registration number. Members States should</w:t>
      </w:r>
      <w:r w:rsidR="001E4478" w:rsidRPr="001E4478">
        <w:rPr>
          <w:noProof/>
          <w:lang w:val="en-IE"/>
        </w:rPr>
        <w:t xml:space="preserve"> ensure that, where a registration procedure applies, national law enables competent authorities to order online short-term rental platforms to remove listings related to units offere</w:t>
      </w:r>
      <w:r w:rsidR="00937178">
        <w:rPr>
          <w:noProof/>
          <w:lang w:val="en-IE"/>
        </w:rPr>
        <w:t>d without a registration number or</w:t>
      </w:r>
      <w:r w:rsidR="001E4478" w:rsidRPr="001E4478">
        <w:rPr>
          <w:noProof/>
          <w:lang w:val="en-IE"/>
        </w:rPr>
        <w:t xml:space="preserve"> offered with</w:t>
      </w:r>
      <w:r w:rsidR="00937178">
        <w:rPr>
          <w:noProof/>
          <w:lang w:val="en-IE"/>
        </w:rPr>
        <w:t xml:space="preserve"> an invalid registration number</w:t>
      </w:r>
      <w:r w:rsidR="001E4478" w:rsidRPr="001E4478">
        <w:rPr>
          <w:noProof/>
          <w:lang w:val="en-IE"/>
        </w:rPr>
        <w:t>.</w:t>
      </w:r>
    </w:p>
    <w:p w:rsidR="00BF7A6A" w:rsidRPr="006A2802" w:rsidRDefault="00795BB5" w:rsidP="00795BB5">
      <w:pPr>
        <w:pStyle w:val="ManualConsidrant"/>
        <w:rPr>
          <w:noProof/>
        </w:rPr>
      </w:pPr>
      <w:r w:rsidRPr="00795BB5">
        <w:t>(16)</w:t>
      </w:r>
      <w:r w:rsidRPr="00795BB5">
        <w:tab/>
      </w:r>
      <w:r w:rsidR="009F2F19" w:rsidRPr="006A2802">
        <w:rPr>
          <w:rFonts w:eastAsia="Times New Roman"/>
          <w:noProof/>
          <w:color w:val="000000"/>
          <w:szCs w:val="24"/>
          <w:lang w:eastAsia="zh-CN"/>
        </w:rPr>
        <w:t xml:space="preserve">Article </w:t>
      </w:r>
      <w:r w:rsidR="000F5522" w:rsidRPr="006A2802">
        <w:rPr>
          <w:rFonts w:eastAsia="Times New Roman"/>
          <w:noProof/>
          <w:color w:val="000000"/>
          <w:szCs w:val="24"/>
          <w:lang w:eastAsia="zh-CN"/>
        </w:rPr>
        <w:t>31</w:t>
      </w:r>
      <w:r w:rsidR="009F2F19" w:rsidRPr="006A2802">
        <w:rPr>
          <w:rFonts w:eastAsia="Times New Roman"/>
          <w:noProof/>
          <w:color w:val="000000"/>
          <w:szCs w:val="24"/>
          <w:lang w:eastAsia="zh-CN"/>
        </w:rPr>
        <w:t xml:space="preserve"> of the </w:t>
      </w:r>
      <w:r w:rsidR="00AF574C" w:rsidRPr="006A2802">
        <w:rPr>
          <w:rFonts w:eastAsia="Times New Roman"/>
          <w:noProof/>
          <w:color w:val="000000"/>
          <w:szCs w:val="24"/>
          <w:lang w:eastAsia="zh-CN"/>
        </w:rPr>
        <w:t xml:space="preserve">Regulation </w:t>
      </w:r>
      <w:r w:rsidR="002A52CD">
        <w:rPr>
          <w:rFonts w:eastAsia="Times New Roman"/>
          <w:noProof/>
          <w:color w:val="000000"/>
          <w:szCs w:val="24"/>
          <w:lang w:eastAsia="zh-CN"/>
        </w:rPr>
        <w:t xml:space="preserve">(EU) </w:t>
      </w:r>
      <w:r w:rsidR="00000386">
        <w:rPr>
          <w:rFonts w:eastAsia="Times New Roman"/>
          <w:noProof/>
          <w:color w:val="000000"/>
          <w:szCs w:val="24"/>
          <w:lang w:eastAsia="zh-CN"/>
        </w:rPr>
        <w:t>2022/2065</w:t>
      </w:r>
      <w:r w:rsidR="002C5091" w:rsidRPr="006A2802">
        <w:rPr>
          <w:rFonts w:eastAsia="Times New Roman"/>
          <w:noProof/>
          <w:color w:val="000000"/>
          <w:szCs w:val="24"/>
          <w:lang w:eastAsia="zh-CN"/>
        </w:rPr>
        <w:t xml:space="preserve"> </w:t>
      </w:r>
      <w:r w:rsidR="009F2F19" w:rsidRPr="006A2802">
        <w:rPr>
          <w:rFonts w:eastAsia="Times New Roman"/>
          <w:noProof/>
          <w:color w:val="000000"/>
          <w:szCs w:val="24"/>
          <w:lang w:eastAsia="zh-CN"/>
        </w:rPr>
        <w:t xml:space="preserve">lays down certain due diligence requirements for </w:t>
      </w:r>
      <w:r w:rsidR="009F2F19" w:rsidRPr="006A2802">
        <w:rPr>
          <w:noProof/>
        </w:rPr>
        <w:t xml:space="preserve">providers of online platforms allowing consumers to conclude distance contracts with traders. </w:t>
      </w:r>
      <w:r w:rsidR="00565C50" w:rsidRPr="006A2802">
        <w:rPr>
          <w:noProof/>
        </w:rPr>
        <w:t>Th</w:t>
      </w:r>
      <w:r w:rsidR="00F0467B" w:rsidRPr="006A2802">
        <w:rPr>
          <w:noProof/>
        </w:rPr>
        <w:t>o</w:t>
      </w:r>
      <w:r w:rsidR="00565C50" w:rsidRPr="006A2802">
        <w:rPr>
          <w:noProof/>
        </w:rPr>
        <w:t xml:space="preserve">se requirements apply to online </w:t>
      </w:r>
      <w:r w:rsidR="00452EEA" w:rsidRPr="006A2802">
        <w:rPr>
          <w:noProof/>
          <w:lang w:val="en-IE"/>
        </w:rPr>
        <w:t xml:space="preserve">short-term rental </w:t>
      </w:r>
      <w:r w:rsidR="00565C50" w:rsidRPr="006A2802">
        <w:rPr>
          <w:noProof/>
        </w:rPr>
        <w:t xml:space="preserve">platforms with respect to </w:t>
      </w:r>
      <w:r w:rsidR="000B073D">
        <w:rPr>
          <w:noProof/>
        </w:rPr>
        <w:t xml:space="preserve">short-term accommodation rental </w:t>
      </w:r>
      <w:r w:rsidR="006B50A4" w:rsidRPr="006A2802">
        <w:rPr>
          <w:noProof/>
        </w:rPr>
        <w:t>services</w:t>
      </w:r>
      <w:r w:rsidR="00565C50" w:rsidRPr="006A2802">
        <w:rPr>
          <w:noProof/>
        </w:rPr>
        <w:t xml:space="preserve"> offered by hosts that qualify as traders. However, </w:t>
      </w:r>
      <w:r w:rsidR="00380043" w:rsidRPr="006A2802">
        <w:rPr>
          <w:noProof/>
        </w:rPr>
        <w:t xml:space="preserve">the </w:t>
      </w:r>
      <w:r w:rsidR="00252B5F">
        <w:rPr>
          <w:noProof/>
        </w:rPr>
        <w:t xml:space="preserve">short-term accommodation rental </w:t>
      </w:r>
      <w:r w:rsidR="00380043" w:rsidRPr="006A2802">
        <w:rPr>
          <w:noProof/>
        </w:rPr>
        <w:t xml:space="preserve">sector is characterised by the fact that </w:t>
      </w:r>
      <w:r w:rsidR="00565C50" w:rsidRPr="006A2802">
        <w:rPr>
          <w:noProof/>
        </w:rPr>
        <w:t>hosts are oft</w:t>
      </w:r>
      <w:r w:rsidR="00380043" w:rsidRPr="006A2802">
        <w:rPr>
          <w:noProof/>
        </w:rPr>
        <w:t>en private individuals offering</w:t>
      </w:r>
      <w:r w:rsidR="008547C4" w:rsidRPr="006A2802">
        <w:rPr>
          <w:noProof/>
        </w:rPr>
        <w:t xml:space="preserve"> </w:t>
      </w:r>
      <w:r w:rsidR="00252B5F">
        <w:rPr>
          <w:noProof/>
        </w:rPr>
        <w:t>short-term accommodation rental</w:t>
      </w:r>
      <w:r w:rsidR="00654CF1">
        <w:rPr>
          <w:noProof/>
        </w:rPr>
        <w:t xml:space="preserve"> </w:t>
      </w:r>
      <w:r w:rsidR="00565C50" w:rsidRPr="006A2802">
        <w:rPr>
          <w:noProof/>
        </w:rPr>
        <w:t>services on an occasional peer-to-peer basis</w:t>
      </w:r>
      <w:r w:rsidR="00380043" w:rsidRPr="006A2802">
        <w:rPr>
          <w:noProof/>
        </w:rPr>
        <w:t xml:space="preserve">, </w:t>
      </w:r>
      <w:r w:rsidR="003065A6" w:rsidRPr="006A2802">
        <w:rPr>
          <w:noProof/>
        </w:rPr>
        <w:t xml:space="preserve">who do </w:t>
      </w:r>
      <w:r w:rsidR="00A17194" w:rsidRPr="006A2802">
        <w:rPr>
          <w:noProof/>
        </w:rPr>
        <w:t xml:space="preserve">not necessarily meet the conditions </w:t>
      </w:r>
      <w:r w:rsidR="00452EEA" w:rsidRPr="006A2802">
        <w:rPr>
          <w:noProof/>
        </w:rPr>
        <w:t>to be categorised</w:t>
      </w:r>
      <w:r w:rsidR="00F0467B" w:rsidRPr="006A2802">
        <w:rPr>
          <w:noProof/>
        </w:rPr>
        <w:t xml:space="preserve"> a</w:t>
      </w:r>
      <w:r w:rsidR="00452EEA" w:rsidRPr="006A2802">
        <w:rPr>
          <w:noProof/>
        </w:rPr>
        <w:t>s</w:t>
      </w:r>
      <w:r w:rsidR="00A17194" w:rsidRPr="006A2802">
        <w:rPr>
          <w:noProof/>
        </w:rPr>
        <w:t xml:space="preserve"> </w:t>
      </w:r>
      <w:r w:rsidR="005F3D54" w:rsidRPr="006A2802">
        <w:rPr>
          <w:noProof/>
        </w:rPr>
        <w:t>‘</w:t>
      </w:r>
      <w:r w:rsidR="00A17194" w:rsidRPr="006A2802">
        <w:rPr>
          <w:noProof/>
        </w:rPr>
        <w:t>trader</w:t>
      </w:r>
      <w:r w:rsidR="00452EEA" w:rsidRPr="006A2802">
        <w:rPr>
          <w:noProof/>
        </w:rPr>
        <w:t>s</w:t>
      </w:r>
      <w:r w:rsidR="005F3D54" w:rsidRPr="006A2802">
        <w:rPr>
          <w:noProof/>
        </w:rPr>
        <w:t>’</w:t>
      </w:r>
      <w:r w:rsidR="00380043" w:rsidRPr="006A2802">
        <w:rPr>
          <w:noProof/>
        </w:rPr>
        <w:t xml:space="preserve"> </w:t>
      </w:r>
      <w:r w:rsidR="00452EEA" w:rsidRPr="006A2802">
        <w:rPr>
          <w:noProof/>
        </w:rPr>
        <w:t>under</w:t>
      </w:r>
      <w:r w:rsidR="00A17194" w:rsidRPr="006A2802">
        <w:rPr>
          <w:noProof/>
        </w:rPr>
        <w:t xml:space="preserve"> Union law. </w:t>
      </w:r>
      <w:r w:rsidR="00BA154D" w:rsidRPr="006A2802">
        <w:rPr>
          <w:noProof/>
        </w:rPr>
        <w:t xml:space="preserve">Therefore, </w:t>
      </w:r>
      <w:r w:rsidR="00505194" w:rsidRPr="006A2802">
        <w:rPr>
          <w:noProof/>
        </w:rPr>
        <w:t xml:space="preserve">in line with the concept and objective of ‘compliance by design’ under Article </w:t>
      </w:r>
      <w:r w:rsidR="000F5522" w:rsidRPr="006A2802">
        <w:rPr>
          <w:noProof/>
        </w:rPr>
        <w:t>31</w:t>
      </w:r>
      <w:r w:rsidR="00505194" w:rsidRPr="006A2802">
        <w:rPr>
          <w:noProof/>
        </w:rPr>
        <w:t xml:space="preserve"> of</w:t>
      </w:r>
      <w:r w:rsidR="00AF574C" w:rsidRPr="006A2802">
        <w:rPr>
          <w:noProof/>
        </w:rPr>
        <w:t xml:space="preserve"> </w:t>
      </w:r>
      <w:r w:rsidR="00AF574C" w:rsidRPr="006A2802">
        <w:rPr>
          <w:rFonts w:eastAsia="Times New Roman"/>
          <w:noProof/>
          <w:color w:val="000000"/>
          <w:szCs w:val="24"/>
          <w:lang w:eastAsia="zh-CN"/>
        </w:rPr>
        <w:t xml:space="preserve">Regulation </w:t>
      </w:r>
      <w:r w:rsidR="002A52CD">
        <w:rPr>
          <w:rFonts w:eastAsia="Times New Roman"/>
          <w:noProof/>
          <w:color w:val="000000"/>
          <w:szCs w:val="24"/>
          <w:lang w:eastAsia="zh-CN"/>
        </w:rPr>
        <w:t xml:space="preserve">(EU) </w:t>
      </w:r>
      <w:r w:rsidR="00000386">
        <w:rPr>
          <w:rFonts w:eastAsia="Times New Roman"/>
          <w:noProof/>
          <w:color w:val="000000"/>
          <w:szCs w:val="24"/>
          <w:lang w:eastAsia="zh-CN"/>
        </w:rPr>
        <w:t>2022/2065</w:t>
      </w:r>
      <w:r w:rsidR="00505194" w:rsidRPr="006A2802">
        <w:rPr>
          <w:noProof/>
        </w:rPr>
        <w:t xml:space="preserve">, and </w:t>
      </w:r>
      <w:r w:rsidR="00BA154D" w:rsidRPr="006A2802">
        <w:rPr>
          <w:noProof/>
        </w:rPr>
        <w:t>i</w:t>
      </w:r>
      <w:r w:rsidR="009F2F19" w:rsidRPr="006A2802">
        <w:rPr>
          <w:noProof/>
        </w:rPr>
        <w:t xml:space="preserve">n order to enable competent authorities to </w:t>
      </w:r>
      <w:r w:rsidR="00C37522" w:rsidRPr="006A2802">
        <w:rPr>
          <w:noProof/>
        </w:rPr>
        <w:t xml:space="preserve">verify whether </w:t>
      </w:r>
      <w:r w:rsidR="005F3D54" w:rsidRPr="006A2802">
        <w:rPr>
          <w:noProof/>
        </w:rPr>
        <w:t xml:space="preserve">applicable </w:t>
      </w:r>
      <w:r w:rsidR="009F2F19" w:rsidRPr="006A2802">
        <w:rPr>
          <w:noProof/>
        </w:rPr>
        <w:t>registration obligations</w:t>
      </w:r>
      <w:r w:rsidR="001E6938" w:rsidRPr="006A2802">
        <w:rPr>
          <w:noProof/>
        </w:rPr>
        <w:t xml:space="preserve"> are complied with</w:t>
      </w:r>
      <w:r w:rsidR="000C6B55" w:rsidRPr="006A2802">
        <w:rPr>
          <w:noProof/>
        </w:rPr>
        <w:t>,</w:t>
      </w:r>
      <w:r w:rsidR="009F2F19" w:rsidRPr="006A2802">
        <w:rPr>
          <w:noProof/>
        </w:rPr>
        <w:t xml:space="preserve"> it is</w:t>
      </w:r>
      <w:r w:rsidR="001232C2" w:rsidRPr="006A2802">
        <w:rPr>
          <w:noProof/>
        </w:rPr>
        <w:t xml:space="preserve"> appropriate</w:t>
      </w:r>
      <w:r w:rsidR="009F2F19" w:rsidRPr="006A2802">
        <w:rPr>
          <w:noProof/>
        </w:rPr>
        <w:t xml:space="preserve"> to</w:t>
      </w:r>
      <w:r w:rsidR="00BF7A6A" w:rsidRPr="006A2802">
        <w:rPr>
          <w:noProof/>
        </w:rPr>
        <w:t xml:space="preserve"> </w:t>
      </w:r>
      <w:r w:rsidR="00F829A4" w:rsidRPr="006A2802">
        <w:rPr>
          <w:noProof/>
        </w:rPr>
        <w:t xml:space="preserve">apply </w:t>
      </w:r>
      <w:r w:rsidR="00C37522" w:rsidRPr="006A2802">
        <w:rPr>
          <w:noProof/>
        </w:rPr>
        <w:t xml:space="preserve">specific conditions </w:t>
      </w:r>
      <w:r w:rsidR="00252B5F">
        <w:rPr>
          <w:noProof/>
        </w:rPr>
        <w:t xml:space="preserve">for compliance by design in the context of short-term accommodation rental </w:t>
      </w:r>
      <w:r w:rsidR="00BF7A6A" w:rsidRPr="006A2802">
        <w:rPr>
          <w:noProof/>
        </w:rPr>
        <w:t>services</w:t>
      </w:r>
      <w:r w:rsidR="00C37522" w:rsidRPr="006A2802">
        <w:rPr>
          <w:noProof/>
        </w:rPr>
        <w:t>, including those</w:t>
      </w:r>
      <w:r w:rsidR="00BF7A6A" w:rsidRPr="006A2802">
        <w:rPr>
          <w:noProof/>
        </w:rPr>
        <w:t xml:space="preserve"> offered by hosts that do not qualify as traders</w:t>
      </w:r>
      <w:r w:rsidR="00D50168" w:rsidRPr="006A2802">
        <w:rPr>
          <w:noProof/>
        </w:rPr>
        <w:t xml:space="preserve"> pursuant to Union law</w:t>
      </w:r>
      <w:r w:rsidR="009F2F19" w:rsidRPr="006A2802">
        <w:rPr>
          <w:noProof/>
        </w:rPr>
        <w:t xml:space="preserve">. </w:t>
      </w:r>
      <w:r w:rsidR="003A2BB1" w:rsidRPr="006A2802">
        <w:rPr>
          <w:bCs/>
          <w:iCs/>
          <w:noProof/>
        </w:rPr>
        <w:t>O</w:t>
      </w:r>
      <w:r w:rsidR="008459A5" w:rsidRPr="006A2802">
        <w:rPr>
          <w:bCs/>
          <w:iCs/>
          <w:noProof/>
        </w:rPr>
        <w:t xml:space="preserve">nline short-term rental platforms should ensure that services are not offered </w:t>
      </w:r>
      <w:r w:rsidR="00452EEA" w:rsidRPr="006A2802">
        <w:rPr>
          <w:bCs/>
          <w:iCs/>
          <w:noProof/>
        </w:rPr>
        <w:t>where</w:t>
      </w:r>
      <w:r w:rsidR="008459A5" w:rsidRPr="006A2802">
        <w:rPr>
          <w:bCs/>
          <w:iCs/>
          <w:noProof/>
        </w:rPr>
        <w:t xml:space="preserve"> no registration number </w:t>
      </w:r>
      <w:r w:rsidR="00452EEA" w:rsidRPr="006A2802">
        <w:rPr>
          <w:bCs/>
          <w:iCs/>
          <w:noProof/>
        </w:rPr>
        <w:t xml:space="preserve">has been </w:t>
      </w:r>
      <w:r w:rsidR="008459A5" w:rsidRPr="006A2802">
        <w:rPr>
          <w:bCs/>
          <w:iCs/>
          <w:noProof/>
        </w:rPr>
        <w:t xml:space="preserve">provided, in cases where a host declares that such a registration number applies. This should not </w:t>
      </w:r>
      <w:r w:rsidR="003A2BB1" w:rsidRPr="006A2802">
        <w:rPr>
          <w:bCs/>
          <w:iCs/>
          <w:noProof/>
        </w:rPr>
        <w:t xml:space="preserve">amount to an obligation for </w:t>
      </w:r>
      <w:r w:rsidR="008459A5" w:rsidRPr="006A2802">
        <w:rPr>
          <w:bCs/>
          <w:iCs/>
          <w:noProof/>
        </w:rPr>
        <w:t xml:space="preserve">online </w:t>
      </w:r>
      <w:r w:rsidR="00452EEA" w:rsidRPr="006A2802">
        <w:rPr>
          <w:noProof/>
          <w:lang w:val="en-IE"/>
        </w:rPr>
        <w:t xml:space="preserve">short-term rental </w:t>
      </w:r>
      <w:r w:rsidR="008459A5" w:rsidRPr="006A2802">
        <w:rPr>
          <w:bCs/>
          <w:iCs/>
          <w:noProof/>
        </w:rPr>
        <w:t xml:space="preserve">platforms to generally monitor the services offered by hosts through their </w:t>
      </w:r>
      <w:r w:rsidR="00452EEA" w:rsidRPr="006A2802">
        <w:rPr>
          <w:bCs/>
          <w:iCs/>
          <w:noProof/>
        </w:rPr>
        <w:t>platform</w:t>
      </w:r>
      <w:r w:rsidR="00FC429E" w:rsidRPr="006A2802">
        <w:rPr>
          <w:bCs/>
          <w:iCs/>
          <w:noProof/>
        </w:rPr>
        <w:t>,</w:t>
      </w:r>
      <w:r w:rsidR="008459A5" w:rsidRPr="006A2802">
        <w:rPr>
          <w:bCs/>
          <w:iCs/>
          <w:noProof/>
        </w:rPr>
        <w:t xml:space="preserve"> nor </w:t>
      </w:r>
      <w:r w:rsidR="003A2BB1" w:rsidRPr="006A2802">
        <w:rPr>
          <w:bCs/>
          <w:iCs/>
          <w:noProof/>
        </w:rPr>
        <w:t xml:space="preserve">to </w:t>
      </w:r>
      <w:r w:rsidR="008459A5" w:rsidRPr="006A2802">
        <w:rPr>
          <w:bCs/>
          <w:iCs/>
          <w:noProof/>
        </w:rPr>
        <w:t>a general fact-finding obligation</w:t>
      </w:r>
      <w:r w:rsidR="00FC429E" w:rsidRPr="006A2802">
        <w:rPr>
          <w:bCs/>
          <w:iCs/>
          <w:noProof/>
        </w:rPr>
        <w:t xml:space="preserve"> aimed at </w:t>
      </w:r>
      <w:r w:rsidR="008459A5" w:rsidRPr="006A2802">
        <w:rPr>
          <w:bCs/>
          <w:iCs/>
          <w:noProof/>
        </w:rPr>
        <w:t>assess</w:t>
      </w:r>
      <w:r w:rsidR="00FC429E" w:rsidRPr="006A2802">
        <w:rPr>
          <w:bCs/>
          <w:iCs/>
          <w:noProof/>
        </w:rPr>
        <w:t>ing</w:t>
      </w:r>
      <w:r w:rsidR="008459A5" w:rsidRPr="006A2802">
        <w:rPr>
          <w:bCs/>
          <w:iCs/>
          <w:noProof/>
        </w:rPr>
        <w:t xml:space="preserve"> the accuracy of the registration number prior to the publication of the </w:t>
      </w:r>
      <w:r w:rsidR="00082B57" w:rsidRPr="006A2802">
        <w:rPr>
          <w:bCs/>
          <w:iCs/>
          <w:noProof/>
        </w:rPr>
        <w:t>offer</w:t>
      </w:r>
      <w:r w:rsidR="00082B57" w:rsidRPr="006A2802">
        <w:rPr>
          <w:noProof/>
        </w:rPr>
        <w:t xml:space="preserve"> of short-term accommodation rental services</w:t>
      </w:r>
      <w:r w:rsidR="008459A5" w:rsidRPr="006A2802">
        <w:rPr>
          <w:bCs/>
          <w:iCs/>
          <w:noProof/>
        </w:rPr>
        <w:t xml:space="preserve">. </w:t>
      </w:r>
    </w:p>
    <w:p w:rsidR="00937178" w:rsidRPr="005B4C31" w:rsidRDefault="00795BB5" w:rsidP="00795BB5">
      <w:pPr>
        <w:pStyle w:val="ManualConsidrant"/>
        <w:rPr>
          <w:noProof/>
          <w:lang w:val="en-IE" w:eastAsia="zh-CN"/>
        </w:rPr>
      </w:pPr>
      <w:r w:rsidRPr="00795BB5">
        <w:t>(17)</w:t>
      </w:r>
      <w:r w:rsidRPr="00795BB5">
        <w:tab/>
      </w:r>
      <w:r w:rsidR="00937178">
        <w:rPr>
          <w:noProof/>
          <w:lang w:val="en-IE" w:eastAsia="zh-CN"/>
        </w:rPr>
        <w:t xml:space="preserve">Where competent authorities wish to receive </w:t>
      </w:r>
      <w:r w:rsidR="00381BBC">
        <w:rPr>
          <w:noProof/>
          <w:lang w:val="en-IE" w:eastAsia="zh-CN"/>
        </w:rPr>
        <w:t>from online short-term rental platforms</w:t>
      </w:r>
      <w:r w:rsidR="00381BBC" w:rsidRPr="00D33745">
        <w:rPr>
          <w:noProof/>
          <w:lang w:val="en-IE"/>
        </w:rPr>
        <w:t xml:space="preserve"> </w:t>
      </w:r>
      <w:r w:rsidR="00F52AF4">
        <w:rPr>
          <w:noProof/>
          <w:lang w:val="en-IE"/>
        </w:rPr>
        <w:t>information</w:t>
      </w:r>
      <w:r w:rsidR="00381BBC" w:rsidRPr="00D33745">
        <w:rPr>
          <w:noProof/>
          <w:lang w:val="en-IE"/>
        </w:rPr>
        <w:t xml:space="preserve"> about hosts</w:t>
      </w:r>
      <w:r w:rsidR="00381BBC">
        <w:rPr>
          <w:noProof/>
          <w:lang w:val="en-IE"/>
        </w:rPr>
        <w:t>’</w:t>
      </w:r>
      <w:r w:rsidR="00381BBC" w:rsidRPr="00D33745">
        <w:rPr>
          <w:noProof/>
          <w:lang w:val="en-IE"/>
        </w:rPr>
        <w:t xml:space="preserve"> </w:t>
      </w:r>
      <w:r w:rsidR="00381BBC">
        <w:rPr>
          <w:noProof/>
          <w:lang w:val="en-IE"/>
        </w:rPr>
        <w:t>activities</w:t>
      </w:r>
      <w:r w:rsidR="00937178">
        <w:rPr>
          <w:noProof/>
          <w:lang w:val="en-IE" w:eastAsia="zh-CN"/>
        </w:rPr>
        <w:t>, they should be required to establish or maintain registration procedure.</w:t>
      </w:r>
    </w:p>
    <w:p w:rsidR="009F2F19" w:rsidRPr="000F7F61" w:rsidRDefault="00795BB5" w:rsidP="00795BB5">
      <w:pPr>
        <w:pStyle w:val="ManualConsidrant"/>
        <w:rPr>
          <w:noProof/>
        </w:rPr>
      </w:pPr>
      <w:r w:rsidRPr="00795BB5">
        <w:t>(18)</w:t>
      </w:r>
      <w:r w:rsidRPr="00795BB5">
        <w:tab/>
      </w:r>
      <w:r w:rsidR="00F52AF4">
        <w:rPr>
          <w:noProof/>
          <w:lang w:val="en-IE"/>
        </w:rPr>
        <w:t>Competent</w:t>
      </w:r>
      <w:r w:rsidR="00FC429E">
        <w:rPr>
          <w:noProof/>
          <w:lang w:val="en-IE"/>
        </w:rPr>
        <w:t xml:space="preserve"> authorities that </w:t>
      </w:r>
      <w:r w:rsidR="00F52AF4">
        <w:rPr>
          <w:noProof/>
          <w:lang w:val="en-IE" w:eastAsia="zh-CN"/>
        </w:rPr>
        <w:t>wish to receive from online short-term rental platforms</w:t>
      </w:r>
      <w:r w:rsidR="00F52AF4" w:rsidRPr="00D33745">
        <w:rPr>
          <w:noProof/>
          <w:lang w:val="en-IE"/>
        </w:rPr>
        <w:t xml:space="preserve"> </w:t>
      </w:r>
      <w:r w:rsidR="00F52AF4">
        <w:rPr>
          <w:noProof/>
          <w:lang w:val="en-IE"/>
        </w:rPr>
        <w:t>information</w:t>
      </w:r>
      <w:r w:rsidR="00F52AF4" w:rsidRPr="00D33745">
        <w:rPr>
          <w:noProof/>
          <w:lang w:val="en-IE"/>
        </w:rPr>
        <w:t xml:space="preserve"> about hosts</w:t>
      </w:r>
      <w:r w:rsidR="00F52AF4">
        <w:rPr>
          <w:noProof/>
          <w:lang w:val="en-IE"/>
        </w:rPr>
        <w:t>’</w:t>
      </w:r>
      <w:r w:rsidR="00F52AF4" w:rsidRPr="00D33745">
        <w:rPr>
          <w:noProof/>
          <w:lang w:val="en-IE"/>
        </w:rPr>
        <w:t xml:space="preserve"> </w:t>
      </w:r>
      <w:r w:rsidR="00F52AF4">
        <w:rPr>
          <w:noProof/>
          <w:lang w:val="en-IE"/>
        </w:rPr>
        <w:t xml:space="preserve">activities and </w:t>
      </w:r>
      <w:r w:rsidR="00FC429E">
        <w:rPr>
          <w:noProof/>
          <w:lang w:val="en-IE"/>
        </w:rPr>
        <w:t xml:space="preserve">have registration systems </w:t>
      </w:r>
      <w:r w:rsidR="00F52AF4">
        <w:rPr>
          <w:noProof/>
          <w:lang w:val="en-IE"/>
        </w:rPr>
        <w:t xml:space="preserve">in place </w:t>
      </w:r>
      <w:r w:rsidR="00FC429E">
        <w:rPr>
          <w:noProof/>
          <w:lang w:val="en-IE"/>
        </w:rPr>
        <w:t xml:space="preserve">should be able to obtain activity data from </w:t>
      </w:r>
      <w:r w:rsidR="00874C99">
        <w:rPr>
          <w:noProof/>
          <w:lang w:val="en-IE"/>
        </w:rPr>
        <w:t xml:space="preserve">online </w:t>
      </w:r>
      <w:r w:rsidR="00FC429E">
        <w:rPr>
          <w:noProof/>
          <w:lang w:val="en-IE"/>
        </w:rPr>
        <w:t xml:space="preserve">platforms on a regular basis. The type of data that </w:t>
      </w:r>
      <w:r w:rsidR="00452EEA">
        <w:rPr>
          <w:noProof/>
          <w:lang w:val="en-IE"/>
        </w:rPr>
        <w:t>may</w:t>
      </w:r>
      <w:r w:rsidR="00FC429E">
        <w:rPr>
          <w:noProof/>
          <w:lang w:val="en-IE"/>
        </w:rPr>
        <w:t xml:space="preserve"> be obtained </w:t>
      </w:r>
      <w:r w:rsidR="00F0467B">
        <w:rPr>
          <w:noProof/>
          <w:lang w:val="en-IE"/>
        </w:rPr>
        <w:t>should be</w:t>
      </w:r>
      <w:r w:rsidR="00FC429E">
        <w:rPr>
          <w:noProof/>
          <w:lang w:val="en-IE"/>
        </w:rPr>
        <w:t xml:space="preserve"> fully harmonised and include </w:t>
      </w:r>
      <w:r w:rsidR="009F2F19">
        <w:rPr>
          <w:noProof/>
        </w:rPr>
        <w:t xml:space="preserve">information on the number of nights </w:t>
      </w:r>
      <w:r w:rsidR="007A7BD1">
        <w:rPr>
          <w:noProof/>
        </w:rPr>
        <w:t xml:space="preserve">for which a </w:t>
      </w:r>
      <w:r w:rsidR="009F2F19">
        <w:rPr>
          <w:noProof/>
        </w:rPr>
        <w:t>registered unit</w:t>
      </w:r>
      <w:r w:rsidR="00882AEB">
        <w:rPr>
          <w:noProof/>
        </w:rPr>
        <w:t xml:space="preserve"> </w:t>
      </w:r>
      <w:r w:rsidR="00D05841">
        <w:rPr>
          <w:noProof/>
        </w:rPr>
        <w:t>has been</w:t>
      </w:r>
      <w:r w:rsidR="00874C99">
        <w:rPr>
          <w:noProof/>
        </w:rPr>
        <w:t xml:space="preserve"> rented</w:t>
      </w:r>
      <w:r w:rsidR="001B33DF">
        <w:rPr>
          <w:noProof/>
        </w:rPr>
        <w:t xml:space="preserve">, </w:t>
      </w:r>
      <w:r w:rsidR="009F2F19">
        <w:rPr>
          <w:noProof/>
        </w:rPr>
        <w:t>the number of guests</w:t>
      </w:r>
      <w:r w:rsidR="00C27B9C">
        <w:rPr>
          <w:noProof/>
        </w:rPr>
        <w:t xml:space="preserve"> </w:t>
      </w:r>
      <w:r w:rsidR="00253B48">
        <w:rPr>
          <w:noProof/>
        </w:rPr>
        <w:t>that stayed in the unit per night</w:t>
      </w:r>
      <w:r w:rsidR="00BC4575">
        <w:rPr>
          <w:noProof/>
        </w:rPr>
        <w:t xml:space="preserve">, </w:t>
      </w:r>
      <w:r w:rsidR="001B33DF">
        <w:rPr>
          <w:noProof/>
        </w:rPr>
        <w:t>the registration number</w:t>
      </w:r>
      <w:r w:rsidR="007A7BD1">
        <w:rPr>
          <w:noProof/>
        </w:rPr>
        <w:t xml:space="preserve"> </w:t>
      </w:r>
      <w:r w:rsidR="00BC4575">
        <w:rPr>
          <w:noProof/>
        </w:rPr>
        <w:t xml:space="preserve">and the </w:t>
      </w:r>
      <w:r w:rsidR="00F236A2">
        <w:rPr>
          <w:noProof/>
        </w:rPr>
        <w:t>URL</w:t>
      </w:r>
      <w:r w:rsidR="00BC4575">
        <w:rPr>
          <w:noProof/>
        </w:rPr>
        <w:t xml:space="preserve"> of the listing of th</w:t>
      </w:r>
      <w:r w:rsidR="00F236A2">
        <w:rPr>
          <w:noProof/>
        </w:rPr>
        <w:t>e</w:t>
      </w:r>
      <w:r w:rsidR="00BC4575">
        <w:rPr>
          <w:noProof/>
        </w:rPr>
        <w:t xml:space="preserve"> unit</w:t>
      </w:r>
      <w:r w:rsidR="00000386">
        <w:rPr>
          <w:noProof/>
        </w:rPr>
        <w:t>, which is needed in order to facilitate the identification of the host and the unit offered for short-term accommodation rental services in cases where the registration number is missing or incorrect</w:t>
      </w:r>
      <w:r w:rsidR="009F2F19">
        <w:rPr>
          <w:noProof/>
        </w:rPr>
        <w:t xml:space="preserve">. </w:t>
      </w:r>
      <w:r w:rsidR="001D3815" w:rsidRPr="002C2744">
        <w:rPr>
          <w:noProof/>
          <w:lang w:val="en-IE"/>
        </w:rPr>
        <w:t xml:space="preserve">Only online platforms that have effectively facilitated the conclusion of direct transactions between hosts and guests are covered by </w:t>
      </w:r>
      <w:r w:rsidR="00000386">
        <w:rPr>
          <w:noProof/>
          <w:lang w:val="en-IE"/>
        </w:rPr>
        <w:t>the</w:t>
      </w:r>
      <w:r w:rsidR="00000386" w:rsidRPr="002C2744">
        <w:rPr>
          <w:noProof/>
          <w:lang w:val="en-IE"/>
        </w:rPr>
        <w:t xml:space="preserve"> </w:t>
      </w:r>
      <w:r w:rsidR="001D3815" w:rsidRPr="002C2744">
        <w:rPr>
          <w:noProof/>
          <w:lang w:val="en-IE"/>
        </w:rPr>
        <w:t>obligation</w:t>
      </w:r>
      <w:r w:rsidR="00000386">
        <w:rPr>
          <w:noProof/>
          <w:lang w:val="en-IE"/>
        </w:rPr>
        <w:t xml:space="preserve"> to provide the activity data, the registration number and the URL of the listing of the unit</w:t>
      </w:r>
      <w:r w:rsidR="001D3815" w:rsidRPr="002C2744">
        <w:rPr>
          <w:noProof/>
          <w:lang w:val="en-IE"/>
        </w:rPr>
        <w:t>, as only those platforms are in a position to collect data, such as on the number of nights for which a unit is rented and the number of guests that stayed in the unit per night</w:t>
      </w:r>
      <w:r w:rsidR="001D3815" w:rsidRPr="00FE537B">
        <w:rPr>
          <w:noProof/>
          <w:lang w:val="en-IE"/>
        </w:rPr>
        <w:t>.</w:t>
      </w:r>
      <w:r w:rsidR="001D3815" w:rsidRPr="00C740D5">
        <w:rPr>
          <w:noProof/>
          <w:lang w:val="en-IE"/>
        </w:rPr>
        <w:t xml:space="preserve"> </w:t>
      </w:r>
      <w:r w:rsidR="000F7F61" w:rsidRPr="000F7F61">
        <w:rPr>
          <w:noProof/>
        </w:rPr>
        <w:t>Member States sh</w:t>
      </w:r>
      <w:r w:rsidR="00F0467B">
        <w:rPr>
          <w:noProof/>
        </w:rPr>
        <w:t xml:space="preserve">ould </w:t>
      </w:r>
      <w:r w:rsidR="000F7F61" w:rsidRPr="000F7F61">
        <w:rPr>
          <w:noProof/>
        </w:rPr>
        <w:t>not maintain or introduce</w:t>
      </w:r>
      <w:r w:rsidR="007A7BD1">
        <w:rPr>
          <w:noProof/>
        </w:rPr>
        <w:t xml:space="preserve"> measures that require </w:t>
      </w:r>
      <w:r w:rsidR="000F7F61" w:rsidRPr="000F7F61">
        <w:rPr>
          <w:noProof/>
        </w:rPr>
        <w:t xml:space="preserve">platforms to report on </w:t>
      </w:r>
      <w:r w:rsidR="00082B57">
        <w:rPr>
          <w:noProof/>
        </w:rPr>
        <w:t xml:space="preserve">short-term accommodation rental </w:t>
      </w:r>
      <w:r w:rsidR="000F7F61" w:rsidRPr="000F7F61">
        <w:rPr>
          <w:noProof/>
        </w:rPr>
        <w:t>service providers and their activities diverg</w:t>
      </w:r>
      <w:r w:rsidR="00FD1F71">
        <w:rPr>
          <w:noProof/>
        </w:rPr>
        <w:t>ing</w:t>
      </w:r>
      <w:r w:rsidR="000F7F61" w:rsidRPr="000F7F61">
        <w:rPr>
          <w:noProof/>
        </w:rPr>
        <w:t xml:space="preserve"> from those laid down in this Regulation</w:t>
      </w:r>
      <w:r w:rsidR="00FC429E">
        <w:rPr>
          <w:noProof/>
        </w:rPr>
        <w:t>,</w:t>
      </w:r>
      <w:r w:rsidR="000F7F61" w:rsidRPr="000F7F61">
        <w:rPr>
          <w:noProof/>
        </w:rPr>
        <w:t xml:space="preserve"> </w:t>
      </w:r>
      <w:r w:rsidR="00F236A2">
        <w:rPr>
          <w:noProof/>
        </w:rPr>
        <w:t xml:space="preserve">unless otherwise </w:t>
      </w:r>
      <w:r w:rsidR="007A7BD1">
        <w:rPr>
          <w:noProof/>
        </w:rPr>
        <w:t xml:space="preserve">provided </w:t>
      </w:r>
      <w:r w:rsidR="00F236A2">
        <w:rPr>
          <w:noProof/>
        </w:rPr>
        <w:t xml:space="preserve">under </w:t>
      </w:r>
      <w:r w:rsidR="000F7F61" w:rsidRPr="000F7F61">
        <w:rPr>
          <w:noProof/>
        </w:rPr>
        <w:t>Union law.</w:t>
      </w:r>
      <w:r w:rsidR="00FC429E">
        <w:rPr>
          <w:noProof/>
        </w:rPr>
        <w:t xml:space="preserve"> </w:t>
      </w:r>
    </w:p>
    <w:p w:rsidR="003C772D" w:rsidRDefault="00795BB5" w:rsidP="00795BB5">
      <w:pPr>
        <w:pStyle w:val="ManualConsidrant"/>
        <w:rPr>
          <w:noProof/>
        </w:rPr>
      </w:pPr>
      <w:r w:rsidRPr="00795BB5">
        <w:t>(19)</w:t>
      </w:r>
      <w:r w:rsidRPr="00795BB5">
        <w:tab/>
      </w:r>
      <w:r w:rsidR="00AD37A5" w:rsidRPr="00AD37A5">
        <w:rPr>
          <w:noProof/>
          <w:lang w:val="en-IE"/>
        </w:rPr>
        <w:t xml:space="preserve">In order to ensure that the processing of personal data </w:t>
      </w:r>
      <w:r w:rsidR="00874C99">
        <w:rPr>
          <w:noProof/>
          <w:lang w:val="en-IE"/>
        </w:rPr>
        <w:t>is</w:t>
      </w:r>
      <w:r w:rsidR="00AD37A5" w:rsidRPr="00AD37A5">
        <w:rPr>
          <w:noProof/>
          <w:lang w:val="en-IE"/>
        </w:rPr>
        <w:t xml:space="preserve"> adequate, relevant and limited to what is necessary in relation to the purposes for which they are processed</w:t>
      </w:r>
      <w:r w:rsidR="009F2F19" w:rsidRPr="00094FF0">
        <w:rPr>
          <w:noProof/>
          <w:lang w:val="en-IE"/>
        </w:rPr>
        <w:t>, online</w:t>
      </w:r>
      <w:r w:rsidR="001B33DF" w:rsidRPr="00094FF0">
        <w:rPr>
          <w:noProof/>
          <w:lang w:val="en-IE"/>
        </w:rPr>
        <w:t xml:space="preserve"> </w:t>
      </w:r>
      <w:r w:rsidR="00667323">
        <w:rPr>
          <w:noProof/>
          <w:lang w:val="en-IE"/>
        </w:rPr>
        <w:t>short-term rental</w:t>
      </w:r>
      <w:r w:rsidR="009F2F19" w:rsidRPr="00094FF0">
        <w:rPr>
          <w:noProof/>
          <w:lang w:val="en-IE"/>
        </w:rPr>
        <w:t xml:space="preserve"> platforms </w:t>
      </w:r>
      <w:r w:rsidR="00D86A7A" w:rsidRPr="00094FF0">
        <w:rPr>
          <w:noProof/>
          <w:lang w:val="en-IE"/>
        </w:rPr>
        <w:t xml:space="preserve">should </w:t>
      </w:r>
      <w:r w:rsidR="006912A2" w:rsidRPr="00094FF0">
        <w:rPr>
          <w:noProof/>
          <w:lang w:val="en-IE"/>
        </w:rPr>
        <w:t xml:space="preserve">not </w:t>
      </w:r>
      <w:r w:rsidR="00D86A7A" w:rsidRPr="00094FF0">
        <w:rPr>
          <w:noProof/>
          <w:lang w:val="en-IE"/>
        </w:rPr>
        <w:t xml:space="preserve">be </w:t>
      </w:r>
      <w:r w:rsidR="006912A2" w:rsidRPr="00094FF0">
        <w:rPr>
          <w:noProof/>
          <w:lang w:val="en-IE"/>
        </w:rPr>
        <w:t xml:space="preserve">required to report </w:t>
      </w:r>
      <w:r w:rsidR="00000386">
        <w:rPr>
          <w:noProof/>
          <w:lang w:val="en-IE"/>
        </w:rPr>
        <w:t xml:space="preserve">additional </w:t>
      </w:r>
      <w:r w:rsidR="00D86A7A" w:rsidRPr="00094FF0">
        <w:rPr>
          <w:noProof/>
          <w:lang w:val="en-IE"/>
        </w:rPr>
        <w:t xml:space="preserve">information on the identity of the </w:t>
      </w:r>
      <w:r w:rsidR="006912A2" w:rsidRPr="00094FF0">
        <w:rPr>
          <w:noProof/>
          <w:lang w:val="en-IE"/>
        </w:rPr>
        <w:t xml:space="preserve">hosts and </w:t>
      </w:r>
      <w:r w:rsidR="00D86A7A" w:rsidRPr="00094FF0">
        <w:rPr>
          <w:noProof/>
          <w:lang w:val="en-IE"/>
        </w:rPr>
        <w:t xml:space="preserve">on </w:t>
      </w:r>
      <w:r w:rsidR="006912A2" w:rsidRPr="00094FF0">
        <w:rPr>
          <w:noProof/>
          <w:lang w:val="en-IE"/>
        </w:rPr>
        <w:t xml:space="preserve">units, </w:t>
      </w:r>
      <w:r w:rsidR="00D86A7A" w:rsidRPr="00094FF0">
        <w:rPr>
          <w:noProof/>
          <w:lang w:val="en-IE"/>
        </w:rPr>
        <w:t xml:space="preserve">given that this information is already collected by </w:t>
      </w:r>
      <w:r w:rsidR="006912A2" w:rsidRPr="00094FF0">
        <w:rPr>
          <w:noProof/>
          <w:lang w:val="en-IE"/>
        </w:rPr>
        <w:t>competent authorities through the registration procedures</w:t>
      </w:r>
      <w:r w:rsidR="001470FB">
        <w:rPr>
          <w:noProof/>
          <w:lang w:val="en-IE"/>
        </w:rPr>
        <w:t xml:space="preserve"> applicable to hosts</w:t>
      </w:r>
      <w:r w:rsidR="003C772D" w:rsidRPr="00094FF0">
        <w:rPr>
          <w:noProof/>
          <w:lang w:val="en-IE"/>
        </w:rPr>
        <w:t>.</w:t>
      </w:r>
    </w:p>
    <w:p w:rsidR="000F7F61" w:rsidRPr="000F7F61" w:rsidRDefault="00795BB5" w:rsidP="00795BB5">
      <w:pPr>
        <w:pStyle w:val="ManualConsidrant"/>
        <w:rPr>
          <w:noProof/>
        </w:rPr>
      </w:pPr>
      <w:r w:rsidRPr="00795BB5">
        <w:t>(20)</w:t>
      </w:r>
      <w:r w:rsidRPr="00795BB5">
        <w:tab/>
      </w:r>
      <w:r w:rsidR="009F2F19">
        <w:rPr>
          <w:noProof/>
        </w:rPr>
        <w:t xml:space="preserve">Online </w:t>
      </w:r>
      <w:r w:rsidR="00452EEA">
        <w:rPr>
          <w:noProof/>
          <w:lang w:val="en-IE"/>
        </w:rPr>
        <w:t>short-term rental</w:t>
      </w:r>
      <w:r w:rsidR="009F2F19" w:rsidRPr="00D33745">
        <w:rPr>
          <w:noProof/>
          <w:lang w:val="en-IE"/>
        </w:rPr>
        <w:t xml:space="preserve"> </w:t>
      </w:r>
      <w:r w:rsidR="009F2F19">
        <w:rPr>
          <w:noProof/>
        </w:rPr>
        <w:t xml:space="preserve">platforms that qualify as small </w:t>
      </w:r>
      <w:r w:rsidR="003255F9">
        <w:rPr>
          <w:noProof/>
        </w:rPr>
        <w:t>or</w:t>
      </w:r>
      <w:r w:rsidR="009F2F19">
        <w:rPr>
          <w:noProof/>
        </w:rPr>
        <w:t xml:space="preserve"> micro enterprises within the meaning of </w:t>
      </w:r>
      <w:r w:rsidR="00C31DB0">
        <w:rPr>
          <w:noProof/>
        </w:rPr>
        <w:t xml:space="preserve">Commission </w:t>
      </w:r>
      <w:r w:rsidR="009F2F19">
        <w:rPr>
          <w:noProof/>
        </w:rPr>
        <w:t xml:space="preserve">Recommendation </w:t>
      </w:r>
      <w:r w:rsidR="009F2F19" w:rsidRPr="007812C0">
        <w:rPr>
          <w:noProof/>
        </w:rPr>
        <w:t>2003/361/EC</w:t>
      </w:r>
      <w:r w:rsidR="005669CC" w:rsidRPr="0052431E">
        <w:rPr>
          <w:rStyle w:val="FootnoteReference"/>
          <w:noProof/>
        </w:rPr>
        <w:footnoteReference w:id="30"/>
      </w:r>
      <w:r w:rsidR="009F2F19">
        <w:rPr>
          <w:noProof/>
        </w:rPr>
        <w:t xml:space="preserve"> should not be expected to </w:t>
      </w:r>
      <w:r w:rsidR="00994B64">
        <w:rPr>
          <w:noProof/>
        </w:rPr>
        <w:t xml:space="preserve">use </w:t>
      </w:r>
      <w:r w:rsidR="002C3A53">
        <w:rPr>
          <w:noProof/>
        </w:rPr>
        <w:t xml:space="preserve">machine-to-machine communication </w:t>
      </w:r>
      <w:r w:rsidR="008459A5">
        <w:rPr>
          <w:noProof/>
        </w:rPr>
        <w:t xml:space="preserve">means of data-sharing, </w:t>
      </w:r>
      <w:r w:rsidR="009F2F19">
        <w:rPr>
          <w:noProof/>
        </w:rPr>
        <w:t>provided that they d</w:t>
      </w:r>
      <w:r w:rsidR="00874C99">
        <w:rPr>
          <w:noProof/>
        </w:rPr>
        <w:t>id</w:t>
      </w:r>
      <w:r w:rsidR="009F2F19">
        <w:rPr>
          <w:noProof/>
        </w:rPr>
        <w:t xml:space="preserve"> not</w:t>
      </w:r>
      <w:r w:rsidR="00874C99">
        <w:rPr>
          <w:noProof/>
        </w:rPr>
        <w:t>, in the previous quarter,</w:t>
      </w:r>
      <w:r w:rsidR="009F2F19">
        <w:rPr>
          <w:noProof/>
        </w:rPr>
        <w:t xml:space="preserve"> reach a monthly average </w:t>
      </w:r>
      <w:r w:rsidR="005C0C65">
        <w:rPr>
          <w:noProof/>
          <w:szCs w:val="24"/>
        </w:rPr>
        <w:t xml:space="preserve">of </w:t>
      </w:r>
      <w:r w:rsidR="00AD37A5">
        <w:rPr>
          <w:noProof/>
          <w:szCs w:val="24"/>
        </w:rPr>
        <w:t xml:space="preserve">minimum </w:t>
      </w:r>
      <w:r w:rsidR="005C0C65">
        <w:rPr>
          <w:noProof/>
          <w:szCs w:val="24"/>
        </w:rPr>
        <w:t>2 5</w:t>
      </w:r>
      <w:r w:rsidR="00882AEB">
        <w:rPr>
          <w:noProof/>
          <w:szCs w:val="24"/>
        </w:rPr>
        <w:t>0</w:t>
      </w:r>
      <w:r w:rsidR="005C0C65">
        <w:rPr>
          <w:noProof/>
          <w:szCs w:val="24"/>
        </w:rPr>
        <w:t>0</w:t>
      </w:r>
      <w:r w:rsidR="009F2F19" w:rsidRPr="00325AB2">
        <w:rPr>
          <w:noProof/>
          <w:szCs w:val="24"/>
        </w:rPr>
        <w:t xml:space="preserve"> </w:t>
      </w:r>
      <w:r w:rsidR="00882AEB">
        <w:rPr>
          <w:noProof/>
          <w:szCs w:val="24"/>
        </w:rPr>
        <w:t>active hosts</w:t>
      </w:r>
      <w:r w:rsidR="00B95C80">
        <w:rPr>
          <w:noProof/>
          <w:szCs w:val="24"/>
        </w:rPr>
        <w:t xml:space="preserve"> in the Union</w:t>
      </w:r>
      <w:r w:rsidR="009F33FE">
        <w:rPr>
          <w:noProof/>
          <w:szCs w:val="24"/>
        </w:rPr>
        <w:t>.</w:t>
      </w:r>
      <w:r w:rsidR="009F33FE" w:rsidDel="005224E5">
        <w:rPr>
          <w:noProof/>
          <w:szCs w:val="24"/>
        </w:rPr>
        <w:t xml:space="preserve"> </w:t>
      </w:r>
      <w:r w:rsidR="001470FB">
        <w:rPr>
          <w:noProof/>
          <w:szCs w:val="24"/>
        </w:rPr>
        <w:t xml:space="preserve">Allowing </w:t>
      </w:r>
      <w:r w:rsidR="00AB1D1D">
        <w:rPr>
          <w:noProof/>
          <w:szCs w:val="24"/>
        </w:rPr>
        <w:t>s</w:t>
      </w:r>
      <w:r w:rsidR="000F7F61">
        <w:rPr>
          <w:noProof/>
          <w:szCs w:val="24"/>
        </w:rPr>
        <w:t>u</w:t>
      </w:r>
      <w:r w:rsidR="00AB1D1D">
        <w:rPr>
          <w:noProof/>
          <w:szCs w:val="24"/>
        </w:rPr>
        <w:t xml:space="preserve">ch online </w:t>
      </w:r>
      <w:r w:rsidR="00452EEA">
        <w:rPr>
          <w:noProof/>
          <w:lang w:val="en-IE"/>
        </w:rPr>
        <w:t>short-term rental</w:t>
      </w:r>
      <w:r w:rsidR="00AB1D1D" w:rsidRPr="00D33745">
        <w:rPr>
          <w:noProof/>
          <w:lang w:val="en-IE"/>
        </w:rPr>
        <w:t xml:space="preserve"> </w:t>
      </w:r>
      <w:r w:rsidR="00AB1D1D">
        <w:rPr>
          <w:noProof/>
          <w:szCs w:val="24"/>
        </w:rPr>
        <w:t>platforms</w:t>
      </w:r>
      <w:r w:rsidR="00817DAD">
        <w:rPr>
          <w:noProof/>
          <w:szCs w:val="24"/>
        </w:rPr>
        <w:t xml:space="preserve"> to use manual means to share data with the </w:t>
      </w:r>
      <w:r w:rsidR="002A447B">
        <w:rPr>
          <w:noProof/>
          <w:szCs w:val="24"/>
        </w:rPr>
        <w:t>S</w:t>
      </w:r>
      <w:r w:rsidR="00817DAD">
        <w:rPr>
          <w:noProof/>
          <w:szCs w:val="24"/>
        </w:rPr>
        <w:t xml:space="preserve">ingle </w:t>
      </w:r>
      <w:r w:rsidR="002A447B">
        <w:rPr>
          <w:noProof/>
          <w:szCs w:val="24"/>
        </w:rPr>
        <w:t>D</w:t>
      </w:r>
      <w:r w:rsidR="00817DAD">
        <w:rPr>
          <w:noProof/>
          <w:szCs w:val="24"/>
        </w:rPr>
        <w:t xml:space="preserve">igital </w:t>
      </w:r>
      <w:r w:rsidR="002A447B">
        <w:rPr>
          <w:noProof/>
          <w:szCs w:val="24"/>
        </w:rPr>
        <w:t>E</w:t>
      </w:r>
      <w:r w:rsidR="00817DAD">
        <w:rPr>
          <w:noProof/>
          <w:szCs w:val="24"/>
        </w:rPr>
        <w:t xml:space="preserve">ntry </w:t>
      </w:r>
      <w:r w:rsidR="002A447B">
        <w:rPr>
          <w:noProof/>
          <w:szCs w:val="24"/>
        </w:rPr>
        <w:t>P</w:t>
      </w:r>
      <w:r w:rsidR="00817DAD">
        <w:rPr>
          <w:noProof/>
          <w:szCs w:val="24"/>
        </w:rPr>
        <w:t xml:space="preserve">oint </w:t>
      </w:r>
      <w:r w:rsidR="00AB1D1D">
        <w:rPr>
          <w:noProof/>
          <w:szCs w:val="24"/>
        </w:rPr>
        <w:t xml:space="preserve">reduces their </w:t>
      </w:r>
      <w:r w:rsidR="001470FB">
        <w:rPr>
          <w:noProof/>
          <w:szCs w:val="24"/>
        </w:rPr>
        <w:t xml:space="preserve">compliance </w:t>
      </w:r>
      <w:r w:rsidR="00AB1D1D">
        <w:rPr>
          <w:noProof/>
          <w:szCs w:val="24"/>
        </w:rPr>
        <w:t>burden and takes account of their financial or technical</w:t>
      </w:r>
      <w:r w:rsidR="001470FB">
        <w:rPr>
          <w:noProof/>
          <w:szCs w:val="24"/>
        </w:rPr>
        <w:t xml:space="preserve"> resources</w:t>
      </w:r>
      <w:r w:rsidR="00AB1D1D">
        <w:rPr>
          <w:noProof/>
          <w:szCs w:val="24"/>
        </w:rPr>
        <w:t xml:space="preserve">, </w:t>
      </w:r>
      <w:r w:rsidR="00817DAD">
        <w:rPr>
          <w:noProof/>
          <w:szCs w:val="24"/>
        </w:rPr>
        <w:t xml:space="preserve">while still ensuring that competent authorities </w:t>
      </w:r>
      <w:r w:rsidR="001470FB">
        <w:rPr>
          <w:noProof/>
          <w:szCs w:val="24"/>
        </w:rPr>
        <w:t xml:space="preserve">obtain </w:t>
      </w:r>
      <w:r w:rsidR="00817DAD">
        <w:rPr>
          <w:noProof/>
          <w:szCs w:val="24"/>
        </w:rPr>
        <w:t xml:space="preserve">the relevant </w:t>
      </w:r>
      <w:r w:rsidR="00AB1D1D">
        <w:rPr>
          <w:noProof/>
          <w:szCs w:val="24"/>
        </w:rPr>
        <w:t xml:space="preserve">data. </w:t>
      </w:r>
      <w:r w:rsidR="00AD37A5">
        <w:rPr>
          <w:noProof/>
          <w:szCs w:val="24"/>
        </w:rPr>
        <w:t xml:space="preserve">The assumption is that online short-term rental platforms that are </w:t>
      </w:r>
      <w:r w:rsidR="00AD37A5">
        <w:rPr>
          <w:noProof/>
        </w:rPr>
        <w:t>small or micro enterprises within the meaning of Recommendation 2003/361/E</w:t>
      </w:r>
      <w:r w:rsidR="00AD37A5" w:rsidRPr="0052431E">
        <w:rPr>
          <w:noProof/>
        </w:rPr>
        <w:t>C</w:t>
      </w:r>
      <w:r w:rsidR="00AD37A5">
        <w:rPr>
          <w:noProof/>
          <w:szCs w:val="24"/>
        </w:rPr>
        <w:t xml:space="preserve"> and that reach or exceed this threshold should already have in place systems that allow to comply with </w:t>
      </w:r>
      <w:r w:rsidR="00874C99">
        <w:rPr>
          <w:noProof/>
          <w:szCs w:val="24"/>
        </w:rPr>
        <w:t xml:space="preserve">machine-to-machine transmission </w:t>
      </w:r>
      <w:r w:rsidR="00AD37A5">
        <w:rPr>
          <w:noProof/>
          <w:szCs w:val="24"/>
        </w:rPr>
        <w:t>requirements.</w:t>
      </w:r>
    </w:p>
    <w:p w:rsidR="00F0467B" w:rsidRPr="00FD4CDD" w:rsidRDefault="00795BB5" w:rsidP="00795BB5">
      <w:pPr>
        <w:pStyle w:val="ManualConsidrant"/>
        <w:rPr>
          <w:noProof/>
        </w:rPr>
      </w:pPr>
      <w:r w:rsidRPr="00795BB5">
        <w:t>(21)</w:t>
      </w:r>
      <w:r w:rsidRPr="00795BB5">
        <w:tab/>
      </w:r>
      <w:r w:rsidR="00F0467B" w:rsidRPr="00F0467B">
        <w:rPr>
          <w:noProof/>
          <w:lang w:val="en-IE"/>
        </w:rPr>
        <w:t xml:space="preserve">Online </w:t>
      </w:r>
      <w:r w:rsidR="00452EEA">
        <w:rPr>
          <w:noProof/>
          <w:lang w:val="en-IE"/>
        </w:rPr>
        <w:t>short-term rental</w:t>
      </w:r>
      <w:r w:rsidR="00F0467B" w:rsidRPr="00F0467B">
        <w:rPr>
          <w:noProof/>
          <w:lang w:val="en-IE"/>
        </w:rPr>
        <w:t xml:space="preserve"> platforms </w:t>
      </w:r>
      <w:r w:rsidR="005224E5">
        <w:rPr>
          <w:noProof/>
          <w:lang w:val="en-IE"/>
        </w:rPr>
        <w:t>should</w:t>
      </w:r>
      <w:r w:rsidR="00F0467B" w:rsidRPr="00F0467B">
        <w:rPr>
          <w:noProof/>
          <w:lang w:val="en-IE"/>
        </w:rPr>
        <w:t xml:space="preserve"> be required to fulfil the reporting obligations with respect to the </w:t>
      </w:r>
      <w:r w:rsidR="00082B57">
        <w:rPr>
          <w:noProof/>
        </w:rPr>
        <w:t xml:space="preserve">short-term accommodation rental </w:t>
      </w:r>
      <w:r w:rsidR="00082B57" w:rsidRPr="00E56D21">
        <w:rPr>
          <w:noProof/>
        </w:rPr>
        <w:t>services</w:t>
      </w:r>
      <w:r w:rsidR="00082B57" w:rsidRPr="00F0467B">
        <w:rPr>
          <w:noProof/>
          <w:lang w:val="en-IE"/>
        </w:rPr>
        <w:t xml:space="preserve"> </w:t>
      </w:r>
      <w:r w:rsidR="00F0467B" w:rsidRPr="00F0467B">
        <w:rPr>
          <w:noProof/>
          <w:lang w:val="en-IE"/>
        </w:rPr>
        <w:t>that they intermediate for units located in a</w:t>
      </w:r>
      <w:r w:rsidR="00AB6DB6">
        <w:rPr>
          <w:noProof/>
          <w:lang w:val="en-IE"/>
        </w:rPr>
        <w:t>n area</w:t>
      </w:r>
      <w:r w:rsidR="00F0467B" w:rsidRPr="00F0467B">
        <w:rPr>
          <w:noProof/>
          <w:lang w:val="en-IE"/>
        </w:rPr>
        <w:t xml:space="preserve"> where a registration procedure has been established, and provided that the Single Digital Entry Point has been established by the Member State. Collecting and sharing this information is necessary to enable competent authorities to monitor compliance with the registration procedures applicable to hosts</w:t>
      </w:r>
      <w:r w:rsidR="0049542B">
        <w:rPr>
          <w:noProof/>
          <w:lang w:val="en-IE"/>
        </w:rPr>
        <w:t xml:space="preserve"> and</w:t>
      </w:r>
      <w:r w:rsidR="00F0467B" w:rsidRPr="00F0467B">
        <w:rPr>
          <w:noProof/>
          <w:lang w:val="en-IE"/>
        </w:rPr>
        <w:t xml:space="preserve"> to </w:t>
      </w:r>
      <w:r w:rsidR="0049542B">
        <w:rPr>
          <w:noProof/>
          <w:lang w:val="en-IE"/>
        </w:rPr>
        <w:t xml:space="preserve">enable Member States to </w:t>
      </w:r>
      <w:r w:rsidR="00F0467B" w:rsidRPr="00F0467B">
        <w:rPr>
          <w:noProof/>
          <w:lang w:val="en-IE"/>
        </w:rPr>
        <w:t xml:space="preserve">develop </w:t>
      </w:r>
      <w:r w:rsidR="00E120D8">
        <w:rPr>
          <w:noProof/>
          <w:lang w:val="en-IE"/>
        </w:rPr>
        <w:t xml:space="preserve">and enforce appropriate and proportionate </w:t>
      </w:r>
      <w:r w:rsidR="00F0467B" w:rsidRPr="00F0467B">
        <w:rPr>
          <w:noProof/>
          <w:lang w:val="en-IE"/>
        </w:rPr>
        <w:t xml:space="preserve">policies in the area of </w:t>
      </w:r>
      <w:r w:rsidR="00082B57">
        <w:rPr>
          <w:noProof/>
        </w:rPr>
        <w:t xml:space="preserve">short-term accommodation rental </w:t>
      </w:r>
      <w:r w:rsidR="00082B57" w:rsidRPr="00E56D21">
        <w:rPr>
          <w:noProof/>
        </w:rPr>
        <w:t>services</w:t>
      </w:r>
      <w:r w:rsidR="00F0467B" w:rsidRPr="00F0467B">
        <w:rPr>
          <w:noProof/>
          <w:lang w:val="en-IE"/>
        </w:rPr>
        <w:t xml:space="preserve">. </w:t>
      </w:r>
    </w:p>
    <w:p w:rsidR="00E56D21" w:rsidRPr="00E56D21" w:rsidRDefault="00795BB5" w:rsidP="00795BB5">
      <w:pPr>
        <w:pStyle w:val="ManualConsidrant"/>
        <w:rPr>
          <w:rStyle w:val="CommentReference"/>
          <w:noProof/>
          <w:sz w:val="24"/>
          <w:szCs w:val="22"/>
          <w:lang w:val="en-US"/>
        </w:rPr>
      </w:pPr>
      <w:r w:rsidRPr="00795BB5">
        <w:rPr>
          <w:rStyle w:val="CommentReference"/>
        </w:rPr>
        <w:t>(22)</w:t>
      </w:r>
      <w:r w:rsidRPr="00795BB5">
        <w:rPr>
          <w:rStyle w:val="CommentReference"/>
        </w:rPr>
        <w:tab/>
      </w:r>
      <w:r w:rsidR="009F2F19">
        <w:rPr>
          <w:noProof/>
          <w:lang w:val="en-IE"/>
        </w:rPr>
        <w:t xml:space="preserve">To avoid online </w:t>
      </w:r>
      <w:r w:rsidR="00452EEA">
        <w:rPr>
          <w:noProof/>
          <w:lang w:val="en-IE"/>
        </w:rPr>
        <w:t>short-term rental</w:t>
      </w:r>
      <w:r w:rsidR="009F2F19">
        <w:rPr>
          <w:noProof/>
          <w:lang w:val="en-IE"/>
        </w:rPr>
        <w:t xml:space="preserve"> platforms being confronted with diverging technical requirements and a variety of access points for sharing data within a Member State, a</w:t>
      </w:r>
      <w:r w:rsidR="009F2F19" w:rsidRPr="0089414D">
        <w:rPr>
          <w:noProof/>
          <w:lang w:val="en-IE"/>
        </w:rPr>
        <w:t xml:space="preserve"> </w:t>
      </w:r>
      <w:r w:rsidR="00090676">
        <w:rPr>
          <w:noProof/>
          <w:lang w:val="en-IE"/>
        </w:rPr>
        <w:t xml:space="preserve">national </w:t>
      </w:r>
      <w:r w:rsidR="009F2F19" w:rsidRPr="0089414D">
        <w:rPr>
          <w:noProof/>
          <w:lang w:val="en-IE"/>
        </w:rPr>
        <w:t xml:space="preserve">Single Digital Entry Point should be established as a </w:t>
      </w:r>
      <w:r w:rsidR="009F2F19">
        <w:rPr>
          <w:noProof/>
          <w:lang w:val="en-IE"/>
        </w:rPr>
        <w:t>gateway</w:t>
      </w:r>
      <w:r w:rsidR="009F2F19" w:rsidRPr="0089414D">
        <w:rPr>
          <w:noProof/>
          <w:lang w:val="en-IE"/>
        </w:rPr>
        <w:t xml:space="preserve"> for the </w:t>
      </w:r>
      <w:r w:rsidR="009F2F19">
        <w:rPr>
          <w:noProof/>
          <w:lang w:val="en-IE"/>
        </w:rPr>
        <w:t xml:space="preserve">electronic </w:t>
      </w:r>
      <w:r w:rsidR="009F2F19" w:rsidRPr="0089414D">
        <w:rPr>
          <w:noProof/>
          <w:lang w:val="en-IE"/>
        </w:rPr>
        <w:t xml:space="preserve">transmission of data </w:t>
      </w:r>
      <w:r w:rsidR="009F2F19">
        <w:rPr>
          <w:noProof/>
          <w:lang w:val="en-IE"/>
        </w:rPr>
        <w:t>between</w:t>
      </w:r>
      <w:r w:rsidR="009F2F19" w:rsidRPr="0089414D">
        <w:rPr>
          <w:noProof/>
          <w:lang w:val="en-IE"/>
        </w:rPr>
        <w:t xml:space="preserve"> online </w:t>
      </w:r>
      <w:r w:rsidR="00452EEA">
        <w:rPr>
          <w:noProof/>
          <w:lang w:val="en-IE"/>
        </w:rPr>
        <w:t>short-term rental</w:t>
      </w:r>
      <w:r w:rsidR="00452EEA" w:rsidRPr="00D33745">
        <w:rPr>
          <w:noProof/>
          <w:lang w:val="en-IE"/>
        </w:rPr>
        <w:t xml:space="preserve"> </w:t>
      </w:r>
      <w:r w:rsidR="009F2F19" w:rsidRPr="0089414D">
        <w:rPr>
          <w:noProof/>
          <w:lang w:val="en-IE"/>
        </w:rPr>
        <w:t xml:space="preserve">platforms </w:t>
      </w:r>
      <w:r w:rsidR="009F2F19">
        <w:rPr>
          <w:noProof/>
          <w:lang w:val="en-IE"/>
        </w:rPr>
        <w:t>and</w:t>
      </w:r>
      <w:r w:rsidR="009F2F19" w:rsidRPr="0089414D">
        <w:rPr>
          <w:noProof/>
          <w:lang w:val="en-IE"/>
        </w:rPr>
        <w:t xml:space="preserve"> competent authorities, ensuring timely, reliable and efficient data sharing processes</w:t>
      </w:r>
      <w:r w:rsidR="00A106CE">
        <w:rPr>
          <w:noProof/>
          <w:lang w:val="en-IE"/>
        </w:rPr>
        <w:t>.</w:t>
      </w:r>
    </w:p>
    <w:p w:rsidR="00A52186" w:rsidRPr="00A52186" w:rsidRDefault="00795BB5" w:rsidP="00795BB5">
      <w:pPr>
        <w:pStyle w:val="ManualConsidrant"/>
        <w:rPr>
          <w:noProof/>
          <w:lang w:val="en-IE"/>
        </w:rPr>
      </w:pPr>
      <w:r w:rsidRPr="00795BB5">
        <w:t>(23)</w:t>
      </w:r>
      <w:r w:rsidRPr="00795BB5">
        <w:tab/>
      </w:r>
      <w:r w:rsidR="00E56D21" w:rsidRPr="00C242CE">
        <w:rPr>
          <w:noProof/>
          <w:lang w:val="en-IE"/>
        </w:rPr>
        <w:t>T</w:t>
      </w:r>
      <w:r w:rsidR="009F2F19" w:rsidRPr="00C242CE">
        <w:rPr>
          <w:noProof/>
          <w:lang w:val="en-IE"/>
        </w:rPr>
        <w:t>he Single</w:t>
      </w:r>
      <w:r w:rsidR="009F2F19" w:rsidRPr="00C242CE">
        <w:rPr>
          <w:noProof/>
          <w:lang w:val="en-US"/>
        </w:rPr>
        <w:t xml:space="preserve"> Digital Entry Point</w:t>
      </w:r>
      <w:r w:rsidR="00672947">
        <w:rPr>
          <w:noProof/>
          <w:lang w:val="en-US"/>
        </w:rPr>
        <w:t>s</w:t>
      </w:r>
      <w:r w:rsidR="009F2F19" w:rsidRPr="00C242CE">
        <w:rPr>
          <w:noProof/>
          <w:lang w:val="en-US"/>
        </w:rPr>
        <w:t xml:space="preserve"> </w:t>
      </w:r>
      <w:r w:rsidR="00C37522" w:rsidRPr="00C242CE">
        <w:rPr>
          <w:noProof/>
          <w:lang w:val="en-US"/>
        </w:rPr>
        <w:t xml:space="preserve">should facilitate </w:t>
      </w:r>
      <w:r w:rsidR="00452EEA">
        <w:rPr>
          <w:noProof/>
          <w:lang w:val="en-US"/>
        </w:rPr>
        <w:t xml:space="preserve">the ability of </w:t>
      </w:r>
      <w:r w:rsidR="009F2F19" w:rsidRPr="00C242CE">
        <w:rPr>
          <w:noProof/>
          <w:lang w:val="en-US"/>
        </w:rPr>
        <w:t xml:space="preserve">online </w:t>
      </w:r>
      <w:r w:rsidR="00452EEA">
        <w:rPr>
          <w:noProof/>
          <w:lang w:val="en-US"/>
        </w:rPr>
        <w:t xml:space="preserve">short-term rental </w:t>
      </w:r>
      <w:r w:rsidR="00744DA6">
        <w:rPr>
          <w:noProof/>
          <w:lang w:val="en-US"/>
        </w:rPr>
        <w:t>p</w:t>
      </w:r>
      <w:r w:rsidR="009F2F19" w:rsidRPr="00C242CE">
        <w:rPr>
          <w:noProof/>
          <w:lang w:val="en-US"/>
        </w:rPr>
        <w:t xml:space="preserve">latforms to </w:t>
      </w:r>
      <w:r w:rsidR="00C242CE" w:rsidRPr="00C242CE">
        <w:rPr>
          <w:noProof/>
          <w:lang w:val="en-US"/>
        </w:rPr>
        <w:t xml:space="preserve">randomly </w:t>
      </w:r>
      <w:r w:rsidR="009F2F19" w:rsidRPr="00C242CE">
        <w:rPr>
          <w:noProof/>
          <w:lang w:val="en-US"/>
        </w:rPr>
        <w:t>check the validity of a registration number</w:t>
      </w:r>
      <w:r w:rsidR="00C242CE" w:rsidRPr="00C242CE">
        <w:rPr>
          <w:noProof/>
          <w:lang w:val="en-US"/>
        </w:rPr>
        <w:t xml:space="preserve"> </w:t>
      </w:r>
      <w:r w:rsidR="00C242CE" w:rsidRPr="009702AA">
        <w:rPr>
          <w:noProof/>
          <w:lang w:val="en-US"/>
        </w:rPr>
        <w:t>or the accuracy of self-declarations</w:t>
      </w:r>
      <w:r w:rsidR="001470FB" w:rsidRPr="009702AA">
        <w:rPr>
          <w:noProof/>
          <w:lang w:val="en-US"/>
        </w:rPr>
        <w:t>, in order</w:t>
      </w:r>
      <w:r w:rsidR="009F2F19" w:rsidRPr="009702AA">
        <w:rPr>
          <w:noProof/>
          <w:lang w:val="en-US"/>
        </w:rPr>
        <w:t xml:space="preserve"> to reduce errors and inconsistencies as regards data transmission and to ease their compliance burden. </w:t>
      </w:r>
      <w:r w:rsidR="000C6B55">
        <w:rPr>
          <w:noProof/>
          <w:lang w:val="en-US"/>
        </w:rPr>
        <w:t>The Single Digital Entry Point should</w:t>
      </w:r>
      <w:r w:rsidR="005C0C65">
        <w:rPr>
          <w:noProof/>
          <w:lang w:val="en-US"/>
        </w:rPr>
        <w:t xml:space="preserve">, while not requiring the actual storage of the registration number, allow </w:t>
      </w:r>
      <w:r w:rsidR="000C6B55">
        <w:rPr>
          <w:noProof/>
          <w:lang w:val="en-US"/>
        </w:rPr>
        <w:t>the performance of r</w:t>
      </w:r>
      <w:r w:rsidR="00C242CE" w:rsidRPr="009702AA">
        <w:rPr>
          <w:noProof/>
          <w:lang w:val="en-US"/>
        </w:rPr>
        <w:t xml:space="preserve">andom </w:t>
      </w:r>
      <w:r w:rsidR="001470FB" w:rsidRPr="009702AA">
        <w:rPr>
          <w:noProof/>
          <w:lang w:val="en-US"/>
        </w:rPr>
        <w:t>checks</w:t>
      </w:r>
      <w:r w:rsidR="00667323" w:rsidRPr="00C242CE">
        <w:rPr>
          <w:noProof/>
          <w:lang w:val="en-US"/>
        </w:rPr>
        <w:t xml:space="preserve"> </w:t>
      </w:r>
      <w:r w:rsidR="009F2F19" w:rsidRPr="00C242CE">
        <w:rPr>
          <w:noProof/>
          <w:lang w:val="en-US"/>
        </w:rPr>
        <w:t xml:space="preserve">either automatically by means of </w:t>
      </w:r>
      <w:r w:rsidR="001D3815">
        <w:rPr>
          <w:noProof/>
          <w:lang w:val="en-US"/>
        </w:rPr>
        <w:t xml:space="preserve">Application Programming Interface </w:t>
      </w:r>
      <w:r w:rsidR="000C6B55">
        <w:rPr>
          <w:noProof/>
          <w:lang w:val="en-US"/>
        </w:rPr>
        <w:t xml:space="preserve">allowing the verification of a </w:t>
      </w:r>
      <w:r w:rsidR="00C8237E" w:rsidRPr="00C242CE">
        <w:rPr>
          <w:noProof/>
          <w:lang w:val="en-US"/>
        </w:rPr>
        <w:t xml:space="preserve">registration number against the </w:t>
      </w:r>
      <w:r w:rsidR="009F2F19" w:rsidRPr="00C242CE">
        <w:rPr>
          <w:noProof/>
          <w:lang w:val="en-US"/>
        </w:rPr>
        <w:t>given</w:t>
      </w:r>
      <w:r w:rsidR="002C2744">
        <w:rPr>
          <w:noProof/>
          <w:lang w:val="en-US"/>
        </w:rPr>
        <w:t xml:space="preserve"> entries in the</w:t>
      </w:r>
      <w:r w:rsidR="009F2F19" w:rsidRPr="00C242CE">
        <w:rPr>
          <w:noProof/>
          <w:lang w:val="en-US"/>
        </w:rPr>
        <w:t xml:space="preserve"> registry of the individual registration procedures in a Member State </w:t>
      </w:r>
      <w:r w:rsidR="00C8237E" w:rsidRPr="00C242CE">
        <w:rPr>
          <w:noProof/>
          <w:lang w:val="en-US"/>
        </w:rPr>
        <w:t xml:space="preserve">connected to the Single Digital Entry Point </w:t>
      </w:r>
      <w:r w:rsidR="009F2F19" w:rsidRPr="00C242CE">
        <w:rPr>
          <w:noProof/>
          <w:lang w:val="en-US"/>
        </w:rPr>
        <w:t xml:space="preserve">or manually, </w:t>
      </w:r>
      <w:r w:rsidR="00C31DB0">
        <w:rPr>
          <w:noProof/>
          <w:lang w:val="en-US"/>
        </w:rPr>
        <w:t>for example</w:t>
      </w:r>
      <w:r w:rsidR="00553C72">
        <w:rPr>
          <w:noProof/>
          <w:lang w:val="en-US"/>
        </w:rPr>
        <w:t>,</w:t>
      </w:r>
      <w:r w:rsidR="009F2F19" w:rsidRPr="00C242CE">
        <w:rPr>
          <w:noProof/>
          <w:lang w:val="en-US"/>
        </w:rPr>
        <w:t xml:space="preserve"> by entering a registration number in a</w:t>
      </w:r>
      <w:r w:rsidR="005C0C65">
        <w:rPr>
          <w:noProof/>
          <w:lang w:val="en-US"/>
        </w:rPr>
        <w:t>n</w:t>
      </w:r>
      <w:r w:rsidR="009F2F19" w:rsidRPr="00C242CE">
        <w:rPr>
          <w:noProof/>
          <w:lang w:val="en-US"/>
        </w:rPr>
        <w:t xml:space="preserve"> </w:t>
      </w:r>
      <w:r w:rsidR="00750B96">
        <w:rPr>
          <w:noProof/>
          <w:lang w:val="en-US"/>
        </w:rPr>
        <w:t xml:space="preserve">online </w:t>
      </w:r>
      <w:r w:rsidR="009F2F19" w:rsidRPr="00C242CE">
        <w:rPr>
          <w:noProof/>
          <w:lang w:val="en-US"/>
        </w:rPr>
        <w:t xml:space="preserve">interface and receiving a confirmation on its validity. </w:t>
      </w:r>
      <w:r w:rsidR="00C242CE" w:rsidRPr="00C242CE">
        <w:rPr>
          <w:noProof/>
          <w:lang w:val="en-US"/>
        </w:rPr>
        <w:t xml:space="preserve">Online </w:t>
      </w:r>
      <w:r w:rsidR="00452EEA">
        <w:rPr>
          <w:noProof/>
          <w:lang w:val="en-IE"/>
        </w:rPr>
        <w:t>short-term rental</w:t>
      </w:r>
      <w:r w:rsidR="00C242CE" w:rsidRPr="00D33745">
        <w:rPr>
          <w:noProof/>
          <w:lang w:val="en-IE"/>
        </w:rPr>
        <w:t xml:space="preserve"> </w:t>
      </w:r>
      <w:r w:rsidR="00C242CE" w:rsidRPr="00C242CE">
        <w:rPr>
          <w:noProof/>
          <w:lang w:val="en-US"/>
        </w:rPr>
        <w:t xml:space="preserve">platforms </w:t>
      </w:r>
      <w:r w:rsidR="00C77F08">
        <w:rPr>
          <w:noProof/>
          <w:lang w:val="en-US"/>
        </w:rPr>
        <w:t xml:space="preserve">should be </w:t>
      </w:r>
      <w:r w:rsidR="00C242CE" w:rsidRPr="00C242CE">
        <w:rPr>
          <w:noProof/>
          <w:lang w:val="en-US"/>
        </w:rPr>
        <w:t xml:space="preserve">free to perform </w:t>
      </w:r>
      <w:r w:rsidR="00C242CE">
        <w:rPr>
          <w:noProof/>
          <w:lang w:val="en-US"/>
        </w:rPr>
        <w:t xml:space="preserve">additional </w:t>
      </w:r>
      <w:r w:rsidR="00C242CE" w:rsidRPr="00C242CE">
        <w:rPr>
          <w:noProof/>
          <w:lang w:val="en-US"/>
        </w:rPr>
        <w:t xml:space="preserve">checks </w:t>
      </w:r>
      <w:r w:rsidR="000C6B55">
        <w:rPr>
          <w:noProof/>
          <w:lang w:val="en-US"/>
        </w:rPr>
        <w:t xml:space="preserve">through </w:t>
      </w:r>
      <w:r w:rsidR="00C242CE" w:rsidRPr="00C242CE">
        <w:rPr>
          <w:noProof/>
          <w:lang w:val="en-US"/>
        </w:rPr>
        <w:t>the Single Digital Entry Point.</w:t>
      </w:r>
      <w:r w:rsidR="001F17D0">
        <w:rPr>
          <w:noProof/>
          <w:lang w:val="en-US"/>
        </w:rPr>
        <w:t xml:space="preserve"> </w:t>
      </w:r>
      <w:r w:rsidR="005C0C65">
        <w:rPr>
          <w:noProof/>
          <w:lang w:val="en-US"/>
        </w:rPr>
        <w:t xml:space="preserve">Member States </w:t>
      </w:r>
      <w:r w:rsidR="00C77F08">
        <w:rPr>
          <w:noProof/>
          <w:lang w:val="en-US"/>
        </w:rPr>
        <w:t xml:space="preserve">should </w:t>
      </w:r>
      <w:r w:rsidR="00A52186">
        <w:rPr>
          <w:noProof/>
          <w:lang w:val="en-US"/>
        </w:rPr>
        <w:t xml:space="preserve">continue enforcing registration obligations using the tools already available to them. </w:t>
      </w:r>
    </w:p>
    <w:p w:rsidR="00A52186" w:rsidRPr="00A52186" w:rsidRDefault="00795BB5" w:rsidP="00795BB5">
      <w:pPr>
        <w:pStyle w:val="ManualConsidrant"/>
        <w:rPr>
          <w:noProof/>
          <w:lang w:val="en-IE"/>
        </w:rPr>
      </w:pPr>
      <w:r w:rsidRPr="00795BB5">
        <w:t>(24)</w:t>
      </w:r>
      <w:r w:rsidRPr="00795BB5">
        <w:tab/>
      </w:r>
      <w:r w:rsidR="00A52186">
        <w:rPr>
          <w:noProof/>
          <w:lang w:val="en-IE"/>
        </w:rPr>
        <w:t xml:space="preserve">In order </w:t>
      </w:r>
      <w:r w:rsidR="00A52186" w:rsidRPr="006F5A07">
        <w:rPr>
          <w:noProof/>
          <w:lang w:val="en-IE"/>
        </w:rPr>
        <w:t>to ensure uniform conditions for the implementation of the technical solutions supporting the</w:t>
      </w:r>
      <w:r w:rsidR="00A52186">
        <w:rPr>
          <w:noProof/>
          <w:lang w:val="en-IE"/>
        </w:rPr>
        <w:t xml:space="preserve"> exchange of data and to promote the interoperability of the national Single Digital Entry Points,</w:t>
      </w:r>
      <w:r w:rsidR="00A52186" w:rsidRPr="006F5A07">
        <w:rPr>
          <w:noProof/>
          <w:lang w:val="en-IE"/>
        </w:rPr>
        <w:t xml:space="preserve"> </w:t>
      </w:r>
      <w:r w:rsidR="00A52186">
        <w:rPr>
          <w:noProof/>
          <w:lang w:val="en-IE"/>
        </w:rPr>
        <w:t>i</w:t>
      </w:r>
      <w:r w:rsidR="00A52186" w:rsidRPr="006F5A07">
        <w:rPr>
          <w:noProof/>
          <w:lang w:val="en-IE"/>
        </w:rPr>
        <w:t>mplementing powers should be conferred on the Commission</w:t>
      </w:r>
      <w:r w:rsidR="00A52186">
        <w:rPr>
          <w:noProof/>
          <w:lang w:val="en-IE"/>
        </w:rPr>
        <w:t xml:space="preserve"> </w:t>
      </w:r>
      <w:r w:rsidR="00A52186" w:rsidRPr="006F5A07">
        <w:rPr>
          <w:noProof/>
          <w:lang w:val="en-IE"/>
        </w:rPr>
        <w:t xml:space="preserve">to lay down, where necessary, the applicable standards and interoperability requirements. Those powers should be exercised in accordance with Regulation (EU) No </w:t>
      </w:r>
      <w:r w:rsidR="00A52186" w:rsidRPr="00D12CDE">
        <w:rPr>
          <w:noProof/>
          <w:lang w:val="en-IE"/>
        </w:rPr>
        <w:t>182/2011</w:t>
      </w:r>
      <w:r w:rsidR="00A52186">
        <w:rPr>
          <w:noProof/>
          <w:lang w:val="en-IE"/>
        </w:rPr>
        <w:t xml:space="preserve"> </w:t>
      </w:r>
      <w:r w:rsidR="00A52186" w:rsidRPr="006F5A07">
        <w:rPr>
          <w:noProof/>
          <w:lang w:val="en-IE"/>
        </w:rPr>
        <w:t>of the European Parliament and of the Council</w:t>
      </w:r>
      <w:r w:rsidR="00A52186">
        <w:rPr>
          <w:rStyle w:val="FootnoteReference"/>
          <w:noProof/>
          <w:lang w:val="en-IE"/>
        </w:rPr>
        <w:footnoteReference w:id="31"/>
      </w:r>
      <w:r w:rsidR="00A52186" w:rsidRPr="006F5A07">
        <w:rPr>
          <w:noProof/>
          <w:lang w:val="en-IE"/>
        </w:rPr>
        <w:t>.</w:t>
      </w:r>
    </w:p>
    <w:p w:rsidR="00A52186" w:rsidRPr="0052796C" w:rsidRDefault="00795BB5" w:rsidP="00795BB5">
      <w:pPr>
        <w:pStyle w:val="ManualConsidrant"/>
        <w:rPr>
          <w:noProof/>
          <w:lang w:val="en-US"/>
        </w:rPr>
      </w:pPr>
      <w:r w:rsidRPr="00795BB5">
        <w:t>(25)</w:t>
      </w:r>
      <w:r w:rsidRPr="00795BB5">
        <w:tab/>
      </w:r>
      <w:r w:rsidR="00C77F08" w:rsidRPr="002C2744">
        <w:rPr>
          <w:noProof/>
          <w:lang w:val="en-IE"/>
        </w:rPr>
        <w:t>Alignment</w:t>
      </w:r>
      <w:r w:rsidR="00C77F08">
        <w:rPr>
          <w:noProof/>
          <w:lang w:val="en-IE"/>
        </w:rPr>
        <w:t xml:space="preserve"> </w:t>
      </w:r>
      <w:r w:rsidR="00882AEB" w:rsidRPr="00A52186">
        <w:rPr>
          <w:noProof/>
          <w:lang w:val="en-IE"/>
        </w:rPr>
        <w:t xml:space="preserve">should </w:t>
      </w:r>
      <w:r w:rsidR="00AC2A74" w:rsidRPr="00A52186">
        <w:rPr>
          <w:noProof/>
          <w:lang w:val="en-IE"/>
        </w:rPr>
        <w:t xml:space="preserve">be ensured between the </w:t>
      </w:r>
      <w:r w:rsidR="00A4471B" w:rsidRPr="00A52186">
        <w:rPr>
          <w:noProof/>
          <w:lang w:val="en-IE"/>
        </w:rPr>
        <w:t xml:space="preserve">various </w:t>
      </w:r>
      <w:r w:rsidR="00AC2A74" w:rsidRPr="00A52186">
        <w:rPr>
          <w:noProof/>
          <w:lang w:val="en-IE"/>
        </w:rPr>
        <w:t xml:space="preserve">registries in a Member State </w:t>
      </w:r>
      <w:r w:rsidR="00C77F08">
        <w:rPr>
          <w:noProof/>
          <w:lang w:val="en-IE"/>
        </w:rPr>
        <w:t xml:space="preserve">as well </w:t>
      </w:r>
      <w:r w:rsidR="00C77F08" w:rsidRPr="002C2744">
        <w:rPr>
          <w:noProof/>
          <w:lang w:val="en-IE"/>
        </w:rPr>
        <w:t>as their interoperability</w:t>
      </w:r>
      <w:r w:rsidR="00C77F08">
        <w:rPr>
          <w:noProof/>
          <w:lang w:val="en-IE"/>
        </w:rPr>
        <w:t xml:space="preserve"> </w:t>
      </w:r>
      <w:r w:rsidR="00AC2A74" w:rsidRPr="00A52186">
        <w:rPr>
          <w:noProof/>
          <w:lang w:val="en-IE"/>
        </w:rPr>
        <w:t xml:space="preserve">with the Single Digital Entry Point </w:t>
      </w:r>
      <w:r w:rsidR="00C31DB0" w:rsidRPr="00A52186">
        <w:rPr>
          <w:noProof/>
          <w:lang w:val="en-IE"/>
        </w:rPr>
        <w:t xml:space="preserve">in order </w:t>
      </w:r>
      <w:r w:rsidR="009F2F19" w:rsidRPr="00A52186">
        <w:rPr>
          <w:noProof/>
          <w:lang w:val="en-IE"/>
        </w:rPr>
        <w:t>to remov</w:t>
      </w:r>
      <w:r w:rsidR="00C31DB0" w:rsidRPr="00A52186">
        <w:rPr>
          <w:noProof/>
          <w:lang w:val="en-IE"/>
        </w:rPr>
        <w:t>e</w:t>
      </w:r>
      <w:r w:rsidR="009F2F19" w:rsidRPr="00A52186">
        <w:rPr>
          <w:noProof/>
          <w:lang w:val="en-IE"/>
        </w:rPr>
        <w:t xml:space="preserve"> semantic and technical barriers to data sharing</w:t>
      </w:r>
      <w:r w:rsidR="00FB5EF2" w:rsidRPr="00A52186">
        <w:rPr>
          <w:noProof/>
          <w:lang w:val="en-IE"/>
        </w:rPr>
        <w:t xml:space="preserve"> and to</w:t>
      </w:r>
      <w:r w:rsidR="009F2F19" w:rsidRPr="00A52186">
        <w:rPr>
          <w:noProof/>
          <w:lang w:val="en-IE"/>
        </w:rPr>
        <w:t xml:space="preserve"> </w:t>
      </w:r>
      <w:r w:rsidR="00C31DB0" w:rsidRPr="00A52186">
        <w:rPr>
          <w:noProof/>
          <w:lang w:val="en-IE"/>
        </w:rPr>
        <w:t xml:space="preserve">ensure </w:t>
      </w:r>
      <w:r w:rsidR="009F2F19" w:rsidRPr="00A52186">
        <w:rPr>
          <w:noProof/>
          <w:lang w:val="en-IE"/>
        </w:rPr>
        <w:t>more effective and efficient administrative procedures</w:t>
      </w:r>
      <w:r w:rsidR="00FB5EF2" w:rsidRPr="00A52186">
        <w:rPr>
          <w:noProof/>
          <w:lang w:val="en-IE"/>
        </w:rPr>
        <w:t>.</w:t>
      </w:r>
      <w:r w:rsidR="00C77F08">
        <w:rPr>
          <w:noProof/>
          <w:lang w:val="en-IE"/>
        </w:rPr>
        <w:t xml:space="preserve"> </w:t>
      </w:r>
      <w:r w:rsidR="003A2BB1" w:rsidRPr="00C77F08">
        <w:rPr>
          <w:noProof/>
          <w:lang w:val="en-IE"/>
        </w:rPr>
        <w:t xml:space="preserve">The </w:t>
      </w:r>
      <w:r w:rsidR="00744DA6" w:rsidRPr="00C77F08">
        <w:rPr>
          <w:noProof/>
          <w:lang w:val="en-IE"/>
        </w:rPr>
        <w:t>entities in charge of creating the Single Digital Entry Points at national level</w:t>
      </w:r>
      <w:r w:rsidR="003A2BB1" w:rsidRPr="00866201">
        <w:rPr>
          <w:noProof/>
          <w:lang w:val="en-IE"/>
        </w:rPr>
        <w:t xml:space="preserve"> and the Commission should</w:t>
      </w:r>
      <w:r w:rsidR="00312DBA" w:rsidRPr="00BB203A">
        <w:rPr>
          <w:noProof/>
          <w:lang w:val="en-IE"/>
        </w:rPr>
        <w:t xml:space="preserve"> </w:t>
      </w:r>
      <w:r w:rsidR="00312DBA" w:rsidRPr="0055113F">
        <w:rPr>
          <w:noProof/>
          <w:lang w:val="en-IE"/>
        </w:rPr>
        <w:t>facilitate implementation at national level and cooperation between Member States</w:t>
      </w:r>
      <w:r w:rsidR="003A2BB1" w:rsidRPr="0055113F">
        <w:rPr>
          <w:noProof/>
          <w:lang w:val="en-IE"/>
        </w:rPr>
        <w:t xml:space="preserve">. </w:t>
      </w:r>
    </w:p>
    <w:p w:rsidR="00D7062E" w:rsidRDefault="00795BB5" w:rsidP="00795BB5">
      <w:pPr>
        <w:pStyle w:val="ManualConsidrant"/>
        <w:rPr>
          <w:noProof/>
        </w:rPr>
      </w:pPr>
      <w:r w:rsidRPr="00795BB5">
        <w:t>(26)</w:t>
      </w:r>
      <w:r w:rsidRPr="00795BB5">
        <w:tab/>
      </w:r>
      <w:r w:rsidR="009F2F19" w:rsidRPr="00E56D21">
        <w:rPr>
          <w:noProof/>
        </w:rPr>
        <w:t xml:space="preserve">A proportionate, limited and predictable framework at Union level is necessary for the transparent sharing of activity data and registration </w:t>
      </w:r>
      <w:r w:rsidR="00D10B8C">
        <w:rPr>
          <w:noProof/>
        </w:rPr>
        <w:t>numbers</w:t>
      </w:r>
      <w:r w:rsidR="003F4421">
        <w:rPr>
          <w:noProof/>
        </w:rPr>
        <w:t xml:space="preserve">, in compliance with the requirements of the Regulation (EU) </w:t>
      </w:r>
      <w:r w:rsidR="003F4421" w:rsidRPr="00C2260B">
        <w:rPr>
          <w:noProof/>
        </w:rPr>
        <w:t>2016/679</w:t>
      </w:r>
      <w:r w:rsidR="00C2260B">
        <w:rPr>
          <w:noProof/>
        </w:rPr>
        <w:t xml:space="preserve"> </w:t>
      </w:r>
      <w:r w:rsidR="00C2260B" w:rsidRPr="00883F79">
        <w:rPr>
          <w:noProof/>
          <w:lang w:val="en-IE"/>
        </w:rPr>
        <w:t>of the European Parliament and of the Council</w:t>
      </w:r>
      <w:r w:rsidR="00C2260B">
        <w:rPr>
          <w:rStyle w:val="FootnoteReference"/>
          <w:noProof/>
          <w:lang w:val="en-IE"/>
        </w:rPr>
        <w:footnoteReference w:id="32"/>
      </w:r>
      <w:r w:rsidR="009F2F19" w:rsidRPr="00E56D21">
        <w:rPr>
          <w:noProof/>
        </w:rPr>
        <w:t>. To achieve this</w:t>
      </w:r>
      <w:r w:rsidR="00B0073E">
        <w:rPr>
          <w:noProof/>
        </w:rPr>
        <w:t>,</w:t>
      </w:r>
      <w:r w:rsidR="009F2F19" w:rsidRPr="00E56D21">
        <w:rPr>
          <w:noProof/>
        </w:rPr>
        <w:t xml:space="preserve"> Member States </w:t>
      </w:r>
      <w:r w:rsidR="00771B9D">
        <w:rPr>
          <w:noProof/>
        </w:rPr>
        <w:t xml:space="preserve">should </w:t>
      </w:r>
      <w:r w:rsidR="005770DD">
        <w:rPr>
          <w:noProof/>
        </w:rPr>
        <w:t xml:space="preserve">list </w:t>
      </w:r>
      <w:r w:rsidR="009F2F19" w:rsidRPr="00E56D21">
        <w:rPr>
          <w:noProof/>
        </w:rPr>
        <w:t xml:space="preserve">the competent authorities </w:t>
      </w:r>
      <w:r w:rsidR="00771B9D">
        <w:rPr>
          <w:noProof/>
        </w:rPr>
        <w:t>at</w:t>
      </w:r>
      <w:r w:rsidR="009F2F19" w:rsidRPr="00E56D21">
        <w:rPr>
          <w:noProof/>
        </w:rPr>
        <w:t xml:space="preserve"> national, regional and local level that</w:t>
      </w:r>
      <w:r w:rsidR="002C5091">
        <w:rPr>
          <w:noProof/>
        </w:rPr>
        <w:t xml:space="preserve"> have established or maintain a registration procedure </w:t>
      </w:r>
      <w:r w:rsidR="002C2744">
        <w:rPr>
          <w:noProof/>
        </w:rPr>
        <w:t xml:space="preserve">to </w:t>
      </w:r>
      <w:r w:rsidR="009F2F19" w:rsidRPr="00E56D21">
        <w:rPr>
          <w:noProof/>
        </w:rPr>
        <w:t>requ</w:t>
      </w:r>
      <w:r w:rsidR="002C5091">
        <w:rPr>
          <w:noProof/>
        </w:rPr>
        <w:t xml:space="preserve">est </w:t>
      </w:r>
      <w:r w:rsidR="009F2F19" w:rsidRPr="00E56D21">
        <w:rPr>
          <w:noProof/>
        </w:rPr>
        <w:t xml:space="preserve">activity data </w:t>
      </w:r>
      <w:r w:rsidR="00540CF5">
        <w:rPr>
          <w:noProof/>
        </w:rPr>
        <w:t>for units located on their territory</w:t>
      </w:r>
      <w:r w:rsidR="009F2F19" w:rsidRPr="00E56D21">
        <w:rPr>
          <w:noProof/>
        </w:rPr>
        <w:t xml:space="preserve">. </w:t>
      </w:r>
      <w:r w:rsidR="00883F79" w:rsidRPr="00883F79">
        <w:rPr>
          <w:noProof/>
        </w:rPr>
        <w:t xml:space="preserve">Such data should only be processed for purposes of monitoring compliance with registration procedures or implementing rules concerning access to and provision of short-term accommodation rental services. In the latter case, such processing should only be permitted if the rules in question are non-discriminatory, proportionate, and comply with Union law, including the rules on free movement of services, freedom of establishment, and the rules in </w:t>
      </w:r>
      <w:r w:rsidR="00B55728">
        <w:rPr>
          <w:noProof/>
        </w:rPr>
        <w:t xml:space="preserve">Directive 2006/123. </w:t>
      </w:r>
      <w:r w:rsidR="00883F79" w:rsidRPr="00883F79">
        <w:rPr>
          <w:noProof/>
        </w:rPr>
        <w:t>For purposes of complying with Union law on data protection, any rules concerning access to and provision of short-term accommodation rental services should set out the purpose of processing the data in accordance with the requirements of</w:t>
      </w:r>
      <w:r w:rsidR="00B55728">
        <w:rPr>
          <w:noProof/>
        </w:rPr>
        <w:t xml:space="preserve"> Regulation 2016/679</w:t>
      </w:r>
      <w:r w:rsidR="00883F79" w:rsidRPr="00883F79">
        <w:rPr>
          <w:noProof/>
        </w:rPr>
        <w:t xml:space="preserve">. </w:t>
      </w:r>
      <w:r w:rsidR="00DE1475">
        <w:rPr>
          <w:noProof/>
        </w:rPr>
        <w:t>A</w:t>
      </w:r>
      <w:r w:rsidR="009F2F19" w:rsidRPr="00E56D21">
        <w:rPr>
          <w:noProof/>
        </w:rPr>
        <w:t>ctivity data</w:t>
      </w:r>
      <w:r w:rsidR="00252B5F">
        <w:rPr>
          <w:noProof/>
        </w:rPr>
        <w:t>, not including personal data,</w:t>
      </w:r>
      <w:r w:rsidR="009F2F19" w:rsidRPr="00E56D21">
        <w:rPr>
          <w:noProof/>
        </w:rPr>
        <w:t xml:space="preserve"> </w:t>
      </w:r>
      <w:r w:rsidR="00026969">
        <w:rPr>
          <w:noProof/>
        </w:rPr>
        <w:t xml:space="preserve">is </w:t>
      </w:r>
      <w:r w:rsidR="009F2F19" w:rsidRPr="00E56D21">
        <w:rPr>
          <w:noProof/>
        </w:rPr>
        <w:t xml:space="preserve">also </w:t>
      </w:r>
      <w:r w:rsidR="00026969">
        <w:rPr>
          <w:noProof/>
        </w:rPr>
        <w:t xml:space="preserve">essential </w:t>
      </w:r>
      <w:r w:rsidR="009F2F19" w:rsidRPr="00E56D21">
        <w:rPr>
          <w:noProof/>
        </w:rPr>
        <w:t xml:space="preserve">for authorities that are developing </w:t>
      </w:r>
      <w:r w:rsidR="00026969">
        <w:rPr>
          <w:noProof/>
        </w:rPr>
        <w:t xml:space="preserve">such </w:t>
      </w:r>
      <w:r w:rsidR="00771B9D">
        <w:rPr>
          <w:noProof/>
        </w:rPr>
        <w:t xml:space="preserve">rules </w:t>
      </w:r>
      <w:r w:rsidR="00026969" w:rsidRPr="00E56D21">
        <w:rPr>
          <w:noProof/>
        </w:rPr>
        <w:t xml:space="preserve">as part of efforts to promote a balanced tourism ecosystem, including </w:t>
      </w:r>
      <w:r w:rsidR="00A4471B">
        <w:rPr>
          <w:noProof/>
        </w:rPr>
        <w:t xml:space="preserve">effective </w:t>
      </w:r>
      <w:r w:rsidR="00026969" w:rsidRPr="00E56D21">
        <w:rPr>
          <w:noProof/>
        </w:rPr>
        <w:t>and proportionate rules for the access to</w:t>
      </w:r>
      <w:r w:rsidR="00874C99">
        <w:rPr>
          <w:noProof/>
        </w:rPr>
        <w:t>,</w:t>
      </w:r>
      <w:r w:rsidR="00026969" w:rsidRPr="00E56D21">
        <w:rPr>
          <w:noProof/>
        </w:rPr>
        <w:t xml:space="preserve"> and </w:t>
      </w:r>
      <w:r w:rsidR="00DE1475">
        <w:rPr>
          <w:noProof/>
        </w:rPr>
        <w:t>the provision</w:t>
      </w:r>
      <w:r w:rsidR="00DE1475" w:rsidRPr="00E56D21">
        <w:rPr>
          <w:noProof/>
        </w:rPr>
        <w:t xml:space="preserve"> </w:t>
      </w:r>
      <w:r w:rsidR="00026969" w:rsidRPr="00E56D21">
        <w:rPr>
          <w:noProof/>
        </w:rPr>
        <w:t>of</w:t>
      </w:r>
      <w:r w:rsidR="00874C99">
        <w:rPr>
          <w:noProof/>
        </w:rPr>
        <w:t>,</w:t>
      </w:r>
      <w:r w:rsidR="00026969" w:rsidRPr="00E56D21">
        <w:rPr>
          <w:noProof/>
        </w:rPr>
        <w:t xml:space="preserve"> short-term accommodation rental services</w:t>
      </w:r>
      <w:r w:rsidR="00026969" w:rsidRPr="00E56D21" w:rsidDel="00284AC5">
        <w:rPr>
          <w:noProof/>
        </w:rPr>
        <w:t>.</w:t>
      </w:r>
      <w:r w:rsidR="00026969">
        <w:rPr>
          <w:noProof/>
        </w:rPr>
        <w:t xml:space="preserve"> </w:t>
      </w:r>
      <w:r w:rsidR="00A372D2" w:rsidRPr="00A372D2">
        <w:rPr>
          <w:noProof/>
        </w:rPr>
        <w:t xml:space="preserve">A retention period of </w:t>
      </w:r>
      <w:r w:rsidR="00874C99">
        <w:rPr>
          <w:noProof/>
        </w:rPr>
        <w:t xml:space="preserve">maximum </w:t>
      </w:r>
      <w:r w:rsidR="00E21084">
        <w:rPr>
          <w:noProof/>
        </w:rPr>
        <w:t>1</w:t>
      </w:r>
      <w:r w:rsidR="00A372D2">
        <w:rPr>
          <w:noProof/>
        </w:rPr>
        <w:t xml:space="preserve"> </w:t>
      </w:r>
      <w:r w:rsidR="00A372D2" w:rsidRPr="00A372D2">
        <w:rPr>
          <w:noProof/>
        </w:rPr>
        <w:t xml:space="preserve">year should allow competent authorities to </w:t>
      </w:r>
      <w:r w:rsidR="00DE1475">
        <w:rPr>
          <w:noProof/>
        </w:rPr>
        <w:t>ensure</w:t>
      </w:r>
      <w:r w:rsidR="00DE1475" w:rsidRPr="00A372D2">
        <w:rPr>
          <w:noProof/>
        </w:rPr>
        <w:t xml:space="preserve"> </w:t>
      </w:r>
      <w:r w:rsidR="00A372D2" w:rsidRPr="00A372D2">
        <w:rPr>
          <w:noProof/>
        </w:rPr>
        <w:t>compliance with rules and regulations applicable to hosts or concerning units rented</w:t>
      </w:r>
      <w:r w:rsidR="00A372D2">
        <w:rPr>
          <w:noProof/>
        </w:rPr>
        <w:t xml:space="preserve"> and for policy development</w:t>
      </w:r>
      <w:r w:rsidR="00A372D2" w:rsidRPr="00A372D2">
        <w:rPr>
          <w:noProof/>
        </w:rPr>
        <w:t>.</w:t>
      </w:r>
    </w:p>
    <w:p w:rsidR="00705F36" w:rsidRPr="00E56D21" w:rsidRDefault="00795BB5" w:rsidP="00795BB5">
      <w:pPr>
        <w:pStyle w:val="ManualConsidrant"/>
        <w:rPr>
          <w:noProof/>
        </w:rPr>
      </w:pPr>
      <w:r w:rsidRPr="00795BB5">
        <w:t>(27)</w:t>
      </w:r>
      <w:r w:rsidRPr="00795BB5">
        <w:tab/>
      </w:r>
      <w:r w:rsidR="00AE6EC9" w:rsidRPr="006C5B44">
        <w:rPr>
          <w:noProof/>
        </w:rPr>
        <w:t xml:space="preserve">Aggregated </w:t>
      </w:r>
      <w:r w:rsidR="0009792A" w:rsidRPr="006C5B44">
        <w:rPr>
          <w:noProof/>
        </w:rPr>
        <w:t xml:space="preserve">data </w:t>
      </w:r>
      <w:r w:rsidR="00BB2017" w:rsidRPr="006C5B44">
        <w:rPr>
          <w:noProof/>
        </w:rPr>
        <w:t>sets</w:t>
      </w:r>
      <w:r w:rsidR="0009792A" w:rsidRPr="00DB1AA7">
        <w:rPr>
          <w:noProof/>
        </w:rPr>
        <w:t xml:space="preserve"> </w:t>
      </w:r>
      <w:r w:rsidR="007C50E1" w:rsidRPr="00A34646">
        <w:rPr>
          <w:noProof/>
        </w:rPr>
        <w:t>based on the available activity data</w:t>
      </w:r>
      <w:r w:rsidR="00532896" w:rsidRPr="005D3DCD">
        <w:rPr>
          <w:noProof/>
        </w:rPr>
        <w:t xml:space="preserve">, </w:t>
      </w:r>
      <w:r w:rsidR="00F41FD2" w:rsidRPr="005D3DCD">
        <w:rPr>
          <w:noProof/>
        </w:rPr>
        <w:t>would</w:t>
      </w:r>
      <w:r w:rsidR="0009792A" w:rsidRPr="005D3DCD">
        <w:rPr>
          <w:noProof/>
        </w:rPr>
        <w:t xml:space="preserve"> also be </w:t>
      </w:r>
      <w:r w:rsidR="008D068B" w:rsidRPr="0024751C">
        <w:rPr>
          <w:noProof/>
        </w:rPr>
        <w:t xml:space="preserve">important </w:t>
      </w:r>
      <w:r w:rsidR="00567F0F" w:rsidRPr="0024751C">
        <w:rPr>
          <w:noProof/>
        </w:rPr>
        <w:t>for the compilation of official statistics</w:t>
      </w:r>
      <w:r w:rsidR="0009792A" w:rsidRPr="0024751C">
        <w:rPr>
          <w:noProof/>
        </w:rPr>
        <w:t>.</w:t>
      </w:r>
      <w:r w:rsidR="00A372D2" w:rsidRPr="0024751C">
        <w:rPr>
          <w:noProof/>
        </w:rPr>
        <w:t xml:space="preserve"> </w:t>
      </w:r>
      <w:r w:rsidR="00F41FD2" w:rsidRPr="0024751C">
        <w:rPr>
          <w:noProof/>
        </w:rPr>
        <w:t>Those data</w:t>
      </w:r>
      <w:r w:rsidR="00874C99">
        <w:rPr>
          <w:noProof/>
        </w:rPr>
        <w:t xml:space="preserve">, together with </w:t>
      </w:r>
      <w:r w:rsidR="00874C99" w:rsidRPr="007331CF">
        <w:rPr>
          <w:noProof/>
        </w:rPr>
        <w:t xml:space="preserve">information on the total number of units and </w:t>
      </w:r>
      <w:r w:rsidR="00874C99">
        <w:rPr>
          <w:noProof/>
        </w:rPr>
        <w:t>on the maximum number of guests</w:t>
      </w:r>
      <w:r w:rsidR="00874C99" w:rsidRPr="007331CF">
        <w:rPr>
          <w:noProof/>
        </w:rPr>
        <w:t xml:space="preserve"> that the unit can accommodate in each geographical subdivision</w:t>
      </w:r>
      <w:r w:rsidR="00874C99">
        <w:rPr>
          <w:noProof/>
        </w:rPr>
        <w:t>,</w:t>
      </w:r>
      <w:r w:rsidR="007C50E1" w:rsidRPr="00AB6DB6">
        <w:rPr>
          <w:noProof/>
        </w:rPr>
        <w:t xml:space="preserve"> should be transmitted</w:t>
      </w:r>
      <w:r w:rsidR="00507918" w:rsidRPr="00AB6DB6">
        <w:rPr>
          <w:noProof/>
        </w:rPr>
        <w:t xml:space="preserve"> </w:t>
      </w:r>
      <w:r w:rsidR="007C50E1" w:rsidRPr="00AB6DB6">
        <w:rPr>
          <w:noProof/>
        </w:rPr>
        <w:t xml:space="preserve">to </w:t>
      </w:r>
      <w:r w:rsidR="00BD1B4B" w:rsidRPr="00AB6DB6">
        <w:rPr>
          <w:noProof/>
        </w:rPr>
        <w:t>national statistical offices and</w:t>
      </w:r>
      <w:r w:rsidR="007C50E1" w:rsidRPr="00AB6DB6">
        <w:rPr>
          <w:noProof/>
        </w:rPr>
        <w:t xml:space="preserve"> Eurostat </w:t>
      </w:r>
      <w:r w:rsidR="00A45362" w:rsidRPr="00AB6DB6">
        <w:rPr>
          <w:noProof/>
        </w:rPr>
        <w:t xml:space="preserve">every month </w:t>
      </w:r>
      <w:r w:rsidR="007C50E1" w:rsidRPr="00AB6DB6">
        <w:rPr>
          <w:noProof/>
        </w:rPr>
        <w:t>for the purposes of compiling statistics</w:t>
      </w:r>
      <w:r w:rsidR="00A45362" w:rsidRPr="00AB6DB6">
        <w:rPr>
          <w:noProof/>
        </w:rPr>
        <w:t xml:space="preserve"> in line with </w:t>
      </w:r>
      <w:r w:rsidR="00B37312" w:rsidRPr="00AB6DB6">
        <w:rPr>
          <w:noProof/>
        </w:rPr>
        <w:t>the requirements applicable to other service providers in the accommodation sector as laid in Regulation 692/2011 concerning European statistics on tourism</w:t>
      </w:r>
      <w:r w:rsidR="00A45362" w:rsidRPr="00AB6DB6">
        <w:rPr>
          <w:noProof/>
        </w:rPr>
        <w:t>.</w:t>
      </w:r>
      <w:r w:rsidR="00E21084">
        <w:rPr>
          <w:noProof/>
        </w:rPr>
        <w:t xml:space="preserve"> </w:t>
      </w:r>
      <w:r w:rsidR="00A45362" w:rsidRPr="00E21084">
        <w:rPr>
          <w:noProof/>
          <w:lang w:val="en-US"/>
        </w:rPr>
        <w:t xml:space="preserve">Member States </w:t>
      </w:r>
      <w:r w:rsidR="00F41FD2" w:rsidRPr="00E21084">
        <w:rPr>
          <w:noProof/>
          <w:lang w:val="en-US"/>
        </w:rPr>
        <w:t>should</w:t>
      </w:r>
      <w:r w:rsidR="00A45362" w:rsidRPr="00E21084">
        <w:rPr>
          <w:noProof/>
          <w:lang w:val="en-US"/>
        </w:rPr>
        <w:t xml:space="preserve"> designate the national entity responsible for aggregating data and transmitting it.</w:t>
      </w:r>
      <w:r w:rsidR="00705F36" w:rsidRPr="00E21084">
        <w:rPr>
          <w:noProof/>
          <w:lang w:val="en-US"/>
        </w:rPr>
        <w:t xml:space="preserve"> Competent authorities should </w:t>
      </w:r>
      <w:r w:rsidR="00E21084">
        <w:rPr>
          <w:noProof/>
          <w:lang w:val="en-US"/>
        </w:rPr>
        <w:t xml:space="preserve">also be able to share activity data, </w:t>
      </w:r>
      <w:r w:rsidR="00A675B8">
        <w:rPr>
          <w:noProof/>
          <w:lang w:val="en-US"/>
        </w:rPr>
        <w:t xml:space="preserve">without </w:t>
      </w:r>
      <w:r w:rsidR="00E21084" w:rsidRPr="00234285">
        <w:rPr>
          <w:noProof/>
        </w:rPr>
        <w:t>any data that could enable the identification of individual units or hosts</w:t>
      </w:r>
      <w:r w:rsidR="00AF20C8">
        <w:rPr>
          <w:noProof/>
        </w:rPr>
        <w:t>,</w:t>
      </w:r>
      <w:r w:rsidR="00E21084">
        <w:rPr>
          <w:noProof/>
        </w:rPr>
        <w:t xml:space="preserve"> such as </w:t>
      </w:r>
      <w:r w:rsidR="00E21084" w:rsidRPr="00234285">
        <w:rPr>
          <w:noProof/>
        </w:rPr>
        <w:t>registration numbers and URLs</w:t>
      </w:r>
      <w:r w:rsidR="00AF20C8">
        <w:rPr>
          <w:noProof/>
        </w:rPr>
        <w:t>,</w:t>
      </w:r>
      <w:r w:rsidR="00E21084">
        <w:rPr>
          <w:noProof/>
        </w:rPr>
        <w:t xml:space="preserve"> </w:t>
      </w:r>
      <w:r w:rsidR="00705F36" w:rsidRPr="00E21084">
        <w:rPr>
          <w:noProof/>
          <w:lang w:val="en-US"/>
        </w:rPr>
        <w:t>with entities and persons when this is needed to carry out scientific research or analytical activities</w:t>
      </w:r>
      <w:r w:rsidR="00EE6B34">
        <w:rPr>
          <w:noProof/>
          <w:lang w:val="en-US"/>
        </w:rPr>
        <w:t xml:space="preserve"> as well as to produce new business models</w:t>
      </w:r>
      <w:r w:rsidR="0016036F">
        <w:rPr>
          <w:noProof/>
          <w:lang w:val="en-US"/>
        </w:rPr>
        <w:t xml:space="preserve"> </w:t>
      </w:r>
      <w:r w:rsidR="00EE6B34">
        <w:rPr>
          <w:noProof/>
          <w:lang w:val="en-US"/>
        </w:rPr>
        <w:t>and services. Under the same conditions</w:t>
      </w:r>
      <w:r w:rsidR="0016036F">
        <w:rPr>
          <w:noProof/>
          <w:lang w:val="en-US"/>
        </w:rPr>
        <w:t>,</w:t>
      </w:r>
      <w:r w:rsidR="00EE6B34">
        <w:rPr>
          <w:noProof/>
          <w:lang w:val="en-US"/>
        </w:rPr>
        <w:t xml:space="preserve"> activity data could be made available via sectorial data spaces</w:t>
      </w:r>
      <w:r w:rsidR="00A675B8">
        <w:rPr>
          <w:noProof/>
          <w:lang w:val="en-US"/>
        </w:rPr>
        <w:t>,</w:t>
      </w:r>
      <w:r w:rsidR="0016036F">
        <w:rPr>
          <w:noProof/>
          <w:lang w:val="en-US"/>
        </w:rPr>
        <w:t xml:space="preserve"> when established.</w:t>
      </w:r>
    </w:p>
    <w:p w:rsidR="00693B69" w:rsidRPr="00FB340D" w:rsidRDefault="00795BB5" w:rsidP="00795BB5">
      <w:pPr>
        <w:pStyle w:val="ManualConsidrant"/>
        <w:rPr>
          <w:noProof/>
          <w:lang w:val="en-US"/>
        </w:rPr>
      </w:pPr>
      <w:r w:rsidRPr="00795BB5">
        <w:t>(28)</w:t>
      </w:r>
      <w:r w:rsidRPr="00795BB5">
        <w:tab/>
      </w:r>
      <w:r w:rsidR="009F2F19" w:rsidRPr="00FB340D">
        <w:rPr>
          <w:noProof/>
          <w:lang w:val="en-US"/>
        </w:rPr>
        <w:t>Member States sh</w:t>
      </w:r>
      <w:r w:rsidR="007C7E24" w:rsidRPr="00FB340D">
        <w:rPr>
          <w:noProof/>
          <w:lang w:val="en-US"/>
        </w:rPr>
        <w:t xml:space="preserve">ould </w:t>
      </w:r>
      <w:r w:rsidR="009F2F19" w:rsidRPr="00FB340D">
        <w:rPr>
          <w:noProof/>
          <w:lang w:val="en-US"/>
        </w:rPr>
        <w:t xml:space="preserve">provide the necessary information to allow public authorities, online </w:t>
      </w:r>
      <w:r w:rsidR="00452EEA" w:rsidRPr="00FB340D">
        <w:rPr>
          <w:noProof/>
          <w:lang w:val="en-IE"/>
        </w:rPr>
        <w:t xml:space="preserve">short-term rental </w:t>
      </w:r>
      <w:r w:rsidR="009F2F19" w:rsidRPr="00FB340D">
        <w:rPr>
          <w:noProof/>
          <w:lang w:val="en-US"/>
        </w:rPr>
        <w:t>platforms, hosts and citizens to understand the laws, procedures and requireme</w:t>
      </w:r>
      <w:r w:rsidR="0052431E" w:rsidRPr="00FB340D">
        <w:rPr>
          <w:noProof/>
          <w:lang w:val="en-US"/>
        </w:rPr>
        <w:t xml:space="preserve">nts </w:t>
      </w:r>
      <w:r w:rsidR="007135BC" w:rsidRPr="00FB340D">
        <w:rPr>
          <w:noProof/>
          <w:lang w:val="en-US"/>
        </w:rPr>
        <w:t xml:space="preserve">relating to </w:t>
      </w:r>
      <w:r w:rsidR="0052431E" w:rsidRPr="00FB340D">
        <w:rPr>
          <w:noProof/>
          <w:lang w:val="en-US"/>
        </w:rPr>
        <w:t xml:space="preserve">the provision of </w:t>
      </w:r>
      <w:r w:rsidR="00FB340D">
        <w:rPr>
          <w:noProof/>
          <w:lang w:val="en-US"/>
        </w:rPr>
        <w:t xml:space="preserve">short-term accommodation rental </w:t>
      </w:r>
      <w:r w:rsidR="009F2F19" w:rsidRPr="00FB340D">
        <w:rPr>
          <w:noProof/>
          <w:lang w:val="en-US"/>
        </w:rPr>
        <w:t>services within their territory. Th</w:t>
      </w:r>
      <w:r w:rsidR="00197892" w:rsidRPr="00FB340D">
        <w:rPr>
          <w:noProof/>
          <w:lang w:val="en-US"/>
        </w:rPr>
        <w:t>o</w:t>
      </w:r>
      <w:r w:rsidR="009F2F19" w:rsidRPr="00FB340D">
        <w:rPr>
          <w:noProof/>
          <w:lang w:val="en-US"/>
        </w:rPr>
        <w:t xml:space="preserve">se include registration procedures as well as any requirements concerning access to, and the </w:t>
      </w:r>
      <w:r w:rsidR="00F227FF" w:rsidRPr="00FB340D">
        <w:rPr>
          <w:noProof/>
          <w:lang w:val="en-US"/>
        </w:rPr>
        <w:t xml:space="preserve">provision </w:t>
      </w:r>
      <w:r w:rsidR="009F2F19" w:rsidRPr="00FB340D">
        <w:rPr>
          <w:noProof/>
          <w:lang w:val="en-US"/>
        </w:rPr>
        <w:t xml:space="preserve">of, </w:t>
      </w:r>
      <w:r w:rsidR="00FB340D">
        <w:rPr>
          <w:noProof/>
          <w:lang w:val="en-US"/>
        </w:rPr>
        <w:t>short-term accommodation rental</w:t>
      </w:r>
      <w:r w:rsidR="00FB340D" w:rsidRPr="00FB340D" w:rsidDel="00FB340D">
        <w:rPr>
          <w:noProof/>
          <w:lang w:val="en-US"/>
        </w:rPr>
        <w:t xml:space="preserve"> </w:t>
      </w:r>
      <w:r w:rsidR="009F2F19" w:rsidRPr="00FB340D">
        <w:rPr>
          <w:noProof/>
          <w:lang w:val="en-US"/>
        </w:rPr>
        <w:t>services.</w:t>
      </w:r>
    </w:p>
    <w:p w:rsidR="003702A8" w:rsidRPr="003702A8" w:rsidRDefault="00795BB5" w:rsidP="00795BB5">
      <w:pPr>
        <w:pStyle w:val="ManualConsidrant"/>
        <w:rPr>
          <w:noProof/>
          <w:lang w:val="en-US"/>
        </w:rPr>
      </w:pPr>
      <w:r w:rsidRPr="00795BB5">
        <w:t>(29)</w:t>
      </w:r>
      <w:r w:rsidRPr="00795BB5">
        <w:tab/>
      </w:r>
      <w:r w:rsidR="00693B69" w:rsidRPr="00AF20C8">
        <w:rPr>
          <w:noProof/>
          <w:lang w:val="en-US"/>
        </w:rPr>
        <w:t>In order to facilitate the implementation of this Regulation</w:t>
      </w:r>
      <w:r w:rsidR="00207426" w:rsidRPr="00AF20C8">
        <w:rPr>
          <w:noProof/>
          <w:lang w:val="en-US"/>
        </w:rPr>
        <w:t>,</w:t>
      </w:r>
      <w:r w:rsidR="00693B69" w:rsidRPr="00AF20C8">
        <w:rPr>
          <w:noProof/>
          <w:lang w:val="en-US"/>
        </w:rPr>
        <w:t xml:space="preserve"> </w:t>
      </w:r>
      <w:r w:rsidR="005055AB" w:rsidRPr="00AF20C8">
        <w:rPr>
          <w:noProof/>
          <w:lang w:val="en-US"/>
        </w:rPr>
        <w:t xml:space="preserve">each </w:t>
      </w:r>
      <w:r w:rsidR="00693B69" w:rsidRPr="00AF20C8">
        <w:rPr>
          <w:noProof/>
          <w:lang w:val="en-US"/>
        </w:rPr>
        <w:t>Member State should designate a</w:t>
      </w:r>
      <w:r w:rsidR="00E120D8" w:rsidRPr="00AF20C8">
        <w:rPr>
          <w:noProof/>
          <w:lang w:val="en-US"/>
        </w:rPr>
        <w:t>n</w:t>
      </w:r>
      <w:r w:rsidR="00693B69" w:rsidRPr="00AF20C8">
        <w:rPr>
          <w:noProof/>
          <w:lang w:val="en-US"/>
        </w:rPr>
        <w:t xml:space="preserve"> authority</w:t>
      </w:r>
      <w:r w:rsidR="00E120D8" w:rsidRPr="00AF20C8">
        <w:rPr>
          <w:noProof/>
          <w:lang w:val="en-US"/>
        </w:rPr>
        <w:t xml:space="preserve"> that </w:t>
      </w:r>
      <w:r w:rsidR="00A33A93" w:rsidRPr="00AF20C8">
        <w:rPr>
          <w:noProof/>
          <w:lang w:val="en-US"/>
        </w:rPr>
        <w:t xml:space="preserve">should monitor its implementation and report to the Commission every two years. </w:t>
      </w:r>
    </w:p>
    <w:p w:rsidR="001F714A" w:rsidRPr="00FC6349" w:rsidRDefault="00795BB5" w:rsidP="00795BB5">
      <w:pPr>
        <w:pStyle w:val="ManualConsidrant"/>
        <w:rPr>
          <w:noProof/>
          <w:lang w:val="en-US"/>
        </w:rPr>
      </w:pPr>
      <w:r w:rsidRPr="00795BB5">
        <w:t>(30)</w:t>
      </w:r>
      <w:r w:rsidRPr="00795BB5">
        <w:tab/>
      </w:r>
      <w:r w:rsidR="0026562A" w:rsidRPr="00FC6349">
        <w:rPr>
          <w:noProof/>
          <w:lang w:val="en-IE"/>
        </w:rPr>
        <w:t xml:space="preserve">Member States should ensure an effective enforcement of this Regulation. </w:t>
      </w:r>
      <w:r w:rsidR="001F714A" w:rsidRPr="00FC6349">
        <w:rPr>
          <w:noProof/>
          <w:lang w:val="en-IE"/>
        </w:rPr>
        <w:t xml:space="preserve">The authorities entrusted with the enforcement of </w:t>
      </w:r>
      <w:r w:rsidR="003976BE">
        <w:rPr>
          <w:noProof/>
          <w:lang w:val="en-IE"/>
        </w:rPr>
        <w:t xml:space="preserve">Regulation </w:t>
      </w:r>
      <w:r w:rsidR="002A52CD">
        <w:rPr>
          <w:noProof/>
          <w:lang w:val="en-IE"/>
        </w:rPr>
        <w:t xml:space="preserve">(EU) </w:t>
      </w:r>
      <w:r w:rsidR="003976BE">
        <w:rPr>
          <w:noProof/>
          <w:lang w:val="en-IE"/>
        </w:rPr>
        <w:t xml:space="preserve">2022/2065 </w:t>
      </w:r>
      <w:r w:rsidR="001F714A" w:rsidRPr="00FC6349">
        <w:rPr>
          <w:noProof/>
          <w:lang w:val="en-IE"/>
        </w:rPr>
        <w:t xml:space="preserve">should ensure that the </w:t>
      </w:r>
      <w:r w:rsidR="00252B5F" w:rsidRPr="00FC6349">
        <w:rPr>
          <w:noProof/>
          <w:lang w:val="en-IE"/>
        </w:rPr>
        <w:t xml:space="preserve">obligations </w:t>
      </w:r>
      <w:r w:rsidR="001F714A" w:rsidRPr="00FC6349">
        <w:rPr>
          <w:noProof/>
          <w:lang w:val="en-IE"/>
        </w:rPr>
        <w:t xml:space="preserve">laid down in this Regulation </w:t>
      </w:r>
      <w:r w:rsidR="005E07F5" w:rsidRPr="00FC6349">
        <w:rPr>
          <w:noProof/>
          <w:lang w:val="en-IE"/>
        </w:rPr>
        <w:t xml:space="preserve">for providers of online short-term rental platforms </w:t>
      </w:r>
      <w:r w:rsidR="00B55728" w:rsidRPr="00FC6349">
        <w:rPr>
          <w:noProof/>
          <w:lang w:val="en-IE"/>
        </w:rPr>
        <w:t xml:space="preserve">concerning </w:t>
      </w:r>
      <w:r w:rsidR="001F714A" w:rsidRPr="00FC6349">
        <w:rPr>
          <w:noProof/>
          <w:lang w:val="en-IE"/>
        </w:rPr>
        <w:t>the design of the interface of online short-term rental platforms with regard to the registration number of any host</w:t>
      </w:r>
      <w:r w:rsidR="00146D6D">
        <w:rPr>
          <w:noProof/>
          <w:lang w:val="en-IE"/>
        </w:rPr>
        <w:t xml:space="preserve">, </w:t>
      </w:r>
      <w:r w:rsidR="001F714A" w:rsidRPr="00FC6349">
        <w:rPr>
          <w:noProof/>
          <w:lang w:val="en-IE"/>
        </w:rPr>
        <w:t>as defined in this Regulation</w:t>
      </w:r>
      <w:r w:rsidR="00FC6349">
        <w:rPr>
          <w:noProof/>
          <w:lang w:val="en-IE"/>
        </w:rPr>
        <w:t>,</w:t>
      </w:r>
      <w:r w:rsidR="001F714A" w:rsidRPr="00FC6349">
        <w:rPr>
          <w:noProof/>
          <w:lang w:val="en-IE"/>
        </w:rPr>
        <w:t xml:space="preserve"> are complied with in accordance with the powers and procedures laid down in Chapter IV of </w:t>
      </w:r>
      <w:r w:rsidR="003976BE">
        <w:rPr>
          <w:noProof/>
          <w:lang w:val="en-IE"/>
        </w:rPr>
        <w:t xml:space="preserve">Regulation </w:t>
      </w:r>
      <w:r w:rsidR="002A52CD">
        <w:rPr>
          <w:noProof/>
          <w:lang w:val="en-IE"/>
        </w:rPr>
        <w:t xml:space="preserve">(EU) </w:t>
      </w:r>
      <w:r w:rsidR="003976BE">
        <w:rPr>
          <w:noProof/>
          <w:lang w:val="en-IE"/>
        </w:rPr>
        <w:t>2022/2065</w:t>
      </w:r>
      <w:r w:rsidR="001F714A" w:rsidRPr="00FC6349">
        <w:rPr>
          <w:noProof/>
          <w:lang w:val="en-IE"/>
        </w:rPr>
        <w:t>.</w:t>
      </w:r>
      <w:r w:rsidR="005E07F5" w:rsidRPr="00FC6349">
        <w:rPr>
          <w:noProof/>
          <w:lang w:val="en-IE"/>
        </w:rPr>
        <w:t xml:space="preserve"> In accordance with </w:t>
      </w:r>
      <w:r w:rsidR="003976BE">
        <w:rPr>
          <w:noProof/>
          <w:lang w:val="en-IE"/>
        </w:rPr>
        <w:t xml:space="preserve">Regulation </w:t>
      </w:r>
      <w:r w:rsidR="002A52CD">
        <w:rPr>
          <w:noProof/>
          <w:lang w:val="en-IE"/>
        </w:rPr>
        <w:t xml:space="preserve">(EU) </w:t>
      </w:r>
      <w:r w:rsidR="003976BE">
        <w:rPr>
          <w:noProof/>
          <w:lang w:val="en-IE"/>
        </w:rPr>
        <w:t>2022/2065</w:t>
      </w:r>
      <w:r w:rsidR="005E07F5" w:rsidRPr="00FC6349">
        <w:rPr>
          <w:noProof/>
          <w:lang w:val="en-IE"/>
        </w:rPr>
        <w:t xml:space="preserve">, therefore, the competent DSC or the Commission should be empowered to enforce the compliance by design obligation laid down in </w:t>
      </w:r>
      <w:r w:rsidR="008807DA">
        <w:rPr>
          <w:noProof/>
          <w:lang w:val="en-IE"/>
        </w:rPr>
        <w:t xml:space="preserve">Article 7(1) of this </w:t>
      </w:r>
      <w:r w:rsidR="005E07F5" w:rsidRPr="00FC6349">
        <w:rPr>
          <w:noProof/>
          <w:lang w:val="en-IE"/>
        </w:rPr>
        <w:t xml:space="preserve">Regulation in accordance with the allocation of competences laid down in Chapter IV of </w:t>
      </w:r>
      <w:r w:rsidR="003976BE">
        <w:rPr>
          <w:noProof/>
          <w:lang w:val="en-IE"/>
        </w:rPr>
        <w:t xml:space="preserve">Regulation </w:t>
      </w:r>
      <w:r w:rsidR="002A52CD">
        <w:rPr>
          <w:noProof/>
          <w:lang w:val="en-IE"/>
        </w:rPr>
        <w:t xml:space="preserve">(EU) </w:t>
      </w:r>
      <w:r w:rsidR="003976BE">
        <w:rPr>
          <w:noProof/>
          <w:lang w:val="en-IE"/>
        </w:rPr>
        <w:t>2022/2065</w:t>
      </w:r>
      <w:r w:rsidR="005E07F5" w:rsidRPr="00FC6349">
        <w:rPr>
          <w:noProof/>
          <w:lang w:val="en-IE"/>
        </w:rPr>
        <w:t xml:space="preserve">. Consequently, the Commission should be empowered to adopt direct enforcement measures only with regard to very large online platforms designated pursuant to the </w:t>
      </w:r>
      <w:r w:rsidR="003976BE">
        <w:rPr>
          <w:noProof/>
          <w:lang w:val="en-IE"/>
        </w:rPr>
        <w:t xml:space="preserve">Regulation </w:t>
      </w:r>
      <w:r w:rsidR="002A52CD">
        <w:rPr>
          <w:noProof/>
          <w:lang w:val="en-IE"/>
        </w:rPr>
        <w:t xml:space="preserve">(EU) </w:t>
      </w:r>
      <w:r w:rsidR="003976BE">
        <w:rPr>
          <w:noProof/>
          <w:lang w:val="en-IE"/>
        </w:rPr>
        <w:t>2022/2065</w:t>
      </w:r>
      <w:r w:rsidR="005E07F5" w:rsidRPr="00FC6349">
        <w:rPr>
          <w:noProof/>
          <w:lang w:val="en-IE"/>
        </w:rPr>
        <w:t>.</w:t>
      </w:r>
    </w:p>
    <w:p w:rsidR="003702A8" w:rsidRPr="001B74A6" w:rsidRDefault="00795BB5" w:rsidP="00795BB5">
      <w:pPr>
        <w:pStyle w:val="ManualConsidrant"/>
        <w:rPr>
          <w:noProof/>
          <w:lang w:val="en-IE"/>
        </w:rPr>
      </w:pPr>
      <w:r w:rsidRPr="00795BB5">
        <w:t>(31)</w:t>
      </w:r>
      <w:r w:rsidRPr="00795BB5">
        <w:tab/>
      </w:r>
      <w:r w:rsidR="001B74A6" w:rsidRPr="009B4232">
        <w:rPr>
          <w:noProof/>
          <w:lang w:val="en-IE"/>
        </w:rPr>
        <w:t>Member States should ensure an effective enforcement of this Regulation as regards the provisions of this Regulation concerning</w:t>
      </w:r>
      <w:r w:rsidR="00146D6D" w:rsidRPr="009B4232">
        <w:rPr>
          <w:noProof/>
          <w:lang w:val="en-IE"/>
        </w:rPr>
        <w:t xml:space="preserve"> the results of the random checks, the obligation to </w:t>
      </w:r>
      <w:r w:rsidR="00951220" w:rsidRPr="009B4232">
        <w:rPr>
          <w:noProof/>
          <w:lang w:val="en-IE"/>
        </w:rPr>
        <w:t>include a reference to the information to be made available by Member States on rules governing the provision of short-term accommodation rental services</w:t>
      </w:r>
      <w:r w:rsidR="008A634B">
        <w:rPr>
          <w:noProof/>
          <w:lang w:val="en-IE"/>
        </w:rPr>
        <w:t xml:space="preserve"> </w:t>
      </w:r>
      <w:r w:rsidR="00146D6D" w:rsidRPr="009B4232">
        <w:rPr>
          <w:noProof/>
          <w:lang w:val="en-IE"/>
        </w:rPr>
        <w:t>and</w:t>
      </w:r>
      <w:r w:rsidR="001B74A6" w:rsidRPr="009B4232">
        <w:rPr>
          <w:noProof/>
          <w:lang w:val="en-IE"/>
        </w:rPr>
        <w:t xml:space="preserve"> the data sharing obligations of short-term rental platforms. Due to the specific nature of those obligations, it should be for authorities designated by the Member State of the Single Digital Entry Point, in which the relevant unit is located, to enforce them.</w:t>
      </w:r>
      <w:r w:rsidR="001B74A6" w:rsidRPr="001B74A6">
        <w:rPr>
          <w:noProof/>
          <w:lang w:val="en-IE"/>
        </w:rPr>
        <w:t xml:space="preserve"> </w:t>
      </w:r>
      <w:r w:rsidR="0026562A" w:rsidRPr="001B74A6">
        <w:rPr>
          <w:noProof/>
          <w:lang w:val="en-IE"/>
        </w:rPr>
        <w:t xml:space="preserve">Member States </w:t>
      </w:r>
      <w:r w:rsidR="000648CF" w:rsidRPr="001B74A6">
        <w:rPr>
          <w:noProof/>
          <w:lang w:val="en-IE"/>
        </w:rPr>
        <w:t xml:space="preserve">should </w:t>
      </w:r>
      <w:r w:rsidR="0026562A" w:rsidRPr="001B74A6">
        <w:rPr>
          <w:noProof/>
          <w:lang w:val="en-IE"/>
        </w:rPr>
        <w:t xml:space="preserve">also </w:t>
      </w:r>
      <w:r w:rsidR="00CA72C6" w:rsidRPr="001B74A6">
        <w:rPr>
          <w:noProof/>
          <w:lang w:val="en-IE"/>
        </w:rPr>
        <w:t xml:space="preserve">lay down rules setting out </w:t>
      </w:r>
      <w:r w:rsidR="00445C47" w:rsidRPr="001B74A6">
        <w:rPr>
          <w:noProof/>
          <w:lang w:val="en-IE"/>
        </w:rPr>
        <w:t xml:space="preserve">penalties </w:t>
      </w:r>
      <w:r w:rsidR="007135BC" w:rsidRPr="001B74A6">
        <w:rPr>
          <w:noProof/>
          <w:lang w:val="en-IE"/>
        </w:rPr>
        <w:t>for the</w:t>
      </w:r>
      <w:r w:rsidR="00886F39" w:rsidRPr="001B74A6">
        <w:rPr>
          <w:noProof/>
          <w:lang w:val="en-IE"/>
        </w:rPr>
        <w:t xml:space="preserve"> infringement of </w:t>
      </w:r>
      <w:r w:rsidR="00E92086">
        <w:rPr>
          <w:noProof/>
          <w:lang w:val="en-IE"/>
        </w:rPr>
        <w:t xml:space="preserve">these </w:t>
      </w:r>
      <w:r w:rsidR="00886F39" w:rsidRPr="001B74A6">
        <w:rPr>
          <w:noProof/>
          <w:lang w:val="en-IE"/>
        </w:rPr>
        <w:t>provision</w:t>
      </w:r>
      <w:r w:rsidR="007135BC" w:rsidRPr="001B74A6">
        <w:rPr>
          <w:noProof/>
          <w:lang w:val="en-IE"/>
        </w:rPr>
        <w:t>s</w:t>
      </w:r>
      <w:r w:rsidR="00886F39" w:rsidRPr="001B74A6">
        <w:rPr>
          <w:noProof/>
          <w:lang w:val="en-IE"/>
        </w:rPr>
        <w:t xml:space="preserve"> of this</w:t>
      </w:r>
      <w:r w:rsidR="00CA72C6" w:rsidRPr="001B74A6">
        <w:rPr>
          <w:noProof/>
          <w:lang w:val="en-IE"/>
        </w:rPr>
        <w:t xml:space="preserve"> Regulation </w:t>
      </w:r>
      <w:r w:rsidR="00886F39" w:rsidRPr="001B74A6">
        <w:rPr>
          <w:noProof/>
          <w:lang w:val="en-IE"/>
        </w:rPr>
        <w:t>that appl</w:t>
      </w:r>
      <w:r w:rsidR="007135BC" w:rsidRPr="001B74A6">
        <w:rPr>
          <w:noProof/>
          <w:lang w:val="en-IE"/>
        </w:rPr>
        <w:t>y</w:t>
      </w:r>
      <w:r w:rsidR="00886F39" w:rsidRPr="001B74A6">
        <w:rPr>
          <w:noProof/>
          <w:lang w:val="en-IE"/>
        </w:rPr>
        <w:t xml:space="preserve"> to </w:t>
      </w:r>
      <w:r w:rsidR="007135BC" w:rsidRPr="001B74A6">
        <w:rPr>
          <w:noProof/>
          <w:lang w:val="en-IE"/>
        </w:rPr>
        <w:t xml:space="preserve">online short-term rental platforms </w:t>
      </w:r>
      <w:r w:rsidR="00CA72C6" w:rsidRPr="001B74A6">
        <w:rPr>
          <w:noProof/>
          <w:lang w:val="en-IE"/>
        </w:rPr>
        <w:t xml:space="preserve">and </w:t>
      </w:r>
      <w:r w:rsidR="00B10278" w:rsidRPr="001B74A6">
        <w:rPr>
          <w:noProof/>
          <w:lang w:val="en-IE"/>
        </w:rPr>
        <w:t xml:space="preserve">should </w:t>
      </w:r>
      <w:r w:rsidR="00CA72C6" w:rsidRPr="001B74A6">
        <w:rPr>
          <w:noProof/>
          <w:lang w:val="en-IE"/>
        </w:rPr>
        <w:t xml:space="preserve">ensure that </w:t>
      </w:r>
      <w:r w:rsidR="007135BC" w:rsidRPr="001B74A6">
        <w:rPr>
          <w:noProof/>
          <w:lang w:val="en-IE"/>
        </w:rPr>
        <w:t>such penalties</w:t>
      </w:r>
      <w:r w:rsidR="00CA72C6" w:rsidRPr="001B74A6">
        <w:rPr>
          <w:noProof/>
          <w:lang w:val="en-IE"/>
        </w:rPr>
        <w:t xml:space="preserve"> are implemented</w:t>
      </w:r>
      <w:r w:rsidR="001F714A" w:rsidRPr="001B74A6">
        <w:rPr>
          <w:noProof/>
          <w:lang w:val="en-IE"/>
        </w:rPr>
        <w:t xml:space="preserve"> and notified in accordance with Directive 2000/31/EC of the European Parliament and of the Council</w:t>
      </w:r>
      <w:r w:rsidR="001F714A" w:rsidRPr="003702A8">
        <w:rPr>
          <w:rStyle w:val="FootnoteReference"/>
          <w:noProof/>
          <w:lang w:val="en-IE"/>
        </w:rPr>
        <w:footnoteReference w:id="33"/>
      </w:r>
      <w:r w:rsidR="00CA72C6" w:rsidRPr="001B74A6">
        <w:rPr>
          <w:noProof/>
          <w:lang w:val="en-IE"/>
        </w:rPr>
        <w:t xml:space="preserve">. </w:t>
      </w:r>
      <w:r w:rsidR="007135BC" w:rsidRPr="001B74A6">
        <w:rPr>
          <w:noProof/>
          <w:lang w:val="en-IE"/>
        </w:rPr>
        <w:t>Such penalties</w:t>
      </w:r>
      <w:r w:rsidR="00CA72C6" w:rsidRPr="001B74A6">
        <w:rPr>
          <w:noProof/>
          <w:lang w:val="en-IE"/>
        </w:rPr>
        <w:t xml:space="preserve"> </w:t>
      </w:r>
      <w:r w:rsidR="00B10278" w:rsidRPr="001B74A6">
        <w:rPr>
          <w:noProof/>
          <w:lang w:val="en-IE"/>
        </w:rPr>
        <w:t xml:space="preserve">should </w:t>
      </w:r>
      <w:r w:rsidR="00CA72C6" w:rsidRPr="001B74A6">
        <w:rPr>
          <w:noProof/>
          <w:lang w:val="en-IE"/>
        </w:rPr>
        <w:t>be effective, proportionate and dissuasive.</w:t>
      </w:r>
      <w:r w:rsidR="0026562A" w:rsidRPr="001B74A6">
        <w:rPr>
          <w:noProof/>
          <w:lang w:val="en-IE"/>
        </w:rPr>
        <w:t xml:space="preserve"> These penalties should ensure an effective enforcement of this Regulation, notably as regards data sharing obligations.</w:t>
      </w:r>
      <w:r w:rsidR="001F714A" w:rsidRPr="001B74A6">
        <w:rPr>
          <w:noProof/>
          <w:lang w:val="en-IE"/>
        </w:rPr>
        <w:t xml:space="preserve"> </w:t>
      </w:r>
    </w:p>
    <w:p w:rsidR="00FB340D" w:rsidRPr="005844B5" w:rsidRDefault="00795BB5" w:rsidP="00795BB5">
      <w:pPr>
        <w:pStyle w:val="ManualConsidrant"/>
        <w:rPr>
          <w:noProof/>
          <w:lang w:val="en-IE"/>
        </w:rPr>
      </w:pPr>
      <w:r w:rsidRPr="00795BB5">
        <w:t>(32)</w:t>
      </w:r>
      <w:r w:rsidRPr="00795BB5">
        <w:tab/>
      </w:r>
      <w:r w:rsidR="00B500D2">
        <w:rPr>
          <w:noProof/>
        </w:rPr>
        <w:t xml:space="preserve">In order to allow citizens and businesses to directly enjoy the benefits of the internal market without incurring an unnecessary additional administrative burden, </w:t>
      </w:r>
      <w:r w:rsidR="009F2F19" w:rsidRPr="003702A8">
        <w:rPr>
          <w:noProof/>
          <w:szCs w:val="24"/>
        </w:rPr>
        <w:t>Regulation (EU) 2018/1724</w:t>
      </w:r>
      <w:r w:rsidR="003976BE">
        <w:rPr>
          <w:noProof/>
          <w:szCs w:val="24"/>
        </w:rPr>
        <w:t xml:space="preserve"> of the European Parliament and the Council</w:t>
      </w:r>
      <w:r w:rsidR="003976BE">
        <w:rPr>
          <w:rStyle w:val="FootnoteReference"/>
          <w:noProof/>
          <w:szCs w:val="24"/>
        </w:rPr>
        <w:footnoteReference w:id="34"/>
      </w:r>
      <w:r w:rsidR="009F2F19" w:rsidRPr="003702A8">
        <w:rPr>
          <w:noProof/>
          <w:szCs w:val="24"/>
        </w:rPr>
        <w:t>, which establishe</w:t>
      </w:r>
      <w:r w:rsidR="00D84991" w:rsidRPr="003702A8">
        <w:rPr>
          <w:noProof/>
          <w:szCs w:val="24"/>
        </w:rPr>
        <w:t>d</w:t>
      </w:r>
      <w:r w:rsidR="009F2F19" w:rsidRPr="003702A8">
        <w:rPr>
          <w:noProof/>
          <w:szCs w:val="24"/>
        </w:rPr>
        <w:t xml:space="preserve"> the Single Digital Gateway, provides for general rules for </w:t>
      </w:r>
      <w:r w:rsidR="007407D7" w:rsidRPr="003702A8">
        <w:rPr>
          <w:noProof/>
          <w:szCs w:val="24"/>
        </w:rPr>
        <w:t xml:space="preserve">the </w:t>
      </w:r>
      <w:r w:rsidR="009F2F19" w:rsidRPr="003702A8">
        <w:rPr>
          <w:noProof/>
          <w:szCs w:val="24"/>
        </w:rPr>
        <w:t>online provision of information, procedures and assistance services relevant for the functioning of the internal market. Th</w:t>
      </w:r>
      <w:r w:rsidR="002201B5" w:rsidRPr="003702A8">
        <w:rPr>
          <w:noProof/>
          <w:szCs w:val="24"/>
        </w:rPr>
        <w:t xml:space="preserve">e </w:t>
      </w:r>
      <w:r w:rsidR="000F55C3" w:rsidRPr="003702A8">
        <w:rPr>
          <w:noProof/>
          <w:szCs w:val="24"/>
        </w:rPr>
        <w:t xml:space="preserve">information requirements and </w:t>
      </w:r>
      <w:r w:rsidR="002201B5" w:rsidRPr="003702A8">
        <w:rPr>
          <w:noProof/>
          <w:szCs w:val="24"/>
        </w:rPr>
        <w:t xml:space="preserve">procedures covered by this Regulation should comply with the requirements of </w:t>
      </w:r>
      <w:r w:rsidR="009F2F19" w:rsidRPr="003702A8">
        <w:rPr>
          <w:noProof/>
          <w:szCs w:val="24"/>
        </w:rPr>
        <w:t>Regulation</w:t>
      </w:r>
      <w:r w:rsidR="00750522" w:rsidRPr="003702A8">
        <w:rPr>
          <w:noProof/>
          <w:szCs w:val="24"/>
        </w:rPr>
        <w:t xml:space="preserve"> (EU) 2018/1724</w:t>
      </w:r>
      <w:r w:rsidR="000F55C3" w:rsidRPr="003702A8">
        <w:rPr>
          <w:noProof/>
          <w:szCs w:val="24"/>
        </w:rPr>
        <w:t>.</w:t>
      </w:r>
      <w:r w:rsidR="009F2F19" w:rsidRPr="003702A8">
        <w:rPr>
          <w:noProof/>
          <w:szCs w:val="24"/>
        </w:rPr>
        <w:t xml:space="preserve"> </w:t>
      </w:r>
      <w:r w:rsidR="003702A8" w:rsidRPr="005844B5">
        <w:rPr>
          <w:noProof/>
          <w:szCs w:val="24"/>
        </w:rPr>
        <w:t>In particular</w:t>
      </w:r>
      <w:r w:rsidR="003702A8" w:rsidRPr="003702A8">
        <w:rPr>
          <w:noProof/>
          <w:szCs w:val="24"/>
        </w:rPr>
        <w:t>,</w:t>
      </w:r>
      <w:r w:rsidR="003702A8" w:rsidRPr="005844B5">
        <w:rPr>
          <w:noProof/>
          <w:szCs w:val="24"/>
        </w:rPr>
        <w:t xml:space="preserve"> </w:t>
      </w:r>
      <w:r w:rsidR="003702A8" w:rsidRPr="003702A8">
        <w:rPr>
          <w:noProof/>
          <w:szCs w:val="24"/>
        </w:rPr>
        <w:t xml:space="preserve">the procedures concerning the </w:t>
      </w:r>
      <w:r w:rsidR="003702A8">
        <w:rPr>
          <w:noProof/>
        </w:rPr>
        <w:t>registration by hosts and the issue of the registration number</w:t>
      </w:r>
      <w:r w:rsidR="00957E8A">
        <w:rPr>
          <w:noProof/>
        </w:rPr>
        <w:t xml:space="preserve"> referred to in Article</w:t>
      </w:r>
      <w:r w:rsidR="003702A8">
        <w:rPr>
          <w:noProof/>
        </w:rPr>
        <w:t xml:space="preserve"> 4 of this Regulation, should be included in Annex II of </w:t>
      </w:r>
      <w:r w:rsidR="003702A8" w:rsidRPr="005844B5">
        <w:rPr>
          <w:noProof/>
          <w:szCs w:val="24"/>
        </w:rPr>
        <w:t xml:space="preserve">Regulation (EU) 2018/1724 so as to ensure that any host can benefit </w:t>
      </w:r>
      <w:r w:rsidR="00252B5F">
        <w:rPr>
          <w:noProof/>
          <w:szCs w:val="24"/>
        </w:rPr>
        <w:t>from</w:t>
      </w:r>
      <w:r w:rsidR="003702A8" w:rsidRPr="005844B5">
        <w:rPr>
          <w:noProof/>
          <w:szCs w:val="24"/>
        </w:rPr>
        <w:t xml:space="preserve"> fully online procedures. </w:t>
      </w:r>
      <w:r w:rsidR="003702A8" w:rsidRPr="003702A8">
        <w:rPr>
          <w:noProof/>
          <w:szCs w:val="24"/>
        </w:rPr>
        <w:t>Regulation (EU) 2018/1724 should therefore be amended accordingly</w:t>
      </w:r>
      <w:r w:rsidR="003702A8" w:rsidRPr="005844B5">
        <w:rPr>
          <w:noProof/>
          <w:szCs w:val="24"/>
        </w:rPr>
        <w:t>.</w:t>
      </w:r>
    </w:p>
    <w:p w:rsidR="007C7E24" w:rsidRPr="005844B5" w:rsidRDefault="00795BB5" w:rsidP="00795BB5">
      <w:pPr>
        <w:pStyle w:val="ManualConsidrant"/>
        <w:rPr>
          <w:noProof/>
          <w:szCs w:val="24"/>
        </w:rPr>
      </w:pPr>
      <w:r w:rsidRPr="00795BB5">
        <w:t>(33)</w:t>
      </w:r>
      <w:r w:rsidRPr="00795BB5">
        <w:tab/>
      </w:r>
      <w:r w:rsidR="007407D7" w:rsidRPr="005844B5">
        <w:rPr>
          <w:noProof/>
        </w:rPr>
        <w:t xml:space="preserve">In </w:t>
      </w:r>
      <w:r w:rsidR="009A0ABC" w:rsidRPr="005844B5">
        <w:rPr>
          <w:noProof/>
        </w:rPr>
        <w:t xml:space="preserve">addition, </w:t>
      </w:r>
      <w:r w:rsidR="002201B5" w:rsidRPr="005844B5">
        <w:rPr>
          <w:noProof/>
        </w:rPr>
        <w:t xml:space="preserve">in </w:t>
      </w:r>
      <w:r w:rsidR="007407D7" w:rsidRPr="005844B5">
        <w:rPr>
          <w:noProof/>
        </w:rPr>
        <w:t>accordance with the once-only principle, h</w:t>
      </w:r>
      <w:r w:rsidR="00AC2A74" w:rsidRPr="005844B5">
        <w:rPr>
          <w:noProof/>
          <w:lang w:val="en-IE"/>
        </w:rPr>
        <w:t xml:space="preserve">osts with units in one or more Member States should be allowed to re-use data and evidence they have already submitted </w:t>
      </w:r>
      <w:r w:rsidR="007407D7" w:rsidRPr="005844B5">
        <w:rPr>
          <w:noProof/>
          <w:lang w:val="en-IE"/>
        </w:rPr>
        <w:t xml:space="preserve">for the purpose of a </w:t>
      </w:r>
      <w:r w:rsidR="00AC2A74" w:rsidRPr="005844B5">
        <w:rPr>
          <w:noProof/>
          <w:lang w:val="en-IE"/>
        </w:rPr>
        <w:t>first registration</w:t>
      </w:r>
      <w:r w:rsidR="007407D7" w:rsidRPr="005844B5">
        <w:rPr>
          <w:noProof/>
          <w:lang w:val="en-IE"/>
        </w:rPr>
        <w:t xml:space="preserve">, thereby </w:t>
      </w:r>
      <w:r w:rsidR="00AC2A74" w:rsidRPr="005844B5">
        <w:rPr>
          <w:noProof/>
          <w:lang w:val="en-IE"/>
        </w:rPr>
        <w:t>reduc</w:t>
      </w:r>
      <w:r w:rsidR="007407D7" w:rsidRPr="005844B5">
        <w:rPr>
          <w:noProof/>
          <w:lang w:val="en-IE"/>
        </w:rPr>
        <w:t>ing</w:t>
      </w:r>
      <w:r w:rsidR="00AC2A74" w:rsidRPr="005844B5">
        <w:rPr>
          <w:noProof/>
          <w:lang w:val="en-IE"/>
        </w:rPr>
        <w:t xml:space="preserve"> the </w:t>
      </w:r>
      <w:r w:rsidR="00F227FF" w:rsidRPr="005844B5">
        <w:rPr>
          <w:noProof/>
          <w:lang w:val="en-IE"/>
        </w:rPr>
        <w:t xml:space="preserve">compliance </w:t>
      </w:r>
      <w:r w:rsidR="00AC2A74" w:rsidRPr="005844B5">
        <w:rPr>
          <w:noProof/>
          <w:lang w:val="en-IE"/>
        </w:rPr>
        <w:t xml:space="preserve">burden </w:t>
      </w:r>
      <w:r w:rsidR="00F227FF" w:rsidRPr="005844B5">
        <w:rPr>
          <w:noProof/>
          <w:lang w:val="en-IE"/>
        </w:rPr>
        <w:t>for</w:t>
      </w:r>
      <w:r w:rsidR="00AC2A74" w:rsidRPr="005844B5">
        <w:rPr>
          <w:noProof/>
          <w:lang w:val="en-IE"/>
        </w:rPr>
        <w:t xml:space="preserve"> hosts</w:t>
      </w:r>
      <w:r w:rsidR="003521D4" w:rsidRPr="005844B5">
        <w:rPr>
          <w:noProof/>
          <w:lang w:val="en-IE"/>
        </w:rPr>
        <w:t>.</w:t>
      </w:r>
      <w:r w:rsidR="00AC2A74" w:rsidRPr="005844B5">
        <w:rPr>
          <w:noProof/>
          <w:lang w:val="en-IE"/>
        </w:rPr>
        <w:t xml:space="preserve"> </w:t>
      </w:r>
      <w:r w:rsidR="000D0A1C" w:rsidRPr="005844B5">
        <w:rPr>
          <w:noProof/>
          <w:lang w:val="en-IE"/>
        </w:rPr>
        <w:t>That</w:t>
      </w:r>
      <w:r w:rsidR="00AC2A74" w:rsidRPr="005844B5">
        <w:rPr>
          <w:noProof/>
          <w:lang w:val="en-IE"/>
        </w:rPr>
        <w:t xml:space="preserve"> functionality </w:t>
      </w:r>
      <w:r w:rsidR="009A0ABC" w:rsidRPr="005844B5">
        <w:rPr>
          <w:noProof/>
          <w:lang w:val="en-IE"/>
        </w:rPr>
        <w:t xml:space="preserve">could </w:t>
      </w:r>
      <w:r w:rsidR="009D77E0" w:rsidRPr="005844B5">
        <w:rPr>
          <w:noProof/>
          <w:lang w:val="en-IE"/>
        </w:rPr>
        <w:t xml:space="preserve">be provided </w:t>
      </w:r>
      <w:r w:rsidR="00AC2A74" w:rsidRPr="005844B5">
        <w:rPr>
          <w:noProof/>
          <w:lang w:val="en-IE"/>
        </w:rPr>
        <w:t xml:space="preserve">by </w:t>
      </w:r>
      <w:r w:rsidR="009A0ABC" w:rsidRPr="005844B5">
        <w:rPr>
          <w:noProof/>
          <w:lang w:val="en-IE"/>
        </w:rPr>
        <w:t xml:space="preserve">using </w:t>
      </w:r>
      <w:r w:rsidR="00AC2A74" w:rsidRPr="005844B5">
        <w:rPr>
          <w:noProof/>
          <w:lang w:val="en-IE"/>
        </w:rPr>
        <w:t xml:space="preserve">the </w:t>
      </w:r>
      <w:r w:rsidR="009A0ABC" w:rsidRPr="005844B5">
        <w:rPr>
          <w:noProof/>
          <w:lang w:val="en-IE"/>
        </w:rPr>
        <w:t xml:space="preserve">infrastructure of the </w:t>
      </w:r>
      <w:r w:rsidR="00AC2A74" w:rsidRPr="005844B5">
        <w:rPr>
          <w:noProof/>
          <w:lang w:val="en-IE"/>
        </w:rPr>
        <w:t>Once Only Technical System</w:t>
      </w:r>
      <w:r w:rsidR="001967B6" w:rsidRPr="005844B5">
        <w:rPr>
          <w:noProof/>
          <w:lang w:val="en-IE"/>
        </w:rPr>
        <w:t xml:space="preserve"> as established by Commission Implementing Regulation (EU) 2022/1463</w:t>
      </w:r>
      <w:r w:rsidR="002201B5" w:rsidRPr="005844B5">
        <w:rPr>
          <w:noProof/>
          <w:lang w:val="en-IE"/>
        </w:rPr>
        <w:t>.</w:t>
      </w:r>
      <w:r w:rsidR="006A00C6" w:rsidRPr="005844B5">
        <w:rPr>
          <w:rStyle w:val="FootnoteReference"/>
          <w:noProof/>
          <w:lang w:val="en-IE"/>
        </w:rPr>
        <w:footnoteReference w:id="35"/>
      </w:r>
    </w:p>
    <w:p w:rsidR="009F2F19" w:rsidRPr="00094FF0" w:rsidRDefault="00795BB5" w:rsidP="00795BB5">
      <w:pPr>
        <w:pStyle w:val="ManualConsidrant"/>
        <w:rPr>
          <w:noProof/>
          <w:lang w:val="en-IE"/>
        </w:rPr>
      </w:pPr>
      <w:r w:rsidRPr="00795BB5">
        <w:t>(34)</w:t>
      </w:r>
      <w:r w:rsidRPr="00795BB5">
        <w:tab/>
      </w:r>
      <w:r w:rsidR="001E504F" w:rsidRPr="00302067">
        <w:rPr>
          <w:noProof/>
          <w:lang w:val="en-IE"/>
        </w:rPr>
        <w:t xml:space="preserve">The Commission should periodically evaluate this Regulation and </w:t>
      </w:r>
      <w:r w:rsidR="001E504F" w:rsidRPr="00C740D5">
        <w:rPr>
          <w:noProof/>
          <w:lang w:val="en-IE"/>
        </w:rPr>
        <w:t xml:space="preserve">monitor its effects on the </w:t>
      </w:r>
      <w:r w:rsidR="00C06368" w:rsidRPr="00C740D5">
        <w:rPr>
          <w:noProof/>
          <w:lang w:val="en-IE"/>
        </w:rPr>
        <w:t xml:space="preserve">provision of </w:t>
      </w:r>
      <w:r w:rsidR="00874C99">
        <w:rPr>
          <w:noProof/>
          <w:lang w:val="en-IE"/>
        </w:rPr>
        <w:t>s</w:t>
      </w:r>
      <w:r w:rsidR="00874C99" w:rsidRPr="002E27BC">
        <w:rPr>
          <w:noProof/>
          <w:lang w:val="en-IE"/>
        </w:rPr>
        <w:t xml:space="preserve">hort-term accommodation rental </w:t>
      </w:r>
      <w:r w:rsidR="00C06368" w:rsidRPr="00C740D5">
        <w:rPr>
          <w:noProof/>
          <w:lang w:val="en-IE"/>
        </w:rPr>
        <w:t xml:space="preserve">services offered through online </w:t>
      </w:r>
      <w:r w:rsidR="00452EEA" w:rsidRPr="00C740D5">
        <w:rPr>
          <w:noProof/>
          <w:lang w:val="en-IE"/>
        </w:rPr>
        <w:t xml:space="preserve">short-term rental </w:t>
      </w:r>
      <w:r w:rsidR="00C06368" w:rsidRPr="00C740D5">
        <w:rPr>
          <w:noProof/>
          <w:lang w:val="en-IE"/>
        </w:rPr>
        <w:t>platforms in the Union</w:t>
      </w:r>
      <w:r w:rsidR="001E504F" w:rsidRPr="00C740D5">
        <w:rPr>
          <w:noProof/>
          <w:lang w:val="en-IE"/>
        </w:rPr>
        <w:t xml:space="preserve">. </w:t>
      </w:r>
      <w:r w:rsidR="00553C72" w:rsidRPr="00C740D5">
        <w:rPr>
          <w:noProof/>
          <w:lang w:val="en-IE"/>
        </w:rPr>
        <w:t>That</w:t>
      </w:r>
      <w:r w:rsidR="001E504F" w:rsidRPr="00C740D5">
        <w:rPr>
          <w:noProof/>
          <w:lang w:val="en-IE"/>
        </w:rPr>
        <w:t xml:space="preserve"> evaluation should include </w:t>
      </w:r>
      <w:r w:rsidR="00D967FF" w:rsidRPr="00C740D5">
        <w:rPr>
          <w:noProof/>
          <w:lang w:val="en-IE"/>
        </w:rPr>
        <w:t xml:space="preserve">any </w:t>
      </w:r>
      <w:r w:rsidR="00C06368" w:rsidRPr="00C740D5">
        <w:rPr>
          <w:noProof/>
          <w:lang w:val="en-IE"/>
        </w:rPr>
        <w:t xml:space="preserve">effects on </w:t>
      </w:r>
      <w:r w:rsidR="002E031F" w:rsidRPr="00C740D5">
        <w:rPr>
          <w:noProof/>
          <w:lang w:val="en-IE"/>
        </w:rPr>
        <w:t xml:space="preserve">providers of online </w:t>
      </w:r>
      <w:r w:rsidR="00452EEA" w:rsidRPr="00C740D5">
        <w:rPr>
          <w:noProof/>
          <w:lang w:val="en-IE"/>
        </w:rPr>
        <w:t xml:space="preserve">short-term rental </w:t>
      </w:r>
      <w:r w:rsidR="002E031F" w:rsidRPr="00C740D5">
        <w:rPr>
          <w:noProof/>
          <w:lang w:val="en-IE"/>
        </w:rPr>
        <w:t xml:space="preserve">platforms and </w:t>
      </w:r>
      <w:r w:rsidR="00D967FF" w:rsidRPr="00C740D5">
        <w:rPr>
          <w:noProof/>
          <w:lang w:val="en-IE"/>
        </w:rPr>
        <w:t xml:space="preserve">any effects </w:t>
      </w:r>
      <w:r w:rsidR="002E031F" w:rsidRPr="00C740D5">
        <w:rPr>
          <w:noProof/>
          <w:lang w:val="en-IE"/>
        </w:rPr>
        <w:t xml:space="preserve">of </w:t>
      </w:r>
      <w:r w:rsidR="00C06368" w:rsidRPr="00C740D5">
        <w:rPr>
          <w:noProof/>
          <w:lang w:val="en-IE"/>
        </w:rPr>
        <w:t xml:space="preserve">the </w:t>
      </w:r>
      <w:r w:rsidR="002E031F" w:rsidRPr="00C740D5">
        <w:rPr>
          <w:noProof/>
          <w:lang w:val="en-IE"/>
        </w:rPr>
        <w:t xml:space="preserve">increased </w:t>
      </w:r>
      <w:r w:rsidR="00C06368" w:rsidRPr="00C740D5">
        <w:rPr>
          <w:noProof/>
          <w:lang w:val="en-IE"/>
        </w:rPr>
        <w:t xml:space="preserve">availability of data </w:t>
      </w:r>
      <w:r w:rsidR="002E031F" w:rsidRPr="00C740D5">
        <w:rPr>
          <w:noProof/>
          <w:lang w:val="en-IE"/>
        </w:rPr>
        <w:t>on the</w:t>
      </w:r>
      <w:r w:rsidR="009E198A" w:rsidRPr="00C740D5">
        <w:rPr>
          <w:noProof/>
          <w:lang w:val="en-IE"/>
        </w:rPr>
        <w:t xml:space="preserve"> content and</w:t>
      </w:r>
      <w:r w:rsidR="002E031F" w:rsidRPr="00C740D5">
        <w:rPr>
          <w:noProof/>
          <w:lang w:val="en-IE"/>
        </w:rPr>
        <w:t xml:space="preserve"> proportionality of national, regional </w:t>
      </w:r>
      <w:r w:rsidR="00D967FF" w:rsidRPr="00C740D5">
        <w:rPr>
          <w:noProof/>
          <w:lang w:val="en-IE"/>
        </w:rPr>
        <w:t>and</w:t>
      </w:r>
      <w:r w:rsidR="002E031F" w:rsidRPr="00B37312">
        <w:rPr>
          <w:noProof/>
          <w:lang w:val="en-IE"/>
        </w:rPr>
        <w:t xml:space="preserve"> local rules relating to the provision of </w:t>
      </w:r>
      <w:r w:rsidR="00874C99">
        <w:rPr>
          <w:noProof/>
          <w:lang w:val="en-IE"/>
        </w:rPr>
        <w:t>s</w:t>
      </w:r>
      <w:r w:rsidR="00874C99" w:rsidRPr="002E27BC">
        <w:rPr>
          <w:noProof/>
          <w:lang w:val="en-IE"/>
        </w:rPr>
        <w:t xml:space="preserve">hort-term accommodation rental </w:t>
      </w:r>
      <w:r w:rsidR="002E031F" w:rsidRPr="00B37312">
        <w:rPr>
          <w:noProof/>
          <w:lang w:val="en-IE"/>
        </w:rPr>
        <w:t>service</w:t>
      </w:r>
      <w:r w:rsidR="009E198A" w:rsidRPr="00B37312">
        <w:rPr>
          <w:noProof/>
          <w:lang w:val="en-IE"/>
        </w:rPr>
        <w:t>s</w:t>
      </w:r>
      <w:r w:rsidR="001E504F" w:rsidRPr="00B37312">
        <w:rPr>
          <w:noProof/>
          <w:lang w:val="en-IE"/>
        </w:rPr>
        <w:t>. In order to obtain a broad view of developments in the sector, the evaluation should take into account the experiences of Member States and relevant stakeholders.</w:t>
      </w:r>
    </w:p>
    <w:p w:rsidR="009F2F19" w:rsidRPr="00302067" w:rsidRDefault="00795BB5" w:rsidP="00795BB5">
      <w:pPr>
        <w:pStyle w:val="ManualConsidrant"/>
        <w:rPr>
          <w:noProof/>
          <w:lang w:val="en-IE"/>
        </w:rPr>
      </w:pPr>
      <w:r w:rsidRPr="00795BB5">
        <w:t>(35)</w:t>
      </w:r>
      <w:r w:rsidRPr="00795BB5">
        <w:tab/>
      </w:r>
      <w:r w:rsidR="00D84991">
        <w:rPr>
          <w:noProof/>
          <w:lang w:val="en-US"/>
        </w:rPr>
        <w:t xml:space="preserve">In order </w:t>
      </w:r>
      <w:r w:rsidR="00F227FF" w:rsidRPr="00C740D5">
        <w:rPr>
          <w:noProof/>
          <w:lang w:val="en-US"/>
        </w:rPr>
        <w:t xml:space="preserve">to </w:t>
      </w:r>
      <w:r w:rsidR="009F2F19" w:rsidRPr="00C740D5">
        <w:rPr>
          <w:noProof/>
          <w:lang w:val="en-US"/>
        </w:rPr>
        <w:t xml:space="preserve">allow sufficient time for Member States to establish registration procedures, adapt existing registration procedures to the provisions of this Regulation and to establish </w:t>
      </w:r>
      <w:r w:rsidR="009C1601" w:rsidRPr="00C740D5">
        <w:rPr>
          <w:noProof/>
          <w:lang w:val="en-US"/>
        </w:rPr>
        <w:t>S</w:t>
      </w:r>
      <w:r w:rsidR="00F647DB" w:rsidRPr="00C740D5">
        <w:rPr>
          <w:noProof/>
          <w:lang w:val="en-US"/>
        </w:rPr>
        <w:t xml:space="preserve">ingle </w:t>
      </w:r>
      <w:r w:rsidR="009C1601" w:rsidRPr="00C740D5">
        <w:rPr>
          <w:noProof/>
          <w:lang w:val="en-US"/>
        </w:rPr>
        <w:t>D</w:t>
      </w:r>
      <w:r w:rsidR="00F647DB" w:rsidRPr="00C740D5">
        <w:rPr>
          <w:noProof/>
          <w:lang w:val="en-US"/>
        </w:rPr>
        <w:t xml:space="preserve">igital </w:t>
      </w:r>
      <w:r w:rsidR="009C1601" w:rsidRPr="00C740D5">
        <w:rPr>
          <w:noProof/>
          <w:lang w:val="en-US"/>
        </w:rPr>
        <w:t>E</w:t>
      </w:r>
      <w:r w:rsidR="00F647DB" w:rsidRPr="00C740D5">
        <w:rPr>
          <w:noProof/>
          <w:lang w:val="en-US"/>
        </w:rPr>
        <w:t xml:space="preserve">ntry </w:t>
      </w:r>
      <w:r w:rsidR="009C1601" w:rsidRPr="00C740D5">
        <w:rPr>
          <w:noProof/>
          <w:lang w:val="en-US"/>
        </w:rPr>
        <w:t>P</w:t>
      </w:r>
      <w:r w:rsidR="00F647DB" w:rsidRPr="00C740D5">
        <w:rPr>
          <w:noProof/>
          <w:lang w:val="en-US"/>
        </w:rPr>
        <w:t>oint</w:t>
      </w:r>
      <w:r w:rsidR="009C1601" w:rsidRPr="00C740D5">
        <w:rPr>
          <w:noProof/>
          <w:lang w:val="en-US"/>
        </w:rPr>
        <w:t>s</w:t>
      </w:r>
      <w:r w:rsidR="00D84991">
        <w:rPr>
          <w:noProof/>
          <w:lang w:val="en-US"/>
        </w:rPr>
        <w:t xml:space="preserve">, and </w:t>
      </w:r>
      <w:r w:rsidR="001005F5" w:rsidRPr="00302067">
        <w:rPr>
          <w:noProof/>
          <w:lang w:val="en-US"/>
        </w:rPr>
        <w:t xml:space="preserve">to enable </w:t>
      </w:r>
      <w:r w:rsidR="00F647DB" w:rsidRPr="00C740D5">
        <w:rPr>
          <w:noProof/>
          <w:lang w:val="en-US"/>
        </w:rPr>
        <w:t xml:space="preserve">platforms </w:t>
      </w:r>
      <w:r w:rsidR="00775793" w:rsidRPr="00C740D5">
        <w:rPr>
          <w:noProof/>
          <w:lang w:val="en-US"/>
        </w:rPr>
        <w:t>and hosts</w:t>
      </w:r>
      <w:r w:rsidR="00F647DB" w:rsidRPr="00C740D5">
        <w:rPr>
          <w:noProof/>
          <w:lang w:val="en-US"/>
        </w:rPr>
        <w:t xml:space="preserve"> </w:t>
      </w:r>
      <w:r w:rsidR="009F2F19" w:rsidRPr="00C740D5">
        <w:rPr>
          <w:noProof/>
          <w:lang w:val="en-US"/>
        </w:rPr>
        <w:t xml:space="preserve">to adapt to </w:t>
      </w:r>
      <w:r w:rsidR="00775793" w:rsidRPr="00C740D5">
        <w:rPr>
          <w:noProof/>
          <w:lang w:val="en-US"/>
        </w:rPr>
        <w:t xml:space="preserve">the </w:t>
      </w:r>
      <w:r w:rsidR="009F2F19" w:rsidRPr="00C740D5">
        <w:rPr>
          <w:noProof/>
          <w:lang w:val="en-US"/>
        </w:rPr>
        <w:t>new requirements</w:t>
      </w:r>
      <w:r w:rsidR="00874C99">
        <w:rPr>
          <w:noProof/>
          <w:lang w:val="en-US"/>
        </w:rPr>
        <w:t>, t</w:t>
      </w:r>
      <w:r w:rsidR="00775793" w:rsidRPr="00C740D5">
        <w:rPr>
          <w:noProof/>
          <w:lang w:val="en-US"/>
        </w:rPr>
        <w:t>h</w:t>
      </w:r>
      <w:r w:rsidR="00D84991">
        <w:rPr>
          <w:noProof/>
          <w:lang w:val="en-US"/>
        </w:rPr>
        <w:t>e application of this</w:t>
      </w:r>
      <w:r w:rsidR="00775793" w:rsidRPr="00C740D5">
        <w:rPr>
          <w:noProof/>
          <w:lang w:val="en-US"/>
        </w:rPr>
        <w:t xml:space="preserve"> Regulation</w:t>
      </w:r>
      <w:r w:rsidR="007C7E24" w:rsidRPr="00C740D5">
        <w:rPr>
          <w:noProof/>
          <w:lang w:val="en-US"/>
        </w:rPr>
        <w:t xml:space="preserve"> should</w:t>
      </w:r>
      <w:r w:rsidR="00D84991">
        <w:rPr>
          <w:noProof/>
          <w:lang w:val="en-US"/>
        </w:rPr>
        <w:t xml:space="preserve"> be deferred</w:t>
      </w:r>
      <w:r w:rsidR="007C7E24" w:rsidRPr="00C740D5">
        <w:rPr>
          <w:noProof/>
          <w:lang w:val="en-US"/>
        </w:rPr>
        <w:t>.</w:t>
      </w:r>
    </w:p>
    <w:p w:rsidR="009F2F19" w:rsidRPr="00874C72" w:rsidRDefault="00795BB5" w:rsidP="00795BB5">
      <w:pPr>
        <w:pStyle w:val="ManualConsidrant"/>
        <w:rPr>
          <w:noProof/>
          <w:lang w:val="en-IE"/>
        </w:rPr>
      </w:pPr>
      <w:r w:rsidRPr="00795BB5">
        <w:t>(36)</w:t>
      </w:r>
      <w:r w:rsidRPr="00795BB5">
        <w:tab/>
      </w:r>
      <w:r w:rsidR="009F2F19" w:rsidRPr="00874C72">
        <w:rPr>
          <w:noProof/>
          <w:lang w:val="en-IE"/>
        </w:rPr>
        <w:t>Since the objectives of this Regulation, namely contributi</w:t>
      </w:r>
      <w:r w:rsidR="00FB0B31">
        <w:rPr>
          <w:noProof/>
          <w:lang w:val="en-IE"/>
        </w:rPr>
        <w:t>ng</w:t>
      </w:r>
      <w:r w:rsidR="009F2F19" w:rsidRPr="00874C72">
        <w:rPr>
          <w:noProof/>
          <w:lang w:val="en-IE"/>
        </w:rPr>
        <w:t xml:space="preserve"> to the proper</w:t>
      </w:r>
      <w:r w:rsidR="009F2F19">
        <w:rPr>
          <w:noProof/>
          <w:lang w:val="en-IE"/>
        </w:rPr>
        <w:t xml:space="preserve"> </w:t>
      </w:r>
      <w:r w:rsidR="009F2F19" w:rsidRPr="00874C72">
        <w:rPr>
          <w:noProof/>
          <w:lang w:val="en-IE"/>
        </w:rPr>
        <w:t>fun</w:t>
      </w:r>
      <w:r w:rsidR="009F2F19">
        <w:rPr>
          <w:noProof/>
          <w:lang w:val="en-IE"/>
        </w:rPr>
        <w:t>ctioning of the internal market</w:t>
      </w:r>
      <w:r w:rsidR="00482527">
        <w:rPr>
          <w:noProof/>
          <w:lang w:val="en-IE"/>
        </w:rPr>
        <w:t xml:space="preserve"> </w:t>
      </w:r>
      <w:r w:rsidR="009F2F19">
        <w:rPr>
          <w:noProof/>
          <w:lang w:val="en-IE"/>
        </w:rPr>
        <w:t xml:space="preserve">in relation to the provision of services provided by </w:t>
      </w:r>
      <w:r w:rsidR="009F2F19">
        <w:rPr>
          <w:noProof/>
          <w:lang w:eastAsia="zh-CN"/>
        </w:rPr>
        <w:t xml:space="preserve">online </w:t>
      </w:r>
      <w:r w:rsidR="00452EEA">
        <w:rPr>
          <w:noProof/>
          <w:lang w:val="en-IE"/>
        </w:rPr>
        <w:t>short-term rental</w:t>
      </w:r>
      <w:r w:rsidR="00452EEA" w:rsidRPr="00D33745">
        <w:rPr>
          <w:noProof/>
          <w:lang w:val="en-IE"/>
        </w:rPr>
        <w:t xml:space="preserve"> </w:t>
      </w:r>
      <w:r w:rsidR="00771716">
        <w:rPr>
          <w:noProof/>
          <w:lang w:eastAsia="zh-CN"/>
        </w:rPr>
        <w:t>p</w:t>
      </w:r>
      <w:r w:rsidR="009F2F19">
        <w:rPr>
          <w:noProof/>
          <w:lang w:eastAsia="zh-CN"/>
        </w:rPr>
        <w:t xml:space="preserve">latforms </w:t>
      </w:r>
      <w:r w:rsidR="009F2F19" w:rsidRPr="00874C72">
        <w:rPr>
          <w:noProof/>
          <w:lang w:val="en-IE"/>
        </w:rPr>
        <w:t>cannot be sufficiently achieved by the Member</w:t>
      </w:r>
      <w:r w:rsidR="009F2F19">
        <w:rPr>
          <w:noProof/>
          <w:lang w:val="en-IE"/>
        </w:rPr>
        <w:t xml:space="preserve"> </w:t>
      </w:r>
      <w:r w:rsidR="009F2F19" w:rsidRPr="00874C72">
        <w:rPr>
          <w:noProof/>
          <w:lang w:val="en-IE"/>
        </w:rPr>
        <w:t>States and can therefore be better achieved at Union level, the Union may adopt this</w:t>
      </w:r>
      <w:r w:rsidR="009F2F19">
        <w:rPr>
          <w:noProof/>
          <w:lang w:val="en-IE"/>
        </w:rPr>
        <w:t xml:space="preserve"> </w:t>
      </w:r>
      <w:r w:rsidR="009F2F19" w:rsidRPr="00874C72">
        <w:rPr>
          <w:noProof/>
          <w:lang w:val="en-IE"/>
        </w:rPr>
        <w:t>Regulation, in accordance with the principle of subsidiarity as set out in Article 5 of</w:t>
      </w:r>
      <w:r w:rsidR="009F2F19">
        <w:rPr>
          <w:noProof/>
          <w:lang w:val="en-IE"/>
        </w:rPr>
        <w:t xml:space="preserve"> </w:t>
      </w:r>
      <w:r w:rsidR="009F2F19" w:rsidRPr="00874C72">
        <w:rPr>
          <w:noProof/>
          <w:lang w:val="en-IE"/>
        </w:rPr>
        <w:t>the T</w:t>
      </w:r>
      <w:r w:rsidR="009F2F19">
        <w:rPr>
          <w:noProof/>
          <w:lang w:val="en-IE"/>
        </w:rPr>
        <w:t>reaty on the European Union</w:t>
      </w:r>
      <w:r w:rsidR="009F2F19" w:rsidRPr="00874C72">
        <w:rPr>
          <w:noProof/>
          <w:lang w:val="en-IE"/>
        </w:rPr>
        <w:t>. In accordance with the principle of proportionality, as set out in that Article,</w:t>
      </w:r>
      <w:r w:rsidR="009F2F19">
        <w:rPr>
          <w:noProof/>
          <w:lang w:val="en-IE"/>
        </w:rPr>
        <w:t xml:space="preserve"> </w:t>
      </w:r>
      <w:r w:rsidR="009F2F19" w:rsidRPr="00874C72">
        <w:rPr>
          <w:noProof/>
          <w:lang w:val="en-IE"/>
        </w:rPr>
        <w:t>this Regulation does not go beyond what is necessary in order to achieve those</w:t>
      </w:r>
      <w:r w:rsidR="009F2F19">
        <w:rPr>
          <w:noProof/>
          <w:lang w:val="en-IE"/>
        </w:rPr>
        <w:t xml:space="preserve"> </w:t>
      </w:r>
      <w:r w:rsidR="009F2F19" w:rsidRPr="00874C72">
        <w:rPr>
          <w:noProof/>
          <w:lang w:val="en-IE"/>
        </w:rPr>
        <w:t>objectives.</w:t>
      </w:r>
    </w:p>
    <w:p w:rsidR="009F2F19" w:rsidRPr="00302067" w:rsidRDefault="00795BB5" w:rsidP="00795BB5">
      <w:pPr>
        <w:pStyle w:val="ManualConsidrant"/>
        <w:rPr>
          <w:rFonts w:eastAsia="Times New Roman"/>
          <w:noProof/>
          <w:color w:val="000000"/>
          <w:lang w:eastAsia="zh-CN"/>
        </w:rPr>
      </w:pPr>
      <w:r w:rsidRPr="00795BB5">
        <w:t>(37)</w:t>
      </w:r>
      <w:r w:rsidRPr="00795BB5">
        <w:tab/>
      </w:r>
      <w:r w:rsidR="009F2F19" w:rsidRPr="00D32937">
        <w:rPr>
          <w:noProof/>
        </w:rPr>
        <w:t xml:space="preserve">The fundamental right to the protection of personal data is safeguarded in particular </w:t>
      </w:r>
      <w:r w:rsidR="007407D7">
        <w:rPr>
          <w:noProof/>
        </w:rPr>
        <w:t xml:space="preserve">by </w:t>
      </w:r>
      <w:r w:rsidR="009F2F19" w:rsidRPr="00D32937">
        <w:rPr>
          <w:noProof/>
        </w:rPr>
        <w:t>Regulation (EU) 2016/679</w:t>
      </w:r>
      <w:r w:rsidR="009F2F19" w:rsidRPr="0052431E">
        <w:rPr>
          <w:noProof/>
        </w:rPr>
        <w:t>.</w:t>
      </w:r>
      <w:r w:rsidR="009F2F19" w:rsidRPr="00D32937">
        <w:rPr>
          <w:noProof/>
        </w:rPr>
        <w:t xml:space="preserve"> </w:t>
      </w:r>
      <w:r w:rsidR="007407D7">
        <w:rPr>
          <w:noProof/>
        </w:rPr>
        <w:t xml:space="preserve">That Regulation </w:t>
      </w:r>
      <w:r w:rsidR="009F2F19" w:rsidRPr="00D32937">
        <w:rPr>
          <w:noProof/>
        </w:rPr>
        <w:t>provide</w:t>
      </w:r>
      <w:r w:rsidR="003F4421">
        <w:rPr>
          <w:noProof/>
        </w:rPr>
        <w:t>s</w:t>
      </w:r>
      <w:r w:rsidR="009F2F19" w:rsidRPr="00D32937">
        <w:rPr>
          <w:noProof/>
        </w:rPr>
        <w:t xml:space="preserve"> the basis for </w:t>
      </w:r>
      <w:r w:rsidR="003F4421">
        <w:rPr>
          <w:noProof/>
        </w:rPr>
        <w:t xml:space="preserve">rules and requirements of personal </w:t>
      </w:r>
      <w:r w:rsidR="009F2F19" w:rsidRPr="00D32937">
        <w:rPr>
          <w:noProof/>
        </w:rPr>
        <w:t>data processing, including where datasets include a mix of personal and non-personal data</w:t>
      </w:r>
      <w:r w:rsidR="003F4421">
        <w:rPr>
          <w:noProof/>
        </w:rPr>
        <w:t xml:space="preserve"> and such data are inextricably linked</w:t>
      </w:r>
      <w:r w:rsidR="009F2F19" w:rsidRPr="00D32937">
        <w:rPr>
          <w:noProof/>
        </w:rPr>
        <w:t xml:space="preserve">. </w:t>
      </w:r>
      <w:r w:rsidR="003F4421">
        <w:rPr>
          <w:noProof/>
        </w:rPr>
        <w:t xml:space="preserve">Any personal data processing under </w:t>
      </w:r>
      <w:r w:rsidR="007407D7">
        <w:rPr>
          <w:noProof/>
        </w:rPr>
        <w:t xml:space="preserve">the present </w:t>
      </w:r>
      <w:r w:rsidR="009F2F19" w:rsidRPr="00D32937">
        <w:rPr>
          <w:noProof/>
        </w:rPr>
        <w:t xml:space="preserve">Regulation </w:t>
      </w:r>
      <w:r w:rsidR="003F4421">
        <w:rPr>
          <w:noProof/>
        </w:rPr>
        <w:t xml:space="preserve">must comply with </w:t>
      </w:r>
      <w:r w:rsidR="009F2F19" w:rsidRPr="00D32937">
        <w:rPr>
          <w:noProof/>
        </w:rPr>
        <w:t>Regulation (EU) 2016/679</w:t>
      </w:r>
      <w:r w:rsidR="009F2F19" w:rsidRPr="0052431E">
        <w:rPr>
          <w:noProof/>
        </w:rPr>
        <w:t xml:space="preserve">. </w:t>
      </w:r>
      <w:r w:rsidR="00B462D5" w:rsidRPr="00341E40">
        <w:rPr>
          <w:noProof/>
        </w:rPr>
        <w:t xml:space="preserve">Therefore </w:t>
      </w:r>
      <w:r w:rsidR="00B462D5">
        <w:rPr>
          <w:noProof/>
        </w:rPr>
        <w:t>the data protection supervisory authorities are responsible for the supervision of the processing of personal data carried out in the context of this Regulation</w:t>
      </w:r>
      <w:r w:rsidR="00B462D5" w:rsidRPr="001967B6">
        <w:rPr>
          <w:noProof/>
        </w:rPr>
        <w:t>.</w:t>
      </w:r>
      <w:r w:rsidR="00B462D5" w:rsidRPr="0052431E">
        <w:rPr>
          <w:noProof/>
        </w:rPr>
        <w:t xml:space="preserve"> </w:t>
      </w:r>
    </w:p>
    <w:p w:rsidR="00FC429E" w:rsidRPr="009C206C" w:rsidRDefault="00795BB5" w:rsidP="00795BB5">
      <w:pPr>
        <w:pStyle w:val="ManualConsidrant"/>
        <w:rPr>
          <w:noProof/>
          <w:lang w:val="en-IE"/>
        </w:rPr>
      </w:pPr>
      <w:r w:rsidRPr="00795BB5">
        <w:t>(38)</w:t>
      </w:r>
      <w:r w:rsidRPr="00795BB5">
        <w:tab/>
      </w:r>
      <w:r w:rsidR="009F2F19" w:rsidRPr="00874C72">
        <w:rPr>
          <w:noProof/>
          <w:lang w:val="en-IE"/>
        </w:rPr>
        <w:t>The European Data Protection Supervisor was consu</w:t>
      </w:r>
      <w:r w:rsidR="009F2F19">
        <w:rPr>
          <w:noProof/>
          <w:lang w:val="en-IE"/>
        </w:rPr>
        <w:t xml:space="preserve">lted in accordance with Article </w:t>
      </w:r>
      <w:r w:rsidR="009F2F19" w:rsidRPr="00874C72">
        <w:rPr>
          <w:noProof/>
          <w:lang w:val="en-IE"/>
        </w:rPr>
        <w:t>42(1) of Regulation (EU) 2018/1725</w:t>
      </w:r>
      <w:r w:rsidR="0052431E">
        <w:rPr>
          <w:noProof/>
          <w:lang w:val="en-IE"/>
        </w:rPr>
        <w:t xml:space="preserve"> </w:t>
      </w:r>
      <w:r w:rsidR="0052431E" w:rsidRPr="0052431E">
        <w:rPr>
          <w:noProof/>
        </w:rPr>
        <w:t>of the European Parliament and of the Council</w:t>
      </w:r>
      <w:r w:rsidR="00E22F9C" w:rsidRPr="0052431E">
        <w:rPr>
          <w:rStyle w:val="FootnoteReference"/>
          <w:noProof/>
          <w:lang w:val="en-IE"/>
        </w:rPr>
        <w:footnoteReference w:id="36"/>
      </w:r>
      <w:r w:rsidR="009F2F19" w:rsidRPr="0052431E">
        <w:rPr>
          <w:noProof/>
          <w:lang w:val="en-IE"/>
        </w:rPr>
        <w:t xml:space="preserve"> </w:t>
      </w:r>
      <w:r w:rsidR="009F2F19" w:rsidRPr="00874C72">
        <w:rPr>
          <w:noProof/>
          <w:lang w:val="en-IE"/>
        </w:rPr>
        <w:t xml:space="preserve">and delivered an opinion on </w:t>
      </w:r>
      <w:r w:rsidR="00A450CC">
        <w:rPr>
          <w:noProof/>
          <w:lang w:val="en-IE"/>
        </w:rPr>
        <w:t>[</w:t>
      </w:r>
      <w:r w:rsidR="009F2F19" w:rsidRPr="00874C72">
        <w:rPr>
          <w:noProof/>
          <w:lang w:val="en-IE"/>
        </w:rPr>
        <w:t>XX XX 2022</w:t>
      </w:r>
      <w:r w:rsidR="00A450CC">
        <w:rPr>
          <w:noProof/>
          <w:lang w:val="en-IE"/>
        </w:rPr>
        <w:t>]</w:t>
      </w:r>
      <w:r w:rsidR="00226937">
        <w:rPr>
          <w:rStyle w:val="FootnoteReference"/>
          <w:noProof/>
          <w:lang w:val="en-IE"/>
        </w:rPr>
        <w:footnoteReference w:id="37"/>
      </w:r>
      <w:r w:rsidR="00A51057">
        <w:rPr>
          <w:noProof/>
          <w:lang w:val="en-IE"/>
        </w:rPr>
        <w:t>,</w:t>
      </w:r>
    </w:p>
    <w:p w:rsidR="008E658F" w:rsidRDefault="008E658F" w:rsidP="005C48DA">
      <w:pPr>
        <w:pStyle w:val="Formuledadoption"/>
        <w:rPr>
          <w:noProof/>
          <w:lang w:val="en-IE"/>
        </w:rPr>
      </w:pPr>
      <w:r w:rsidRPr="004F7784">
        <w:rPr>
          <w:noProof/>
          <w:lang w:val="en-IE"/>
        </w:rPr>
        <w:t>HAVE ADOPTED THIS REGULATION:</w:t>
      </w:r>
    </w:p>
    <w:p w:rsidR="006465FB" w:rsidRPr="006465FB" w:rsidRDefault="006465FB" w:rsidP="006465FB">
      <w:pPr>
        <w:rPr>
          <w:noProof/>
          <w:lang w:val="en-IE"/>
        </w:rPr>
      </w:pPr>
    </w:p>
    <w:p w:rsidR="008E658F" w:rsidRPr="004F7784" w:rsidRDefault="008E658F" w:rsidP="008E658F">
      <w:pPr>
        <w:pStyle w:val="ChapterTitle"/>
        <w:rPr>
          <w:noProof/>
          <w:lang w:val="en-IE"/>
        </w:rPr>
      </w:pPr>
      <w:r w:rsidRPr="004F7784">
        <w:rPr>
          <w:noProof/>
          <w:lang w:val="en-IE"/>
        </w:rPr>
        <w:t>CHAPTER I</w:t>
      </w:r>
    </w:p>
    <w:p w:rsidR="008E658F" w:rsidRPr="004F7784" w:rsidRDefault="008E658F" w:rsidP="008E658F">
      <w:pPr>
        <w:pStyle w:val="ChapterTitle"/>
        <w:rPr>
          <w:noProof/>
          <w:lang w:val="en-IE"/>
        </w:rPr>
      </w:pPr>
      <w:r w:rsidRPr="004F7784">
        <w:rPr>
          <w:noProof/>
          <w:lang w:val="en-IE"/>
        </w:rPr>
        <w:t>General provisions</w:t>
      </w:r>
    </w:p>
    <w:p w:rsidR="008E658F" w:rsidRPr="004F7784" w:rsidRDefault="008E658F" w:rsidP="008E658F">
      <w:pPr>
        <w:pStyle w:val="Titrearticle"/>
        <w:rPr>
          <w:noProof/>
          <w:lang w:val="en-IE"/>
        </w:rPr>
      </w:pPr>
      <w:r w:rsidRPr="004F7784">
        <w:rPr>
          <w:noProof/>
          <w:lang w:val="en-IE"/>
        </w:rPr>
        <w:t>Article 1</w:t>
      </w:r>
    </w:p>
    <w:p w:rsidR="008E658F" w:rsidRPr="004F7784" w:rsidRDefault="008E658F" w:rsidP="008E658F">
      <w:pPr>
        <w:pStyle w:val="NormalCentered"/>
        <w:rPr>
          <w:b/>
          <w:noProof/>
          <w:lang w:val="en-IE"/>
        </w:rPr>
      </w:pPr>
      <w:r w:rsidRPr="004F7784">
        <w:rPr>
          <w:b/>
          <w:noProof/>
          <w:lang w:val="en-IE"/>
        </w:rPr>
        <w:t>Subject matter</w:t>
      </w:r>
    </w:p>
    <w:p w:rsidR="008E658F" w:rsidRDefault="008E658F" w:rsidP="00DA4E51">
      <w:pPr>
        <w:rPr>
          <w:noProof/>
          <w:lang w:val="en-IE"/>
        </w:rPr>
      </w:pPr>
      <w:r w:rsidRPr="004F7784">
        <w:rPr>
          <w:noProof/>
          <w:lang w:val="en-IE"/>
        </w:rPr>
        <w:t xml:space="preserve">This Regulation lays down rules for data </w:t>
      </w:r>
      <w:r w:rsidR="00DA4E51">
        <w:rPr>
          <w:noProof/>
          <w:lang w:val="en-IE"/>
        </w:rPr>
        <w:t xml:space="preserve">collection </w:t>
      </w:r>
      <w:r w:rsidR="00B57CA2">
        <w:rPr>
          <w:noProof/>
          <w:lang w:val="en-IE"/>
        </w:rPr>
        <w:t>by competent authorities</w:t>
      </w:r>
      <w:r w:rsidR="0041388C">
        <w:rPr>
          <w:noProof/>
          <w:lang w:val="en-IE"/>
        </w:rPr>
        <w:t xml:space="preserve"> and </w:t>
      </w:r>
      <w:r w:rsidR="00B4729D">
        <w:rPr>
          <w:noProof/>
          <w:lang w:val="en-IE"/>
        </w:rPr>
        <w:t xml:space="preserve">providers of </w:t>
      </w:r>
      <w:r w:rsidR="0041388C">
        <w:rPr>
          <w:noProof/>
          <w:lang w:val="en-IE"/>
        </w:rPr>
        <w:t>online short-term rental platforms</w:t>
      </w:r>
      <w:r w:rsidR="00B57CA2">
        <w:rPr>
          <w:noProof/>
          <w:lang w:val="en-IE"/>
        </w:rPr>
        <w:t xml:space="preserve"> </w:t>
      </w:r>
      <w:r w:rsidR="00DA4E51">
        <w:rPr>
          <w:noProof/>
          <w:lang w:val="en-IE"/>
        </w:rPr>
        <w:t>and data sharing</w:t>
      </w:r>
      <w:r w:rsidR="00DA4E51" w:rsidRPr="004F7784">
        <w:rPr>
          <w:noProof/>
          <w:lang w:val="en-IE"/>
        </w:rPr>
        <w:t xml:space="preserve"> </w:t>
      </w:r>
      <w:r w:rsidR="0041388C">
        <w:rPr>
          <w:noProof/>
          <w:lang w:val="en-IE"/>
        </w:rPr>
        <w:t xml:space="preserve">from online short-term rental platforms to </w:t>
      </w:r>
      <w:r w:rsidR="00D43A1C">
        <w:rPr>
          <w:noProof/>
          <w:lang w:val="en-IE"/>
        </w:rPr>
        <w:t>competent authorities</w:t>
      </w:r>
      <w:r w:rsidR="00D43A1C" w:rsidRPr="004F7784">
        <w:rPr>
          <w:noProof/>
          <w:lang w:val="en-IE"/>
        </w:rPr>
        <w:t xml:space="preserve"> </w:t>
      </w:r>
      <w:r w:rsidRPr="004F7784">
        <w:rPr>
          <w:noProof/>
          <w:lang w:val="en-IE"/>
        </w:rPr>
        <w:t xml:space="preserve">relating to the provision of short-term accommodation rental services offered by hosts through online </w:t>
      </w:r>
      <w:r w:rsidR="00685949">
        <w:rPr>
          <w:noProof/>
          <w:lang w:val="en-IE"/>
        </w:rPr>
        <w:t xml:space="preserve">short-term rental </w:t>
      </w:r>
      <w:r w:rsidR="00432581" w:rsidRPr="004F7784">
        <w:rPr>
          <w:noProof/>
          <w:lang w:val="en-IE"/>
        </w:rPr>
        <w:t>platforms</w:t>
      </w:r>
      <w:r w:rsidR="00C242CE">
        <w:rPr>
          <w:noProof/>
          <w:lang w:val="en-IE"/>
        </w:rPr>
        <w:t>.</w:t>
      </w:r>
    </w:p>
    <w:p w:rsidR="008E658F" w:rsidRPr="004F7784" w:rsidRDefault="008E658F" w:rsidP="00DA4E51">
      <w:pPr>
        <w:pStyle w:val="Titrearticle"/>
        <w:rPr>
          <w:noProof/>
          <w:lang w:val="en-IE"/>
        </w:rPr>
      </w:pPr>
      <w:r w:rsidRPr="004F7784">
        <w:rPr>
          <w:noProof/>
          <w:lang w:val="en-IE"/>
        </w:rPr>
        <w:t>Article 2</w:t>
      </w:r>
    </w:p>
    <w:p w:rsidR="008E658F" w:rsidRPr="004F7784" w:rsidRDefault="008E658F" w:rsidP="00DA4E51">
      <w:pPr>
        <w:pStyle w:val="NormalCentered"/>
        <w:rPr>
          <w:b/>
          <w:noProof/>
          <w:lang w:val="en-IE"/>
        </w:rPr>
      </w:pPr>
      <w:r w:rsidRPr="004F7784">
        <w:rPr>
          <w:b/>
          <w:noProof/>
          <w:lang w:val="en-IE"/>
        </w:rPr>
        <w:t>Scope</w:t>
      </w:r>
    </w:p>
    <w:p w:rsidR="008E658F" w:rsidRPr="00BB4F6B" w:rsidRDefault="00795BB5" w:rsidP="00795BB5">
      <w:pPr>
        <w:pStyle w:val="ManualNumPar1"/>
        <w:rPr>
          <w:noProof/>
          <w:lang w:val="en-IE"/>
        </w:rPr>
      </w:pPr>
      <w:r w:rsidRPr="00795BB5">
        <w:t>1.</w:t>
      </w:r>
      <w:r w:rsidRPr="00795BB5">
        <w:tab/>
      </w:r>
      <w:r w:rsidR="008E658F" w:rsidRPr="004F7784">
        <w:rPr>
          <w:noProof/>
          <w:lang w:val="en-IE"/>
        </w:rPr>
        <w:t>This Regulation appl</w:t>
      </w:r>
      <w:r w:rsidR="00435933">
        <w:rPr>
          <w:noProof/>
          <w:lang w:val="en-IE"/>
        </w:rPr>
        <w:t>ies</w:t>
      </w:r>
      <w:r w:rsidR="008E658F" w:rsidRPr="004F7784">
        <w:rPr>
          <w:noProof/>
          <w:lang w:val="en-IE"/>
        </w:rPr>
        <w:t xml:space="preserve"> to</w:t>
      </w:r>
      <w:r w:rsidR="00B4729D">
        <w:rPr>
          <w:noProof/>
          <w:lang w:val="en-IE"/>
        </w:rPr>
        <w:t xml:space="preserve"> providers of</w:t>
      </w:r>
      <w:r w:rsidR="00BB4F6B">
        <w:rPr>
          <w:noProof/>
          <w:lang w:val="en-IE"/>
        </w:rPr>
        <w:t xml:space="preserve"> </w:t>
      </w:r>
      <w:r w:rsidR="008E658F" w:rsidRPr="00BB4F6B">
        <w:rPr>
          <w:noProof/>
          <w:lang w:val="en-IE"/>
        </w:rPr>
        <w:t xml:space="preserve">online </w:t>
      </w:r>
      <w:r w:rsidR="00BB4F6B" w:rsidRPr="00BB4F6B">
        <w:rPr>
          <w:noProof/>
          <w:lang w:val="en-IE"/>
        </w:rPr>
        <w:t xml:space="preserve">short-term rental </w:t>
      </w:r>
      <w:r w:rsidR="00BB4F6B">
        <w:rPr>
          <w:noProof/>
          <w:lang w:val="en-IE"/>
        </w:rPr>
        <w:t>platforms that</w:t>
      </w:r>
      <w:r w:rsidR="008E658F" w:rsidRPr="00BB4F6B">
        <w:rPr>
          <w:noProof/>
          <w:lang w:val="en-IE"/>
        </w:rPr>
        <w:t xml:space="preserve"> </w:t>
      </w:r>
      <w:r w:rsidR="00BB4F6B" w:rsidRPr="00BB4F6B">
        <w:rPr>
          <w:noProof/>
          <w:lang w:val="en-IE"/>
        </w:rPr>
        <w:t>offer services to hosts</w:t>
      </w:r>
      <w:r w:rsidR="00D5737E">
        <w:rPr>
          <w:noProof/>
          <w:lang w:val="en-IE"/>
        </w:rPr>
        <w:t xml:space="preserve"> providing short-term </w:t>
      </w:r>
      <w:r w:rsidR="00B4729D">
        <w:rPr>
          <w:noProof/>
          <w:lang w:val="en-IE"/>
        </w:rPr>
        <w:t xml:space="preserve">accommodation </w:t>
      </w:r>
      <w:r w:rsidR="00D5737E">
        <w:rPr>
          <w:noProof/>
          <w:lang w:val="en-IE"/>
        </w:rPr>
        <w:t>rental services in the Union</w:t>
      </w:r>
      <w:r w:rsidR="00866201">
        <w:rPr>
          <w:noProof/>
          <w:lang w:val="en-IE"/>
        </w:rPr>
        <w:t>,</w:t>
      </w:r>
      <w:r w:rsidR="00866201" w:rsidRPr="00866201">
        <w:rPr>
          <w:noProof/>
          <w:lang w:val="en-IE"/>
        </w:rPr>
        <w:t xml:space="preserve"> </w:t>
      </w:r>
      <w:r w:rsidR="00866201" w:rsidRPr="00BB4F6B">
        <w:rPr>
          <w:noProof/>
          <w:lang w:val="en-IE"/>
        </w:rPr>
        <w:t>irrespective of th</w:t>
      </w:r>
      <w:r w:rsidR="00B12492">
        <w:rPr>
          <w:noProof/>
          <w:lang w:val="en-IE"/>
        </w:rPr>
        <w:t>eir</w:t>
      </w:r>
      <w:r w:rsidR="00866201" w:rsidRPr="00BB4F6B">
        <w:rPr>
          <w:noProof/>
          <w:lang w:val="en-IE"/>
        </w:rPr>
        <w:t xml:space="preserve"> place of establishment</w:t>
      </w:r>
      <w:r w:rsidR="00BB4F6B">
        <w:rPr>
          <w:noProof/>
          <w:lang w:val="en-IE"/>
        </w:rPr>
        <w:t>.</w:t>
      </w:r>
    </w:p>
    <w:p w:rsidR="008E658F" w:rsidRPr="004F7784" w:rsidRDefault="00795BB5" w:rsidP="00795BB5">
      <w:pPr>
        <w:pStyle w:val="ManualNumPar1"/>
        <w:rPr>
          <w:noProof/>
          <w:lang w:val="en-IE"/>
        </w:rPr>
      </w:pPr>
      <w:r w:rsidRPr="00795BB5">
        <w:t>2.</w:t>
      </w:r>
      <w:r w:rsidRPr="00795BB5">
        <w:tab/>
      </w:r>
      <w:r w:rsidR="008E658F" w:rsidRPr="004F7784">
        <w:rPr>
          <w:noProof/>
          <w:lang w:val="en-IE"/>
        </w:rPr>
        <w:t xml:space="preserve">This </w:t>
      </w:r>
      <w:r w:rsidR="00071AA6" w:rsidRPr="004F7784">
        <w:rPr>
          <w:noProof/>
          <w:lang w:val="en-IE"/>
        </w:rPr>
        <w:t>Regulation</w:t>
      </w:r>
      <w:r w:rsidR="00071AA6" w:rsidRPr="000B3B39">
        <w:rPr>
          <w:noProof/>
          <w:lang w:val="en-IE"/>
        </w:rPr>
        <w:t xml:space="preserve"> </w:t>
      </w:r>
      <w:r w:rsidR="002C2415">
        <w:rPr>
          <w:noProof/>
          <w:lang w:val="en-IE"/>
        </w:rPr>
        <w:t>is without prejudice to</w:t>
      </w:r>
      <w:r w:rsidR="008E658F" w:rsidRPr="004F7784">
        <w:rPr>
          <w:noProof/>
          <w:lang w:val="en-IE"/>
        </w:rPr>
        <w:t xml:space="preserve">: </w:t>
      </w:r>
    </w:p>
    <w:p w:rsidR="009702AA" w:rsidRPr="007C4D9D" w:rsidRDefault="00795BB5" w:rsidP="00795BB5">
      <w:pPr>
        <w:pStyle w:val="Point1"/>
        <w:rPr>
          <w:noProof/>
          <w:lang w:val="en-IE"/>
        </w:rPr>
      </w:pPr>
      <w:r w:rsidRPr="00795BB5">
        <w:t>(a)</w:t>
      </w:r>
      <w:r w:rsidRPr="00795BB5">
        <w:tab/>
      </w:r>
      <w:r w:rsidR="002C2415" w:rsidRPr="007C4D9D">
        <w:rPr>
          <w:noProof/>
          <w:lang w:val="en-IE"/>
        </w:rPr>
        <w:t xml:space="preserve">national, regional or local rules </w:t>
      </w:r>
      <w:r w:rsidR="002C2415">
        <w:rPr>
          <w:noProof/>
          <w:lang w:val="en-IE"/>
        </w:rPr>
        <w:t>regulating</w:t>
      </w:r>
      <w:r w:rsidR="00B4729D">
        <w:rPr>
          <w:noProof/>
          <w:lang w:val="en-IE"/>
        </w:rPr>
        <w:t xml:space="preserve"> </w:t>
      </w:r>
      <w:r w:rsidR="008E658F" w:rsidRPr="007C4D9D">
        <w:rPr>
          <w:noProof/>
          <w:lang w:val="en-IE"/>
        </w:rPr>
        <w:t xml:space="preserve">access to, or </w:t>
      </w:r>
      <w:r w:rsidR="00B4729D">
        <w:rPr>
          <w:noProof/>
          <w:lang w:val="en-IE"/>
        </w:rPr>
        <w:t xml:space="preserve">the </w:t>
      </w:r>
      <w:r w:rsidR="00F0356D">
        <w:rPr>
          <w:noProof/>
          <w:lang w:val="en-IE"/>
        </w:rPr>
        <w:t xml:space="preserve">provision </w:t>
      </w:r>
      <w:r w:rsidR="008E658F" w:rsidRPr="007C4D9D">
        <w:rPr>
          <w:noProof/>
          <w:lang w:val="en-IE"/>
        </w:rPr>
        <w:t>of, short-term accommodation rental services</w:t>
      </w:r>
      <w:r w:rsidR="00C744FF">
        <w:rPr>
          <w:noProof/>
          <w:lang w:val="en-IE"/>
        </w:rPr>
        <w:t xml:space="preserve"> by hosts</w:t>
      </w:r>
      <w:r w:rsidR="00D12065">
        <w:rPr>
          <w:noProof/>
          <w:lang w:val="en-IE"/>
        </w:rPr>
        <w:t>,</w:t>
      </w:r>
      <w:r w:rsidR="00435933">
        <w:rPr>
          <w:noProof/>
          <w:lang w:val="en-IE"/>
        </w:rPr>
        <w:t xml:space="preserve"> </w:t>
      </w:r>
      <w:r w:rsidR="008E658F" w:rsidRPr="007C4D9D">
        <w:rPr>
          <w:noProof/>
          <w:lang w:val="en-IE"/>
        </w:rPr>
        <w:t xml:space="preserve">unless otherwise </w:t>
      </w:r>
      <w:r w:rsidR="00BB4F6B">
        <w:rPr>
          <w:noProof/>
          <w:lang w:val="en-IE"/>
        </w:rPr>
        <w:t xml:space="preserve">specifically </w:t>
      </w:r>
      <w:r w:rsidR="008E658F" w:rsidRPr="007C4D9D">
        <w:rPr>
          <w:noProof/>
          <w:lang w:val="en-IE"/>
        </w:rPr>
        <w:t>provided for under this Regulation;</w:t>
      </w:r>
    </w:p>
    <w:p w:rsidR="009702AA" w:rsidRPr="009702AA" w:rsidRDefault="00795BB5" w:rsidP="00795BB5">
      <w:pPr>
        <w:pStyle w:val="Point1"/>
        <w:rPr>
          <w:noProof/>
          <w:lang w:val="en-IE"/>
        </w:rPr>
      </w:pPr>
      <w:r w:rsidRPr="00795BB5">
        <w:t>(b)</w:t>
      </w:r>
      <w:r w:rsidRPr="00795BB5">
        <w:tab/>
      </w:r>
      <w:r w:rsidR="002C2415" w:rsidRPr="0089085D">
        <w:rPr>
          <w:noProof/>
          <w:lang w:val="en-IE"/>
        </w:rPr>
        <w:t xml:space="preserve">national, regional or local rules </w:t>
      </w:r>
      <w:r w:rsidR="002C2415">
        <w:rPr>
          <w:noProof/>
          <w:lang w:val="en-IE"/>
        </w:rPr>
        <w:t xml:space="preserve">regulating </w:t>
      </w:r>
      <w:r w:rsidR="00925FF7">
        <w:rPr>
          <w:noProof/>
          <w:lang w:val="en-IE"/>
        </w:rPr>
        <w:t xml:space="preserve">the </w:t>
      </w:r>
      <w:r w:rsidR="00F2668E" w:rsidRPr="0089085D">
        <w:rPr>
          <w:noProof/>
          <w:lang w:val="en-IE"/>
        </w:rPr>
        <w:t>development or use of land, town and country planning or building standards</w:t>
      </w:r>
      <w:r w:rsidR="004B2E7C">
        <w:rPr>
          <w:noProof/>
          <w:lang w:val="en-IE"/>
        </w:rPr>
        <w:t>;</w:t>
      </w:r>
      <w:r w:rsidR="00030D51">
        <w:rPr>
          <w:noProof/>
          <w:lang w:val="en-IE"/>
        </w:rPr>
        <w:t xml:space="preserve"> </w:t>
      </w:r>
    </w:p>
    <w:p w:rsidR="009702AA" w:rsidRPr="009702AA" w:rsidRDefault="00795BB5" w:rsidP="00795BB5">
      <w:pPr>
        <w:pStyle w:val="Point1"/>
        <w:rPr>
          <w:noProof/>
          <w:lang w:val="en-IE"/>
        </w:rPr>
      </w:pPr>
      <w:r w:rsidRPr="00795BB5">
        <w:t>(c)</w:t>
      </w:r>
      <w:r w:rsidRPr="00795BB5">
        <w:tab/>
      </w:r>
      <w:r w:rsidR="002C2415" w:rsidRPr="00911A4C">
        <w:rPr>
          <w:noProof/>
          <w:lang w:val="en-IE"/>
        </w:rPr>
        <w:t xml:space="preserve">Union </w:t>
      </w:r>
      <w:r w:rsidR="002C2415">
        <w:rPr>
          <w:noProof/>
          <w:lang w:val="en-IE"/>
        </w:rPr>
        <w:t xml:space="preserve">or </w:t>
      </w:r>
      <w:r w:rsidR="002C2415" w:rsidRPr="00911A4C">
        <w:rPr>
          <w:noProof/>
          <w:lang w:val="en-IE"/>
        </w:rPr>
        <w:t xml:space="preserve">national law </w:t>
      </w:r>
      <w:r w:rsidR="002C2415">
        <w:rPr>
          <w:noProof/>
          <w:lang w:val="en-IE"/>
        </w:rPr>
        <w:t xml:space="preserve">regulating </w:t>
      </w:r>
      <w:r w:rsidR="00925FF7">
        <w:rPr>
          <w:noProof/>
          <w:lang w:val="en-IE"/>
        </w:rPr>
        <w:t xml:space="preserve">the </w:t>
      </w:r>
      <w:r w:rsidR="004B2E7C" w:rsidRPr="00911A4C">
        <w:rPr>
          <w:noProof/>
          <w:lang w:val="en-IE"/>
        </w:rPr>
        <w:t>prevention,</w:t>
      </w:r>
      <w:r w:rsidR="004B2E7C">
        <w:rPr>
          <w:noProof/>
          <w:lang w:val="en-IE"/>
        </w:rPr>
        <w:t xml:space="preserve"> </w:t>
      </w:r>
      <w:r w:rsidR="004B2E7C" w:rsidRPr="00911A4C">
        <w:rPr>
          <w:noProof/>
          <w:lang w:val="en-IE"/>
        </w:rPr>
        <w:t>investigation, detectio</w:t>
      </w:r>
      <w:r w:rsidR="004B2E7C">
        <w:rPr>
          <w:noProof/>
          <w:lang w:val="en-IE"/>
        </w:rPr>
        <w:t xml:space="preserve">n or prosecution of criminal </w:t>
      </w:r>
      <w:r w:rsidR="004B2E7C" w:rsidRPr="00911A4C">
        <w:rPr>
          <w:noProof/>
          <w:lang w:val="en-IE"/>
        </w:rPr>
        <w:t>offences or the</w:t>
      </w:r>
      <w:r w:rsidR="004B2E7C">
        <w:rPr>
          <w:noProof/>
          <w:lang w:val="en-IE"/>
        </w:rPr>
        <w:t xml:space="preserve"> </w:t>
      </w:r>
      <w:r w:rsidR="004B2E7C" w:rsidRPr="00911A4C">
        <w:rPr>
          <w:noProof/>
          <w:lang w:val="en-IE"/>
        </w:rPr>
        <w:t>execution of criminal penalties</w:t>
      </w:r>
      <w:r w:rsidR="000569B5">
        <w:rPr>
          <w:noProof/>
          <w:lang w:val="en-IE"/>
        </w:rPr>
        <w:t>;</w:t>
      </w:r>
    </w:p>
    <w:p w:rsidR="005038CF" w:rsidRPr="007C4D9D" w:rsidRDefault="00795BB5" w:rsidP="00795BB5">
      <w:pPr>
        <w:pStyle w:val="Point1"/>
        <w:rPr>
          <w:noProof/>
          <w:lang w:val="en-IE"/>
        </w:rPr>
      </w:pPr>
      <w:r w:rsidRPr="00795BB5">
        <w:t>(d)</w:t>
      </w:r>
      <w:r w:rsidRPr="00795BB5">
        <w:tab/>
      </w:r>
      <w:r w:rsidR="002C2415">
        <w:rPr>
          <w:noProof/>
          <w:lang w:val="en-IE"/>
        </w:rPr>
        <w:t>Union or national law</w:t>
      </w:r>
      <w:r w:rsidR="002C2415" w:rsidRPr="006D1C73">
        <w:rPr>
          <w:noProof/>
          <w:lang w:val="en-IE"/>
        </w:rPr>
        <w:t xml:space="preserve"> </w:t>
      </w:r>
      <w:r w:rsidR="002C2415">
        <w:rPr>
          <w:noProof/>
          <w:lang w:val="en-IE"/>
        </w:rPr>
        <w:t xml:space="preserve">regulating </w:t>
      </w:r>
      <w:r w:rsidR="00925FF7">
        <w:rPr>
          <w:noProof/>
          <w:lang w:val="en-IE"/>
        </w:rPr>
        <w:t xml:space="preserve">the </w:t>
      </w:r>
      <w:r w:rsidR="000569B5" w:rsidRPr="006D1C73">
        <w:rPr>
          <w:noProof/>
          <w:lang w:val="en-IE"/>
        </w:rPr>
        <w:t>administration, collection, enforcement and recovery of</w:t>
      </w:r>
      <w:r w:rsidR="000569B5">
        <w:rPr>
          <w:noProof/>
          <w:lang w:val="en-IE"/>
        </w:rPr>
        <w:t xml:space="preserve"> </w:t>
      </w:r>
      <w:r w:rsidR="000569B5" w:rsidRPr="00911A4C">
        <w:rPr>
          <w:noProof/>
          <w:lang w:val="en-IE"/>
        </w:rPr>
        <w:t>tax</w:t>
      </w:r>
      <w:r w:rsidR="000569B5" w:rsidRPr="006D1C73">
        <w:rPr>
          <w:noProof/>
          <w:lang w:val="en-IE"/>
        </w:rPr>
        <w:t>es</w:t>
      </w:r>
      <w:r w:rsidR="000569B5">
        <w:rPr>
          <w:noProof/>
          <w:lang w:val="en-IE"/>
        </w:rPr>
        <w:t>, customs and other duties</w:t>
      </w:r>
      <w:r w:rsidR="00F2668E">
        <w:rPr>
          <w:noProof/>
          <w:lang w:val="en-IE"/>
        </w:rPr>
        <w:t>.</w:t>
      </w:r>
      <w:r w:rsidR="00F2668E" w:rsidRPr="007C4D9D">
        <w:rPr>
          <w:noProof/>
          <w:lang w:val="en-IE"/>
        </w:rPr>
        <w:t xml:space="preserve"> </w:t>
      </w:r>
    </w:p>
    <w:p w:rsidR="00C87A62" w:rsidRPr="004F7784" w:rsidRDefault="00795BB5" w:rsidP="00795BB5">
      <w:pPr>
        <w:pStyle w:val="ManualNumPar1"/>
        <w:rPr>
          <w:noProof/>
          <w:lang w:val="en-IE"/>
        </w:rPr>
      </w:pPr>
      <w:r w:rsidRPr="00795BB5">
        <w:t>3.</w:t>
      </w:r>
      <w:r w:rsidRPr="00795BB5">
        <w:tab/>
      </w:r>
      <w:r w:rsidR="00C87A62" w:rsidRPr="004F7784">
        <w:rPr>
          <w:noProof/>
          <w:lang w:val="en-IE"/>
        </w:rPr>
        <w:t xml:space="preserve">This Regulation is without prejudice to the rules laid down by other Union legal acts regulating other aspects of the provision of services by online </w:t>
      </w:r>
      <w:r w:rsidR="00452EEA">
        <w:rPr>
          <w:noProof/>
          <w:lang w:val="en-IE"/>
        </w:rPr>
        <w:t>short-term rental</w:t>
      </w:r>
      <w:r w:rsidR="00452EEA" w:rsidRPr="00D33745">
        <w:rPr>
          <w:noProof/>
          <w:lang w:val="en-IE"/>
        </w:rPr>
        <w:t xml:space="preserve"> </w:t>
      </w:r>
      <w:r w:rsidR="00C87A62" w:rsidRPr="004F7784">
        <w:rPr>
          <w:noProof/>
          <w:lang w:val="en-IE"/>
        </w:rPr>
        <w:t xml:space="preserve">platforms </w:t>
      </w:r>
      <w:r w:rsidR="00BD2E88">
        <w:rPr>
          <w:noProof/>
          <w:lang w:val="en-IE"/>
        </w:rPr>
        <w:t xml:space="preserve">and the provision of </w:t>
      </w:r>
      <w:r w:rsidR="00BD2E88" w:rsidRPr="004F7784">
        <w:rPr>
          <w:noProof/>
          <w:lang w:val="en-IE"/>
        </w:rPr>
        <w:t>short-term accommodation rental services</w:t>
      </w:r>
      <w:r w:rsidR="00C87A62" w:rsidRPr="004F7784">
        <w:rPr>
          <w:noProof/>
          <w:lang w:val="en-IE"/>
        </w:rPr>
        <w:t>, in particular:</w:t>
      </w:r>
    </w:p>
    <w:p w:rsidR="00866201" w:rsidRPr="00706DEA" w:rsidRDefault="00795BB5" w:rsidP="00795BB5">
      <w:pPr>
        <w:pStyle w:val="Point1"/>
        <w:rPr>
          <w:noProof/>
          <w:lang w:val="en-IE"/>
        </w:rPr>
      </w:pPr>
      <w:r w:rsidRPr="00795BB5">
        <w:t>(a)</w:t>
      </w:r>
      <w:r w:rsidRPr="00795BB5">
        <w:tab/>
      </w:r>
      <w:r w:rsidR="00866201" w:rsidRPr="00D40757">
        <w:rPr>
          <w:noProof/>
          <w:lang w:val="en-US"/>
        </w:rPr>
        <w:t xml:space="preserve">Regulation (EU) 2019/1150 of the European Parliament and of the </w:t>
      </w:r>
      <w:r w:rsidR="00866201">
        <w:rPr>
          <w:noProof/>
          <w:lang w:val="en-US"/>
        </w:rPr>
        <w:t>Council</w:t>
      </w:r>
      <w:r w:rsidR="00866201" w:rsidRPr="003A75B6">
        <w:rPr>
          <w:rStyle w:val="FootnoteReference"/>
          <w:noProof/>
          <w:lang w:val="fr-BE"/>
        </w:rPr>
        <w:footnoteReference w:id="38"/>
      </w:r>
      <w:r w:rsidR="00866201">
        <w:rPr>
          <w:noProof/>
          <w:lang w:val="en-US"/>
        </w:rPr>
        <w:t>;</w:t>
      </w:r>
    </w:p>
    <w:p w:rsidR="00866201" w:rsidRDefault="00795BB5" w:rsidP="00795BB5">
      <w:pPr>
        <w:pStyle w:val="Point1"/>
        <w:rPr>
          <w:noProof/>
          <w:lang w:val="en-IE"/>
        </w:rPr>
      </w:pPr>
      <w:r w:rsidRPr="00795BB5">
        <w:t>(b)</w:t>
      </w:r>
      <w:r w:rsidRPr="00795BB5">
        <w:tab/>
      </w:r>
      <w:r w:rsidR="00866201" w:rsidRPr="00BB4F6B">
        <w:rPr>
          <w:noProof/>
          <w:lang w:val="en-IE"/>
        </w:rPr>
        <w:t xml:space="preserve">Regulation </w:t>
      </w:r>
      <w:r w:rsidR="002A52CD">
        <w:rPr>
          <w:noProof/>
          <w:lang w:val="en-IE"/>
        </w:rPr>
        <w:t xml:space="preserve">(EU) </w:t>
      </w:r>
      <w:r w:rsidR="00866201" w:rsidRPr="00BB4F6B">
        <w:rPr>
          <w:noProof/>
          <w:lang w:val="en-IE"/>
        </w:rPr>
        <w:t>2022/</w:t>
      </w:r>
      <w:r w:rsidR="0078394A">
        <w:rPr>
          <w:noProof/>
          <w:lang w:val="en-IE"/>
        </w:rPr>
        <w:t>2065</w:t>
      </w:r>
      <w:r w:rsidR="00866201">
        <w:rPr>
          <w:noProof/>
          <w:lang w:val="en-IE"/>
        </w:rPr>
        <w:t>;</w:t>
      </w:r>
    </w:p>
    <w:p w:rsidR="00866201" w:rsidRPr="00706DEA" w:rsidRDefault="00795BB5" w:rsidP="00795BB5">
      <w:pPr>
        <w:pStyle w:val="Point1"/>
        <w:rPr>
          <w:noProof/>
          <w:lang w:val="en-US"/>
        </w:rPr>
      </w:pPr>
      <w:r w:rsidRPr="00795BB5">
        <w:t>(c)</w:t>
      </w:r>
      <w:r w:rsidRPr="00795BB5">
        <w:tab/>
      </w:r>
      <w:r w:rsidR="00866201" w:rsidRPr="00F455C0">
        <w:rPr>
          <w:noProof/>
          <w:lang w:val="en-IE"/>
        </w:rPr>
        <w:t>Regulation (EU) 2022/</w:t>
      </w:r>
      <w:r w:rsidR="0078394A">
        <w:rPr>
          <w:noProof/>
          <w:lang w:val="en-IE"/>
        </w:rPr>
        <w:t>1925</w:t>
      </w:r>
      <w:r w:rsidR="00866201" w:rsidRPr="00F455C0">
        <w:rPr>
          <w:noProof/>
          <w:lang w:val="en-IE"/>
        </w:rPr>
        <w:t xml:space="preserve"> </w:t>
      </w:r>
      <w:r w:rsidR="00866201">
        <w:rPr>
          <w:noProof/>
          <w:lang w:val="en-IE"/>
        </w:rPr>
        <w:t>of the European Parliament and of the Council</w:t>
      </w:r>
      <w:r w:rsidR="0078394A">
        <w:rPr>
          <w:rStyle w:val="FootnoteReference"/>
          <w:noProof/>
          <w:lang w:val="en-IE"/>
        </w:rPr>
        <w:footnoteReference w:id="39"/>
      </w:r>
      <w:r w:rsidR="00866201">
        <w:rPr>
          <w:noProof/>
          <w:lang w:val="en-IE"/>
        </w:rPr>
        <w:t>;</w:t>
      </w:r>
    </w:p>
    <w:p w:rsidR="00C87A62" w:rsidRDefault="00795BB5" w:rsidP="00795BB5">
      <w:pPr>
        <w:pStyle w:val="Point1"/>
        <w:rPr>
          <w:noProof/>
          <w:lang w:val="en-IE"/>
        </w:rPr>
      </w:pPr>
      <w:r w:rsidRPr="00795BB5">
        <w:t>(d)</w:t>
      </w:r>
      <w:r w:rsidRPr="00795BB5">
        <w:tab/>
      </w:r>
      <w:r w:rsidR="00C87A62" w:rsidRPr="007C4D9D">
        <w:rPr>
          <w:noProof/>
          <w:lang w:val="en-IE"/>
        </w:rPr>
        <w:t>Directive 2000/3</w:t>
      </w:r>
      <w:r w:rsidR="00C87A62" w:rsidRPr="003A75B6">
        <w:rPr>
          <w:noProof/>
          <w:lang w:val="en-IE"/>
        </w:rPr>
        <w:t>1</w:t>
      </w:r>
      <w:r w:rsidR="00103287">
        <w:rPr>
          <w:noProof/>
          <w:lang w:val="en-IE"/>
        </w:rPr>
        <w:t>/EC</w:t>
      </w:r>
      <w:r w:rsidR="00C87A62" w:rsidRPr="003A75B6">
        <w:rPr>
          <w:noProof/>
          <w:lang w:val="en-IE"/>
        </w:rPr>
        <w:t>;</w:t>
      </w:r>
      <w:r w:rsidR="00C87A62" w:rsidRPr="007C4D9D">
        <w:rPr>
          <w:noProof/>
          <w:lang w:val="en-IE"/>
        </w:rPr>
        <w:t xml:space="preserve"> </w:t>
      </w:r>
    </w:p>
    <w:p w:rsidR="00706DEA" w:rsidRPr="00706DEA" w:rsidRDefault="00795BB5" w:rsidP="00795BB5">
      <w:pPr>
        <w:pStyle w:val="Point1"/>
        <w:rPr>
          <w:noProof/>
          <w:lang w:val="en-IE"/>
        </w:rPr>
      </w:pPr>
      <w:r w:rsidRPr="00795BB5">
        <w:t>(e)</w:t>
      </w:r>
      <w:r w:rsidRPr="00795BB5">
        <w:tab/>
      </w:r>
      <w:r w:rsidR="00706DEA" w:rsidRPr="00EA7B21">
        <w:rPr>
          <w:noProof/>
          <w:lang w:val="en-US"/>
        </w:rPr>
        <w:t>Directive 2006/123/EC</w:t>
      </w:r>
      <w:r w:rsidR="00706DEA">
        <w:rPr>
          <w:noProof/>
          <w:lang w:val="en-US"/>
        </w:rPr>
        <w:t>;</w:t>
      </w:r>
    </w:p>
    <w:p w:rsidR="00706DEA" w:rsidRPr="00706DEA" w:rsidRDefault="00795BB5" w:rsidP="00795BB5">
      <w:pPr>
        <w:pStyle w:val="Point1"/>
        <w:rPr>
          <w:noProof/>
          <w:lang w:val="en-IE"/>
        </w:rPr>
      </w:pPr>
      <w:r w:rsidRPr="00795BB5">
        <w:t>(f)</w:t>
      </w:r>
      <w:r w:rsidRPr="00795BB5">
        <w:tab/>
      </w:r>
      <w:r w:rsidR="00706DEA" w:rsidRPr="00D40757">
        <w:rPr>
          <w:noProof/>
          <w:lang w:val="en-US"/>
        </w:rPr>
        <w:t xml:space="preserve">Directive (EU) 2015/1535 of the European Parliament and of the </w:t>
      </w:r>
      <w:r w:rsidR="00706DEA">
        <w:rPr>
          <w:noProof/>
          <w:lang w:val="en-US"/>
        </w:rPr>
        <w:t>Council</w:t>
      </w:r>
      <w:r w:rsidR="00706DEA" w:rsidRPr="003A75B6">
        <w:rPr>
          <w:rStyle w:val="FootnoteReference"/>
          <w:noProof/>
          <w:lang w:val="fr-BE"/>
        </w:rPr>
        <w:footnoteReference w:id="40"/>
      </w:r>
      <w:r w:rsidR="00706DEA">
        <w:rPr>
          <w:noProof/>
          <w:lang w:val="en-US"/>
        </w:rPr>
        <w:t>;</w:t>
      </w:r>
    </w:p>
    <w:p w:rsidR="00706DEA" w:rsidRPr="00706DEA" w:rsidRDefault="00795BB5" w:rsidP="00795BB5">
      <w:pPr>
        <w:pStyle w:val="Point1"/>
        <w:rPr>
          <w:noProof/>
          <w:lang w:val="fr-BE"/>
        </w:rPr>
      </w:pPr>
      <w:r w:rsidRPr="00795BB5">
        <w:t>(g)</w:t>
      </w:r>
      <w:r w:rsidRPr="00795BB5">
        <w:tab/>
      </w:r>
      <w:r w:rsidR="00706DEA">
        <w:rPr>
          <w:noProof/>
          <w:lang w:val="fr-BE" w:eastAsia="zh-CN"/>
        </w:rPr>
        <w:t xml:space="preserve">Council </w:t>
      </w:r>
      <w:r w:rsidR="00706DEA" w:rsidRPr="003A75B6">
        <w:rPr>
          <w:noProof/>
          <w:lang w:val="fr-BE" w:eastAsia="zh-CN"/>
        </w:rPr>
        <w:t>Directive (EU) 2010/24/EU</w:t>
      </w:r>
      <w:r w:rsidR="00706DEA" w:rsidRPr="003A75B6">
        <w:rPr>
          <w:rStyle w:val="FootnoteReference"/>
          <w:rFonts w:eastAsia="Times New Roman"/>
          <w:noProof/>
          <w:color w:val="000000"/>
          <w:szCs w:val="24"/>
          <w:lang w:val="fr-BE" w:eastAsia="zh-CN"/>
        </w:rPr>
        <w:footnoteReference w:id="41"/>
      </w:r>
      <w:r w:rsidR="00706DEA">
        <w:rPr>
          <w:noProof/>
          <w:lang w:val="fr-BE" w:eastAsia="zh-CN"/>
        </w:rPr>
        <w:t>; and</w:t>
      </w:r>
    </w:p>
    <w:p w:rsidR="00C87A62" w:rsidRPr="00911F96" w:rsidRDefault="00795BB5" w:rsidP="00795BB5">
      <w:pPr>
        <w:pStyle w:val="Point1"/>
        <w:rPr>
          <w:noProof/>
          <w:lang w:val="fr-BE"/>
        </w:rPr>
      </w:pPr>
      <w:r w:rsidRPr="00795BB5">
        <w:t>(h)</w:t>
      </w:r>
      <w:r w:rsidRPr="00795BB5">
        <w:tab/>
      </w:r>
      <w:r w:rsidR="00103287">
        <w:rPr>
          <w:noProof/>
          <w:lang w:val="fr-BE"/>
        </w:rPr>
        <w:t xml:space="preserve">Council </w:t>
      </w:r>
      <w:r w:rsidR="00C87A62" w:rsidRPr="003A75B6">
        <w:rPr>
          <w:noProof/>
          <w:lang w:val="fr-BE"/>
        </w:rPr>
        <w:t xml:space="preserve">Directive </w:t>
      </w:r>
      <w:r w:rsidR="009702AA" w:rsidRPr="003A75B6">
        <w:rPr>
          <w:noProof/>
          <w:lang w:val="fr-BE"/>
        </w:rPr>
        <w:t xml:space="preserve">(EU) </w:t>
      </w:r>
      <w:r w:rsidR="00C87A62" w:rsidRPr="003A75B6">
        <w:rPr>
          <w:noProof/>
          <w:lang w:val="fr-BE"/>
        </w:rPr>
        <w:t>2011/16/EU</w:t>
      </w:r>
      <w:r w:rsidR="00226937" w:rsidRPr="003A75B6">
        <w:rPr>
          <w:rStyle w:val="FootnoteReference"/>
          <w:noProof/>
          <w:lang w:val="fr-BE"/>
        </w:rPr>
        <w:footnoteReference w:id="42"/>
      </w:r>
      <w:r w:rsidR="00706DEA">
        <w:rPr>
          <w:noProof/>
          <w:lang w:val="fr-BE"/>
        </w:rPr>
        <w:t>.</w:t>
      </w:r>
    </w:p>
    <w:p w:rsidR="00C87A62" w:rsidRPr="00706DEA" w:rsidRDefault="00C87A62" w:rsidP="00BA57F0">
      <w:pPr>
        <w:pStyle w:val="Titrearticle"/>
        <w:rPr>
          <w:noProof/>
        </w:rPr>
      </w:pPr>
      <w:r w:rsidRPr="00706DEA">
        <w:rPr>
          <w:noProof/>
        </w:rPr>
        <w:t>Article 3</w:t>
      </w:r>
    </w:p>
    <w:p w:rsidR="00C87A62" w:rsidRPr="004F7784" w:rsidRDefault="00C87A62" w:rsidP="00BA57F0">
      <w:pPr>
        <w:pStyle w:val="NormalCentered"/>
        <w:rPr>
          <w:b/>
          <w:noProof/>
          <w:lang w:val="en-IE"/>
        </w:rPr>
      </w:pPr>
      <w:r w:rsidRPr="004F7784">
        <w:rPr>
          <w:b/>
          <w:noProof/>
          <w:lang w:val="en-IE"/>
        </w:rPr>
        <w:t>Definitions</w:t>
      </w:r>
    </w:p>
    <w:p w:rsidR="00C87A62" w:rsidRPr="004F7784" w:rsidRDefault="00C87A62" w:rsidP="00C87A62">
      <w:pPr>
        <w:rPr>
          <w:noProof/>
          <w:lang w:val="en-IE"/>
        </w:rPr>
      </w:pPr>
      <w:r w:rsidRPr="004F7784">
        <w:rPr>
          <w:noProof/>
          <w:lang w:val="en-IE"/>
        </w:rPr>
        <w:t>For the purpose of this Regulation, the following definitions shall apply:</w:t>
      </w:r>
    </w:p>
    <w:p w:rsidR="00C87A62" w:rsidRDefault="00795BB5" w:rsidP="00795BB5">
      <w:pPr>
        <w:pStyle w:val="Point0"/>
        <w:rPr>
          <w:noProof/>
          <w:lang w:val="en-IE"/>
        </w:rPr>
      </w:pPr>
      <w:r w:rsidRPr="00795BB5">
        <w:t>(1)</w:t>
      </w:r>
      <w:r w:rsidRPr="00795BB5">
        <w:tab/>
      </w:r>
      <w:r w:rsidR="00C87A62" w:rsidRPr="004F7784">
        <w:rPr>
          <w:noProof/>
          <w:lang w:val="en-IE"/>
        </w:rPr>
        <w:t xml:space="preserve">‘unit’ means </w:t>
      </w:r>
      <w:r w:rsidR="007A5946">
        <w:rPr>
          <w:noProof/>
          <w:lang w:val="en-IE"/>
        </w:rPr>
        <w:t xml:space="preserve">a </w:t>
      </w:r>
      <w:r w:rsidR="00C87A62" w:rsidRPr="004F7784">
        <w:rPr>
          <w:noProof/>
          <w:lang w:val="en-IE"/>
        </w:rPr>
        <w:t>furnished accommodation</w:t>
      </w:r>
      <w:r w:rsidR="00435933">
        <w:rPr>
          <w:noProof/>
          <w:lang w:val="en-IE"/>
        </w:rPr>
        <w:t xml:space="preserve"> </w:t>
      </w:r>
      <w:r w:rsidR="00874552">
        <w:rPr>
          <w:noProof/>
          <w:lang w:val="en-IE"/>
        </w:rPr>
        <w:t>located in the Union</w:t>
      </w:r>
      <w:r w:rsidR="00DF446D">
        <w:rPr>
          <w:noProof/>
          <w:lang w:val="en-IE"/>
        </w:rPr>
        <w:t xml:space="preserve"> </w:t>
      </w:r>
      <w:r w:rsidR="00C87A62" w:rsidRPr="004F7784">
        <w:rPr>
          <w:noProof/>
          <w:lang w:val="en-IE"/>
        </w:rPr>
        <w:t xml:space="preserve">that is </w:t>
      </w:r>
      <w:r w:rsidR="00E42ED0">
        <w:rPr>
          <w:noProof/>
          <w:lang w:val="en-IE"/>
        </w:rPr>
        <w:t xml:space="preserve">the </w:t>
      </w:r>
      <w:r w:rsidR="00C87A62" w:rsidRPr="004F7784">
        <w:rPr>
          <w:noProof/>
          <w:lang w:val="en-IE"/>
        </w:rPr>
        <w:t xml:space="preserve">subject </w:t>
      </w:r>
      <w:r w:rsidR="00E42ED0">
        <w:rPr>
          <w:noProof/>
          <w:lang w:val="en-IE"/>
        </w:rPr>
        <w:t>of</w:t>
      </w:r>
      <w:r w:rsidR="00E42ED0" w:rsidRPr="004F7784">
        <w:rPr>
          <w:noProof/>
          <w:lang w:val="en-IE"/>
        </w:rPr>
        <w:t xml:space="preserve"> </w:t>
      </w:r>
      <w:r w:rsidR="00C87A62" w:rsidRPr="004F7784">
        <w:rPr>
          <w:noProof/>
          <w:lang w:val="en-IE"/>
        </w:rPr>
        <w:t>the provision of a short-term accommodation rental service</w:t>
      </w:r>
      <w:r w:rsidR="008A165A">
        <w:rPr>
          <w:noProof/>
          <w:lang w:val="en-IE"/>
        </w:rPr>
        <w:t>.</w:t>
      </w:r>
      <w:r w:rsidR="00C87A62" w:rsidRPr="004F7784">
        <w:rPr>
          <w:noProof/>
          <w:lang w:val="en-IE"/>
        </w:rPr>
        <w:t xml:space="preserve"> </w:t>
      </w:r>
      <w:r w:rsidR="008A165A" w:rsidRPr="00936DAE">
        <w:rPr>
          <w:noProof/>
          <w:lang w:val="en-IE"/>
        </w:rPr>
        <w:t>It does not include the following</w:t>
      </w:r>
      <w:r w:rsidR="00C87A62" w:rsidRPr="00936DAE">
        <w:rPr>
          <w:noProof/>
          <w:lang w:val="en-IE"/>
        </w:rPr>
        <w:t>:</w:t>
      </w:r>
    </w:p>
    <w:p w:rsidR="007F2B55" w:rsidRDefault="00795BB5" w:rsidP="00795BB5">
      <w:pPr>
        <w:pStyle w:val="Point1"/>
        <w:rPr>
          <w:noProof/>
          <w:lang w:val="en-US"/>
        </w:rPr>
      </w:pPr>
      <w:r w:rsidRPr="00795BB5">
        <w:t>(a)</w:t>
      </w:r>
      <w:r w:rsidRPr="00795BB5">
        <w:tab/>
      </w:r>
      <w:r w:rsidR="007F2B55" w:rsidRPr="00046168">
        <w:rPr>
          <w:noProof/>
          <w:lang w:val="en-US"/>
        </w:rPr>
        <w:t>hotels and similar accommodations including resort hotels, suite or apartment hotels, hostels and motels</w:t>
      </w:r>
      <w:r w:rsidR="007F2B55">
        <w:rPr>
          <w:noProof/>
          <w:lang w:val="en-US"/>
        </w:rPr>
        <w:t xml:space="preserve"> as described in </w:t>
      </w:r>
      <w:r w:rsidR="00A45517">
        <w:rPr>
          <w:noProof/>
          <w:lang w:val="en-US"/>
        </w:rPr>
        <w:t xml:space="preserve">NACE Rev. 2, </w:t>
      </w:r>
      <w:r w:rsidR="007F2B55">
        <w:rPr>
          <w:noProof/>
          <w:lang w:val="en-US"/>
        </w:rPr>
        <w:t>group 55.1 (</w:t>
      </w:r>
      <w:r w:rsidR="00B12492">
        <w:rPr>
          <w:noProof/>
          <w:lang w:val="en-US"/>
        </w:rPr>
        <w:t>‘</w:t>
      </w:r>
      <w:r w:rsidR="007F2B55">
        <w:rPr>
          <w:noProof/>
          <w:lang w:val="en-US"/>
        </w:rPr>
        <w:t>hotels and similar accom</w:t>
      </w:r>
      <w:r w:rsidR="007F2B55" w:rsidRPr="007F2B55">
        <w:rPr>
          <w:noProof/>
          <w:lang w:val="en-US"/>
        </w:rPr>
        <w:t>modation</w:t>
      </w:r>
      <w:r w:rsidR="00B12492">
        <w:rPr>
          <w:noProof/>
          <w:lang w:val="en-US"/>
        </w:rPr>
        <w:t>’</w:t>
      </w:r>
      <w:r w:rsidR="007F2B55" w:rsidRPr="007F2B55">
        <w:rPr>
          <w:noProof/>
          <w:lang w:val="en-US"/>
        </w:rPr>
        <w:t>)</w:t>
      </w:r>
      <w:r w:rsidR="007F2B55">
        <w:rPr>
          <w:noProof/>
          <w:lang w:val="en-US"/>
        </w:rPr>
        <w:t xml:space="preserve"> </w:t>
      </w:r>
      <w:r w:rsidR="007F2B55" w:rsidRPr="00FB0D86">
        <w:rPr>
          <w:noProof/>
          <w:lang w:val="en-US"/>
        </w:rPr>
        <w:t xml:space="preserve">of </w:t>
      </w:r>
      <w:r w:rsidR="00B12492">
        <w:rPr>
          <w:noProof/>
          <w:lang w:val="en-US"/>
        </w:rPr>
        <w:t xml:space="preserve">Annex I to </w:t>
      </w:r>
      <w:r w:rsidR="00B12492" w:rsidRPr="0061626A">
        <w:rPr>
          <w:noProof/>
          <w:lang w:val="en-US"/>
        </w:rPr>
        <w:t>Regulation (EC) No 1893/2006 of the European Parliament and of the Counci</w:t>
      </w:r>
      <w:r w:rsidR="00B12492">
        <w:rPr>
          <w:noProof/>
          <w:lang w:val="en-US"/>
        </w:rPr>
        <w:t>l</w:t>
      </w:r>
      <w:r w:rsidR="005D0328">
        <w:rPr>
          <w:rStyle w:val="FootnoteReference"/>
          <w:noProof/>
          <w:lang w:val="en-US"/>
        </w:rPr>
        <w:footnoteReference w:id="43"/>
      </w:r>
      <w:r w:rsidR="007F2B55">
        <w:rPr>
          <w:noProof/>
          <w:lang w:val="en-US"/>
        </w:rPr>
        <w:t>;</w:t>
      </w:r>
    </w:p>
    <w:p w:rsidR="00002640" w:rsidRPr="002E761E" w:rsidRDefault="00795BB5" w:rsidP="00795BB5">
      <w:pPr>
        <w:pStyle w:val="Point1"/>
        <w:rPr>
          <w:noProof/>
          <w:lang w:val="en-IE"/>
        </w:rPr>
      </w:pPr>
      <w:r w:rsidRPr="00795BB5">
        <w:t>(b)</w:t>
      </w:r>
      <w:r w:rsidRPr="00795BB5">
        <w:tab/>
      </w:r>
      <w:r w:rsidR="002C16C7">
        <w:rPr>
          <w:noProof/>
          <w:lang w:val="en-US"/>
        </w:rPr>
        <w:t xml:space="preserve">the </w:t>
      </w:r>
      <w:r w:rsidR="002E761E">
        <w:rPr>
          <w:noProof/>
          <w:lang w:val="en-US"/>
        </w:rPr>
        <w:t>provision of accommodation in c</w:t>
      </w:r>
      <w:r w:rsidR="002E761E" w:rsidRPr="002E761E">
        <w:rPr>
          <w:noProof/>
          <w:lang w:val="en-US"/>
        </w:rPr>
        <w:t>amping grounds, recreational vehicle parks and trailer parks</w:t>
      </w:r>
      <w:r w:rsidR="00AC3EDD" w:rsidRPr="002E761E">
        <w:rPr>
          <w:noProof/>
          <w:lang w:val="en-US"/>
        </w:rPr>
        <w:t xml:space="preserve">, as described in </w:t>
      </w:r>
      <w:r w:rsidR="00A45517" w:rsidRPr="002E761E">
        <w:rPr>
          <w:noProof/>
          <w:lang w:val="en-US"/>
        </w:rPr>
        <w:t>NACE Rev. 2</w:t>
      </w:r>
      <w:r w:rsidR="00A45517">
        <w:rPr>
          <w:noProof/>
          <w:lang w:val="en-US"/>
        </w:rPr>
        <w:t xml:space="preserve"> </w:t>
      </w:r>
      <w:r w:rsidR="00AC3EDD" w:rsidRPr="002E761E">
        <w:rPr>
          <w:noProof/>
          <w:lang w:val="en-US"/>
        </w:rPr>
        <w:t>group 55.3 of</w:t>
      </w:r>
      <w:r w:rsidR="00A45517">
        <w:rPr>
          <w:noProof/>
          <w:lang w:val="en-US"/>
        </w:rPr>
        <w:t xml:space="preserve"> Annex I to Regulation 1893/2006</w:t>
      </w:r>
      <w:r w:rsidR="00AC3EDD" w:rsidRPr="002E761E">
        <w:rPr>
          <w:noProof/>
          <w:lang w:val="en-US"/>
        </w:rPr>
        <w:t>.</w:t>
      </w:r>
    </w:p>
    <w:p w:rsidR="00AC3EDD" w:rsidRPr="00574B3A" w:rsidRDefault="00795BB5" w:rsidP="00795BB5">
      <w:pPr>
        <w:pStyle w:val="Point0"/>
        <w:rPr>
          <w:noProof/>
          <w:lang w:val="en-IE"/>
        </w:rPr>
      </w:pPr>
      <w:r w:rsidRPr="00795BB5">
        <w:t>(2)</w:t>
      </w:r>
      <w:r w:rsidRPr="00795BB5">
        <w:tab/>
      </w:r>
      <w:r w:rsidR="00AC3EDD" w:rsidRPr="00AC3EDD">
        <w:rPr>
          <w:noProof/>
          <w:lang w:val="en-IE"/>
        </w:rPr>
        <w:t>‘host’ means a natural or legal person that provides, or intends to provide, on a professional or non-professional basis, a short-term accommodation rental service against remuneration through an online short-term rental platform;</w:t>
      </w:r>
    </w:p>
    <w:p w:rsidR="00452EEA" w:rsidRDefault="00795BB5" w:rsidP="00795BB5">
      <w:pPr>
        <w:pStyle w:val="Point0"/>
        <w:rPr>
          <w:noProof/>
          <w:lang w:val="en-IE"/>
        </w:rPr>
      </w:pPr>
      <w:r w:rsidRPr="00795BB5">
        <w:t>(3)</w:t>
      </w:r>
      <w:r w:rsidRPr="00795BB5">
        <w:tab/>
      </w:r>
      <w:r w:rsidR="00452EEA">
        <w:rPr>
          <w:noProof/>
          <w:lang w:val="en-IE"/>
        </w:rPr>
        <w:t xml:space="preserve">‘active hosts’ </w:t>
      </w:r>
      <w:r w:rsidR="00BB203A">
        <w:rPr>
          <w:noProof/>
          <w:lang w:val="en-IE"/>
        </w:rPr>
        <w:t xml:space="preserve">means </w:t>
      </w:r>
      <w:r w:rsidR="00452EEA">
        <w:rPr>
          <w:noProof/>
        </w:rPr>
        <w:t xml:space="preserve">hosts who have at least one unit listed during a period of </w:t>
      </w:r>
      <w:r w:rsidR="00BB203A">
        <w:rPr>
          <w:noProof/>
        </w:rPr>
        <w:t xml:space="preserve">1 </w:t>
      </w:r>
      <w:r w:rsidR="00452EEA">
        <w:rPr>
          <w:noProof/>
        </w:rPr>
        <w:t>month</w:t>
      </w:r>
      <w:r w:rsidR="00A003C3">
        <w:rPr>
          <w:noProof/>
        </w:rPr>
        <w:t xml:space="preserve"> on an online short-term rental platform</w:t>
      </w:r>
      <w:r w:rsidR="00452EEA">
        <w:rPr>
          <w:noProof/>
        </w:rPr>
        <w:t>;</w:t>
      </w:r>
    </w:p>
    <w:p w:rsidR="00F455C0" w:rsidRPr="00F455C0" w:rsidRDefault="00795BB5" w:rsidP="00795BB5">
      <w:pPr>
        <w:pStyle w:val="Point0"/>
        <w:rPr>
          <w:noProof/>
          <w:lang w:val="en-IE"/>
        </w:rPr>
      </w:pPr>
      <w:r w:rsidRPr="00795BB5">
        <w:t>(4)</w:t>
      </w:r>
      <w:r w:rsidRPr="00795BB5">
        <w:tab/>
      </w:r>
      <w:r w:rsidR="00F455C0" w:rsidRPr="00B03DC4">
        <w:rPr>
          <w:noProof/>
          <w:lang w:val="en-IE"/>
        </w:rPr>
        <w:t>‘</w:t>
      </w:r>
      <w:r w:rsidR="00F455C0">
        <w:rPr>
          <w:noProof/>
          <w:lang w:val="en-IE"/>
        </w:rPr>
        <w:t>g</w:t>
      </w:r>
      <w:r w:rsidR="00F455C0" w:rsidRPr="00B03DC4">
        <w:rPr>
          <w:noProof/>
          <w:lang w:val="en-IE"/>
        </w:rPr>
        <w:t xml:space="preserve">uest’ means a natural person </w:t>
      </w:r>
      <w:r w:rsidR="00A003C3">
        <w:rPr>
          <w:noProof/>
          <w:lang w:val="en-IE"/>
        </w:rPr>
        <w:t>who</w:t>
      </w:r>
      <w:r w:rsidR="00A003C3" w:rsidRPr="00B03DC4">
        <w:rPr>
          <w:noProof/>
          <w:lang w:val="en-IE"/>
        </w:rPr>
        <w:t xml:space="preserve"> </w:t>
      </w:r>
      <w:r w:rsidR="00F455C0" w:rsidRPr="00B03DC4">
        <w:rPr>
          <w:noProof/>
          <w:lang w:val="en-IE"/>
        </w:rPr>
        <w:t xml:space="preserve">is </w:t>
      </w:r>
      <w:r w:rsidR="00F455C0">
        <w:rPr>
          <w:noProof/>
          <w:lang w:val="en-IE"/>
        </w:rPr>
        <w:t>hosted</w:t>
      </w:r>
      <w:r w:rsidR="00F455C0" w:rsidRPr="00B03DC4">
        <w:rPr>
          <w:noProof/>
          <w:lang w:val="en-IE"/>
        </w:rPr>
        <w:t xml:space="preserve"> in a unit;</w:t>
      </w:r>
    </w:p>
    <w:p w:rsidR="00C87A62" w:rsidRPr="004F7784" w:rsidRDefault="00795BB5" w:rsidP="00795BB5">
      <w:pPr>
        <w:pStyle w:val="Point0"/>
        <w:rPr>
          <w:noProof/>
          <w:lang w:val="en-IE"/>
        </w:rPr>
      </w:pPr>
      <w:r w:rsidRPr="00795BB5">
        <w:t>(5)</w:t>
      </w:r>
      <w:r w:rsidRPr="00795BB5">
        <w:tab/>
      </w:r>
      <w:r w:rsidR="00002640" w:rsidRPr="004F7784">
        <w:rPr>
          <w:noProof/>
          <w:lang w:val="en-IE"/>
        </w:rPr>
        <w:t>‘</w:t>
      </w:r>
      <w:r w:rsidR="00002640" w:rsidRPr="00DF7DE9">
        <w:rPr>
          <w:noProof/>
          <w:lang w:val="en-IE"/>
        </w:rPr>
        <w:t xml:space="preserve">short-term accommodation rental service’ </w:t>
      </w:r>
      <w:r w:rsidR="00DF446D" w:rsidRPr="00DF7DE9">
        <w:rPr>
          <w:noProof/>
          <w:lang w:val="en-IE"/>
        </w:rPr>
        <w:t xml:space="preserve">means </w:t>
      </w:r>
      <w:r w:rsidR="00925FF7" w:rsidRPr="00DF7DE9">
        <w:rPr>
          <w:noProof/>
          <w:lang w:val="en-IE"/>
        </w:rPr>
        <w:t>the</w:t>
      </w:r>
      <w:r w:rsidR="003B54AE" w:rsidRPr="00DF7DE9">
        <w:rPr>
          <w:noProof/>
          <w:lang w:val="en-IE"/>
        </w:rPr>
        <w:t xml:space="preserve"> </w:t>
      </w:r>
      <w:r w:rsidR="00002640" w:rsidRPr="00DF7DE9">
        <w:rPr>
          <w:noProof/>
          <w:lang w:val="en-IE"/>
        </w:rPr>
        <w:t>short-term letting</w:t>
      </w:r>
      <w:r w:rsidR="00DF1F97" w:rsidRPr="00DF7DE9">
        <w:rPr>
          <w:noProof/>
          <w:lang w:val="en-IE"/>
        </w:rPr>
        <w:t xml:space="preserve"> of a unit</w:t>
      </w:r>
      <w:r w:rsidR="00002640" w:rsidRPr="00DF7DE9">
        <w:rPr>
          <w:noProof/>
          <w:lang w:val="en-IE"/>
        </w:rPr>
        <w:t xml:space="preserve">, </w:t>
      </w:r>
      <w:r w:rsidR="00936DAE" w:rsidRPr="00DF7DE9">
        <w:rPr>
          <w:noProof/>
          <w:lang w:val="en-IE"/>
        </w:rPr>
        <w:t xml:space="preserve">against </w:t>
      </w:r>
      <w:r w:rsidR="00002640" w:rsidRPr="00DF7DE9">
        <w:rPr>
          <w:noProof/>
          <w:lang w:val="en-IE"/>
        </w:rPr>
        <w:t>remuneration, whether on a professional or non-professional basis</w:t>
      </w:r>
      <w:r w:rsidR="00E616B8" w:rsidRPr="00DF7DE9">
        <w:rPr>
          <w:noProof/>
          <w:lang w:val="en-IE"/>
        </w:rPr>
        <w:t xml:space="preserve">, as </w:t>
      </w:r>
      <w:r w:rsidR="00AD7732" w:rsidRPr="00DF7DE9">
        <w:rPr>
          <w:noProof/>
          <w:lang w:val="en-IE"/>
        </w:rPr>
        <w:t xml:space="preserve">further </w:t>
      </w:r>
      <w:r w:rsidR="00E616B8" w:rsidRPr="00DF7DE9">
        <w:rPr>
          <w:noProof/>
          <w:lang w:val="en-IE"/>
        </w:rPr>
        <w:t>defined by national law</w:t>
      </w:r>
      <w:r w:rsidR="00002640" w:rsidRPr="004F7784">
        <w:rPr>
          <w:noProof/>
          <w:lang w:val="en-IE"/>
        </w:rPr>
        <w:t xml:space="preserve">; </w:t>
      </w:r>
    </w:p>
    <w:p w:rsidR="00002640" w:rsidRPr="0079526D" w:rsidRDefault="00795BB5" w:rsidP="00795BB5">
      <w:pPr>
        <w:pStyle w:val="Point0"/>
        <w:rPr>
          <w:bCs/>
          <w:noProof/>
          <w:lang w:val="en-IE"/>
        </w:rPr>
      </w:pPr>
      <w:r w:rsidRPr="00795BB5">
        <w:t>(6)</w:t>
      </w:r>
      <w:r w:rsidRPr="00795BB5">
        <w:tab/>
      </w:r>
      <w:r w:rsidR="00002640" w:rsidRPr="0079526D">
        <w:rPr>
          <w:noProof/>
          <w:lang w:val="en-IE"/>
        </w:rPr>
        <w:t>‘</w:t>
      </w:r>
      <w:r w:rsidR="00B03DC4">
        <w:rPr>
          <w:bCs/>
          <w:noProof/>
          <w:lang w:val="en-IE"/>
        </w:rPr>
        <w:t>o</w:t>
      </w:r>
      <w:r w:rsidR="00002640" w:rsidRPr="0079526D">
        <w:rPr>
          <w:bCs/>
          <w:noProof/>
          <w:lang w:val="en-IE"/>
        </w:rPr>
        <w:t>nline</w:t>
      </w:r>
      <w:r w:rsidR="00002640" w:rsidRPr="0079526D">
        <w:rPr>
          <w:noProof/>
          <w:lang w:val="en-IE"/>
        </w:rPr>
        <w:t xml:space="preserve"> </w:t>
      </w:r>
      <w:r w:rsidR="00BA7836" w:rsidRPr="0079526D">
        <w:rPr>
          <w:noProof/>
          <w:lang w:val="en-IE"/>
        </w:rPr>
        <w:t xml:space="preserve">short-term rental </w:t>
      </w:r>
      <w:r w:rsidR="00002640" w:rsidRPr="0079526D">
        <w:rPr>
          <w:noProof/>
          <w:lang w:val="en-IE"/>
        </w:rPr>
        <w:t xml:space="preserve">platform’ means an online platform </w:t>
      </w:r>
      <w:r w:rsidR="008E7CBA">
        <w:rPr>
          <w:noProof/>
          <w:lang w:val="en-IE"/>
        </w:rPr>
        <w:t>within the meaning of</w:t>
      </w:r>
      <w:r w:rsidR="00435933">
        <w:rPr>
          <w:noProof/>
          <w:lang w:val="en-IE"/>
        </w:rPr>
        <w:t xml:space="preserve"> </w:t>
      </w:r>
      <w:r w:rsidR="00002640" w:rsidRPr="0079526D">
        <w:rPr>
          <w:noProof/>
          <w:lang w:val="en-IE"/>
        </w:rPr>
        <w:t xml:space="preserve">Article </w:t>
      </w:r>
      <w:r w:rsidR="000F5522">
        <w:rPr>
          <w:noProof/>
          <w:lang w:val="en-IE"/>
        </w:rPr>
        <w:t>3</w:t>
      </w:r>
      <w:r w:rsidR="00986E16">
        <w:rPr>
          <w:noProof/>
          <w:lang w:val="en-IE"/>
        </w:rPr>
        <w:t xml:space="preserve">, point </w:t>
      </w:r>
      <w:r w:rsidR="00002640" w:rsidRPr="0079526D">
        <w:rPr>
          <w:noProof/>
          <w:lang w:val="en-IE"/>
        </w:rPr>
        <w:t>(</w:t>
      </w:r>
      <w:r w:rsidR="00B63F45">
        <w:rPr>
          <w:noProof/>
          <w:lang w:val="en-IE"/>
        </w:rPr>
        <w:t>i</w:t>
      </w:r>
      <w:r w:rsidR="00002640" w:rsidRPr="0079526D">
        <w:rPr>
          <w:noProof/>
          <w:lang w:val="en-IE"/>
        </w:rPr>
        <w:t>)</w:t>
      </w:r>
      <w:r w:rsidR="00986E16">
        <w:rPr>
          <w:noProof/>
          <w:lang w:val="en-IE"/>
        </w:rPr>
        <w:t>,</w:t>
      </w:r>
      <w:r w:rsidR="00002640" w:rsidRPr="0079526D">
        <w:rPr>
          <w:noProof/>
          <w:lang w:val="en-IE"/>
        </w:rPr>
        <w:t xml:space="preserve"> of </w:t>
      </w:r>
      <w:r w:rsidR="00AF574C">
        <w:rPr>
          <w:rFonts w:eastAsia="Times New Roman"/>
          <w:noProof/>
          <w:color w:val="000000"/>
          <w:szCs w:val="24"/>
          <w:lang w:eastAsia="zh-CN"/>
        </w:rPr>
        <w:t xml:space="preserve">Regulation (EU) </w:t>
      </w:r>
      <w:r w:rsidR="00B12492">
        <w:rPr>
          <w:rFonts w:eastAsia="Times New Roman"/>
          <w:noProof/>
          <w:color w:val="000000"/>
          <w:szCs w:val="24"/>
          <w:lang w:eastAsia="zh-CN"/>
        </w:rPr>
        <w:t>2022</w:t>
      </w:r>
      <w:r w:rsidR="00AF574C">
        <w:rPr>
          <w:rFonts w:eastAsia="Times New Roman"/>
          <w:noProof/>
          <w:color w:val="000000"/>
          <w:szCs w:val="24"/>
          <w:lang w:eastAsia="zh-CN"/>
        </w:rPr>
        <w:t>/</w:t>
      </w:r>
      <w:r w:rsidR="0078394A">
        <w:rPr>
          <w:rFonts w:eastAsia="Times New Roman"/>
          <w:noProof/>
          <w:color w:val="000000"/>
          <w:szCs w:val="24"/>
          <w:lang w:eastAsia="zh-CN"/>
        </w:rPr>
        <w:t>2065</w:t>
      </w:r>
      <w:r w:rsidR="00435933">
        <w:rPr>
          <w:noProof/>
          <w:lang w:val="en-IE"/>
        </w:rPr>
        <w:t>,</w:t>
      </w:r>
      <w:r w:rsidR="00986E16">
        <w:rPr>
          <w:noProof/>
          <w:lang w:val="en-IE"/>
        </w:rPr>
        <w:t xml:space="preserve"> that </w:t>
      </w:r>
      <w:r w:rsidR="001612B6" w:rsidRPr="0079526D">
        <w:rPr>
          <w:noProof/>
          <w:lang w:val="en-IE"/>
        </w:rPr>
        <w:t xml:space="preserve">allows </w:t>
      </w:r>
      <w:r w:rsidR="00432F0C" w:rsidRPr="0079526D">
        <w:rPr>
          <w:noProof/>
          <w:lang w:val="en-IE"/>
        </w:rPr>
        <w:t xml:space="preserve">guests to conclude </w:t>
      </w:r>
      <w:r w:rsidR="00612EED" w:rsidRPr="0079526D">
        <w:rPr>
          <w:noProof/>
          <w:lang w:val="en-IE"/>
        </w:rPr>
        <w:t xml:space="preserve">distance contracts with </w:t>
      </w:r>
      <w:r w:rsidR="001612B6" w:rsidRPr="0079526D">
        <w:rPr>
          <w:noProof/>
          <w:lang w:val="en-IE"/>
        </w:rPr>
        <w:t xml:space="preserve">hosts </w:t>
      </w:r>
      <w:r w:rsidR="00612EED" w:rsidRPr="0079526D">
        <w:rPr>
          <w:noProof/>
          <w:lang w:val="en-IE"/>
        </w:rPr>
        <w:t>for the provision of short-term accommodation rental services</w:t>
      </w:r>
      <w:r w:rsidR="00F4284C">
        <w:rPr>
          <w:noProof/>
          <w:lang w:val="en-IE"/>
        </w:rPr>
        <w:t>;</w:t>
      </w:r>
    </w:p>
    <w:p w:rsidR="00002640" w:rsidRPr="00D83562" w:rsidRDefault="00795BB5" w:rsidP="00795BB5">
      <w:pPr>
        <w:pStyle w:val="Point0"/>
        <w:rPr>
          <w:bCs/>
          <w:noProof/>
          <w:lang w:val="en-IE"/>
        </w:rPr>
      </w:pPr>
      <w:r w:rsidRPr="00795BB5">
        <w:t>(7)</w:t>
      </w:r>
      <w:r w:rsidRPr="00795BB5">
        <w:tab/>
      </w:r>
      <w:r w:rsidR="00002640" w:rsidRPr="004F7784">
        <w:rPr>
          <w:noProof/>
          <w:lang w:val="en-IE"/>
        </w:rPr>
        <w:t>‘</w:t>
      </w:r>
      <w:r w:rsidR="00757C12">
        <w:rPr>
          <w:noProof/>
          <w:lang w:val="en-IE"/>
        </w:rPr>
        <w:t>r</w:t>
      </w:r>
      <w:r w:rsidR="00002640" w:rsidRPr="004F7784">
        <w:rPr>
          <w:noProof/>
          <w:lang w:val="en-IE"/>
        </w:rPr>
        <w:t>egistration number’ means a unique identifier</w:t>
      </w:r>
      <w:r w:rsidR="00EC1557">
        <w:rPr>
          <w:noProof/>
          <w:lang w:val="en-IE"/>
        </w:rPr>
        <w:t xml:space="preserve"> issued by </w:t>
      </w:r>
      <w:r w:rsidR="00D47F5E">
        <w:rPr>
          <w:noProof/>
          <w:lang w:val="en-IE"/>
        </w:rPr>
        <w:t>the competent</w:t>
      </w:r>
      <w:r w:rsidR="00C93135">
        <w:rPr>
          <w:noProof/>
          <w:lang w:val="en-IE"/>
        </w:rPr>
        <w:t xml:space="preserve"> </w:t>
      </w:r>
      <w:r w:rsidR="00EC1557">
        <w:rPr>
          <w:noProof/>
          <w:lang w:val="en-IE"/>
        </w:rPr>
        <w:t>Member State</w:t>
      </w:r>
      <w:r w:rsidR="00002640" w:rsidRPr="004F7784">
        <w:rPr>
          <w:noProof/>
          <w:lang w:val="en-IE"/>
        </w:rPr>
        <w:t xml:space="preserve">, which identifies a unit in </w:t>
      </w:r>
      <w:r w:rsidR="00874552">
        <w:rPr>
          <w:noProof/>
          <w:lang w:val="en-IE"/>
        </w:rPr>
        <w:t>that</w:t>
      </w:r>
      <w:r w:rsidR="00002640" w:rsidRPr="004F7784">
        <w:rPr>
          <w:noProof/>
          <w:lang w:val="en-IE"/>
        </w:rPr>
        <w:t xml:space="preserve"> Member State;</w:t>
      </w:r>
    </w:p>
    <w:p w:rsidR="00D83562" w:rsidRPr="004F7784" w:rsidRDefault="00795BB5" w:rsidP="00795BB5">
      <w:pPr>
        <w:pStyle w:val="Point0"/>
        <w:rPr>
          <w:bCs/>
          <w:noProof/>
          <w:lang w:val="en-IE"/>
        </w:rPr>
      </w:pPr>
      <w:r w:rsidRPr="00795BB5">
        <w:t>(8)</w:t>
      </w:r>
      <w:r w:rsidRPr="00795BB5">
        <w:tab/>
      </w:r>
      <w:r w:rsidR="00D83562">
        <w:rPr>
          <w:noProof/>
          <w:lang w:val="en-IE"/>
        </w:rPr>
        <w:t>‘registration procedure’ means any procedure by which hosts</w:t>
      </w:r>
      <w:r w:rsidR="00BE230E">
        <w:rPr>
          <w:noProof/>
          <w:lang w:val="en-IE"/>
        </w:rPr>
        <w:t xml:space="preserve"> </w:t>
      </w:r>
      <w:r w:rsidR="005D0328">
        <w:rPr>
          <w:noProof/>
          <w:lang w:val="en-IE"/>
        </w:rPr>
        <w:t xml:space="preserve">must </w:t>
      </w:r>
      <w:r w:rsidR="00BE230E">
        <w:rPr>
          <w:noProof/>
          <w:lang w:val="en-IE"/>
        </w:rPr>
        <w:t xml:space="preserve">provide </w:t>
      </w:r>
      <w:r w:rsidR="005D0328">
        <w:rPr>
          <w:noProof/>
          <w:lang w:val="en-IE"/>
        </w:rPr>
        <w:t xml:space="preserve">specific </w:t>
      </w:r>
      <w:r w:rsidR="00D83562">
        <w:rPr>
          <w:noProof/>
          <w:lang w:val="en-IE"/>
        </w:rPr>
        <w:t xml:space="preserve">information </w:t>
      </w:r>
      <w:r w:rsidR="00BE230E">
        <w:rPr>
          <w:noProof/>
          <w:lang w:val="en-IE"/>
        </w:rPr>
        <w:t xml:space="preserve">and documentation </w:t>
      </w:r>
      <w:r w:rsidR="00D83562">
        <w:rPr>
          <w:noProof/>
          <w:lang w:val="en-IE"/>
        </w:rPr>
        <w:t xml:space="preserve">to the </w:t>
      </w:r>
      <w:r w:rsidR="00A003C3">
        <w:rPr>
          <w:noProof/>
          <w:lang w:val="en-IE"/>
        </w:rPr>
        <w:t xml:space="preserve">competent </w:t>
      </w:r>
      <w:r w:rsidR="00D83562">
        <w:rPr>
          <w:noProof/>
          <w:lang w:val="en-IE"/>
        </w:rPr>
        <w:t>a</w:t>
      </w:r>
      <w:r w:rsidR="00BE230E">
        <w:rPr>
          <w:noProof/>
          <w:lang w:val="en-IE"/>
        </w:rPr>
        <w:t xml:space="preserve">uthorities </w:t>
      </w:r>
      <w:r w:rsidR="00D83562">
        <w:rPr>
          <w:noProof/>
          <w:lang w:val="en-IE"/>
        </w:rPr>
        <w:t xml:space="preserve">before they can start offering </w:t>
      </w:r>
      <w:r w:rsidR="005D0328">
        <w:rPr>
          <w:noProof/>
          <w:lang w:val="en-IE"/>
        </w:rPr>
        <w:t xml:space="preserve">short-term accommodation rental </w:t>
      </w:r>
      <w:r w:rsidR="00D83562">
        <w:rPr>
          <w:noProof/>
          <w:lang w:val="en-IE"/>
        </w:rPr>
        <w:t>services;</w:t>
      </w:r>
    </w:p>
    <w:p w:rsidR="00AB47E1" w:rsidRPr="004F7784" w:rsidRDefault="00795BB5" w:rsidP="00795BB5">
      <w:pPr>
        <w:pStyle w:val="Point0"/>
        <w:rPr>
          <w:noProof/>
          <w:lang w:val="en-IE"/>
        </w:rPr>
      </w:pPr>
      <w:r w:rsidRPr="00795BB5">
        <w:t>(9)</w:t>
      </w:r>
      <w:r w:rsidRPr="00795BB5">
        <w:tab/>
      </w:r>
      <w:r w:rsidR="00AB47E1">
        <w:rPr>
          <w:noProof/>
          <w:lang w:val="en-IE"/>
        </w:rPr>
        <w:t xml:space="preserve">‘listing’ </w:t>
      </w:r>
      <w:r w:rsidR="005D0328">
        <w:rPr>
          <w:noProof/>
          <w:lang w:val="en-IE"/>
        </w:rPr>
        <w:t xml:space="preserve">means the </w:t>
      </w:r>
      <w:r w:rsidR="00AB47E1">
        <w:rPr>
          <w:noProof/>
          <w:lang w:val="en-IE"/>
        </w:rPr>
        <w:t>refer</w:t>
      </w:r>
      <w:r w:rsidR="005D0328">
        <w:rPr>
          <w:noProof/>
          <w:lang w:val="en-IE"/>
        </w:rPr>
        <w:t>ence</w:t>
      </w:r>
      <w:r w:rsidR="00AB47E1">
        <w:rPr>
          <w:noProof/>
          <w:lang w:val="en-IE"/>
        </w:rPr>
        <w:t xml:space="preserve"> to a unit </w:t>
      </w:r>
      <w:r w:rsidR="00C85917">
        <w:rPr>
          <w:noProof/>
          <w:lang w:val="en-IE"/>
        </w:rPr>
        <w:t xml:space="preserve">offered for short-term accommodation rental services </w:t>
      </w:r>
      <w:r w:rsidR="00FA660F">
        <w:rPr>
          <w:noProof/>
          <w:lang w:val="en-IE"/>
        </w:rPr>
        <w:t xml:space="preserve">and </w:t>
      </w:r>
      <w:r w:rsidR="00AB47E1">
        <w:rPr>
          <w:noProof/>
          <w:lang w:val="en-IE"/>
        </w:rPr>
        <w:t>published on an online short-term rental platform’s website;</w:t>
      </w:r>
    </w:p>
    <w:p w:rsidR="00002640" w:rsidRPr="004F7784" w:rsidRDefault="00795BB5" w:rsidP="00795BB5">
      <w:pPr>
        <w:pStyle w:val="Point0"/>
        <w:rPr>
          <w:noProof/>
          <w:lang w:val="en-IE"/>
        </w:rPr>
      </w:pPr>
      <w:r w:rsidRPr="00795BB5">
        <w:t>(10)</w:t>
      </w:r>
      <w:r w:rsidRPr="00795BB5">
        <w:tab/>
      </w:r>
      <w:r w:rsidR="00002640" w:rsidRPr="00BB203A">
        <w:rPr>
          <w:noProof/>
          <w:lang w:val="en-IE"/>
        </w:rPr>
        <w:t>‘</w:t>
      </w:r>
      <w:r w:rsidR="00B03DC4" w:rsidRPr="00BB203A">
        <w:rPr>
          <w:noProof/>
          <w:lang w:val="en-IE"/>
        </w:rPr>
        <w:t>c</w:t>
      </w:r>
      <w:r w:rsidR="00002640" w:rsidRPr="00BB203A">
        <w:rPr>
          <w:noProof/>
          <w:lang w:val="en-IE"/>
        </w:rPr>
        <w:t xml:space="preserve">ompetent authority’ </w:t>
      </w:r>
      <w:r w:rsidR="00C93135" w:rsidRPr="00BB203A">
        <w:rPr>
          <w:noProof/>
          <w:lang w:val="en-IE"/>
        </w:rPr>
        <w:t xml:space="preserve">means a </w:t>
      </w:r>
      <w:r w:rsidR="00002640" w:rsidRPr="00BB203A">
        <w:rPr>
          <w:noProof/>
          <w:lang w:val="en-IE"/>
        </w:rPr>
        <w:t xml:space="preserve">national, regional or local authority </w:t>
      </w:r>
      <w:r w:rsidR="008E7CBA" w:rsidRPr="00BB203A">
        <w:rPr>
          <w:noProof/>
          <w:lang w:val="en-IE"/>
        </w:rPr>
        <w:t xml:space="preserve">of </w:t>
      </w:r>
      <w:r w:rsidR="00002640" w:rsidRPr="00BB203A">
        <w:rPr>
          <w:noProof/>
          <w:lang w:val="en-IE"/>
        </w:rPr>
        <w:t xml:space="preserve">a Member State that </w:t>
      </w:r>
      <w:r w:rsidR="00902386" w:rsidRPr="00BB203A">
        <w:rPr>
          <w:noProof/>
          <w:lang w:val="en-IE"/>
        </w:rPr>
        <w:t xml:space="preserve">is competent to </w:t>
      </w:r>
      <w:r w:rsidR="00373236" w:rsidRPr="00BB203A">
        <w:rPr>
          <w:noProof/>
          <w:lang w:val="en-IE"/>
        </w:rPr>
        <w:t>manage and enforce registration procedures</w:t>
      </w:r>
      <w:r w:rsidR="00913C65" w:rsidRPr="00BB203A">
        <w:rPr>
          <w:noProof/>
          <w:lang w:val="en-IE"/>
        </w:rPr>
        <w:t xml:space="preserve">, </w:t>
      </w:r>
      <w:r w:rsidR="009F31A7">
        <w:rPr>
          <w:noProof/>
          <w:lang w:val="en-IE"/>
        </w:rPr>
        <w:t>and/</w:t>
      </w:r>
      <w:r w:rsidR="00913C65" w:rsidRPr="009F31A7">
        <w:rPr>
          <w:noProof/>
          <w:lang w:val="en-IE"/>
        </w:rPr>
        <w:t xml:space="preserve">or to collect data on </w:t>
      </w:r>
      <w:r w:rsidR="00B12492" w:rsidRPr="009F31A7">
        <w:rPr>
          <w:noProof/>
          <w:lang w:val="en-IE"/>
        </w:rPr>
        <w:t>short-term accommodation rental</w:t>
      </w:r>
      <w:r w:rsidR="00913C65" w:rsidRPr="009F31A7">
        <w:rPr>
          <w:noProof/>
          <w:lang w:val="en-IE"/>
        </w:rPr>
        <w:t xml:space="preserve"> services</w:t>
      </w:r>
      <w:r w:rsidR="009E198A">
        <w:rPr>
          <w:noProof/>
          <w:lang w:val="en-IE"/>
        </w:rPr>
        <w:t>;</w:t>
      </w:r>
      <w:r w:rsidR="00DC03BC">
        <w:rPr>
          <w:noProof/>
          <w:lang w:val="en-IE"/>
        </w:rPr>
        <w:t xml:space="preserve"> </w:t>
      </w:r>
    </w:p>
    <w:p w:rsidR="00002640" w:rsidRDefault="00795BB5" w:rsidP="00795BB5">
      <w:pPr>
        <w:pStyle w:val="Point0"/>
        <w:rPr>
          <w:noProof/>
          <w:lang w:val="en-IE"/>
        </w:rPr>
      </w:pPr>
      <w:r w:rsidRPr="00795BB5">
        <w:t>(11)</w:t>
      </w:r>
      <w:r w:rsidRPr="00795BB5">
        <w:tab/>
      </w:r>
      <w:r w:rsidR="00002640" w:rsidRPr="004F7784">
        <w:rPr>
          <w:noProof/>
          <w:lang w:val="en-IE"/>
        </w:rPr>
        <w:t xml:space="preserve">‘activity data’ means the number of nights </w:t>
      </w:r>
      <w:r w:rsidR="00C93135">
        <w:rPr>
          <w:noProof/>
          <w:lang w:val="en-IE"/>
        </w:rPr>
        <w:t xml:space="preserve">for which </w:t>
      </w:r>
      <w:r w:rsidR="00002640" w:rsidRPr="004F7784">
        <w:rPr>
          <w:noProof/>
          <w:lang w:val="en-IE"/>
        </w:rPr>
        <w:t xml:space="preserve">a unit is </w:t>
      </w:r>
      <w:r w:rsidR="00B43FB6">
        <w:rPr>
          <w:noProof/>
          <w:lang w:val="en-IE"/>
        </w:rPr>
        <w:t xml:space="preserve">rented </w:t>
      </w:r>
      <w:r w:rsidR="00002640" w:rsidRPr="004F7784">
        <w:rPr>
          <w:noProof/>
          <w:lang w:val="en-IE"/>
        </w:rPr>
        <w:t xml:space="preserve">and the number of guests that </w:t>
      </w:r>
      <w:r w:rsidR="00C93135">
        <w:rPr>
          <w:noProof/>
          <w:lang w:val="en-IE"/>
        </w:rPr>
        <w:t xml:space="preserve">stayed </w:t>
      </w:r>
      <w:r w:rsidR="00002640" w:rsidRPr="004F7784">
        <w:rPr>
          <w:noProof/>
          <w:lang w:val="en-IE"/>
        </w:rPr>
        <w:t xml:space="preserve">in the unit per </w:t>
      </w:r>
      <w:r w:rsidR="00623432">
        <w:rPr>
          <w:noProof/>
          <w:lang w:val="en-IE"/>
        </w:rPr>
        <w:t>night</w:t>
      </w:r>
      <w:r w:rsidR="00685C60">
        <w:rPr>
          <w:noProof/>
          <w:lang w:val="en-IE"/>
        </w:rPr>
        <w:t>;</w:t>
      </w:r>
    </w:p>
    <w:p w:rsidR="009D62CB" w:rsidRPr="002C6305" w:rsidRDefault="00795BB5" w:rsidP="00795BB5">
      <w:pPr>
        <w:pStyle w:val="Point0"/>
        <w:rPr>
          <w:noProof/>
          <w:lang w:val="en-IE"/>
        </w:rPr>
      </w:pPr>
      <w:r w:rsidRPr="00795BB5">
        <w:t>(12)</w:t>
      </w:r>
      <w:r w:rsidRPr="00795BB5">
        <w:tab/>
      </w:r>
      <w:r w:rsidR="009D62CB">
        <w:rPr>
          <w:noProof/>
          <w:lang w:val="en-IE"/>
        </w:rPr>
        <w:t>‘</w:t>
      </w:r>
      <w:r w:rsidR="00B03DC4">
        <w:rPr>
          <w:noProof/>
          <w:lang w:val="en-IE"/>
        </w:rPr>
        <w:t>s</w:t>
      </w:r>
      <w:r w:rsidR="00D8440F">
        <w:rPr>
          <w:noProof/>
          <w:lang w:val="en-IE"/>
        </w:rPr>
        <w:t>mall or m</w:t>
      </w:r>
      <w:r w:rsidR="009D62CB">
        <w:rPr>
          <w:noProof/>
          <w:lang w:val="en-IE"/>
        </w:rPr>
        <w:t xml:space="preserve">icro </w:t>
      </w:r>
      <w:r w:rsidR="00427448">
        <w:rPr>
          <w:noProof/>
          <w:lang w:val="en-IE"/>
        </w:rPr>
        <w:t xml:space="preserve">online </w:t>
      </w:r>
      <w:r w:rsidR="00280A4F">
        <w:rPr>
          <w:noProof/>
          <w:lang w:val="en-IE"/>
        </w:rPr>
        <w:t xml:space="preserve">short-term rental </w:t>
      </w:r>
      <w:r w:rsidR="00427448">
        <w:rPr>
          <w:noProof/>
          <w:lang w:val="en-IE"/>
        </w:rPr>
        <w:t>platform’ means</w:t>
      </w:r>
      <w:r w:rsidR="00262C43">
        <w:rPr>
          <w:noProof/>
          <w:lang w:val="en-IE"/>
        </w:rPr>
        <w:t xml:space="preserve"> </w:t>
      </w:r>
      <w:r w:rsidR="00435933">
        <w:rPr>
          <w:noProof/>
          <w:lang w:val="en-IE"/>
        </w:rPr>
        <w:t xml:space="preserve">an </w:t>
      </w:r>
      <w:r w:rsidR="00CD7C52">
        <w:rPr>
          <w:noProof/>
          <w:lang w:val="en-IE"/>
        </w:rPr>
        <w:t xml:space="preserve">online </w:t>
      </w:r>
      <w:r w:rsidR="00280A4F">
        <w:rPr>
          <w:noProof/>
          <w:lang w:val="en-IE"/>
        </w:rPr>
        <w:t xml:space="preserve">short-term rental </w:t>
      </w:r>
      <w:r w:rsidR="00CD7C52">
        <w:rPr>
          <w:noProof/>
          <w:lang w:val="en-IE"/>
        </w:rPr>
        <w:t>platform that qualif</w:t>
      </w:r>
      <w:r w:rsidR="008E7CBA">
        <w:rPr>
          <w:noProof/>
          <w:lang w:val="en-IE"/>
        </w:rPr>
        <w:t>ies</w:t>
      </w:r>
      <w:r w:rsidR="00CD7C52">
        <w:rPr>
          <w:noProof/>
          <w:lang w:val="en-IE"/>
        </w:rPr>
        <w:t xml:space="preserve"> as</w:t>
      </w:r>
      <w:r w:rsidR="008E7CBA">
        <w:rPr>
          <w:noProof/>
          <w:lang w:val="en-IE"/>
        </w:rPr>
        <w:t xml:space="preserve"> a</w:t>
      </w:r>
      <w:r w:rsidR="00CD7C52">
        <w:rPr>
          <w:noProof/>
          <w:lang w:val="en-IE"/>
        </w:rPr>
        <w:t xml:space="preserve"> </w:t>
      </w:r>
      <w:r w:rsidR="00262C43">
        <w:rPr>
          <w:noProof/>
          <w:lang w:val="en-IE"/>
        </w:rPr>
        <w:t xml:space="preserve">small </w:t>
      </w:r>
      <w:r w:rsidR="00D8440F">
        <w:rPr>
          <w:noProof/>
          <w:lang w:val="en-IE"/>
        </w:rPr>
        <w:t>or</w:t>
      </w:r>
      <w:r w:rsidR="00427448">
        <w:rPr>
          <w:noProof/>
          <w:lang w:val="en-IE"/>
        </w:rPr>
        <w:t xml:space="preserve"> micro enterprise </w:t>
      </w:r>
      <w:r w:rsidR="00427448">
        <w:rPr>
          <w:noProof/>
          <w:sz w:val="23"/>
          <w:szCs w:val="23"/>
        </w:rPr>
        <w:t>within the meaning of Recommendation 2003/361/E</w:t>
      </w:r>
      <w:r w:rsidR="00427448" w:rsidRPr="003A75B6">
        <w:rPr>
          <w:noProof/>
          <w:sz w:val="23"/>
          <w:szCs w:val="23"/>
        </w:rPr>
        <w:t>C</w:t>
      </w:r>
      <w:r w:rsidR="00FC2BC6" w:rsidRPr="003A75B6">
        <w:rPr>
          <w:noProof/>
          <w:sz w:val="23"/>
          <w:szCs w:val="23"/>
        </w:rPr>
        <w:t>.</w:t>
      </w:r>
    </w:p>
    <w:p w:rsidR="002C6305" w:rsidRPr="00AC3EDD" w:rsidRDefault="002C6305" w:rsidP="002C6305">
      <w:pPr>
        <w:rPr>
          <w:noProof/>
          <w:lang w:val="en-IE"/>
        </w:rPr>
      </w:pPr>
    </w:p>
    <w:p w:rsidR="001949D4" w:rsidRPr="004F7784" w:rsidRDefault="001949D4" w:rsidP="001949D4">
      <w:pPr>
        <w:pStyle w:val="ChapterTitle"/>
        <w:rPr>
          <w:noProof/>
          <w:lang w:val="en-IE"/>
        </w:rPr>
      </w:pPr>
      <w:r w:rsidRPr="004F7784">
        <w:rPr>
          <w:noProof/>
          <w:lang w:val="en-IE"/>
        </w:rPr>
        <w:t>CHAPTER II</w:t>
      </w:r>
    </w:p>
    <w:p w:rsidR="009144C2" w:rsidRPr="009144C2" w:rsidRDefault="00444D40" w:rsidP="00574B3A">
      <w:pPr>
        <w:pStyle w:val="ChapterTitle"/>
        <w:rPr>
          <w:noProof/>
          <w:lang w:val="en-IE"/>
        </w:rPr>
      </w:pPr>
      <w:r>
        <w:rPr>
          <w:noProof/>
          <w:lang w:val="en-IE"/>
        </w:rPr>
        <w:t>R</w:t>
      </w:r>
      <w:r w:rsidR="00BA57F0">
        <w:rPr>
          <w:noProof/>
          <w:lang w:val="en-IE"/>
        </w:rPr>
        <w:t>egistration</w:t>
      </w:r>
    </w:p>
    <w:p w:rsidR="001949D4" w:rsidRPr="004F7784" w:rsidRDefault="001949D4" w:rsidP="001949D4">
      <w:pPr>
        <w:pStyle w:val="Titrearticle"/>
        <w:rPr>
          <w:noProof/>
          <w:lang w:val="en-IE"/>
        </w:rPr>
      </w:pPr>
      <w:r w:rsidRPr="00954C65">
        <w:rPr>
          <w:noProof/>
          <w:lang w:val="en-IE"/>
        </w:rPr>
        <w:t>Article 4</w:t>
      </w:r>
    </w:p>
    <w:p w:rsidR="001949D4" w:rsidRPr="004F7784" w:rsidRDefault="00BA57F0" w:rsidP="001949D4">
      <w:pPr>
        <w:pStyle w:val="NormalCentered"/>
        <w:rPr>
          <w:b/>
          <w:noProof/>
          <w:lang w:val="en-IE"/>
        </w:rPr>
      </w:pPr>
      <w:r>
        <w:rPr>
          <w:b/>
          <w:noProof/>
          <w:lang w:val="en-IE"/>
        </w:rPr>
        <w:t>R</w:t>
      </w:r>
      <w:r w:rsidR="001949D4" w:rsidRPr="004F7784">
        <w:rPr>
          <w:b/>
          <w:noProof/>
          <w:lang w:val="en-IE"/>
        </w:rPr>
        <w:t>egistration procedure</w:t>
      </w:r>
      <w:r>
        <w:rPr>
          <w:b/>
          <w:noProof/>
          <w:lang w:val="en-IE"/>
        </w:rPr>
        <w:t>s</w:t>
      </w:r>
    </w:p>
    <w:p w:rsidR="009C3A52" w:rsidRPr="00F4284C" w:rsidRDefault="00795BB5" w:rsidP="00795BB5">
      <w:pPr>
        <w:pStyle w:val="ManualNumPar1"/>
        <w:rPr>
          <w:noProof/>
          <w:lang w:val="en-IE" w:eastAsia="zh-CN"/>
        </w:rPr>
      </w:pPr>
      <w:r w:rsidRPr="00795BB5">
        <w:t>1.</w:t>
      </w:r>
      <w:r w:rsidRPr="00795BB5">
        <w:tab/>
      </w:r>
      <w:r w:rsidR="00F4284C">
        <w:rPr>
          <w:noProof/>
          <w:lang w:val="en-IE" w:eastAsia="zh-CN"/>
        </w:rPr>
        <w:t>A</w:t>
      </w:r>
      <w:r w:rsidR="008B5AE5">
        <w:rPr>
          <w:noProof/>
          <w:lang w:val="en-IE" w:eastAsia="zh-CN"/>
        </w:rPr>
        <w:t>ny</w:t>
      </w:r>
      <w:r w:rsidR="00F4284C" w:rsidRPr="00F4284C">
        <w:rPr>
          <w:noProof/>
          <w:lang w:val="en-IE" w:eastAsia="zh-CN"/>
        </w:rPr>
        <w:t xml:space="preserve"> registration procedure established by </w:t>
      </w:r>
      <w:r w:rsidR="00F4284C">
        <w:rPr>
          <w:noProof/>
          <w:lang w:val="en-IE" w:eastAsia="zh-CN"/>
        </w:rPr>
        <w:t xml:space="preserve">a </w:t>
      </w:r>
      <w:r w:rsidR="001949D4" w:rsidRPr="00F4284C">
        <w:rPr>
          <w:noProof/>
          <w:lang w:val="en-IE" w:eastAsia="zh-CN"/>
        </w:rPr>
        <w:t>Member State</w:t>
      </w:r>
      <w:r w:rsidR="00F4284C">
        <w:rPr>
          <w:noProof/>
          <w:lang w:val="en-IE" w:eastAsia="zh-CN"/>
        </w:rPr>
        <w:t>,</w:t>
      </w:r>
      <w:r w:rsidR="001949D4" w:rsidRPr="00F4284C">
        <w:rPr>
          <w:noProof/>
          <w:lang w:val="en-IE" w:eastAsia="zh-CN"/>
        </w:rPr>
        <w:t xml:space="preserve"> </w:t>
      </w:r>
      <w:r w:rsidR="00F4284C" w:rsidRPr="00F4284C">
        <w:rPr>
          <w:noProof/>
          <w:lang w:val="en-IE" w:eastAsia="zh-CN"/>
        </w:rPr>
        <w:t>at national, regional or local level</w:t>
      </w:r>
      <w:r w:rsidR="00F4284C">
        <w:rPr>
          <w:noProof/>
          <w:lang w:val="en-IE" w:eastAsia="zh-CN"/>
        </w:rPr>
        <w:t>,</w:t>
      </w:r>
      <w:r w:rsidR="00F4284C" w:rsidRPr="00F4284C">
        <w:rPr>
          <w:noProof/>
          <w:lang w:val="en-IE" w:eastAsia="zh-CN"/>
        </w:rPr>
        <w:t xml:space="preserve"> for units </w:t>
      </w:r>
      <w:r w:rsidR="00F4284C">
        <w:rPr>
          <w:noProof/>
          <w:lang w:val="en-IE" w:eastAsia="zh-CN"/>
        </w:rPr>
        <w:t xml:space="preserve">located </w:t>
      </w:r>
      <w:r w:rsidR="00F4284C" w:rsidRPr="00F4284C">
        <w:rPr>
          <w:noProof/>
          <w:lang w:val="en-IE" w:eastAsia="zh-CN"/>
        </w:rPr>
        <w:t xml:space="preserve">in </w:t>
      </w:r>
      <w:r w:rsidR="00E370B9">
        <w:rPr>
          <w:noProof/>
          <w:lang w:val="en-IE" w:eastAsia="zh-CN"/>
        </w:rPr>
        <w:t>its</w:t>
      </w:r>
      <w:r w:rsidR="00E370B9" w:rsidRPr="00F4284C">
        <w:rPr>
          <w:noProof/>
          <w:lang w:val="en-IE" w:eastAsia="zh-CN"/>
        </w:rPr>
        <w:t xml:space="preserve"> </w:t>
      </w:r>
      <w:r w:rsidR="00F4284C" w:rsidRPr="00F4284C">
        <w:rPr>
          <w:noProof/>
          <w:lang w:val="en-IE" w:eastAsia="zh-CN"/>
        </w:rPr>
        <w:t xml:space="preserve">territory, </w:t>
      </w:r>
      <w:r w:rsidR="00757C12" w:rsidRPr="00F4284C">
        <w:rPr>
          <w:noProof/>
          <w:lang w:val="en-IE" w:eastAsia="zh-CN"/>
        </w:rPr>
        <w:t xml:space="preserve">shall </w:t>
      </w:r>
      <w:r w:rsidR="00E370B9">
        <w:rPr>
          <w:noProof/>
          <w:lang w:val="en-IE" w:eastAsia="zh-CN"/>
        </w:rPr>
        <w:t>comply</w:t>
      </w:r>
      <w:r w:rsidR="00435933">
        <w:rPr>
          <w:noProof/>
          <w:lang w:val="en-IE" w:eastAsia="zh-CN"/>
        </w:rPr>
        <w:t xml:space="preserve"> with </w:t>
      </w:r>
      <w:r w:rsidR="009C3A52" w:rsidRPr="00F4284C">
        <w:rPr>
          <w:noProof/>
          <w:lang w:val="en-IE" w:eastAsia="zh-CN"/>
        </w:rPr>
        <w:t>the provisions of</w:t>
      </w:r>
      <w:r w:rsidR="00B03DC4" w:rsidRPr="00F4284C">
        <w:rPr>
          <w:noProof/>
          <w:lang w:val="en-IE" w:eastAsia="zh-CN"/>
        </w:rPr>
        <w:t xml:space="preserve"> this </w:t>
      </w:r>
      <w:r w:rsidR="00547B25" w:rsidRPr="00F4284C">
        <w:rPr>
          <w:noProof/>
          <w:lang w:val="en-IE" w:eastAsia="zh-CN"/>
        </w:rPr>
        <w:t>Chapter.</w:t>
      </w:r>
    </w:p>
    <w:p w:rsidR="007444E8" w:rsidRDefault="00795BB5" w:rsidP="00795BB5">
      <w:pPr>
        <w:pStyle w:val="ManualNumPar1"/>
        <w:rPr>
          <w:rFonts w:eastAsia="Times New Roman"/>
          <w:noProof/>
          <w:color w:val="000000"/>
          <w:szCs w:val="24"/>
          <w:lang w:val="en-IE" w:eastAsia="zh-CN"/>
        </w:rPr>
      </w:pPr>
      <w:r w:rsidRPr="00795BB5">
        <w:t>2.</w:t>
      </w:r>
      <w:r w:rsidRPr="00795BB5">
        <w:tab/>
      </w:r>
      <w:r w:rsidR="007C0C67" w:rsidRPr="004F7784">
        <w:rPr>
          <w:noProof/>
          <w:lang w:val="en-IE" w:eastAsia="zh-CN"/>
        </w:rPr>
        <w:t>Member States shall ensure that</w:t>
      </w:r>
      <w:r w:rsidR="007444E8">
        <w:rPr>
          <w:rFonts w:eastAsia="Times New Roman"/>
          <w:noProof/>
          <w:color w:val="000000"/>
          <w:szCs w:val="24"/>
          <w:lang w:val="en-IE" w:eastAsia="zh-CN"/>
        </w:rPr>
        <w:t xml:space="preserve">: </w:t>
      </w:r>
    </w:p>
    <w:p w:rsidR="007444E8" w:rsidRDefault="00795BB5" w:rsidP="00795BB5">
      <w:pPr>
        <w:pStyle w:val="Point1"/>
        <w:rPr>
          <w:noProof/>
          <w:lang w:val="en-IE" w:eastAsia="zh-CN"/>
        </w:rPr>
      </w:pPr>
      <w:r w:rsidRPr="00795BB5">
        <w:t>(a)</w:t>
      </w:r>
      <w:r w:rsidRPr="00795BB5">
        <w:tab/>
      </w:r>
      <w:r w:rsidR="00E13017">
        <w:rPr>
          <w:noProof/>
          <w:lang w:val="en-IE" w:eastAsia="zh-CN"/>
        </w:rPr>
        <w:t>registration procedures</w:t>
      </w:r>
      <w:r w:rsidR="00286633">
        <w:rPr>
          <w:noProof/>
          <w:lang w:val="en-IE" w:eastAsia="zh-CN"/>
        </w:rPr>
        <w:t xml:space="preserve"> </w:t>
      </w:r>
      <w:r w:rsidR="00E13017">
        <w:rPr>
          <w:noProof/>
          <w:lang w:val="en-IE" w:eastAsia="zh-CN"/>
        </w:rPr>
        <w:t>operate on the basis of declarations made by hosts</w:t>
      </w:r>
      <w:r w:rsidR="007444E8">
        <w:rPr>
          <w:noProof/>
          <w:lang w:val="en-IE" w:eastAsia="zh-CN"/>
        </w:rPr>
        <w:t>;</w:t>
      </w:r>
    </w:p>
    <w:p w:rsidR="00583876" w:rsidRDefault="00795BB5" w:rsidP="00795BB5">
      <w:pPr>
        <w:pStyle w:val="Point1"/>
        <w:rPr>
          <w:noProof/>
          <w:lang w:val="en-IE" w:eastAsia="zh-CN"/>
        </w:rPr>
      </w:pPr>
      <w:r w:rsidRPr="00795BB5">
        <w:t>(b)</w:t>
      </w:r>
      <w:r w:rsidRPr="00795BB5">
        <w:tab/>
      </w:r>
      <w:r w:rsidR="000F5A57">
        <w:rPr>
          <w:noProof/>
          <w:lang w:val="en-IE" w:eastAsia="zh-CN"/>
        </w:rPr>
        <w:t>registration procedures</w:t>
      </w:r>
      <w:r w:rsidR="004C29D1">
        <w:rPr>
          <w:noProof/>
          <w:lang w:val="en-IE" w:eastAsia="zh-CN"/>
        </w:rPr>
        <w:t xml:space="preserve"> </w:t>
      </w:r>
      <w:r w:rsidR="00F57729">
        <w:rPr>
          <w:noProof/>
          <w:lang w:val="en-IE" w:eastAsia="zh-CN"/>
        </w:rPr>
        <w:t xml:space="preserve">allow </w:t>
      </w:r>
      <w:r w:rsidR="0058244C">
        <w:rPr>
          <w:noProof/>
          <w:lang w:val="en-IE" w:eastAsia="zh-CN"/>
        </w:rPr>
        <w:t xml:space="preserve">for the automatic and immediate </w:t>
      </w:r>
      <w:r w:rsidR="000C74FB">
        <w:rPr>
          <w:noProof/>
          <w:lang w:val="en-IE" w:eastAsia="zh-CN"/>
        </w:rPr>
        <w:t xml:space="preserve">issue </w:t>
      </w:r>
      <w:r w:rsidR="0058244C">
        <w:rPr>
          <w:noProof/>
          <w:lang w:val="en-IE" w:eastAsia="zh-CN"/>
        </w:rPr>
        <w:t xml:space="preserve">of a registration number </w:t>
      </w:r>
      <w:r w:rsidR="009150EB">
        <w:rPr>
          <w:noProof/>
          <w:lang w:val="en-IE" w:eastAsia="zh-CN"/>
        </w:rPr>
        <w:t xml:space="preserve">for a specific unit </w:t>
      </w:r>
      <w:r w:rsidR="0058244C" w:rsidRPr="007444E8">
        <w:rPr>
          <w:noProof/>
          <w:lang w:val="en-IE" w:eastAsia="zh-CN"/>
        </w:rPr>
        <w:t xml:space="preserve">upon the submission </w:t>
      </w:r>
      <w:r w:rsidR="0058244C">
        <w:rPr>
          <w:noProof/>
          <w:lang w:val="en-IE" w:eastAsia="zh-CN"/>
        </w:rPr>
        <w:t xml:space="preserve">by the host </w:t>
      </w:r>
      <w:r w:rsidR="0058244C" w:rsidRPr="007444E8">
        <w:rPr>
          <w:noProof/>
          <w:lang w:val="en-IE" w:eastAsia="zh-CN"/>
        </w:rPr>
        <w:t xml:space="preserve">of </w:t>
      </w:r>
      <w:r w:rsidR="00DF7962">
        <w:rPr>
          <w:noProof/>
          <w:lang w:val="en-IE" w:eastAsia="zh-CN"/>
        </w:rPr>
        <w:t xml:space="preserve">the </w:t>
      </w:r>
      <w:r w:rsidR="00870CC3">
        <w:rPr>
          <w:noProof/>
          <w:lang w:val="en-IE" w:eastAsia="zh-CN"/>
        </w:rPr>
        <w:t xml:space="preserve">information </w:t>
      </w:r>
      <w:r w:rsidR="00DF7962">
        <w:rPr>
          <w:noProof/>
          <w:lang w:val="en-IE" w:eastAsia="zh-CN"/>
        </w:rPr>
        <w:t xml:space="preserve">referred </w:t>
      </w:r>
      <w:r w:rsidR="000C74FB">
        <w:rPr>
          <w:noProof/>
          <w:lang w:val="en-IE" w:eastAsia="zh-CN"/>
        </w:rPr>
        <w:t xml:space="preserve">to </w:t>
      </w:r>
      <w:r w:rsidR="00DF7962">
        <w:rPr>
          <w:noProof/>
          <w:lang w:val="en-IE" w:eastAsia="zh-CN"/>
        </w:rPr>
        <w:t xml:space="preserve">in </w:t>
      </w:r>
      <w:r w:rsidR="0058244C" w:rsidRPr="007444E8">
        <w:rPr>
          <w:noProof/>
          <w:lang w:val="en-IE" w:eastAsia="zh-CN"/>
        </w:rPr>
        <w:t>Article 5</w:t>
      </w:r>
      <w:r w:rsidR="000C74FB">
        <w:rPr>
          <w:noProof/>
          <w:lang w:val="en-IE" w:eastAsia="zh-CN"/>
        </w:rPr>
        <w:t>(1)</w:t>
      </w:r>
      <w:r w:rsidR="00DF7962">
        <w:rPr>
          <w:noProof/>
          <w:lang w:val="en-IE" w:eastAsia="zh-CN"/>
        </w:rPr>
        <w:t xml:space="preserve"> and</w:t>
      </w:r>
      <w:r w:rsidR="00B15410">
        <w:rPr>
          <w:noProof/>
          <w:lang w:val="en-IE" w:eastAsia="zh-CN"/>
        </w:rPr>
        <w:t xml:space="preserve">, </w:t>
      </w:r>
      <w:r w:rsidR="00B15410" w:rsidRPr="00BB203A">
        <w:rPr>
          <w:noProof/>
          <w:lang w:val="en-IE" w:eastAsia="zh-CN"/>
        </w:rPr>
        <w:t>where appropriate,</w:t>
      </w:r>
      <w:r w:rsidR="00DF7962" w:rsidRPr="00BB203A">
        <w:rPr>
          <w:noProof/>
          <w:lang w:val="en-IE" w:eastAsia="zh-CN"/>
        </w:rPr>
        <w:t xml:space="preserve"> any supporting documentation required pursuant to </w:t>
      </w:r>
      <w:r w:rsidR="00B15410" w:rsidRPr="00BB203A">
        <w:rPr>
          <w:noProof/>
          <w:lang w:val="en-IE" w:eastAsia="zh-CN"/>
        </w:rPr>
        <w:t>Article 5(2)</w:t>
      </w:r>
      <w:r w:rsidR="0058244C">
        <w:rPr>
          <w:noProof/>
          <w:lang w:val="en-IE" w:eastAsia="zh-CN"/>
        </w:rPr>
        <w:t>;</w:t>
      </w:r>
    </w:p>
    <w:p w:rsidR="00583876" w:rsidRPr="00DC03BC" w:rsidRDefault="00795BB5" w:rsidP="00795BB5">
      <w:pPr>
        <w:pStyle w:val="Point1"/>
        <w:rPr>
          <w:noProof/>
          <w:lang w:val="en-IE" w:eastAsia="zh-CN"/>
        </w:rPr>
      </w:pPr>
      <w:r w:rsidRPr="00795BB5">
        <w:t>(c)</w:t>
      </w:r>
      <w:r w:rsidRPr="00795BB5">
        <w:tab/>
      </w:r>
      <w:r w:rsidR="00DF7962">
        <w:rPr>
          <w:noProof/>
        </w:rPr>
        <w:t>a unit is not subject to more than one registration procedure</w:t>
      </w:r>
      <w:r w:rsidR="00197338">
        <w:rPr>
          <w:noProof/>
          <w:lang w:val="en-IE" w:eastAsia="zh-CN"/>
        </w:rPr>
        <w:t>;</w:t>
      </w:r>
    </w:p>
    <w:p w:rsidR="009947E6" w:rsidRPr="007E2E9E" w:rsidRDefault="00795BB5" w:rsidP="00795BB5">
      <w:pPr>
        <w:pStyle w:val="Point1"/>
        <w:rPr>
          <w:noProof/>
          <w:lang w:val="en-IE" w:eastAsia="zh-CN"/>
        </w:rPr>
      </w:pPr>
      <w:r w:rsidRPr="00795BB5">
        <w:t>(d)</w:t>
      </w:r>
      <w:r w:rsidRPr="00795BB5">
        <w:tab/>
      </w:r>
      <w:r w:rsidR="00197338">
        <w:rPr>
          <w:noProof/>
          <w:lang w:val="en-IE"/>
        </w:rPr>
        <w:t>t</w:t>
      </w:r>
      <w:r w:rsidR="00197338" w:rsidRPr="007444E8">
        <w:rPr>
          <w:noProof/>
          <w:lang w:val="en-IE"/>
        </w:rPr>
        <w:t xml:space="preserve">echnical means </w:t>
      </w:r>
      <w:r w:rsidR="000F5A57">
        <w:rPr>
          <w:noProof/>
          <w:lang w:val="en-IE"/>
        </w:rPr>
        <w:t xml:space="preserve">are in place </w:t>
      </w:r>
      <w:r w:rsidR="00197338" w:rsidRPr="007444E8">
        <w:rPr>
          <w:noProof/>
          <w:lang w:val="en-IE"/>
        </w:rPr>
        <w:t>to</w:t>
      </w:r>
      <w:r w:rsidR="00D27BF7">
        <w:rPr>
          <w:noProof/>
          <w:lang w:val="en-IE"/>
        </w:rPr>
        <w:t xml:space="preserve"> allow for information</w:t>
      </w:r>
      <w:r w:rsidR="00A003C3">
        <w:rPr>
          <w:noProof/>
          <w:lang w:val="en-IE"/>
        </w:rPr>
        <w:t xml:space="preserve"> and documentation</w:t>
      </w:r>
      <w:r w:rsidR="00D27BF7">
        <w:rPr>
          <w:noProof/>
          <w:lang w:val="en-IE"/>
        </w:rPr>
        <w:t xml:space="preserve"> to be updated by </w:t>
      </w:r>
      <w:r w:rsidR="00925FF7">
        <w:rPr>
          <w:noProof/>
          <w:lang w:val="en-IE"/>
        </w:rPr>
        <w:t xml:space="preserve">a </w:t>
      </w:r>
      <w:r w:rsidR="00D27BF7">
        <w:rPr>
          <w:noProof/>
          <w:lang w:val="en-IE"/>
        </w:rPr>
        <w:t>host</w:t>
      </w:r>
      <w:r w:rsidR="009947E6" w:rsidRPr="007E2E9E">
        <w:rPr>
          <w:noProof/>
          <w:lang w:val="en-IE"/>
        </w:rPr>
        <w:t>;</w:t>
      </w:r>
    </w:p>
    <w:p w:rsidR="007A4BA2" w:rsidRDefault="00795BB5" w:rsidP="00795BB5">
      <w:pPr>
        <w:pStyle w:val="Point1"/>
        <w:rPr>
          <w:noProof/>
          <w:lang w:val="en-IE" w:eastAsia="zh-CN"/>
        </w:rPr>
      </w:pPr>
      <w:r w:rsidRPr="00795BB5">
        <w:t>(e)</w:t>
      </w:r>
      <w:r w:rsidRPr="00795BB5">
        <w:tab/>
      </w:r>
      <w:r w:rsidR="009947E6">
        <w:rPr>
          <w:noProof/>
          <w:lang w:val="en-IE"/>
        </w:rPr>
        <w:t xml:space="preserve">technical means are in place to </w:t>
      </w:r>
      <w:r w:rsidR="00197338" w:rsidRPr="007444E8">
        <w:rPr>
          <w:noProof/>
          <w:lang w:val="en-IE"/>
        </w:rPr>
        <w:t>assess the validity of registration numbe</w:t>
      </w:r>
      <w:r w:rsidR="00197338">
        <w:rPr>
          <w:noProof/>
          <w:lang w:val="en-IE"/>
        </w:rPr>
        <w:t>r</w:t>
      </w:r>
      <w:r w:rsidR="009947E6">
        <w:rPr>
          <w:noProof/>
          <w:lang w:val="en-IE"/>
        </w:rPr>
        <w:t>s</w:t>
      </w:r>
      <w:r w:rsidR="007A4BA2">
        <w:rPr>
          <w:noProof/>
          <w:lang w:val="en-IE"/>
        </w:rPr>
        <w:t>;</w:t>
      </w:r>
    </w:p>
    <w:p w:rsidR="007444E8" w:rsidRDefault="00795BB5" w:rsidP="00795BB5">
      <w:pPr>
        <w:pStyle w:val="Point1"/>
        <w:rPr>
          <w:noProof/>
          <w:lang w:val="en-IE" w:eastAsia="zh-CN"/>
        </w:rPr>
      </w:pPr>
      <w:r w:rsidRPr="00795BB5">
        <w:t>(f)</w:t>
      </w:r>
      <w:r w:rsidRPr="00795BB5">
        <w:tab/>
      </w:r>
      <w:r w:rsidR="00EB4DB6">
        <w:rPr>
          <w:noProof/>
          <w:lang w:val="en-IE"/>
        </w:rPr>
        <w:t xml:space="preserve">technical means are in place to allow a host to remove a unit from the registry referred to in paragraph </w:t>
      </w:r>
      <w:r w:rsidR="008E0EF6">
        <w:rPr>
          <w:noProof/>
          <w:lang w:val="en-IE"/>
        </w:rPr>
        <w:t>3</w:t>
      </w:r>
      <w:r w:rsidR="00BB4E99">
        <w:rPr>
          <w:noProof/>
          <w:lang w:val="en-IE"/>
        </w:rPr>
        <w:t>;</w:t>
      </w:r>
    </w:p>
    <w:p w:rsidR="00BB4E99" w:rsidRPr="003B794E" w:rsidRDefault="00795BB5" w:rsidP="00795BB5">
      <w:pPr>
        <w:pStyle w:val="Point1"/>
        <w:rPr>
          <w:noProof/>
          <w:lang w:val="en-IE"/>
        </w:rPr>
      </w:pPr>
      <w:r w:rsidRPr="00795BB5">
        <w:t>(g)</w:t>
      </w:r>
      <w:r w:rsidRPr="00795BB5">
        <w:tab/>
      </w:r>
      <w:r w:rsidR="00BB4E99" w:rsidRPr="00BB4E99">
        <w:rPr>
          <w:noProof/>
          <w:lang w:val="en-IE"/>
        </w:rPr>
        <w:t>hosts are required</w:t>
      </w:r>
      <w:r w:rsidR="007E4441">
        <w:rPr>
          <w:noProof/>
          <w:lang w:val="en-IE"/>
        </w:rPr>
        <w:t>,</w:t>
      </w:r>
      <w:r w:rsidR="00BB4E99" w:rsidRPr="00BB4E99">
        <w:rPr>
          <w:noProof/>
          <w:lang w:val="en-IE"/>
        </w:rPr>
        <w:t xml:space="preserve"> </w:t>
      </w:r>
      <w:r w:rsidR="007E4441">
        <w:rPr>
          <w:noProof/>
          <w:lang w:val="en-IE"/>
        </w:rPr>
        <w:t>when offering their short-term accommodation rental services via an online short-term rental platform</w:t>
      </w:r>
      <w:r w:rsidR="00C64E68">
        <w:rPr>
          <w:noProof/>
          <w:lang w:val="en-IE"/>
        </w:rPr>
        <w:t>,</w:t>
      </w:r>
      <w:r w:rsidR="007E4441">
        <w:rPr>
          <w:noProof/>
          <w:lang w:val="en-IE"/>
        </w:rPr>
        <w:t xml:space="preserve"> </w:t>
      </w:r>
      <w:r w:rsidR="007E4441" w:rsidRPr="00BB4E99">
        <w:rPr>
          <w:noProof/>
          <w:lang w:val="en-IE"/>
        </w:rPr>
        <w:t xml:space="preserve">to </w:t>
      </w:r>
      <w:r w:rsidR="007E4441">
        <w:rPr>
          <w:noProof/>
          <w:lang w:val="en-IE"/>
        </w:rPr>
        <w:t xml:space="preserve">declare whether </w:t>
      </w:r>
      <w:r w:rsidR="00BB4E99">
        <w:rPr>
          <w:noProof/>
          <w:lang w:val="en-IE"/>
        </w:rPr>
        <w:t xml:space="preserve">the </w:t>
      </w:r>
      <w:r w:rsidR="00BB4E99" w:rsidRPr="00BB4E99">
        <w:rPr>
          <w:noProof/>
          <w:lang w:val="en-IE"/>
        </w:rPr>
        <w:t xml:space="preserve">unit offered is located in an area where a registration procedure </w:t>
      </w:r>
      <w:r w:rsidR="00BB4E99">
        <w:rPr>
          <w:noProof/>
          <w:lang w:val="en-IE"/>
        </w:rPr>
        <w:t>has been established or applies</w:t>
      </w:r>
      <w:r w:rsidR="007E4441">
        <w:rPr>
          <w:noProof/>
          <w:lang w:val="en-IE"/>
        </w:rPr>
        <w:t xml:space="preserve"> and, if so, to provide the registration number.</w:t>
      </w:r>
    </w:p>
    <w:p w:rsidR="00FF2864" w:rsidRPr="003B794E" w:rsidRDefault="00795BB5" w:rsidP="00795BB5">
      <w:pPr>
        <w:pStyle w:val="ManualNumPar1"/>
        <w:rPr>
          <w:noProof/>
          <w:lang w:val="en-IE" w:eastAsia="zh-CN"/>
        </w:rPr>
      </w:pPr>
      <w:r w:rsidRPr="00795BB5">
        <w:t>3.</w:t>
      </w:r>
      <w:r w:rsidRPr="00795BB5">
        <w:tab/>
      </w:r>
      <w:r w:rsidR="00FF2864" w:rsidRPr="00165459">
        <w:rPr>
          <w:noProof/>
          <w:lang w:val="en-IE"/>
        </w:rPr>
        <w:t xml:space="preserve">Member States </w:t>
      </w:r>
      <w:r w:rsidR="00FF2864" w:rsidRPr="00165459">
        <w:rPr>
          <w:noProof/>
        </w:rPr>
        <w:t xml:space="preserve">shall ensure that hosts are able to request that the information or documentation provided pursuant to </w:t>
      </w:r>
      <w:r w:rsidR="00FF2864">
        <w:rPr>
          <w:noProof/>
        </w:rPr>
        <w:t>Article</w:t>
      </w:r>
      <w:r w:rsidR="00FF2864" w:rsidRPr="00165459">
        <w:rPr>
          <w:noProof/>
        </w:rPr>
        <w:t xml:space="preserve"> </w:t>
      </w:r>
      <w:r w:rsidR="00FF2864">
        <w:rPr>
          <w:noProof/>
        </w:rPr>
        <w:t>5</w:t>
      </w:r>
      <w:r w:rsidR="00FF2864">
        <w:rPr>
          <w:noProof/>
          <w:lang w:val="en-IE"/>
        </w:rPr>
        <w:t>(</w:t>
      </w:r>
      <w:r w:rsidR="00FF2864" w:rsidRPr="00165459">
        <w:rPr>
          <w:noProof/>
        </w:rPr>
        <w:t>1</w:t>
      </w:r>
      <w:r w:rsidR="00FF2864">
        <w:rPr>
          <w:noProof/>
        </w:rPr>
        <w:t>)</w:t>
      </w:r>
      <w:r w:rsidR="00FF2864" w:rsidRPr="00165459">
        <w:rPr>
          <w:noProof/>
        </w:rPr>
        <w:t xml:space="preserve"> and </w:t>
      </w:r>
      <w:r w:rsidR="00FF2864">
        <w:rPr>
          <w:noProof/>
        </w:rPr>
        <w:t>(</w:t>
      </w:r>
      <w:r w:rsidR="00FF2864" w:rsidRPr="00165459">
        <w:rPr>
          <w:noProof/>
        </w:rPr>
        <w:t>2</w:t>
      </w:r>
      <w:r w:rsidR="00FF2864">
        <w:rPr>
          <w:noProof/>
        </w:rPr>
        <w:t>)</w:t>
      </w:r>
      <w:r w:rsidR="00FF2864" w:rsidRPr="00165459">
        <w:rPr>
          <w:noProof/>
        </w:rPr>
        <w:t xml:space="preserve"> can be re-used for the purposes of subsequent registrations.</w:t>
      </w:r>
    </w:p>
    <w:p w:rsidR="007444E8" w:rsidRPr="00DC2E8B" w:rsidRDefault="00795BB5" w:rsidP="00795BB5">
      <w:pPr>
        <w:pStyle w:val="ManualNumPar1"/>
        <w:rPr>
          <w:noProof/>
          <w:lang w:val="en-IE" w:eastAsia="zh-CN"/>
        </w:rPr>
      </w:pPr>
      <w:r w:rsidRPr="00795BB5">
        <w:t>4.</w:t>
      </w:r>
      <w:r w:rsidRPr="00795BB5">
        <w:tab/>
      </w:r>
      <w:r w:rsidR="0058244C" w:rsidRPr="0058244C">
        <w:rPr>
          <w:noProof/>
          <w:lang w:val="en-IE" w:eastAsia="zh-CN"/>
        </w:rPr>
        <w:t>Member States shall ensure that registration numbers are included in a registry</w:t>
      </w:r>
      <w:r w:rsidR="003F4421" w:rsidRPr="0058244C">
        <w:rPr>
          <w:noProof/>
          <w:lang w:val="en-IE" w:eastAsia="zh-CN"/>
        </w:rPr>
        <w:t xml:space="preserve">. </w:t>
      </w:r>
      <w:r w:rsidR="003F4421" w:rsidRPr="00DC2E8B">
        <w:rPr>
          <w:noProof/>
          <w:lang w:val="en-IE" w:eastAsia="zh-CN"/>
        </w:rPr>
        <w:t xml:space="preserve">The competent authority </w:t>
      </w:r>
      <w:r w:rsidR="00552043">
        <w:rPr>
          <w:noProof/>
          <w:lang w:val="en-IE" w:eastAsia="zh-CN"/>
        </w:rPr>
        <w:t xml:space="preserve">issuing </w:t>
      </w:r>
      <w:r w:rsidR="003F4421" w:rsidRPr="00DC2E8B">
        <w:rPr>
          <w:noProof/>
          <w:lang w:val="en-IE" w:eastAsia="zh-CN"/>
        </w:rPr>
        <w:t xml:space="preserve">the registration number </w:t>
      </w:r>
      <w:r w:rsidR="00415FD7" w:rsidRPr="006D1C73">
        <w:rPr>
          <w:noProof/>
          <w:lang w:val="en-IE" w:eastAsia="zh-CN"/>
        </w:rPr>
        <w:t xml:space="preserve">shall </w:t>
      </w:r>
      <w:r w:rsidR="003F4421" w:rsidRPr="00DC2E8B">
        <w:rPr>
          <w:noProof/>
          <w:lang w:val="en-IE" w:eastAsia="zh-CN"/>
        </w:rPr>
        <w:t>be responsible for</w:t>
      </w:r>
      <w:r w:rsidR="00552043">
        <w:rPr>
          <w:noProof/>
          <w:lang w:val="en-IE" w:eastAsia="zh-CN"/>
        </w:rPr>
        <w:t xml:space="preserve"> establishing and </w:t>
      </w:r>
      <w:r w:rsidR="003F4421" w:rsidRPr="00DC2E8B">
        <w:rPr>
          <w:noProof/>
          <w:lang w:val="en-IE" w:eastAsia="zh-CN"/>
        </w:rPr>
        <w:t>maintaining the registry.</w:t>
      </w:r>
      <w:r w:rsidR="00415FD7" w:rsidRPr="006D1C73">
        <w:rPr>
          <w:noProof/>
          <w:lang w:val="en-IE" w:eastAsia="zh-CN"/>
        </w:rPr>
        <w:t xml:space="preserve"> </w:t>
      </w:r>
    </w:p>
    <w:p w:rsidR="007C0C67" w:rsidRPr="004F7784" w:rsidRDefault="007C0C67" w:rsidP="007C0C67">
      <w:pPr>
        <w:pStyle w:val="Titrearticle"/>
        <w:rPr>
          <w:noProof/>
          <w:lang w:val="en-IE"/>
        </w:rPr>
      </w:pPr>
      <w:r w:rsidRPr="004F7784">
        <w:rPr>
          <w:noProof/>
          <w:lang w:val="en-IE"/>
        </w:rPr>
        <w:t>Article 5</w:t>
      </w:r>
    </w:p>
    <w:p w:rsidR="007C0C67" w:rsidRPr="004F7784" w:rsidRDefault="00BA57F0" w:rsidP="007C0C67">
      <w:pPr>
        <w:pStyle w:val="NormalCentered"/>
        <w:rPr>
          <w:b/>
          <w:noProof/>
          <w:lang w:val="en-IE"/>
        </w:rPr>
      </w:pPr>
      <w:r>
        <w:rPr>
          <w:b/>
          <w:noProof/>
          <w:lang w:val="en-IE"/>
        </w:rPr>
        <w:t xml:space="preserve">Information to be provided </w:t>
      </w:r>
      <w:r w:rsidR="007C0C67" w:rsidRPr="004F7784">
        <w:rPr>
          <w:b/>
          <w:noProof/>
          <w:lang w:val="en-IE"/>
        </w:rPr>
        <w:t>by hosts</w:t>
      </w:r>
    </w:p>
    <w:p w:rsidR="00CA4B78" w:rsidRPr="001634D6" w:rsidRDefault="00795BB5" w:rsidP="00795BB5">
      <w:pPr>
        <w:pStyle w:val="ManualNumPar1"/>
        <w:rPr>
          <w:noProof/>
          <w:lang w:val="en-IE" w:eastAsia="zh-CN"/>
        </w:rPr>
      </w:pPr>
      <w:r w:rsidRPr="00795BB5">
        <w:t>1.</w:t>
      </w:r>
      <w:r w:rsidRPr="00795BB5">
        <w:tab/>
      </w:r>
      <w:r w:rsidR="00046835">
        <w:rPr>
          <w:noProof/>
          <w:lang w:val="en-IE" w:eastAsia="zh-CN"/>
        </w:rPr>
        <w:t>When registering pursuant to a</w:t>
      </w:r>
      <w:r w:rsidR="00CA4B78" w:rsidRPr="001634D6">
        <w:rPr>
          <w:noProof/>
          <w:lang w:val="en-IE" w:eastAsia="zh-CN"/>
        </w:rPr>
        <w:t xml:space="preserve"> registration procedure</w:t>
      </w:r>
      <w:r w:rsidR="00046835">
        <w:rPr>
          <w:noProof/>
          <w:lang w:val="en-IE" w:eastAsia="zh-CN"/>
        </w:rPr>
        <w:t xml:space="preserve"> referred to</w:t>
      </w:r>
      <w:r w:rsidR="00CA4B78" w:rsidRPr="001634D6">
        <w:rPr>
          <w:noProof/>
          <w:lang w:val="en-IE" w:eastAsia="zh-CN"/>
        </w:rPr>
        <w:t xml:space="preserve"> in Article 4</w:t>
      </w:r>
      <w:r w:rsidR="00046835">
        <w:rPr>
          <w:noProof/>
          <w:lang w:val="en-IE" w:eastAsia="zh-CN"/>
        </w:rPr>
        <w:t>, a host</w:t>
      </w:r>
      <w:r w:rsidR="00CA4B78" w:rsidRPr="001634D6">
        <w:rPr>
          <w:noProof/>
          <w:lang w:val="en-IE" w:eastAsia="zh-CN"/>
        </w:rPr>
        <w:t xml:space="preserve"> shall</w:t>
      </w:r>
      <w:r w:rsidR="00046835">
        <w:rPr>
          <w:noProof/>
          <w:lang w:val="en-IE" w:eastAsia="zh-CN"/>
        </w:rPr>
        <w:t xml:space="preserve"> submit</w:t>
      </w:r>
      <w:r w:rsidR="00930C72">
        <w:rPr>
          <w:noProof/>
          <w:lang w:val="en-IE" w:eastAsia="zh-CN"/>
        </w:rPr>
        <w:t xml:space="preserve"> </w:t>
      </w:r>
      <w:r w:rsidR="00CA4B78" w:rsidRPr="001634D6">
        <w:rPr>
          <w:noProof/>
          <w:lang w:val="en-IE" w:eastAsia="zh-CN"/>
        </w:rPr>
        <w:t>the following information</w:t>
      </w:r>
      <w:r w:rsidR="0078296B">
        <w:rPr>
          <w:noProof/>
          <w:lang w:val="en-IE" w:eastAsia="zh-CN"/>
        </w:rPr>
        <w:t xml:space="preserve"> by way of declaration</w:t>
      </w:r>
      <w:r w:rsidR="00CA4B78" w:rsidRPr="001634D6">
        <w:rPr>
          <w:noProof/>
          <w:lang w:val="en-IE" w:eastAsia="zh-CN"/>
        </w:rPr>
        <w:t xml:space="preserve">: </w:t>
      </w:r>
    </w:p>
    <w:p w:rsidR="00E11449" w:rsidRPr="004F7784" w:rsidRDefault="00795BB5" w:rsidP="00795BB5">
      <w:pPr>
        <w:pStyle w:val="Point1"/>
        <w:rPr>
          <w:noProof/>
          <w:lang w:val="en-IE"/>
        </w:rPr>
      </w:pPr>
      <w:r w:rsidRPr="00795BB5">
        <w:t>(a)</w:t>
      </w:r>
      <w:r w:rsidRPr="00795BB5">
        <w:tab/>
      </w:r>
      <w:r w:rsidR="00E11449">
        <w:rPr>
          <w:noProof/>
          <w:lang w:val="en-IE"/>
        </w:rPr>
        <w:t>for</w:t>
      </w:r>
      <w:r w:rsidR="00E11449" w:rsidRPr="004F7784">
        <w:rPr>
          <w:noProof/>
          <w:lang w:val="en-IE"/>
        </w:rPr>
        <w:t xml:space="preserve"> </w:t>
      </w:r>
      <w:r w:rsidR="00E11449">
        <w:rPr>
          <w:noProof/>
          <w:lang w:val="en-IE"/>
        </w:rPr>
        <w:t xml:space="preserve">each </w:t>
      </w:r>
      <w:r w:rsidR="00E11449" w:rsidRPr="004F7784">
        <w:rPr>
          <w:noProof/>
          <w:lang w:val="en-IE"/>
        </w:rPr>
        <w:t xml:space="preserve">unit: </w:t>
      </w:r>
    </w:p>
    <w:p w:rsidR="00E11449" w:rsidRPr="004F7784" w:rsidRDefault="00795BB5" w:rsidP="00795BB5">
      <w:pPr>
        <w:pStyle w:val="Point2"/>
        <w:rPr>
          <w:noProof/>
          <w:lang w:val="en-IE"/>
        </w:rPr>
      </w:pPr>
      <w:r w:rsidRPr="00795BB5">
        <w:t>(1)</w:t>
      </w:r>
      <w:r w:rsidRPr="00795BB5">
        <w:tab/>
      </w:r>
      <w:r w:rsidR="00E11449" w:rsidRPr="004F7784">
        <w:rPr>
          <w:noProof/>
          <w:lang w:val="en-IE"/>
        </w:rPr>
        <w:t xml:space="preserve">the address of the unit; </w:t>
      </w:r>
    </w:p>
    <w:p w:rsidR="00E11449" w:rsidRDefault="00795BB5" w:rsidP="00795BB5">
      <w:pPr>
        <w:pStyle w:val="Point2"/>
        <w:rPr>
          <w:noProof/>
          <w:lang w:val="en-IE"/>
        </w:rPr>
      </w:pPr>
      <w:r w:rsidRPr="00795BB5">
        <w:t>(2)</w:t>
      </w:r>
      <w:r w:rsidRPr="00795BB5">
        <w:tab/>
      </w:r>
      <w:r w:rsidR="00E11449" w:rsidRPr="004F26CB">
        <w:rPr>
          <w:noProof/>
          <w:lang w:val="en-IE"/>
        </w:rPr>
        <w:t xml:space="preserve">the type of unit; </w:t>
      </w:r>
    </w:p>
    <w:p w:rsidR="00E11449" w:rsidRPr="004F7784" w:rsidRDefault="00795BB5" w:rsidP="00795BB5">
      <w:pPr>
        <w:pStyle w:val="Point2"/>
        <w:rPr>
          <w:noProof/>
          <w:lang w:val="en-IE"/>
        </w:rPr>
      </w:pPr>
      <w:r w:rsidRPr="00795BB5">
        <w:t>(3)</w:t>
      </w:r>
      <w:r w:rsidRPr="00795BB5">
        <w:tab/>
      </w:r>
      <w:r w:rsidR="00E11449">
        <w:rPr>
          <w:noProof/>
          <w:lang w:val="en-IE"/>
        </w:rPr>
        <w:t xml:space="preserve">whether the unit </w:t>
      </w:r>
      <w:r w:rsidR="00E11449" w:rsidRPr="000E5ADD">
        <w:rPr>
          <w:noProof/>
          <w:lang w:val="en-IE"/>
        </w:rPr>
        <w:t xml:space="preserve">is offered as a part </w:t>
      </w:r>
      <w:r w:rsidR="00E11449">
        <w:rPr>
          <w:noProof/>
          <w:lang w:val="en-IE"/>
        </w:rPr>
        <w:t xml:space="preserve">or whole </w:t>
      </w:r>
      <w:r w:rsidR="00E11449" w:rsidRPr="000E5ADD">
        <w:rPr>
          <w:noProof/>
          <w:lang w:val="en-IE"/>
        </w:rPr>
        <w:t xml:space="preserve">of </w:t>
      </w:r>
      <w:r w:rsidR="00E11449">
        <w:rPr>
          <w:noProof/>
          <w:lang w:val="en-IE"/>
        </w:rPr>
        <w:t>the host’s</w:t>
      </w:r>
      <w:r w:rsidR="00E11449" w:rsidRPr="000E5ADD">
        <w:rPr>
          <w:noProof/>
          <w:lang w:val="en-IE"/>
        </w:rPr>
        <w:t xml:space="preserve"> primary or secondary residence, or for</w:t>
      </w:r>
      <w:r w:rsidR="00E11449">
        <w:rPr>
          <w:noProof/>
          <w:lang w:val="en-IE"/>
        </w:rPr>
        <w:t xml:space="preserve"> other</w:t>
      </w:r>
      <w:r w:rsidR="00E11449" w:rsidRPr="000E5ADD">
        <w:rPr>
          <w:noProof/>
          <w:lang w:val="en-IE"/>
        </w:rPr>
        <w:t xml:space="preserve"> purposes</w:t>
      </w:r>
      <w:r w:rsidR="00E11449">
        <w:rPr>
          <w:noProof/>
          <w:lang w:val="en-IE"/>
        </w:rPr>
        <w:t xml:space="preserve">; </w:t>
      </w:r>
    </w:p>
    <w:p w:rsidR="00E11449" w:rsidRPr="00E11449" w:rsidRDefault="00795BB5" w:rsidP="00795BB5">
      <w:pPr>
        <w:pStyle w:val="Point2"/>
        <w:rPr>
          <w:noProof/>
          <w:lang w:val="en-IE"/>
        </w:rPr>
      </w:pPr>
      <w:r w:rsidRPr="00795BB5">
        <w:t>(4)</w:t>
      </w:r>
      <w:r w:rsidRPr="00795BB5">
        <w:tab/>
      </w:r>
      <w:r w:rsidR="00E11449" w:rsidRPr="00E11449">
        <w:rPr>
          <w:noProof/>
          <w:lang w:val="en-IE"/>
        </w:rPr>
        <w:t>the maximum number of guests that the unit can accommodate</w:t>
      </w:r>
      <w:r w:rsidR="00E11449">
        <w:rPr>
          <w:noProof/>
          <w:lang w:val="en-IE"/>
        </w:rPr>
        <w:t>;</w:t>
      </w:r>
    </w:p>
    <w:p w:rsidR="00FB3E6A" w:rsidRPr="00C54FBF" w:rsidRDefault="00795BB5" w:rsidP="00795BB5">
      <w:pPr>
        <w:pStyle w:val="Point1"/>
        <w:rPr>
          <w:noProof/>
          <w:lang w:val="en-IE"/>
        </w:rPr>
      </w:pPr>
      <w:r w:rsidRPr="00795BB5">
        <w:t>(b)</w:t>
      </w:r>
      <w:r w:rsidRPr="00795BB5">
        <w:tab/>
      </w:r>
      <w:r w:rsidR="00035280">
        <w:rPr>
          <w:noProof/>
          <w:lang w:val="en-IE"/>
        </w:rPr>
        <w:t>w</w:t>
      </w:r>
      <w:r w:rsidR="00552043">
        <w:rPr>
          <w:noProof/>
          <w:lang w:val="en-IE"/>
        </w:rPr>
        <w:t xml:space="preserve">here </w:t>
      </w:r>
      <w:r w:rsidR="00FB3E6A" w:rsidRPr="00C54FBF">
        <w:rPr>
          <w:noProof/>
          <w:lang w:val="en-IE"/>
        </w:rPr>
        <w:t>the host</w:t>
      </w:r>
      <w:r w:rsidR="0055113F">
        <w:rPr>
          <w:noProof/>
          <w:lang w:val="en-IE"/>
        </w:rPr>
        <w:t>s</w:t>
      </w:r>
      <w:r w:rsidR="00FB3E6A" w:rsidRPr="00C54FBF">
        <w:rPr>
          <w:noProof/>
          <w:lang w:val="en-IE"/>
        </w:rPr>
        <w:t xml:space="preserve"> </w:t>
      </w:r>
      <w:r w:rsidR="0055113F">
        <w:rPr>
          <w:noProof/>
          <w:lang w:val="en-IE"/>
        </w:rPr>
        <w:t xml:space="preserve">are </w:t>
      </w:r>
      <w:r w:rsidR="00FB3E6A" w:rsidRPr="00C54FBF">
        <w:rPr>
          <w:noProof/>
          <w:lang w:val="en-IE"/>
        </w:rPr>
        <w:t>natural person</w:t>
      </w:r>
      <w:r w:rsidR="0055113F">
        <w:rPr>
          <w:noProof/>
          <w:lang w:val="en-IE"/>
        </w:rPr>
        <w:t>s</w:t>
      </w:r>
      <w:r w:rsidR="00FB3E6A" w:rsidRPr="00C54FBF">
        <w:rPr>
          <w:noProof/>
          <w:lang w:val="en-IE"/>
        </w:rPr>
        <w:t>:</w:t>
      </w:r>
    </w:p>
    <w:p w:rsidR="00FB3E6A" w:rsidRDefault="00795BB5" w:rsidP="00795BB5">
      <w:pPr>
        <w:pStyle w:val="Point2"/>
        <w:rPr>
          <w:noProof/>
          <w:lang w:val="en-IE"/>
        </w:rPr>
      </w:pPr>
      <w:r w:rsidRPr="00795BB5">
        <w:t>(1)</w:t>
      </w:r>
      <w:r w:rsidRPr="00795BB5">
        <w:tab/>
      </w:r>
      <w:r w:rsidR="00CA4B78" w:rsidRPr="00C54FBF">
        <w:rPr>
          <w:noProof/>
          <w:lang w:val="en-IE"/>
        </w:rPr>
        <w:t>the</w:t>
      </w:r>
      <w:r w:rsidR="0055113F">
        <w:rPr>
          <w:noProof/>
          <w:lang w:val="en-IE"/>
        </w:rPr>
        <w:t>ir</w:t>
      </w:r>
      <w:r w:rsidR="00CA4B78" w:rsidRPr="00C54FBF">
        <w:rPr>
          <w:noProof/>
          <w:lang w:val="en-IE"/>
        </w:rPr>
        <w:t xml:space="preserve"> name</w:t>
      </w:r>
      <w:r w:rsidR="00FB3E6A" w:rsidRPr="00C54FBF">
        <w:rPr>
          <w:noProof/>
          <w:lang w:val="en-IE"/>
        </w:rPr>
        <w:t>;</w:t>
      </w:r>
      <w:r w:rsidR="00CA4B78" w:rsidRPr="00C54FBF">
        <w:rPr>
          <w:noProof/>
          <w:lang w:val="en-IE"/>
        </w:rPr>
        <w:t xml:space="preserve"> </w:t>
      </w:r>
    </w:p>
    <w:p w:rsidR="00136D7D" w:rsidRPr="00C54FBF" w:rsidRDefault="00795BB5" w:rsidP="00795BB5">
      <w:pPr>
        <w:pStyle w:val="Point2"/>
        <w:rPr>
          <w:noProof/>
          <w:lang w:val="en-IE"/>
        </w:rPr>
      </w:pPr>
      <w:r w:rsidRPr="00795BB5">
        <w:t>(2)</w:t>
      </w:r>
      <w:r w:rsidRPr="00795BB5">
        <w:tab/>
      </w:r>
      <w:r w:rsidR="008A6D72">
        <w:rPr>
          <w:noProof/>
          <w:lang w:val="en-IE"/>
        </w:rPr>
        <w:t>a</w:t>
      </w:r>
      <w:r w:rsidR="00AB41F7">
        <w:rPr>
          <w:noProof/>
          <w:lang w:val="en-IE"/>
        </w:rPr>
        <w:t xml:space="preserve"> </w:t>
      </w:r>
      <w:r w:rsidR="00C24AE3">
        <w:rPr>
          <w:noProof/>
          <w:lang w:val="en-IE"/>
        </w:rPr>
        <w:t xml:space="preserve">national </w:t>
      </w:r>
      <w:r w:rsidR="00046835">
        <w:rPr>
          <w:noProof/>
          <w:lang w:val="en-IE"/>
        </w:rPr>
        <w:t xml:space="preserve">identification </w:t>
      </w:r>
      <w:r w:rsidR="00136D7D">
        <w:rPr>
          <w:noProof/>
          <w:lang w:val="en-IE"/>
        </w:rPr>
        <w:t>number</w:t>
      </w:r>
      <w:r w:rsidR="00046835">
        <w:rPr>
          <w:noProof/>
          <w:lang w:val="en-IE"/>
        </w:rPr>
        <w:t xml:space="preserve"> </w:t>
      </w:r>
      <w:r w:rsidR="00777147">
        <w:rPr>
          <w:noProof/>
          <w:lang w:val="en-US"/>
        </w:rPr>
        <w:t>or, if not available, other information allowing the identification of the person</w:t>
      </w:r>
      <w:r w:rsidR="00136D7D">
        <w:rPr>
          <w:noProof/>
          <w:lang w:val="en-IE"/>
        </w:rPr>
        <w:t>;</w:t>
      </w:r>
    </w:p>
    <w:p w:rsidR="00FB3E6A" w:rsidRPr="00C54FBF" w:rsidRDefault="00795BB5" w:rsidP="00795BB5">
      <w:pPr>
        <w:pStyle w:val="Point2"/>
        <w:rPr>
          <w:noProof/>
          <w:lang w:val="en-IE"/>
        </w:rPr>
      </w:pPr>
      <w:r w:rsidRPr="00795BB5">
        <w:t>(3)</w:t>
      </w:r>
      <w:r w:rsidRPr="00795BB5">
        <w:tab/>
      </w:r>
      <w:r w:rsidR="00552043">
        <w:rPr>
          <w:noProof/>
          <w:lang w:val="en-IE"/>
        </w:rPr>
        <w:t>the</w:t>
      </w:r>
      <w:r w:rsidR="00C277A1">
        <w:rPr>
          <w:noProof/>
          <w:lang w:val="en-IE"/>
        </w:rPr>
        <w:t>ir</w:t>
      </w:r>
      <w:r w:rsidR="00552043">
        <w:rPr>
          <w:noProof/>
          <w:lang w:val="en-IE"/>
        </w:rPr>
        <w:t xml:space="preserve"> </w:t>
      </w:r>
      <w:r w:rsidR="00FB3E6A" w:rsidRPr="00C54FBF">
        <w:rPr>
          <w:noProof/>
          <w:lang w:val="en-IE"/>
        </w:rPr>
        <w:t>address;</w:t>
      </w:r>
    </w:p>
    <w:p w:rsidR="00FB3E6A" w:rsidRPr="00C54FBF" w:rsidRDefault="00795BB5" w:rsidP="00795BB5">
      <w:pPr>
        <w:pStyle w:val="Point2"/>
        <w:rPr>
          <w:noProof/>
          <w:lang w:val="en-IE"/>
        </w:rPr>
      </w:pPr>
      <w:r w:rsidRPr="00795BB5">
        <w:t>(4)</w:t>
      </w:r>
      <w:r w:rsidRPr="00795BB5">
        <w:tab/>
      </w:r>
      <w:r w:rsidR="00C277A1">
        <w:rPr>
          <w:noProof/>
          <w:lang w:val="en-IE"/>
        </w:rPr>
        <w:t>their</w:t>
      </w:r>
      <w:r w:rsidR="00782A12">
        <w:rPr>
          <w:noProof/>
          <w:lang w:val="en-IE"/>
        </w:rPr>
        <w:t xml:space="preserve"> contact </w:t>
      </w:r>
      <w:r w:rsidR="00CA4B78" w:rsidRPr="00C54FBF">
        <w:rPr>
          <w:noProof/>
          <w:lang w:val="en-IE"/>
        </w:rPr>
        <w:t>telephone number</w:t>
      </w:r>
      <w:r w:rsidR="00FB3E6A" w:rsidRPr="00C54FBF">
        <w:rPr>
          <w:noProof/>
          <w:lang w:val="en-IE"/>
        </w:rPr>
        <w:t xml:space="preserve">; </w:t>
      </w:r>
    </w:p>
    <w:p w:rsidR="00CA4B78" w:rsidRPr="00C54FBF" w:rsidRDefault="00795BB5" w:rsidP="00795BB5">
      <w:pPr>
        <w:pStyle w:val="Point2"/>
        <w:rPr>
          <w:noProof/>
          <w:lang w:val="en-IE"/>
        </w:rPr>
      </w:pPr>
      <w:r w:rsidRPr="00795BB5">
        <w:t>(5)</w:t>
      </w:r>
      <w:r w:rsidRPr="00795BB5">
        <w:tab/>
      </w:r>
      <w:r w:rsidR="00C277A1">
        <w:rPr>
          <w:noProof/>
          <w:lang w:val="en-IE"/>
        </w:rPr>
        <w:t>the</w:t>
      </w:r>
      <w:r w:rsidR="00782A12">
        <w:rPr>
          <w:noProof/>
          <w:lang w:val="en-IE"/>
        </w:rPr>
        <w:t xml:space="preserve"> </w:t>
      </w:r>
      <w:r w:rsidR="00CA4B78" w:rsidRPr="00C54FBF">
        <w:rPr>
          <w:noProof/>
          <w:lang w:val="en-IE"/>
        </w:rPr>
        <w:t>electronic mail address</w:t>
      </w:r>
      <w:r w:rsidR="00C277A1">
        <w:rPr>
          <w:noProof/>
          <w:lang w:val="en-IE"/>
        </w:rPr>
        <w:t xml:space="preserve"> that the competent authority can use for written communication</w:t>
      </w:r>
      <w:r w:rsidR="00FB3E6A" w:rsidRPr="00C54FBF">
        <w:rPr>
          <w:noProof/>
          <w:lang w:val="en-IE"/>
        </w:rPr>
        <w:t>;</w:t>
      </w:r>
    </w:p>
    <w:p w:rsidR="00FB3E6A" w:rsidRPr="004F7784" w:rsidRDefault="00795BB5" w:rsidP="00795BB5">
      <w:pPr>
        <w:pStyle w:val="Point1"/>
        <w:rPr>
          <w:noProof/>
          <w:lang w:val="en-IE"/>
        </w:rPr>
      </w:pPr>
      <w:r w:rsidRPr="00795BB5">
        <w:t>(c)</w:t>
      </w:r>
      <w:r w:rsidRPr="00795BB5">
        <w:tab/>
      </w:r>
      <w:r w:rsidR="00552043">
        <w:rPr>
          <w:noProof/>
          <w:lang w:val="en-IE"/>
        </w:rPr>
        <w:t>where</w:t>
      </w:r>
      <w:r w:rsidR="00FB3E6A" w:rsidRPr="004F7784">
        <w:rPr>
          <w:noProof/>
          <w:lang w:val="en-IE"/>
        </w:rPr>
        <w:t xml:space="preserve"> the host</w:t>
      </w:r>
      <w:r w:rsidR="00A138DF">
        <w:rPr>
          <w:noProof/>
          <w:lang w:val="en-IE"/>
        </w:rPr>
        <w:t>s</w:t>
      </w:r>
      <w:r w:rsidR="00FB3E6A" w:rsidRPr="004F7784">
        <w:rPr>
          <w:noProof/>
          <w:lang w:val="en-IE"/>
        </w:rPr>
        <w:t xml:space="preserve"> </w:t>
      </w:r>
      <w:r w:rsidR="00A138DF">
        <w:rPr>
          <w:noProof/>
          <w:lang w:val="en-IE"/>
        </w:rPr>
        <w:t xml:space="preserve">are </w:t>
      </w:r>
      <w:r w:rsidR="00FB3E6A" w:rsidRPr="004F7784">
        <w:rPr>
          <w:noProof/>
          <w:lang w:val="en-IE"/>
        </w:rPr>
        <w:t>legal person</w:t>
      </w:r>
      <w:r w:rsidR="00A138DF">
        <w:rPr>
          <w:noProof/>
          <w:lang w:val="en-IE"/>
        </w:rPr>
        <w:t>s</w:t>
      </w:r>
      <w:r w:rsidR="00FB3E6A" w:rsidRPr="004F7784">
        <w:rPr>
          <w:noProof/>
          <w:lang w:val="en-IE"/>
        </w:rPr>
        <w:t xml:space="preserve">: </w:t>
      </w:r>
    </w:p>
    <w:p w:rsidR="00FB3E6A" w:rsidRPr="004F7784" w:rsidRDefault="00795BB5" w:rsidP="00795BB5">
      <w:pPr>
        <w:pStyle w:val="Point2"/>
        <w:rPr>
          <w:noProof/>
          <w:lang w:val="en-IE"/>
        </w:rPr>
      </w:pPr>
      <w:r w:rsidRPr="00795BB5">
        <w:t>(1)</w:t>
      </w:r>
      <w:r w:rsidRPr="00795BB5">
        <w:tab/>
      </w:r>
      <w:r w:rsidR="00FB3E6A" w:rsidRPr="004F7784">
        <w:rPr>
          <w:noProof/>
          <w:lang w:val="en-IE"/>
        </w:rPr>
        <w:t>the</w:t>
      </w:r>
      <w:r w:rsidR="00A138DF">
        <w:rPr>
          <w:noProof/>
          <w:lang w:val="en-IE"/>
        </w:rPr>
        <w:t>ir</w:t>
      </w:r>
      <w:r w:rsidR="00FB3E6A" w:rsidRPr="004F7784">
        <w:rPr>
          <w:noProof/>
          <w:lang w:val="en-IE"/>
        </w:rPr>
        <w:t xml:space="preserve"> name;</w:t>
      </w:r>
    </w:p>
    <w:p w:rsidR="00FB3E6A" w:rsidRPr="004F7784" w:rsidRDefault="00795BB5" w:rsidP="00795BB5">
      <w:pPr>
        <w:pStyle w:val="Point2"/>
        <w:rPr>
          <w:noProof/>
          <w:lang w:val="en-IE"/>
        </w:rPr>
      </w:pPr>
      <w:r w:rsidRPr="00795BB5">
        <w:t>(2)</w:t>
      </w:r>
      <w:r w:rsidRPr="00795BB5">
        <w:tab/>
      </w:r>
      <w:r w:rsidR="00E043D2">
        <w:rPr>
          <w:noProof/>
          <w:lang w:val="en-IE"/>
        </w:rPr>
        <w:t>t</w:t>
      </w:r>
      <w:r w:rsidR="00FB3E6A" w:rsidRPr="004F7784">
        <w:rPr>
          <w:noProof/>
          <w:lang w:val="en-IE"/>
        </w:rPr>
        <w:t>he</w:t>
      </w:r>
      <w:r w:rsidR="00552043">
        <w:rPr>
          <w:noProof/>
          <w:lang w:val="en-IE"/>
        </w:rPr>
        <w:t xml:space="preserve"> national</w:t>
      </w:r>
      <w:r w:rsidR="00FB3E6A" w:rsidRPr="004F7784">
        <w:rPr>
          <w:noProof/>
          <w:lang w:val="en-IE"/>
        </w:rPr>
        <w:t xml:space="preserve"> business registration number;</w:t>
      </w:r>
    </w:p>
    <w:p w:rsidR="00FB3E6A" w:rsidRPr="004F7784" w:rsidRDefault="00795BB5" w:rsidP="00795BB5">
      <w:pPr>
        <w:pStyle w:val="Point2"/>
        <w:rPr>
          <w:noProof/>
          <w:lang w:val="en-IE"/>
        </w:rPr>
      </w:pPr>
      <w:r w:rsidRPr="00795BB5">
        <w:t>(3)</w:t>
      </w:r>
      <w:r w:rsidRPr="00795BB5">
        <w:tab/>
      </w:r>
      <w:r w:rsidR="00FB3E6A" w:rsidRPr="004F7784">
        <w:rPr>
          <w:noProof/>
          <w:lang w:val="en-IE"/>
        </w:rPr>
        <w:t>the name of a</w:t>
      </w:r>
      <w:r w:rsidR="00552043">
        <w:rPr>
          <w:noProof/>
          <w:lang w:val="en-IE"/>
        </w:rPr>
        <w:t>ll</w:t>
      </w:r>
      <w:r w:rsidR="00FB3E6A" w:rsidRPr="004F7784">
        <w:rPr>
          <w:noProof/>
          <w:lang w:val="en-IE"/>
        </w:rPr>
        <w:t xml:space="preserve"> </w:t>
      </w:r>
      <w:r w:rsidR="00A138DF">
        <w:rPr>
          <w:noProof/>
          <w:lang w:val="en-IE"/>
        </w:rPr>
        <w:t xml:space="preserve">its </w:t>
      </w:r>
      <w:r w:rsidR="00FB3E6A" w:rsidRPr="004F7784">
        <w:rPr>
          <w:noProof/>
          <w:lang w:val="en-IE"/>
        </w:rPr>
        <w:t>legal representative</w:t>
      </w:r>
      <w:r w:rsidR="00552043">
        <w:rPr>
          <w:noProof/>
          <w:lang w:val="en-IE"/>
        </w:rPr>
        <w:t>s</w:t>
      </w:r>
      <w:r w:rsidR="00FB3E6A" w:rsidRPr="004F7784">
        <w:rPr>
          <w:noProof/>
          <w:lang w:val="en-IE"/>
        </w:rPr>
        <w:t xml:space="preserve">; </w:t>
      </w:r>
    </w:p>
    <w:p w:rsidR="00FB3E6A" w:rsidRPr="004F7784" w:rsidRDefault="00795BB5" w:rsidP="00795BB5">
      <w:pPr>
        <w:pStyle w:val="Point2"/>
        <w:rPr>
          <w:noProof/>
          <w:lang w:val="en-IE"/>
        </w:rPr>
      </w:pPr>
      <w:r w:rsidRPr="00795BB5">
        <w:t>(4)</w:t>
      </w:r>
      <w:r w:rsidRPr="00795BB5">
        <w:tab/>
      </w:r>
      <w:r w:rsidR="00552043">
        <w:rPr>
          <w:noProof/>
          <w:lang w:val="en-IE"/>
        </w:rPr>
        <w:t>the</w:t>
      </w:r>
      <w:r w:rsidR="00C277A1">
        <w:rPr>
          <w:noProof/>
          <w:lang w:val="en-IE"/>
        </w:rPr>
        <w:t>ir</w:t>
      </w:r>
      <w:r w:rsidR="00552043">
        <w:rPr>
          <w:noProof/>
          <w:lang w:val="en-IE"/>
        </w:rPr>
        <w:t xml:space="preserve"> registered </w:t>
      </w:r>
      <w:r w:rsidR="00FB3E6A" w:rsidRPr="004F7784">
        <w:rPr>
          <w:noProof/>
          <w:lang w:val="en-IE"/>
        </w:rPr>
        <w:t>address;</w:t>
      </w:r>
    </w:p>
    <w:p w:rsidR="00FB3E6A" w:rsidRPr="004F7784" w:rsidRDefault="00795BB5" w:rsidP="00795BB5">
      <w:pPr>
        <w:pStyle w:val="Point2"/>
        <w:rPr>
          <w:noProof/>
          <w:lang w:val="en-IE"/>
        </w:rPr>
      </w:pPr>
      <w:r w:rsidRPr="00795BB5">
        <w:t>(5)</w:t>
      </w:r>
      <w:r w:rsidRPr="00795BB5">
        <w:tab/>
      </w:r>
      <w:r w:rsidR="00870A79">
        <w:rPr>
          <w:noProof/>
          <w:lang w:val="en-IE"/>
        </w:rPr>
        <w:t>a contact</w:t>
      </w:r>
      <w:r w:rsidR="00E043D2">
        <w:rPr>
          <w:noProof/>
          <w:lang w:val="en-IE"/>
        </w:rPr>
        <w:t xml:space="preserve"> </w:t>
      </w:r>
      <w:r w:rsidR="00FB3E6A" w:rsidRPr="004F7784">
        <w:rPr>
          <w:noProof/>
          <w:lang w:val="en-IE"/>
        </w:rPr>
        <w:t>telephone number</w:t>
      </w:r>
      <w:r w:rsidR="00552043">
        <w:rPr>
          <w:noProof/>
          <w:lang w:val="en-IE"/>
        </w:rPr>
        <w:t xml:space="preserve">, </w:t>
      </w:r>
      <w:r w:rsidR="00D00C43">
        <w:rPr>
          <w:noProof/>
          <w:lang w:val="en-IE"/>
        </w:rPr>
        <w:t xml:space="preserve">of </w:t>
      </w:r>
      <w:r w:rsidR="00552043">
        <w:rPr>
          <w:noProof/>
          <w:lang w:val="en-IE"/>
        </w:rPr>
        <w:t>a representative of th</w:t>
      </w:r>
      <w:r w:rsidR="00E043D2">
        <w:rPr>
          <w:noProof/>
          <w:lang w:val="en-IE"/>
        </w:rPr>
        <w:t>at</w:t>
      </w:r>
      <w:r w:rsidR="00552043">
        <w:rPr>
          <w:noProof/>
          <w:lang w:val="en-IE"/>
        </w:rPr>
        <w:t xml:space="preserve"> legal person</w:t>
      </w:r>
      <w:r w:rsidR="00FB3E6A" w:rsidRPr="004F7784">
        <w:rPr>
          <w:noProof/>
          <w:lang w:val="en-IE"/>
        </w:rPr>
        <w:t xml:space="preserve">; </w:t>
      </w:r>
    </w:p>
    <w:p w:rsidR="00CA4B78" w:rsidRPr="00DB10D4" w:rsidRDefault="00795BB5" w:rsidP="00795BB5">
      <w:pPr>
        <w:pStyle w:val="Point2"/>
        <w:rPr>
          <w:noProof/>
          <w:lang w:val="en-IE"/>
        </w:rPr>
      </w:pPr>
      <w:r w:rsidRPr="00795BB5">
        <w:t>(6)</w:t>
      </w:r>
      <w:r w:rsidRPr="00795BB5">
        <w:tab/>
      </w:r>
      <w:r w:rsidR="00035280">
        <w:rPr>
          <w:noProof/>
          <w:lang w:val="en-IE"/>
        </w:rPr>
        <w:t xml:space="preserve">an </w:t>
      </w:r>
      <w:r w:rsidR="00FB3E6A" w:rsidRPr="004F7784">
        <w:rPr>
          <w:noProof/>
          <w:lang w:val="en-IE"/>
        </w:rPr>
        <w:t>electronic mail address</w:t>
      </w:r>
      <w:r w:rsidR="00035280">
        <w:rPr>
          <w:noProof/>
          <w:lang w:val="en-IE"/>
        </w:rPr>
        <w:t xml:space="preserve"> that the competent authority can use for written communication</w:t>
      </w:r>
      <w:r w:rsidR="00FB3E6A" w:rsidRPr="004F7784">
        <w:rPr>
          <w:noProof/>
          <w:lang w:val="en-IE"/>
        </w:rPr>
        <w:t xml:space="preserve">. </w:t>
      </w:r>
    </w:p>
    <w:p w:rsidR="00C277A1" w:rsidRDefault="00795BB5" w:rsidP="00795BB5">
      <w:pPr>
        <w:pStyle w:val="ManualNumPar1"/>
        <w:rPr>
          <w:noProof/>
          <w:lang w:val="en-IE"/>
        </w:rPr>
      </w:pPr>
      <w:r w:rsidRPr="00795BB5">
        <w:t>2.</w:t>
      </w:r>
      <w:r w:rsidRPr="00795BB5">
        <w:tab/>
      </w:r>
      <w:r w:rsidR="00883A06" w:rsidRPr="004F7784">
        <w:rPr>
          <w:noProof/>
          <w:lang w:val="en-IE"/>
        </w:rPr>
        <w:t xml:space="preserve">Member States may require that </w:t>
      </w:r>
      <w:r w:rsidR="00C277A1">
        <w:rPr>
          <w:noProof/>
          <w:lang w:val="en-IE"/>
        </w:rPr>
        <w:t>the information submitted pursuant to paragraph 1</w:t>
      </w:r>
      <w:r w:rsidR="00C36D2C">
        <w:rPr>
          <w:noProof/>
          <w:lang w:val="en-IE"/>
        </w:rPr>
        <w:t xml:space="preserve"> </w:t>
      </w:r>
      <w:r w:rsidR="00925FF7">
        <w:rPr>
          <w:noProof/>
          <w:lang w:val="en-IE"/>
        </w:rPr>
        <w:t>is</w:t>
      </w:r>
      <w:r w:rsidR="00C277A1">
        <w:rPr>
          <w:noProof/>
          <w:lang w:val="en-IE"/>
        </w:rPr>
        <w:t xml:space="preserve"> accompanied by appropriate supporting documentation. </w:t>
      </w:r>
    </w:p>
    <w:p w:rsidR="00CA4B78" w:rsidRPr="004F7784" w:rsidRDefault="00795BB5" w:rsidP="00795BB5">
      <w:pPr>
        <w:pStyle w:val="ManualNumPar1"/>
        <w:rPr>
          <w:noProof/>
          <w:lang w:val="en-IE"/>
        </w:rPr>
      </w:pPr>
      <w:r w:rsidRPr="00795BB5">
        <w:t>3.</w:t>
      </w:r>
      <w:r w:rsidRPr="00795BB5">
        <w:tab/>
      </w:r>
      <w:r w:rsidR="00DB10D4">
        <w:rPr>
          <w:noProof/>
          <w:lang w:val="en-IE"/>
        </w:rPr>
        <w:t xml:space="preserve">Where a </w:t>
      </w:r>
      <w:r w:rsidR="00DB10D4" w:rsidRPr="004F7784">
        <w:rPr>
          <w:noProof/>
          <w:lang w:val="en-IE"/>
        </w:rPr>
        <w:t>Member State require</w:t>
      </w:r>
      <w:r w:rsidR="00DB10D4">
        <w:rPr>
          <w:noProof/>
          <w:lang w:val="en-IE"/>
        </w:rPr>
        <w:t>s hosts</w:t>
      </w:r>
      <w:r w:rsidR="00DB10D4" w:rsidRPr="004F7784">
        <w:rPr>
          <w:noProof/>
          <w:lang w:val="en-IE"/>
        </w:rPr>
        <w:t xml:space="preserve"> </w:t>
      </w:r>
      <w:r w:rsidR="00DB10D4">
        <w:rPr>
          <w:noProof/>
          <w:lang w:val="en-IE"/>
        </w:rPr>
        <w:t>to submit</w:t>
      </w:r>
      <w:r w:rsidR="00DB10D4" w:rsidRPr="004F7784">
        <w:rPr>
          <w:noProof/>
          <w:lang w:val="en-IE"/>
        </w:rPr>
        <w:t xml:space="preserve"> further </w:t>
      </w:r>
      <w:r w:rsidR="00DB10D4">
        <w:rPr>
          <w:noProof/>
          <w:lang w:val="en-IE"/>
        </w:rPr>
        <w:t>information</w:t>
      </w:r>
      <w:r w:rsidR="00E717CB">
        <w:rPr>
          <w:noProof/>
          <w:lang w:val="en-IE"/>
        </w:rPr>
        <w:t xml:space="preserve"> </w:t>
      </w:r>
      <w:r w:rsidR="00DB10D4" w:rsidRPr="004F7784">
        <w:rPr>
          <w:noProof/>
          <w:lang w:val="en-IE"/>
        </w:rPr>
        <w:t>and documentation</w:t>
      </w:r>
      <w:r w:rsidR="00DB10D4">
        <w:rPr>
          <w:noProof/>
          <w:lang w:val="en-IE"/>
        </w:rPr>
        <w:t xml:space="preserve">, the submission of that information and documentation is without prejudice to the issuance of the registration number in accordance with </w:t>
      </w:r>
      <w:r w:rsidR="005751AC">
        <w:rPr>
          <w:noProof/>
          <w:lang w:val="en-IE"/>
        </w:rPr>
        <w:t>Article 4(</w:t>
      </w:r>
      <w:r w:rsidR="008E0EF6">
        <w:rPr>
          <w:noProof/>
          <w:lang w:val="en-IE"/>
        </w:rPr>
        <w:t>2</w:t>
      </w:r>
      <w:r w:rsidR="005751AC">
        <w:rPr>
          <w:noProof/>
          <w:lang w:val="en-IE"/>
        </w:rPr>
        <w:t>), point (</w:t>
      </w:r>
      <w:r w:rsidR="005A7FD1">
        <w:rPr>
          <w:noProof/>
          <w:lang w:val="en-IE"/>
        </w:rPr>
        <w:t>b</w:t>
      </w:r>
      <w:r w:rsidR="0026596B">
        <w:rPr>
          <w:noProof/>
          <w:lang w:val="en-IE"/>
        </w:rPr>
        <w:t>)</w:t>
      </w:r>
      <w:r w:rsidR="00883A06" w:rsidRPr="004F7784">
        <w:rPr>
          <w:noProof/>
          <w:lang w:val="en-IE"/>
        </w:rPr>
        <w:t>.</w:t>
      </w:r>
      <w:r w:rsidR="00912DD5">
        <w:rPr>
          <w:noProof/>
          <w:lang w:val="en-IE"/>
        </w:rPr>
        <w:t xml:space="preserve"> </w:t>
      </w:r>
    </w:p>
    <w:p w:rsidR="00930A5C" w:rsidRPr="00CC7B9D" w:rsidRDefault="00795BB5" w:rsidP="00795BB5">
      <w:pPr>
        <w:pStyle w:val="ManualNumPar1"/>
        <w:rPr>
          <w:rFonts w:eastAsia="Times New Roman"/>
          <w:noProof/>
          <w:color w:val="000000" w:themeColor="text1"/>
          <w:lang w:val="en-IE" w:eastAsia="zh-CN"/>
        </w:rPr>
      </w:pPr>
      <w:r w:rsidRPr="00795BB5">
        <w:t>4.</w:t>
      </w:r>
      <w:r w:rsidRPr="00795BB5">
        <w:tab/>
      </w:r>
      <w:r w:rsidR="00883A06" w:rsidRPr="004F7784">
        <w:rPr>
          <w:noProof/>
          <w:lang w:val="en-IE"/>
        </w:rPr>
        <w:t xml:space="preserve">Without prejudice to Article 6, </w:t>
      </w:r>
      <w:r w:rsidR="00EC416C">
        <w:rPr>
          <w:noProof/>
          <w:lang w:val="en-IE"/>
        </w:rPr>
        <w:t>where</w:t>
      </w:r>
      <w:r w:rsidR="00EC416C" w:rsidRPr="004F7784">
        <w:rPr>
          <w:noProof/>
          <w:lang w:val="en-IE"/>
        </w:rPr>
        <w:t xml:space="preserve"> </w:t>
      </w:r>
      <w:r w:rsidR="00883A06" w:rsidRPr="004F7784">
        <w:rPr>
          <w:noProof/>
          <w:lang w:val="en-IE"/>
        </w:rPr>
        <w:t xml:space="preserve">there is a material change in the </w:t>
      </w:r>
      <w:r w:rsidR="00883A06" w:rsidRPr="008F5C1B">
        <w:rPr>
          <w:noProof/>
          <w:lang w:val="en-IE"/>
        </w:rPr>
        <w:t>situation substantiated by the information</w:t>
      </w:r>
      <w:r w:rsidR="00255726" w:rsidRPr="004F7784">
        <w:rPr>
          <w:noProof/>
          <w:lang w:val="en-IE"/>
        </w:rPr>
        <w:t xml:space="preserve"> and documentation</w:t>
      </w:r>
      <w:r w:rsidR="00883A06" w:rsidRPr="004F7784">
        <w:rPr>
          <w:noProof/>
          <w:lang w:val="en-IE"/>
        </w:rPr>
        <w:t xml:space="preserve"> provided pursuant to paragraph</w:t>
      </w:r>
      <w:r w:rsidR="001E08AF" w:rsidRPr="004F7784">
        <w:rPr>
          <w:noProof/>
          <w:lang w:val="en-IE"/>
        </w:rPr>
        <w:t>s</w:t>
      </w:r>
      <w:r w:rsidR="00883A06" w:rsidRPr="004F7784">
        <w:rPr>
          <w:noProof/>
          <w:lang w:val="en-IE"/>
        </w:rPr>
        <w:t xml:space="preserve"> </w:t>
      </w:r>
      <w:r w:rsidR="00883A06" w:rsidRPr="0055113F">
        <w:rPr>
          <w:noProof/>
          <w:lang w:val="en-IE"/>
        </w:rPr>
        <w:t>1</w:t>
      </w:r>
      <w:r w:rsidR="001E08AF" w:rsidRPr="0055113F">
        <w:rPr>
          <w:noProof/>
          <w:lang w:val="en-IE"/>
        </w:rPr>
        <w:t xml:space="preserve"> </w:t>
      </w:r>
      <w:r w:rsidR="005A7FD1">
        <w:rPr>
          <w:noProof/>
          <w:lang w:val="en-IE"/>
        </w:rPr>
        <w:t>and</w:t>
      </w:r>
      <w:r w:rsidR="008F5C1B" w:rsidRPr="0055113F">
        <w:rPr>
          <w:noProof/>
          <w:lang w:val="en-IE"/>
        </w:rPr>
        <w:t xml:space="preserve"> </w:t>
      </w:r>
      <w:r w:rsidR="000D2B21" w:rsidRPr="0055113F">
        <w:rPr>
          <w:noProof/>
          <w:lang w:val="en-IE"/>
        </w:rPr>
        <w:t>2</w:t>
      </w:r>
      <w:r w:rsidR="00883A06" w:rsidRPr="004F7784">
        <w:rPr>
          <w:noProof/>
          <w:lang w:val="en-IE"/>
        </w:rPr>
        <w:t>,</w:t>
      </w:r>
      <w:r w:rsidR="001C04D0">
        <w:rPr>
          <w:noProof/>
          <w:lang w:val="en-IE"/>
        </w:rPr>
        <w:t xml:space="preserve"> </w:t>
      </w:r>
      <w:r w:rsidR="006D4097">
        <w:rPr>
          <w:noProof/>
          <w:lang w:val="en-IE"/>
        </w:rPr>
        <w:t xml:space="preserve">hosts shall </w:t>
      </w:r>
      <w:r w:rsidR="00EC416C">
        <w:rPr>
          <w:noProof/>
          <w:lang w:val="en-IE"/>
        </w:rPr>
        <w:t xml:space="preserve">update </w:t>
      </w:r>
      <w:r w:rsidR="00EB7194">
        <w:rPr>
          <w:noProof/>
          <w:lang w:val="en-IE"/>
        </w:rPr>
        <w:t xml:space="preserve">the </w:t>
      </w:r>
      <w:r w:rsidR="00EC416C">
        <w:rPr>
          <w:noProof/>
          <w:lang w:val="en-IE"/>
        </w:rPr>
        <w:t>information</w:t>
      </w:r>
      <w:r w:rsidR="00883A06" w:rsidRPr="004F7784">
        <w:rPr>
          <w:noProof/>
          <w:lang w:val="en-IE"/>
        </w:rPr>
        <w:t xml:space="preserve"> </w:t>
      </w:r>
      <w:r w:rsidR="00D67024">
        <w:rPr>
          <w:noProof/>
          <w:lang w:val="en-IE"/>
        </w:rPr>
        <w:t xml:space="preserve">and documentation </w:t>
      </w:r>
      <w:r w:rsidR="00883A06" w:rsidRPr="004F7784">
        <w:rPr>
          <w:noProof/>
          <w:lang w:val="en-IE"/>
        </w:rPr>
        <w:t xml:space="preserve">via the </w:t>
      </w:r>
      <w:r w:rsidR="00EB7194">
        <w:rPr>
          <w:rFonts w:eastAsia="Times New Roman"/>
          <w:noProof/>
          <w:color w:val="000000" w:themeColor="text1"/>
          <w:lang w:val="en-IE" w:eastAsia="zh-CN"/>
        </w:rPr>
        <w:t>functionality</w:t>
      </w:r>
      <w:r w:rsidR="00035280">
        <w:rPr>
          <w:rFonts w:eastAsia="Times New Roman"/>
          <w:noProof/>
          <w:color w:val="000000" w:themeColor="text1"/>
          <w:lang w:val="en-IE" w:eastAsia="zh-CN"/>
        </w:rPr>
        <w:t xml:space="preserve"> referred to</w:t>
      </w:r>
      <w:r w:rsidR="00883A06" w:rsidRPr="004F7784">
        <w:rPr>
          <w:rFonts w:eastAsia="Times New Roman"/>
          <w:noProof/>
          <w:color w:val="000000" w:themeColor="text1"/>
          <w:lang w:val="en-IE" w:eastAsia="zh-CN"/>
        </w:rPr>
        <w:t xml:space="preserve"> in Article 4</w:t>
      </w:r>
      <w:r w:rsidR="00EB7194">
        <w:rPr>
          <w:rFonts w:eastAsia="Times New Roman"/>
          <w:noProof/>
          <w:color w:val="000000" w:themeColor="text1"/>
          <w:lang w:val="en-IE" w:eastAsia="zh-CN"/>
        </w:rPr>
        <w:t>(</w:t>
      </w:r>
      <w:r w:rsidR="008E0EF6">
        <w:rPr>
          <w:rFonts w:eastAsia="Times New Roman"/>
          <w:noProof/>
          <w:color w:val="000000" w:themeColor="text1"/>
          <w:lang w:val="en-IE" w:eastAsia="zh-CN"/>
        </w:rPr>
        <w:t>2</w:t>
      </w:r>
      <w:r w:rsidR="00EB7194">
        <w:rPr>
          <w:rFonts w:eastAsia="Times New Roman"/>
          <w:noProof/>
          <w:color w:val="000000" w:themeColor="text1"/>
          <w:lang w:val="en-IE" w:eastAsia="zh-CN"/>
        </w:rPr>
        <w:t>)</w:t>
      </w:r>
      <w:r w:rsidR="003E6AB0">
        <w:rPr>
          <w:rFonts w:eastAsia="Times New Roman"/>
          <w:noProof/>
          <w:color w:val="000000" w:themeColor="text1"/>
          <w:lang w:val="en-IE" w:eastAsia="zh-CN"/>
        </w:rPr>
        <w:t>,</w:t>
      </w:r>
      <w:r w:rsidR="0055113F">
        <w:rPr>
          <w:rFonts w:eastAsia="Times New Roman"/>
          <w:noProof/>
          <w:color w:val="000000" w:themeColor="text1"/>
          <w:lang w:val="en-IE" w:eastAsia="zh-CN"/>
        </w:rPr>
        <w:t xml:space="preserve"> point </w:t>
      </w:r>
      <w:r w:rsidR="00EB7194">
        <w:rPr>
          <w:rFonts w:eastAsia="Times New Roman"/>
          <w:noProof/>
          <w:color w:val="000000" w:themeColor="text1"/>
          <w:lang w:val="en-IE" w:eastAsia="zh-CN"/>
        </w:rPr>
        <w:t>(</w:t>
      </w:r>
      <w:r w:rsidR="00196FA8" w:rsidRPr="00165459">
        <w:rPr>
          <w:rFonts w:eastAsia="Times New Roman"/>
          <w:noProof/>
          <w:color w:val="000000" w:themeColor="text1"/>
          <w:lang w:val="en-IE" w:eastAsia="zh-CN"/>
        </w:rPr>
        <w:t>d</w:t>
      </w:r>
      <w:r w:rsidR="00EB7194">
        <w:rPr>
          <w:rFonts w:eastAsia="Times New Roman"/>
          <w:noProof/>
          <w:color w:val="000000" w:themeColor="text1"/>
          <w:lang w:val="en-IE" w:eastAsia="zh-CN"/>
        </w:rPr>
        <w:t>)</w:t>
      </w:r>
      <w:r w:rsidR="00883A06" w:rsidRPr="004F7784">
        <w:rPr>
          <w:rFonts w:eastAsia="Times New Roman"/>
          <w:noProof/>
          <w:color w:val="000000" w:themeColor="text1"/>
          <w:lang w:val="en-IE" w:eastAsia="zh-CN"/>
        </w:rPr>
        <w:t xml:space="preserve">. </w:t>
      </w:r>
    </w:p>
    <w:p w:rsidR="00883A06" w:rsidRDefault="00795BB5" w:rsidP="00795BB5">
      <w:pPr>
        <w:pStyle w:val="ManualNumPar1"/>
        <w:rPr>
          <w:noProof/>
        </w:rPr>
      </w:pPr>
      <w:r w:rsidRPr="00795BB5">
        <w:t>5.</w:t>
      </w:r>
      <w:r w:rsidRPr="00795BB5">
        <w:tab/>
      </w:r>
      <w:r w:rsidR="00930A5C">
        <w:rPr>
          <w:noProof/>
          <w:lang w:val="en-IE"/>
        </w:rPr>
        <w:t xml:space="preserve">Member States shall ensure that </w:t>
      </w:r>
      <w:r w:rsidR="00925FF7">
        <w:rPr>
          <w:noProof/>
          <w:lang w:val="en-IE"/>
        </w:rPr>
        <w:t xml:space="preserve">the </w:t>
      </w:r>
      <w:r w:rsidR="00930A5C">
        <w:rPr>
          <w:noProof/>
          <w:lang w:val="en-IE"/>
        </w:rPr>
        <w:t>information</w:t>
      </w:r>
      <w:r w:rsidR="000F5A57">
        <w:rPr>
          <w:noProof/>
          <w:lang w:val="en-IE"/>
        </w:rPr>
        <w:t xml:space="preserve"> </w:t>
      </w:r>
      <w:r w:rsidR="00AB41F7">
        <w:rPr>
          <w:noProof/>
          <w:lang w:val="en-IE"/>
        </w:rPr>
        <w:t xml:space="preserve">or </w:t>
      </w:r>
      <w:r w:rsidR="000F5A57">
        <w:rPr>
          <w:noProof/>
          <w:lang w:val="en-IE"/>
        </w:rPr>
        <w:t>documentation</w:t>
      </w:r>
      <w:r w:rsidR="00930A5C">
        <w:rPr>
          <w:noProof/>
          <w:lang w:val="en-IE"/>
        </w:rPr>
        <w:t xml:space="preserve"> submitted pursuant to </w:t>
      </w:r>
      <w:r w:rsidR="00035280">
        <w:rPr>
          <w:noProof/>
          <w:lang w:val="en-IE"/>
        </w:rPr>
        <w:t xml:space="preserve">a </w:t>
      </w:r>
      <w:r w:rsidR="00930A5C">
        <w:rPr>
          <w:noProof/>
          <w:lang w:val="en-IE"/>
        </w:rPr>
        <w:t>registration procedure</w:t>
      </w:r>
      <w:r w:rsidR="00035280">
        <w:rPr>
          <w:noProof/>
          <w:lang w:val="en-IE"/>
        </w:rPr>
        <w:t xml:space="preserve"> referred to in Article 4</w:t>
      </w:r>
      <w:r w:rsidR="00930A5C">
        <w:rPr>
          <w:noProof/>
          <w:lang w:val="en-IE"/>
        </w:rPr>
        <w:t xml:space="preserve"> is retained </w:t>
      </w:r>
      <w:r w:rsidR="003F4421" w:rsidRPr="00266181">
        <w:rPr>
          <w:noProof/>
          <w:lang w:val="en-IE"/>
        </w:rPr>
        <w:t>in a secure and confidential manner</w:t>
      </w:r>
      <w:r w:rsidR="00035280">
        <w:rPr>
          <w:noProof/>
          <w:lang w:val="en-IE"/>
        </w:rPr>
        <w:t xml:space="preserve"> and </w:t>
      </w:r>
      <w:r w:rsidR="003F4421" w:rsidRPr="00266181">
        <w:rPr>
          <w:noProof/>
          <w:lang w:val="en-IE"/>
        </w:rPr>
        <w:t xml:space="preserve">only </w:t>
      </w:r>
      <w:r w:rsidR="00DE5269">
        <w:rPr>
          <w:noProof/>
          <w:lang w:val="en-IE"/>
        </w:rPr>
        <w:t xml:space="preserve">for </w:t>
      </w:r>
      <w:r w:rsidR="00035280">
        <w:rPr>
          <w:noProof/>
          <w:lang w:val="en-IE"/>
        </w:rPr>
        <w:t xml:space="preserve">a period which </w:t>
      </w:r>
      <w:r w:rsidR="00DE5269">
        <w:rPr>
          <w:noProof/>
          <w:lang w:val="en-IE"/>
        </w:rPr>
        <w:t xml:space="preserve">is </w:t>
      </w:r>
      <w:r w:rsidR="003F4421" w:rsidRPr="00266181">
        <w:rPr>
          <w:noProof/>
          <w:lang w:val="en-IE"/>
        </w:rPr>
        <w:t>necessary for the identification of the unit and</w:t>
      </w:r>
      <w:r w:rsidR="003F4421">
        <w:rPr>
          <w:noProof/>
          <w:lang w:val="en-IE"/>
        </w:rPr>
        <w:t xml:space="preserve"> </w:t>
      </w:r>
      <w:r w:rsidR="00035280">
        <w:rPr>
          <w:noProof/>
          <w:lang w:val="en-IE"/>
        </w:rPr>
        <w:t xml:space="preserve">for </w:t>
      </w:r>
      <w:r w:rsidR="00424F5C">
        <w:rPr>
          <w:noProof/>
          <w:lang w:val="en-IE"/>
        </w:rPr>
        <w:t xml:space="preserve">a </w:t>
      </w:r>
      <w:r w:rsidR="00035280">
        <w:rPr>
          <w:noProof/>
          <w:lang w:val="en-IE"/>
        </w:rPr>
        <w:t xml:space="preserve">maximum </w:t>
      </w:r>
      <w:r w:rsidR="00424F5C">
        <w:rPr>
          <w:noProof/>
          <w:lang w:val="en-IE"/>
        </w:rPr>
        <w:t>of</w:t>
      </w:r>
      <w:r w:rsidR="00035280">
        <w:rPr>
          <w:noProof/>
          <w:lang w:val="en-IE"/>
        </w:rPr>
        <w:t xml:space="preserve"> 1 </w:t>
      </w:r>
      <w:r w:rsidR="00930A5C">
        <w:rPr>
          <w:noProof/>
          <w:lang w:val="en-IE"/>
        </w:rPr>
        <w:t xml:space="preserve">year after the </w:t>
      </w:r>
      <w:r w:rsidR="00FA6D8D">
        <w:rPr>
          <w:noProof/>
          <w:lang w:val="en-IE"/>
        </w:rPr>
        <w:t xml:space="preserve">host has </w:t>
      </w:r>
      <w:r w:rsidR="008915FD">
        <w:rPr>
          <w:noProof/>
          <w:lang w:val="en-IE"/>
        </w:rPr>
        <w:t>indicated</w:t>
      </w:r>
      <w:r w:rsidR="000A682B">
        <w:rPr>
          <w:noProof/>
          <w:lang w:val="en-IE"/>
        </w:rPr>
        <w:t xml:space="preserve"> via the functionality referred to in Article 4(</w:t>
      </w:r>
      <w:r w:rsidR="008E0EF6">
        <w:rPr>
          <w:noProof/>
          <w:lang w:val="en-IE"/>
        </w:rPr>
        <w:t>2</w:t>
      </w:r>
      <w:r w:rsidR="000A682B">
        <w:rPr>
          <w:noProof/>
          <w:lang w:val="en-IE"/>
        </w:rPr>
        <w:t>)</w:t>
      </w:r>
      <w:r w:rsidR="003E6AB0">
        <w:rPr>
          <w:noProof/>
          <w:lang w:val="en-IE"/>
        </w:rPr>
        <w:t>,</w:t>
      </w:r>
      <w:r w:rsidR="0055113F">
        <w:rPr>
          <w:noProof/>
          <w:lang w:val="en-IE"/>
        </w:rPr>
        <w:t xml:space="preserve"> point </w:t>
      </w:r>
      <w:r w:rsidR="000A682B">
        <w:rPr>
          <w:noProof/>
          <w:lang w:val="en-IE"/>
        </w:rPr>
        <w:t>(</w:t>
      </w:r>
      <w:r w:rsidR="005A7FD1">
        <w:rPr>
          <w:noProof/>
          <w:lang w:val="en-IE"/>
        </w:rPr>
        <w:t>f</w:t>
      </w:r>
      <w:r w:rsidR="000A682B">
        <w:rPr>
          <w:noProof/>
          <w:lang w:val="en-IE"/>
        </w:rPr>
        <w:t>)</w:t>
      </w:r>
      <w:r w:rsidR="008915FD">
        <w:rPr>
          <w:noProof/>
          <w:lang w:val="en-IE"/>
        </w:rPr>
        <w:t xml:space="preserve"> that </w:t>
      </w:r>
      <w:r w:rsidR="00DE5269">
        <w:rPr>
          <w:noProof/>
          <w:lang w:val="en-IE"/>
        </w:rPr>
        <w:t>the</w:t>
      </w:r>
      <w:r w:rsidR="00FA6D8D">
        <w:rPr>
          <w:noProof/>
          <w:lang w:val="en-IE"/>
        </w:rPr>
        <w:t xml:space="preserve"> unit </w:t>
      </w:r>
      <w:r w:rsidR="008915FD">
        <w:rPr>
          <w:noProof/>
          <w:lang w:val="en-IE"/>
        </w:rPr>
        <w:t xml:space="preserve">should be removed </w:t>
      </w:r>
      <w:r w:rsidR="00C5122C">
        <w:rPr>
          <w:noProof/>
          <w:lang w:val="en-IE"/>
        </w:rPr>
        <w:t>from the r</w:t>
      </w:r>
      <w:r w:rsidR="00930A5C">
        <w:rPr>
          <w:noProof/>
          <w:lang w:val="en-IE"/>
        </w:rPr>
        <w:t>egistry.</w:t>
      </w:r>
      <w:r w:rsidR="003F4421">
        <w:rPr>
          <w:noProof/>
          <w:lang w:val="en-IE"/>
        </w:rPr>
        <w:t xml:space="preserve"> </w:t>
      </w:r>
      <w:r w:rsidR="003F4421" w:rsidRPr="004C17D8">
        <w:rPr>
          <w:noProof/>
          <w:lang w:val="en-IE"/>
        </w:rPr>
        <w:t xml:space="preserve">Member States shall ensure that the information </w:t>
      </w:r>
      <w:r w:rsidR="00D67024">
        <w:rPr>
          <w:noProof/>
          <w:lang w:val="en-IE"/>
        </w:rPr>
        <w:t xml:space="preserve">and documentation </w:t>
      </w:r>
      <w:r w:rsidR="003F4421" w:rsidRPr="004C17D8">
        <w:rPr>
          <w:noProof/>
          <w:lang w:val="en-IE"/>
        </w:rPr>
        <w:t>provided by</w:t>
      </w:r>
      <w:r w:rsidR="00496C26" w:rsidRPr="004C17D8">
        <w:rPr>
          <w:noProof/>
          <w:lang w:val="en-IE"/>
        </w:rPr>
        <w:t xml:space="preserve"> the host pursuant </w:t>
      </w:r>
      <w:r w:rsidR="00DE5269">
        <w:rPr>
          <w:noProof/>
          <w:lang w:val="en-IE"/>
        </w:rPr>
        <w:t xml:space="preserve">to </w:t>
      </w:r>
      <w:r w:rsidR="00496C26" w:rsidRPr="004C17D8">
        <w:rPr>
          <w:noProof/>
          <w:lang w:val="en-IE"/>
        </w:rPr>
        <w:t>paragraph</w:t>
      </w:r>
      <w:r w:rsidR="00AB41F7">
        <w:rPr>
          <w:noProof/>
          <w:lang w:val="en-IE"/>
        </w:rPr>
        <w:t>s</w:t>
      </w:r>
      <w:r w:rsidR="003F4421" w:rsidRPr="004C17D8">
        <w:rPr>
          <w:noProof/>
          <w:lang w:val="en-IE"/>
        </w:rPr>
        <w:t xml:space="preserve"> 1</w:t>
      </w:r>
      <w:r w:rsidR="00CB667D">
        <w:rPr>
          <w:noProof/>
          <w:lang w:val="en-IE"/>
        </w:rPr>
        <w:t xml:space="preserve"> </w:t>
      </w:r>
      <w:r w:rsidR="00BE5640" w:rsidRPr="0055113F">
        <w:rPr>
          <w:noProof/>
          <w:lang w:val="en-IE"/>
        </w:rPr>
        <w:t xml:space="preserve">and 2 </w:t>
      </w:r>
      <w:r w:rsidR="00DE5269">
        <w:rPr>
          <w:noProof/>
          <w:lang w:val="en-IE"/>
        </w:rPr>
        <w:t xml:space="preserve">is </w:t>
      </w:r>
      <w:r w:rsidR="003F4421" w:rsidRPr="004C17D8">
        <w:rPr>
          <w:noProof/>
          <w:lang w:val="en-IE"/>
        </w:rPr>
        <w:t xml:space="preserve">only processed </w:t>
      </w:r>
      <w:r w:rsidR="00DE5269">
        <w:rPr>
          <w:noProof/>
          <w:lang w:val="en-IE"/>
        </w:rPr>
        <w:t>for the purpose of</w:t>
      </w:r>
      <w:r w:rsidR="00C744FF">
        <w:rPr>
          <w:noProof/>
          <w:lang w:val="en-IE"/>
        </w:rPr>
        <w:t xml:space="preserve"> issuing </w:t>
      </w:r>
      <w:r w:rsidR="003F4421" w:rsidRPr="004C17D8">
        <w:rPr>
          <w:noProof/>
          <w:lang w:val="en-IE"/>
        </w:rPr>
        <w:t>the registration number</w:t>
      </w:r>
      <w:r w:rsidR="002831B4">
        <w:rPr>
          <w:noProof/>
          <w:lang w:val="en-IE"/>
        </w:rPr>
        <w:t xml:space="preserve"> and </w:t>
      </w:r>
      <w:r w:rsidR="00C744FF">
        <w:rPr>
          <w:noProof/>
          <w:lang w:val="en-IE"/>
        </w:rPr>
        <w:t xml:space="preserve">ensuring </w:t>
      </w:r>
      <w:r w:rsidR="003F4421" w:rsidRPr="004C17D8">
        <w:rPr>
          <w:noProof/>
          <w:lang w:val="en-IE"/>
        </w:rPr>
        <w:t xml:space="preserve">compliance with the </w:t>
      </w:r>
      <w:r w:rsidR="001F7C7C">
        <w:rPr>
          <w:noProof/>
          <w:lang w:val="en-IE"/>
        </w:rPr>
        <w:t xml:space="preserve">applicable rules of the Member State </w:t>
      </w:r>
      <w:r w:rsidR="001F7C7C" w:rsidRPr="004F7784">
        <w:rPr>
          <w:noProof/>
          <w:lang w:val="en-IE"/>
        </w:rPr>
        <w:t xml:space="preserve">concerning </w:t>
      </w:r>
      <w:r w:rsidR="001F7C7C">
        <w:rPr>
          <w:noProof/>
          <w:lang w:val="en-IE"/>
        </w:rPr>
        <w:t xml:space="preserve">the access to and provision of </w:t>
      </w:r>
      <w:r w:rsidR="001F7C7C" w:rsidRPr="004F7784">
        <w:rPr>
          <w:noProof/>
          <w:lang w:val="en-IE"/>
        </w:rPr>
        <w:t>short-term accommodation rental services</w:t>
      </w:r>
      <w:r w:rsidR="003F4421" w:rsidRPr="004C17D8">
        <w:rPr>
          <w:noProof/>
          <w:lang w:val="en-IE"/>
        </w:rPr>
        <w:t xml:space="preserve">. </w:t>
      </w:r>
    </w:p>
    <w:p w:rsidR="00FF2864" w:rsidRPr="00C93A86" w:rsidRDefault="00795BB5" w:rsidP="00795BB5">
      <w:pPr>
        <w:pStyle w:val="ManualNumPar1"/>
        <w:rPr>
          <w:noProof/>
        </w:rPr>
      </w:pPr>
      <w:r w:rsidRPr="00795BB5">
        <w:t>6.</w:t>
      </w:r>
      <w:r w:rsidRPr="00795BB5">
        <w:tab/>
      </w:r>
      <w:r w:rsidR="00FF2864" w:rsidRPr="00FF2864">
        <w:rPr>
          <w:noProof/>
        </w:rPr>
        <w:t xml:space="preserve">Hosts shall be </w:t>
      </w:r>
      <w:r w:rsidR="008807DA">
        <w:rPr>
          <w:noProof/>
        </w:rPr>
        <w:t>responsible</w:t>
      </w:r>
      <w:r w:rsidR="00FF2864" w:rsidRPr="00FF2864">
        <w:rPr>
          <w:noProof/>
        </w:rPr>
        <w:t xml:space="preserve"> for the accuracy of the information that they provide to competent authorities pursuant to this Article, and of the information that they provide to online short-term rental platform</w:t>
      </w:r>
      <w:r w:rsidR="00FF2864">
        <w:rPr>
          <w:noProof/>
        </w:rPr>
        <w:t>s</w:t>
      </w:r>
      <w:r w:rsidR="00FF2864" w:rsidRPr="00FF2864">
        <w:rPr>
          <w:noProof/>
        </w:rPr>
        <w:t xml:space="preserve"> pursuant to Article 7</w:t>
      </w:r>
      <w:r w:rsidR="007F1FE4">
        <w:rPr>
          <w:noProof/>
        </w:rPr>
        <w:t xml:space="preserve"> of this Regulation</w:t>
      </w:r>
      <w:r w:rsidR="00FF2864" w:rsidRPr="00FF2864">
        <w:rPr>
          <w:noProof/>
        </w:rPr>
        <w:t>.</w:t>
      </w:r>
    </w:p>
    <w:p w:rsidR="00883A06" w:rsidRPr="004F7784" w:rsidRDefault="00883A06" w:rsidP="00883A06">
      <w:pPr>
        <w:pStyle w:val="Titrearticle"/>
        <w:rPr>
          <w:noProof/>
          <w:lang w:val="en-IE"/>
        </w:rPr>
      </w:pPr>
      <w:r w:rsidRPr="004F7784">
        <w:rPr>
          <w:noProof/>
          <w:lang w:val="en-IE"/>
        </w:rPr>
        <w:t xml:space="preserve">Article 6 </w:t>
      </w:r>
    </w:p>
    <w:p w:rsidR="00883A06" w:rsidRPr="004F7784" w:rsidRDefault="00883A06" w:rsidP="00883A06">
      <w:pPr>
        <w:pStyle w:val="NormalCentered"/>
        <w:rPr>
          <w:b/>
          <w:noProof/>
          <w:lang w:val="en-IE"/>
        </w:rPr>
      </w:pPr>
      <w:r w:rsidRPr="004F7784">
        <w:rPr>
          <w:b/>
          <w:noProof/>
          <w:lang w:val="en-IE"/>
        </w:rPr>
        <w:t xml:space="preserve">Verification </w:t>
      </w:r>
      <w:r w:rsidR="001D3155" w:rsidRPr="004F7784">
        <w:rPr>
          <w:b/>
          <w:noProof/>
          <w:lang w:val="en-IE"/>
        </w:rPr>
        <w:t>b</w:t>
      </w:r>
      <w:r w:rsidRPr="004F7784">
        <w:rPr>
          <w:b/>
          <w:noProof/>
          <w:lang w:val="en-IE"/>
        </w:rPr>
        <w:t>y competent authorities</w:t>
      </w:r>
    </w:p>
    <w:p w:rsidR="00D617BA" w:rsidRPr="004F7784" w:rsidRDefault="00795BB5" w:rsidP="00795BB5">
      <w:pPr>
        <w:pStyle w:val="ManualNumPar1"/>
        <w:rPr>
          <w:noProof/>
          <w:lang w:val="en-IE"/>
        </w:rPr>
      </w:pPr>
      <w:r w:rsidRPr="00795BB5">
        <w:t>1.</w:t>
      </w:r>
      <w:r w:rsidRPr="00795BB5">
        <w:tab/>
      </w:r>
      <w:r w:rsidR="00883A06" w:rsidRPr="004F7784">
        <w:rPr>
          <w:noProof/>
          <w:lang w:val="en-IE"/>
        </w:rPr>
        <w:t>Competent authorities may</w:t>
      </w:r>
      <w:r w:rsidR="00035280">
        <w:rPr>
          <w:noProof/>
          <w:lang w:val="en-IE"/>
        </w:rPr>
        <w:t>,</w:t>
      </w:r>
      <w:r w:rsidR="006D4097">
        <w:rPr>
          <w:noProof/>
          <w:lang w:val="en-IE"/>
        </w:rPr>
        <w:t xml:space="preserve"> at any time after issuing </w:t>
      </w:r>
      <w:r w:rsidR="00424F5C">
        <w:rPr>
          <w:noProof/>
          <w:lang w:val="en-IE"/>
        </w:rPr>
        <w:t xml:space="preserve">a </w:t>
      </w:r>
      <w:r w:rsidR="006D4097">
        <w:rPr>
          <w:noProof/>
          <w:lang w:val="en-IE"/>
        </w:rPr>
        <w:t>registration number</w:t>
      </w:r>
      <w:r w:rsidR="00035280">
        <w:rPr>
          <w:noProof/>
          <w:lang w:val="en-IE"/>
        </w:rPr>
        <w:t>,</w:t>
      </w:r>
      <w:r w:rsidR="00883A06" w:rsidRPr="004F7784">
        <w:rPr>
          <w:noProof/>
          <w:lang w:val="en-IE"/>
        </w:rPr>
        <w:t xml:space="preserve"> verify the </w:t>
      </w:r>
      <w:r w:rsidR="001F7C7C">
        <w:rPr>
          <w:noProof/>
          <w:lang w:val="en-IE"/>
        </w:rPr>
        <w:t xml:space="preserve">declaration and any supporting documentation </w:t>
      </w:r>
      <w:r w:rsidR="00627B5A">
        <w:rPr>
          <w:noProof/>
          <w:lang w:val="en-IE"/>
        </w:rPr>
        <w:t>submitted by a host pursuant to Article 5(1)</w:t>
      </w:r>
      <w:r w:rsidR="00912DD5">
        <w:rPr>
          <w:noProof/>
          <w:lang w:val="en-IE"/>
        </w:rPr>
        <w:t xml:space="preserve"> </w:t>
      </w:r>
      <w:r w:rsidR="0063039A">
        <w:rPr>
          <w:noProof/>
          <w:lang w:val="en-IE"/>
        </w:rPr>
        <w:t>and</w:t>
      </w:r>
      <w:r w:rsidR="00912DD5">
        <w:rPr>
          <w:noProof/>
          <w:lang w:val="en-IE"/>
        </w:rPr>
        <w:t xml:space="preserve"> </w:t>
      </w:r>
      <w:r w:rsidR="00912DD5" w:rsidRPr="0085272A">
        <w:rPr>
          <w:noProof/>
          <w:lang w:val="en-IE"/>
        </w:rPr>
        <w:t>5</w:t>
      </w:r>
      <w:r w:rsidR="00627B5A" w:rsidRPr="0085272A">
        <w:rPr>
          <w:noProof/>
          <w:lang w:val="en-IE"/>
        </w:rPr>
        <w:t>(</w:t>
      </w:r>
      <w:r w:rsidR="0063039A" w:rsidRPr="0085272A">
        <w:rPr>
          <w:noProof/>
          <w:lang w:val="en-IE"/>
        </w:rPr>
        <w:t>2</w:t>
      </w:r>
      <w:r w:rsidR="00627B5A" w:rsidRPr="0085272A">
        <w:rPr>
          <w:noProof/>
          <w:lang w:val="en-IE"/>
        </w:rPr>
        <w:t>)</w:t>
      </w:r>
      <w:r w:rsidR="00D617BA" w:rsidRPr="0085272A">
        <w:rPr>
          <w:noProof/>
          <w:lang w:val="en-IE"/>
        </w:rPr>
        <w:t>.</w:t>
      </w:r>
      <w:r w:rsidR="00D617BA" w:rsidRPr="004F7784">
        <w:rPr>
          <w:noProof/>
          <w:lang w:val="en-IE"/>
        </w:rPr>
        <w:t xml:space="preserve"> </w:t>
      </w:r>
    </w:p>
    <w:p w:rsidR="00D617BA" w:rsidRPr="004F7784" w:rsidRDefault="00795BB5" w:rsidP="00795BB5">
      <w:pPr>
        <w:pStyle w:val="ManualNumPar1"/>
        <w:rPr>
          <w:noProof/>
          <w:lang w:val="en-IE"/>
        </w:rPr>
      </w:pPr>
      <w:r w:rsidRPr="00795BB5">
        <w:t>2.</w:t>
      </w:r>
      <w:r w:rsidRPr="00795BB5">
        <w:tab/>
      </w:r>
      <w:r w:rsidR="00035280">
        <w:rPr>
          <w:noProof/>
          <w:lang w:val="en-IE"/>
        </w:rPr>
        <w:t xml:space="preserve">Where </w:t>
      </w:r>
      <w:r w:rsidR="00D617BA" w:rsidRPr="004F7784">
        <w:rPr>
          <w:noProof/>
          <w:lang w:val="en-IE"/>
        </w:rPr>
        <w:t xml:space="preserve">a competent authority, </w:t>
      </w:r>
      <w:r w:rsidR="00883A06" w:rsidRPr="004F7784">
        <w:rPr>
          <w:noProof/>
          <w:lang w:val="en-IE"/>
        </w:rPr>
        <w:t xml:space="preserve">after </w:t>
      </w:r>
      <w:r w:rsidR="00D617BA" w:rsidRPr="004F7784">
        <w:rPr>
          <w:noProof/>
          <w:lang w:val="en-IE"/>
        </w:rPr>
        <w:t xml:space="preserve">verification pursuant to paragraph 1, </w:t>
      </w:r>
      <w:r w:rsidR="00883A06" w:rsidRPr="004F7784">
        <w:rPr>
          <w:noProof/>
          <w:lang w:val="en-IE"/>
        </w:rPr>
        <w:t xml:space="preserve">finds that the </w:t>
      </w:r>
      <w:r w:rsidR="00627B5A">
        <w:rPr>
          <w:noProof/>
          <w:lang w:val="en-IE"/>
        </w:rPr>
        <w:t xml:space="preserve">information </w:t>
      </w:r>
      <w:r w:rsidR="00830AA9">
        <w:rPr>
          <w:noProof/>
          <w:lang w:val="en-IE"/>
        </w:rPr>
        <w:t xml:space="preserve">or documentation </w:t>
      </w:r>
      <w:r w:rsidR="00627B5A">
        <w:rPr>
          <w:noProof/>
          <w:lang w:val="en-IE"/>
        </w:rPr>
        <w:t>submitted</w:t>
      </w:r>
      <w:r w:rsidR="00627B5A" w:rsidRPr="004F7784">
        <w:rPr>
          <w:noProof/>
          <w:lang w:val="en-IE"/>
        </w:rPr>
        <w:t xml:space="preserve"> </w:t>
      </w:r>
      <w:r w:rsidR="00D617BA" w:rsidRPr="004F7784">
        <w:rPr>
          <w:noProof/>
          <w:lang w:val="en-IE"/>
        </w:rPr>
        <w:t xml:space="preserve">pursuant to Article 5(1) </w:t>
      </w:r>
      <w:r w:rsidR="0063039A">
        <w:rPr>
          <w:noProof/>
          <w:lang w:val="en-IE"/>
        </w:rPr>
        <w:t>and</w:t>
      </w:r>
      <w:r w:rsidR="001568A1" w:rsidRPr="004F7784">
        <w:rPr>
          <w:noProof/>
          <w:lang w:val="en-IE"/>
        </w:rPr>
        <w:t xml:space="preserve"> </w:t>
      </w:r>
      <w:r w:rsidR="0063039A" w:rsidRPr="0085272A">
        <w:rPr>
          <w:noProof/>
          <w:lang w:val="en-IE"/>
        </w:rPr>
        <w:t>5</w:t>
      </w:r>
      <w:r w:rsidR="001D3155" w:rsidRPr="0085272A">
        <w:rPr>
          <w:noProof/>
          <w:lang w:val="en-IE"/>
        </w:rPr>
        <w:t>(</w:t>
      </w:r>
      <w:r w:rsidR="0063039A" w:rsidRPr="0085272A">
        <w:rPr>
          <w:noProof/>
          <w:lang w:val="en-IE"/>
        </w:rPr>
        <w:t>2</w:t>
      </w:r>
      <w:r w:rsidR="001D3155" w:rsidRPr="0085272A">
        <w:rPr>
          <w:noProof/>
          <w:lang w:val="en-IE"/>
        </w:rPr>
        <w:t>)</w:t>
      </w:r>
      <w:r w:rsidR="001D3155" w:rsidRPr="004F7784">
        <w:rPr>
          <w:noProof/>
          <w:lang w:val="en-IE"/>
        </w:rPr>
        <w:t xml:space="preserve"> </w:t>
      </w:r>
      <w:r w:rsidR="00883A06" w:rsidRPr="004F7784">
        <w:rPr>
          <w:noProof/>
          <w:lang w:val="en-IE"/>
        </w:rPr>
        <w:t xml:space="preserve">is </w:t>
      </w:r>
      <w:r w:rsidR="00883A06" w:rsidRPr="00165459">
        <w:rPr>
          <w:noProof/>
          <w:lang w:val="en-IE"/>
        </w:rPr>
        <w:t>incomplete</w:t>
      </w:r>
      <w:r w:rsidR="00D617BA" w:rsidRPr="00165459">
        <w:rPr>
          <w:noProof/>
          <w:lang w:val="en-IE"/>
        </w:rPr>
        <w:t xml:space="preserve"> or</w:t>
      </w:r>
      <w:r w:rsidR="00D617BA" w:rsidRPr="004F7784">
        <w:rPr>
          <w:noProof/>
          <w:lang w:val="en-IE"/>
        </w:rPr>
        <w:t xml:space="preserve"> incorrect,</w:t>
      </w:r>
      <w:r w:rsidR="00883A06" w:rsidRPr="004F7784">
        <w:rPr>
          <w:noProof/>
          <w:lang w:val="en-IE"/>
        </w:rPr>
        <w:t xml:space="preserve"> </w:t>
      </w:r>
      <w:r w:rsidR="00627B5A">
        <w:rPr>
          <w:noProof/>
          <w:lang w:val="en-IE"/>
        </w:rPr>
        <w:t>that competent authority</w:t>
      </w:r>
      <w:r w:rsidR="00627B5A" w:rsidRPr="004F7784">
        <w:rPr>
          <w:noProof/>
          <w:lang w:val="en-IE"/>
        </w:rPr>
        <w:t xml:space="preserve"> </w:t>
      </w:r>
      <w:r w:rsidR="00975058">
        <w:rPr>
          <w:noProof/>
          <w:lang w:val="en-IE"/>
        </w:rPr>
        <w:t>shall</w:t>
      </w:r>
      <w:r w:rsidR="00975058" w:rsidRPr="004F7784">
        <w:rPr>
          <w:noProof/>
          <w:lang w:val="en-IE"/>
        </w:rPr>
        <w:t xml:space="preserve"> </w:t>
      </w:r>
      <w:r w:rsidR="0063039A">
        <w:rPr>
          <w:noProof/>
          <w:lang w:val="en-IE"/>
        </w:rPr>
        <w:t xml:space="preserve">have the power to </w:t>
      </w:r>
      <w:r w:rsidR="00C33A07">
        <w:rPr>
          <w:noProof/>
          <w:lang w:val="en-IE"/>
        </w:rPr>
        <w:t xml:space="preserve">ask </w:t>
      </w:r>
      <w:r w:rsidR="00883A06" w:rsidRPr="004F7784">
        <w:rPr>
          <w:noProof/>
          <w:lang w:val="en-IE"/>
        </w:rPr>
        <w:t xml:space="preserve">the </w:t>
      </w:r>
      <w:r w:rsidR="00D617BA" w:rsidRPr="004F7784">
        <w:rPr>
          <w:noProof/>
          <w:lang w:val="en-IE"/>
        </w:rPr>
        <w:t>host</w:t>
      </w:r>
      <w:r w:rsidR="00883A06" w:rsidRPr="004F7784">
        <w:rPr>
          <w:noProof/>
          <w:lang w:val="en-IE"/>
        </w:rPr>
        <w:t xml:space="preserve"> to rectify the information</w:t>
      </w:r>
      <w:r w:rsidR="001D3155" w:rsidRPr="004F7784">
        <w:rPr>
          <w:noProof/>
          <w:lang w:val="en-IE"/>
        </w:rPr>
        <w:t xml:space="preserve"> and documentation</w:t>
      </w:r>
      <w:r w:rsidR="00D617BA" w:rsidRPr="004F7784">
        <w:rPr>
          <w:noProof/>
          <w:lang w:val="en-IE"/>
        </w:rPr>
        <w:t xml:space="preserve"> </w:t>
      </w:r>
      <w:r w:rsidR="00883A06" w:rsidRPr="004F7784">
        <w:rPr>
          <w:noProof/>
          <w:lang w:val="en-IE"/>
        </w:rPr>
        <w:t>provided</w:t>
      </w:r>
      <w:r w:rsidR="00925FF7" w:rsidRPr="00925FF7">
        <w:rPr>
          <w:noProof/>
          <w:lang w:val="en-IE"/>
        </w:rPr>
        <w:t xml:space="preserve"> </w:t>
      </w:r>
      <w:r w:rsidR="00925FF7" w:rsidRPr="004F7784">
        <w:rPr>
          <w:noProof/>
          <w:lang w:val="en-IE"/>
        </w:rPr>
        <w:t xml:space="preserve">via the </w:t>
      </w:r>
      <w:r w:rsidR="00925FF7">
        <w:rPr>
          <w:rFonts w:eastAsia="Times New Roman"/>
          <w:noProof/>
          <w:color w:val="000000" w:themeColor="text1"/>
          <w:lang w:val="en-IE" w:eastAsia="zh-CN"/>
        </w:rPr>
        <w:t>functionality referred to</w:t>
      </w:r>
      <w:r w:rsidR="00925FF7" w:rsidRPr="004F7784">
        <w:rPr>
          <w:rFonts w:eastAsia="Times New Roman"/>
          <w:noProof/>
          <w:color w:val="000000" w:themeColor="text1"/>
          <w:lang w:val="en-IE" w:eastAsia="zh-CN"/>
        </w:rPr>
        <w:t xml:space="preserve"> in Article 4</w:t>
      </w:r>
      <w:r w:rsidR="00925FF7">
        <w:rPr>
          <w:rFonts w:eastAsia="Times New Roman"/>
          <w:noProof/>
          <w:color w:val="000000" w:themeColor="text1"/>
          <w:lang w:val="en-IE" w:eastAsia="zh-CN"/>
        </w:rPr>
        <w:t>(</w:t>
      </w:r>
      <w:r w:rsidR="008E0EF6">
        <w:rPr>
          <w:rFonts w:eastAsia="Times New Roman"/>
          <w:noProof/>
          <w:color w:val="000000" w:themeColor="text1"/>
          <w:lang w:val="en-IE" w:eastAsia="zh-CN"/>
        </w:rPr>
        <w:t>2</w:t>
      </w:r>
      <w:r w:rsidR="00925FF7">
        <w:rPr>
          <w:rFonts w:eastAsia="Times New Roman"/>
          <w:noProof/>
          <w:color w:val="000000" w:themeColor="text1"/>
          <w:lang w:val="en-IE" w:eastAsia="zh-CN"/>
        </w:rPr>
        <w:t>)</w:t>
      </w:r>
      <w:r w:rsidR="003E6AB0">
        <w:rPr>
          <w:rFonts w:eastAsia="Times New Roman"/>
          <w:noProof/>
          <w:color w:val="000000" w:themeColor="text1"/>
          <w:lang w:val="en-IE" w:eastAsia="zh-CN"/>
        </w:rPr>
        <w:t>,</w:t>
      </w:r>
      <w:r w:rsidR="0055113F">
        <w:rPr>
          <w:rFonts w:eastAsia="Times New Roman"/>
          <w:noProof/>
          <w:color w:val="000000" w:themeColor="text1"/>
          <w:lang w:val="en-IE" w:eastAsia="zh-CN"/>
        </w:rPr>
        <w:t xml:space="preserve"> point </w:t>
      </w:r>
      <w:r w:rsidR="00925FF7">
        <w:rPr>
          <w:rFonts w:eastAsia="Times New Roman"/>
          <w:noProof/>
          <w:color w:val="000000" w:themeColor="text1"/>
          <w:lang w:val="en-IE" w:eastAsia="zh-CN"/>
        </w:rPr>
        <w:t>(</w:t>
      </w:r>
      <w:r w:rsidR="003E6AB0" w:rsidRPr="00165459">
        <w:rPr>
          <w:rFonts w:eastAsia="Times New Roman"/>
          <w:noProof/>
          <w:color w:val="000000" w:themeColor="text1"/>
          <w:lang w:val="en-IE" w:eastAsia="zh-CN"/>
        </w:rPr>
        <w:t>d</w:t>
      </w:r>
      <w:r w:rsidR="00925FF7">
        <w:rPr>
          <w:rFonts w:eastAsia="Times New Roman"/>
          <w:noProof/>
          <w:color w:val="000000" w:themeColor="text1"/>
          <w:lang w:val="en-IE" w:eastAsia="zh-CN"/>
        </w:rPr>
        <w:t>)</w:t>
      </w:r>
      <w:r w:rsidR="0055113F">
        <w:rPr>
          <w:rFonts w:eastAsia="Times New Roman"/>
          <w:noProof/>
          <w:color w:val="000000" w:themeColor="text1"/>
          <w:lang w:val="en-IE" w:eastAsia="zh-CN"/>
        </w:rPr>
        <w:t>,</w:t>
      </w:r>
      <w:r w:rsidR="00925FF7">
        <w:rPr>
          <w:rFonts w:eastAsia="Times New Roman"/>
          <w:noProof/>
          <w:color w:val="000000" w:themeColor="text1"/>
          <w:lang w:val="en-IE" w:eastAsia="zh-CN"/>
        </w:rPr>
        <w:t xml:space="preserve"> </w:t>
      </w:r>
      <w:r w:rsidR="00925FF7" w:rsidRPr="004F7784">
        <w:rPr>
          <w:noProof/>
          <w:lang w:val="en-IE"/>
        </w:rPr>
        <w:t>within a period</w:t>
      </w:r>
      <w:r w:rsidR="00925FF7">
        <w:rPr>
          <w:noProof/>
          <w:lang w:val="en-IE"/>
        </w:rPr>
        <w:t xml:space="preserve"> to be specified by the competent authority</w:t>
      </w:r>
      <w:r w:rsidR="00883A06" w:rsidRPr="004F7784">
        <w:rPr>
          <w:noProof/>
          <w:lang w:val="en-IE"/>
        </w:rPr>
        <w:t xml:space="preserve">. </w:t>
      </w:r>
    </w:p>
    <w:p w:rsidR="00F30275" w:rsidRPr="00DC03BC" w:rsidRDefault="00795BB5" w:rsidP="00795BB5">
      <w:pPr>
        <w:pStyle w:val="ManualNumPar1"/>
        <w:rPr>
          <w:noProof/>
          <w:lang w:val="en-IE"/>
        </w:rPr>
      </w:pPr>
      <w:r w:rsidRPr="00795BB5">
        <w:t>3.</w:t>
      </w:r>
      <w:r w:rsidRPr="00795BB5">
        <w:tab/>
      </w:r>
      <w:r w:rsidR="00035280">
        <w:rPr>
          <w:noProof/>
          <w:lang w:val="en-IE"/>
        </w:rPr>
        <w:t>Where</w:t>
      </w:r>
      <w:r w:rsidR="00D617BA" w:rsidRPr="004F7784">
        <w:rPr>
          <w:noProof/>
          <w:lang w:val="en-IE"/>
        </w:rPr>
        <w:t xml:space="preserve"> a host fails to</w:t>
      </w:r>
      <w:r w:rsidR="004D7C5B">
        <w:rPr>
          <w:noProof/>
          <w:lang w:val="en-IE"/>
        </w:rPr>
        <w:t xml:space="preserve"> rectify the </w:t>
      </w:r>
      <w:r w:rsidR="00D617BA" w:rsidRPr="004F7784">
        <w:rPr>
          <w:noProof/>
          <w:lang w:val="en-IE"/>
        </w:rPr>
        <w:t>request</w:t>
      </w:r>
      <w:r w:rsidR="00035280">
        <w:rPr>
          <w:noProof/>
          <w:lang w:val="en-IE"/>
        </w:rPr>
        <w:t>ed information</w:t>
      </w:r>
      <w:r w:rsidR="00D617BA" w:rsidRPr="004F7784">
        <w:rPr>
          <w:noProof/>
          <w:lang w:val="en-IE"/>
        </w:rPr>
        <w:t xml:space="preserve"> pursuant to paragraph 2, the competent authority </w:t>
      </w:r>
      <w:r w:rsidR="00975058">
        <w:rPr>
          <w:noProof/>
          <w:lang w:val="en-IE"/>
        </w:rPr>
        <w:t xml:space="preserve">shall </w:t>
      </w:r>
      <w:r w:rsidR="005B3C1A">
        <w:rPr>
          <w:noProof/>
          <w:lang w:val="en-IE"/>
        </w:rPr>
        <w:t xml:space="preserve">have the power to </w:t>
      </w:r>
      <w:r w:rsidR="00D617BA" w:rsidRPr="004F7784">
        <w:rPr>
          <w:noProof/>
          <w:lang w:val="en-IE"/>
        </w:rPr>
        <w:t xml:space="preserve">suspend the validity of the </w:t>
      </w:r>
      <w:r w:rsidR="002549F8">
        <w:rPr>
          <w:noProof/>
          <w:lang w:val="en-IE"/>
        </w:rPr>
        <w:t xml:space="preserve">affected </w:t>
      </w:r>
      <w:r w:rsidR="00D617BA" w:rsidRPr="004F7784">
        <w:rPr>
          <w:noProof/>
          <w:lang w:val="en-IE"/>
        </w:rPr>
        <w:t>registration number</w:t>
      </w:r>
      <w:r w:rsidR="002549F8">
        <w:rPr>
          <w:noProof/>
          <w:lang w:val="en-IE"/>
        </w:rPr>
        <w:t>s</w:t>
      </w:r>
      <w:r w:rsidR="00685D43">
        <w:rPr>
          <w:noProof/>
          <w:lang w:val="en-IE"/>
        </w:rPr>
        <w:t xml:space="preserve"> and </w:t>
      </w:r>
      <w:r w:rsidR="005B3C1A">
        <w:rPr>
          <w:noProof/>
          <w:lang w:val="en-IE"/>
        </w:rPr>
        <w:t xml:space="preserve">to </w:t>
      </w:r>
      <w:r w:rsidR="00F30275">
        <w:rPr>
          <w:noProof/>
          <w:lang w:val="en-IE"/>
        </w:rPr>
        <w:t xml:space="preserve">issue an order </w:t>
      </w:r>
      <w:r w:rsidR="00C1732D">
        <w:rPr>
          <w:noProof/>
          <w:lang w:val="en-IE"/>
        </w:rPr>
        <w:t>request</w:t>
      </w:r>
      <w:r w:rsidR="00F30275">
        <w:rPr>
          <w:noProof/>
          <w:lang w:val="en-IE"/>
        </w:rPr>
        <w:t>ing</w:t>
      </w:r>
      <w:r w:rsidR="00C1732D">
        <w:rPr>
          <w:noProof/>
          <w:lang w:val="en-IE"/>
        </w:rPr>
        <w:t xml:space="preserve"> </w:t>
      </w:r>
      <w:r w:rsidR="00685D43">
        <w:rPr>
          <w:noProof/>
          <w:lang w:val="en-IE"/>
        </w:rPr>
        <w:t xml:space="preserve">online </w:t>
      </w:r>
      <w:r w:rsidR="006D4097">
        <w:rPr>
          <w:noProof/>
          <w:lang w:val="en-IE"/>
        </w:rPr>
        <w:t>short-term rental platform</w:t>
      </w:r>
      <w:r w:rsidR="00EF30AF">
        <w:rPr>
          <w:noProof/>
          <w:lang w:val="en-IE"/>
        </w:rPr>
        <w:t>s</w:t>
      </w:r>
      <w:r w:rsidR="00685D43">
        <w:rPr>
          <w:noProof/>
          <w:lang w:val="en-IE"/>
        </w:rPr>
        <w:t xml:space="preserve"> to </w:t>
      </w:r>
      <w:r w:rsidR="00EF30AF" w:rsidRPr="00EF30AF">
        <w:rPr>
          <w:noProof/>
          <w:lang w:val="en-IE"/>
        </w:rPr>
        <w:t>rem</w:t>
      </w:r>
      <w:r w:rsidR="00EF30AF">
        <w:rPr>
          <w:noProof/>
          <w:lang w:val="en-IE"/>
        </w:rPr>
        <w:t xml:space="preserve">ove or disable access to </w:t>
      </w:r>
      <w:r w:rsidR="001A3807">
        <w:rPr>
          <w:noProof/>
          <w:lang w:val="en-IE"/>
        </w:rPr>
        <w:t>any</w:t>
      </w:r>
      <w:r w:rsidR="00EF30AF" w:rsidRPr="00EF30AF">
        <w:rPr>
          <w:noProof/>
          <w:lang w:val="en-IE"/>
        </w:rPr>
        <w:t xml:space="preserve"> listing</w:t>
      </w:r>
      <w:r w:rsidR="001A3807">
        <w:rPr>
          <w:noProof/>
          <w:lang w:val="en-IE"/>
        </w:rPr>
        <w:t xml:space="preserve"> relating to the unit </w:t>
      </w:r>
      <w:r w:rsidR="002549F8">
        <w:rPr>
          <w:noProof/>
          <w:lang w:val="en-IE"/>
        </w:rPr>
        <w:t xml:space="preserve">or units </w:t>
      </w:r>
      <w:r w:rsidR="001A3807">
        <w:rPr>
          <w:noProof/>
          <w:lang w:val="en-IE"/>
        </w:rPr>
        <w:t>in question</w:t>
      </w:r>
      <w:r w:rsidR="00C1732D">
        <w:rPr>
          <w:noProof/>
          <w:lang w:val="en-IE"/>
        </w:rPr>
        <w:t xml:space="preserve"> without undue delay</w:t>
      </w:r>
      <w:r w:rsidR="00D617BA" w:rsidRPr="004F7784">
        <w:rPr>
          <w:noProof/>
          <w:lang w:val="en-IE"/>
        </w:rPr>
        <w:t xml:space="preserve">. </w:t>
      </w:r>
    </w:p>
    <w:p w:rsidR="00033960" w:rsidRPr="00EF30AF" w:rsidRDefault="00795BB5" w:rsidP="00795BB5">
      <w:pPr>
        <w:pStyle w:val="ManualNumPar1"/>
        <w:rPr>
          <w:noProof/>
          <w:lang w:val="en-IE"/>
        </w:rPr>
      </w:pPr>
      <w:r w:rsidRPr="00795BB5">
        <w:t>4.</w:t>
      </w:r>
      <w:r w:rsidRPr="00795BB5">
        <w:tab/>
      </w:r>
      <w:r w:rsidR="00035280">
        <w:rPr>
          <w:noProof/>
          <w:lang w:val="en-IE"/>
        </w:rPr>
        <w:t xml:space="preserve">Where </w:t>
      </w:r>
      <w:r w:rsidR="003C52DA" w:rsidRPr="00EF30AF">
        <w:rPr>
          <w:noProof/>
          <w:lang w:val="en-IE"/>
        </w:rPr>
        <w:t xml:space="preserve">a competent authority, after verification pursuant to paragraph 1, finds that there are manifest and </w:t>
      </w:r>
      <w:r w:rsidR="006D4097" w:rsidRPr="00EF30AF">
        <w:rPr>
          <w:noProof/>
          <w:lang w:val="en-IE"/>
        </w:rPr>
        <w:t xml:space="preserve">serious </w:t>
      </w:r>
      <w:r w:rsidR="003C52DA" w:rsidRPr="00EF30AF">
        <w:rPr>
          <w:noProof/>
          <w:lang w:val="en-IE"/>
        </w:rPr>
        <w:t xml:space="preserve">doubts as regards the authenticity and validity of the information or documentation </w:t>
      </w:r>
      <w:r w:rsidR="00627B5A">
        <w:rPr>
          <w:noProof/>
          <w:lang w:val="en-IE"/>
        </w:rPr>
        <w:t xml:space="preserve">submitted </w:t>
      </w:r>
      <w:r w:rsidR="003C52DA" w:rsidRPr="00EF30AF">
        <w:rPr>
          <w:noProof/>
          <w:lang w:val="en-IE"/>
        </w:rPr>
        <w:t xml:space="preserve">pursuant to </w:t>
      </w:r>
      <w:r w:rsidR="003C52DA" w:rsidRPr="00CC7077">
        <w:rPr>
          <w:noProof/>
          <w:lang w:val="en-IE"/>
        </w:rPr>
        <w:t xml:space="preserve">Article 5(1) </w:t>
      </w:r>
      <w:r w:rsidR="0063039A">
        <w:rPr>
          <w:noProof/>
          <w:lang w:val="en-IE"/>
        </w:rPr>
        <w:t>and</w:t>
      </w:r>
      <w:r w:rsidR="001568A1" w:rsidRPr="00CC7077">
        <w:rPr>
          <w:noProof/>
          <w:lang w:val="en-IE"/>
        </w:rPr>
        <w:t xml:space="preserve"> </w:t>
      </w:r>
      <w:r w:rsidR="0063039A" w:rsidRPr="0085272A">
        <w:rPr>
          <w:noProof/>
          <w:lang w:val="en-IE"/>
        </w:rPr>
        <w:t>5</w:t>
      </w:r>
      <w:r w:rsidR="003C52DA" w:rsidRPr="0085272A">
        <w:rPr>
          <w:noProof/>
          <w:lang w:val="en-IE"/>
        </w:rPr>
        <w:t>(</w:t>
      </w:r>
      <w:r w:rsidR="0063039A" w:rsidRPr="0085272A">
        <w:rPr>
          <w:noProof/>
          <w:lang w:val="en-IE"/>
        </w:rPr>
        <w:t>2</w:t>
      </w:r>
      <w:r w:rsidR="003C52DA" w:rsidRPr="0085272A">
        <w:rPr>
          <w:noProof/>
          <w:lang w:val="en-IE"/>
        </w:rPr>
        <w:t>),</w:t>
      </w:r>
      <w:r w:rsidR="003C52DA" w:rsidRPr="00EF30AF">
        <w:rPr>
          <w:noProof/>
          <w:lang w:val="en-IE"/>
        </w:rPr>
        <w:t xml:space="preserve"> it </w:t>
      </w:r>
      <w:r w:rsidR="00456B1D">
        <w:rPr>
          <w:noProof/>
          <w:lang w:val="en-IE"/>
        </w:rPr>
        <w:t>shall</w:t>
      </w:r>
      <w:r w:rsidR="00456B1D" w:rsidRPr="00EF30AF">
        <w:rPr>
          <w:noProof/>
          <w:lang w:val="en-IE"/>
        </w:rPr>
        <w:t xml:space="preserve"> </w:t>
      </w:r>
      <w:r w:rsidR="005B3C1A">
        <w:rPr>
          <w:noProof/>
          <w:lang w:val="en-IE"/>
        </w:rPr>
        <w:t xml:space="preserve">have the power to </w:t>
      </w:r>
      <w:r w:rsidR="003C52DA" w:rsidRPr="00EF30AF">
        <w:rPr>
          <w:noProof/>
          <w:lang w:val="en-IE"/>
        </w:rPr>
        <w:t xml:space="preserve">suspend the validity of the </w:t>
      </w:r>
      <w:r w:rsidR="00C7354C">
        <w:rPr>
          <w:noProof/>
          <w:lang w:val="en-IE"/>
        </w:rPr>
        <w:t xml:space="preserve">affected </w:t>
      </w:r>
      <w:r w:rsidR="003C52DA" w:rsidRPr="00EF30AF">
        <w:rPr>
          <w:noProof/>
          <w:lang w:val="en-IE"/>
        </w:rPr>
        <w:t>registration number</w:t>
      </w:r>
      <w:r w:rsidR="00C7354C">
        <w:rPr>
          <w:noProof/>
          <w:lang w:val="en-IE"/>
        </w:rPr>
        <w:t>s</w:t>
      </w:r>
      <w:r w:rsidR="00685D43" w:rsidRPr="00EF30AF">
        <w:rPr>
          <w:noProof/>
          <w:lang w:val="en-IE"/>
        </w:rPr>
        <w:t xml:space="preserve"> and</w:t>
      </w:r>
      <w:r w:rsidR="005B3C1A">
        <w:rPr>
          <w:noProof/>
          <w:lang w:val="en-IE"/>
        </w:rPr>
        <w:t xml:space="preserve"> to</w:t>
      </w:r>
      <w:r w:rsidR="00685D43" w:rsidRPr="00EF30AF">
        <w:rPr>
          <w:noProof/>
          <w:lang w:val="en-IE"/>
        </w:rPr>
        <w:t xml:space="preserve"> </w:t>
      </w:r>
      <w:r w:rsidR="00F30275">
        <w:rPr>
          <w:noProof/>
          <w:lang w:val="en-IE"/>
        </w:rPr>
        <w:t xml:space="preserve">issue an order requesting </w:t>
      </w:r>
      <w:r w:rsidR="00685D43" w:rsidRPr="00EF30AF">
        <w:rPr>
          <w:noProof/>
          <w:lang w:val="en-IE"/>
        </w:rPr>
        <w:t xml:space="preserve">online </w:t>
      </w:r>
      <w:r w:rsidR="00956FE2" w:rsidRPr="00EF30AF">
        <w:rPr>
          <w:noProof/>
          <w:lang w:val="en-IE"/>
        </w:rPr>
        <w:t xml:space="preserve">short-term rental </w:t>
      </w:r>
      <w:r w:rsidR="00685D43" w:rsidRPr="00EF30AF">
        <w:rPr>
          <w:noProof/>
          <w:lang w:val="en-IE"/>
        </w:rPr>
        <w:t xml:space="preserve">platforms to </w:t>
      </w:r>
      <w:r w:rsidR="00EF30AF" w:rsidRPr="00EF30AF">
        <w:rPr>
          <w:noProof/>
          <w:lang w:val="en-IE"/>
        </w:rPr>
        <w:t>rem</w:t>
      </w:r>
      <w:r w:rsidR="00EF30AF">
        <w:rPr>
          <w:noProof/>
          <w:lang w:val="en-IE"/>
        </w:rPr>
        <w:t xml:space="preserve">ove or disable access to </w:t>
      </w:r>
      <w:r w:rsidR="004D7C5B">
        <w:rPr>
          <w:noProof/>
          <w:lang w:val="en-IE"/>
        </w:rPr>
        <w:t xml:space="preserve">any </w:t>
      </w:r>
      <w:r w:rsidR="00EF30AF" w:rsidRPr="00EF30AF">
        <w:rPr>
          <w:noProof/>
          <w:lang w:val="en-IE"/>
        </w:rPr>
        <w:t>listing</w:t>
      </w:r>
      <w:r w:rsidR="00C1732D">
        <w:rPr>
          <w:noProof/>
          <w:lang w:val="en-IE"/>
        </w:rPr>
        <w:t xml:space="preserve"> </w:t>
      </w:r>
      <w:r w:rsidR="004D7C5B">
        <w:rPr>
          <w:noProof/>
          <w:lang w:val="en-IE"/>
        </w:rPr>
        <w:t xml:space="preserve">relating to the unit </w:t>
      </w:r>
      <w:r w:rsidR="00C03328">
        <w:rPr>
          <w:noProof/>
          <w:lang w:val="en-IE"/>
        </w:rPr>
        <w:t xml:space="preserve">or units </w:t>
      </w:r>
      <w:r w:rsidR="004D7C5B">
        <w:rPr>
          <w:noProof/>
          <w:lang w:val="en-IE"/>
        </w:rPr>
        <w:t xml:space="preserve">in question </w:t>
      </w:r>
      <w:r w:rsidR="00C1732D">
        <w:rPr>
          <w:noProof/>
          <w:lang w:val="en-IE"/>
        </w:rPr>
        <w:t>without undue delay</w:t>
      </w:r>
      <w:r w:rsidR="003C52DA" w:rsidRPr="00EF30AF">
        <w:rPr>
          <w:noProof/>
          <w:lang w:val="en-IE"/>
        </w:rPr>
        <w:t xml:space="preserve">. </w:t>
      </w:r>
    </w:p>
    <w:p w:rsidR="00D56DCE" w:rsidRPr="00F93DED" w:rsidRDefault="00795BB5" w:rsidP="00795BB5">
      <w:pPr>
        <w:pStyle w:val="ManualNumPar1"/>
        <w:rPr>
          <w:noProof/>
          <w:lang w:val="en-IE"/>
        </w:rPr>
      </w:pPr>
      <w:r w:rsidRPr="00795BB5">
        <w:t>5.</w:t>
      </w:r>
      <w:r w:rsidRPr="00795BB5">
        <w:tab/>
      </w:r>
      <w:r w:rsidR="00B8111A" w:rsidRPr="006C5B44">
        <w:rPr>
          <w:noProof/>
          <w:lang w:val="en-IE"/>
        </w:rPr>
        <w:t xml:space="preserve">Where a competent authority intends to suspend the validity of a registration number </w:t>
      </w:r>
      <w:r w:rsidR="00426EAE">
        <w:rPr>
          <w:noProof/>
          <w:lang w:val="en-IE"/>
        </w:rPr>
        <w:t xml:space="preserve">or numbers </w:t>
      </w:r>
      <w:r w:rsidR="00B8111A" w:rsidRPr="006C5B44">
        <w:rPr>
          <w:noProof/>
          <w:lang w:val="en-IE"/>
        </w:rPr>
        <w:t xml:space="preserve">pursuant to paragraphs 3 </w:t>
      </w:r>
      <w:r w:rsidR="000812C1" w:rsidRPr="006C5B44">
        <w:rPr>
          <w:noProof/>
          <w:lang w:val="en-IE"/>
        </w:rPr>
        <w:t>or</w:t>
      </w:r>
      <w:r w:rsidR="00B8111A" w:rsidRPr="006C5B44">
        <w:rPr>
          <w:noProof/>
          <w:lang w:val="en-IE"/>
        </w:rPr>
        <w:t xml:space="preserve"> 4, it shall notify the host in writing stating the reasons </w:t>
      </w:r>
      <w:r w:rsidR="00426EAE">
        <w:rPr>
          <w:noProof/>
          <w:lang w:val="en-IE"/>
        </w:rPr>
        <w:t>for</w:t>
      </w:r>
      <w:r w:rsidR="00B8111A" w:rsidRPr="006C5B44">
        <w:rPr>
          <w:noProof/>
          <w:lang w:val="en-IE"/>
        </w:rPr>
        <w:t xml:space="preserve"> that intentio</w:t>
      </w:r>
      <w:r w:rsidR="00B8111A" w:rsidRPr="00DB1AA7">
        <w:rPr>
          <w:noProof/>
          <w:lang w:val="en-IE"/>
        </w:rPr>
        <w:t xml:space="preserve">n. The host shall be given the opportunity </w:t>
      </w:r>
      <w:r w:rsidR="00B8111A" w:rsidRPr="00DB1AA7" w:rsidDel="002A6035">
        <w:rPr>
          <w:noProof/>
          <w:lang w:val="en-IE"/>
        </w:rPr>
        <w:t>to be heard and</w:t>
      </w:r>
      <w:r w:rsidR="00426EAE">
        <w:rPr>
          <w:noProof/>
          <w:lang w:val="en-IE"/>
        </w:rPr>
        <w:t>, where appropriate,</w:t>
      </w:r>
      <w:r w:rsidR="00B8111A" w:rsidRPr="00DB1AA7" w:rsidDel="002A6035">
        <w:rPr>
          <w:noProof/>
          <w:lang w:val="en-IE"/>
        </w:rPr>
        <w:t xml:space="preserve"> </w:t>
      </w:r>
      <w:r w:rsidR="00B8111A" w:rsidRPr="00A34646">
        <w:rPr>
          <w:noProof/>
          <w:lang w:val="en-IE"/>
        </w:rPr>
        <w:t xml:space="preserve">to rectify the information or documentation in question within a reasonable period to be specified by the competent authority. </w:t>
      </w:r>
      <w:r w:rsidR="002549F8" w:rsidRPr="00F93DED">
        <w:rPr>
          <w:noProof/>
          <w:lang w:val="en-IE"/>
        </w:rPr>
        <w:t xml:space="preserve">Where, after having heard the host, the competent authority confirms its intention to suspend the validity of a registration number or numbers, it shall notify the host in writing of that decision, accompanied by a copy of the order referred to in paragraphs 3 or 4. </w:t>
      </w:r>
    </w:p>
    <w:p w:rsidR="00B8111A" w:rsidRDefault="00795BB5" w:rsidP="00795BB5">
      <w:pPr>
        <w:pStyle w:val="ManualNumPar1"/>
        <w:rPr>
          <w:noProof/>
          <w:lang w:val="en-IE"/>
        </w:rPr>
      </w:pPr>
      <w:r w:rsidRPr="00795BB5">
        <w:t>6.</w:t>
      </w:r>
      <w:r w:rsidRPr="00795BB5">
        <w:tab/>
      </w:r>
      <w:r w:rsidR="00F30275" w:rsidRPr="00650999">
        <w:rPr>
          <w:noProof/>
          <w:lang w:val="en-IE"/>
        </w:rPr>
        <w:t>Orders</w:t>
      </w:r>
      <w:r w:rsidR="00B8111A">
        <w:rPr>
          <w:noProof/>
          <w:lang w:val="en-IE"/>
        </w:rPr>
        <w:t xml:space="preserve"> issued</w:t>
      </w:r>
      <w:r w:rsidR="00F30275" w:rsidRPr="00650999">
        <w:rPr>
          <w:noProof/>
          <w:lang w:val="en-IE"/>
        </w:rPr>
        <w:t xml:space="preserve"> pursuant to paragraphs 3</w:t>
      </w:r>
      <w:r w:rsidR="0055113F">
        <w:rPr>
          <w:noProof/>
          <w:lang w:val="en-IE"/>
        </w:rPr>
        <w:t xml:space="preserve">, </w:t>
      </w:r>
      <w:r w:rsidR="00F30275" w:rsidRPr="00650999">
        <w:rPr>
          <w:noProof/>
          <w:lang w:val="en-IE"/>
        </w:rPr>
        <w:t>4</w:t>
      </w:r>
      <w:r w:rsidR="0055113F">
        <w:rPr>
          <w:noProof/>
          <w:lang w:val="en-IE"/>
        </w:rPr>
        <w:t xml:space="preserve"> and 10</w:t>
      </w:r>
      <w:r w:rsidR="00F30275" w:rsidRPr="00650999">
        <w:rPr>
          <w:noProof/>
          <w:lang w:val="en-IE"/>
        </w:rPr>
        <w:t xml:space="preserve"> shall contain at least</w:t>
      </w:r>
      <w:r w:rsidR="00B8111A">
        <w:rPr>
          <w:noProof/>
          <w:lang w:val="en-IE"/>
        </w:rPr>
        <w:t xml:space="preserve"> the following information</w:t>
      </w:r>
      <w:r w:rsidR="00F30275" w:rsidRPr="00650999">
        <w:rPr>
          <w:noProof/>
          <w:lang w:val="en-IE"/>
        </w:rPr>
        <w:t>:</w:t>
      </w:r>
    </w:p>
    <w:p w:rsidR="00B8111A" w:rsidRPr="00C42E6F" w:rsidRDefault="00795BB5" w:rsidP="00795BB5">
      <w:pPr>
        <w:pStyle w:val="Point1"/>
        <w:rPr>
          <w:noProof/>
          <w:lang w:val="en-IE"/>
        </w:rPr>
      </w:pPr>
      <w:r w:rsidRPr="00795BB5">
        <w:t>(a)</w:t>
      </w:r>
      <w:r w:rsidRPr="00795BB5">
        <w:tab/>
      </w:r>
      <w:r w:rsidR="00F30275" w:rsidRPr="00C42E6F">
        <w:rPr>
          <w:noProof/>
          <w:lang w:val="en-IE"/>
        </w:rPr>
        <w:t>a statement of reasons</w:t>
      </w:r>
      <w:r w:rsidR="00B8111A" w:rsidRPr="00C42E6F">
        <w:rPr>
          <w:noProof/>
          <w:lang w:val="en-IE"/>
        </w:rPr>
        <w:t>;</w:t>
      </w:r>
      <w:r w:rsidR="00F30275" w:rsidRPr="00C42E6F">
        <w:rPr>
          <w:noProof/>
          <w:lang w:val="en-IE"/>
        </w:rPr>
        <w:t xml:space="preserve"> </w:t>
      </w:r>
    </w:p>
    <w:p w:rsidR="00B8111A" w:rsidRPr="00A42677" w:rsidRDefault="00795BB5" w:rsidP="00795BB5">
      <w:pPr>
        <w:pStyle w:val="Point1"/>
        <w:rPr>
          <w:noProof/>
          <w:lang w:val="en-IE"/>
        </w:rPr>
      </w:pPr>
      <w:r w:rsidRPr="00795BB5">
        <w:t>(b)</w:t>
      </w:r>
      <w:r w:rsidRPr="00795BB5">
        <w:tab/>
      </w:r>
      <w:r w:rsidR="00F30275" w:rsidRPr="00650999">
        <w:rPr>
          <w:noProof/>
          <w:lang w:val="en-IE"/>
        </w:rPr>
        <w:t xml:space="preserve">clear information enabling the provider of the online short-term rental platform to identify and locate the listing </w:t>
      </w:r>
      <w:r w:rsidR="0063039A">
        <w:rPr>
          <w:noProof/>
          <w:lang w:val="en-IE"/>
        </w:rPr>
        <w:t xml:space="preserve">or listings </w:t>
      </w:r>
      <w:r w:rsidR="00F30275" w:rsidRPr="00650999">
        <w:rPr>
          <w:noProof/>
          <w:lang w:val="en-IE"/>
        </w:rPr>
        <w:t>concerned</w:t>
      </w:r>
      <w:r w:rsidR="00F30275" w:rsidRPr="00770310">
        <w:rPr>
          <w:noProof/>
          <w:lang w:val="en-IE"/>
        </w:rPr>
        <w:t>, such as one or more exact uniform resource locators (URL)</w:t>
      </w:r>
      <w:r w:rsidR="0063039A">
        <w:rPr>
          <w:noProof/>
          <w:lang w:val="en-IE"/>
        </w:rPr>
        <w:t xml:space="preserve"> and</w:t>
      </w:r>
      <w:r w:rsidR="00F30275" w:rsidRPr="00770310">
        <w:rPr>
          <w:noProof/>
          <w:lang w:val="en-IE"/>
        </w:rPr>
        <w:t xml:space="preserve"> </w:t>
      </w:r>
      <w:r w:rsidR="005631C2" w:rsidRPr="00770310">
        <w:rPr>
          <w:noProof/>
          <w:lang w:val="en-IE"/>
        </w:rPr>
        <w:t xml:space="preserve">the </w:t>
      </w:r>
      <w:r w:rsidR="00F30275" w:rsidRPr="00770310">
        <w:rPr>
          <w:noProof/>
          <w:lang w:val="en-IE"/>
        </w:rPr>
        <w:t xml:space="preserve">identity of the </w:t>
      </w:r>
      <w:r w:rsidR="006C57DE">
        <w:rPr>
          <w:noProof/>
          <w:lang w:val="en-IE"/>
        </w:rPr>
        <w:t>competent</w:t>
      </w:r>
      <w:r w:rsidR="006C57DE" w:rsidRPr="00770310">
        <w:rPr>
          <w:noProof/>
          <w:lang w:val="en-IE"/>
        </w:rPr>
        <w:t xml:space="preserve"> </w:t>
      </w:r>
      <w:r w:rsidR="00F30275" w:rsidRPr="00770310">
        <w:rPr>
          <w:noProof/>
          <w:lang w:val="en-IE"/>
        </w:rPr>
        <w:t>authority</w:t>
      </w:r>
      <w:r w:rsidR="00B8111A" w:rsidRPr="00A42677">
        <w:rPr>
          <w:noProof/>
          <w:lang w:val="en-IE"/>
        </w:rPr>
        <w:t>;</w:t>
      </w:r>
    </w:p>
    <w:p w:rsidR="005631C2" w:rsidRPr="00787472" w:rsidRDefault="00795BB5" w:rsidP="00795BB5">
      <w:pPr>
        <w:pStyle w:val="Point1"/>
        <w:rPr>
          <w:noProof/>
          <w:lang w:val="en-IE"/>
        </w:rPr>
      </w:pPr>
      <w:r w:rsidRPr="00795BB5">
        <w:t>(c)</w:t>
      </w:r>
      <w:r w:rsidRPr="00795BB5">
        <w:tab/>
      </w:r>
      <w:r w:rsidR="005631C2" w:rsidRPr="00787472">
        <w:rPr>
          <w:noProof/>
          <w:lang w:val="en-IE"/>
        </w:rPr>
        <w:t>the identity of the host and of the unit offered for short-term accommodation rental services.</w:t>
      </w:r>
    </w:p>
    <w:p w:rsidR="00F93DED" w:rsidRPr="00787472" w:rsidRDefault="00795BB5" w:rsidP="00795BB5">
      <w:pPr>
        <w:pStyle w:val="ManualNumPar1"/>
        <w:rPr>
          <w:noProof/>
          <w:lang w:val="en-IE"/>
        </w:rPr>
      </w:pPr>
      <w:r w:rsidRPr="00795BB5">
        <w:t>7.</w:t>
      </w:r>
      <w:r w:rsidRPr="00795BB5">
        <w:tab/>
      </w:r>
      <w:r w:rsidR="00F93DED" w:rsidRPr="00787472">
        <w:rPr>
          <w:noProof/>
          <w:lang w:val="en-IE"/>
        </w:rPr>
        <w:t>The validity of a registration number shall remain suspended until the host has rectified the relevant information and documentation with the competent authorities. Upon reception, via the functionality referred to in Article 4(2)</w:t>
      </w:r>
      <w:r w:rsidR="003E6AB0">
        <w:rPr>
          <w:noProof/>
          <w:lang w:val="en-IE"/>
        </w:rPr>
        <w:t xml:space="preserve">, point </w:t>
      </w:r>
      <w:r w:rsidR="00F93DED" w:rsidRPr="00787472">
        <w:rPr>
          <w:noProof/>
          <w:lang w:val="en-IE"/>
        </w:rPr>
        <w:t>(</w:t>
      </w:r>
      <w:r w:rsidR="003E6AB0">
        <w:rPr>
          <w:noProof/>
          <w:lang w:val="en-IE"/>
        </w:rPr>
        <w:t>d</w:t>
      </w:r>
      <w:r w:rsidR="00F93DED" w:rsidRPr="00787472">
        <w:rPr>
          <w:noProof/>
          <w:lang w:val="en-IE"/>
        </w:rPr>
        <w:t xml:space="preserve">), and verification of the accuracy, completeness and correctness of the information and documentation provided by the host, the competent authorities shall reinstate the registration number.  </w:t>
      </w:r>
    </w:p>
    <w:p w:rsidR="00490F6E" w:rsidRPr="00F93DED" w:rsidRDefault="00795BB5" w:rsidP="00795BB5">
      <w:pPr>
        <w:pStyle w:val="ManualNumPar1"/>
        <w:rPr>
          <w:noProof/>
          <w:lang w:val="en-IE"/>
        </w:rPr>
      </w:pPr>
      <w:r w:rsidRPr="00795BB5">
        <w:t>8.</w:t>
      </w:r>
      <w:r w:rsidRPr="00795BB5">
        <w:tab/>
      </w:r>
      <w:r w:rsidR="0055113F">
        <w:rPr>
          <w:noProof/>
          <w:lang w:val="en-IE"/>
        </w:rPr>
        <w:t>T</w:t>
      </w:r>
      <w:r w:rsidR="008609D7" w:rsidRPr="00F93DED">
        <w:rPr>
          <w:noProof/>
          <w:lang w:val="en-IE"/>
        </w:rPr>
        <w:t>he competent authority shall inform the host</w:t>
      </w:r>
      <w:r w:rsidR="00035280" w:rsidRPr="00F93DED">
        <w:rPr>
          <w:noProof/>
          <w:lang w:val="en-IE"/>
        </w:rPr>
        <w:t>s</w:t>
      </w:r>
      <w:r w:rsidR="008609D7" w:rsidRPr="00F93DED">
        <w:rPr>
          <w:noProof/>
          <w:lang w:val="en-IE"/>
        </w:rPr>
        <w:t xml:space="preserve"> </w:t>
      </w:r>
      <w:r w:rsidR="00CE1565" w:rsidRPr="00F93DED">
        <w:rPr>
          <w:noProof/>
          <w:lang w:val="en-IE"/>
        </w:rPr>
        <w:t xml:space="preserve">about the redress mechanisms </w:t>
      </w:r>
      <w:r w:rsidR="00AF574C" w:rsidRPr="00F93DED">
        <w:rPr>
          <w:noProof/>
          <w:lang w:val="en-IE"/>
        </w:rPr>
        <w:t>available</w:t>
      </w:r>
      <w:r w:rsidR="0055113F">
        <w:rPr>
          <w:noProof/>
          <w:lang w:val="en-IE"/>
        </w:rPr>
        <w:t xml:space="preserve"> in relation to</w:t>
      </w:r>
      <w:r w:rsidR="006C57DE">
        <w:rPr>
          <w:noProof/>
          <w:lang w:val="en-IE"/>
        </w:rPr>
        <w:t xml:space="preserve"> the</w:t>
      </w:r>
      <w:r w:rsidR="0055113F">
        <w:rPr>
          <w:noProof/>
          <w:lang w:val="en-IE"/>
        </w:rPr>
        <w:t xml:space="preserve"> steps taken </w:t>
      </w:r>
      <w:r w:rsidR="00FE537B">
        <w:rPr>
          <w:noProof/>
          <w:lang w:val="en-IE"/>
        </w:rPr>
        <w:t>pursuant</w:t>
      </w:r>
      <w:r w:rsidR="0055113F">
        <w:rPr>
          <w:noProof/>
          <w:lang w:val="en-IE"/>
        </w:rPr>
        <w:t xml:space="preserve"> to paragraphs 2 to 5 and 7</w:t>
      </w:r>
      <w:r w:rsidR="008609D7" w:rsidRPr="00F93DED">
        <w:rPr>
          <w:noProof/>
          <w:lang w:val="en-IE"/>
        </w:rPr>
        <w:t>.</w:t>
      </w:r>
      <w:r w:rsidR="00D56DCE" w:rsidRPr="00F93DED">
        <w:rPr>
          <w:noProof/>
          <w:lang w:val="en-IE"/>
        </w:rPr>
        <w:t xml:space="preserve"> </w:t>
      </w:r>
    </w:p>
    <w:p w:rsidR="0063039A" w:rsidRPr="0085272A" w:rsidRDefault="00795BB5" w:rsidP="00795BB5">
      <w:pPr>
        <w:pStyle w:val="ManualNumPar1"/>
        <w:rPr>
          <w:noProof/>
          <w:lang w:val="en-IE"/>
        </w:rPr>
      </w:pPr>
      <w:r w:rsidRPr="00795BB5">
        <w:t>9.</w:t>
      </w:r>
      <w:r w:rsidRPr="00795BB5">
        <w:tab/>
      </w:r>
      <w:r w:rsidR="0063039A" w:rsidRPr="0085272A">
        <w:rPr>
          <w:noProof/>
          <w:lang w:val="en-IE"/>
        </w:rPr>
        <w:t xml:space="preserve">Where a Member State requires hosts to submit further information and documentation as referred to in Article 5(3), it </w:t>
      </w:r>
      <w:r w:rsidR="0063039A" w:rsidRPr="00FE537B">
        <w:rPr>
          <w:noProof/>
          <w:lang w:val="en-IE"/>
        </w:rPr>
        <w:t>may</w:t>
      </w:r>
      <w:r w:rsidR="0063039A" w:rsidRPr="0085272A">
        <w:rPr>
          <w:noProof/>
          <w:lang w:val="en-IE"/>
        </w:rPr>
        <w:t xml:space="preserve"> apply the provisions of this Article to such information or documentation, provided that the requirement in question is </w:t>
      </w:r>
      <w:r w:rsidR="0055113F" w:rsidRPr="0085272A">
        <w:rPr>
          <w:noProof/>
          <w:lang w:val="en-IE"/>
        </w:rPr>
        <w:t>non-discriminatory</w:t>
      </w:r>
      <w:r w:rsidR="0055113F">
        <w:rPr>
          <w:noProof/>
          <w:lang w:val="en-IE"/>
        </w:rPr>
        <w:t>,</w:t>
      </w:r>
      <w:r w:rsidR="0055113F" w:rsidRPr="0085272A">
        <w:rPr>
          <w:noProof/>
          <w:lang w:val="en-IE"/>
        </w:rPr>
        <w:t xml:space="preserve"> </w:t>
      </w:r>
      <w:r w:rsidR="0063039A" w:rsidRPr="0085272A">
        <w:rPr>
          <w:noProof/>
          <w:lang w:val="en-IE"/>
        </w:rPr>
        <w:t>proportionate and complies with Union law</w:t>
      </w:r>
      <w:r w:rsidR="00883C62" w:rsidRPr="0085272A">
        <w:rPr>
          <w:noProof/>
          <w:lang w:val="en-IE"/>
        </w:rPr>
        <w:t>.</w:t>
      </w:r>
    </w:p>
    <w:p w:rsidR="00034E29" w:rsidRPr="00034E29" w:rsidRDefault="00795BB5" w:rsidP="00795BB5">
      <w:pPr>
        <w:pStyle w:val="ManualNumPar1"/>
        <w:rPr>
          <w:noProof/>
          <w:lang w:val="en-IE"/>
        </w:rPr>
      </w:pPr>
      <w:r w:rsidRPr="00795BB5">
        <w:t>10.</w:t>
      </w:r>
      <w:r w:rsidRPr="00795BB5">
        <w:tab/>
      </w:r>
      <w:r w:rsidR="00034E29">
        <w:rPr>
          <w:noProof/>
          <w:lang w:val="en-IE"/>
        </w:rPr>
        <w:t>W</w:t>
      </w:r>
      <w:r w:rsidR="00883C62" w:rsidRPr="00883C62">
        <w:rPr>
          <w:noProof/>
          <w:lang w:val="en-IE"/>
        </w:rPr>
        <w:t xml:space="preserve">here a registration procedure applies, </w:t>
      </w:r>
      <w:r w:rsidR="00034E29">
        <w:rPr>
          <w:noProof/>
          <w:lang w:val="en-IE"/>
        </w:rPr>
        <w:t xml:space="preserve">Member States shall ensure that </w:t>
      </w:r>
      <w:r w:rsidR="00883C62" w:rsidRPr="00883C62">
        <w:rPr>
          <w:noProof/>
          <w:lang w:val="en-IE"/>
        </w:rPr>
        <w:t xml:space="preserve">national law enables competent authorities to order </w:t>
      </w:r>
      <w:r w:rsidR="00034E29">
        <w:rPr>
          <w:noProof/>
          <w:lang w:val="en-IE"/>
        </w:rPr>
        <w:t xml:space="preserve">providers of </w:t>
      </w:r>
      <w:r w:rsidR="00883C62" w:rsidRPr="00883C62">
        <w:rPr>
          <w:noProof/>
          <w:lang w:val="en-IE"/>
        </w:rPr>
        <w:t>online short-term rental platforms to remove listings related to units offere</w:t>
      </w:r>
      <w:r w:rsidR="00943D14">
        <w:rPr>
          <w:noProof/>
          <w:lang w:val="en-IE"/>
        </w:rPr>
        <w:t>d without a registration number or</w:t>
      </w:r>
      <w:r w:rsidR="00883C62" w:rsidRPr="00883C62">
        <w:rPr>
          <w:noProof/>
          <w:lang w:val="en-IE"/>
        </w:rPr>
        <w:t xml:space="preserve"> offered with</w:t>
      </w:r>
      <w:r w:rsidR="00644FB4">
        <w:rPr>
          <w:noProof/>
          <w:lang w:val="en-IE"/>
        </w:rPr>
        <w:t xml:space="preserve"> an invalid registration number</w:t>
      </w:r>
      <w:r w:rsidR="00883C62" w:rsidRPr="00883C62">
        <w:rPr>
          <w:noProof/>
          <w:lang w:val="en-IE"/>
        </w:rPr>
        <w:t>.</w:t>
      </w:r>
      <w:r w:rsidR="00034E29">
        <w:rPr>
          <w:noProof/>
          <w:lang w:val="en-IE"/>
        </w:rPr>
        <w:t xml:space="preserve"> </w:t>
      </w:r>
    </w:p>
    <w:p w:rsidR="00B23D94" w:rsidRPr="00225833" w:rsidRDefault="00B23D94" w:rsidP="00C953E4">
      <w:pPr>
        <w:pStyle w:val="Titrearticle"/>
        <w:rPr>
          <w:noProof/>
          <w:lang w:val="en-IE"/>
        </w:rPr>
      </w:pPr>
      <w:r w:rsidRPr="00225833">
        <w:rPr>
          <w:noProof/>
          <w:lang w:val="en-IE"/>
        </w:rPr>
        <w:t xml:space="preserve">Article </w:t>
      </w:r>
      <w:r w:rsidR="00CC7B9D" w:rsidRPr="00225833">
        <w:rPr>
          <w:noProof/>
          <w:lang w:val="en-IE"/>
        </w:rPr>
        <w:t>7</w:t>
      </w:r>
    </w:p>
    <w:p w:rsidR="00B23D94" w:rsidRPr="00225833" w:rsidRDefault="00B23D94" w:rsidP="00B23D94">
      <w:pPr>
        <w:pStyle w:val="NormalCentered"/>
        <w:rPr>
          <w:noProof/>
          <w:lang w:eastAsia="zh-CN"/>
        </w:rPr>
      </w:pPr>
      <w:r w:rsidRPr="00225833">
        <w:rPr>
          <w:b/>
          <w:noProof/>
          <w:lang w:val="en-IE"/>
        </w:rPr>
        <w:t>Compliance by design</w:t>
      </w:r>
    </w:p>
    <w:p w:rsidR="00F033C1" w:rsidRPr="00225833" w:rsidRDefault="00795BB5" w:rsidP="00795BB5">
      <w:pPr>
        <w:pStyle w:val="ManualNumPar1"/>
        <w:rPr>
          <w:noProof/>
          <w:lang w:val="en-IE"/>
        </w:rPr>
      </w:pPr>
      <w:r w:rsidRPr="00795BB5">
        <w:t>1.</w:t>
      </w:r>
      <w:r w:rsidRPr="00795BB5">
        <w:tab/>
      </w:r>
      <w:r w:rsidR="00787472" w:rsidRPr="00225833">
        <w:rPr>
          <w:noProof/>
          <w:lang w:val="en-IE"/>
        </w:rPr>
        <w:t>O</w:t>
      </w:r>
      <w:r w:rsidR="009C40E0" w:rsidRPr="00225833">
        <w:rPr>
          <w:noProof/>
          <w:lang w:eastAsia="zh-CN"/>
        </w:rPr>
        <w:t>nline short-term rental platforms shall</w:t>
      </w:r>
      <w:r w:rsidR="00B23D94" w:rsidRPr="00225833">
        <w:rPr>
          <w:noProof/>
          <w:lang w:eastAsia="zh-CN"/>
        </w:rPr>
        <w:t>:</w:t>
      </w:r>
      <w:r w:rsidR="009C40E0" w:rsidRPr="00225833">
        <w:rPr>
          <w:noProof/>
          <w:lang w:val="en-IE"/>
        </w:rPr>
        <w:t xml:space="preserve"> </w:t>
      </w:r>
    </w:p>
    <w:p w:rsidR="0041379B" w:rsidRPr="00225833" w:rsidRDefault="00795BB5" w:rsidP="00795BB5">
      <w:pPr>
        <w:pStyle w:val="Point1"/>
        <w:rPr>
          <w:noProof/>
          <w:lang w:val="en-IE"/>
        </w:rPr>
      </w:pPr>
      <w:r w:rsidRPr="00795BB5">
        <w:t>(a)</w:t>
      </w:r>
      <w:r w:rsidRPr="00795BB5">
        <w:tab/>
      </w:r>
      <w:r w:rsidR="00BB4E99">
        <w:rPr>
          <w:noProof/>
          <w:lang w:val="en-IE"/>
        </w:rPr>
        <w:t xml:space="preserve">design and organise their online interface in a way that </w:t>
      </w:r>
      <w:r w:rsidR="00767398" w:rsidRPr="00225833">
        <w:rPr>
          <w:noProof/>
          <w:lang w:val="en-IE"/>
        </w:rPr>
        <w:t>require</w:t>
      </w:r>
      <w:r w:rsidR="00BB4E99">
        <w:rPr>
          <w:noProof/>
          <w:lang w:val="en-IE"/>
        </w:rPr>
        <w:t>s</w:t>
      </w:r>
      <w:r w:rsidR="00767398" w:rsidRPr="00225833">
        <w:rPr>
          <w:noProof/>
          <w:lang w:val="en-IE"/>
        </w:rPr>
        <w:t xml:space="preserve"> hosts to self-declare whether the unit offered for </w:t>
      </w:r>
      <w:r w:rsidR="00767398" w:rsidRPr="00225833">
        <w:rPr>
          <w:noProof/>
          <w:color w:val="000000"/>
          <w:lang w:eastAsia="zh-CN"/>
        </w:rPr>
        <w:t>short-term accommodation rental services</w:t>
      </w:r>
      <w:r w:rsidR="00767398" w:rsidRPr="00225833">
        <w:rPr>
          <w:noProof/>
          <w:lang w:val="en-IE"/>
        </w:rPr>
        <w:t xml:space="preserve"> is </w:t>
      </w:r>
      <w:r w:rsidR="00767398" w:rsidRPr="00225833">
        <w:rPr>
          <w:noProof/>
          <w:color w:val="000000"/>
          <w:lang w:eastAsia="zh-CN"/>
        </w:rPr>
        <w:t xml:space="preserve">located in </w:t>
      </w:r>
      <w:r w:rsidR="00B8111A" w:rsidRPr="00225833">
        <w:rPr>
          <w:noProof/>
          <w:color w:val="000000"/>
          <w:lang w:eastAsia="zh-CN"/>
        </w:rPr>
        <w:t xml:space="preserve">an </w:t>
      </w:r>
      <w:r w:rsidR="00767398" w:rsidRPr="00225833">
        <w:rPr>
          <w:noProof/>
          <w:color w:val="000000"/>
          <w:lang w:eastAsia="zh-CN"/>
        </w:rPr>
        <w:t xml:space="preserve">area where </w:t>
      </w:r>
      <w:r w:rsidR="00767398" w:rsidRPr="00225833">
        <w:rPr>
          <w:noProof/>
          <w:lang w:val="en-IE"/>
        </w:rPr>
        <w:t xml:space="preserve">a </w:t>
      </w:r>
      <w:r w:rsidR="00767398" w:rsidRPr="00225833">
        <w:rPr>
          <w:noProof/>
          <w:lang w:val="en-IE" w:eastAsia="zh-CN"/>
        </w:rPr>
        <w:t>registration procedure has been established or applies</w:t>
      </w:r>
      <w:r w:rsidR="0041379B" w:rsidRPr="00225833">
        <w:rPr>
          <w:noProof/>
          <w:lang w:val="en-IE" w:eastAsia="zh-CN"/>
        </w:rPr>
        <w:t>;</w:t>
      </w:r>
    </w:p>
    <w:p w:rsidR="00B23D94" w:rsidRPr="00225833" w:rsidRDefault="00795BB5" w:rsidP="00795BB5">
      <w:pPr>
        <w:pStyle w:val="Point1"/>
        <w:rPr>
          <w:noProof/>
          <w:lang w:val="en-IE"/>
        </w:rPr>
      </w:pPr>
      <w:r w:rsidRPr="00795BB5">
        <w:t>(b)</w:t>
      </w:r>
      <w:r w:rsidRPr="00795BB5">
        <w:tab/>
      </w:r>
      <w:r w:rsidR="00767398" w:rsidRPr="00225833">
        <w:rPr>
          <w:noProof/>
          <w:lang w:val="en-IE" w:eastAsia="zh-CN"/>
        </w:rPr>
        <w:t xml:space="preserve">where the host declares </w:t>
      </w:r>
      <w:r w:rsidR="0041379B" w:rsidRPr="00225833">
        <w:rPr>
          <w:noProof/>
          <w:lang w:val="en-IE" w:eastAsia="zh-CN"/>
        </w:rPr>
        <w:t>that the unit offered for short-term accommodation rental services is located in an area where a registration procedure has been established or applies</w:t>
      </w:r>
      <w:r w:rsidR="00767398" w:rsidRPr="00225833">
        <w:rPr>
          <w:noProof/>
          <w:lang w:val="en-IE" w:eastAsia="zh-CN"/>
        </w:rPr>
        <w:t xml:space="preserve">, </w:t>
      </w:r>
      <w:r w:rsidR="00767398" w:rsidRPr="00225833">
        <w:rPr>
          <w:noProof/>
          <w:lang w:val="en-IE"/>
        </w:rPr>
        <w:t>design and organise their online interface in a way t</w:t>
      </w:r>
      <w:r w:rsidR="0041379B" w:rsidRPr="00225833">
        <w:rPr>
          <w:noProof/>
          <w:lang w:val="en-IE"/>
        </w:rPr>
        <w:t>hat</w:t>
      </w:r>
      <w:r w:rsidR="00767398" w:rsidRPr="00225833">
        <w:rPr>
          <w:noProof/>
          <w:lang w:val="en-IE"/>
        </w:rPr>
        <w:t xml:space="preserve"> enable</w:t>
      </w:r>
      <w:r w:rsidR="0041379B" w:rsidRPr="00225833">
        <w:rPr>
          <w:noProof/>
          <w:lang w:val="en-IE"/>
        </w:rPr>
        <w:t>s</w:t>
      </w:r>
      <w:r w:rsidR="00767398" w:rsidRPr="00225833">
        <w:rPr>
          <w:noProof/>
          <w:lang w:val="en-IE"/>
        </w:rPr>
        <w:t xml:space="preserve"> hosts to let users identify the unit through a registration number</w:t>
      </w:r>
      <w:r w:rsidR="003C720E" w:rsidRPr="00225833">
        <w:rPr>
          <w:noProof/>
          <w:lang w:val="en-IE"/>
        </w:rPr>
        <w:t>,</w:t>
      </w:r>
      <w:r w:rsidR="00767398" w:rsidRPr="00225833">
        <w:rPr>
          <w:noProof/>
          <w:lang w:val="en-IE"/>
        </w:rPr>
        <w:t xml:space="preserve"> and to ensure that hosts have provided a registration number prior to allowing the offering of the short-term accommodation rental services</w:t>
      </w:r>
      <w:r w:rsidR="00F0418E" w:rsidRPr="00225833">
        <w:rPr>
          <w:noProof/>
          <w:lang w:val="en-IE"/>
        </w:rPr>
        <w:t xml:space="preserve"> with respect to that unit</w:t>
      </w:r>
      <w:r w:rsidR="00767398" w:rsidRPr="00225833">
        <w:rPr>
          <w:noProof/>
          <w:lang w:val="en-IE"/>
        </w:rPr>
        <w:t>;</w:t>
      </w:r>
    </w:p>
    <w:p w:rsidR="00F033C1" w:rsidRPr="00225833" w:rsidRDefault="00795BB5" w:rsidP="00795BB5">
      <w:pPr>
        <w:pStyle w:val="Point1"/>
        <w:rPr>
          <w:noProof/>
          <w:lang w:val="en-IE"/>
        </w:rPr>
      </w:pPr>
      <w:r w:rsidRPr="00795BB5">
        <w:t>(c)</w:t>
      </w:r>
      <w:r w:rsidRPr="00795BB5">
        <w:tab/>
      </w:r>
      <w:r w:rsidR="00DC1E6C" w:rsidRPr="00225833">
        <w:rPr>
          <w:noProof/>
          <w:lang w:val="en-IE"/>
        </w:rPr>
        <w:t>m</w:t>
      </w:r>
      <w:r w:rsidR="005B1706" w:rsidRPr="00225833">
        <w:rPr>
          <w:noProof/>
          <w:lang w:val="en-IE"/>
        </w:rPr>
        <w:t xml:space="preserve">ake reasonable efforts to randomly check the </w:t>
      </w:r>
      <w:r w:rsidR="00B41AE7" w:rsidRPr="00225833">
        <w:rPr>
          <w:noProof/>
          <w:lang w:val="en-IE"/>
        </w:rPr>
        <w:t>declaration of the host</w:t>
      </w:r>
      <w:r w:rsidR="004E2737" w:rsidRPr="00225833">
        <w:rPr>
          <w:noProof/>
          <w:lang w:val="en-IE"/>
        </w:rPr>
        <w:t>s</w:t>
      </w:r>
      <w:r w:rsidR="00B41AE7" w:rsidRPr="00225833">
        <w:rPr>
          <w:noProof/>
          <w:lang w:val="en-IE"/>
        </w:rPr>
        <w:t xml:space="preserve"> concerning the </w:t>
      </w:r>
      <w:r w:rsidR="004E2737" w:rsidRPr="00225833">
        <w:rPr>
          <w:noProof/>
          <w:lang w:val="en-IE"/>
        </w:rPr>
        <w:t xml:space="preserve">existence or not of a </w:t>
      </w:r>
      <w:r w:rsidR="00B41AE7" w:rsidRPr="00225833">
        <w:rPr>
          <w:noProof/>
          <w:lang w:val="en-IE"/>
        </w:rPr>
        <w:t>registration procedure</w:t>
      </w:r>
      <w:r w:rsidR="007B6734" w:rsidRPr="00225833">
        <w:rPr>
          <w:noProof/>
          <w:lang w:val="en-IE"/>
        </w:rPr>
        <w:t>, taking into account the list made available pursuant to Article 1</w:t>
      </w:r>
      <w:r w:rsidR="00787472" w:rsidRPr="00225833">
        <w:rPr>
          <w:noProof/>
          <w:lang w:val="en-IE"/>
        </w:rPr>
        <w:t>3</w:t>
      </w:r>
      <w:r w:rsidR="00A3612F" w:rsidRPr="00225833">
        <w:rPr>
          <w:noProof/>
          <w:lang w:val="en-IE"/>
        </w:rPr>
        <w:t>(1), point (a)</w:t>
      </w:r>
      <w:r w:rsidR="007B6734" w:rsidRPr="00225833">
        <w:rPr>
          <w:noProof/>
          <w:lang w:val="en-IE"/>
        </w:rPr>
        <w:t>,</w:t>
      </w:r>
      <w:r w:rsidR="00B41AE7" w:rsidRPr="00225833">
        <w:rPr>
          <w:noProof/>
          <w:lang w:val="en-IE"/>
        </w:rPr>
        <w:t xml:space="preserve"> </w:t>
      </w:r>
      <w:r w:rsidR="005242FC" w:rsidRPr="00225833">
        <w:rPr>
          <w:noProof/>
          <w:lang w:val="en-IE"/>
        </w:rPr>
        <w:t xml:space="preserve">and, where </w:t>
      </w:r>
      <w:r w:rsidR="00760D6F" w:rsidRPr="00225833">
        <w:rPr>
          <w:noProof/>
          <w:lang w:val="en-IE"/>
        </w:rPr>
        <w:t>such</w:t>
      </w:r>
      <w:r w:rsidR="00A3612F" w:rsidRPr="00225833">
        <w:rPr>
          <w:noProof/>
          <w:lang w:val="en-IE"/>
        </w:rPr>
        <w:t xml:space="preserve"> a</w:t>
      </w:r>
      <w:r w:rsidR="00760D6F" w:rsidRPr="00225833">
        <w:rPr>
          <w:noProof/>
          <w:lang w:val="en-IE"/>
        </w:rPr>
        <w:t xml:space="preserve"> procedure </w:t>
      </w:r>
      <w:r w:rsidR="00A3612F" w:rsidRPr="00225833">
        <w:rPr>
          <w:noProof/>
          <w:lang w:val="en-IE"/>
        </w:rPr>
        <w:t>exists</w:t>
      </w:r>
      <w:r w:rsidR="005242FC" w:rsidRPr="00225833">
        <w:rPr>
          <w:noProof/>
          <w:lang w:val="en-IE"/>
        </w:rPr>
        <w:t xml:space="preserve">, the </w:t>
      </w:r>
      <w:r w:rsidR="005B1706" w:rsidRPr="00225833">
        <w:rPr>
          <w:noProof/>
          <w:lang w:val="en-IE"/>
        </w:rPr>
        <w:t>validity of the registration number provided by the host, including through the use of the functionalities offered by the Single Digital Entry Point</w:t>
      </w:r>
      <w:r w:rsidR="00EC6230" w:rsidRPr="00225833">
        <w:rPr>
          <w:noProof/>
          <w:lang w:val="en-IE"/>
        </w:rPr>
        <w:t>s</w:t>
      </w:r>
      <w:r w:rsidR="005B1706" w:rsidRPr="00225833">
        <w:rPr>
          <w:noProof/>
          <w:lang w:val="en-IE"/>
        </w:rPr>
        <w:t xml:space="preserve"> referred to in Article </w:t>
      </w:r>
      <w:r w:rsidR="00787472" w:rsidRPr="00225833">
        <w:rPr>
          <w:noProof/>
          <w:lang w:val="en-IE"/>
        </w:rPr>
        <w:t>10</w:t>
      </w:r>
      <w:r w:rsidR="00A3612F" w:rsidRPr="00225833">
        <w:rPr>
          <w:noProof/>
          <w:lang w:val="en-IE"/>
        </w:rPr>
        <w:t>(2), point (b)</w:t>
      </w:r>
      <w:r w:rsidR="00721209" w:rsidRPr="00225833">
        <w:rPr>
          <w:noProof/>
          <w:lang w:val="en-IE"/>
        </w:rPr>
        <w:t>, a</w:t>
      </w:r>
      <w:r w:rsidR="00B23D94" w:rsidRPr="00225833">
        <w:rPr>
          <w:noProof/>
          <w:lang w:val="en-IE"/>
        </w:rPr>
        <w:t>fter allowing the offering of the short-term accommodation rental services by the host</w:t>
      </w:r>
      <w:r w:rsidR="003511C4">
        <w:rPr>
          <w:noProof/>
          <w:lang w:val="en-IE"/>
        </w:rPr>
        <w:t>.</w:t>
      </w:r>
    </w:p>
    <w:p w:rsidR="0067283C" w:rsidRPr="00146D6D" w:rsidRDefault="00795BB5" w:rsidP="00795BB5">
      <w:pPr>
        <w:pStyle w:val="ManualNumPar1"/>
        <w:rPr>
          <w:noProof/>
          <w:lang w:val="en-IE"/>
        </w:rPr>
      </w:pPr>
      <w:r w:rsidRPr="00795BB5">
        <w:t>2.</w:t>
      </w:r>
      <w:r w:rsidRPr="00795BB5">
        <w:tab/>
      </w:r>
      <w:r w:rsidR="0067283C" w:rsidRPr="00146D6D">
        <w:rPr>
          <w:rFonts w:eastAsia="Times New Roman"/>
          <w:noProof/>
          <w:color w:val="000000"/>
          <w:szCs w:val="24"/>
          <w:lang w:val="en-IE" w:eastAsia="zh-CN"/>
        </w:rPr>
        <w:t>O</w:t>
      </w:r>
      <w:r w:rsidR="0067283C" w:rsidRPr="00146D6D">
        <w:rPr>
          <w:rFonts w:eastAsia="Times New Roman"/>
          <w:noProof/>
          <w:color w:val="000000"/>
          <w:szCs w:val="24"/>
          <w:lang w:eastAsia="zh-CN"/>
        </w:rPr>
        <w:t xml:space="preserve">nline short-term rental platforms </w:t>
      </w:r>
      <w:r w:rsidR="0067283C" w:rsidRPr="00146D6D">
        <w:rPr>
          <w:noProof/>
          <w:lang w:val="en-IE"/>
        </w:rPr>
        <w:t>shall inform without delay the competent authorities and the hosts of the results of the random checks referred to in paragraph 1, point (c), concerning incorrect declarations of hosts or invalid registration numbers.</w:t>
      </w:r>
    </w:p>
    <w:p w:rsidR="00583EB4" w:rsidRPr="00146D6D" w:rsidRDefault="00795BB5" w:rsidP="00795BB5">
      <w:pPr>
        <w:pStyle w:val="ManualNumPar1"/>
        <w:rPr>
          <w:noProof/>
          <w:lang w:val="en-IE"/>
        </w:rPr>
      </w:pPr>
      <w:r w:rsidRPr="00795BB5">
        <w:t>3.</w:t>
      </w:r>
      <w:r w:rsidRPr="00795BB5">
        <w:tab/>
      </w:r>
      <w:r w:rsidR="00583EB4" w:rsidRPr="00146D6D">
        <w:rPr>
          <w:rFonts w:eastAsia="Times New Roman"/>
          <w:noProof/>
          <w:color w:val="000000"/>
          <w:szCs w:val="24"/>
          <w:lang w:val="en-IE" w:eastAsia="zh-CN"/>
        </w:rPr>
        <w:t>O</w:t>
      </w:r>
      <w:r w:rsidR="00583EB4" w:rsidRPr="00146D6D">
        <w:rPr>
          <w:rFonts w:eastAsia="Times New Roman"/>
          <w:noProof/>
          <w:color w:val="000000"/>
          <w:szCs w:val="24"/>
          <w:lang w:eastAsia="zh-CN"/>
        </w:rPr>
        <w:t xml:space="preserve">nline short-term rental platforms </w:t>
      </w:r>
      <w:r w:rsidR="00583EB4" w:rsidRPr="00146D6D">
        <w:rPr>
          <w:noProof/>
          <w:lang w:val="en-IE"/>
        </w:rPr>
        <w:t>shall</w:t>
      </w:r>
      <w:r w:rsidR="00F859B4" w:rsidRPr="00146D6D">
        <w:rPr>
          <w:noProof/>
          <w:lang w:val="en-IE"/>
        </w:rPr>
        <w:t xml:space="preserve"> include</w:t>
      </w:r>
      <w:r w:rsidR="00583EB4" w:rsidRPr="00146D6D">
        <w:rPr>
          <w:noProof/>
          <w:lang w:val="en-IE"/>
        </w:rPr>
        <w:t xml:space="preserve">, in </w:t>
      </w:r>
      <w:r w:rsidR="004E2737" w:rsidRPr="00146D6D">
        <w:rPr>
          <w:noProof/>
          <w:lang w:val="en-IE"/>
        </w:rPr>
        <w:t>a specific section of the online interface that is directly and easily accessible</w:t>
      </w:r>
      <w:r w:rsidR="00583EB4" w:rsidRPr="00146D6D">
        <w:rPr>
          <w:noProof/>
          <w:lang w:val="en-IE"/>
        </w:rPr>
        <w:t xml:space="preserve">, </w:t>
      </w:r>
      <w:r w:rsidR="00F859B4" w:rsidRPr="00146D6D">
        <w:rPr>
          <w:noProof/>
          <w:lang w:val="en-IE"/>
        </w:rPr>
        <w:t xml:space="preserve">a reference </w:t>
      </w:r>
      <w:r w:rsidR="00583EB4" w:rsidRPr="00146D6D">
        <w:rPr>
          <w:noProof/>
          <w:lang w:val="en-IE"/>
        </w:rPr>
        <w:t xml:space="preserve">to the </w:t>
      </w:r>
      <w:r w:rsidR="00F859B4" w:rsidRPr="00146D6D">
        <w:rPr>
          <w:noProof/>
          <w:lang w:val="en-IE"/>
        </w:rPr>
        <w:t xml:space="preserve">information </w:t>
      </w:r>
      <w:r w:rsidR="004E2737" w:rsidRPr="00146D6D">
        <w:rPr>
          <w:noProof/>
          <w:lang w:val="en-IE"/>
        </w:rPr>
        <w:t xml:space="preserve">to be </w:t>
      </w:r>
      <w:r w:rsidR="00F859B4" w:rsidRPr="00146D6D">
        <w:rPr>
          <w:noProof/>
          <w:lang w:val="en-IE"/>
        </w:rPr>
        <w:t>made available by Member States pursuant to Article 1</w:t>
      </w:r>
      <w:r w:rsidR="002A1602" w:rsidRPr="00146D6D">
        <w:rPr>
          <w:noProof/>
          <w:lang w:val="en-IE"/>
        </w:rPr>
        <w:t>7</w:t>
      </w:r>
      <w:r w:rsidR="00A3612F" w:rsidRPr="00146D6D">
        <w:rPr>
          <w:noProof/>
          <w:lang w:val="en-IE"/>
        </w:rPr>
        <w:t>(1).</w:t>
      </w:r>
      <w:r w:rsidR="00F859B4" w:rsidRPr="00146D6D">
        <w:rPr>
          <w:noProof/>
          <w:lang w:val="en-IE"/>
        </w:rPr>
        <w:t xml:space="preserve"> </w:t>
      </w:r>
    </w:p>
    <w:p w:rsidR="00721209" w:rsidRPr="00721209" w:rsidRDefault="00721209" w:rsidP="00DC0D7F">
      <w:pPr>
        <w:rPr>
          <w:noProof/>
          <w:lang w:val="en-IE"/>
        </w:rPr>
      </w:pPr>
    </w:p>
    <w:p w:rsidR="00970601" w:rsidRDefault="001A0620" w:rsidP="001A0620">
      <w:pPr>
        <w:pStyle w:val="ChapterTitle"/>
        <w:rPr>
          <w:noProof/>
          <w:lang w:val="en-IE"/>
        </w:rPr>
      </w:pPr>
      <w:r w:rsidRPr="004F7784">
        <w:rPr>
          <w:noProof/>
          <w:lang w:val="en-IE"/>
        </w:rPr>
        <w:t>CHAPTER III</w:t>
      </w:r>
    </w:p>
    <w:p w:rsidR="00AA16EF" w:rsidRPr="00DC0D7F" w:rsidRDefault="00B23D94" w:rsidP="00DC0D7F">
      <w:pPr>
        <w:pStyle w:val="ChapterTitle"/>
        <w:rPr>
          <w:noProof/>
          <w:lang w:val="en-IE"/>
        </w:rPr>
      </w:pPr>
      <w:r w:rsidRPr="00B23D94">
        <w:rPr>
          <w:noProof/>
          <w:lang w:val="en-IE"/>
        </w:rPr>
        <w:t xml:space="preserve">Data </w:t>
      </w:r>
      <w:r w:rsidR="002E22C2">
        <w:rPr>
          <w:noProof/>
          <w:lang w:val="en-IE"/>
        </w:rPr>
        <w:t>reporting</w:t>
      </w:r>
    </w:p>
    <w:p w:rsidR="005F0C60" w:rsidRDefault="005B4C31" w:rsidP="00B23D94">
      <w:pPr>
        <w:pStyle w:val="Titrearticle"/>
        <w:rPr>
          <w:noProof/>
          <w:lang w:val="en-IE"/>
        </w:rPr>
      </w:pPr>
      <w:r>
        <w:rPr>
          <w:noProof/>
          <w:lang w:val="en-IE"/>
        </w:rPr>
        <w:t>Article 8</w:t>
      </w:r>
    </w:p>
    <w:p w:rsidR="002C237F" w:rsidRPr="00943D14" w:rsidRDefault="005B4C31" w:rsidP="00787472">
      <w:pPr>
        <w:pStyle w:val="NormalCentered"/>
        <w:rPr>
          <w:b/>
          <w:noProof/>
          <w:lang w:val="en-IE"/>
        </w:rPr>
      </w:pPr>
      <w:r w:rsidRPr="00943D14">
        <w:rPr>
          <w:b/>
          <w:noProof/>
          <w:lang w:val="en-IE"/>
        </w:rPr>
        <w:t>Registration procedures for data reporting</w:t>
      </w:r>
    </w:p>
    <w:p w:rsidR="00CD7FA6" w:rsidRPr="00F0418E" w:rsidRDefault="00CD7FA6" w:rsidP="00787472">
      <w:pPr>
        <w:pStyle w:val="Normal1"/>
        <w:rPr>
          <w:noProof/>
          <w:lang w:val="en-IE"/>
        </w:rPr>
      </w:pPr>
      <w:r w:rsidRPr="00F0418E">
        <w:rPr>
          <w:noProof/>
          <w:lang w:val="en-IE"/>
        </w:rPr>
        <w:t xml:space="preserve">Member States shall ensure that a registration procedure is established or maintained </w:t>
      </w:r>
      <w:r w:rsidR="005B4C31" w:rsidRPr="00F0418E">
        <w:rPr>
          <w:noProof/>
          <w:lang w:val="en-IE"/>
        </w:rPr>
        <w:t xml:space="preserve">for units </w:t>
      </w:r>
      <w:r w:rsidRPr="00F0418E">
        <w:rPr>
          <w:noProof/>
          <w:lang w:val="en-IE"/>
        </w:rPr>
        <w:t>located in an area included in th</w:t>
      </w:r>
      <w:r w:rsidR="005B4C31" w:rsidRPr="00F0418E">
        <w:rPr>
          <w:noProof/>
          <w:lang w:val="en-IE"/>
        </w:rPr>
        <w:t>e list referred to in Article 13</w:t>
      </w:r>
      <w:r w:rsidR="0055113F">
        <w:rPr>
          <w:noProof/>
          <w:lang w:val="en-IE"/>
        </w:rPr>
        <w:t>(1)</w:t>
      </w:r>
      <w:r w:rsidR="0052796C">
        <w:rPr>
          <w:noProof/>
          <w:lang w:val="en-IE"/>
        </w:rPr>
        <w:t>, point (b)</w:t>
      </w:r>
      <w:r w:rsidR="002C237F" w:rsidRPr="00F0418E">
        <w:rPr>
          <w:noProof/>
          <w:lang w:val="en-IE"/>
        </w:rPr>
        <w:t>.</w:t>
      </w:r>
    </w:p>
    <w:p w:rsidR="00B23D94" w:rsidRPr="000E0424" w:rsidRDefault="00B23D94" w:rsidP="00B23D94">
      <w:pPr>
        <w:pStyle w:val="Titrearticle"/>
        <w:rPr>
          <w:noProof/>
          <w:lang w:val="en-IE"/>
        </w:rPr>
      </w:pPr>
      <w:r w:rsidRPr="000E0424">
        <w:rPr>
          <w:noProof/>
          <w:lang w:val="en-IE"/>
        </w:rPr>
        <w:t xml:space="preserve">Article </w:t>
      </w:r>
      <w:r w:rsidR="005B4C31">
        <w:rPr>
          <w:noProof/>
          <w:lang w:val="en-IE"/>
        </w:rPr>
        <w:t>9</w:t>
      </w:r>
      <w:r w:rsidRPr="000E0424">
        <w:rPr>
          <w:noProof/>
          <w:lang w:val="en-IE"/>
        </w:rPr>
        <w:t xml:space="preserve"> </w:t>
      </w:r>
    </w:p>
    <w:p w:rsidR="00B23D94" w:rsidRDefault="00B23D94" w:rsidP="00B23D94">
      <w:pPr>
        <w:pStyle w:val="NormalCentered"/>
        <w:rPr>
          <w:b/>
          <w:noProof/>
          <w:lang w:val="en-IE"/>
        </w:rPr>
      </w:pPr>
      <w:r>
        <w:rPr>
          <w:b/>
          <w:noProof/>
          <w:lang w:val="en-IE"/>
        </w:rPr>
        <w:t xml:space="preserve">Obligation on online </w:t>
      </w:r>
      <w:r w:rsidR="00FA6EAF">
        <w:rPr>
          <w:b/>
          <w:noProof/>
          <w:lang w:val="en-IE"/>
        </w:rPr>
        <w:t xml:space="preserve">short-term rental </w:t>
      </w:r>
      <w:r>
        <w:rPr>
          <w:b/>
          <w:noProof/>
          <w:lang w:val="en-IE"/>
        </w:rPr>
        <w:t>platforms to transmit activity data and registration numbers</w:t>
      </w:r>
    </w:p>
    <w:p w:rsidR="00B23D94" w:rsidRPr="00FE537B" w:rsidRDefault="00795BB5" w:rsidP="00795BB5">
      <w:pPr>
        <w:pStyle w:val="ManualNumPar1"/>
        <w:rPr>
          <w:noProof/>
          <w:lang w:val="en-IE" w:eastAsia="zh-CN"/>
        </w:rPr>
      </w:pPr>
      <w:r w:rsidRPr="00795BB5">
        <w:t>1.</w:t>
      </w:r>
      <w:r w:rsidRPr="00795BB5">
        <w:tab/>
      </w:r>
      <w:r w:rsidR="00B9470C" w:rsidRPr="00B9470C">
        <w:rPr>
          <w:noProof/>
          <w:lang w:val="en-IE" w:eastAsia="zh-CN"/>
        </w:rPr>
        <w:t xml:space="preserve">When </w:t>
      </w:r>
      <w:r w:rsidR="00B9470C">
        <w:rPr>
          <w:noProof/>
          <w:lang w:val="en-IE" w:eastAsia="zh-CN"/>
        </w:rPr>
        <w:t>a listing concerns a unit located in an area included in the</w:t>
      </w:r>
      <w:r w:rsidR="005B4C31">
        <w:rPr>
          <w:noProof/>
          <w:lang w:val="en-IE" w:eastAsia="zh-CN"/>
        </w:rPr>
        <w:t xml:space="preserve"> list referred to in Article 13</w:t>
      </w:r>
      <w:r w:rsidR="0052796C">
        <w:rPr>
          <w:noProof/>
          <w:lang w:val="en-IE" w:eastAsia="zh-CN"/>
        </w:rPr>
        <w:t>(1), point (b)</w:t>
      </w:r>
      <w:r w:rsidR="00B9470C">
        <w:rPr>
          <w:noProof/>
          <w:lang w:val="en-IE" w:eastAsia="zh-CN"/>
        </w:rPr>
        <w:t xml:space="preserve">, providers of online </w:t>
      </w:r>
      <w:r w:rsidR="00B9470C" w:rsidRPr="00B9470C">
        <w:rPr>
          <w:noProof/>
          <w:lang w:val="en-IE" w:eastAsia="zh-CN"/>
        </w:rPr>
        <w:t xml:space="preserve">short-term rental platforms shall collect and, on a monthly basis, transmit to the Single Digital Entry Point of the Member State </w:t>
      </w:r>
      <w:r w:rsidR="006C57DE">
        <w:rPr>
          <w:noProof/>
          <w:lang w:val="en-IE" w:eastAsia="zh-CN"/>
        </w:rPr>
        <w:t>where the unit is located</w:t>
      </w:r>
      <w:r w:rsidR="00F0418E">
        <w:rPr>
          <w:noProof/>
          <w:lang w:val="en-IE" w:eastAsia="zh-CN"/>
        </w:rPr>
        <w:t>,</w:t>
      </w:r>
      <w:r w:rsidR="00B9470C" w:rsidRPr="00B9470C">
        <w:rPr>
          <w:noProof/>
          <w:lang w:val="en-IE" w:eastAsia="zh-CN"/>
        </w:rPr>
        <w:t xml:space="preserve"> activity data per unit, together with the corresponding registration number as provided by the host and the URL of the listing.</w:t>
      </w:r>
      <w:r w:rsidR="0052796C">
        <w:rPr>
          <w:noProof/>
          <w:lang w:val="en-IE" w:eastAsia="zh-CN"/>
        </w:rPr>
        <w:t xml:space="preserve"> That </w:t>
      </w:r>
      <w:r w:rsidR="00A55734" w:rsidRPr="0052796C">
        <w:rPr>
          <w:noProof/>
          <w:lang w:val="en-IE" w:eastAsia="zh-CN"/>
        </w:rPr>
        <w:t>transmission shall</w:t>
      </w:r>
      <w:r w:rsidR="00AA249E" w:rsidRPr="0052796C">
        <w:rPr>
          <w:noProof/>
          <w:lang w:val="en-IE" w:eastAsia="zh-CN"/>
        </w:rPr>
        <w:t xml:space="preserve"> </w:t>
      </w:r>
      <w:r w:rsidR="00A55734" w:rsidRPr="0052796C">
        <w:rPr>
          <w:noProof/>
          <w:lang w:val="en-IE" w:eastAsia="zh-CN"/>
        </w:rPr>
        <w:t>take place by</w:t>
      </w:r>
      <w:r w:rsidR="002C3A53">
        <w:rPr>
          <w:noProof/>
          <w:lang w:val="en-IE" w:eastAsia="zh-CN"/>
        </w:rPr>
        <w:t xml:space="preserve"> machine-to-machine communication</w:t>
      </w:r>
      <w:r w:rsidR="00A55734" w:rsidRPr="00FE537B">
        <w:rPr>
          <w:noProof/>
          <w:lang w:val="en-IE" w:eastAsia="zh-CN"/>
        </w:rPr>
        <w:t xml:space="preserve"> means</w:t>
      </w:r>
      <w:r w:rsidR="00B23D94" w:rsidRPr="00FE537B">
        <w:rPr>
          <w:noProof/>
          <w:lang w:val="en-IE" w:eastAsia="zh-CN"/>
        </w:rPr>
        <w:t>.</w:t>
      </w:r>
      <w:r w:rsidR="00A1644F" w:rsidRPr="00FE537B">
        <w:rPr>
          <w:noProof/>
          <w:lang w:val="en-IE" w:eastAsia="zh-CN"/>
        </w:rPr>
        <w:t xml:space="preserve"> </w:t>
      </w:r>
    </w:p>
    <w:p w:rsidR="001E5F34" w:rsidRPr="00DC0D7F" w:rsidRDefault="00795BB5" w:rsidP="00795BB5">
      <w:pPr>
        <w:pStyle w:val="ManualNumPar1"/>
        <w:rPr>
          <w:noProof/>
          <w:lang w:val="en-IE" w:eastAsia="zh-CN"/>
        </w:rPr>
      </w:pPr>
      <w:r w:rsidRPr="00795BB5">
        <w:t>2.</w:t>
      </w:r>
      <w:r w:rsidRPr="00795BB5">
        <w:tab/>
      </w:r>
      <w:r w:rsidR="00B23D94">
        <w:rPr>
          <w:noProof/>
          <w:lang w:val="en-IE" w:eastAsia="zh-CN"/>
        </w:rPr>
        <w:t xml:space="preserve">By </w:t>
      </w:r>
      <w:r w:rsidR="008B2C58">
        <w:rPr>
          <w:noProof/>
          <w:lang w:val="en-IE" w:eastAsia="zh-CN"/>
        </w:rPr>
        <w:t xml:space="preserve">way of </w:t>
      </w:r>
      <w:r w:rsidR="00B23D94">
        <w:rPr>
          <w:noProof/>
          <w:lang w:val="en-IE" w:eastAsia="zh-CN"/>
        </w:rPr>
        <w:t xml:space="preserve">derogation from paragraph 1, small or micro online </w:t>
      </w:r>
      <w:r w:rsidR="00534493">
        <w:rPr>
          <w:rFonts w:eastAsia="Times New Roman"/>
          <w:noProof/>
          <w:color w:val="000000"/>
          <w:szCs w:val="24"/>
          <w:lang w:val="en-IE" w:eastAsia="zh-CN"/>
        </w:rPr>
        <w:t xml:space="preserve">short-term rental </w:t>
      </w:r>
      <w:r w:rsidR="00B23D94">
        <w:rPr>
          <w:noProof/>
          <w:lang w:val="en-IE" w:eastAsia="zh-CN"/>
        </w:rPr>
        <w:t xml:space="preserve">platforms </w:t>
      </w:r>
      <w:r w:rsidR="00B23D94" w:rsidRPr="002028FC">
        <w:rPr>
          <w:noProof/>
          <w:szCs w:val="24"/>
          <w:lang w:val="en-IE" w:eastAsia="zh-CN"/>
        </w:rPr>
        <w:t xml:space="preserve">that </w:t>
      </w:r>
      <w:r w:rsidR="00B23D94" w:rsidRPr="002028FC">
        <w:rPr>
          <w:noProof/>
          <w:szCs w:val="24"/>
        </w:rPr>
        <w:t>d</w:t>
      </w:r>
      <w:r w:rsidR="003E5DE0">
        <w:rPr>
          <w:noProof/>
          <w:szCs w:val="24"/>
        </w:rPr>
        <w:t>id</w:t>
      </w:r>
      <w:r w:rsidR="00B23D94" w:rsidRPr="002028FC">
        <w:rPr>
          <w:noProof/>
          <w:szCs w:val="24"/>
        </w:rPr>
        <w:t xml:space="preserve"> not</w:t>
      </w:r>
      <w:r w:rsidR="003E5DE0">
        <w:rPr>
          <w:noProof/>
          <w:szCs w:val="24"/>
        </w:rPr>
        <w:t>, in the previous quarter,</w:t>
      </w:r>
      <w:r w:rsidR="00B23D94" w:rsidRPr="002028FC">
        <w:rPr>
          <w:noProof/>
          <w:szCs w:val="24"/>
        </w:rPr>
        <w:t xml:space="preserve"> reach a monthly average </w:t>
      </w:r>
      <w:r w:rsidR="0052796C">
        <w:rPr>
          <w:noProof/>
          <w:szCs w:val="24"/>
        </w:rPr>
        <w:t xml:space="preserve">of </w:t>
      </w:r>
      <w:r w:rsidR="006244B5">
        <w:rPr>
          <w:noProof/>
          <w:szCs w:val="24"/>
        </w:rPr>
        <w:t>2</w:t>
      </w:r>
      <w:r w:rsidR="007821AA">
        <w:rPr>
          <w:noProof/>
          <w:szCs w:val="24"/>
        </w:rPr>
        <w:t xml:space="preserve"> </w:t>
      </w:r>
      <w:r w:rsidR="006244B5">
        <w:rPr>
          <w:noProof/>
          <w:szCs w:val="24"/>
        </w:rPr>
        <w:t>5</w:t>
      </w:r>
      <w:r w:rsidR="00B23D94" w:rsidRPr="002028FC">
        <w:rPr>
          <w:noProof/>
          <w:szCs w:val="24"/>
        </w:rPr>
        <w:t xml:space="preserve">00 </w:t>
      </w:r>
      <w:r w:rsidR="0052796C">
        <w:rPr>
          <w:noProof/>
          <w:szCs w:val="24"/>
        </w:rPr>
        <w:t xml:space="preserve">or more </w:t>
      </w:r>
      <w:r w:rsidR="007821AA">
        <w:rPr>
          <w:noProof/>
          <w:szCs w:val="24"/>
        </w:rPr>
        <w:t xml:space="preserve">active </w:t>
      </w:r>
      <w:r w:rsidR="00B23D94" w:rsidRPr="002028FC">
        <w:rPr>
          <w:noProof/>
          <w:szCs w:val="24"/>
        </w:rPr>
        <w:t>hosts</w:t>
      </w:r>
      <w:r w:rsidR="00B23D94" w:rsidDel="002F7221">
        <w:rPr>
          <w:noProof/>
          <w:lang w:val="en-IE" w:eastAsia="zh-CN"/>
        </w:rPr>
        <w:t xml:space="preserve"> </w:t>
      </w:r>
      <w:r w:rsidR="00B23D94">
        <w:rPr>
          <w:noProof/>
          <w:lang w:val="en-IE" w:eastAsia="zh-CN"/>
        </w:rPr>
        <w:t xml:space="preserve">shall transmit </w:t>
      </w:r>
      <w:r w:rsidR="008F06E7">
        <w:rPr>
          <w:noProof/>
          <w:lang w:val="en-IE" w:eastAsia="zh-CN"/>
        </w:rPr>
        <w:t>the</w:t>
      </w:r>
      <w:r w:rsidR="00B23D94">
        <w:rPr>
          <w:noProof/>
          <w:lang w:val="en-IE" w:eastAsia="zh-CN"/>
        </w:rPr>
        <w:t xml:space="preserve"> activity data </w:t>
      </w:r>
      <w:r w:rsidR="008F06E7">
        <w:rPr>
          <w:noProof/>
          <w:lang w:val="en-IE" w:eastAsia="zh-CN"/>
        </w:rPr>
        <w:t>per unit</w:t>
      </w:r>
      <w:r w:rsidR="002A74D3">
        <w:rPr>
          <w:noProof/>
          <w:lang w:val="en-IE" w:eastAsia="zh-CN"/>
        </w:rPr>
        <w:t>,</w:t>
      </w:r>
      <w:r w:rsidR="008F06E7">
        <w:rPr>
          <w:noProof/>
          <w:lang w:val="en-IE" w:eastAsia="zh-CN"/>
        </w:rPr>
        <w:t xml:space="preserve"> </w:t>
      </w:r>
      <w:r w:rsidR="00C03328">
        <w:rPr>
          <w:noProof/>
          <w:lang w:val="en-IE" w:eastAsia="zh-CN"/>
        </w:rPr>
        <w:t xml:space="preserve">together with </w:t>
      </w:r>
      <w:r w:rsidR="00B23D94">
        <w:rPr>
          <w:noProof/>
          <w:lang w:val="en-IE" w:eastAsia="zh-CN"/>
        </w:rPr>
        <w:t xml:space="preserve">the </w:t>
      </w:r>
      <w:r w:rsidR="00C03328">
        <w:rPr>
          <w:noProof/>
          <w:lang w:val="en-IE" w:eastAsia="zh-CN"/>
        </w:rPr>
        <w:t xml:space="preserve">corresponding </w:t>
      </w:r>
      <w:r w:rsidR="00B23D94">
        <w:rPr>
          <w:noProof/>
          <w:lang w:val="en-IE" w:eastAsia="zh-CN"/>
        </w:rPr>
        <w:t>registration number</w:t>
      </w:r>
      <w:r w:rsidR="000C46E4">
        <w:rPr>
          <w:noProof/>
          <w:lang w:val="en-IE" w:eastAsia="zh-CN"/>
        </w:rPr>
        <w:t xml:space="preserve"> and</w:t>
      </w:r>
      <w:r w:rsidR="00FD47D5">
        <w:rPr>
          <w:noProof/>
          <w:lang w:val="en-IE" w:eastAsia="zh-CN"/>
        </w:rPr>
        <w:t xml:space="preserve"> </w:t>
      </w:r>
      <w:r w:rsidR="00E23337">
        <w:rPr>
          <w:rFonts w:eastAsia="Times New Roman"/>
          <w:noProof/>
          <w:color w:val="000000"/>
          <w:szCs w:val="24"/>
          <w:lang w:val="en-IE" w:eastAsia="zh-CN"/>
        </w:rPr>
        <w:t>the URL of the listing</w:t>
      </w:r>
      <w:r w:rsidR="0060194F">
        <w:rPr>
          <w:rFonts w:eastAsia="Times New Roman"/>
          <w:noProof/>
          <w:color w:val="000000"/>
          <w:szCs w:val="24"/>
          <w:lang w:val="en-IE" w:eastAsia="zh-CN"/>
        </w:rPr>
        <w:t>,</w:t>
      </w:r>
      <w:r w:rsidR="00B23D94">
        <w:rPr>
          <w:noProof/>
          <w:lang w:val="en-IE" w:eastAsia="zh-CN"/>
        </w:rPr>
        <w:t xml:space="preserve"> </w:t>
      </w:r>
      <w:r w:rsidR="0027517D">
        <w:rPr>
          <w:noProof/>
          <w:lang w:val="en-IE" w:eastAsia="zh-CN"/>
        </w:rPr>
        <w:t>at the end of the quarter</w:t>
      </w:r>
      <w:r w:rsidR="0060194F">
        <w:rPr>
          <w:noProof/>
          <w:lang w:val="en-IE" w:eastAsia="zh-CN"/>
        </w:rPr>
        <w:t>,</w:t>
      </w:r>
      <w:r w:rsidR="00E23337">
        <w:rPr>
          <w:noProof/>
          <w:lang w:val="en-IE" w:eastAsia="zh-CN"/>
        </w:rPr>
        <w:t xml:space="preserve"> </w:t>
      </w:r>
      <w:r w:rsidR="000648CF">
        <w:rPr>
          <w:noProof/>
          <w:lang w:val="en-IE" w:eastAsia="zh-CN"/>
        </w:rPr>
        <w:t>by</w:t>
      </w:r>
      <w:r w:rsidR="002C3A53">
        <w:rPr>
          <w:noProof/>
          <w:lang w:val="en-IE" w:eastAsia="zh-CN"/>
        </w:rPr>
        <w:t xml:space="preserve"> </w:t>
      </w:r>
      <w:r w:rsidR="002C3A53">
        <w:rPr>
          <w:rFonts w:eastAsia="Times New Roman"/>
          <w:noProof/>
          <w:color w:val="000000"/>
          <w:szCs w:val="24"/>
          <w:lang w:val="en-IE" w:eastAsia="zh-CN"/>
        </w:rPr>
        <w:t>machine-to-machine communication</w:t>
      </w:r>
      <w:r w:rsidR="000648CF">
        <w:rPr>
          <w:noProof/>
          <w:lang w:val="en-IE" w:eastAsia="zh-CN"/>
        </w:rPr>
        <w:t xml:space="preserve"> means </w:t>
      </w:r>
      <w:r w:rsidR="008F06E7">
        <w:rPr>
          <w:noProof/>
          <w:lang w:val="en-IE" w:eastAsia="zh-CN"/>
        </w:rPr>
        <w:t>or manually</w:t>
      </w:r>
      <w:r w:rsidR="0060194F">
        <w:rPr>
          <w:noProof/>
          <w:lang w:val="en-IE" w:eastAsia="zh-CN"/>
        </w:rPr>
        <w:t>,</w:t>
      </w:r>
      <w:r w:rsidR="00784607">
        <w:rPr>
          <w:noProof/>
          <w:lang w:val="en-IE" w:eastAsia="zh-CN"/>
        </w:rPr>
        <w:t xml:space="preserve"> </w:t>
      </w:r>
      <w:r w:rsidR="008F06E7">
        <w:rPr>
          <w:noProof/>
          <w:lang w:val="en-IE" w:eastAsia="zh-CN"/>
        </w:rPr>
        <w:t>to the</w:t>
      </w:r>
      <w:r w:rsidR="00B23D94">
        <w:rPr>
          <w:noProof/>
          <w:lang w:val="en-IE" w:eastAsia="zh-CN"/>
        </w:rPr>
        <w:t xml:space="preserve"> Single Digital Entry Point of the Member State where the unit is located.</w:t>
      </w:r>
    </w:p>
    <w:p w:rsidR="001A0620" w:rsidRPr="003E6AB0" w:rsidRDefault="007825E8" w:rsidP="001A0620">
      <w:pPr>
        <w:pStyle w:val="Titrearticle"/>
        <w:rPr>
          <w:noProof/>
          <w:lang w:val="en-IE"/>
        </w:rPr>
      </w:pPr>
      <w:r w:rsidRPr="003E6AB0">
        <w:rPr>
          <w:noProof/>
          <w:lang w:val="en-IE"/>
        </w:rPr>
        <w:t xml:space="preserve">Article </w:t>
      </w:r>
      <w:r w:rsidR="00431EF7" w:rsidRPr="003E6AB0">
        <w:rPr>
          <w:noProof/>
          <w:lang w:val="en-IE"/>
        </w:rPr>
        <w:t>10</w:t>
      </w:r>
    </w:p>
    <w:p w:rsidR="001A0620" w:rsidRDefault="00772D4A" w:rsidP="001A0620">
      <w:pPr>
        <w:pStyle w:val="NormalCentered"/>
        <w:rPr>
          <w:b/>
          <w:noProof/>
          <w:lang w:val="en-IE"/>
        </w:rPr>
      </w:pPr>
      <w:r w:rsidRPr="003E6AB0">
        <w:rPr>
          <w:b/>
          <w:noProof/>
          <w:lang w:val="en-IE"/>
        </w:rPr>
        <w:t xml:space="preserve">Establishment </w:t>
      </w:r>
      <w:r w:rsidR="006D3C12" w:rsidRPr="003E6AB0">
        <w:rPr>
          <w:b/>
          <w:noProof/>
          <w:lang w:val="en-IE"/>
        </w:rPr>
        <w:t xml:space="preserve">and functionalities </w:t>
      </w:r>
      <w:r w:rsidR="00A74BF3" w:rsidRPr="003E6AB0">
        <w:rPr>
          <w:b/>
          <w:noProof/>
          <w:lang w:val="en-IE"/>
        </w:rPr>
        <w:t>of Single Digital Entry Point</w:t>
      </w:r>
      <w:r w:rsidR="00F30965" w:rsidRPr="003E6AB0">
        <w:rPr>
          <w:b/>
          <w:noProof/>
          <w:lang w:val="en-IE"/>
        </w:rPr>
        <w:t>s</w:t>
      </w:r>
    </w:p>
    <w:p w:rsidR="00A74BF3" w:rsidRPr="00431EF7" w:rsidRDefault="00795BB5" w:rsidP="00795BB5">
      <w:pPr>
        <w:pStyle w:val="ManualNumPar1"/>
        <w:rPr>
          <w:noProof/>
          <w:lang w:val="en-IE"/>
        </w:rPr>
      </w:pPr>
      <w:r w:rsidRPr="00795BB5">
        <w:t>1.</w:t>
      </w:r>
      <w:r w:rsidRPr="00795BB5">
        <w:tab/>
      </w:r>
      <w:r w:rsidR="00772D4A">
        <w:rPr>
          <w:noProof/>
          <w:lang w:val="en-IE"/>
        </w:rPr>
        <w:t>Where</w:t>
      </w:r>
      <w:r w:rsidR="00A74BF3" w:rsidRPr="00991FB5">
        <w:rPr>
          <w:noProof/>
          <w:lang w:val="en-IE"/>
        </w:rPr>
        <w:t xml:space="preserve"> </w:t>
      </w:r>
      <w:r w:rsidR="00487BB4">
        <w:rPr>
          <w:noProof/>
          <w:lang w:val="en-IE"/>
        </w:rPr>
        <w:t xml:space="preserve">a </w:t>
      </w:r>
      <w:r w:rsidR="00A74BF3" w:rsidRPr="00991FB5">
        <w:rPr>
          <w:rFonts w:eastAsia="Times New Roman"/>
          <w:noProof/>
          <w:color w:val="000000"/>
          <w:szCs w:val="24"/>
          <w:lang w:val="en-IE" w:eastAsia="zh-CN"/>
        </w:rPr>
        <w:t xml:space="preserve">Member State </w:t>
      </w:r>
      <w:r w:rsidR="00A74BF3" w:rsidRPr="00991FB5">
        <w:rPr>
          <w:noProof/>
          <w:lang w:val="en-IE"/>
        </w:rPr>
        <w:t>ha</w:t>
      </w:r>
      <w:r w:rsidR="00487BB4">
        <w:rPr>
          <w:noProof/>
          <w:lang w:val="en-IE"/>
        </w:rPr>
        <w:t>s</w:t>
      </w:r>
      <w:r w:rsidR="00A74BF3" w:rsidRPr="00991FB5">
        <w:rPr>
          <w:noProof/>
          <w:lang w:val="en-IE" w:eastAsia="zh-CN"/>
        </w:rPr>
        <w:t xml:space="preserve"> established one or more registration procedures pursuant to Article</w:t>
      </w:r>
      <w:r w:rsidR="002C237F">
        <w:rPr>
          <w:noProof/>
          <w:lang w:val="en-IE" w:eastAsia="zh-CN"/>
        </w:rPr>
        <w:t xml:space="preserve"> </w:t>
      </w:r>
      <w:r w:rsidR="00431EF7" w:rsidRPr="00943D14">
        <w:rPr>
          <w:noProof/>
          <w:lang w:val="en-IE" w:eastAsia="zh-CN"/>
        </w:rPr>
        <w:t>8</w:t>
      </w:r>
      <w:r w:rsidR="00A74BF3" w:rsidRPr="00943D14">
        <w:rPr>
          <w:noProof/>
          <w:lang w:val="en-IE" w:eastAsia="zh-CN"/>
        </w:rPr>
        <w:t>,</w:t>
      </w:r>
      <w:r w:rsidR="00A74BF3" w:rsidRPr="00991FB5">
        <w:rPr>
          <w:noProof/>
          <w:lang w:val="en-IE" w:eastAsia="zh-CN"/>
        </w:rPr>
        <w:t xml:space="preserve"> </w:t>
      </w:r>
      <w:r w:rsidR="0052796C">
        <w:rPr>
          <w:noProof/>
          <w:lang w:val="en-IE" w:eastAsia="zh-CN"/>
        </w:rPr>
        <w:t xml:space="preserve">that Member State </w:t>
      </w:r>
      <w:r w:rsidR="00A74BF3" w:rsidRPr="00991FB5">
        <w:rPr>
          <w:noProof/>
          <w:lang w:val="en-IE" w:eastAsia="zh-CN"/>
        </w:rPr>
        <w:t xml:space="preserve">shall </w:t>
      </w:r>
      <w:r w:rsidR="00772D4A">
        <w:rPr>
          <w:noProof/>
          <w:lang w:val="en-IE" w:eastAsia="zh-CN"/>
        </w:rPr>
        <w:t xml:space="preserve">establish </w:t>
      </w:r>
      <w:r w:rsidR="00A74BF3" w:rsidRPr="00991FB5">
        <w:rPr>
          <w:noProof/>
          <w:lang w:val="en-IE" w:eastAsia="zh-CN"/>
        </w:rPr>
        <w:t>a Single Digital Entry Point</w:t>
      </w:r>
      <w:r w:rsidR="008552E2">
        <w:rPr>
          <w:noProof/>
          <w:lang w:val="en-IE" w:eastAsia="zh-CN"/>
        </w:rPr>
        <w:t xml:space="preserve"> </w:t>
      </w:r>
      <w:r w:rsidR="00A74BF3" w:rsidRPr="009379E6">
        <w:rPr>
          <w:noProof/>
          <w:lang w:val="en-IE"/>
        </w:rPr>
        <w:t xml:space="preserve">for the </w:t>
      </w:r>
      <w:r w:rsidR="004D7499">
        <w:rPr>
          <w:noProof/>
          <w:lang w:val="en-IE"/>
        </w:rPr>
        <w:t xml:space="preserve">receipt </w:t>
      </w:r>
      <w:r w:rsidR="000849FF">
        <w:rPr>
          <w:noProof/>
          <w:lang w:val="en-IE"/>
        </w:rPr>
        <w:t xml:space="preserve">and </w:t>
      </w:r>
      <w:r w:rsidR="002C237F" w:rsidRPr="00431EF7">
        <w:rPr>
          <w:noProof/>
          <w:lang w:val="en-IE"/>
        </w:rPr>
        <w:t>forwarding</w:t>
      </w:r>
      <w:r w:rsidR="002C237F">
        <w:rPr>
          <w:noProof/>
          <w:lang w:val="en-IE"/>
        </w:rPr>
        <w:t xml:space="preserve"> </w:t>
      </w:r>
      <w:r w:rsidR="00604256">
        <w:rPr>
          <w:noProof/>
          <w:lang w:val="en-IE"/>
        </w:rPr>
        <w:t>of activity data</w:t>
      </w:r>
      <w:r w:rsidR="00D14175">
        <w:rPr>
          <w:noProof/>
          <w:lang w:val="en-IE"/>
        </w:rPr>
        <w:t>, the relevant registration number and the URL of the listings</w:t>
      </w:r>
      <w:r w:rsidR="00604256">
        <w:rPr>
          <w:noProof/>
          <w:lang w:val="en-IE"/>
        </w:rPr>
        <w:t xml:space="preserve"> </w:t>
      </w:r>
      <w:r w:rsidR="000849FF">
        <w:rPr>
          <w:noProof/>
          <w:lang w:val="en-IE"/>
        </w:rPr>
        <w:t xml:space="preserve">provided </w:t>
      </w:r>
      <w:r w:rsidR="00604256">
        <w:rPr>
          <w:noProof/>
          <w:lang w:val="en-IE"/>
        </w:rPr>
        <w:t xml:space="preserve">by online </w:t>
      </w:r>
      <w:r w:rsidR="00534493">
        <w:rPr>
          <w:rFonts w:eastAsia="Times New Roman"/>
          <w:noProof/>
          <w:color w:val="000000"/>
          <w:szCs w:val="24"/>
          <w:lang w:val="en-IE" w:eastAsia="zh-CN"/>
        </w:rPr>
        <w:t xml:space="preserve">short-term rental </w:t>
      </w:r>
      <w:r w:rsidR="00604256">
        <w:rPr>
          <w:noProof/>
          <w:lang w:val="en-IE"/>
        </w:rPr>
        <w:t xml:space="preserve">platforms </w:t>
      </w:r>
      <w:r w:rsidR="002C7BD0">
        <w:rPr>
          <w:noProof/>
          <w:lang w:val="en-IE"/>
        </w:rPr>
        <w:t>pursuant to</w:t>
      </w:r>
      <w:r w:rsidR="009379E6" w:rsidRPr="009379E6">
        <w:rPr>
          <w:noProof/>
          <w:lang w:val="en-IE"/>
        </w:rPr>
        <w:t xml:space="preserve"> Article</w:t>
      </w:r>
      <w:r w:rsidR="006519F4">
        <w:rPr>
          <w:noProof/>
          <w:lang w:val="en-IE"/>
        </w:rPr>
        <w:t xml:space="preserve"> </w:t>
      </w:r>
      <w:r w:rsidR="00943D14">
        <w:rPr>
          <w:noProof/>
          <w:lang w:val="en-IE"/>
        </w:rPr>
        <w:t>9</w:t>
      </w:r>
      <w:r w:rsidR="00635CC3">
        <w:rPr>
          <w:noProof/>
          <w:lang w:val="en-IE"/>
        </w:rPr>
        <w:t>.</w:t>
      </w:r>
      <w:r w:rsidR="009C6084">
        <w:rPr>
          <w:noProof/>
          <w:lang w:val="en-IE"/>
        </w:rPr>
        <w:t xml:space="preserve"> </w:t>
      </w:r>
      <w:r w:rsidR="009C6084" w:rsidRPr="00431EF7">
        <w:rPr>
          <w:noProof/>
          <w:lang w:val="en-IE"/>
        </w:rPr>
        <w:t>Th</w:t>
      </w:r>
      <w:r w:rsidR="0052796C">
        <w:rPr>
          <w:noProof/>
          <w:lang w:val="en-IE"/>
        </w:rPr>
        <w:t>at</w:t>
      </w:r>
      <w:r w:rsidR="009C6084" w:rsidRPr="00431EF7">
        <w:rPr>
          <w:noProof/>
          <w:lang w:val="en-IE"/>
        </w:rPr>
        <w:t xml:space="preserve"> Member State </w:t>
      </w:r>
      <w:r w:rsidR="00D14175" w:rsidRPr="00431EF7">
        <w:rPr>
          <w:noProof/>
          <w:lang w:val="en-IE"/>
        </w:rPr>
        <w:t xml:space="preserve">shall </w:t>
      </w:r>
      <w:r w:rsidR="002C237F" w:rsidRPr="00431EF7">
        <w:rPr>
          <w:noProof/>
          <w:lang w:val="en-IE"/>
        </w:rPr>
        <w:t xml:space="preserve">designate </w:t>
      </w:r>
      <w:r w:rsidR="009C6084" w:rsidRPr="00431EF7">
        <w:rPr>
          <w:noProof/>
          <w:lang w:val="en-IE"/>
        </w:rPr>
        <w:t>the authority which will be responsible for the operation of the Single Digital Entry Point.</w:t>
      </w:r>
    </w:p>
    <w:p w:rsidR="009379E6" w:rsidRPr="00991FB5" w:rsidRDefault="00795BB5" w:rsidP="00795BB5">
      <w:pPr>
        <w:pStyle w:val="ManualNumPar1"/>
        <w:rPr>
          <w:noProof/>
          <w:lang w:val="en-IE"/>
        </w:rPr>
      </w:pPr>
      <w:r w:rsidRPr="00795BB5">
        <w:t>2.</w:t>
      </w:r>
      <w:r w:rsidRPr="00795BB5">
        <w:tab/>
      </w:r>
      <w:r w:rsidR="009379E6" w:rsidRPr="00991FB5">
        <w:rPr>
          <w:noProof/>
          <w:lang w:val="en-IE"/>
        </w:rPr>
        <w:t xml:space="preserve">The </w:t>
      </w:r>
      <w:r w:rsidR="00A019C9" w:rsidRPr="00991FB5">
        <w:rPr>
          <w:noProof/>
          <w:lang w:val="en-IE" w:eastAsia="zh-CN"/>
        </w:rPr>
        <w:t>Single Digital Entry Point</w:t>
      </w:r>
      <w:r w:rsidR="00A019C9">
        <w:rPr>
          <w:noProof/>
          <w:lang w:val="en-IE" w:eastAsia="zh-CN"/>
        </w:rPr>
        <w:t xml:space="preserve"> </w:t>
      </w:r>
      <w:r w:rsidR="009379E6" w:rsidRPr="00991FB5">
        <w:rPr>
          <w:noProof/>
          <w:lang w:val="en-IE"/>
        </w:rPr>
        <w:t xml:space="preserve">referred to in paragraph </w:t>
      </w:r>
      <w:r w:rsidR="008A43C6">
        <w:rPr>
          <w:noProof/>
          <w:lang w:val="en-IE"/>
        </w:rPr>
        <w:t>1</w:t>
      </w:r>
      <w:r w:rsidR="008A43C6" w:rsidRPr="00991FB5">
        <w:rPr>
          <w:noProof/>
          <w:lang w:val="en-IE"/>
        </w:rPr>
        <w:t xml:space="preserve"> </w:t>
      </w:r>
      <w:r w:rsidR="009379E6" w:rsidRPr="00991FB5">
        <w:rPr>
          <w:noProof/>
          <w:lang w:val="en-IE"/>
        </w:rPr>
        <w:t xml:space="preserve">shall: </w:t>
      </w:r>
    </w:p>
    <w:p w:rsidR="00AA64F8" w:rsidRDefault="00795BB5" w:rsidP="00795BB5">
      <w:pPr>
        <w:pStyle w:val="Point1"/>
        <w:rPr>
          <w:noProof/>
          <w:lang w:val="en-IE"/>
        </w:rPr>
      </w:pPr>
      <w:r w:rsidRPr="00795BB5">
        <w:t>(a)</w:t>
      </w:r>
      <w:r w:rsidRPr="00795BB5">
        <w:tab/>
      </w:r>
      <w:r w:rsidR="00AA64F8" w:rsidRPr="00693598">
        <w:rPr>
          <w:noProof/>
          <w:lang w:val="en-IE"/>
        </w:rPr>
        <w:t>p</w:t>
      </w:r>
      <w:r w:rsidR="007C1927" w:rsidRPr="00693598">
        <w:rPr>
          <w:noProof/>
          <w:lang w:val="en-IE"/>
        </w:rPr>
        <w:t xml:space="preserve">rovide a technical interface </w:t>
      </w:r>
      <w:r w:rsidR="00F41971" w:rsidRPr="00693598">
        <w:rPr>
          <w:noProof/>
          <w:lang w:val="en-IE"/>
        </w:rPr>
        <w:t xml:space="preserve">for </w:t>
      </w:r>
      <w:r w:rsidR="00AA64F8" w:rsidRPr="00693598">
        <w:rPr>
          <w:noProof/>
          <w:lang w:val="en-IE"/>
        </w:rPr>
        <w:t xml:space="preserve">online </w:t>
      </w:r>
      <w:r w:rsidR="00B83D5D">
        <w:rPr>
          <w:noProof/>
          <w:lang w:val="en-IE"/>
        </w:rPr>
        <w:t xml:space="preserve">short-term rental </w:t>
      </w:r>
      <w:r w:rsidR="00AA64F8" w:rsidRPr="00693598">
        <w:rPr>
          <w:noProof/>
          <w:lang w:val="en-IE"/>
        </w:rPr>
        <w:t xml:space="preserve">platforms enabling the </w:t>
      </w:r>
      <w:r w:rsidR="00F7734F">
        <w:rPr>
          <w:noProof/>
          <w:lang w:val="en-IE"/>
        </w:rPr>
        <w:t xml:space="preserve">machine-to-machine </w:t>
      </w:r>
      <w:r w:rsidR="00DB2C14">
        <w:rPr>
          <w:noProof/>
          <w:lang w:val="en-IE"/>
        </w:rPr>
        <w:t>and</w:t>
      </w:r>
      <w:r w:rsidR="004B7413">
        <w:rPr>
          <w:noProof/>
          <w:lang w:val="en-IE"/>
        </w:rPr>
        <w:t xml:space="preserve"> manual </w:t>
      </w:r>
      <w:r w:rsidR="00AA64F8" w:rsidRPr="00693598">
        <w:rPr>
          <w:noProof/>
          <w:lang w:val="en-IE"/>
        </w:rPr>
        <w:t>transmission of activity data</w:t>
      </w:r>
      <w:r w:rsidR="001A4926">
        <w:rPr>
          <w:noProof/>
          <w:lang w:val="en-IE"/>
        </w:rPr>
        <w:t xml:space="preserve">, the relevant registration number and the URL of the listings; </w:t>
      </w:r>
    </w:p>
    <w:p w:rsidR="00B96ED6" w:rsidRDefault="00795BB5" w:rsidP="00795BB5">
      <w:pPr>
        <w:pStyle w:val="Point1"/>
        <w:rPr>
          <w:noProof/>
          <w:lang w:val="en-IE"/>
        </w:rPr>
      </w:pPr>
      <w:r w:rsidRPr="00795BB5">
        <w:t>(b)</w:t>
      </w:r>
      <w:r w:rsidRPr="00795BB5">
        <w:tab/>
      </w:r>
      <w:r w:rsidR="00534493">
        <w:rPr>
          <w:noProof/>
          <w:lang w:val="en-IE"/>
        </w:rPr>
        <w:t xml:space="preserve">facilitate </w:t>
      </w:r>
      <w:r w:rsidR="008969C7">
        <w:rPr>
          <w:noProof/>
          <w:lang w:val="en-IE"/>
        </w:rPr>
        <w:t xml:space="preserve">random checks </w:t>
      </w:r>
      <w:r w:rsidR="00534493">
        <w:rPr>
          <w:noProof/>
          <w:lang w:val="en-IE"/>
        </w:rPr>
        <w:t xml:space="preserve">by </w:t>
      </w:r>
      <w:r w:rsidR="00B96ED6">
        <w:rPr>
          <w:noProof/>
          <w:lang w:val="en-IE"/>
        </w:rPr>
        <w:t xml:space="preserve">online </w:t>
      </w:r>
      <w:r w:rsidR="00534493">
        <w:rPr>
          <w:noProof/>
          <w:lang w:val="en-IE"/>
        </w:rPr>
        <w:t xml:space="preserve">short-term rental </w:t>
      </w:r>
      <w:r w:rsidR="00B96ED6">
        <w:rPr>
          <w:noProof/>
          <w:lang w:val="en-IE"/>
        </w:rPr>
        <w:t>platforms</w:t>
      </w:r>
      <w:r w:rsidR="00637451">
        <w:rPr>
          <w:noProof/>
          <w:lang w:val="en-IE"/>
        </w:rPr>
        <w:t xml:space="preserve"> pursuant to Article </w:t>
      </w:r>
      <w:r w:rsidR="00637451" w:rsidRPr="00E61EFE">
        <w:rPr>
          <w:noProof/>
          <w:lang w:val="en-IE"/>
        </w:rPr>
        <w:t>7</w:t>
      </w:r>
      <w:r w:rsidR="004278DC" w:rsidRPr="00E61EFE">
        <w:rPr>
          <w:noProof/>
          <w:lang w:val="en-IE"/>
        </w:rPr>
        <w:t>(</w:t>
      </w:r>
      <w:r w:rsidR="00E61EFE" w:rsidRPr="00E61EFE">
        <w:rPr>
          <w:noProof/>
          <w:lang w:val="en-IE"/>
        </w:rPr>
        <w:t>1</w:t>
      </w:r>
      <w:r w:rsidR="004278DC" w:rsidRPr="00E61EFE">
        <w:rPr>
          <w:noProof/>
          <w:lang w:val="en-IE"/>
        </w:rPr>
        <w:t>)</w:t>
      </w:r>
      <w:r w:rsidR="0052796C" w:rsidRPr="00E61EFE">
        <w:rPr>
          <w:noProof/>
          <w:lang w:val="en-IE"/>
        </w:rPr>
        <w:t>,</w:t>
      </w:r>
      <w:r w:rsidR="004278DC" w:rsidRPr="00E61EFE">
        <w:rPr>
          <w:noProof/>
          <w:lang w:val="en-IE"/>
        </w:rPr>
        <w:t xml:space="preserve"> point </w:t>
      </w:r>
      <w:r w:rsidR="00637451" w:rsidRPr="00E61EFE">
        <w:rPr>
          <w:noProof/>
          <w:lang w:val="en-IE"/>
        </w:rPr>
        <w:t>(</w:t>
      </w:r>
      <w:r w:rsidR="00064FFA" w:rsidRPr="00E61EFE">
        <w:rPr>
          <w:noProof/>
          <w:lang w:val="en-IE"/>
        </w:rPr>
        <w:t>c</w:t>
      </w:r>
      <w:r w:rsidR="00637451" w:rsidRPr="00E61EFE">
        <w:rPr>
          <w:noProof/>
          <w:lang w:val="en-IE"/>
        </w:rPr>
        <w:t>)</w:t>
      </w:r>
      <w:r w:rsidR="00B96ED6">
        <w:rPr>
          <w:noProof/>
          <w:lang w:val="en-IE"/>
        </w:rPr>
        <w:t xml:space="preserve"> </w:t>
      </w:r>
      <w:r w:rsidR="00534493">
        <w:rPr>
          <w:noProof/>
          <w:lang w:val="en-IE"/>
        </w:rPr>
        <w:t>o</w:t>
      </w:r>
      <w:r w:rsidR="002224FB">
        <w:rPr>
          <w:noProof/>
          <w:lang w:val="en-IE"/>
        </w:rPr>
        <w:t>f</w:t>
      </w:r>
      <w:r w:rsidR="00534493">
        <w:rPr>
          <w:noProof/>
          <w:lang w:val="en-IE"/>
        </w:rPr>
        <w:t xml:space="preserve"> the validity of registration number</w:t>
      </w:r>
      <w:r w:rsidR="004278DC">
        <w:rPr>
          <w:noProof/>
          <w:lang w:val="en-IE"/>
        </w:rPr>
        <w:t>s</w:t>
      </w:r>
      <w:r w:rsidR="00534493">
        <w:rPr>
          <w:noProof/>
          <w:lang w:val="en-IE"/>
        </w:rPr>
        <w:t xml:space="preserve"> </w:t>
      </w:r>
      <w:r w:rsidR="004278DC">
        <w:rPr>
          <w:noProof/>
          <w:lang w:val="en-IE"/>
        </w:rPr>
        <w:t xml:space="preserve">provided </w:t>
      </w:r>
      <w:r w:rsidR="00534493">
        <w:rPr>
          <w:noProof/>
          <w:lang w:val="en-IE"/>
        </w:rPr>
        <w:t>by host</w:t>
      </w:r>
      <w:r w:rsidR="002224FB">
        <w:rPr>
          <w:noProof/>
          <w:lang w:val="en-IE"/>
        </w:rPr>
        <w:t>s</w:t>
      </w:r>
      <w:r w:rsidR="00B96ED6">
        <w:rPr>
          <w:noProof/>
          <w:lang w:val="en-IE"/>
        </w:rPr>
        <w:t>;</w:t>
      </w:r>
    </w:p>
    <w:p w:rsidR="00DC3164" w:rsidRPr="00B96ED6" w:rsidRDefault="00795BB5" w:rsidP="00795BB5">
      <w:pPr>
        <w:pStyle w:val="Point1"/>
        <w:rPr>
          <w:noProof/>
          <w:lang w:val="en-IE"/>
        </w:rPr>
      </w:pPr>
      <w:r w:rsidRPr="00795BB5">
        <w:t>(c)</w:t>
      </w:r>
      <w:r w:rsidRPr="00795BB5">
        <w:tab/>
      </w:r>
      <w:r w:rsidR="00DC3164" w:rsidRPr="008C52FB">
        <w:rPr>
          <w:noProof/>
          <w:lang w:val="en-IE"/>
        </w:rPr>
        <w:t>provide</w:t>
      </w:r>
      <w:r w:rsidR="00DC3164">
        <w:rPr>
          <w:noProof/>
          <w:lang w:val="en-IE"/>
        </w:rPr>
        <w:t xml:space="preserve"> a technical interface </w:t>
      </w:r>
      <w:r w:rsidR="001932CF">
        <w:rPr>
          <w:noProof/>
          <w:lang w:val="en-IE"/>
        </w:rPr>
        <w:t xml:space="preserve">for </w:t>
      </w:r>
      <w:r w:rsidR="00487BB4">
        <w:rPr>
          <w:noProof/>
          <w:lang w:val="en-IE"/>
        </w:rPr>
        <w:t xml:space="preserve">the </w:t>
      </w:r>
      <w:r w:rsidR="001932CF">
        <w:rPr>
          <w:noProof/>
          <w:lang w:val="en-IE"/>
        </w:rPr>
        <w:t xml:space="preserve">competent authorities </w:t>
      </w:r>
      <w:r w:rsidR="00915DB3">
        <w:rPr>
          <w:noProof/>
          <w:lang w:val="en-IE"/>
        </w:rPr>
        <w:t xml:space="preserve">referred to in Article </w:t>
      </w:r>
      <w:r w:rsidR="00C80E41">
        <w:rPr>
          <w:noProof/>
          <w:lang w:val="en-IE"/>
        </w:rPr>
        <w:t>1</w:t>
      </w:r>
      <w:r w:rsidR="00431EF7">
        <w:rPr>
          <w:noProof/>
          <w:lang w:val="en-IE"/>
        </w:rPr>
        <w:t>2</w:t>
      </w:r>
      <w:r w:rsidR="00FF4200">
        <w:rPr>
          <w:noProof/>
          <w:lang w:val="en-IE"/>
        </w:rPr>
        <w:t xml:space="preserve"> </w:t>
      </w:r>
      <w:r w:rsidR="001932CF">
        <w:rPr>
          <w:noProof/>
          <w:lang w:val="en-IE"/>
        </w:rPr>
        <w:t xml:space="preserve">to receive </w:t>
      </w:r>
      <w:r w:rsidR="009C341B">
        <w:rPr>
          <w:noProof/>
          <w:lang w:val="en-IE"/>
        </w:rPr>
        <w:t>activity data</w:t>
      </w:r>
      <w:r w:rsidR="00D14175">
        <w:rPr>
          <w:noProof/>
          <w:lang w:val="en-IE"/>
        </w:rPr>
        <w:t>,</w:t>
      </w:r>
      <w:r w:rsidR="009C341B">
        <w:rPr>
          <w:noProof/>
          <w:lang w:val="en-IE"/>
        </w:rPr>
        <w:t xml:space="preserve"> </w:t>
      </w:r>
      <w:r w:rsidR="001A4926">
        <w:rPr>
          <w:noProof/>
          <w:lang w:val="en-IE"/>
        </w:rPr>
        <w:t xml:space="preserve">the </w:t>
      </w:r>
      <w:r w:rsidR="00534493">
        <w:rPr>
          <w:noProof/>
          <w:lang w:val="en-IE"/>
        </w:rPr>
        <w:t xml:space="preserve">relevant registration number </w:t>
      </w:r>
      <w:r w:rsidR="001A4926">
        <w:rPr>
          <w:noProof/>
          <w:lang w:val="en-IE"/>
        </w:rPr>
        <w:t xml:space="preserve">and the URL of listings </w:t>
      </w:r>
      <w:r w:rsidR="009C341B">
        <w:rPr>
          <w:noProof/>
          <w:lang w:val="en-IE"/>
        </w:rPr>
        <w:t xml:space="preserve">transmitted by online </w:t>
      </w:r>
      <w:r w:rsidR="00534493">
        <w:rPr>
          <w:noProof/>
          <w:lang w:val="en-IE"/>
        </w:rPr>
        <w:t xml:space="preserve">short-term rental </w:t>
      </w:r>
      <w:r w:rsidR="009C341B">
        <w:rPr>
          <w:noProof/>
          <w:lang w:val="en-IE"/>
        </w:rPr>
        <w:t>platform</w:t>
      </w:r>
      <w:r w:rsidR="001932CF">
        <w:rPr>
          <w:noProof/>
          <w:lang w:val="en-IE"/>
        </w:rPr>
        <w:t>s</w:t>
      </w:r>
      <w:r w:rsidR="00167733">
        <w:rPr>
          <w:noProof/>
          <w:lang w:val="en-IE"/>
        </w:rPr>
        <w:t xml:space="preserve"> only for the purposes identified in </w:t>
      </w:r>
      <w:r w:rsidR="0052796C">
        <w:rPr>
          <w:noProof/>
          <w:lang w:val="en-IE"/>
        </w:rPr>
        <w:t xml:space="preserve">Article </w:t>
      </w:r>
      <w:r w:rsidR="00167733">
        <w:rPr>
          <w:noProof/>
          <w:lang w:val="en-IE"/>
        </w:rPr>
        <w:t>1</w:t>
      </w:r>
      <w:r w:rsidR="00431EF7">
        <w:rPr>
          <w:noProof/>
          <w:lang w:val="en-IE"/>
        </w:rPr>
        <w:t>2</w:t>
      </w:r>
      <w:r w:rsidR="00167733">
        <w:rPr>
          <w:noProof/>
          <w:lang w:val="en-IE"/>
        </w:rPr>
        <w:t>(2) for units in their territory</w:t>
      </w:r>
      <w:r w:rsidR="00E46D67">
        <w:rPr>
          <w:noProof/>
          <w:lang w:val="en-IE"/>
        </w:rPr>
        <w:t>.</w:t>
      </w:r>
      <w:r w:rsidR="0066277D">
        <w:rPr>
          <w:noProof/>
          <w:lang w:val="en-IE"/>
        </w:rPr>
        <w:t xml:space="preserve"> </w:t>
      </w:r>
    </w:p>
    <w:p w:rsidR="00997EEA" w:rsidRPr="00B96ED6" w:rsidRDefault="00795BB5" w:rsidP="00795BB5">
      <w:pPr>
        <w:pStyle w:val="ManualNumPar1"/>
        <w:rPr>
          <w:noProof/>
          <w:lang w:val="en-IE"/>
        </w:rPr>
      </w:pPr>
      <w:r w:rsidRPr="00795BB5">
        <w:t>3.</w:t>
      </w:r>
      <w:r w:rsidRPr="00795BB5">
        <w:tab/>
      </w:r>
      <w:r w:rsidR="005149AF">
        <w:rPr>
          <w:noProof/>
          <w:lang w:val="en-IE"/>
        </w:rPr>
        <w:t xml:space="preserve">Member States shall ensure that the </w:t>
      </w:r>
      <w:r w:rsidR="005149AF" w:rsidRPr="00991FB5">
        <w:rPr>
          <w:noProof/>
          <w:lang w:val="en-IE"/>
        </w:rPr>
        <w:t>Single Digital Entry Point</w:t>
      </w:r>
      <w:r w:rsidR="005149AF">
        <w:rPr>
          <w:noProof/>
          <w:lang w:val="en-IE"/>
        </w:rPr>
        <w:t xml:space="preserve"> </w:t>
      </w:r>
      <w:r w:rsidR="005149AF" w:rsidRPr="00991FB5">
        <w:rPr>
          <w:noProof/>
          <w:lang w:val="en-IE"/>
        </w:rPr>
        <w:t xml:space="preserve">referred to in paragraph </w:t>
      </w:r>
      <w:r w:rsidR="005149AF">
        <w:rPr>
          <w:noProof/>
          <w:lang w:val="en-IE"/>
        </w:rPr>
        <w:t xml:space="preserve">1 provides for: </w:t>
      </w:r>
    </w:p>
    <w:p w:rsidR="005149AF" w:rsidRDefault="00795BB5" w:rsidP="00795BB5">
      <w:pPr>
        <w:pStyle w:val="Point1"/>
        <w:rPr>
          <w:noProof/>
          <w:lang w:val="en-IE"/>
        </w:rPr>
      </w:pPr>
      <w:r w:rsidRPr="00795BB5">
        <w:t>(a)</w:t>
      </w:r>
      <w:r w:rsidRPr="00795BB5">
        <w:tab/>
      </w:r>
      <w:r w:rsidR="00FF3852" w:rsidRPr="00FF3852">
        <w:rPr>
          <w:noProof/>
          <w:lang w:val="en-IE"/>
        </w:rPr>
        <w:t>interoperability with</w:t>
      </w:r>
      <w:r w:rsidR="00FF3852">
        <w:rPr>
          <w:noProof/>
          <w:lang w:val="en-IE"/>
        </w:rPr>
        <w:t xml:space="preserve"> </w:t>
      </w:r>
      <w:r w:rsidR="006B4935">
        <w:rPr>
          <w:noProof/>
          <w:lang w:val="en-IE"/>
        </w:rPr>
        <w:t xml:space="preserve">the </w:t>
      </w:r>
      <w:r w:rsidR="00A662F0">
        <w:rPr>
          <w:noProof/>
          <w:lang w:val="en-IE"/>
        </w:rPr>
        <w:t>registries</w:t>
      </w:r>
      <w:r w:rsidR="006B4935">
        <w:rPr>
          <w:noProof/>
          <w:lang w:val="en-IE"/>
        </w:rPr>
        <w:t xml:space="preserve"> referred to</w:t>
      </w:r>
      <w:r w:rsidR="00A662F0">
        <w:rPr>
          <w:noProof/>
          <w:lang w:val="en-IE"/>
        </w:rPr>
        <w:t xml:space="preserve"> </w:t>
      </w:r>
      <w:r w:rsidR="00FF3852" w:rsidRPr="00355076">
        <w:rPr>
          <w:noProof/>
          <w:lang w:val="en-IE"/>
        </w:rPr>
        <w:t xml:space="preserve">in Article </w:t>
      </w:r>
      <w:r w:rsidR="00FF3852" w:rsidRPr="00DC2E8B">
        <w:rPr>
          <w:noProof/>
          <w:lang w:val="en-IE"/>
        </w:rPr>
        <w:t>4(</w:t>
      </w:r>
      <w:r w:rsidR="00431EF7">
        <w:rPr>
          <w:noProof/>
          <w:lang w:val="en-IE"/>
        </w:rPr>
        <w:t>3</w:t>
      </w:r>
      <w:r w:rsidR="00DC2E8B" w:rsidRPr="006D1C73">
        <w:rPr>
          <w:noProof/>
          <w:lang w:val="en-IE"/>
        </w:rPr>
        <w:t>)</w:t>
      </w:r>
      <w:r w:rsidR="005149AF" w:rsidRPr="00DC2E8B">
        <w:rPr>
          <w:noProof/>
          <w:lang w:val="en-IE"/>
        </w:rPr>
        <w:t>;</w:t>
      </w:r>
    </w:p>
    <w:p w:rsidR="00FF3852" w:rsidRDefault="00795BB5" w:rsidP="00795BB5">
      <w:pPr>
        <w:pStyle w:val="Point1"/>
        <w:rPr>
          <w:noProof/>
          <w:lang w:val="en-IE"/>
        </w:rPr>
      </w:pPr>
      <w:r w:rsidRPr="00795BB5">
        <w:t>(b)</w:t>
      </w:r>
      <w:r w:rsidRPr="00795BB5">
        <w:tab/>
      </w:r>
      <w:r w:rsidR="00CD1F84" w:rsidRPr="00355076">
        <w:rPr>
          <w:noProof/>
          <w:lang w:val="en-IE"/>
        </w:rPr>
        <w:t xml:space="preserve">the </w:t>
      </w:r>
      <w:r w:rsidR="00F84E48">
        <w:rPr>
          <w:noProof/>
          <w:lang w:val="en-IE"/>
        </w:rPr>
        <w:t xml:space="preserve">possibility to </w:t>
      </w:r>
      <w:r w:rsidR="00CD1F84" w:rsidRPr="00355076">
        <w:rPr>
          <w:noProof/>
          <w:lang w:val="en-IE"/>
        </w:rPr>
        <w:t xml:space="preserve">re-use </w:t>
      </w:r>
      <w:r w:rsidR="00F84E48">
        <w:rPr>
          <w:noProof/>
          <w:lang w:val="en-IE"/>
        </w:rPr>
        <w:t>the</w:t>
      </w:r>
      <w:r w:rsidR="00CD1F84" w:rsidRPr="00355076">
        <w:rPr>
          <w:noProof/>
          <w:lang w:val="en-IE"/>
        </w:rPr>
        <w:t xml:space="preserve"> information</w:t>
      </w:r>
      <w:r w:rsidR="00603F99">
        <w:rPr>
          <w:noProof/>
          <w:lang w:val="en-IE"/>
        </w:rPr>
        <w:t xml:space="preserve"> or documentation</w:t>
      </w:r>
      <w:r w:rsidR="00CD1F84" w:rsidRPr="00355076">
        <w:rPr>
          <w:noProof/>
          <w:lang w:val="en-IE"/>
        </w:rPr>
        <w:t xml:space="preserve"> to be provided </w:t>
      </w:r>
      <w:r w:rsidR="007821AA">
        <w:rPr>
          <w:noProof/>
          <w:lang w:val="en-IE"/>
        </w:rPr>
        <w:t xml:space="preserve">by hosts </w:t>
      </w:r>
      <w:r w:rsidR="00CD1F84" w:rsidRPr="00355076">
        <w:rPr>
          <w:noProof/>
          <w:lang w:val="en-IE"/>
        </w:rPr>
        <w:t>pursuant to Article 5</w:t>
      </w:r>
      <w:r w:rsidR="005149AF">
        <w:rPr>
          <w:noProof/>
          <w:lang w:val="en-IE"/>
        </w:rPr>
        <w:t xml:space="preserve">, if the same information or </w:t>
      </w:r>
      <w:r w:rsidR="00603F99">
        <w:rPr>
          <w:noProof/>
          <w:lang w:val="en-IE"/>
        </w:rPr>
        <w:t xml:space="preserve">documentation </w:t>
      </w:r>
      <w:r w:rsidR="005149AF">
        <w:rPr>
          <w:noProof/>
          <w:lang w:val="en-IE"/>
        </w:rPr>
        <w:t xml:space="preserve">is requested </w:t>
      </w:r>
      <w:r w:rsidR="002224FB">
        <w:rPr>
          <w:noProof/>
          <w:lang w:val="en-IE"/>
        </w:rPr>
        <w:t xml:space="preserve">by </w:t>
      </w:r>
      <w:r w:rsidR="005149AF">
        <w:rPr>
          <w:noProof/>
          <w:lang w:val="en-IE"/>
        </w:rPr>
        <w:t>multiple registries referred to in Article 4(</w:t>
      </w:r>
      <w:r w:rsidR="00431EF7">
        <w:rPr>
          <w:noProof/>
          <w:lang w:val="en-IE"/>
        </w:rPr>
        <w:t>3</w:t>
      </w:r>
      <w:r w:rsidR="005149AF">
        <w:rPr>
          <w:noProof/>
          <w:lang w:val="en-IE"/>
        </w:rPr>
        <w:t>) within the same Member State</w:t>
      </w:r>
      <w:r w:rsidR="00FF3852">
        <w:rPr>
          <w:noProof/>
          <w:lang w:val="en-IE"/>
        </w:rPr>
        <w:t>;</w:t>
      </w:r>
    </w:p>
    <w:p w:rsidR="00B96ED6" w:rsidRDefault="00795BB5" w:rsidP="00795BB5">
      <w:pPr>
        <w:pStyle w:val="Point1"/>
        <w:rPr>
          <w:noProof/>
          <w:lang w:val="en-IE"/>
        </w:rPr>
      </w:pPr>
      <w:r w:rsidRPr="00795BB5">
        <w:t>(c)</w:t>
      </w:r>
      <w:r w:rsidRPr="00795BB5">
        <w:tab/>
      </w:r>
      <w:r w:rsidR="00FF3852">
        <w:rPr>
          <w:noProof/>
          <w:lang w:val="en-IE"/>
        </w:rPr>
        <w:t xml:space="preserve">confidentiality, integrity and </w:t>
      </w:r>
      <w:r w:rsidR="00FF3852" w:rsidRPr="00FF3852">
        <w:rPr>
          <w:noProof/>
          <w:lang w:val="en-IE"/>
        </w:rPr>
        <w:t xml:space="preserve">security </w:t>
      </w:r>
      <w:r w:rsidR="0058067D">
        <w:rPr>
          <w:noProof/>
          <w:lang w:val="en-IE"/>
        </w:rPr>
        <w:t>of</w:t>
      </w:r>
      <w:r w:rsidR="004C17D8">
        <w:rPr>
          <w:noProof/>
          <w:lang w:val="en-IE"/>
        </w:rPr>
        <w:t xml:space="preserve"> the processing of</w:t>
      </w:r>
      <w:r w:rsidR="0058067D">
        <w:rPr>
          <w:noProof/>
          <w:lang w:val="en-IE"/>
        </w:rPr>
        <w:t xml:space="preserve"> the activity data </w:t>
      </w:r>
      <w:r w:rsidR="0058067D" w:rsidRPr="009379E6">
        <w:rPr>
          <w:noProof/>
          <w:lang w:val="en-IE"/>
        </w:rPr>
        <w:t>and registration numbers</w:t>
      </w:r>
      <w:r w:rsidR="00603F99">
        <w:rPr>
          <w:noProof/>
          <w:lang w:val="en-IE"/>
        </w:rPr>
        <w:t xml:space="preserve"> and the URL of the listing</w:t>
      </w:r>
      <w:r w:rsidR="0058067D" w:rsidRPr="009379E6">
        <w:rPr>
          <w:noProof/>
          <w:lang w:val="en-IE"/>
        </w:rPr>
        <w:t xml:space="preserve"> </w:t>
      </w:r>
      <w:r w:rsidR="0058067D">
        <w:rPr>
          <w:noProof/>
          <w:lang w:val="en-IE"/>
        </w:rPr>
        <w:t xml:space="preserve">transmitted by online </w:t>
      </w:r>
      <w:r w:rsidR="00BE78A7">
        <w:rPr>
          <w:noProof/>
          <w:lang w:val="en-IE"/>
        </w:rPr>
        <w:t xml:space="preserve">short-term rental </w:t>
      </w:r>
      <w:r w:rsidR="0058067D">
        <w:rPr>
          <w:noProof/>
          <w:lang w:val="en-IE"/>
        </w:rPr>
        <w:t xml:space="preserve">platforms in accordance with Article </w:t>
      </w:r>
      <w:r w:rsidR="000A67D2">
        <w:rPr>
          <w:noProof/>
          <w:lang w:val="en-IE"/>
        </w:rPr>
        <w:t>9</w:t>
      </w:r>
      <w:r w:rsidR="00FF3852">
        <w:rPr>
          <w:noProof/>
          <w:lang w:val="en-IE"/>
        </w:rPr>
        <w:t>.</w:t>
      </w:r>
    </w:p>
    <w:p w:rsidR="00E42B62" w:rsidRPr="008A6FA4" w:rsidRDefault="00795BB5" w:rsidP="00795BB5">
      <w:pPr>
        <w:pStyle w:val="ManualNumPar1"/>
        <w:rPr>
          <w:noProof/>
          <w:lang w:val="en-IE"/>
        </w:rPr>
      </w:pPr>
      <w:r w:rsidRPr="00795BB5">
        <w:t>4.</w:t>
      </w:r>
      <w:r w:rsidRPr="00795BB5">
        <w:tab/>
      </w:r>
      <w:r w:rsidR="00A662F0" w:rsidRPr="00E67334">
        <w:rPr>
          <w:noProof/>
          <w:lang w:val="en-IE"/>
        </w:rPr>
        <w:t>The Single Digital Entry Point referred to in paragraph 1 shall not store information containing personal data</w:t>
      </w:r>
      <w:r w:rsidR="00263FC8">
        <w:rPr>
          <w:noProof/>
          <w:lang w:val="en-IE"/>
        </w:rPr>
        <w:t xml:space="preserve">. It shall ensure the </w:t>
      </w:r>
      <w:r w:rsidR="00263FC8" w:rsidRPr="00BC6A51">
        <w:rPr>
          <w:noProof/>
          <w:lang w:val="en-IE"/>
        </w:rPr>
        <w:t>automatic, intermediate and transient processing</w:t>
      </w:r>
      <w:r w:rsidR="00263FC8">
        <w:rPr>
          <w:noProof/>
          <w:lang w:val="en-IE"/>
        </w:rPr>
        <w:t xml:space="preserve"> of </w:t>
      </w:r>
      <w:r w:rsidR="009C2DDD">
        <w:rPr>
          <w:noProof/>
          <w:lang w:val="en-IE"/>
        </w:rPr>
        <w:t xml:space="preserve">personal </w:t>
      </w:r>
      <w:r w:rsidR="00263FC8">
        <w:rPr>
          <w:noProof/>
          <w:lang w:val="en-IE"/>
        </w:rPr>
        <w:t xml:space="preserve">data that is </w:t>
      </w:r>
      <w:r w:rsidR="00263FC8" w:rsidRPr="00BC6A51">
        <w:rPr>
          <w:noProof/>
          <w:lang w:val="en-IE"/>
        </w:rPr>
        <w:t xml:space="preserve">strictly necessary for the purpose of giving access to </w:t>
      </w:r>
      <w:r w:rsidR="002224FB">
        <w:rPr>
          <w:noProof/>
          <w:lang w:val="en-IE"/>
        </w:rPr>
        <w:t xml:space="preserve">the </w:t>
      </w:r>
      <w:r w:rsidR="00263FC8" w:rsidRPr="00BC6A51">
        <w:rPr>
          <w:noProof/>
          <w:lang w:val="en-IE"/>
        </w:rPr>
        <w:t>authorities referred to in Article 1</w:t>
      </w:r>
      <w:r w:rsidR="000A67D2">
        <w:rPr>
          <w:noProof/>
          <w:lang w:val="en-IE"/>
        </w:rPr>
        <w:t>2</w:t>
      </w:r>
      <w:r w:rsidR="00263FC8" w:rsidRPr="00BC6A51">
        <w:rPr>
          <w:noProof/>
          <w:lang w:val="en-IE"/>
        </w:rPr>
        <w:t xml:space="preserve"> </w:t>
      </w:r>
      <w:r w:rsidR="002224FB">
        <w:rPr>
          <w:noProof/>
          <w:lang w:val="en-IE"/>
        </w:rPr>
        <w:t>to activity data</w:t>
      </w:r>
      <w:r w:rsidR="001A4926">
        <w:rPr>
          <w:noProof/>
          <w:lang w:val="en-IE"/>
        </w:rPr>
        <w:t>, registration numbers and URL of listings</w:t>
      </w:r>
      <w:r w:rsidR="002224FB">
        <w:rPr>
          <w:noProof/>
          <w:lang w:val="en-IE"/>
        </w:rPr>
        <w:t xml:space="preserve"> </w:t>
      </w:r>
      <w:r w:rsidR="00263FC8" w:rsidRPr="00BC6A51">
        <w:rPr>
          <w:noProof/>
          <w:lang w:val="en-IE"/>
        </w:rPr>
        <w:t xml:space="preserve">provided by online </w:t>
      </w:r>
      <w:r w:rsidR="00263FC8">
        <w:rPr>
          <w:noProof/>
          <w:lang w:val="en-IE"/>
        </w:rPr>
        <w:t>short-term rental</w:t>
      </w:r>
      <w:r w:rsidR="002224FB">
        <w:rPr>
          <w:noProof/>
          <w:lang w:val="en-IE"/>
        </w:rPr>
        <w:t xml:space="preserve"> platforms</w:t>
      </w:r>
      <w:r w:rsidR="00A662F0" w:rsidRPr="00BC6A51">
        <w:rPr>
          <w:noProof/>
          <w:lang w:val="en-IE"/>
        </w:rPr>
        <w:t>.</w:t>
      </w:r>
    </w:p>
    <w:p w:rsidR="006E5AC2" w:rsidRDefault="00795BB5" w:rsidP="00795BB5">
      <w:pPr>
        <w:pStyle w:val="ManualNumPar1"/>
        <w:rPr>
          <w:noProof/>
          <w:lang w:val="en-IE"/>
        </w:rPr>
      </w:pPr>
      <w:r w:rsidRPr="00795BB5">
        <w:t>5.</w:t>
      </w:r>
      <w:r w:rsidRPr="00795BB5">
        <w:tab/>
      </w:r>
      <w:r w:rsidR="00E42B62" w:rsidRPr="00E42B62">
        <w:rPr>
          <w:noProof/>
          <w:lang w:val="en-IE"/>
        </w:rPr>
        <w:t>The Commission may adopt implementing acts laying down common technical specifications and procedures to ensure interoperability</w:t>
      </w:r>
      <w:r w:rsidR="00C30203">
        <w:rPr>
          <w:noProof/>
          <w:lang w:val="en-IE"/>
        </w:rPr>
        <w:t xml:space="preserve"> of</w:t>
      </w:r>
      <w:r w:rsidR="00E42B62" w:rsidRPr="00E42B62">
        <w:rPr>
          <w:noProof/>
          <w:lang w:val="en-IE"/>
        </w:rPr>
        <w:t xml:space="preserve"> </w:t>
      </w:r>
      <w:r w:rsidR="00C30203" w:rsidRPr="00C30203">
        <w:rPr>
          <w:noProof/>
          <w:lang w:val="en-IE"/>
        </w:rPr>
        <w:t xml:space="preserve">solutions for the functioning of the Single Digital Entry Points and the </w:t>
      </w:r>
      <w:r w:rsidR="002C3A53">
        <w:rPr>
          <w:noProof/>
          <w:lang w:val="en-IE"/>
        </w:rPr>
        <w:t xml:space="preserve">seamless </w:t>
      </w:r>
      <w:r w:rsidR="00C30203" w:rsidRPr="00C30203">
        <w:rPr>
          <w:noProof/>
          <w:lang w:val="en-IE"/>
        </w:rPr>
        <w:t>exchange of data</w:t>
      </w:r>
      <w:r w:rsidR="00E42B62" w:rsidRPr="00E42B62">
        <w:rPr>
          <w:noProof/>
          <w:lang w:val="en-IE"/>
        </w:rPr>
        <w:t xml:space="preserve">, including the structure of the registration numbers. Those implementing acts shall be adopted in accordance with the advisory procedure referred to in Article </w:t>
      </w:r>
      <w:r w:rsidR="00E42B62">
        <w:rPr>
          <w:noProof/>
          <w:lang w:val="en-IE"/>
        </w:rPr>
        <w:t>1</w:t>
      </w:r>
      <w:r w:rsidR="000A67D2">
        <w:rPr>
          <w:noProof/>
          <w:lang w:val="en-IE"/>
        </w:rPr>
        <w:t>6</w:t>
      </w:r>
      <w:r w:rsidR="00E42B62">
        <w:rPr>
          <w:noProof/>
          <w:lang w:val="en-IE"/>
        </w:rPr>
        <w:t>(2)</w:t>
      </w:r>
      <w:r w:rsidR="00E42B62" w:rsidRPr="00E42B62">
        <w:rPr>
          <w:noProof/>
          <w:lang w:val="en-IE"/>
        </w:rPr>
        <w:t>.</w:t>
      </w:r>
    </w:p>
    <w:p w:rsidR="00DC0D7F" w:rsidRDefault="006E5AC2" w:rsidP="00DC0D7F">
      <w:pPr>
        <w:pStyle w:val="Titrearticle"/>
        <w:rPr>
          <w:noProof/>
          <w:lang w:val="en-IE"/>
        </w:rPr>
      </w:pPr>
      <w:r>
        <w:rPr>
          <w:noProof/>
          <w:lang w:val="en-IE"/>
        </w:rPr>
        <w:t xml:space="preserve">Article </w:t>
      </w:r>
      <w:r w:rsidR="00217F7A">
        <w:rPr>
          <w:noProof/>
          <w:lang w:val="en-IE"/>
        </w:rPr>
        <w:t>1</w:t>
      </w:r>
      <w:r w:rsidR="000A67D2">
        <w:rPr>
          <w:noProof/>
          <w:lang w:val="en-IE"/>
        </w:rPr>
        <w:t>1</w:t>
      </w:r>
    </w:p>
    <w:p w:rsidR="00FB1436" w:rsidRPr="00DC0D7F" w:rsidRDefault="006E5AC2" w:rsidP="00DC0D7F">
      <w:pPr>
        <w:pStyle w:val="NormalCentered"/>
        <w:rPr>
          <w:b/>
          <w:noProof/>
          <w:lang w:val="en-IE"/>
        </w:rPr>
      </w:pPr>
      <w:r w:rsidRPr="00DC0D7F">
        <w:rPr>
          <w:b/>
          <w:noProof/>
          <w:lang w:val="en-IE"/>
        </w:rPr>
        <w:t>Coordination of Single Digital Entry Points</w:t>
      </w:r>
      <w:r w:rsidR="00FB1436" w:rsidRPr="00DC0D7F">
        <w:rPr>
          <w:b/>
          <w:noProof/>
          <w:lang w:val="en-IE"/>
        </w:rPr>
        <w:t xml:space="preserve"> </w:t>
      </w:r>
    </w:p>
    <w:p w:rsidR="00B0764D" w:rsidRDefault="00795BB5" w:rsidP="00795BB5">
      <w:pPr>
        <w:pStyle w:val="ManualNumPar1"/>
        <w:rPr>
          <w:noProof/>
          <w:lang w:val="en-IE"/>
        </w:rPr>
      </w:pPr>
      <w:r w:rsidRPr="00795BB5">
        <w:t>1.</w:t>
      </w:r>
      <w:r w:rsidRPr="00795BB5">
        <w:tab/>
      </w:r>
      <w:r w:rsidR="00144697" w:rsidRPr="00B0764D">
        <w:rPr>
          <w:noProof/>
          <w:lang w:val="en-IE"/>
        </w:rPr>
        <w:t xml:space="preserve">Each Member State shall appoint a national coordinator. </w:t>
      </w:r>
      <w:r w:rsidR="000E3142" w:rsidRPr="00B0764D">
        <w:rPr>
          <w:noProof/>
          <w:lang w:val="en-IE"/>
        </w:rPr>
        <w:t>Th</w:t>
      </w:r>
      <w:r w:rsidR="0052796C" w:rsidRPr="00B0764D">
        <w:rPr>
          <w:noProof/>
          <w:lang w:val="en-IE"/>
        </w:rPr>
        <w:t>ose</w:t>
      </w:r>
      <w:r w:rsidR="000E3142" w:rsidRPr="00B0764D">
        <w:rPr>
          <w:noProof/>
          <w:lang w:val="en-IE"/>
        </w:rPr>
        <w:t xml:space="preserve"> national coordinators shall </w:t>
      </w:r>
      <w:r w:rsidR="00957276" w:rsidRPr="00FE537B">
        <w:rPr>
          <w:noProof/>
          <w:lang w:val="en-IE"/>
        </w:rPr>
        <w:t>act as contact point</w:t>
      </w:r>
      <w:r w:rsidR="0052796C" w:rsidRPr="00FE537B">
        <w:rPr>
          <w:noProof/>
          <w:lang w:val="en-IE"/>
        </w:rPr>
        <w:t>s</w:t>
      </w:r>
      <w:r w:rsidR="00957276" w:rsidRPr="00FE537B">
        <w:rPr>
          <w:noProof/>
          <w:lang w:val="en-IE"/>
        </w:rPr>
        <w:t xml:space="preserve"> for their respective administrations for all matters relating to the </w:t>
      </w:r>
      <w:r w:rsidR="000E3142" w:rsidRPr="00FE537B">
        <w:rPr>
          <w:noProof/>
          <w:lang w:val="en-IE"/>
        </w:rPr>
        <w:t>Single Digital Entry Point.</w:t>
      </w:r>
      <w:r w:rsidR="00ED0383" w:rsidRPr="00FE537B">
        <w:rPr>
          <w:noProof/>
          <w:lang w:val="en-IE"/>
        </w:rPr>
        <w:t xml:space="preserve"> </w:t>
      </w:r>
    </w:p>
    <w:p w:rsidR="000E3142" w:rsidRPr="00B0764D" w:rsidRDefault="00965143" w:rsidP="00A73CA7">
      <w:pPr>
        <w:pStyle w:val="Text1"/>
        <w:rPr>
          <w:noProof/>
          <w:lang w:val="en-IE"/>
        </w:rPr>
      </w:pPr>
      <w:r>
        <w:rPr>
          <w:noProof/>
          <w:lang w:val="en-IE"/>
        </w:rPr>
        <w:t xml:space="preserve">The </w:t>
      </w:r>
      <w:r w:rsidR="00957276" w:rsidRPr="00B0764D">
        <w:rPr>
          <w:noProof/>
          <w:lang w:val="en-IE"/>
        </w:rPr>
        <w:t>national coordinator for each Member State shall be responsible for contacts with the Commission in respect of all matters relating to the Single Digital Entry Point.</w:t>
      </w:r>
      <w:r w:rsidR="00ED0383" w:rsidRPr="00B0764D">
        <w:rPr>
          <w:noProof/>
          <w:lang w:val="en-IE"/>
        </w:rPr>
        <w:t xml:space="preserve"> </w:t>
      </w:r>
      <w:r w:rsidR="00957276" w:rsidRPr="00B0764D">
        <w:rPr>
          <w:noProof/>
          <w:lang w:val="en-IE"/>
        </w:rPr>
        <w:t>Each Member State shall inform the other Member States and the Commission of the name and contact details of its national coordinator.</w:t>
      </w:r>
      <w:r w:rsidR="00B0764D">
        <w:rPr>
          <w:noProof/>
          <w:lang w:val="en-IE"/>
        </w:rPr>
        <w:t xml:space="preserve"> The Commission shall keep and maintain a list of the national coordinators and their contact details.</w:t>
      </w:r>
    </w:p>
    <w:p w:rsidR="00B0764D" w:rsidRDefault="00795BB5" w:rsidP="00795BB5">
      <w:pPr>
        <w:pStyle w:val="ManualNumPar1"/>
        <w:rPr>
          <w:noProof/>
          <w:lang w:val="en-IE"/>
        </w:rPr>
      </w:pPr>
      <w:r w:rsidRPr="00795BB5">
        <w:t>2.</w:t>
      </w:r>
      <w:r w:rsidRPr="00795BB5">
        <w:tab/>
      </w:r>
      <w:r w:rsidR="00B0764D">
        <w:rPr>
          <w:noProof/>
          <w:lang w:val="en-IE"/>
        </w:rPr>
        <w:t>T</w:t>
      </w:r>
      <w:r w:rsidR="00B0764D" w:rsidRPr="000E3142">
        <w:rPr>
          <w:noProof/>
          <w:lang w:val="en-IE"/>
        </w:rPr>
        <w:t xml:space="preserve">he </w:t>
      </w:r>
      <w:r w:rsidR="00B0764D">
        <w:rPr>
          <w:noProof/>
          <w:lang w:val="en-IE"/>
        </w:rPr>
        <w:t xml:space="preserve">Single Digital Entry Points </w:t>
      </w:r>
      <w:r w:rsidR="00B0764D" w:rsidRPr="000E3142">
        <w:rPr>
          <w:noProof/>
          <w:lang w:val="en-IE"/>
        </w:rPr>
        <w:t>coordination group</w:t>
      </w:r>
      <w:r w:rsidR="00B0764D">
        <w:rPr>
          <w:noProof/>
          <w:lang w:val="en-IE"/>
        </w:rPr>
        <w:t xml:space="preserve"> (‘the coordination group</w:t>
      </w:r>
      <w:r w:rsidR="00B0764D" w:rsidRPr="000E3142">
        <w:rPr>
          <w:noProof/>
          <w:lang w:val="en-IE"/>
        </w:rPr>
        <w:t>’)</w:t>
      </w:r>
      <w:r w:rsidR="00B0764D">
        <w:rPr>
          <w:noProof/>
          <w:lang w:val="en-IE"/>
        </w:rPr>
        <w:t xml:space="preserve"> is hereby established</w:t>
      </w:r>
      <w:r w:rsidR="00B0764D" w:rsidRPr="000E3142">
        <w:rPr>
          <w:noProof/>
          <w:lang w:val="en-IE"/>
        </w:rPr>
        <w:t xml:space="preserve">. </w:t>
      </w:r>
      <w:r w:rsidR="00B0764D">
        <w:rPr>
          <w:noProof/>
          <w:lang w:val="en-IE"/>
        </w:rPr>
        <w:t>The coordination group</w:t>
      </w:r>
      <w:r w:rsidR="00B0764D" w:rsidRPr="000E3142">
        <w:rPr>
          <w:noProof/>
          <w:lang w:val="en-IE"/>
        </w:rPr>
        <w:t xml:space="preserve"> shall be composed of </w:t>
      </w:r>
      <w:r w:rsidR="00F7734F">
        <w:rPr>
          <w:noProof/>
          <w:lang w:val="en-IE"/>
        </w:rPr>
        <w:t xml:space="preserve">the </w:t>
      </w:r>
      <w:r w:rsidR="00B0764D" w:rsidRPr="000E3142">
        <w:rPr>
          <w:noProof/>
          <w:lang w:val="en-IE"/>
        </w:rPr>
        <w:t xml:space="preserve">national coordinator from each Member State and shall be chaired by the Commission. </w:t>
      </w:r>
      <w:r w:rsidR="00B0764D">
        <w:rPr>
          <w:noProof/>
          <w:lang w:val="en-IE"/>
        </w:rPr>
        <w:t xml:space="preserve">The </w:t>
      </w:r>
      <w:r w:rsidR="00B0764D" w:rsidRPr="000E3142">
        <w:rPr>
          <w:noProof/>
          <w:lang w:val="en-IE"/>
        </w:rPr>
        <w:t>coordination group</w:t>
      </w:r>
      <w:r w:rsidR="00B0764D" w:rsidRPr="000E3142" w:rsidDel="00D7738A">
        <w:rPr>
          <w:noProof/>
          <w:lang w:val="en-IE"/>
        </w:rPr>
        <w:t xml:space="preserve"> </w:t>
      </w:r>
      <w:r w:rsidR="00B0764D" w:rsidRPr="000E3142">
        <w:rPr>
          <w:noProof/>
          <w:lang w:val="en-IE"/>
        </w:rPr>
        <w:t xml:space="preserve">shall adopt its rules of procedure. The Commission shall </w:t>
      </w:r>
      <w:r w:rsidR="00F7734F">
        <w:rPr>
          <w:noProof/>
          <w:lang w:val="en-IE"/>
        </w:rPr>
        <w:t xml:space="preserve">support the functioning of the </w:t>
      </w:r>
      <w:r w:rsidR="00B0764D" w:rsidRPr="000E3142">
        <w:rPr>
          <w:noProof/>
          <w:lang w:val="en-IE"/>
        </w:rPr>
        <w:t>coordination group.</w:t>
      </w:r>
      <w:r w:rsidR="00B0764D">
        <w:rPr>
          <w:noProof/>
          <w:lang w:val="en-IE"/>
        </w:rPr>
        <w:t xml:space="preserve"> </w:t>
      </w:r>
    </w:p>
    <w:p w:rsidR="000E3142" w:rsidRPr="000E3142" w:rsidRDefault="00795BB5" w:rsidP="00795BB5">
      <w:pPr>
        <w:pStyle w:val="ManualNumPar1"/>
        <w:rPr>
          <w:noProof/>
          <w:lang w:val="en-IE"/>
        </w:rPr>
      </w:pPr>
      <w:r w:rsidRPr="00795BB5">
        <w:t>3.</w:t>
      </w:r>
      <w:r w:rsidRPr="00795BB5">
        <w:tab/>
      </w:r>
      <w:r w:rsidR="000E3142">
        <w:rPr>
          <w:noProof/>
          <w:lang w:val="en-IE"/>
        </w:rPr>
        <w:t xml:space="preserve">The coordination group </w:t>
      </w:r>
      <w:r w:rsidR="000E3142" w:rsidRPr="00FE537B">
        <w:rPr>
          <w:noProof/>
          <w:lang w:val="en-IE"/>
        </w:rPr>
        <w:t>shall support the</w:t>
      </w:r>
      <w:r w:rsidR="00624E0A">
        <w:rPr>
          <w:noProof/>
          <w:lang w:val="en-IE"/>
        </w:rPr>
        <w:t xml:space="preserve"> </w:t>
      </w:r>
      <w:r w:rsidR="000E3142" w:rsidRPr="00FE537B">
        <w:rPr>
          <w:noProof/>
          <w:lang w:val="en-IE"/>
        </w:rPr>
        <w:t>implementation</w:t>
      </w:r>
      <w:r w:rsidR="00ED0383">
        <w:rPr>
          <w:noProof/>
          <w:lang w:val="en-IE"/>
        </w:rPr>
        <w:t xml:space="preserve"> of</w:t>
      </w:r>
      <w:r w:rsidR="00624E0A">
        <w:rPr>
          <w:noProof/>
          <w:lang w:val="en-IE"/>
        </w:rPr>
        <w:t xml:space="preserve"> the provisions of this Regulation concerning</w:t>
      </w:r>
      <w:r w:rsidR="00ED0383">
        <w:rPr>
          <w:noProof/>
          <w:lang w:val="en-IE"/>
        </w:rPr>
        <w:t xml:space="preserve"> the Single Digital E</w:t>
      </w:r>
      <w:r w:rsidR="000E3142">
        <w:rPr>
          <w:noProof/>
          <w:lang w:val="en-IE"/>
        </w:rPr>
        <w:t>ntry Points. In particular</w:t>
      </w:r>
      <w:r w:rsidR="00B0764D">
        <w:rPr>
          <w:noProof/>
          <w:lang w:val="en-IE"/>
        </w:rPr>
        <w:t>, the coordination group</w:t>
      </w:r>
      <w:r w:rsidR="000E3142">
        <w:rPr>
          <w:noProof/>
          <w:lang w:val="en-IE"/>
        </w:rPr>
        <w:t xml:space="preserve"> shall</w:t>
      </w:r>
      <w:r w:rsidR="00B0764D">
        <w:rPr>
          <w:noProof/>
          <w:lang w:val="en-IE"/>
        </w:rPr>
        <w:t xml:space="preserve"> perform the following</w:t>
      </w:r>
      <w:r w:rsidR="000C020E">
        <w:rPr>
          <w:noProof/>
          <w:lang w:val="en-IE"/>
        </w:rPr>
        <w:t xml:space="preserve"> tasks</w:t>
      </w:r>
      <w:r w:rsidR="000E3142">
        <w:rPr>
          <w:noProof/>
          <w:lang w:val="en-IE"/>
        </w:rPr>
        <w:t>:</w:t>
      </w:r>
    </w:p>
    <w:p w:rsidR="000E3142" w:rsidRDefault="00795BB5" w:rsidP="00795BB5">
      <w:pPr>
        <w:pStyle w:val="Point1"/>
        <w:rPr>
          <w:noProof/>
          <w:lang w:val="en-IE"/>
        </w:rPr>
      </w:pPr>
      <w:r w:rsidRPr="00795BB5">
        <w:t>(a)</w:t>
      </w:r>
      <w:r w:rsidRPr="00795BB5">
        <w:tab/>
      </w:r>
      <w:r w:rsidR="008A5493">
        <w:rPr>
          <w:noProof/>
          <w:lang w:val="en-IE"/>
        </w:rPr>
        <w:t>f</w:t>
      </w:r>
      <w:r w:rsidR="00F7734F">
        <w:rPr>
          <w:noProof/>
          <w:lang w:val="en-IE"/>
        </w:rPr>
        <w:t xml:space="preserve">acilitate the </w:t>
      </w:r>
      <w:r w:rsidR="000E3142" w:rsidRPr="00957276">
        <w:rPr>
          <w:noProof/>
          <w:lang w:val="en-IE"/>
        </w:rPr>
        <w:t xml:space="preserve">exchange </w:t>
      </w:r>
      <w:r w:rsidR="00F7734F">
        <w:rPr>
          <w:noProof/>
          <w:lang w:val="en-IE"/>
        </w:rPr>
        <w:t xml:space="preserve">of </w:t>
      </w:r>
      <w:r w:rsidR="000E3142" w:rsidRPr="00957276">
        <w:rPr>
          <w:noProof/>
          <w:lang w:val="en-IE"/>
        </w:rPr>
        <w:t xml:space="preserve">best practices on matters related to the coordination of the implementation at </w:t>
      </w:r>
      <w:r w:rsidR="00B0764D">
        <w:rPr>
          <w:noProof/>
          <w:lang w:val="en-IE"/>
        </w:rPr>
        <w:t xml:space="preserve">national </w:t>
      </w:r>
      <w:r w:rsidR="000E3142" w:rsidRPr="00957276">
        <w:rPr>
          <w:noProof/>
          <w:lang w:val="en-IE"/>
        </w:rPr>
        <w:t>level, in particular as regards the pr</w:t>
      </w:r>
      <w:r w:rsidR="000E3142">
        <w:rPr>
          <w:noProof/>
          <w:lang w:val="en-IE"/>
        </w:rPr>
        <w:t xml:space="preserve">ovisions set out in Article </w:t>
      </w:r>
      <w:r w:rsidR="000A67D2">
        <w:rPr>
          <w:noProof/>
          <w:lang w:val="en-IE"/>
        </w:rPr>
        <w:t>10</w:t>
      </w:r>
      <w:r w:rsidR="000E3142">
        <w:rPr>
          <w:noProof/>
          <w:lang w:val="en-IE"/>
        </w:rPr>
        <w:t xml:space="preserve">; </w:t>
      </w:r>
    </w:p>
    <w:p w:rsidR="000E3142" w:rsidRDefault="00795BB5" w:rsidP="00795BB5">
      <w:pPr>
        <w:pStyle w:val="Point1"/>
        <w:rPr>
          <w:noProof/>
          <w:lang w:val="en-IE"/>
        </w:rPr>
      </w:pPr>
      <w:r w:rsidRPr="00795BB5">
        <w:t>(b)</w:t>
      </w:r>
      <w:r w:rsidRPr="00795BB5">
        <w:tab/>
      </w:r>
      <w:r w:rsidR="008A5493">
        <w:rPr>
          <w:noProof/>
          <w:lang w:val="en-IE"/>
        </w:rPr>
        <w:t xml:space="preserve">assist the Commission in </w:t>
      </w:r>
      <w:r w:rsidR="000E3142" w:rsidRPr="00957276">
        <w:rPr>
          <w:noProof/>
          <w:lang w:val="en-IE"/>
        </w:rPr>
        <w:t>promot</w:t>
      </w:r>
      <w:r w:rsidR="008A5493">
        <w:rPr>
          <w:noProof/>
          <w:lang w:val="en-IE"/>
        </w:rPr>
        <w:t>ing</w:t>
      </w:r>
      <w:r w:rsidR="000E3142" w:rsidRPr="00957276">
        <w:rPr>
          <w:noProof/>
          <w:lang w:val="en-IE"/>
        </w:rPr>
        <w:t xml:space="preserve"> the use of interoperability solutions for the </w:t>
      </w:r>
      <w:r w:rsidR="00E26A87">
        <w:rPr>
          <w:noProof/>
          <w:lang w:val="en-IE"/>
        </w:rPr>
        <w:t>functioning</w:t>
      </w:r>
      <w:r w:rsidR="000E3142" w:rsidRPr="00957276">
        <w:rPr>
          <w:noProof/>
          <w:lang w:val="en-IE"/>
        </w:rPr>
        <w:t xml:space="preserve"> of the Single Digital Entry Points and </w:t>
      </w:r>
      <w:r w:rsidR="000E3142">
        <w:rPr>
          <w:noProof/>
          <w:lang w:val="en-IE"/>
        </w:rPr>
        <w:t>the exchange of data;</w:t>
      </w:r>
    </w:p>
    <w:p w:rsidR="000E3142" w:rsidRDefault="00795BB5" w:rsidP="00795BB5">
      <w:pPr>
        <w:pStyle w:val="Point1"/>
        <w:rPr>
          <w:noProof/>
          <w:lang w:val="en-IE"/>
        </w:rPr>
      </w:pPr>
      <w:r w:rsidRPr="00795BB5">
        <w:t>(c)</w:t>
      </w:r>
      <w:r w:rsidRPr="00795BB5">
        <w:tab/>
      </w:r>
      <w:r w:rsidR="008A5493">
        <w:rPr>
          <w:noProof/>
          <w:lang w:val="en-IE"/>
        </w:rPr>
        <w:t xml:space="preserve">assist the Commission in developing a common approach to </w:t>
      </w:r>
      <w:r w:rsidR="000E3142" w:rsidRPr="00957276">
        <w:rPr>
          <w:noProof/>
          <w:lang w:val="en-IE"/>
        </w:rPr>
        <w:t>message format for the transmission of activity data and registration numbers and a common structure of the registration numbers</w:t>
      </w:r>
      <w:r w:rsidR="000E3142">
        <w:rPr>
          <w:noProof/>
          <w:lang w:val="en-IE"/>
        </w:rPr>
        <w:t>.</w:t>
      </w:r>
    </w:p>
    <w:p w:rsidR="00AA16EF" w:rsidRPr="00712224" w:rsidRDefault="00AA16EF" w:rsidP="00712224">
      <w:pPr>
        <w:pStyle w:val="Titrearticle"/>
        <w:rPr>
          <w:noProof/>
          <w:lang w:val="en-IE"/>
        </w:rPr>
      </w:pPr>
      <w:r w:rsidRPr="005F5C60">
        <w:rPr>
          <w:noProof/>
          <w:lang w:val="en-IE"/>
        </w:rPr>
        <w:t>A</w:t>
      </w:r>
      <w:r>
        <w:rPr>
          <w:noProof/>
          <w:lang w:val="en-IE"/>
        </w:rPr>
        <w:t xml:space="preserve">rticle </w:t>
      </w:r>
      <w:r w:rsidR="00C80E41">
        <w:rPr>
          <w:noProof/>
          <w:lang w:val="en-IE"/>
        </w:rPr>
        <w:t>1</w:t>
      </w:r>
      <w:r w:rsidR="000A67D2">
        <w:rPr>
          <w:noProof/>
          <w:lang w:val="en-IE"/>
        </w:rPr>
        <w:t>2</w:t>
      </w:r>
    </w:p>
    <w:p w:rsidR="00AA16EF" w:rsidRPr="005F5C60" w:rsidRDefault="00AA16EF" w:rsidP="00EB4738">
      <w:pPr>
        <w:pStyle w:val="NormalCentered"/>
        <w:rPr>
          <w:b/>
          <w:noProof/>
          <w:lang w:val="en-IE"/>
        </w:rPr>
      </w:pPr>
      <w:r>
        <w:rPr>
          <w:b/>
          <w:noProof/>
          <w:lang w:val="en-IE"/>
        </w:rPr>
        <w:t>Access to data</w:t>
      </w:r>
    </w:p>
    <w:p w:rsidR="001C67F0" w:rsidRPr="00F55A39" w:rsidRDefault="00795BB5" w:rsidP="00795BB5">
      <w:pPr>
        <w:pStyle w:val="ManualNumPar1"/>
        <w:rPr>
          <w:noProof/>
          <w:lang w:val="en-IE"/>
        </w:rPr>
      </w:pPr>
      <w:r w:rsidRPr="00795BB5">
        <w:t>1.</w:t>
      </w:r>
      <w:r w:rsidRPr="00795BB5">
        <w:tab/>
      </w:r>
      <w:r w:rsidR="001C67F0" w:rsidRPr="00F55A39">
        <w:rPr>
          <w:noProof/>
          <w:lang w:val="en-IE"/>
        </w:rPr>
        <w:t xml:space="preserve">Member States shall </w:t>
      </w:r>
      <w:r w:rsidR="00E97324">
        <w:rPr>
          <w:noProof/>
          <w:lang w:val="en-IE"/>
        </w:rPr>
        <w:t xml:space="preserve">establish a </w:t>
      </w:r>
      <w:r w:rsidR="007B6734">
        <w:rPr>
          <w:noProof/>
          <w:lang w:val="en-IE"/>
        </w:rPr>
        <w:t xml:space="preserve">list </w:t>
      </w:r>
      <w:r w:rsidR="00E97324">
        <w:rPr>
          <w:noProof/>
          <w:lang w:val="en-IE"/>
        </w:rPr>
        <w:t xml:space="preserve">of </w:t>
      </w:r>
      <w:r w:rsidR="001C67F0" w:rsidRPr="00F55A39">
        <w:rPr>
          <w:noProof/>
          <w:lang w:val="en-IE"/>
        </w:rPr>
        <w:t xml:space="preserve">the </w:t>
      </w:r>
      <w:r w:rsidR="00162C64">
        <w:rPr>
          <w:noProof/>
          <w:lang w:val="en-IE"/>
        </w:rPr>
        <w:t xml:space="preserve">competent </w:t>
      </w:r>
      <w:r w:rsidR="001C67F0" w:rsidRPr="00F55A39">
        <w:rPr>
          <w:noProof/>
          <w:lang w:val="en-IE"/>
        </w:rPr>
        <w:t xml:space="preserve">authorities </w:t>
      </w:r>
      <w:r w:rsidR="00E97324">
        <w:rPr>
          <w:noProof/>
          <w:lang w:val="en-IE"/>
        </w:rPr>
        <w:t xml:space="preserve">responsible for areas where </w:t>
      </w:r>
      <w:r w:rsidR="00D83562">
        <w:rPr>
          <w:noProof/>
          <w:lang w:val="en-IE"/>
        </w:rPr>
        <w:t>a registration procedure</w:t>
      </w:r>
      <w:r w:rsidR="001C67F0" w:rsidRPr="00F55A39">
        <w:rPr>
          <w:noProof/>
          <w:lang w:val="en-IE"/>
        </w:rPr>
        <w:t xml:space="preserve"> </w:t>
      </w:r>
      <w:r w:rsidR="004F17B6">
        <w:rPr>
          <w:noProof/>
          <w:lang w:val="en-IE"/>
        </w:rPr>
        <w:t xml:space="preserve">applies </w:t>
      </w:r>
      <w:r w:rsidR="00487BB4">
        <w:rPr>
          <w:noProof/>
          <w:lang w:val="en-IE"/>
        </w:rPr>
        <w:t xml:space="preserve">pursuant </w:t>
      </w:r>
      <w:r w:rsidR="001C67F0" w:rsidRPr="00F55A39">
        <w:rPr>
          <w:noProof/>
          <w:lang w:val="en-IE"/>
        </w:rPr>
        <w:t xml:space="preserve">to </w:t>
      </w:r>
      <w:r w:rsidR="00772D4A">
        <w:rPr>
          <w:noProof/>
          <w:lang w:val="en-IE"/>
        </w:rPr>
        <w:t>Article</w:t>
      </w:r>
      <w:r w:rsidR="00D83562">
        <w:rPr>
          <w:noProof/>
          <w:lang w:val="en-IE"/>
        </w:rPr>
        <w:t xml:space="preserve"> </w:t>
      </w:r>
      <w:r w:rsidR="000A67D2">
        <w:rPr>
          <w:noProof/>
          <w:lang w:val="en-IE"/>
        </w:rPr>
        <w:t>8</w:t>
      </w:r>
      <w:r w:rsidR="001C67F0" w:rsidRPr="00F55A39">
        <w:rPr>
          <w:noProof/>
          <w:lang w:val="en-IE"/>
        </w:rPr>
        <w:t>.</w:t>
      </w:r>
      <w:r w:rsidR="00E97324">
        <w:rPr>
          <w:noProof/>
          <w:lang w:val="en-IE"/>
        </w:rPr>
        <w:t xml:space="preserve"> </w:t>
      </w:r>
    </w:p>
    <w:p w:rsidR="00AA16EF" w:rsidRPr="00126DF1" w:rsidRDefault="00795BB5" w:rsidP="00795BB5">
      <w:pPr>
        <w:pStyle w:val="ManualNumPar1"/>
        <w:rPr>
          <w:noProof/>
          <w:lang w:val="en-IE"/>
        </w:rPr>
      </w:pPr>
      <w:r w:rsidRPr="00795BB5">
        <w:t>2.</w:t>
      </w:r>
      <w:r w:rsidRPr="00795BB5">
        <w:tab/>
      </w:r>
      <w:r w:rsidR="00B0764D" w:rsidRPr="00126DF1">
        <w:rPr>
          <w:noProof/>
          <w:lang w:val="en-IE"/>
        </w:rPr>
        <w:t>A</w:t>
      </w:r>
      <w:r w:rsidR="00AA16EF" w:rsidRPr="00126DF1">
        <w:rPr>
          <w:noProof/>
          <w:lang w:val="en-IE"/>
        </w:rPr>
        <w:t xml:space="preserve">ccess to </w:t>
      </w:r>
      <w:r w:rsidR="00760D6F" w:rsidRPr="00126DF1">
        <w:rPr>
          <w:noProof/>
          <w:lang w:val="en-IE"/>
        </w:rPr>
        <w:t xml:space="preserve">the information </w:t>
      </w:r>
      <w:r w:rsidR="00AA16EF" w:rsidRPr="00126DF1">
        <w:rPr>
          <w:noProof/>
          <w:lang w:val="en-IE"/>
        </w:rPr>
        <w:t xml:space="preserve">transmitted </w:t>
      </w:r>
      <w:r w:rsidR="00487BB4" w:rsidRPr="00126DF1">
        <w:rPr>
          <w:noProof/>
          <w:lang w:val="en-IE"/>
        </w:rPr>
        <w:t xml:space="preserve">pursuant to </w:t>
      </w:r>
      <w:r w:rsidR="00AA16EF" w:rsidRPr="00126DF1">
        <w:rPr>
          <w:noProof/>
          <w:lang w:val="en-IE"/>
        </w:rPr>
        <w:t xml:space="preserve">Article </w:t>
      </w:r>
      <w:r w:rsidR="000A67D2" w:rsidRPr="00126DF1">
        <w:rPr>
          <w:noProof/>
          <w:lang w:val="en-IE"/>
        </w:rPr>
        <w:t>9</w:t>
      </w:r>
      <w:r w:rsidR="00AA16EF" w:rsidRPr="00126DF1">
        <w:rPr>
          <w:noProof/>
          <w:lang w:val="en-IE"/>
        </w:rPr>
        <w:t xml:space="preserve"> shall be granted</w:t>
      </w:r>
      <w:r w:rsidR="00FE538C" w:rsidRPr="00126DF1">
        <w:rPr>
          <w:noProof/>
          <w:lang w:val="en-IE"/>
        </w:rPr>
        <w:t xml:space="preserve"> </w:t>
      </w:r>
      <w:r w:rsidR="000C020E">
        <w:rPr>
          <w:noProof/>
          <w:lang w:val="en-IE"/>
        </w:rPr>
        <w:t xml:space="preserve">to the competent authority </w:t>
      </w:r>
      <w:r w:rsidR="00FE538C" w:rsidRPr="00126DF1">
        <w:rPr>
          <w:noProof/>
          <w:lang w:val="en-IE"/>
        </w:rPr>
        <w:t>only</w:t>
      </w:r>
      <w:r w:rsidR="00AA16EF" w:rsidRPr="00126DF1">
        <w:rPr>
          <w:noProof/>
          <w:lang w:val="en-IE"/>
        </w:rPr>
        <w:t xml:space="preserve"> where the intended purpose of </w:t>
      </w:r>
      <w:r w:rsidR="002224FB" w:rsidRPr="00126DF1">
        <w:rPr>
          <w:noProof/>
          <w:lang w:val="en-IE"/>
        </w:rPr>
        <w:t xml:space="preserve">the </w:t>
      </w:r>
      <w:r w:rsidR="00AA16EF" w:rsidRPr="00126DF1">
        <w:rPr>
          <w:noProof/>
          <w:lang w:val="en-IE"/>
        </w:rPr>
        <w:t xml:space="preserve">processing </w:t>
      </w:r>
      <w:r w:rsidR="0041615D" w:rsidRPr="00126DF1">
        <w:rPr>
          <w:noProof/>
        </w:rPr>
        <w:t xml:space="preserve">is </w:t>
      </w:r>
      <w:r w:rsidR="00AA16EF" w:rsidRPr="00126DF1">
        <w:rPr>
          <w:noProof/>
          <w:lang w:val="en-IE"/>
        </w:rPr>
        <w:t>one of the following:</w:t>
      </w:r>
    </w:p>
    <w:p w:rsidR="00D400FD" w:rsidRPr="00126DF1" w:rsidRDefault="00795BB5" w:rsidP="00795BB5">
      <w:pPr>
        <w:pStyle w:val="Point1"/>
        <w:rPr>
          <w:noProof/>
        </w:rPr>
      </w:pPr>
      <w:r w:rsidRPr="00795BB5">
        <w:t>(a)</w:t>
      </w:r>
      <w:r w:rsidRPr="00795BB5">
        <w:tab/>
      </w:r>
      <w:r w:rsidR="00AA16EF" w:rsidRPr="00126DF1">
        <w:rPr>
          <w:noProof/>
        </w:rPr>
        <w:t xml:space="preserve">monitoring compliance with </w:t>
      </w:r>
      <w:r w:rsidR="00487BB4" w:rsidRPr="00126DF1">
        <w:rPr>
          <w:noProof/>
        </w:rPr>
        <w:t xml:space="preserve">the </w:t>
      </w:r>
      <w:r w:rsidR="00AA16EF" w:rsidRPr="00126DF1">
        <w:rPr>
          <w:noProof/>
        </w:rPr>
        <w:t>registration pro</w:t>
      </w:r>
      <w:r w:rsidR="00D400FD" w:rsidRPr="00126DF1">
        <w:rPr>
          <w:noProof/>
        </w:rPr>
        <w:t>cedure</w:t>
      </w:r>
      <w:r w:rsidR="00894B4D" w:rsidRPr="00126DF1">
        <w:rPr>
          <w:noProof/>
        </w:rPr>
        <w:t>s</w:t>
      </w:r>
      <w:r w:rsidR="00D400FD" w:rsidRPr="00126DF1">
        <w:rPr>
          <w:noProof/>
        </w:rPr>
        <w:t xml:space="preserve"> referred to in Article</w:t>
      </w:r>
      <w:r w:rsidR="00FF4200" w:rsidRPr="00126DF1">
        <w:rPr>
          <w:noProof/>
        </w:rPr>
        <w:t xml:space="preserve"> </w:t>
      </w:r>
      <w:r w:rsidR="000A67D2" w:rsidRPr="00126DF1">
        <w:rPr>
          <w:noProof/>
        </w:rPr>
        <w:t>8</w:t>
      </w:r>
      <w:r w:rsidR="00635CC3" w:rsidRPr="00126DF1">
        <w:rPr>
          <w:noProof/>
        </w:rPr>
        <w:t>;</w:t>
      </w:r>
    </w:p>
    <w:p w:rsidR="006D799B" w:rsidRPr="00126DF1" w:rsidRDefault="00795BB5" w:rsidP="00795BB5">
      <w:pPr>
        <w:pStyle w:val="Point1"/>
        <w:rPr>
          <w:noProof/>
        </w:rPr>
      </w:pPr>
      <w:r w:rsidRPr="00795BB5">
        <w:t>(b)</w:t>
      </w:r>
      <w:r w:rsidRPr="00795BB5">
        <w:tab/>
      </w:r>
      <w:r w:rsidR="00965143" w:rsidRPr="00883F79">
        <w:rPr>
          <w:noProof/>
        </w:rPr>
        <w:t xml:space="preserve">implementing </w:t>
      </w:r>
      <w:r w:rsidR="00883F79" w:rsidRPr="00883F79">
        <w:rPr>
          <w:noProof/>
        </w:rPr>
        <w:t xml:space="preserve">rules governing the access to and </w:t>
      </w:r>
      <w:r w:rsidR="00883F79">
        <w:rPr>
          <w:noProof/>
        </w:rPr>
        <w:t xml:space="preserve">the </w:t>
      </w:r>
      <w:r w:rsidR="00883F79" w:rsidRPr="00883F79">
        <w:rPr>
          <w:noProof/>
        </w:rPr>
        <w:t>provision of short-term accommodation rental services, provided that those rules are non-discriminatory, proportionate and comply with Union law</w:t>
      </w:r>
      <w:r w:rsidR="003511C4">
        <w:rPr>
          <w:noProof/>
        </w:rPr>
        <w:t>.</w:t>
      </w:r>
    </w:p>
    <w:p w:rsidR="00BF6965" w:rsidRDefault="00795BB5" w:rsidP="00795BB5">
      <w:pPr>
        <w:pStyle w:val="ManualNumPar1"/>
        <w:rPr>
          <w:noProof/>
        </w:rPr>
      </w:pPr>
      <w:r w:rsidRPr="00795BB5">
        <w:t>3.</w:t>
      </w:r>
      <w:r w:rsidRPr="00795BB5">
        <w:tab/>
      </w:r>
      <w:r w:rsidR="00B0764D">
        <w:rPr>
          <w:noProof/>
        </w:rPr>
        <w:t>Competent a</w:t>
      </w:r>
      <w:r w:rsidR="00671855" w:rsidRPr="00BF4FFB">
        <w:rPr>
          <w:noProof/>
        </w:rPr>
        <w:t xml:space="preserve">uthorities </w:t>
      </w:r>
      <w:r w:rsidR="007B6734" w:rsidRPr="00BF4FFB">
        <w:rPr>
          <w:noProof/>
        </w:rPr>
        <w:t>listed</w:t>
      </w:r>
      <w:r w:rsidR="007B6734">
        <w:rPr>
          <w:noProof/>
        </w:rPr>
        <w:t xml:space="preserve"> </w:t>
      </w:r>
      <w:r w:rsidR="00671855">
        <w:rPr>
          <w:noProof/>
        </w:rPr>
        <w:t>pursuant</w:t>
      </w:r>
      <w:r w:rsidR="00890E29">
        <w:rPr>
          <w:noProof/>
        </w:rPr>
        <w:t xml:space="preserve"> to</w:t>
      </w:r>
      <w:r w:rsidR="00671855">
        <w:rPr>
          <w:noProof/>
        </w:rPr>
        <w:t xml:space="preserve"> paragraph 1 shall </w:t>
      </w:r>
      <w:r w:rsidR="00671855" w:rsidRPr="00234285">
        <w:rPr>
          <w:noProof/>
          <w:lang w:val="en-IE"/>
        </w:rPr>
        <w:t>retain activity data in a secure and confidential manner</w:t>
      </w:r>
      <w:r w:rsidR="00671855">
        <w:rPr>
          <w:noProof/>
        </w:rPr>
        <w:t xml:space="preserve"> as long as necessary for th</w:t>
      </w:r>
      <w:r w:rsidR="00890E29">
        <w:rPr>
          <w:noProof/>
        </w:rPr>
        <w:t>e</w:t>
      </w:r>
      <w:r w:rsidR="00671855">
        <w:rPr>
          <w:noProof/>
        </w:rPr>
        <w:t xml:space="preserve"> purposes referred to </w:t>
      </w:r>
      <w:r w:rsidR="002224FB">
        <w:rPr>
          <w:noProof/>
        </w:rPr>
        <w:t xml:space="preserve">in </w:t>
      </w:r>
      <w:r w:rsidR="00C37522">
        <w:rPr>
          <w:noProof/>
        </w:rPr>
        <w:t xml:space="preserve">paragraph 2 and no longer than </w:t>
      </w:r>
      <w:r w:rsidR="00EE551D">
        <w:rPr>
          <w:noProof/>
        </w:rPr>
        <w:t>1</w:t>
      </w:r>
      <w:r w:rsidR="00671855">
        <w:rPr>
          <w:noProof/>
        </w:rPr>
        <w:t xml:space="preserve"> year after their receip</w:t>
      </w:r>
      <w:r w:rsidR="00C37522">
        <w:rPr>
          <w:noProof/>
        </w:rPr>
        <w:t>t. Th</w:t>
      </w:r>
      <w:r w:rsidR="002224FB">
        <w:rPr>
          <w:noProof/>
        </w:rPr>
        <w:t>ose</w:t>
      </w:r>
      <w:r w:rsidR="00C37522">
        <w:rPr>
          <w:noProof/>
        </w:rPr>
        <w:t xml:space="preserve"> </w:t>
      </w:r>
      <w:r w:rsidR="00B0764D">
        <w:rPr>
          <w:noProof/>
        </w:rPr>
        <w:t xml:space="preserve">competent </w:t>
      </w:r>
      <w:r w:rsidR="00671855">
        <w:rPr>
          <w:noProof/>
        </w:rPr>
        <w:t>authorities</w:t>
      </w:r>
      <w:r w:rsidR="000279D5">
        <w:rPr>
          <w:noProof/>
        </w:rPr>
        <w:t xml:space="preserve"> </w:t>
      </w:r>
      <w:r w:rsidR="000279D5" w:rsidRPr="00FE537B">
        <w:rPr>
          <w:noProof/>
        </w:rPr>
        <w:t>may</w:t>
      </w:r>
      <w:r w:rsidR="00234285">
        <w:rPr>
          <w:noProof/>
        </w:rPr>
        <w:t>,</w:t>
      </w:r>
      <w:r w:rsidR="00671855">
        <w:rPr>
          <w:noProof/>
        </w:rPr>
        <w:t xml:space="preserve"> </w:t>
      </w:r>
      <w:r w:rsidR="00234285">
        <w:rPr>
          <w:noProof/>
        </w:rPr>
        <w:t>in accordance with the laws of the Member State, share activity data</w:t>
      </w:r>
      <w:r w:rsidR="00D02D0F">
        <w:rPr>
          <w:noProof/>
        </w:rPr>
        <w:t xml:space="preserve"> without</w:t>
      </w:r>
      <w:r w:rsidR="00234285">
        <w:rPr>
          <w:noProof/>
        </w:rPr>
        <w:t xml:space="preserve"> </w:t>
      </w:r>
      <w:r w:rsidR="00D02D0F">
        <w:rPr>
          <w:noProof/>
        </w:rPr>
        <w:t xml:space="preserve">any </w:t>
      </w:r>
      <w:r w:rsidR="00234285" w:rsidRPr="00234285">
        <w:rPr>
          <w:noProof/>
        </w:rPr>
        <w:t>data that c</w:t>
      </w:r>
      <w:r w:rsidR="00B0764D">
        <w:rPr>
          <w:noProof/>
        </w:rPr>
        <w:t>an</w:t>
      </w:r>
      <w:r w:rsidR="00234285" w:rsidRPr="00234285">
        <w:rPr>
          <w:noProof/>
        </w:rPr>
        <w:t xml:space="preserve"> </w:t>
      </w:r>
      <w:r w:rsidR="00B0764D">
        <w:rPr>
          <w:noProof/>
        </w:rPr>
        <w:t xml:space="preserve">identify </w:t>
      </w:r>
      <w:r w:rsidR="00234285" w:rsidRPr="00234285">
        <w:rPr>
          <w:noProof/>
        </w:rPr>
        <w:t>individual units or hosts, including registration numbers and URLs</w:t>
      </w:r>
      <w:r w:rsidR="00BF6965">
        <w:rPr>
          <w:noProof/>
        </w:rPr>
        <w:t xml:space="preserve">, </w:t>
      </w:r>
      <w:r w:rsidR="00D96667">
        <w:rPr>
          <w:noProof/>
        </w:rPr>
        <w:t xml:space="preserve">in particular </w:t>
      </w:r>
      <w:r w:rsidR="00BF6965">
        <w:rPr>
          <w:noProof/>
        </w:rPr>
        <w:t>with</w:t>
      </w:r>
      <w:r w:rsidR="00B0764D">
        <w:rPr>
          <w:noProof/>
        </w:rPr>
        <w:t xml:space="preserve"> the following</w:t>
      </w:r>
      <w:r w:rsidR="00BF6965">
        <w:rPr>
          <w:noProof/>
        </w:rPr>
        <w:t>:</w:t>
      </w:r>
    </w:p>
    <w:p w:rsidR="00BF6965" w:rsidRDefault="00795BB5" w:rsidP="00795BB5">
      <w:pPr>
        <w:pStyle w:val="Point1"/>
        <w:rPr>
          <w:noProof/>
        </w:rPr>
      </w:pPr>
      <w:r w:rsidRPr="00795BB5">
        <w:t>(a)</w:t>
      </w:r>
      <w:r w:rsidRPr="00795BB5">
        <w:tab/>
      </w:r>
      <w:r w:rsidR="00234285" w:rsidRPr="00234285">
        <w:rPr>
          <w:noProof/>
        </w:rPr>
        <w:t>authorities tasked with developing laws, regulations or administrative provisions concerning access to and provision of short-term accommodation rental services</w:t>
      </w:r>
      <w:r w:rsidR="00BF6965">
        <w:rPr>
          <w:noProof/>
        </w:rPr>
        <w:t>;</w:t>
      </w:r>
    </w:p>
    <w:p w:rsidR="00596512" w:rsidRDefault="00795BB5" w:rsidP="00795BB5">
      <w:pPr>
        <w:pStyle w:val="Point1"/>
        <w:rPr>
          <w:noProof/>
        </w:rPr>
      </w:pPr>
      <w:r w:rsidRPr="00795BB5">
        <w:t>(b)</w:t>
      </w:r>
      <w:r w:rsidRPr="00795BB5">
        <w:tab/>
      </w:r>
      <w:r w:rsidR="00705F36">
        <w:rPr>
          <w:noProof/>
        </w:rPr>
        <w:t xml:space="preserve">entities or persons </w:t>
      </w:r>
      <w:r w:rsidR="008A5493">
        <w:rPr>
          <w:noProof/>
        </w:rPr>
        <w:t>carrying out scientific research, analytical activities or develop</w:t>
      </w:r>
      <w:r w:rsidR="00A02DF6">
        <w:rPr>
          <w:noProof/>
        </w:rPr>
        <w:t>ing</w:t>
      </w:r>
      <w:r w:rsidR="008A5493">
        <w:rPr>
          <w:noProof/>
        </w:rPr>
        <w:t xml:space="preserve"> new business models, </w:t>
      </w:r>
      <w:r w:rsidR="00705F36">
        <w:rPr>
          <w:noProof/>
        </w:rPr>
        <w:t>whe</w:t>
      </w:r>
      <w:r w:rsidR="002028D3">
        <w:rPr>
          <w:noProof/>
        </w:rPr>
        <w:t>re</w:t>
      </w:r>
      <w:r w:rsidR="00705F36">
        <w:rPr>
          <w:noProof/>
        </w:rPr>
        <w:t xml:space="preserve"> this is </w:t>
      </w:r>
      <w:r w:rsidR="002028D3">
        <w:rPr>
          <w:noProof/>
        </w:rPr>
        <w:t>necessary for the purpose of</w:t>
      </w:r>
      <w:r w:rsidR="008A5493">
        <w:rPr>
          <w:noProof/>
        </w:rPr>
        <w:t xml:space="preserve"> those activities</w:t>
      </w:r>
      <w:r w:rsidR="00D96667">
        <w:rPr>
          <w:noProof/>
        </w:rPr>
        <w:t>.</w:t>
      </w:r>
    </w:p>
    <w:p w:rsidR="00167733" w:rsidRDefault="00795BB5" w:rsidP="00795BB5">
      <w:pPr>
        <w:pStyle w:val="ManualNumPar1"/>
        <w:rPr>
          <w:noProof/>
          <w:lang w:val="en-US"/>
        </w:rPr>
      </w:pPr>
      <w:r w:rsidRPr="00795BB5">
        <w:t>4.</w:t>
      </w:r>
      <w:r w:rsidRPr="00795BB5">
        <w:tab/>
      </w:r>
      <w:r w:rsidR="00D02D0F">
        <w:rPr>
          <w:noProof/>
        </w:rPr>
        <w:t xml:space="preserve">Member States shall aggregate </w:t>
      </w:r>
      <w:r w:rsidR="00901015">
        <w:rPr>
          <w:noProof/>
        </w:rPr>
        <w:t xml:space="preserve">the activity data </w:t>
      </w:r>
      <w:r w:rsidR="002028D3">
        <w:rPr>
          <w:noProof/>
        </w:rPr>
        <w:t xml:space="preserve">obtained </w:t>
      </w:r>
      <w:r w:rsidR="00E025F4">
        <w:rPr>
          <w:noProof/>
        </w:rPr>
        <w:t xml:space="preserve">pursuant to Article </w:t>
      </w:r>
      <w:r w:rsidR="00BF4FFB">
        <w:rPr>
          <w:noProof/>
        </w:rPr>
        <w:t>9</w:t>
      </w:r>
      <w:r w:rsidR="00E025F4">
        <w:rPr>
          <w:noProof/>
        </w:rPr>
        <w:t xml:space="preserve"> </w:t>
      </w:r>
      <w:r w:rsidR="002028D3">
        <w:rPr>
          <w:noProof/>
        </w:rPr>
        <w:t xml:space="preserve">and transmit it </w:t>
      </w:r>
      <w:r w:rsidR="00901015">
        <w:rPr>
          <w:noProof/>
        </w:rPr>
        <w:t>on a</w:t>
      </w:r>
      <w:r w:rsidR="00162C64">
        <w:rPr>
          <w:noProof/>
        </w:rPr>
        <w:t xml:space="preserve"> </w:t>
      </w:r>
      <w:r w:rsidR="002028D3">
        <w:rPr>
          <w:noProof/>
        </w:rPr>
        <w:t>monthly</w:t>
      </w:r>
      <w:r w:rsidR="00901015">
        <w:rPr>
          <w:noProof/>
        </w:rPr>
        <w:t xml:space="preserve"> basis </w:t>
      </w:r>
      <w:r w:rsidR="00E025F4">
        <w:rPr>
          <w:noProof/>
        </w:rPr>
        <w:t xml:space="preserve">to </w:t>
      </w:r>
      <w:r w:rsidR="00BD1B4B">
        <w:rPr>
          <w:noProof/>
        </w:rPr>
        <w:t xml:space="preserve">national statistical </w:t>
      </w:r>
      <w:r w:rsidR="008D3964">
        <w:rPr>
          <w:noProof/>
        </w:rPr>
        <w:t>offices</w:t>
      </w:r>
      <w:r w:rsidR="00BD1B4B">
        <w:rPr>
          <w:noProof/>
        </w:rPr>
        <w:t xml:space="preserve"> and</w:t>
      </w:r>
      <w:r w:rsidR="00E025F4">
        <w:rPr>
          <w:noProof/>
        </w:rPr>
        <w:t xml:space="preserve"> Eurostat for the purposes of compiling statistics in accordance with Regulation (EC) No 223/2009</w:t>
      </w:r>
      <w:r w:rsidR="003A75B6">
        <w:rPr>
          <w:noProof/>
        </w:rPr>
        <w:t xml:space="preserve"> </w:t>
      </w:r>
      <w:r w:rsidR="003A75B6" w:rsidRPr="003A75B6">
        <w:rPr>
          <w:noProof/>
        </w:rPr>
        <w:t>of the European Parliament and of the Council</w:t>
      </w:r>
      <w:r w:rsidR="006C2742" w:rsidRPr="003A75B6">
        <w:rPr>
          <w:rStyle w:val="FootnoteReference"/>
          <w:noProof/>
        </w:rPr>
        <w:footnoteReference w:id="44"/>
      </w:r>
      <w:r w:rsidR="00E025F4" w:rsidRPr="003A75B6">
        <w:rPr>
          <w:noProof/>
          <w:lang w:val="en-US"/>
        </w:rPr>
        <w:t xml:space="preserve">. </w:t>
      </w:r>
      <w:r w:rsidR="00E62FA3">
        <w:rPr>
          <w:noProof/>
          <w:lang w:val="en-US"/>
        </w:rPr>
        <w:t>Activity d</w:t>
      </w:r>
      <w:r w:rsidR="00E025F4" w:rsidRPr="003A75B6">
        <w:rPr>
          <w:noProof/>
          <w:lang w:val="en-US"/>
        </w:rPr>
        <w:t>ata shall be aggregated at national, regional and municipal level</w:t>
      </w:r>
      <w:r w:rsidR="00B95C80">
        <w:rPr>
          <w:noProof/>
          <w:lang w:val="en-US"/>
        </w:rPr>
        <w:t xml:space="preserve">, </w:t>
      </w:r>
      <w:r w:rsidR="00B95C80" w:rsidRPr="0024751C">
        <w:rPr>
          <w:noProof/>
        </w:rPr>
        <w:t>and shall include information on the total number of units and on the maximum number of guests that the unit</w:t>
      </w:r>
      <w:r w:rsidR="00B95C80">
        <w:rPr>
          <w:noProof/>
        </w:rPr>
        <w:t xml:space="preserve"> can accommodate</w:t>
      </w:r>
      <w:r w:rsidR="00B95C80" w:rsidRPr="00EE3749">
        <w:rPr>
          <w:noProof/>
        </w:rPr>
        <w:t xml:space="preserve"> in each geographical subdivision. Th</w:t>
      </w:r>
      <w:r w:rsidR="00601F9F">
        <w:rPr>
          <w:noProof/>
        </w:rPr>
        <w:t>ose</w:t>
      </w:r>
      <w:r w:rsidR="00B95C80" w:rsidRPr="00EE3749">
        <w:rPr>
          <w:noProof/>
        </w:rPr>
        <w:t xml:space="preserve"> data shall be broken down by the type of unit as described in Article 5(1)</w:t>
      </w:r>
      <w:r w:rsidR="00B0764D">
        <w:rPr>
          <w:noProof/>
        </w:rPr>
        <w:t xml:space="preserve">, point </w:t>
      </w:r>
      <w:r w:rsidR="00B95C80" w:rsidRPr="00EE3749">
        <w:rPr>
          <w:noProof/>
        </w:rPr>
        <w:t>(</w:t>
      </w:r>
      <w:r w:rsidR="00120FD1">
        <w:rPr>
          <w:noProof/>
        </w:rPr>
        <w:t>a</w:t>
      </w:r>
      <w:r w:rsidR="00B95C80" w:rsidRPr="00EE3749">
        <w:rPr>
          <w:noProof/>
        </w:rPr>
        <w:t>)</w:t>
      </w:r>
      <w:r w:rsidR="00361BDE">
        <w:rPr>
          <w:noProof/>
        </w:rPr>
        <w:t>,</w:t>
      </w:r>
      <w:r w:rsidR="00B0764D">
        <w:rPr>
          <w:noProof/>
        </w:rPr>
        <w:t xml:space="preserve"> of this Regulation</w:t>
      </w:r>
      <w:r w:rsidR="00E025F4" w:rsidRPr="003A75B6">
        <w:rPr>
          <w:noProof/>
          <w:lang w:val="en-US"/>
        </w:rPr>
        <w:t>. Member States shall designate the national entity responsible for aggregating</w:t>
      </w:r>
      <w:r w:rsidR="00B0764D">
        <w:rPr>
          <w:noProof/>
          <w:lang w:val="en-US"/>
        </w:rPr>
        <w:t xml:space="preserve"> activity</w:t>
      </w:r>
      <w:r w:rsidR="00E025F4" w:rsidRPr="003A75B6">
        <w:rPr>
          <w:noProof/>
          <w:lang w:val="en-US"/>
        </w:rPr>
        <w:t xml:space="preserve"> data and transmitting it to </w:t>
      </w:r>
      <w:r w:rsidR="000C020E">
        <w:rPr>
          <w:noProof/>
          <w:lang w:val="en-US"/>
        </w:rPr>
        <w:t xml:space="preserve">national statistical offices and </w:t>
      </w:r>
      <w:r w:rsidR="00E025F4" w:rsidRPr="003A75B6">
        <w:rPr>
          <w:noProof/>
          <w:lang w:val="en-US"/>
        </w:rPr>
        <w:t>Eurostat.</w:t>
      </w:r>
    </w:p>
    <w:p w:rsidR="00840180" w:rsidRPr="00840180" w:rsidRDefault="00840180" w:rsidP="00840180">
      <w:pPr>
        <w:rPr>
          <w:noProof/>
          <w:lang w:val="en-US"/>
        </w:rPr>
      </w:pPr>
    </w:p>
    <w:tbl>
      <w:tblPr>
        <w:tblW w:w="110" w:type="pct"/>
        <w:tblCellMar>
          <w:left w:w="0" w:type="dxa"/>
          <w:right w:w="0" w:type="dxa"/>
        </w:tblCellMar>
        <w:tblLook w:val="04A0" w:firstRow="1" w:lastRow="0" w:firstColumn="1" w:lastColumn="0" w:noHBand="0" w:noVBand="1"/>
      </w:tblPr>
      <w:tblGrid>
        <w:gridCol w:w="200"/>
      </w:tblGrid>
      <w:tr w:rsidR="003A216D" w:rsidRPr="00101875" w:rsidTr="00101875">
        <w:tc>
          <w:tcPr>
            <w:tcW w:w="0" w:type="auto"/>
            <w:shd w:val="clear" w:color="auto" w:fill="auto"/>
            <w:hideMark/>
          </w:tcPr>
          <w:p w:rsidR="003A216D" w:rsidRPr="00101875" w:rsidRDefault="003A216D" w:rsidP="003A216D">
            <w:pPr>
              <w:spacing w:after="0" w:line="312" w:lineRule="atLeast"/>
              <w:rPr>
                <w:rFonts w:eastAsia="Times New Roman"/>
                <w:noProof/>
                <w:szCs w:val="24"/>
                <w:lang w:val="en-IE" w:eastAsia="fr-BE"/>
              </w:rPr>
            </w:pPr>
          </w:p>
        </w:tc>
      </w:tr>
    </w:tbl>
    <w:p w:rsidR="001A0620" w:rsidRPr="00F01DA1" w:rsidRDefault="001A0620" w:rsidP="001A0620">
      <w:pPr>
        <w:pStyle w:val="ChapterTitle"/>
        <w:rPr>
          <w:noProof/>
          <w:lang w:val="fr-FR"/>
        </w:rPr>
      </w:pPr>
      <w:r w:rsidRPr="00F01DA1">
        <w:rPr>
          <w:noProof/>
          <w:lang w:val="fr-FR"/>
        </w:rPr>
        <w:t xml:space="preserve">CHAPTER </w:t>
      </w:r>
      <w:r w:rsidR="000862D2">
        <w:rPr>
          <w:noProof/>
          <w:lang w:val="fr-FR"/>
        </w:rPr>
        <w:t>I</w:t>
      </w:r>
      <w:r w:rsidRPr="00F01DA1">
        <w:rPr>
          <w:noProof/>
          <w:lang w:val="fr-FR"/>
        </w:rPr>
        <w:t>V</w:t>
      </w:r>
    </w:p>
    <w:p w:rsidR="001A0620" w:rsidRDefault="00DE09FE" w:rsidP="001A0620">
      <w:pPr>
        <w:pStyle w:val="ChapterTitle"/>
        <w:rPr>
          <w:noProof/>
          <w:lang w:val="fr-FR"/>
        </w:rPr>
      </w:pPr>
      <w:r>
        <w:rPr>
          <w:noProof/>
          <w:lang w:val="fr-FR"/>
        </w:rPr>
        <w:t xml:space="preserve">Information, </w:t>
      </w:r>
      <w:r w:rsidR="005D3DCD">
        <w:rPr>
          <w:noProof/>
          <w:lang w:val="fr-FR"/>
        </w:rPr>
        <w:t xml:space="preserve">supervision </w:t>
      </w:r>
      <w:r w:rsidR="00C60A11" w:rsidRPr="005D3DCD">
        <w:rPr>
          <w:noProof/>
          <w:lang w:val="fr-FR"/>
        </w:rPr>
        <w:t>and e</w:t>
      </w:r>
      <w:r w:rsidR="001A0620" w:rsidRPr="005D3DCD">
        <w:rPr>
          <w:noProof/>
          <w:lang w:val="fr-FR"/>
        </w:rPr>
        <w:t>nforcement</w:t>
      </w:r>
    </w:p>
    <w:p w:rsidR="00696C80" w:rsidRPr="00650999" w:rsidRDefault="00696C80" w:rsidP="00696C80">
      <w:pPr>
        <w:pStyle w:val="Titrearticle"/>
        <w:rPr>
          <w:noProof/>
          <w:lang w:val="fr-BE"/>
        </w:rPr>
      </w:pPr>
      <w:r w:rsidRPr="00650999">
        <w:rPr>
          <w:noProof/>
          <w:lang w:val="fr-BE"/>
        </w:rPr>
        <w:t>Article 1</w:t>
      </w:r>
      <w:r w:rsidR="000A67D2">
        <w:rPr>
          <w:noProof/>
          <w:lang w:val="fr-BE"/>
        </w:rPr>
        <w:t>3</w:t>
      </w:r>
    </w:p>
    <w:p w:rsidR="00696C80" w:rsidRPr="00BF4FFB" w:rsidRDefault="00696C80" w:rsidP="00EB4738">
      <w:pPr>
        <w:pStyle w:val="NormalCentered"/>
        <w:rPr>
          <w:b/>
          <w:noProof/>
          <w:lang w:val="fr-BE"/>
        </w:rPr>
      </w:pPr>
      <w:r w:rsidRPr="00BF4FFB">
        <w:rPr>
          <w:b/>
          <w:noProof/>
          <w:lang w:val="fr-BE"/>
        </w:rPr>
        <w:t>Information obligations</w:t>
      </w:r>
    </w:p>
    <w:p w:rsidR="00006139" w:rsidRPr="000B073D" w:rsidRDefault="00795BB5" w:rsidP="00795BB5">
      <w:pPr>
        <w:pStyle w:val="ManualNumPar1"/>
        <w:rPr>
          <w:noProof/>
          <w:lang w:val="en-IE"/>
        </w:rPr>
      </w:pPr>
      <w:r w:rsidRPr="00795BB5">
        <w:t>1.</w:t>
      </w:r>
      <w:r w:rsidRPr="00795BB5">
        <w:tab/>
      </w:r>
      <w:r w:rsidR="008B76E9" w:rsidRPr="000B073D">
        <w:rPr>
          <w:noProof/>
          <w:lang w:val="en-IE"/>
        </w:rPr>
        <w:t xml:space="preserve">Member States shall </w:t>
      </w:r>
      <w:r w:rsidR="00CA44B0" w:rsidRPr="000B073D">
        <w:rPr>
          <w:noProof/>
          <w:lang w:val="en-IE"/>
        </w:rPr>
        <w:t xml:space="preserve">draw </w:t>
      </w:r>
      <w:r w:rsidR="008A5493">
        <w:rPr>
          <w:noProof/>
          <w:lang w:val="en-IE"/>
        </w:rPr>
        <w:t xml:space="preserve">up </w:t>
      </w:r>
      <w:r w:rsidR="00CA44B0" w:rsidRPr="000B073D">
        <w:rPr>
          <w:noProof/>
          <w:lang w:val="en-IE"/>
        </w:rPr>
        <w:t>and make available, free of charge,</w:t>
      </w:r>
      <w:r w:rsidR="00CA44B0" w:rsidRPr="000B073D" w:rsidDel="00CA44B0">
        <w:rPr>
          <w:noProof/>
          <w:lang w:val="en-IE"/>
        </w:rPr>
        <w:t xml:space="preserve"> </w:t>
      </w:r>
      <w:r w:rsidR="00006139" w:rsidRPr="000B073D">
        <w:rPr>
          <w:noProof/>
          <w:lang w:val="en-IE"/>
        </w:rPr>
        <w:t>the following lists:</w:t>
      </w:r>
    </w:p>
    <w:p w:rsidR="00006139" w:rsidRPr="003511C4" w:rsidRDefault="00795BB5" w:rsidP="00795BB5">
      <w:pPr>
        <w:pStyle w:val="Point1"/>
        <w:rPr>
          <w:noProof/>
          <w:lang w:val="en-IE"/>
        </w:rPr>
      </w:pPr>
      <w:r w:rsidRPr="00795BB5">
        <w:t>(a)</w:t>
      </w:r>
      <w:r w:rsidRPr="00795BB5">
        <w:tab/>
      </w:r>
      <w:r w:rsidR="00006139" w:rsidRPr="003511C4">
        <w:rPr>
          <w:noProof/>
          <w:lang w:val="en-IE"/>
        </w:rPr>
        <w:t>list of areas where a registration procedure applies in their territory;</w:t>
      </w:r>
    </w:p>
    <w:p w:rsidR="00006139" w:rsidRDefault="00795BB5" w:rsidP="00795BB5">
      <w:pPr>
        <w:pStyle w:val="Point1"/>
        <w:rPr>
          <w:noProof/>
          <w:lang w:val="en-IE"/>
        </w:rPr>
      </w:pPr>
      <w:r w:rsidRPr="00795BB5">
        <w:t>(b)</w:t>
      </w:r>
      <w:r w:rsidRPr="00795BB5">
        <w:tab/>
      </w:r>
      <w:r w:rsidR="00006139">
        <w:rPr>
          <w:noProof/>
          <w:lang w:val="en-IE"/>
        </w:rPr>
        <w:t xml:space="preserve">list of areas </w:t>
      </w:r>
      <w:r w:rsidR="00FB18E7">
        <w:rPr>
          <w:noProof/>
          <w:lang w:val="en-IE"/>
        </w:rPr>
        <w:t xml:space="preserve">for which competent authorities </w:t>
      </w:r>
      <w:r w:rsidR="00006139">
        <w:rPr>
          <w:noProof/>
          <w:lang w:val="en-IE"/>
        </w:rPr>
        <w:t xml:space="preserve">have </w:t>
      </w:r>
      <w:r w:rsidR="00FB18E7">
        <w:rPr>
          <w:noProof/>
          <w:lang w:val="en-IE"/>
        </w:rPr>
        <w:t xml:space="preserve">requested </w:t>
      </w:r>
      <w:r w:rsidR="00006139">
        <w:rPr>
          <w:noProof/>
          <w:lang w:val="en-IE"/>
        </w:rPr>
        <w:t xml:space="preserve">data from </w:t>
      </w:r>
      <w:r w:rsidR="008A5493">
        <w:rPr>
          <w:noProof/>
          <w:lang w:val="en-IE"/>
        </w:rPr>
        <w:t xml:space="preserve">providers of </w:t>
      </w:r>
      <w:r w:rsidR="00006139">
        <w:rPr>
          <w:noProof/>
          <w:lang w:val="en-IE"/>
        </w:rPr>
        <w:t>online short-term rental platforms.</w:t>
      </w:r>
    </w:p>
    <w:p w:rsidR="00B77B83" w:rsidRDefault="00795BB5" w:rsidP="00795BB5">
      <w:pPr>
        <w:pStyle w:val="ManualNumPar1"/>
        <w:rPr>
          <w:noProof/>
          <w:lang w:val="en-IE"/>
        </w:rPr>
      </w:pPr>
      <w:r w:rsidRPr="00795BB5">
        <w:t>2.</w:t>
      </w:r>
      <w:r w:rsidRPr="00795BB5">
        <w:tab/>
      </w:r>
      <w:r w:rsidR="00591CD3" w:rsidRPr="00591CD3">
        <w:rPr>
          <w:noProof/>
          <w:lang w:val="en-IE"/>
        </w:rPr>
        <w:t xml:space="preserve">Competent </w:t>
      </w:r>
      <w:r w:rsidR="000F5A57" w:rsidRPr="00591CD3">
        <w:rPr>
          <w:noProof/>
          <w:lang w:val="en-IE"/>
        </w:rPr>
        <w:t>authorities shall promote awareness of the rights and obligations under this Regulation in their respective territories.</w:t>
      </w:r>
    </w:p>
    <w:p w:rsidR="00152043" w:rsidRPr="002A1602" w:rsidRDefault="00152043" w:rsidP="00A73CA7">
      <w:pPr>
        <w:pStyle w:val="Titrearticle"/>
        <w:rPr>
          <w:noProof/>
        </w:rPr>
      </w:pPr>
      <w:r w:rsidRPr="002A1602">
        <w:rPr>
          <w:noProof/>
        </w:rPr>
        <w:t>Article 1</w:t>
      </w:r>
      <w:r w:rsidR="000A67D2" w:rsidRPr="002A1602">
        <w:rPr>
          <w:noProof/>
        </w:rPr>
        <w:t>4</w:t>
      </w:r>
    </w:p>
    <w:p w:rsidR="00152043" w:rsidRPr="002A1602" w:rsidRDefault="00A30172" w:rsidP="00A73CA7">
      <w:pPr>
        <w:pStyle w:val="NormalCentered"/>
        <w:rPr>
          <w:b/>
          <w:noProof/>
        </w:rPr>
      </w:pPr>
      <w:r w:rsidRPr="002A1602">
        <w:rPr>
          <w:b/>
          <w:noProof/>
        </w:rPr>
        <w:t xml:space="preserve">Monitoring </w:t>
      </w:r>
    </w:p>
    <w:p w:rsidR="00601F9F" w:rsidRDefault="00601F9F" w:rsidP="00FE537B">
      <w:pPr>
        <w:pStyle w:val="Text1"/>
        <w:ind w:left="0"/>
        <w:rPr>
          <w:noProof/>
          <w:szCs w:val="24"/>
          <w:shd w:val="clear" w:color="auto" w:fill="FFFFFF"/>
        </w:rPr>
      </w:pPr>
      <w:r w:rsidRPr="00601F9F">
        <w:rPr>
          <w:noProof/>
          <w:szCs w:val="24"/>
          <w:shd w:val="clear" w:color="auto" w:fill="FFFFFF"/>
        </w:rPr>
        <w:t>Each Member State shall designate an authority, which shall monitor the implementation of the obligations laid down by this Regulation on their territory and report on this implementation every two years to the Commission.</w:t>
      </w:r>
      <w:r w:rsidRPr="00601F9F" w:rsidDel="00601F9F">
        <w:rPr>
          <w:noProof/>
          <w:szCs w:val="24"/>
          <w:shd w:val="clear" w:color="auto" w:fill="FFFFFF"/>
        </w:rPr>
        <w:t xml:space="preserve"> </w:t>
      </w:r>
    </w:p>
    <w:p w:rsidR="001B1CFB" w:rsidRPr="003511C4" w:rsidRDefault="001B1CFB" w:rsidP="003511C4">
      <w:pPr>
        <w:pStyle w:val="Titrearticle"/>
        <w:rPr>
          <w:noProof/>
          <w:lang w:val="fr-BE"/>
        </w:rPr>
      </w:pPr>
      <w:r w:rsidRPr="003511C4">
        <w:rPr>
          <w:noProof/>
          <w:lang w:val="fr-BE"/>
        </w:rPr>
        <w:t>Article 1</w:t>
      </w:r>
      <w:r w:rsidR="000A67D2" w:rsidRPr="003511C4">
        <w:rPr>
          <w:noProof/>
          <w:lang w:val="fr-BE"/>
        </w:rPr>
        <w:t>5</w:t>
      </w:r>
    </w:p>
    <w:p w:rsidR="001B1CFB" w:rsidRPr="003511C4" w:rsidRDefault="005D3DCD" w:rsidP="003511C4">
      <w:pPr>
        <w:pStyle w:val="NormalCentered"/>
        <w:rPr>
          <w:b/>
          <w:noProof/>
          <w:lang w:val="fr-BE"/>
        </w:rPr>
      </w:pPr>
      <w:r w:rsidRPr="003511C4">
        <w:rPr>
          <w:b/>
          <w:noProof/>
          <w:lang w:val="fr-BE"/>
        </w:rPr>
        <w:t>Enforcement</w:t>
      </w:r>
    </w:p>
    <w:p w:rsidR="005D3DCD" w:rsidRDefault="00795BB5" w:rsidP="00795BB5">
      <w:pPr>
        <w:pStyle w:val="ManualNumPar1"/>
        <w:rPr>
          <w:noProof/>
        </w:rPr>
      </w:pPr>
      <w:r w:rsidRPr="00795BB5">
        <w:t>1.</w:t>
      </w:r>
      <w:r w:rsidRPr="00795BB5">
        <w:tab/>
      </w:r>
      <w:r w:rsidR="00601F9F" w:rsidRPr="003511C4">
        <w:rPr>
          <w:noProof/>
        </w:rPr>
        <w:t xml:space="preserve">For the purpose of the enforcement of Article </w:t>
      </w:r>
      <w:r w:rsidR="00601F9F" w:rsidRPr="009B4232">
        <w:rPr>
          <w:noProof/>
        </w:rPr>
        <w:t>7</w:t>
      </w:r>
      <w:r w:rsidR="00146D6D" w:rsidRPr="009B4232">
        <w:rPr>
          <w:noProof/>
        </w:rPr>
        <w:t>(1)</w:t>
      </w:r>
      <w:r w:rsidR="00601F9F" w:rsidRPr="003511C4">
        <w:rPr>
          <w:noProof/>
        </w:rPr>
        <w:t xml:space="preserve"> of this Regulation, Chapter IV of </w:t>
      </w:r>
      <w:r w:rsidR="00603F99">
        <w:rPr>
          <w:noProof/>
        </w:rPr>
        <w:t xml:space="preserve">Regulation </w:t>
      </w:r>
      <w:r w:rsidR="002A52CD">
        <w:rPr>
          <w:noProof/>
        </w:rPr>
        <w:t xml:space="preserve">(EU) </w:t>
      </w:r>
      <w:r w:rsidR="00603F99">
        <w:rPr>
          <w:noProof/>
        </w:rPr>
        <w:t>2022/2065</w:t>
      </w:r>
      <w:r w:rsidR="00601F9F" w:rsidRPr="003511C4">
        <w:rPr>
          <w:noProof/>
        </w:rPr>
        <w:t xml:space="preserve"> shall apply</w:t>
      </w:r>
      <w:r w:rsidR="00E61EFE" w:rsidRPr="003511C4">
        <w:rPr>
          <w:noProof/>
        </w:rPr>
        <w:t>,</w:t>
      </w:r>
      <w:r w:rsidR="007C3903" w:rsidRPr="007C3903">
        <w:rPr>
          <w:noProof/>
        </w:rPr>
        <w:t xml:space="preserve"> </w:t>
      </w:r>
      <w:r w:rsidR="007C3903">
        <w:rPr>
          <w:noProof/>
        </w:rPr>
        <w:t>and any references therein to compliance with the relevant provisions of</w:t>
      </w:r>
      <w:r w:rsidR="00603F99" w:rsidRPr="00603F99">
        <w:rPr>
          <w:noProof/>
        </w:rPr>
        <w:t xml:space="preserve"> </w:t>
      </w:r>
      <w:r w:rsidR="00603F99">
        <w:rPr>
          <w:noProof/>
        </w:rPr>
        <w:t xml:space="preserve">Regulation </w:t>
      </w:r>
      <w:r w:rsidR="002A52CD">
        <w:rPr>
          <w:noProof/>
        </w:rPr>
        <w:t xml:space="preserve">(EU) </w:t>
      </w:r>
      <w:r w:rsidR="00603F99">
        <w:rPr>
          <w:noProof/>
        </w:rPr>
        <w:t>2022/2065</w:t>
      </w:r>
      <w:r w:rsidR="00603F99" w:rsidRPr="003511C4">
        <w:rPr>
          <w:noProof/>
        </w:rPr>
        <w:t xml:space="preserve"> </w:t>
      </w:r>
      <w:r w:rsidR="007C3903">
        <w:rPr>
          <w:noProof/>
        </w:rPr>
        <w:t xml:space="preserve"> shall be deemed to include Article 7</w:t>
      </w:r>
      <w:r w:rsidR="009B4232">
        <w:rPr>
          <w:noProof/>
        </w:rPr>
        <w:t>(1)</w:t>
      </w:r>
      <w:r w:rsidR="007C3903">
        <w:rPr>
          <w:noProof/>
        </w:rPr>
        <w:t xml:space="preserve"> of this Regulation</w:t>
      </w:r>
      <w:r w:rsidR="00601F9F" w:rsidRPr="003511C4">
        <w:rPr>
          <w:noProof/>
        </w:rPr>
        <w:t xml:space="preserve">. </w:t>
      </w:r>
      <w:r w:rsidR="007C3903" w:rsidRPr="003511C4">
        <w:rPr>
          <w:noProof/>
        </w:rPr>
        <w:t>T</w:t>
      </w:r>
      <w:r w:rsidR="00624E0A" w:rsidRPr="003511C4">
        <w:rPr>
          <w:noProof/>
        </w:rPr>
        <w:t xml:space="preserve">o the extent that </w:t>
      </w:r>
      <w:r w:rsidR="007C3903" w:rsidRPr="003511C4">
        <w:rPr>
          <w:noProof/>
        </w:rPr>
        <w:t xml:space="preserve">powers </w:t>
      </w:r>
      <w:r w:rsidR="00624E0A" w:rsidRPr="003511C4">
        <w:rPr>
          <w:noProof/>
        </w:rPr>
        <w:t xml:space="preserve">are </w:t>
      </w:r>
      <w:r w:rsidR="007C3903" w:rsidRPr="003511C4">
        <w:rPr>
          <w:noProof/>
        </w:rPr>
        <w:t xml:space="preserve">conferred upon the Commission under Chapter IV of </w:t>
      </w:r>
      <w:r w:rsidR="00603F99">
        <w:rPr>
          <w:noProof/>
        </w:rPr>
        <w:t xml:space="preserve">Regulation </w:t>
      </w:r>
      <w:r w:rsidR="002A52CD">
        <w:rPr>
          <w:noProof/>
        </w:rPr>
        <w:t xml:space="preserve">(EU) </w:t>
      </w:r>
      <w:r w:rsidR="00603F99">
        <w:rPr>
          <w:noProof/>
        </w:rPr>
        <w:t>2022/2065</w:t>
      </w:r>
      <w:r w:rsidR="00624E0A" w:rsidRPr="003511C4">
        <w:rPr>
          <w:noProof/>
        </w:rPr>
        <w:t>,</w:t>
      </w:r>
      <w:r w:rsidR="007C3903" w:rsidRPr="003511C4">
        <w:rPr>
          <w:noProof/>
        </w:rPr>
        <w:t xml:space="preserve"> </w:t>
      </w:r>
      <w:r w:rsidR="00624E0A" w:rsidRPr="003511C4">
        <w:rPr>
          <w:noProof/>
        </w:rPr>
        <w:t xml:space="preserve">they </w:t>
      </w:r>
      <w:r w:rsidR="007C3903" w:rsidRPr="003511C4">
        <w:rPr>
          <w:noProof/>
        </w:rPr>
        <w:t>shall also cover the application of Article 7</w:t>
      </w:r>
      <w:r w:rsidR="009B4232">
        <w:rPr>
          <w:noProof/>
        </w:rPr>
        <w:t>(1)</w:t>
      </w:r>
      <w:r w:rsidR="007C3903" w:rsidRPr="003511C4">
        <w:rPr>
          <w:noProof/>
        </w:rPr>
        <w:t xml:space="preserve"> of this Regulation.</w:t>
      </w:r>
    </w:p>
    <w:p w:rsidR="007F6519" w:rsidRPr="009B4232" w:rsidRDefault="00795BB5" w:rsidP="00795BB5">
      <w:pPr>
        <w:pStyle w:val="ManualNumPar1"/>
        <w:rPr>
          <w:noProof/>
        </w:rPr>
      </w:pPr>
      <w:r w:rsidRPr="00795BB5">
        <w:t>2.</w:t>
      </w:r>
      <w:r w:rsidRPr="00795BB5">
        <w:tab/>
      </w:r>
      <w:r w:rsidR="009B4232">
        <w:rPr>
          <w:noProof/>
        </w:rPr>
        <w:t>A</w:t>
      </w:r>
      <w:r w:rsidR="007F6519" w:rsidRPr="009B4232">
        <w:rPr>
          <w:noProof/>
        </w:rPr>
        <w:t>uthorities designated by the Member State of the relevant Single Digital Entry Point shall be competent to enforce Article</w:t>
      </w:r>
      <w:r w:rsidR="00146D6D" w:rsidRPr="009B4232">
        <w:rPr>
          <w:noProof/>
        </w:rPr>
        <w:t>s 7(2), 7(3) and</w:t>
      </w:r>
      <w:r w:rsidR="007F6519" w:rsidRPr="009B4232">
        <w:rPr>
          <w:noProof/>
        </w:rPr>
        <w:t xml:space="preserve"> 9 of this Regulation.</w:t>
      </w:r>
    </w:p>
    <w:p w:rsidR="00601F9F" w:rsidRPr="00624E0A" w:rsidRDefault="00795BB5" w:rsidP="00795BB5">
      <w:pPr>
        <w:pStyle w:val="ManualNumPar1"/>
        <w:rPr>
          <w:noProof/>
        </w:rPr>
      </w:pPr>
      <w:r w:rsidRPr="00795BB5">
        <w:t>3.</w:t>
      </w:r>
      <w:r w:rsidRPr="00795BB5">
        <w:tab/>
      </w:r>
      <w:r w:rsidR="00601F9F" w:rsidRPr="00624E0A">
        <w:rPr>
          <w:noProof/>
        </w:rPr>
        <w:t>Member States shall lay down rules on penalties applicable to infringements by online short-term rental platforms of Article</w:t>
      </w:r>
      <w:r w:rsidR="00E92086" w:rsidRPr="009B4232">
        <w:rPr>
          <w:noProof/>
        </w:rPr>
        <w:t>s 7(2), 7(3) and</w:t>
      </w:r>
      <w:r w:rsidR="00601F9F" w:rsidRPr="00624E0A">
        <w:rPr>
          <w:noProof/>
        </w:rPr>
        <w:t xml:space="preserve"> 9. Member States shall ensure that those penalties are effective, proportionate and dissuasive.</w:t>
      </w:r>
    </w:p>
    <w:p w:rsidR="00120FD1" w:rsidRDefault="00795BB5" w:rsidP="00795BB5">
      <w:pPr>
        <w:pStyle w:val="ManualNumPar1"/>
        <w:rPr>
          <w:noProof/>
        </w:rPr>
      </w:pPr>
      <w:r w:rsidRPr="00795BB5">
        <w:t>4.</w:t>
      </w:r>
      <w:r w:rsidRPr="00795BB5">
        <w:tab/>
      </w:r>
      <w:r w:rsidR="00601F9F" w:rsidRPr="00624E0A">
        <w:rPr>
          <w:noProof/>
        </w:rPr>
        <w:t xml:space="preserve">Member States shall by [date of application of the Regulation] adopt and publish the laws, regulations and administrative provisions necessary to comply with paragraph 2 and shall notify the Commission thereof without </w:t>
      </w:r>
      <w:r w:rsidR="006C62CE" w:rsidRPr="00624E0A">
        <w:rPr>
          <w:noProof/>
        </w:rPr>
        <w:t>delay.</w:t>
      </w:r>
    </w:p>
    <w:p w:rsidR="00840180" w:rsidRPr="00840180" w:rsidRDefault="00840180" w:rsidP="00840180">
      <w:pPr>
        <w:rPr>
          <w:noProof/>
        </w:rPr>
      </w:pPr>
    </w:p>
    <w:p w:rsidR="001A0620" w:rsidRPr="00A003C3" w:rsidRDefault="001A0620" w:rsidP="001A0620">
      <w:pPr>
        <w:pStyle w:val="ChapterTitle"/>
        <w:rPr>
          <w:noProof/>
          <w:lang w:val="fr-FR"/>
        </w:rPr>
      </w:pPr>
      <w:r w:rsidRPr="00A003C3">
        <w:rPr>
          <w:noProof/>
          <w:lang w:val="fr-FR"/>
        </w:rPr>
        <w:t>CHAPTER V</w:t>
      </w:r>
    </w:p>
    <w:p w:rsidR="001A0620" w:rsidRPr="00A003C3" w:rsidRDefault="001A0620" w:rsidP="001A0620">
      <w:pPr>
        <w:pStyle w:val="ChapterTitle"/>
        <w:rPr>
          <w:noProof/>
          <w:lang w:val="fr-FR"/>
        </w:rPr>
      </w:pPr>
      <w:r w:rsidRPr="00A003C3">
        <w:rPr>
          <w:noProof/>
          <w:lang w:val="fr-FR"/>
        </w:rPr>
        <w:t>Final provisions</w:t>
      </w:r>
    </w:p>
    <w:p w:rsidR="00E672FC" w:rsidRPr="00A003C3" w:rsidRDefault="00E672FC" w:rsidP="00E42B62">
      <w:pPr>
        <w:pStyle w:val="Titrearticle"/>
        <w:spacing w:before="0"/>
        <w:rPr>
          <w:noProof/>
          <w:lang w:val="fr-FR"/>
        </w:rPr>
      </w:pPr>
      <w:r w:rsidRPr="00A003C3">
        <w:rPr>
          <w:noProof/>
          <w:lang w:val="fr-FR"/>
        </w:rPr>
        <w:t>Article 1</w:t>
      </w:r>
      <w:r w:rsidR="000A67D2" w:rsidRPr="00A003C3">
        <w:rPr>
          <w:noProof/>
          <w:lang w:val="fr-FR"/>
        </w:rPr>
        <w:t>6</w:t>
      </w:r>
    </w:p>
    <w:p w:rsidR="00E672FC" w:rsidRPr="00B42E5E" w:rsidRDefault="00E672FC" w:rsidP="00B42E5E">
      <w:pPr>
        <w:pStyle w:val="NormalCentered"/>
        <w:tabs>
          <w:tab w:val="left" w:pos="1210"/>
          <w:tab w:val="center" w:pos="4536"/>
        </w:tabs>
        <w:rPr>
          <w:b/>
          <w:noProof/>
          <w:lang w:val="en-IE"/>
        </w:rPr>
      </w:pPr>
      <w:r w:rsidRPr="00E42B62">
        <w:rPr>
          <w:b/>
          <w:noProof/>
          <w:lang w:val="en-IE"/>
        </w:rPr>
        <w:t>Commit</w:t>
      </w:r>
      <w:r>
        <w:rPr>
          <w:b/>
          <w:noProof/>
          <w:lang w:val="en-IE"/>
        </w:rPr>
        <w:t>t</w:t>
      </w:r>
      <w:r w:rsidRPr="00E42B62">
        <w:rPr>
          <w:b/>
          <w:noProof/>
          <w:lang w:val="en-IE"/>
        </w:rPr>
        <w:t>ee</w:t>
      </w:r>
    </w:p>
    <w:p w:rsidR="00E42B62" w:rsidRPr="00E42B62" w:rsidRDefault="00795BB5" w:rsidP="00795BB5">
      <w:pPr>
        <w:pStyle w:val="ManualNumPar1"/>
        <w:rPr>
          <w:noProof/>
          <w:lang w:val="en-IE"/>
        </w:rPr>
      </w:pPr>
      <w:r w:rsidRPr="00795BB5">
        <w:t>1.</w:t>
      </w:r>
      <w:r w:rsidRPr="00795BB5">
        <w:tab/>
      </w:r>
      <w:r w:rsidR="00E42B62" w:rsidRPr="00E42B62">
        <w:rPr>
          <w:noProof/>
          <w:lang w:val="en-IE"/>
        </w:rPr>
        <w:t>The Commission shall be assisted by a committee. That committee shall be a committee within the meaning of Regulation (EU) No 182/2011.</w:t>
      </w:r>
    </w:p>
    <w:p w:rsidR="00F617AE" w:rsidRPr="00E42B62" w:rsidRDefault="00795BB5" w:rsidP="00795BB5">
      <w:pPr>
        <w:pStyle w:val="ManualNumPar1"/>
        <w:rPr>
          <w:noProof/>
          <w:lang w:val="en-IE"/>
        </w:rPr>
      </w:pPr>
      <w:r w:rsidRPr="00795BB5">
        <w:t>2.</w:t>
      </w:r>
      <w:r w:rsidRPr="00795BB5">
        <w:tab/>
      </w:r>
      <w:r w:rsidR="00E42B62" w:rsidRPr="00E42B62">
        <w:rPr>
          <w:noProof/>
          <w:lang w:val="en-IE"/>
        </w:rPr>
        <w:t>Where reference is made to this paragraph, Artic</w:t>
      </w:r>
      <w:r w:rsidR="00E42B62">
        <w:rPr>
          <w:noProof/>
          <w:lang w:val="en-IE"/>
        </w:rPr>
        <w:t>le 4</w:t>
      </w:r>
      <w:r w:rsidR="00E42B62" w:rsidRPr="00E42B62">
        <w:rPr>
          <w:noProof/>
          <w:lang w:val="en-IE"/>
        </w:rPr>
        <w:t xml:space="preserve"> of Regulation (EU) No 182/2011 shall apply.</w:t>
      </w:r>
    </w:p>
    <w:p w:rsidR="001A0620" w:rsidRPr="00706DEA" w:rsidRDefault="001A0620" w:rsidP="001A0620">
      <w:pPr>
        <w:pStyle w:val="Titrearticle"/>
        <w:rPr>
          <w:noProof/>
          <w:lang w:val="en-IE"/>
        </w:rPr>
      </w:pPr>
      <w:r w:rsidRPr="00706DEA">
        <w:rPr>
          <w:noProof/>
          <w:lang w:val="en-IE"/>
        </w:rPr>
        <w:t xml:space="preserve">Article </w:t>
      </w:r>
      <w:r w:rsidR="00CD3F1A" w:rsidRPr="00706DEA">
        <w:rPr>
          <w:noProof/>
          <w:lang w:val="en-IE"/>
        </w:rPr>
        <w:t>1</w:t>
      </w:r>
      <w:r w:rsidR="000A67D2">
        <w:rPr>
          <w:noProof/>
          <w:lang w:val="en-IE"/>
        </w:rPr>
        <w:t>7</w:t>
      </w:r>
    </w:p>
    <w:p w:rsidR="001A0620" w:rsidRDefault="002F2713" w:rsidP="001A0620">
      <w:pPr>
        <w:pStyle w:val="NormalCentered"/>
        <w:rPr>
          <w:b/>
          <w:noProof/>
          <w:lang w:val="en-IE"/>
        </w:rPr>
      </w:pPr>
      <w:r w:rsidRPr="00AB1CB2">
        <w:rPr>
          <w:b/>
          <w:noProof/>
          <w:lang w:val="en-IE"/>
        </w:rPr>
        <w:t>Amendment to Regulation</w:t>
      </w:r>
      <w:r w:rsidR="00AB1CB2" w:rsidRPr="00AB1CB2">
        <w:rPr>
          <w:b/>
          <w:noProof/>
          <w:lang w:val="en-IE"/>
        </w:rPr>
        <w:t xml:space="preserve"> (EU) 2018/1724</w:t>
      </w:r>
    </w:p>
    <w:p w:rsidR="00305E42" w:rsidRDefault="00305E42" w:rsidP="005B179C">
      <w:pPr>
        <w:rPr>
          <w:noProof/>
          <w:lang w:val="en-IE"/>
        </w:rPr>
      </w:pPr>
      <w:r w:rsidRPr="00345FDA">
        <w:rPr>
          <w:noProof/>
          <w:lang w:val="en-IE"/>
        </w:rPr>
        <w:t>Regulation (EU) 2018/1724</w:t>
      </w:r>
      <w:r w:rsidRPr="003A75B6">
        <w:rPr>
          <w:noProof/>
          <w:lang w:val="en-IE"/>
        </w:rPr>
        <w:t xml:space="preserve"> is amended</w:t>
      </w:r>
      <w:r w:rsidR="003A75B6">
        <w:rPr>
          <w:noProof/>
          <w:lang w:val="en-IE"/>
        </w:rPr>
        <w:t xml:space="preserve"> as </w:t>
      </w:r>
      <w:r>
        <w:rPr>
          <w:noProof/>
          <w:lang w:val="en-IE"/>
        </w:rPr>
        <w:t xml:space="preserve">follows: </w:t>
      </w:r>
    </w:p>
    <w:p w:rsidR="00305E42" w:rsidRPr="006C62CE" w:rsidRDefault="00795BB5" w:rsidP="00795BB5">
      <w:pPr>
        <w:pStyle w:val="ManualNumPar1"/>
        <w:rPr>
          <w:noProof/>
          <w:lang w:val="en-IE"/>
        </w:rPr>
      </w:pPr>
      <w:r w:rsidRPr="00795BB5">
        <w:t>1.</w:t>
      </w:r>
      <w:r w:rsidRPr="00795BB5">
        <w:tab/>
      </w:r>
      <w:r w:rsidR="00305E42" w:rsidRPr="006C62CE">
        <w:rPr>
          <w:noProof/>
          <w:lang w:val="en-IE"/>
        </w:rPr>
        <w:t>in Annex I, in the second column</w:t>
      </w:r>
      <w:r w:rsidR="00817FC5" w:rsidRPr="006C62CE">
        <w:rPr>
          <w:noProof/>
          <w:lang w:val="en-IE"/>
        </w:rPr>
        <w:t>,</w:t>
      </w:r>
      <w:r w:rsidR="00305E42" w:rsidRPr="006C62CE">
        <w:rPr>
          <w:noProof/>
          <w:lang w:val="en-IE"/>
        </w:rPr>
        <w:t xml:space="preserve"> in</w:t>
      </w:r>
      <w:r w:rsidR="00817FC5" w:rsidRPr="006C62CE">
        <w:rPr>
          <w:noProof/>
          <w:lang w:val="en-IE"/>
        </w:rPr>
        <w:t xml:space="preserve"> the</w:t>
      </w:r>
      <w:r w:rsidR="00305E42" w:rsidRPr="006C62CE">
        <w:rPr>
          <w:noProof/>
          <w:lang w:val="en-IE"/>
        </w:rPr>
        <w:t xml:space="preserve"> row ‘N.Services’, the following point 4 is added: </w:t>
      </w:r>
    </w:p>
    <w:p w:rsidR="00305E42" w:rsidRPr="002038D4" w:rsidRDefault="00305E42" w:rsidP="00683353">
      <w:pPr>
        <w:pStyle w:val="Point1"/>
        <w:ind w:firstLine="0"/>
        <w:rPr>
          <w:noProof/>
          <w:lang w:val="en-IE"/>
        </w:rPr>
      </w:pPr>
      <w:r w:rsidRPr="002038D4">
        <w:rPr>
          <w:noProof/>
          <w:lang w:val="en-IE"/>
        </w:rPr>
        <w:t xml:space="preserve">‘4. </w:t>
      </w:r>
      <w:r>
        <w:rPr>
          <w:noProof/>
          <w:lang w:val="en-IE"/>
        </w:rPr>
        <w:t>i</w:t>
      </w:r>
      <w:r w:rsidRPr="002038D4">
        <w:rPr>
          <w:noProof/>
          <w:lang w:val="en-IE"/>
        </w:rPr>
        <w:t>nformation on rules governing the provision of short-term accommodation rental services</w:t>
      </w:r>
      <w:r w:rsidR="0059008D">
        <w:rPr>
          <w:noProof/>
          <w:lang w:val="en-IE"/>
        </w:rPr>
        <w:t>, including the list</w:t>
      </w:r>
      <w:r w:rsidR="00CA44B0">
        <w:rPr>
          <w:noProof/>
          <w:lang w:val="en-IE"/>
        </w:rPr>
        <w:t>s referred to in Article 13 of Regulation of the European Parliament and of the Council […/…] [</w:t>
      </w:r>
      <w:r w:rsidR="00CA44B0" w:rsidRPr="00CA44B0">
        <w:rPr>
          <w:noProof/>
          <w:lang w:val="en-IE"/>
        </w:rPr>
        <w:t>on data collection and sharing relating to short-term accommodation rental services and amending Regulation (EU) 2018/1724</w:t>
      </w:r>
      <w:r w:rsidR="00CA44B0">
        <w:rPr>
          <w:noProof/>
          <w:lang w:val="en-IE"/>
        </w:rPr>
        <w:t>]’</w:t>
      </w:r>
      <w:r w:rsidR="00A272B5">
        <w:rPr>
          <w:noProof/>
          <w:lang w:val="en-IE"/>
        </w:rPr>
        <w:t>.</w:t>
      </w:r>
    </w:p>
    <w:p w:rsidR="00305E42" w:rsidRPr="006C62CE" w:rsidRDefault="00795BB5" w:rsidP="00795BB5">
      <w:pPr>
        <w:pStyle w:val="ManualNumPar1"/>
        <w:rPr>
          <w:noProof/>
          <w:lang w:val="en-IE"/>
        </w:rPr>
      </w:pPr>
      <w:r w:rsidRPr="00795BB5">
        <w:t>2.</w:t>
      </w:r>
      <w:r w:rsidRPr="00795BB5">
        <w:tab/>
      </w:r>
      <w:r w:rsidR="00305E42" w:rsidRPr="006C62CE">
        <w:rPr>
          <w:noProof/>
          <w:lang w:val="en-IE"/>
        </w:rPr>
        <w:t>Annex II is amended as follows</w:t>
      </w:r>
      <w:r w:rsidR="00E837CA" w:rsidRPr="006C62CE">
        <w:rPr>
          <w:noProof/>
          <w:lang w:val="en-IE"/>
        </w:rPr>
        <w:t>:</w:t>
      </w:r>
    </w:p>
    <w:p w:rsidR="00305E42" w:rsidRPr="00683353" w:rsidRDefault="00795BB5" w:rsidP="00795BB5">
      <w:pPr>
        <w:pStyle w:val="Point1"/>
        <w:rPr>
          <w:noProof/>
        </w:rPr>
      </w:pPr>
      <w:r w:rsidRPr="00795BB5">
        <w:t>(a)</w:t>
      </w:r>
      <w:r w:rsidRPr="00795BB5">
        <w:tab/>
      </w:r>
      <w:r w:rsidR="00305E42" w:rsidRPr="00683353">
        <w:rPr>
          <w:noProof/>
        </w:rPr>
        <w:t>in the second column, in the row ‘Starting, running and closing a business’</w:t>
      </w:r>
      <w:r w:rsidR="00683353" w:rsidRPr="00683353">
        <w:rPr>
          <w:noProof/>
        </w:rPr>
        <w:t xml:space="preserve">, the </w:t>
      </w:r>
      <w:r w:rsidR="00305E42" w:rsidRPr="00683353">
        <w:rPr>
          <w:noProof/>
        </w:rPr>
        <w:t xml:space="preserve">following is added as a new row: </w:t>
      </w:r>
    </w:p>
    <w:p w:rsidR="00305E42" w:rsidRPr="00AD3BBD" w:rsidRDefault="00305E42" w:rsidP="007312BB">
      <w:pPr>
        <w:pStyle w:val="Text2"/>
        <w:rPr>
          <w:noProof/>
        </w:rPr>
      </w:pPr>
      <w:r w:rsidRPr="00AD3BBD">
        <w:rPr>
          <w:noProof/>
        </w:rPr>
        <w:t>‘Declarations by hosts for registration procedures in relation to short-term accommodation rental services’</w:t>
      </w:r>
      <w:r>
        <w:rPr>
          <w:noProof/>
        </w:rPr>
        <w:t>;</w:t>
      </w:r>
    </w:p>
    <w:p w:rsidR="00305E42" w:rsidRDefault="00795BB5" w:rsidP="00795BB5">
      <w:pPr>
        <w:pStyle w:val="Point1"/>
        <w:rPr>
          <w:noProof/>
        </w:rPr>
      </w:pPr>
      <w:r w:rsidRPr="00795BB5">
        <w:t>(b)</w:t>
      </w:r>
      <w:r w:rsidRPr="00795BB5">
        <w:tab/>
      </w:r>
      <w:r w:rsidR="00305E42">
        <w:rPr>
          <w:noProof/>
        </w:rPr>
        <w:t xml:space="preserve">in the third column, in the row </w:t>
      </w:r>
      <w:r w:rsidR="00305E42" w:rsidRPr="00F82532">
        <w:rPr>
          <w:noProof/>
        </w:rPr>
        <w:t>‘Starting, running and closing a business’, the following is added as a new row</w:t>
      </w:r>
      <w:r w:rsidR="00305E42">
        <w:rPr>
          <w:noProof/>
        </w:rPr>
        <w:t xml:space="preserve">: </w:t>
      </w:r>
    </w:p>
    <w:p w:rsidR="00305E42" w:rsidRPr="00AD3BBD" w:rsidRDefault="00305E42" w:rsidP="007312BB">
      <w:pPr>
        <w:pStyle w:val="Text2"/>
        <w:rPr>
          <w:noProof/>
        </w:rPr>
      </w:pPr>
      <w:r w:rsidRPr="00AD3BBD">
        <w:rPr>
          <w:noProof/>
        </w:rPr>
        <w:t>‘Issuance of a registration number’</w:t>
      </w:r>
      <w:r>
        <w:rPr>
          <w:noProof/>
        </w:rPr>
        <w:t>.</w:t>
      </w:r>
    </w:p>
    <w:p w:rsidR="002F2713" w:rsidRPr="004F7784" w:rsidRDefault="002F2713" w:rsidP="002F2713">
      <w:pPr>
        <w:pStyle w:val="Titrearticle"/>
        <w:rPr>
          <w:noProof/>
          <w:lang w:val="en-IE"/>
        </w:rPr>
      </w:pPr>
      <w:r w:rsidRPr="004F7784">
        <w:rPr>
          <w:noProof/>
          <w:lang w:val="en-IE"/>
        </w:rPr>
        <w:t xml:space="preserve">Article </w:t>
      </w:r>
      <w:r w:rsidR="00CD3F1A">
        <w:rPr>
          <w:noProof/>
          <w:lang w:val="en-IE"/>
        </w:rPr>
        <w:t>1</w:t>
      </w:r>
      <w:r w:rsidR="000A67D2">
        <w:rPr>
          <w:noProof/>
          <w:lang w:val="en-IE"/>
        </w:rPr>
        <w:t>8</w:t>
      </w:r>
    </w:p>
    <w:p w:rsidR="002F2713" w:rsidRPr="004F7784" w:rsidRDefault="002F2713" w:rsidP="002F2713">
      <w:pPr>
        <w:pStyle w:val="NormalCentered"/>
        <w:rPr>
          <w:b/>
          <w:noProof/>
          <w:lang w:val="en-IE"/>
        </w:rPr>
      </w:pPr>
      <w:r w:rsidRPr="00AC13D7">
        <w:rPr>
          <w:b/>
          <w:noProof/>
          <w:lang w:val="en-IE"/>
        </w:rPr>
        <w:t>Evaluation and review</w:t>
      </w:r>
    </w:p>
    <w:p w:rsidR="006300F0" w:rsidRPr="006300F0" w:rsidRDefault="00795BB5" w:rsidP="00795BB5">
      <w:pPr>
        <w:pStyle w:val="ManualNumPar1"/>
        <w:rPr>
          <w:noProof/>
          <w:lang w:val="en-IE"/>
        </w:rPr>
      </w:pPr>
      <w:r w:rsidRPr="00795BB5">
        <w:t>1.</w:t>
      </w:r>
      <w:r w:rsidRPr="00795BB5">
        <w:tab/>
      </w:r>
      <w:r w:rsidR="003A1203">
        <w:rPr>
          <w:noProof/>
          <w:lang w:val="en-IE"/>
        </w:rPr>
        <w:t xml:space="preserve">No later than </w:t>
      </w:r>
      <w:r w:rsidR="00F64801">
        <w:rPr>
          <w:noProof/>
          <w:lang w:val="en-IE"/>
        </w:rPr>
        <w:t>5</w:t>
      </w:r>
      <w:r w:rsidR="00405381">
        <w:rPr>
          <w:noProof/>
          <w:lang w:val="en-IE"/>
        </w:rPr>
        <w:t xml:space="preserve"> </w:t>
      </w:r>
      <w:r w:rsidR="004F7784" w:rsidRPr="006300F0">
        <w:rPr>
          <w:noProof/>
          <w:lang w:val="en-IE"/>
        </w:rPr>
        <w:t>years after the date of application of this Regulation, the Commission shall evaluate this Regulation and submit a report on its main findings</w:t>
      </w:r>
      <w:r w:rsidR="00D64952">
        <w:rPr>
          <w:noProof/>
          <w:lang w:val="en-IE"/>
        </w:rPr>
        <w:t xml:space="preserve"> </w:t>
      </w:r>
      <w:r w:rsidR="004F7784" w:rsidRPr="006300F0">
        <w:rPr>
          <w:noProof/>
          <w:lang w:val="en-IE"/>
        </w:rPr>
        <w:t>to the European Parliament</w:t>
      </w:r>
      <w:r w:rsidR="00405381">
        <w:rPr>
          <w:noProof/>
          <w:lang w:val="en-IE"/>
        </w:rPr>
        <w:t xml:space="preserve">, </w:t>
      </w:r>
      <w:r w:rsidR="004F7784" w:rsidRPr="006300F0">
        <w:rPr>
          <w:noProof/>
          <w:lang w:val="en-IE"/>
        </w:rPr>
        <w:t xml:space="preserve">the Council </w:t>
      </w:r>
      <w:r w:rsidR="00405381">
        <w:rPr>
          <w:noProof/>
          <w:lang w:val="en-IE"/>
        </w:rPr>
        <w:t xml:space="preserve">and </w:t>
      </w:r>
      <w:r w:rsidR="004F7784" w:rsidRPr="006300F0">
        <w:rPr>
          <w:noProof/>
          <w:lang w:val="en-IE"/>
        </w:rPr>
        <w:t>to the European Economic and Social Committee.</w:t>
      </w:r>
      <w:r w:rsidR="00D64952">
        <w:rPr>
          <w:noProof/>
          <w:lang w:val="en-IE"/>
        </w:rPr>
        <w:t xml:space="preserve"> This report shall be based on the evaluations submitted by national supervisory authorities pursuant to Article 1</w:t>
      </w:r>
      <w:r w:rsidR="000A67D2">
        <w:rPr>
          <w:noProof/>
          <w:lang w:val="en-IE"/>
        </w:rPr>
        <w:t>4</w:t>
      </w:r>
      <w:r w:rsidR="00D64952">
        <w:rPr>
          <w:noProof/>
          <w:lang w:val="en-IE"/>
        </w:rPr>
        <w:t>.</w:t>
      </w:r>
    </w:p>
    <w:p w:rsidR="004F7784" w:rsidRDefault="00795BB5" w:rsidP="00795BB5">
      <w:pPr>
        <w:pStyle w:val="ManualNumPar1"/>
        <w:rPr>
          <w:noProof/>
          <w:lang w:val="en-IE"/>
        </w:rPr>
      </w:pPr>
      <w:r w:rsidRPr="00795BB5">
        <w:t>2.</w:t>
      </w:r>
      <w:r w:rsidRPr="00795BB5">
        <w:tab/>
      </w:r>
      <w:r w:rsidR="004F7784">
        <w:rPr>
          <w:noProof/>
          <w:lang w:val="en-IE"/>
        </w:rPr>
        <w:t>The</w:t>
      </w:r>
      <w:r w:rsidR="004F7784" w:rsidRPr="004F7784">
        <w:rPr>
          <w:noProof/>
          <w:lang w:val="en-IE"/>
        </w:rPr>
        <w:t xml:space="preserve"> evaluation </w:t>
      </w:r>
      <w:r w:rsidR="003A1203">
        <w:rPr>
          <w:noProof/>
          <w:lang w:val="en-IE"/>
        </w:rPr>
        <w:t xml:space="preserve">made </w:t>
      </w:r>
      <w:r w:rsidR="006300F0">
        <w:rPr>
          <w:noProof/>
          <w:lang w:val="en-IE"/>
        </w:rPr>
        <w:t>pursuant to paragraph 1 shall assess</w:t>
      </w:r>
      <w:r w:rsidR="004F7784" w:rsidRPr="004F7784">
        <w:rPr>
          <w:noProof/>
          <w:lang w:val="en-IE"/>
        </w:rPr>
        <w:t xml:space="preserve"> in particular:</w:t>
      </w:r>
    </w:p>
    <w:p w:rsidR="004351CC" w:rsidRDefault="00795BB5" w:rsidP="00795BB5">
      <w:pPr>
        <w:pStyle w:val="Point1"/>
        <w:rPr>
          <w:noProof/>
        </w:rPr>
      </w:pPr>
      <w:r w:rsidRPr="00795BB5">
        <w:t>(a)</w:t>
      </w:r>
      <w:r w:rsidRPr="00795BB5">
        <w:tab/>
      </w:r>
      <w:r w:rsidR="004F7784" w:rsidRPr="004F7784">
        <w:rPr>
          <w:noProof/>
        </w:rPr>
        <w:t xml:space="preserve">the impact </w:t>
      </w:r>
      <w:r w:rsidR="004F7784" w:rsidRPr="00DC713E">
        <w:rPr>
          <w:noProof/>
          <w:lang w:val="en-IE"/>
        </w:rPr>
        <w:t>of</w:t>
      </w:r>
      <w:r w:rsidR="004F7784" w:rsidRPr="004F7784">
        <w:rPr>
          <w:noProof/>
        </w:rPr>
        <w:t xml:space="preserve"> this Regulation on </w:t>
      </w:r>
      <w:r w:rsidR="004351CC">
        <w:rPr>
          <w:noProof/>
        </w:rPr>
        <w:t xml:space="preserve">the obligations imposed on </w:t>
      </w:r>
      <w:r w:rsidR="00122541">
        <w:rPr>
          <w:noProof/>
        </w:rPr>
        <w:t xml:space="preserve">online short-term rental </w:t>
      </w:r>
      <w:r w:rsidR="004351CC">
        <w:rPr>
          <w:noProof/>
        </w:rPr>
        <w:t>platforms</w:t>
      </w:r>
      <w:r w:rsidR="00122541">
        <w:rPr>
          <w:noProof/>
        </w:rPr>
        <w:t>;</w:t>
      </w:r>
    </w:p>
    <w:p w:rsidR="008C52BA" w:rsidRDefault="00795BB5" w:rsidP="00795BB5">
      <w:pPr>
        <w:pStyle w:val="Point1"/>
        <w:rPr>
          <w:noProof/>
        </w:rPr>
      </w:pPr>
      <w:r w:rsidRPr="00795BB5">
        <w:t>(b)</w:t>
      </w:r>
      <w:r w:rsidRPr="00795BB5">
        <w:tab/>
      </w:r>
      <w:r w:rsidR="00122541">
        <w:rPr>
          <w:noProof/>
        </w:rPr>
        <w:t xml:space="preserve">the impact of this Regulation on </w:t>
      </w:r>
      <w:r w:rsidR="007821AA">
        <w:rPr>
          <w:noProof/>
        </w:rPr>
        <w:t xml:space="preserve">the </w:t>
      </w:r>
      <w:r w:rsidR="00122541">
        <w:rPr>
          <w:noProof/>
        </w:rPr>
        <w:t>availability o</w:t>
      </w:r>
      <w:r w:rsidR="007821AA">
        <w:rPr>
          <w:noProof/>
        </w:rPr>
        <w:t>f</w:t>
      </w:r>
      <w:r w:rsidR="00122541">
        <w:rPr>
          <w:noProof/>
        </w:rPr>
        <w:t xml:space="preserve"> </w:t>
      </w:r>
      <w:r w:rsidR="004351CC">
        <w:rPr>
          <w:noProof/>
        </w:rPr>
        <w:t xml:space="preserve">data </w:t>
      </w:r>
      <w:r w:rsidR="00122541" w:rsidRPr="004F7784">
        <w:rPr>
          <w:noProof/>
          <w:lang w:val="en-IE"/>
        </w:rPr>
        <w:t xml:space="preserve">relating to the provision of </w:t>
      </w:r>
      <w:r w:rsidR="00E62FA3">
        <w:rPr>
          <w:noProof/>
          <w:lang w:val="en-IE"/>
        </w:rPr>
        <w:t>short-term accommodation rental</w:t>
      </w:r>
      <w:r w:rsidR="00122541" w:rsidRPr="004F7784">
        <w:rPr>
          <w:noProof/>
          <w:lang w:val="en-IE"/>
        </w:rPr>
        <w:t xml:space="preserve"> services offered </w:t>
      </w:r>
      <w:r w:rsidR="00F84E48">
        <w:rPr>
          <w:noProof/>
          <w:lang w:val="en-IE"/>
        </w:rPr>
        <w:t xml:space="preserve">in the Union </w:t>
      </w:r>
      <w:r w:rsidR="00122541" w:rsidRPr="004F7784">
        <w:rPr>
          <w:noProof/>
          <w:lang w:val="en-IE"/>
        </w:rPr>
        <w:t xml:space="preserve">by hosts through online </w:t>
      </w:r>
      <w:r w:rsidR="00122541">
        <w:rPr>
          <w:noProof/>
          <w:lang w:val="en-IE"/>
        </w:rPr>
        <w:t xml:space="preserve">short-term rental </w:t>
      </w:r>
      <w:r w:rsidR="00122541" w:rsidRPr="004F7784">
        <w:rPr>
          <w:noProof/>
          <w:lang w:val="en-IE"/>
        </w:rPr>
        <w:t>platforms</w:t>
      </w:r>
      <w:r w:rsidR="004F7784">
        <w:rPr>
          <w:noProof/>
        </w:rPr>
        <w:t>;</w:t>
      </w:r>
      <w:r w:rsidR="006300F0">
        <w:rPr>
          <w:noProof/>
        </w:rPr>
        <w:t xml:space="preserve"> and</w:t>
      </w:r>
    </w:p>
    <w:p w:rsidR="006300F0" w:rsidRDefault="00795BB5" w:rsidP="00795BB5">
      <w:pPr>
        <w:pStyle w:val="Point1"/>
        <w:rPr>
          <w:noProof/>
        </w:rPr>
      </w:pPr>
      <w:r w:rsidRPr="00795BB5">
        <w:t>(c)</w:t>
      </w:r>
      <w:r w:rsidRPr="00795BB5">
        <w:tab/>
      </w:r>
      <w:r w:rsidR="007B6734">
        <w:rPr>
          <w:noProof/>
        </w:rPr>
        <w:t xml:space="preserve">to the </w:t>
      </w:r>
      <w:r w:rsidR="00601F9F">
        <w:rPr>
          <w:noProof/>
        </w:rPr>
        <w:t xml:space="preserve">extent </w:t>
      </w:r>
      <w:r w:rsidR="007B6734">
        <w:rPr>
          <w:noProof/>
        </w:rPr>
        <w:t xml:space="preserve">possible, </w:t>
      </w:r>
      <w:r w:rsidR="004F7784">
        <w:rPr>
          <w:noProof/>
        </w:rPr>
        <w:t xml:space="preserve">the </w:t>
      </w:r>
      <w:r w:rsidR="002028D3">
        <w:rPr>
          <w:noProof/>
        </w:rPr>
        <w:t>impact</w:t>
      </w:r>
      <w:r w:rsidR="004F7784">
        <w:rPr>
          <w:noProof/>
        </w:rPr>
        <w:t xml:space="preserve"> of this Regulation</w:t>
      </w:r>
      <w:r w:rsidR="004F7784" w:rsidRPr="004F7784">
        <w:rPr>
          <w:noProof/>
        </w:rPr>
        <w:t xml:space="preserve"> on </w:t>
      </w:r>
      <w:r w:rsidR="004F7784">
        <w:rPr>
          <w:noProof/>
        </w:rPr>
        <w:t xml:space="preserve">the </w:t>
      </w:r>
      <w:r w:rsidR="003A1203">
        <w:rPr>
          <w:noProof/>
        </w:rPr>
        <w:t xml:space="preserve">content </w:t>
      </w:r>
      <w:r w:rsidR="00C24AE3">
        <w:rPr>
          <w:noProof/>
        </w:rPr>
        <w:t xml:space="preserve">and proportionality </w:t>
      </w:r>
      <w:r w:rsidR="004F7784" w:rsidRPr="004F7784">
        <w:rPr>
          <w:noProof/>
        </w:rPr>
        <w:t xml:space="preserve">of </w:t>
      </w:r>
      <w:r w:rsidR="003A1203">
        <w:rPr>
          <w:noProof/>
        </w:rPr>
        <w:t xml:space="preserve">national </w:t>
      </w:r>
      <w:r w:rsidR="004F7784" w:rsidRPr="004F7784">
        <w:rPr>
          <w:noProof/>
        </w:rPr>
        <w:t xml:space="preserve">legislative, regulatory or administrative </w:t>
      </w:r>
      <w:r w:rsidR="002028D3">
        <w:rPr>
          <w:noProof/>
        </w:rPr>
        <w:t>measures</w:t>
      </w:r>
      <w:r w:rsidR="002028D3" w:rsidRPr="004F7784">
        <w:rPr>
          <w:noProof/>
        </w:rPr>
        <w:t xml:space="preserve"> </w:t>
      </w:r>
      <w:r w:rsidR="003A1203">
        <w:rPr>
          <w:noProof/>
        </w:rPr>
        <w:t xml:space="preserve">relating to </w:t>
      </w:r>
      <w:r w:rsidR="004F7784">
        <w:rPr>
          <w:noProof/>
        </w:rPr>
        <w:t xml:space="preserve">access to and </w:t>
      </w:r>
      <w:r w:rsidR="002028D3">
        <w:rPr>
          <w:noProof/>
        </w:rPr>
        <w:t xml:space="preserve">the </w:t>
      </w:r>
      <w:r w:rsidR="003A1203">
        <w:rPr>
          <w:noProof/>
        </w:rPr>
        <w:t xml:space="preserve">provision </w:t>
      </w:r>
      <w:r w:rsidR="004F7784" w:rsidRPr="004F7784">
        <w:rPr>
          <w:noProof/>
        </w:rPr>
        <w:t xml:space="preserve">of </w:t>
      </w:r>
      <w:r w:rsidR="00E62FA3">
        <w:rPr>
          <w:noProof/>
          <w:lang w:val="en-IE"/>
        </w:rPr>
        <w:t>short-term accommodation rental</w:t>
      </w:r>
      <w:r w:rsidR="004F7784" w:rsidRPr="004F7784">
        <w:rPr>
          <w:noProof/>
        </w:rPr>
        <w:t xml:space="preserve"> services</w:t>
      </w:r>
      <w:r w:rsidR="001B6A39">
        <w:rPr>
          <w:rStyle w:val="CommentReference"/>
          <w:rFonts w:eastAsia="Times New Roman"/>
          <w:noProof/>
          <w:lang w:val="en-US"/>
        </w:rPr>
        <w:t>,</w:t>
      </w:r>
      <w:r w:rsidR="004F7784" w:rsidRPr="004F7784">
        <w:rPr>
          <w:noProof/>
        </w:rPr>
        <w:t xml:space="preserve"> including where such services are provided cross-border.</w:t>
      </w:r>
    </w:p>
    <w:p w:rsidR="002F2713" w:rsidRPr="004F7784" w:rsidRDefault="002F2713" w:rsidP="002F2713">
      <w:pPr>
        <w:pStyle w:val="Titrearticle"/>
        <w:rPr>
          <w:noProof/>
          <w:lang w:val="en-IE"/>
        </w:rPr>
      </w:pPr>
      <w:r w:rsidRPr="004F7784">
        <w:rPr>
          <w:noProof/>
          <w:lang w:val="en-IE"/>
        </w:rPr>
        <w:t xml:space="preserve">Article </w:t>
      </w:r>
      <w:r w:rsidR="00CD3F1A">
        <w:rPr>
          <w:noProof/>
          <w:lang w:val="en-IE"/>
        </w:rPr>
        <w:t>1</w:t>
      </w:r>
      <w:r w:rsidR="000A67D2">
        <w:rPr>
          <w:noProof/>
          <w:lang w:val="en-IE"/>
        </w:rPr>
        <w:t>9</w:t>
      </w:r>
    </w:p>
    <w:p w:rsidR="002F2713" w:rsidRPr="004F7784" w:rsidRDefault="006300F0" w:rsidP="002F2713">
      <w:pPr>
        <w:pStyle w:val="NormalCentered"/>
        <w:rPr>
          <w:b/>
          <w:noProof/>
          <w:lang w:val="en-IE"/>
        </w:rPr>
      </w:pPr>
      <w:r w:rsidRPr="006300F0">
        <w:rPr>
          <w:b/>
          <w:noProof/>
          <w:lang w:val="en-IE"/>
        </w:rPr>
        <w:t>Entry into force and application</w:t>
      </w:r>
    </w:p>
    <w:p w:rsidR="00601F9F" w:rsidRPr="00991FB5" w:rsidRDefault="006300F0" w:rsidP="00FE537B">
      <w:pPr>
        <w:rPr>
          <w:noProof/>
          <w:lang w:val="en-IE"/>
        </w:rPr>
      </w:pPr>
      <w:r w:rsidRPr="00991FB5">
        <w:rPr>
          <w:noProof/>
          <w:lang w:val="en-IE"/>
        </w:rPr>
        <w:t xml:space="preserve">This Regulation shall enter into force on the twentieth day following </w:t>
      </w:r>
      <w:r w:rsidR="003A1203">
        <w:rPr>
          <w:noProof/>
          <w:lang w:val="en-IE"/>
        </w:rPr>
        <w:t>th</w:t>
      </w:r>
      <w:r w:rsidR="00585CD3">
        <w:rPr>
          <w:noProof/>
          <w:lang w:val="en-IE"/>
        </w:rPr>
        <w:t>at</w:t>
      </w:r>
      <w:r w:rsidR="003A1203">
        <w:rPr>
          <w:noProof/>
          <w:lang w:val="en-IE"/>
        </w:rPr>
        <w:t xml:space="preserve"> </w:t>
      </w:r>
      <w:r w:rsidRPr="00991FB5">
        <w:rPr>
          <w:noProof/>
          <w:lang w:val="en-IE"/>
        </w:rPr>
        <w:t xml:space="preserve">of its publication in the </w:t>
      </w:r>
      <w:r w:rsidRPr="00FE537B">
        <w:rPr>
          <w:noProof/>
          <w:lang w:val="en-IE"/>
        </w:rPr>
        <w:t>Official Journal of the European Union</w:t>
      </w:r>
      <w:r w:rsidRPr="00991FB5">
        <w:rPr>
          <w:noProof/>
          <w:lang w:val="en-IE"/>
        </w:rPr>
        <w:t>.</w:t>
      </w:r>
    </w:p>
    <w:p w:rsidR="00405381" w:rsidRDefault="006300F0" w:rsidP="00FE537B">
      <w:pPr>
        <w:rPr>
          <w:noProof/>
          <w:lang w:val="en-IE"/>
        </w:rPr>
      </w:pPr>
      <w:r w:rsidRPr="006300F0">
        <w:rPr>
          <w:noProof/>
          <w:lang w:val="en-IE"/>
        </w:rPr>
        <w:t xml:space="preserve">It shall apply from </w:t>
      </w:r>
      <w:r w:rsidR="00405381">
        <w:rPr>
          <w:noProof/>
          <w:lang w:val="en-IE"/>
        </w:rPr>
        <w:t>[</w:t>
      </w:r>
      <w:r w:rsidR="00585CD3">
        <w:rPr>
          <w:noProof/>
          <w:lang w:val="en-IE"/>
        </w:rPr>
        <w:t>OP please insert date =</w:t>
      </w:r>
      <w:r w:rsidR="00405381">
        <w:rPr>
          <w:noProof/>
          <w:lang w:val="en-IE"/>
        </w:rPr>
        <w:t xml:space="preserve"> </w:t>
      </w:r>
      <w:r w:rsidR="00CE20DC">
        <w:rPr>
          <w:noProof/>
          <w:lang w:val="en-IE"/>
        </w:rPr>
        <w:t>24</w:t>
      </w:r>
      <w:r w:rsidRPr="006300F0">
        <w:rPr>
          <w:noProof/>
          <w:lang w:val="en-IE"/>
        </w:rPr>
        <w:t xml:space="preserve"> months after the date of entry into force </w:t>
      </w:r>
      <w:r>
        <w:rPr>
          <w:noProof/>
          <w:lang w:val="en-IE"/>
        </w:rPr>
        <w:t>of this Regulation</w:t>
      </w:r>
      <w:r w:rsidR="00405381">
        <w:rPr>
          <w:noProof/>
          <w:lang w:val="en-IE"/>
        </w:rPr>
        <w:t>].</w:t>
      </w:r>
    </w:p>
    <w:p w:rsidR="00405381" w:rsidRDefault="00405381" w:rsidP="005B179C">
      <w:pPr>
        <w:rPr>
          <w:noProof/>
          <w:lang w:val="en-IE"/>
        </w:rPr>
      </w:pPr>
    </w:p>
    <w:p w:rsidR="008E658F" w:rsidRPr="00405381" w:rsidRDefault="00405381" w:rsidP="002E731B">
      <w:pPr>
        <w:rPr>
          <w:noProof/>
          <w:lang w:val="en-IE"/>
        </w:rPr>
      </w:pPr>
      <w:r w:rsidRPr="00405381">
        <w:rPr>
          <w:noProof/>
          <w:lang w:val="en-IE"/>
        </w:rPr>
        <w:t>This Regulation</w:t>
      </w:r>
      <w:r w:rsidR="006300F0" w:rsidRPr="00405381">
        <w:rPr>
          <w:noProof/>
          <w:lang w:val="en-IE"/>
        </w:rPr>
        <w:t xml:space="preserve"> </w:t>
      </w:r>
      <w:r w:rsidR="008E658F" w:rsidRPr="00405381">
        <w:rPr>
          <w:noProof/>
          <w:lang w:val="en-IE"/>
        </w:rPr>
        <w:t>shall be binding in its entirety and directly applicable in all Member States.</w:t>
      </w:r>
    </w:p>
    <w:p w:rsidR="002320D4" w:rsidRPr="002320D4" w:rsidRDefault="002320D4" w:rsidP="002320D4">
      <w:pPr>
        <w:rPr>
          <w:noProof/>
          <w:lang w:val="en-IE"/>
        </w:rPr>
      </w:pPr>
    </w:p>
    <w:p w:rsidR="008E658F" w:rsidRPr="004F7784" w:rsidRDefault="002C70C5" w:rsidP="00C24BC4">
      <w:pPr>
        <w:pStyle w:val="Fait"/>
        <w:rPr>
          <w:noProof/>
          <w:lang w:val="en-IE"/>
        </w:rPr>
      </w:pPr>
      <w:r w:rsidRPr="002C70C5">
        <w:t>Done at Brussels,</w:t>
      </w:r>
    </w:p>
    <w:p w:rsidR="008E658F" w:rsidRPr="002E731B" w:rsidRDefault="008E658F" w:rsidP="00C24BC4">
      <w:pPr>
        <w:pStyle w:val="Institutionquisigne"/>
        <w:rPr>
          <w:noProof/>
          <w:lang w:val="en-IE"/>
        </w:rPr>
      </w:pPr>
      <w:r w:rsidRPr="002E731B">
        <w:rPr>
          <w:noProof/>
          <w:lang w:val="en-IE"/>
        </w:rPr>
        <w:t>For the European Parliament</w:t>
      </w:r>
      <w:r w:rsidRPr="002E731B">
        <w:rPr>
          <w:noProof/>
          <w:lang w:val="en-IE"/>
        </w:rPr>
        <w:tab/>
        <w:t>For the Council</w:t>
      </w:r>
    </w:p>
    <w:p w:rsidR="008E658F" w:rsidRPr="004F7784" w:rsidRDefault="008E658F" w:rsidP="008E658F">
      <w:pPr>
        <w:pStyle w:val="Personnequisigne"/>
        <w:rPr>
          <w:noProof/>
          <w:lang w:val="en-IE"/>
        </w:rPr>
      </w:pPr>
      <w:r w:rsidRPr="002E731B">
        <w:rPr>
          <w:noProof/>
          <w:lang w:val="en-IE"/>
        </w:rPr>
        <w:t>The President</w:t>
      </w:r>
      <w:r w:rsidRPr="002E731B">
        <w:rPr>
          <w:noProof/>
          <w:lang w:val="en-IE"/>
        </w:rPr>
        <w:tab/>
        <w:t>The President</w:t>
      </w:r>
    </w:p>
    <w:sectPr w:rsidR="008E658F" w:rsidRPr="004F7784" w:rsidSect="000A150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990" w:rsidRDefault="00B32990" w:rsidP="008E658F">
      <w:pPr>
        <w:spacing w:before="0" w:after="0"/>
      </w:pPr>
      <w:r>
        <w:separator/>
      </w:r>
    </w:p>
  </w:endnote>
  <w:endnote w:type="continuationSeparator" w:id="0">
    <w:p w:rsidR="00B32990" w:rsidRDefault="00B32990" w:rsidP="008E658F">
      <w:pPr>
        <w:spacing w:before="0" w:after="0"/>
      </w:pPr>
      <w:r>
        <w:continuationSeparator/>
      </w:r>
    </w:p>
  </w:endnote>
  <w:endnote w:type="continuationNotice" w:id="1">
    <w:p w:rsidR="00B32990" w:rsidRDefault="00B329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4A" w:rsidRPr="000A1507" w:rsidRDefault="000A1507" w:rsidP="000A1507">
    <w:pPr>
      <w:pStyle w:val="Footer"/>
      <w:rPr>
        <w:rFonts w:ascii="Arial" w:hAnsi="Arial" w:cs="Arial"/>
        <w:b/>
        <w:sz w:val="48"/>
      </w:rPr>
    </w:pPr>
    <w:r w:rsidRPr="000A1507">
      <w:rPr>
        <w:rFonts w:ascii="Arial" w:hAnsi="Arial" w:cs="Arial"/>
        <w:b/>
        <w:sz w:val="48"/>
      </w:rPr>
      <w:t>EN</w:t>
    </w:r>
    <w:r w:rsidRPr="000A1507">
      <w:rPr>
        <w:rFonts w:ascii="Arial" w:hAnsi="Arial" w:cs="Arial"/>
        <w:b/>
        <w:sz w:val="48"/>
      </w:rPr>
      <w:tab/>
    </w:r>
    <w:r w:rsidRPr="000A1507">
      <w:rPr>
        <w:rFonts w:ascii="Arial" w:hAnsi="Arial" w:cs="Arial"/>
        <w:b/>
        <w:sz w:val="48"/>
      </w:rPr>
      <w:tab/>
    </w:r>
    <w:r w:rsidRPr="000A1507">
      <w:tab/>
    </w:r>
    <w:r w:rsidRPr="000A150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Pr="000A1507" w:rsidRDefault="000A1507" w:rsidP="000A1507">
    <w:pPr>
      <w:pStyle w:val="Footer"/>
      <w:rPr>
        <w:rFonts w:ascii="Arial" w:hAnsi="Arial" w:cs="Arial"/>
        <w:b/>
        <w:sz w:val="48"/>
      </w:rPr>
    </w:pPr>
    <w:r w:rsidRPr="000A1507">
      <w:rPr>
        <w:rFonts w:ascii="Arial" w:hAnsi="Arial" w:cs="Arial"/>
        <w:b/>
        <w:sz w:val="48"/>
      </w:rPr>
      <w:t>EN</w:t>
    </w:r>
    <w:r w:rsidRPr="000A1507">
      <w:rPr>
        <w:rFonts w:ascii="Arial" w:hAnsi="Arial" w:cs="Arial"/>
        <w:b/>
        <w:sz w:val="48"/>
      </w:rPr>
      <w:tab/>
    </w:r>
    <w:r>
      <w:fldChar w:fldCharType="begin"/>
    </w:r>
    <w:r>
      <w:instrText xml:space="preserve"> PAGE  \* MERGEFORMAT </w:instrText>
    </w:r>
    <w:r>
      <w:fldChar w:fldCharType="separate"/>
    </w:r>
    <w:r w:rsidR="00C24BC4">
      <w:rPr>
        <w:noProof/>
      </w:rPr>
      <w:t>31</w:t>
    </w:r>
    <w:r>
      <w:fldChar w:fldCharType="end"/>
    </w:r>
    <w:r>
      <w:tab/>
    </w:r>
    <w:r w:rsidRPr="000A1507">
      <w:tab/>
    </w:r>
    <w:r w:rsidRPr="000A150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Pr="000A1507" w:rsidRDefault="000A1507" w:rsidP="000A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990" w:rsidRDefault="00B32990" w:rsidP="008E658F">
      <w:pPr>
        <w:spacing w:before="0" w:after="0"/>
      </w:pPr>
      <w:r>
        <w:separator/>
      </w:r>
    </w:p>
  </w:footnote>
  <w:footnote w:type="continuationSeparator" w:id="0">
    <w:p w:rsidR="00B32990" w:rsidRDefault="00B32990" w:rsidP="008E658F">
      <w:pPr>
        <w:spacing w:before="0" w:after="0"/>
      </w:pPr>
      <w:r>
        <w:continuationSeparator/>
      </w:r>
    </w:p>
  </w:footnote>
  <w:footnote w:type="continuationNotice" w:id="1">
    <w:p w:rsidR="00B32990" w:rsidRDefault="00B32990">
      <w:pPr>
        <w:spacing w:before="0" w:after="0"/>
      </w:pPr>
    </w:p>
  </w:footnote>
  <w:footnote w:id="2">
    <w:p w:rsidR="0078394A" w:rsidRPr="00E9538D" w:rsidRDefault="0078394A" w:rsidP="00D85359">
      <w:pPr>
        <w:pStyle w:val="FootnoteText"/>
        <w:rPr>
          <w:lang w:val="en-IE"/>
        </w:rPr>
      </w:pPr>
      <w:r w:rsidRPr="005B179C">
        <w:rPr>
          <w:rStyle w:val="FootnoteReference"/>
        </w:rPr>
        <w:footnoteRef/>
      </w:r>
      <w:r>
        <w:tab/>
      </w:r>
      <w:r w:rsidRPr="00E9538D">
        <w:rPr>
          <w:lang w:val="en-IE"/>
        </w:rPr>
        <w:t xml:space="preserve">The number of STR bookings during the summers of 2020 and 2021 </w:t>
      </w:r>
      <w:r>
        <w:rPr>
          <w:lang w:val="en-IE"/>
        </w:rPr>
        <w:t>was greater than in the summer of 2018</w:t>
      </w:r>
      <w:r w:rsidRPr="00E9538D">
        <w:rPr>
          <w:lang w:val="en-IE"/>
        </w:rPr>
        <w:t xml:space="preserve">; see </w:t>
      </w:r>
      <w:hyperlink r:id="rId1" w:history="1">
        <w:r w:rsidRPr="0077557E">
          <w:rPr>
            <w:rStyle w:val="Hyperlink"/>
          </w:rPr>
          <w:t>E</w:t>
        </w:r>
        <w:r>
          <w:rPr>
            <w:rStyle w:val="Hyperlink"/>
          </w:rPr>
          <w:t>urostat</w:t>
        </w:r>
        <w:r w:rsidRPr="0077557E">
          <w:rPr>
            <w:rStyle w:val="Hyperlink"/>
          </w:rPr>
          <w:t xml:space="preserve"> data</w:t>
        </w:r>
      </w:hyperlink>
      <w:r w:rsidRPr="00E9538D">
        <w:rPr>
          <w:lang w:val="en-IE"/>
        </w:rPr>
        <w:t>.</w:t>
      </w:r>
    </w:p>
  </w:footnote>
  <w:footnote w:id="3">
    <w:p w:rsidR="0078394A" w:rsidRPr="003E3655" w:rsidRDefault="0078394A" w:rsidP="00D85359">
      <w:pPr>
        <w:pStyle w:val="FootnoteText"/>
        <w:rPr>
          <w:lang w:val="en-IE"/>
        </w:rPr>
      </w:pPr>
      <w:r>
        <w:rPr>
          <w:rStyle w:val="FootnoteReference"/>
        </w:rPr>
        <w:footnoteRef/>
      </w:r>
      <w:r w:rsidRPr="003E3655">
        <w:rPr>
          <w:lang w:val="en-IE"/>
        </w:rPr>
        <w:tab/>
      </w:r>
      <w:r w:rsidRPr="00454BF3">
        <w:rPr>
          <w:lang w:val="en-IE"/>
        </w:rPr>
        <w:t xml:space="preserve">Regulation (EU) </w:t>
      </w:r>
      <w:r w:rsidR="008439AF">
        <w:rPr>
          <w:lang w:val="en-IE"/>
        </w:rPr>
        <w:t>2022/2065</w:t>
      </w:r>
      <w:r w:rsidR="008439AF" w:rsidRPr="00454BF3">
        <w:rPr>
          <w:lang w:val="en-IE"/>
        </w:rPr>
        <w:t xml:space="preserve"> </w:t>
      </w:r>
      <w:r w:rsidRPr="00454BF3">
        <w:rPr>
          <w:lang w:val="en-IE"/>
        </w:rPr>
        <w:t>of the European Parliament and of the Council</w:t>
      </w:r>
      <w:r w:rsidR="008439AF">
        <w:rPr>
          <w:lang w:val="en-IE"/>
        </w:rPr>
        <w:t xml:space="preserve"> of 19 October 2022</w:t>
      </w:r>
      <w:r w:rsidRPr="00454BF3">
        <w:rPr>
          <w:lang w:val="en-IE"/>
        </w:rPr>
        <w:t xml:space="preserve"> on a Single Market For Digital Services  and amending Directive 2000/31/EC</w:t>
      </w:r>
      <w:r w:rsidR="008439AF">
        <w:rPr>
          <w:lang w:val="en-IE"/>
        </w:rPr>
        <w:t xml:space="preserve"> (Digital Services Act)</w:t>
      </w:r>
      <w:r w:rsidRPr="00454BF3">
        <w:rPr>
          <w:lang w:val="en-IE"/>
        </w:rPr>
        <w:t xml:space="preserve">, </w:t>
      </w:r>
      <w:r w:rsidR="008439AF" w:rsidRPr="008439AF">
        <w:rPr>
          <w:lang w:val="en-IE"/>
        </w:rPr>
        <w:t>OJ L 277, 27.10.2022, p. 1-102.</w:t>
      </w:r>
    </w:p>
  </w:footnote>
  <w:footnote w:id="4">
    <w:p w:rsidR="0078394A" w:rsidRPr="00987B42" w:rsidRDefault="0078394A" w:rsidP="00D85359">
      <w:pPr>
        <w:pStyle w:val="FootnoteText"/>
        <w:rPr>
          <w:lang w:val="en-IE"/>
        </w:rPr>
      </w:pPr>
      <w:r>
        <w:rPr>
          <w:rStyle w:val="FootnoteReference"/>
        </w:rPr>
        <w:footnoteRef/>
      </w:r>
      <w:r w:rsidRPr="00987B42">
        <w:rPr>
          <w:lang w:val="en-IE"/>
        </w:rPr>
        <w:tab/>
        <w:t xml:space="preserve">Directive 2006/123/EC </w:t>
      </w:r>
      <w:r w:rsidRPr="003E7239">
        <w:rPr>
          <w:lang w:val="en-IE"/>
        </w:rPr>
        <w:t xml:space="preserve">of the European Parliament and of the Council of </w:t>
      </w:r>
      <w:r>
        <w:rPr>
          <w:lang w:val="en-IE"/>
        </w:rPr>
        <w:t xml:space="preserve">12 December 2006 </w:t>
      </w:r>
      <w:r w:rsidRPr="00987B42">
        <w:rPr>
          <w:lang w:val="en-IE"/>
        </w:rPr>
        <w:t xml:space="preserve">on services in the internal </w:t>
      </w:r>
      <w:r w:rsidRPr="003042BF">
        <w:rPr>
          <w:lang w:val="en-IE"/>
        </w:rPr>
        <w:t xml:space="preserve">market, </w:t>
      </w:r>
      <w:r w:rsidRPr="003042BF">
        <w:rPr>
          <w:iCs/>
          <w:lang w:val="en-IE"/>
        </w:rPr>
        <w:t>OJ L 376, 27.12.2006, p. 36–68</w:t>
      </w:r>
      <w:r w:rsidRPr="003042BF">
        <w:rPr>
          <w:lang w:val="en-IE"/>
        </w:rPr>
        <w:t>.</w:t>
      </w:r>
    </w:p>
  </w:footnote>
  <w:footnote w:id="5">
    <w:p w:rsidR="0078394A" w:rsidRPr="009F17FB" w:rsidRDefault="0078394A" w:rsidP="00D85359">
      <w:pPr>
        <w:pStyle w:val="FootnoteText"/>
        <w:rPr>
          <w:lang w:val="fr-BE"/>
        </w:rPr>
      </w:pPr>
      <w:r>
        <w:rPr>
          <w:rStyle w:val="FootnoteReference"/>
        </w:rPr>
        <w:footnoteRef/>
      </w:r>
      <w:r w:rsidRPr="009F17FB">
        <w:rPr>
          <w:lang w:val="fr-BE"/>
        </w:rPr>
        <w:tab/>
        <w:t xml:space="preserve">Judgment of 22 September 2020, </w:t>
      </w:r>
      <w:r w:rsidRPr="009F17FB">
        <w:rPr>
          <w:i/>
          <w:iCs/>
          <w:lang w:val="fr-BE"/>
        </w:rPr>
        <w:t>Cali Apartments SCI and HX</w:t>
      </w:r>
      <w:r w:rsidRPr="009F17FB">
        <w:rPr>
          <w:lang w:val="fr-BE"/>
        </w:rPr>
        <w:t xml:space="preserve"> v </w:t>
      </w:r>
      <w:r w:rsidRPr="009F17FB">
        <w:rPr>
          <w:i/>
          <w:iCs/>
          <w:lang w:val="fr-BE"/>
        </w:rPr>
        <w:t>Procureur général près la cour d'appel de Paris and Ville de Paris</w:t>
      </w:r>
      <w:r w:rsidRPr="002524F5">
        <w:rPr>
          <w:lang w:val="fr-BE"/>
        </w:rPr>
        <w:t xml:space="preserve">, </w:t>
      </w:r>
      <w:r w:rsidRPr="009F17FB">
        <w:rPr>
          <w:lang w:val="fr-BE"/>
        </w:rPr>
        <w:t xml:space="preserve">C-724/18, </w:t>
      </w:r>
      <w:r w:rsidRPr="003042BF">
        <w:rPr>
          <w:lang w:val="fr-BE"/>
        </w:rPr>
        <w:t>EU:C:2020:743,</w:t>
      </w:r>
      <w:r w:rsidRPr="00BA0B39">
        <w:rPr>
          <w:lang w:val="fr-BE"/>
        </w:rPr>
        <w:t xml:space="preserve"> </w:t>
      </w:r>
      <w:r w:rsidRPr="002524F5">
        <w:rPr>
          <w:lang w:val="fr-BE"/>
        </w:rPr>
        <w:t>para</w:t>
      </w:r>
      <w:r>
        <w:rPr>
          <w:lang w:val="fr-BE"/>
        </w:rPr>
        <w:t>graph</w:t>
      </w:r>
      <w:r w:rsidRPr="002524F5">
        <w:rPr>
          <w:lang w:val="fr-BE"/>
        </w:rPr>
        <w:t xml:space="preserve"> </w:t>
      </w:r>
      <w:r w:rsidRPr="009F17FB">
        <w:rPr>
          <w:lang w:val="fr-BE"/>
        </w:rPr>
        <w:t>88.</w:t>
      </w:r>
    </w:p>
  </w:footnote>
  <w:footnote w:id="6">
    <w:p w:rsidR="0078394A" w:rsidRPr="00381BBC" w:rsidRDefault="0078394A">
      <w:pPr>
        <w:pStyle w:val="FootnoteText"/>
        <w:rPr>
          <w:lang w:val="en-IE"/>
        </w:rPr>
      </w:pPr>
      <w:r w:rsidRPr="003511C4">
        <w:rPr>
          <w:rStyle w:val="FootnoteReference"/>
        </w:rPr>
        <w:footnoteRef/>
      </w:r>
      <w:r>
        <w:tab/>
      </w:r>
      <w:r w:rsidRPr="00381BBC">
        <w:rPr>
          <w:bCs/>
          <w:lang w:val="en-IE"/>
        </w:rPr>
        <w:t>Directive 2000/31/EC of the European Parliament and of the Council of 8 June 2000 on certain legal aspects of information society services, in particular electronic commerce, in the Internal Market ('Directive on electronic commerce')</w:t>
      </w:r>
      <w:r>
        <w:rPr>
          <w:bCs/>
          <w:lang w:val="en-IE"/>
        </w:rPr>
        <w:t xml:space="preserve"> (</w:t>
      </w:r>
      <w:r w:rsidRPr="00381BBC">
        <w:rPr>
          <w:iCs/>
          <w:lang w:val="en-IE"/>
        </w:rPr>
        <w:t>OJ L 178, 17.7.2000, p. 1</w:t>
      </w:r>
      <w:r>
        <w:rPr>
          <w:iCs/>
          <w:lang w:val="en-IE"/>
        </w:rPr>
        <w:t>).</w:t>
      </w:r>
    </w:p>
  </w:footnote>
  <w:footnote w:id="7">
    <w:p w:rsidR="0078394A" w:rsidRPr="001F2DE7" w:rsidRDefault="0078394A" w:rsidP="00D85359">
      <w:pPr>
        <w:pStyle w:val="FootnoteText"/>
        <w:rPr>
          <w:lang w:val="en-IE"/>
        </w:rPr>
      </w:pPr>
      <w:r>
        <w:rPr>
          <w:rStyle w:val="FootnoteReference"/>
        </w:rPr>
        <w:footnoteRef/>
      </w:r>
      <w:r w:rsidRPr="003E3655">
        <w:rPr>
          <w:lang w:val="en-IE"/>
        </w:rPr>
        <w:tab/>
      </w:r>
      <w:r w:rsidRPr="003E7239">
        <w:rPr>
          <w:lang w:val="en-IE"/>
        </w:rPr>
        <w:t>Regulation (EU)</w:t>
      </w:r>
      <w:r>
        <w:rPr>
          <w:lang w:val="en-IE"/>
        </w:rPr>
        <w:t xml:space="preserve"> </w:t>
      </w:r>
      <w:r w:rsidRPr="003E7239">
        <w:rPr>
          <w:lang w:val="en-IE"/>
        </w:rPr>
        <w:t>2019/1150 of the European Parliament and of the Council of 20 June 2019 on promoting fairness and transparency for business users of online intermediation services</w:t>
      </w:r>
      <w:r>
        <w:rPr>
          <w:lang w:val="en-IE"/>
        </w:rPr>
        <w:t>.</w:t>
      </w:r>
    </w:p>
  </w:footnote>
  <w:footnote w:id="8">
    <w:p w:rsidR="0078394A" w:rsidRPr="001F2DE7" w:rsidRDefault="0078394A" w:rsidP="00D85359">
      <w:pPr>
        <w:pStyle w:val="FootnoteText"/>
        <w:rPr>
          <w:lang w:val="en-IE"/>
        </w:rPr>
      </w:pPr>
      <w:r>
        <w:rPr>
          <w:rStyle w:val="FootnoteReference"/>
        </w:rPr>
        <w:footnoteRef/>
      </w:r>
      <w:r w:rsidRPr="001F2DE7">
        <w:rPr>
          <w:lang w:val="en-IE"/>
        </w:rPr>
        <w:tab/>
      </w:r>
      <w:r w:rsidRPr="007671F0">
        <w:rPr>
          <w:lang w:val="en-IE"/>
        </w:rPr>
        <w:t xml:space="preserve">Proposal for a </w:t>
      </w:r>
      <w:r>
        <w:rPr>
          <w:lang w:val="en-IE"/>
        </w:rPr>
        <w:t xml:space="preserve">Regulation of the European Parliament and of the Council </w:t>
      </w:r>
      <w:r w:rsidRPr="007671F0">
        <w:rPr>
          <w:lang w:val="en-IE"/>
        </w:rPr>
        <w:t>on harmonised rules on fair access to and use of data</w:t>
      </w:r>
      <w:r>
        <w:rPr>
          <w:lang w:val="en-IE"/>
        </w:rPr>
        <w:t xml:space="preserve">, </w:t>
      </w:r>
      <w:r w:rsidRPr="001F2DE7">
        <w:rPr>
          <w:lang w:val="en-IE"/>
        </w:rPr>
        <w:t>COM(2022) 68 final.</w:t>
      </w:r>
    </w:p>
  </w:footnote>
  <w:footnote w:id="9">
    <w:p w:rsidR="0078394A" w:rsidRPr="0080277D" w:rsidRDefault="0078394A" w:rsidP="00D85359">
      <w:pPr>
        <w:pStyle w:val="FootnoteText"/>
        <w:rPr>
          <w:lang w:val="en-IE"/>
        </w:rPr>
      </w:pPr>
      <w:r>
        <w:rPr>
          <w:rStyle w:val="FootnoteReference"/>
        </w:rPr>
        <w:footnoteRef/>
      </w:r>
      <w:r w:rsidRPr="0080277D">
        <w:rPr>
          <w:lang w:val="en-IE"/>
        </w:rPr>
        <w:tab/>
      </w:r>
      <w:r w:rsidRPr="00352239">
        <w:rPr>
          <w:lang w:val="en-IE"/>
        </w:rPr>
        <w:t>Regulation (EU) 2016/679 of the European Parliament and of the Council of 27 April 2016 on the protection of natural persons with regard to the processing of personal data and on the free movement of such data, and repealing Directive 95/46/EC</w:t>
      </w:r>
      <w:r>
        <w:rPr>
          <w:lang w:val="en-IE"/>
        </w:rPr>
        <w:t>.</w:t>
      </w:r>
    </w:p>
  </w:footnote>
  <w:footnote w:id="10">
    <w:p w:rsidR="0078394A" w:rsidRPr="00987B42" w:rsidRDefault="0078394A" w:rsidP="00D85359">
      <w:pPr>
        <w:pStyle w:val="FootnoteText"/>
        <w:rPr>
          <w:lang w:val="en-IE"/>
        </w:rPr>
      </w:pPr>
      <w:r>
        <w:rPr>
          <w:rStyle w:val="FootnoteReference"/>
        </w:rPr>
        <w:footnoteRef/>
      </w:r>
      <w:r w:rsidRPr="00987B42">
        <w:rPr>
          <w:lang w:val="en-IE"/>
        </w:rPr>
        <w:tab/>
        <w:t xml:space="preserve">Regulation (EU) 2018/1724 </w:t>
      </w:r>
      <w:r w:rsidRPr="008E4A2D">
        <w:rPr>
          <w:lang w:val="en-IE"/>
        </w:rPr>
        <w:t>of the European Parliament and of the Council of 2 October 2018 establishing a single digital gateway to provide access to information, to procedures and to assistance and problem-solving services and amending Regulation (EU) No 1024/2012</w:t>
      </w:r>
      <w:r>
        <w:rPr>
          <w:lang w:val="en-IE"/>
        </w:rPr>
        <w:t xml:space="preserve">, </w:t>
      </w:r>
      <w:r w:rsidRPr="00F74329">
        <w:rPr>
          <w:lang w:val="en-IE"/>
        </w:rPr>
        <w:t>OJ L 295, 21.11.2018, p. 1–38</w:t>
      </w:r>
      <w:r>
        <w:rPr>
          <w:lang w:val="en-IE"/>
        </w:rPr>
        <w:t>.</w:t>
      </w:r>
    </w:p>
  </w:footnote>
  <w:footnote w:id="11">
    <w:p w:rsidR="0078394A" w:rsidRPr="00987B42" w:rsidRDefault="0078394A" w:rsidP="00D85359">
      <w:pPr>
        <w:pStyle w:val="FootnoteText"/>
        <w:rPr>
          <w:lang w:val="en-IE"/>
        </w:rPr>
      </w:pPr>
      <w:r>
        <w:rPr>
          <w:rStyle w:val="FootnoteReference"/>
        </w:rPr>
        <w:footnoteRef/>
      </w:r>
      <w:r w:rsidRPr="00987B42">
        <w:rPr>
          <w:lang w:val="en-IE"/>
        </w:rPr>
        <w:tab/>
      </w:r>
      <w:r w:rsidRPr="00EA4CA0">
        <w:rPr>
          <w:lang w:val="en-IE"/>
        </w:rPr>
        <w:t xml:space="preserve">Council Directive (EU) 2021/514 </w:t>
      </w:r>
      <w:r>
        <w:rPr>
          <w:lang w:val="en-IE"/>
        </w:rPr>
        <w:t>of 22 March 2021</w:t>
      </w:r>
      <w:r w:rsidRPr="00EA4CA0">
        <w:rPr>
          <w:lang w:val="en-IE"/>
        </w:rPr>
        <w:t xml:space="preserve"> amend</w:t>
      </w:r>
      <w:r>
        <w:rPr>
          <w:lang w:val="en-IE"/>
        </w:rPr>
        <w:t>ing</w:t>
      </w:r>
      <w:r w:rsidRPr="00EA4CA0">
        <w:rPr>
          <w:lang w:val="en-IE"/>
        </w:rPr>
        <w:t xml:space="preserve"> Directive 2011/16/EU on administrative cooperation in the field of taxation </w:t>
      </w:r>
      <w:r>
        <w:rPr>
          <w:lang w:val="en-IE"/>
        </w:rPr>
        <w:t xml:space="preserve">has </w:t>
      </w:r>
      <w:r w:rsidRPr="00EA4CA0">
        <w:rPr>
          <w:lang w:val="en-IE"/>
        </w:rPr>
        <w:t>extend</w:t>
      </w:r>
      <w:r>
        <w:rPr>
          <w:lang w:val="en-IE"/>
        </w:rPr>
        <w:t>ed</w:t>
      </w:r>
      <w:r w:rsidRPr="00EA4CA0">
        <w:rPr>
          <w:lang w:val="en-IE"/>
        </w:rPr>
        <w:t xml:space="preserve"> the EU</w:t>
      </w:r>
      <w:r>
        <w:rPr>
          <w:lang w:val="en-IE"/>
        </w:rPr>
        <w:t>’s</w:t>
      </w:r>
      <w:r w:rsidRPr="00EA4CA0">
        <w:rPr>
          <w:lang w:val="en-IE"/>
        </w:rPr>
        <w:t xml:space="preserve"> framework on the automatic exchange of infor</w:t>
      </w:r>
      <w:r>
        <w:rPr>
          <w:lang w:val="en-IE"/>
        </w:rPr>
        <w:t xml:space="preserve">mation in the field of taxation. </w:t>
      </w:r>
      <w:r>
        <w:t>Member States have to incorporate this Directive into their national laws by 31 January 2022 and to apply the new provisions from 1 January 2023.</w:t>
      </w:r>
    </w:p>
  </w:footnote>
  <w:footnote w:id="12">
    <w:p w:rsidR="0078394A" w:rsidRPr="003F0F4C" w:rsidRDefault="0078394A" w:rsidP="00D85359">
      <w:pPr>
        <w:pStyle w:val="FootnoteText"/>
      </w:pPr>
      <w:r>
        <w:rPr>
          <w:rStyle w:val="FootnoteReference"/>
        </w:rPr>
        <w:footnoteRef/>
      </w:r>
      <w:r w:rsidRPr="00E9538D">
        <w:rPr>
          <w:lang w:val="en-IE"/>
        </w:rPr>
        <w:tab/>
      </w:r>
      <w:hyperlink r:id="rId2" w:history="1">
        <w:r w:rsidRPr="00F74329">
          <w:rPr>
            <w:rStyle w:val="Hyperlink"/>
            <w:lang w:val="en-IE"/>
          </w:rPr>
          <w:t>Commission Communication on shaping Europe’s digital future, COM/2020/67 final</w:t>
        </w:r>
      </w:hyperlink>
      <w:r w:rsidRPr="00987B42">
        <w:rPr>
          <w:lang w:val="en-IE"/>
        </w:rPr>
        <w:t>.</w:t>
      </w:r>
    </w:p>
  </w:footnote>
  <w:footnote w:id="13">
    <w:p w:rsidR="0078394A" w:rsidRPr="001F2DE7" w:rsidRDefault="0078394A" w:rsidP="00D85359">
      <w:pPr>
        <w:pStyle w:val="FootnoteText"/>
        <w:rPr>
          <w:lang w:val="en-IE"/>
        </w:rPr>
      </w:pPr>
      <w:r>
        <w:rPr>
          <w:rStyle w:val="FootnoteReference"/>
        </w:rPr>
        <w:footnoteRef/>
      </w:r>
      <w:r w:rsidRPr="001F2DE7">
        <w:rPr>
          <w:lang w:val="en-IE"/>
        </w:rPr>
        <w:tab/>
      </w:r>
      <w:hyperlink r:id="rId3" w:history="1">
        <w:r w:rsidRPr="00D44E11">
          <w:rPr>
            <w:rStyle w:val="Hyperlink"/>
            <w:lang w:val="en-IE"/>
          </w:rPr>
          <w:t>Commission Communication on an SME Strategy for a sustainable and digital Europe, COM(2020)103</w:t>
        </w:r>
      </w:hyperlink>
      <w:r w:rsidRPr="00987B42">
        <w:rPr>
          <w:lang w:val="en-IE"/>
        </w:rPr>
        <w:t>.</w:t>
      </w:r>
    </w:p>
  </w:footnote>
  <w:footnote w:id="14">
    <w:p w:rsidR="0078394A" w:rsidRPr="00987B42" w:rsidRDefault="0078394A" w:rsidP="00D85359">
      <w:pPr>
        <w:pStyle w:val="FootnoteText"/>
        <w:rPr>
          <w:lang w:val="en-IE"/>
        </w:rPr>
      </w:pPr>
      <w:r>
        <w:rPr>
          <w:rStyle w:val="FootnoteReference"/>
        </w:rPr>
        <w:footnoteRef/>
      </w:r>
      <w:r w:rsidRPr="00987B42">
        <w:rPr>
          <w:lang w:val="en-IE"/>
        </w:rPr>
        <w:tab/>
      </w:r>
      <w:hyperlink r:id="rId4" w:history="1">
        <w:r w:rsidRPr="005E1E75">
          <w:rPr>
            <w:rStyle w:val="Hyperlink"/>
            <w:lang w:val="en-IE"/>
          </w:rPr>
          <w:t>Transition pathway for tourism - Publications Office of the EU (europa.eu)</w:t>
        </w:r>
      </w:hyperlink>
      <w:r>
        <w:rPr>
          <w:lang w:val="en-IE"/>
        </w:rPr>
        <w:t>.</w:t>
      </w:r>
    </w:p>
  </w:footnote>
  <w:footnote w:id="15">
    <w:p w:rsidR="0078394A" w:rsidRPr="00987B42" w:rsidRDefault="0078394A" w:rsidP="00D85359">
      <w:pPr>
        <w:pStyle w:val="FootnoteText"/>
        <w:rPr>
          <w:lang w:val="en-IE"/>
        </w:rPr>
      </w:pPr>
      <w:r>
        <w:rPr>
          <w:rStyle w:val="FootnoteReference"/>
        </w:rPr>
        <w:footnoteRef/>
      </w:r>
      <w:r w:rsidRPr="00987B42">
        <w:rPr>
          <w:lang w:val="en-IE"/>
        </w:rPr>
        <w:tab/>
      </w:r>
      <w:hyperlink r:id="rId5" w:history="1">
        <w:r w:rsidRPr="005E1E75">
          <w:rPr>
            <w:rStyle w:val="Hyperlink"/>
            <w:lang w:val="en-IE"/>
          </w:rPr>
          <w:t>Final Action Plan of the Partnership on Culture/Cultural Heritage | Futurium (europa.eu)</w:t>
        </w:r>
      </w:hyperlink>
      <w:r>
        <w:rPr>
          <w:lang w:val="en-IE"/>
        </w:rPr>
        <w:t>.</w:t>
      </w:r>
    </w:p>
  </w:footnote>
  <w:footnote w:id="16">
    <w:p w:rsidR="0078394A" w:rsidRPr="00987B42" w:rsidRDefault="0078394A" w:rsidP="00D85359">
      <w:pPr>
        <w:pStyle w:val="FootnoteText"/>
        <w:rPr>
          <w:lang w:val="en-IE"/>
        </w:rPr>
      </w:pPr>
      <w:r>
        <w:rPr>
          <w:rStyle w:val="FootnoteReference"/>
        </w:rPr>
        <w:footnoteRef/>
      </w:r>
      <w:r w:rsidRPr="00987B42">
        <w:rPr>
          <w:lang w:val="en-IE"/>
        </w:rPr>
        <w:tab/>
      </w:r>
      <w:hyperlink r:id="rId6" w:history="1">
        <w:r>
          <w:rPr>
            <w:rStyle w:val="Hyperlink"/>
          </w:rPr>
          <w:t>THE 17 GOALS | Sustainable Development (un.org)</w:t>
        </w:r>
      </w:hyperlink>
      <w:r>
        <w:t>.</w:t>
      </w:r>
    </w:p>
  </w:footnote>
  <w:footnote w:id="17">
    <w:p w:rsidR="0078394A" w:rsidRPr="008C55FF" w:rsidRDefault="0078394A" w:rsidP="00D85359">
      <w:pPr>
        <w:pStyle w:val="FootnoteText"/>
        <w:rPr>
          <w:lang w:val="en-IE"/>
        </w:rPr>
      </w:pPr>
      <w:r>
        <w:rPr>
          <w:rStyle w:val="FootnoteReference"/>
        </w:rPr>
        <w:footnoteRef/>
      </w:r>
      <w:r w:rsidRPr="00987B42">
        <w:rPr>
          <w:lang w:val="en-IE"/>
        </w:rPr>
        <w:tab/>
      </w:r>
      <w:r w:rsidRPr="008C55FF">
        <w:rPr>
          <w:lang w:val="en-IE"/>
        </w:rPr>
        <w:t xml:space="preserve">Conference on the Future of Europe, Report on the Final Outcome, proposal 12, </w:t>
      </w:r>
    </w:p>
    <w:p w:rsidR="0078394A" w:rsidRPr="00987B42" w:rsidRDefault="00C24BC4" w:rsidP="00D85359">
      <w:pPr>
        <w:pStyle w:val="FootnoteText"/>
        <w:ind w:firstLine="0"/>
        <w:rPr>
          <w:lang w:val="en-IE"/>
        </w:rPr>
      </w:pPr>
      <w:hyperlink r:id="rId7" w:history="1">
        <w:r w:rsidR="0078394A" w:rsidRPr="00553AD1">
          <w:rPr>
            <w:rStyle w:val="Hyperlink"/>
            <w:lang w:val="en-IE"/>
          </w:rPr>
          <w:t>https://futureu.europa.eu/pages/reporting</w:t>
        </w:r>
      </w:hyperlink>
      <w:r w:rsidR="0078394A" w:rsidRPr="008C55FF">
        <w:rPr>
          <w:lang w:val="en-IE"/>
        </w:rPr>
        <w:t>; see also COM/2022/404 final</w:t>
      </w:r>
      <w:r w:rsidR="0078394A">
        <w:rPr>
          <w:lang w:val="en-IE"/>
        </w:rPr>
        <w:t>.</w:t>
      </w:r>
    </w:p>
  </w:footnote>
  <w:footnote w:id="18">
    <w:p w:rsidR="0078394A" w:rsidRPr="00987B42" w:rsidRDefault="0078394A" w:rsidP="00D85359">
      <w:pPr>
        <w:pStyle w:val="FootnoteText"/>
        <w:rPr>
          <w:lang w:val="en-IE"/>
        </w:rPr>
      </w:pPr>
      <w:r>
        <w:rPr>
          <w:rStyle w:val="FootnoteReference"/>
        </w:rPr>
        <w:footnoteRef/>
      </w:r>
      <w:r w:rsidRPr="00987B42">
        <w:rPr>
          <w:lang w:val="en-IE"/>
        </w:rPr>
        <w:tab/>
      </w:r>
      <w:r>
        <w:rPr>
          <w:lang w:val="en-IE"/>
        </w:rPr>
        <w:t xml:space="preserve">Such as the WTO </w:t>
      </w:r>
      <w:r w:rsidRPr="008C55FF">
        <w:rPr>
          <w:lang w:val="en-IE"/>
        </w:rPr>
        <w:t xml:space="preserve">General </w:t>
      </w:r>
      <w:r>
        <w:rPr>
          <w:lang w:val="en-IE"/>
        </w:rPr>
        <w:t>Agreements on Trade in Services,</w:t>
      </w:r>
      <w:r w:rsidRPr="008C55FF">
        <w:rPr>
          <w:lang w:val="en-IE"/>
        </w:rPr>
        <w:t xml:space="preserve"> </w:t>
      </w:r>
      <w:r>
        <w:rPr>
          <w:lang w:val="en-IE"/>
        </w:rPr>
        <w:t xml:space="preserve">available </w:t>
      </w:r>
      <w:hyperlink r:id="rId8" w:history="1">
        <w:r w:rsidRPr="008C55FF">
          <w:rPr>
            <w:rStyle w:val="Hyperlink"/>
            <w:lang w:val="en-IE"/>
          </w:rPr>
          <w:t>here</w:t>
        </w:r>
      </w:hyperlink>
      <w:r w:rsidRPr="004E2A68">
        <w:t>, and other relevant trade agreements</w:t>
      </w:r>
      <w:r>
        <w:rPr>
          <w:lang w:val="en-IE"/>
        </w:rPr>
        <w:t>.</w:t>
      </w:r>
    </w:p>
  </w:footnote>
  <w:footnote w:id="19">
    <w:p w:rsidR="0078394A" w:rsidRPr="001F2DE7" w:rsidRDefault="0078394A" w:rsidP="00D85359">
      <w:pPr>
        <w:pStyle w:val="FootnoteText"/>
        <w:rPr>
          <w:lang w:val="en-IE"/>
        </w:rPr>
      </w:pPr>
      <w:r>
        <w:rPr>
          <w:rStyle w:val="FootnoteReference"/>
        </w:rPr>
        <w:footnoteRef/>
      </w:r>
      <w:r w:rsidRPr="001F2DE7">
        <w:rPr>
          <w:lang w:val="en-IE"/>
        </w:rPr>
        <w:tab/>
      </w:r>
      <w:hyperlink r:id="rId9" w:history="1">
        <w:r w:rsidRPr="00D44E11">
          <w:rPr>
            <w:rStyle w:val="Hyperlink"/>
            <w:lang w:val="en-IE"/>
          </w:rPr>
          <w:t>COM/2022/28 final</w:t>
        </w:r>
      </w:hyperlink>
      <w:r w:rsidRPr="001F2DE7">
        <w:rPr>
          <w:lang w:val="en-IE"/>
        </w:rPr>
        <w:t>.</w:t>
      </w:r>
    </w:p>
  </w:footnote>
  <w:footnote w:id="20">
    <w:p w:rsidR="0078394A" w:rsidRPr="00987B42" w:rsidRDefault="0078394A" w:rsidP="00D85359">
      <w:pPr>
        <w:pStyle w:val="FootnoteText"/>
        <w:rPr>
          <w:lang w:val="en-IE"/>
        </w:rPr>
      </w:pPr>
      <w:r w:rsidRPr="005B179C">
        <w:rPr>
          <w:rStyle w:val="FootnoteReference"/>
        </w:rPr>
        <w:footnoteRef/>
      </w:r>
      <w:r>
        <w:tab/>
      </w:r>
      <w:r w:rsidRPr="006763B3">
        <w:t xml:space="preserve">Communication </w:t>
      </w:r>
      <w:r>
        <w:t>on a</w:t>
      </w:r>
      <w:r w:rsidRPr="006763B3">
        <w:t xml:space="preserve"> European agenda for </w:t>
      </w:r>
      <w:r>
        <w:t xml:space="preserve">the </w:t>
      </w:r>
      <w:r w:rsidRPr="006763B3">
        <w:t>collaborative</w:t>
      </w:r>
      <w:r>
        <w:t xml:space="preserve"> economy (COM/2016/0356 final).</w:t>
      </w:r>
    </w:p>
  </w:footnote>
  <w:footnote w:id="21">
    <w:p w:rsidR="0078394A" w:rsidRPr="00987B42" w:rsidRDefault="0078394A" w:rsidP="00C7722F">
      <w:pPr>
        <w:pStyle w:val="FootnoteText"/>
        <w:rPr>
          <w:lang w:val="en-IE"/>
        </w:rPr>
      </w:pPr>
      <w:r w:rsidRPr="005B179C">
        <w:rPr>
          <w:rStyle w:val="FootnoteReference"/>
        </w:rPr>
        <w:footnoteRef/>
      </w:r>
      <w:r>
        <w:tab/>
      </w:r>
      <w:hyperlink r:id="rId10" w:history="1">
        <w:r w:rsidRPr="00C7722F">
          <w:rPr>
            <w:rStyle w:val="Hyperlink"/>
          </w:rPr>
          <w:t>Council Conclusions of 27 May 2019 on the competitiveness of the tourism sector as a driver for sustainable growth, jobs and social cohesion in the EU for the next decade</w:t>
        </w:r>
      </w:hyperlink>
      <w:r>
        <w:t>.</w:t>
      </w:r>
    </w:p>
  </w:footnote>
  <w:footnote w:id="22">
    <w:p w:rsidR="0078394A" w:rsidRPr="00987B42" w:rsidRDefault="0078394A" w:rsidP="00D85359">
      <w:pPr>
        <w:pStyle w:val="FootnoteText"/>
        <w:rPr>
          <w:lang w:val="en-IE"/>
        </w:rPr>
      </w:pPr>
      <w:r w:rsidRPr="005B179C">
        <w:rPr>
          <w:rStyle w:val="FootnoteReference"/>
        </w:rPr>
        <w:footnoteRef/>
      </w:r>
      <w:r>
        <w:tab/>
      </w:r>
      <w:hyperlink r:id="rId11" w:history="1">
        <w:r w:rsidRPr="00932196">
          <w:rPr>
            <w:rStyle w:val="Hyperlink"/>
          </w:rPr>
          <w:t>European Parliament resolution of 21 January 2021 on access to decent and affordable housing for all</w:t>
        </w:r>
      </w:hyperlink>
      <w:r w:rsidRPr="006763B3">
        <w:t>.</w:t>
      </w:r>
    </w:p>
  </w:footnote>
  <w:footnote w:id="23">
    <w:p w:rsidR="0078394A" w:rsidRPr="00B530C4" w:rsidRDefault="0078394A" w:rsidP="005C48DA">
      <w:pPr>
        <w:pStyle w:val="FootnoteText"/>
        <w:rPr>
          <w:lang w:val="es-ES"/>
        </w:rPr>
      </w:pPr>
      <w:r w:rsidRPr="003A39BD">
        <w:rPr>
          <w:rStyle w:val="FootnoteReference"/>
        </w:rPr>
        <w:footnoteRef/>
      </w:r>
      <w:r w:rsidRPr="00B530C4">
        <w:rPr>
          <w:lang w:val="es-ES"/>
        </w:rPr>
        <w:tab/>
        <w:t>OJ C , , p. .</w:t>
      </w:r>
    </w:p>
  </w:footnote>
  <w:footnote w:id="24">
    <w:p w:rsidR="0078394A" w:rsidRPr="00B530C4" w:rsidRDefault="0078394A" w:rsidP="005C48DA">
      <w:pPr>
        <w:pStyle w:val="FootnoteText"/>
        <w:rPr>
          <w:lang w:val="es-ES"/>
        </w:rPr>
      </w:pPr>
      <w:r w:rsidRPr="003A39BD">
        <w:rPr>
          <w:rStyle w:val="FootnoteReference"/>
        </w:rPr>
        <w:footnoteRef/>
      </w:r>
      <w:r w:rsidRPr="00B530C4">
        <w:rPr>
          <w:lang w:val="es-ES"/>
        </w:rPr>
        <w:tab/>
        <w:t>OJ C , , p. .</w:t>
      </w:r>
    </w:p>
  </w:footnote>
  <w:footnote w:id="25">
    <w:p w:rsidR="0078394A" w:rsidRPr="00B530C4" w:rsidRDefault="0078394A" w:rsidP="00EB39CA">
      <w:pPr>
        <w:pStyle w:val="FootnoteText"/>
        <w:rPr>
          <w:lang w:val="es-ES"/>
        </w:rPr>
      </w:pPr>
      <w:r w:rsidRPr="003A39BD">
        <w:rPr>
          <w:rStyle w:val="FootnoteReference"/>
        </w:rPr>
        <w:footnoteRef/>
      </w:r>
      <w:r>
        <w:rPr>
          <w:lang w:val="es-ES"/>
        </w:rPr>
        <w:tab/>
      </w:r>
      <w:r w:rsidRPr="00B530C4">
        <w:rPr>
          <w:lang w:val="es-ES"/>
        </w:rPr>
        <w:t>OJ C , , p. .</w:t>
      </w:r>
    </w:p>
  </w:footnote>
  <w:footnote w:id="26">
    <w:p w:rsidR="0078394A" w:rsidRPr="00A37F9A" w:rsidRDefault="0078394A">
      <w:pPr>
        <w:pStyle w:val="FootnoteText"/>
        <w:rPr>
          <w:lang w:val="en-IE"/>
        </w:rPr>
      </w:pPr>
      <w:r>
        <w:rPr>
          <w:rStyle w:val="FootnoteReference"/>
        </w:rPr>
        <w:footnoteRef/>
      </w:r>
      <w:r w:rsidRPr="00A37F9A">
        <w:rPr>
          <w:lang w:val="en-IE"/>
        </w:rPr>
        <w:tab/>
      </w:r>
      <w:r>
        <w:t>Directive 2006/123/EC of the European Parliament and of the Council of 12 December 2006 on services in the internal market (OJ L 376, 27.12.2006, p. 36).</w:t>
      </w:r>
    </w:p>
  </w:footnote>
  <w:footnote w:id="27">
    <w:p w:rsidR="0078394A" w:rsidRPr="00FD4CDD" w:rsidRDefault="0078394A" w:rsidP="004F5527">
      <w:pPr>
        <w:pStyle w:val="FootnoteText"/>
        <w:rPr>
          <w:lang w:val="en-IE"/>
        </w:rPr>
      </w:pPr>
      <w:r w:rsidRPr="003A39BD">
        <w:rPr>
          <w:rStyle w:val="FootnoteReference"/>
        </w:rPr>
        <w:footnoteRef/>
      </w:r>
      <w:r>
        <w:tab/>
      </w:r>
      <w:r w:rsidRPr="00EA734E">
        <w:t xml:space="preserve">Regulation (EU) No 692/2011 of the European Parliament and of the Council </w:t>
      </w:r>
      <w:r w:rsidRPr="000A446B">
        <w:t>of 6 July 2011 concerning European statistics on tourism and repealing Council Directive 95/57/EC</w:t>
      </w:r>
      <w:r>
        <w:t xml:space="preserve"> (</w:t>
      </w:r>
      <w:r w:rsidRPr="00EA734E">
        <w:t>OJ L 192, 22.7.2011, p. 17</w:t>
      </w:r>
      <w:r>
        <w:t>).</w:t>
      </w:r>
    </w:p>
  </w:footnote>
  <w:footnote w:id="28">
    <w:p w:rsidR="0078394A" w:rsidRPr="00000386" w:rsidRDefault="0078394A">
      <w:pPr>
        <w:pStyle w:val="FootnoteText"/>
        <w:rPr>
          <w:lang w:val="en-IE"/>
        </w:rPr>
      </w:pPr>
      <w:r>
        <w:rPr>
          <w:rStyle w:val="FootnoteReference"/>
        </w:rPr>
        <w:footnoteRef/>
      </w:r>
      <w:r w:rsidRPr="00BF662E">
        <w:rPr>
          <w:lang w:val="en-IE"/>
        </w:rPr>
        <w:tab/>
      </w:r>
      <w:r w:rsidRPr="00000386">
        <w:t>Regulation (EU) 2022/2065 of the European Parliament and of the Council of 19 October 2022 on a Single Market For Digital Services and amending Directive 2000/31/EC (Digital Services Act), (OJ L 277, 27.10.22, p. 1).</w:t>
      </w:r>
    </w:p>
  </w:footnote>
  <w:footnote w:id="29">
    <w:p w:rsidR="0078394A" w:rsidRPr="0085488F" w:rsidRDefault="0078394A" w:rsidP="00DC5A51">
      <w:pPr>
        <w:pStyle w:val="FootnoteText"/>
        <w:rPr>
          <w:lang w:val="en-IE"/>
        </w:rPr>
      </w:pPr>
      <w:r w:rsidRPr="005B179C">
        <w:rPr>
          <w:rStyle w:val="FootnoteReference"/>
        </w:rPr>
        <w:footnoteRef/>
      </w:r>
      <w:r>
        <w:tab/>
      </w:r>
      <w:r w:rsidRPr="00DC5A51">
        <w:rPr>
          <w:lang w:val="en-IE"/>
        </w:rPr>
        <w:t xml:space="preserve">Regulation (EU) </w:t>
      </w:r>
      <w:r w:rsidR="008439AF">
        <w:rPr>
          <w:lang w:val="en-IE"/>
        </w:rPr>
        <w:t xml:space="preserve">No </w:t>
      </w:r>
      <w:r w:rsidRPr="00DC5A51">
        <w:rPr>
          <w:lang w:val="en-IE"/>
        </w:rPr>
        <w:t>910/2014</w:t>
      </w:r>
      <w:r>
        <w:rPr>
          <w:lang w:val="en-IE"/>
        </w:rPr>
        <w:t xml:space="preserve"> </w:t>
      </w:r>
      <w:r w:rsidRPr="00DC5A51">
        <w:rPr>
          <w:lang w:val="en-IE"/>
        </w:rPr>
        <w:t>of the European Parliament and of the Council of 23 July 2014 on electronic identification and trust services for electronic transactions in the internal market and repealing Directive 1999/93/EC</w:t>
      </w:r>
      <w:r>
        <w:rPr>
          <w:lang w:val="en-IE"/>
        </w:rPr>
        <w:t xml:space="preserve"> (</w:t>
      </w:r>
      <w:r w:rsidRPr="00DC5A51">
        <w:rPr>
          <w:lang w:val="en-IE"/>
        </w:rPr>
        <w:t>OJ L 257, 28.8.2014, p. 73</w:t>
      </w:r>
      <w:r>
        <w:rPr>
          <w:lang w:val="en-IE"/>
        </w:rPr>
        <w:t>).</w:t>
      </w:r>
    </w:p>
  </w:footnote>
  <w:footnote w:id="30">
    <w:p w:rsidR="0078394A" w:rsidRPr="00A37F9A" w:rsidRDefault="0078394A">
      <w:pPr>
        <w:pStyle w:val="FootnoteText"/>
        <w:rPr>
          <w:lang w:val="en-IE"/>
        </w:rPr>
      </w:pPr>
      <w:r w:rsidRPr="005B179C">
        <w:rPr>
          <w:rStyle w:val="FootnoteReference"/>
        </w:rPr>
        <w:footnoteRef/>
      </w:r>
      <w:r>
        <w:tab/>
      </w:r>
      <w:r w:rsidRPr="00506CB0">
        <w:rPr>
          <w:lang w:val="en-IE"/>
        </w:rPr>
        <w:t xml:space="preserve">Commission Recommendation of 6 May 2003 concerning the definition of micro, small and medium-sized enterprises </w:t>
      </w:r>
      <w:r>
        <w:rPr>
          <w:lang w:val="en-IE"/>
        </w:rPr>
        <w:t>(</w:t>
      </w:r>
      <w:r w:rsidRPr="00506CB0">
        <w:rPr>
          <w:lang w:val="en-IE"/>
        </w:rPr>
        <w:t>OJ L 124, 20.5.2003, p. 36</w:t>
      </w:r>
      <w:r>
        <w:rPr>
          <w:lang w:val="en-IE"/>
        </w:rPr>
        <w:t>).</w:t>
      </w:r>
    </w:p>
  </w:footnote>
  <w:footnote w:id="31">
    <w:p w:rsidR="0078394A" w:rsidRPr="00A37F9A" w:rsidRDefault="0078394A" w:rsidP="00A52186">
      <w:pPr>
        <w:pStyle w:val="FootnoteText"/>
        <w:rPr>
          <w:lang w:val="en-IE"/>
        </w:rPr>
      </w:pPr>
      <w:r>
        <w:rPr>
          <w:rStyle w:val="FootnoteReference"/>
        </w:rPr>
        <w:footnoteRef/>
      </w:r>
      <w:r w:rsidRPr="00A37F9A">
        <w:rPr>
          <w:lang w:val="en-IE"/>
        </w:rPr>
        <w:tab/>
        <w:t>Regulation (EU) No 182/2011 of the European Parliament and of the Council of 16 February 2011 laying down the rules and general principles concerning mechanisms for control by Member States of the Commission’s exercise of implementing power</w:t>
      </w:r>
      <w:r w:rsidRPr="00C2260B">
        <w:rPr>
          <w:lang w:val="en-IE"/>
        </w:rPr>
        <w:t>s</w:t>
      </w:r>
      <w:r>
        <w:rPr>
          <w:lang w:val="en-IE"/>
        </w:rPr>
        <w:t xml:space="preserve"> (</w:t>
      </w:r>
      <w:r w:rsidRPr="00A37F9A">
        <w:rPr>
          <w:lang w:val="en-IE"/>
        </w:rPr>
        <w:t>OJ L 55, 28.2.2011, p. 13</w:t>
      </w:r>
      <w:r>
        <w:rPr>
          <w:lang w:val="en-IE"/>
        </w:rPr>
        <w:t>).</w:t>
      </w:r>
    </w:p>
  </w:footnote>
  <w:footnote w:id="32">
    <w:p w:rsidR="0078394A" w:rsidRPr="00A37F9A" w:rsidRDefault="0078394A" w:rsidP="00C2260B">
      <w:pPr>
        <w:pStyle w:val="FootnoteText"/>
        <w:rPr>
          <w:lang w:val="en-IE"/>
        </w:rPr>
      </w:pPr>
      <w:r>
        <w:rPr>
          <w:rStyle w:val="FootnoteReference"/>
        </w:rPr>
        <w:footnoteRef/>
      </w:r>
      <w:r w:rsidRPr="00A37F9A">
        <w:rPr>
          <w:lang w:val="en-IE"/>
        </w:rPr>
        <w:tab/>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Pr>
          <w:lang w:val="en-IE"/>
        </w:rPr>
        <w:t>(</w:t>
      </w:r>
      <w:r w:rsidRPr="00A37F9A">
        <w:rPr>
          <w:lang w:val="en-IE"/>
        </w:rPr>
        <w:t>OJ L 119, 4.5.2016, p. 1</w:t>
      </w:r>
      <w:r>
        <w:rPr>
          <w:lang w:val="en-IE"/>
        </w:rPr>
        <w:t>).</w:t>
      </w:r>
    </w:p>
  </w:footnote>
  <w:footnote w:id="33">
    <w:p w:rsidR="0078394A" w:rsidRPr="00A37F9A" w:rsidRDefault="0078394A" w:rsidP="001F714A">
      <w:pPr>
        <w:pStyle w:val="FootnoteText"/>
        <w:rPr>
          <w:lang w:val="en-IE"/>
        </w:rPr>
      </w:pPr>
      <w:r>
        <w:rPr>
          <w:rStyle w:val="FootnoteReference"/>
        </w:rPr>
        <w:footnoteRef/>
      </w:r>
      <w:r w:rsidRPr="00A37F9A">
        <w:rPr>
          <w:lang w:val="en-IE"/>
        </w:rPr>
        <w:tab/>
        <w:t>Directive 2000/31/EC of the European Parliament and of the Council of 8 June 2000 on certain legal aspects of information society services, in particular electronic commerce, in the Internal Market ('Directive on electronic commerce')</w:t>
      </w:r>
      <w:r>
        <w:rPr>
          <w:lang w:val="en-IE"/>
        </w:rPr>
        <w:t xml:space="preserve"> (</w:t>
      </w:r>
      <w:r w:rsidRPr="00A37F9A">
        <w:rPr>
          <w:lang w:val="en-IE"/>
        </w:rPr>
        <w:t>OJ L 178, 17.7.2000, p. 1</w:t>
      </w:r>
      <w:r>
        <w:rPr>
          <w:lang w:val="en-IE"/>
        </w:rPr>
        <w:t>).</w:t>
      </w:r>
    </w:p>
  </w:footnote>
  <w:footnote w:id="34">
    <w:p w:rsidR="0078394A" w:rsidRPr="003976BE" w:rsidRDefault="0078394A">
      <w:pPr>
        <w:pStyle w:val="FootnoteText"/>
        <w:rPr>
          <w:lang w:val="en-IE"/>
        </w:rPr>
      </w:pPr>
      <w:r>
        <w:rPr>
          <w:rStyle w:val="FootnoteReference"/>
        </w:rPr>
        <w:footnoteRef/>
      </w:r>
      <w:r w:rsidRPr="00C950CA">
        <w:rPr>
          <w:lang w:val="en-IE"/>
        </w:rPr>
        <w:tab/>
      </w:r>
      <w:r w:rsidRPr="00E31615">
        <w:rPr>
          <w:lang w:val="en-IE"/>
        </w:rPr>
        <w:t>Regulation (EU) 2018/1724 of the European Parliament and of the Council of 2 October 2018 establishing a single digital gateway to provide access to information, to procedures and to assistance and problem-solving services and amending Regulation (EU) No 1024/2012</w:t>
      </w:r>
      <w:r>
        <w:rPr>
          <w:lang w:val="en-IE"/>
        </w:rPr>
        <w:t xml:space="preserve"> (OJ L 295, 21.11.2018, p. 1).</w:t>
      </w:r>
    </w:p>
  </w:footnote>
  <w:footnote w:id="35">
    <w:p w:rsidR="0078394A" w:rsidRPr="001967B6" w:rsidRDefault="0078394A" w:rsidP="001967B6">
      <w:pPr>
        <w:pStyle w:val="FootnoteText"/>
      </w:pPr>
      <w:r w:rsidRPr="005B179C">
        <w:rPr>
          <w:rStyle w:val="FootnoteReference"/>
        </w:rPr>
        <w:footnoteRef/>
      </w:r>
      <w:r>
        <w:tab/>
        <w:t>Commission Implementing Regulation (EU) 2022/1463 of 5 August 2022 setting out technical and operational specifications of the technical system for the cross-border automated exchange of evidence and application of the ‘once-only’ principle in accordance with Regulation (EU) 2018/1724 of the European Parliament and of the Council C/2022/5628 (OJ L 231, 6.9.2022, p. 1.)</w:t>
      </w:r>
    </w:p>
  </w:footnote>
  <w:footnote w:id="36">
    <w:p w:rsidR="0078394A" w:rsidRDefault="0078394A">
      <w:pPr>
        <w:pStyle w:val="FootnoteText"/>
      </w:pPr>
      <w:r w:rsidRPr="005B179C">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(OJ L 295, 21.11.2018, p. 39–98).</w:t>
      </w:r>
    </w:p>
  </w:footnote>
  <w:footnote w:id="37">
    <w:p w:rsidR="0078394A" w:rsidRPr="0052431E" w:rsidRDefault="0078394A">
      <w:pPr>
        <w:pStyle w:val="FootnoteText"/>
        <w:rPr>
          <w:lang w:val="en-IE"/>
        </w:rPr>
      </w:pPr>
      <w:r>
        <w:rPr>
          <w:rStyle w:val="FootnoteReference"/>
        </w:rPr>
        <w:footnoteRef/>
      </w:r>
      <w:r w:rsidRPr="0052431E">
        <w:rPr>
          <w:lang w:val="en-IE"/>
        </w:rPr>
        <w:tab/>
      </w:r>
      <w:r>
        <w:rPr>
          <w:lang w:val="en-IE"/>
        </w:rPr>
        <w:t xml:space="preserve">[OP: </w:t>
      </w:r>
      <w:r w:rsidRPr="0052431E">
        <w:rPr>
          <w:lang w:val="en-IE"/>
        </w:rPr>
        <w:t>Footnote once available</w:t>
      </w:r>
      <w:r>
        <w:rPr>
          <w:lang w:val="en-IE"/>
        </w:rPr>
        <w:t>]</w:t>
      </w:r>
      <w:r w:rsidRPr="0052431E">
        <w:rPr>
          <w:lang w:val="en-IE"/>
        </w:rPr>
        <w:t>.</w:t>
      </w:r>
    </w:p>
  </w:footnote>
  <w:footnote w:id="38">
    <w:p w:rsidR="0078394A" w:rsidRPr="00A37F9A" w:rsidRDefault="0078394A" w:rsidP="00866201">
      <w:pPr>
        <w:pStyle w:val="FootnoteText"/>
        <w:rPr>
          <w:lang w:val="en-IE"/>
        </w:rPr>
      </w:pPr>
      <w:r>
        <w:rPr>
          <w:rStyle w:val="FootnoteReference"/>
        </w:rPr>
        <w:footnoteRef/>
      </w:r>
      <w:r w:rsidRPr="00A37F9A">
        <w:rPr>
          <w:lang w:val="en-IE"/>
        </w:rPr>
        <w:tab/>
        <w:t>Regulation (EU) 2019/1150 of the European Parliament and of the Council of 20 June 2019 on promoting fairness and transparency for business users of online intermediation ser</w:t>
      </w:r>
      <w:r w:rsidRPr="00226937">
        <w:rPr>
          <w:lang w:val="en-IE"/>
        </w:rPr>
        <w:t>vices</w:t>
      </w:r>
      <w:r>
        <w:rPr>
          <w:lang w:val="en-IE"/>
        </w:rPr>
        <w:t xml:space="preserve"> (</w:t>
      </w:r>
      <w:r w:rsidRPr="00A37F9A">
        <w:rPr>
          <w:lang w:val="en-IE"/>
        </w:rPr>
        <w:t>OJ L 186, 11.7.2019, p. 57</w:t>
      </w:r>
      <w:r>
        <w:rPr>
          <w:lang w:val="en-IE"/>
        </w:rPr>
        <w:t>).</w:t>
      </w:r>
    </w:p>
  </w:footnote>
  <w:footnote w:id="39">
    <w:p w:rsidR="0078394A" w:rsidRPr="0078394A" w:rsidRDefault="0078394A">
      <w:pPr>
        <w:pStyle w:val="FootnoteText"/>
        <w:rPr>
          <w:lang w:val="en-IE"/>
        </w:rPr>
      </w:pPr>
      <w:r>
        <w:rPr>
          <w:rStyle w:val="FootnoteReference"/>
        </w:rPr>
        <w:footnoteRef/>
      </w:r>
      <w:r w:rsidRPr="00C950CA">
        <w:rPr>
          <w:lang w:val="en-IE"/>
        </w:rPr>
        <w:tab/>
      </w:r>
      <w:r w:rsidRPr="00673587">
        <w:rPr>
          <w:lang w:val="en-IE"/>
        </w:rPr>
        <w:t>Regulation (EU) 2022/1925 of the European Parliament and of the Council of 14 September 2022 on contestable and fair markets in the digital sector and amending Directives (EU) 2019/1937 and (EU) 2020/1828</w:t>
      </w:r>
      <w:r>
        <w:rPr>
          <w:lang w:val="en-IE"/>
        </w:rPr>
        <w:t xml:space="preserve"> (</w:t>
      </w:r>
      <w:r w:rsidRPr="00673587">
        <w:rPr>
          <w:lang w:val="en-IE"/>
        </w:rPr>
        <w:t>OJ L 265, 12.10.2022, p. 1</w:t>
      </w:r>
      <w:r>
        <w:rPr>
          <w:lang w:val="en-IE"/>
        </w:rPr>
        <w:t>).</w:t>
      </w:r>
    </w:p>
  </w:footnote>
  <w:footnote w:id="40">
    <w:p w:rsidR="0078394A" w:rsidRPr="00A37F9A" w:rsidRDefault="0078394A" w:rsidP="00706DEA">
      <w:pPr>
        <w:pStyle w:val="FootnoteText"/>
        <w:rPr>
          <w:lang w:val="en-IE"/>
        </w:rPr>
      </w:pPr>
      <w:r>
        <w:rPr>
          <w:rStyle w:val="FootnoteReference"/>
        </w:rPr>
        <w:footnoteRef/>
      </w:r>
      <w:r w:rsidRPr="00A37F9A">
        <w:rPr>
          <w:lang w:val="en-IE"/>
        </w:rPr>
        <w:tab/>
        <w:t>Directive (EU) 2015/1535 of the European Parliament and of the Council of 9 September 2015 laying down a procedure for the provision of information in the field of technical regulations and of rules on Information Society services (codification)</w:t>
      </w:r>
      <w:r>
        <w:rPr>
          <w:lang w:val="en-IE"/>
        </w:rPr>
        <w:t xml:space="preserve"> (</w:t>
      </w:r>
      <w:r w:rsidRPr="00A37F9A">
        <w:rPr>
          <w:lang w:val="en-IE"/>
        </w:rPr>
        <w:t>OJ L 241, 17.9.2015, p. 1</w:t>
      </w:r>
      <w:r>
        <w:rPr>
          <w:lang w:val="en-IE"/>
        </w:rPr>
        <w:t>).</w:t>
      </w:r>
    </w:p>
  </w:footnote>
  <w:footnote w:id="41">
    <w:p w:rsidR="0078394A" w:rsidRPr="00A37F9A" w:rsidRDefault="0078394A" w:rsidP="00706DEA">
      <w:pPr>
        <w:pStyle w:val="FootnoteText"/>
        <w:rPr>
          <w:lang w:val="en-IE"/>
        </w:rPr>
      </w:pPr>
      <w:r>
        <w:rPr>
          <w:rStyle w:val="FootnoteReference"/>
        </w:rPr>
        <w:footnoteRef/>
      </w:r>
      <w:r w:rsidRPr="00A37F9A">
        <w:rPr>
          <w:lang w:val="en-IE"/>
        </w:rPr>
        <w:tab/>
        <w:t>Council Directive 2010/24/EU of 16 March 2010 concerning mutual assistance for the recovery of claims relating to taxes, duties and other measures</w:t>
      </w:r>
      <w:r>
        <w:rPr>
          <w:lang w:val="en-IE"/>
        </w:rPr>
        <w:t>, (</w:t>
      </w:r>
      <w:r w:rsidRPr="00A37F9A">
        <w:rPr>
          <w:lang w:val="en-IE"/>
        </w:rPr>
        <w:t>OJ L 84, 31.3.2010, p. 1</w:t>
      </w:r>
      <w:r>
        <w:rPr>
          <w:lang w:val="en-IE"/>
        </w:rPr>
        <w:t>).</w:t>
      </w:r>
    </w:p>
  </w:footnote>
  <w:footnote w:id="42">
    <w:p w:rsidR="0078394A" w:rsidRPr="00A37F9A" w:rsidRDefault="0078394A" w:rsidP="00226937">
      <w:pPr>
        <w:pStyle w:val="FootnoteText"/>
        <w:rPr>
          <w:lang w:val="en-IE"/>
        </w:rPr>
      </w:pPr>
      <w:r>
        <w:rPr>
          <w:rStyle w:val="FootnoteReference"/>
        </w:rPr>
        <w:footnoteRef/>
      </w:r>
      <w:r w:rsidRPr="00A37F9A">
        <w:rPr>
          <w:lang w:val="en-IE"/>
        </w:rPr>
        <w:tab/>
        <w:t>Council Directive 2011/16/EU of 15 February 2011 on administrative cooperation in the field of taxation and repealing Directive 77/799/EEC</w:t>
      </w:r>
      <w:r>
        <w:rPr>
          <w:lang w:val="en-IE"/>
        </w:rPr>
        <w:t xml:space="preserve"> (</w:t>
      </w:r>
      <w:r w:rsidRPr="00A37F9A">
        <w:rPr>
          <w:lang w:val="en-IE"/>
        </w:rPr>
        <w:t>OJ L 64, 11.3.2011, p. 1</w:t>
      </w:r>
      <w:r>
        <w:rPr>
          <w:lang w:val="en-IE"/>
        </w:rPr>
        <w:t>).</w:t>
      </w:r>
    </w:p>
  </w:footnote>
  <w:footnote w:id="43">
    <w:p w:rsidR="0078394A" w:rsidRPr="00DF7DE9" w:rsidRDefault="0078394A" w:rsidP="005D0328">
      <w:pPr>
        <w:pStyle w:val="FootnoteText"/>
        <w:rPr>
          <w:b/>
          <w:bCs/>
          <w:lang w:val="en-IE"/>
        </w:rPr>
      </w:pPr>
      <w:r w:rsidRPr="003511C4">
        <w:rPr>
          <w:rStyle w:val="FootnoteReference"/>
        </w:rPr>
        <w:footnoteRef/>
      </w:r>
      <w:r>
        <w:tab/>
      </w:r>
      <w:r w:rsidRPr="00DF7DE9">
        <w:rPr>
          <w:bCs/>
          <w:lang w:val="en-IE"/>
        </w:rPr>
        <w:t xml:space="preserve">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(OJ </w:t>
      </w:r>
      <w:r w:rsidRPr="00DF7DE9">
        <w:rPr>
          <w:iCs/>
          <w:lang w:val="en-IE"/>
        </w:rPr>
        <w:t>393, 30.12.2006, p. 1).</w:t>
      </w:r>
    </w:p>
    <w:p w:rsidR="0078394A" w:rsidRPr="00DF7DE9" w:rsidRDefault="0078394A" w:rsidP="005D0328">
      <w:pPr>
        <w:pStyle w:val="FootnoteText"/>
        <w:rPr>
          <w:lang w:val="en-IE"/>
        </w:rPr>
      </w:pPr>
    </w:p>
  </w:footnote>
  <w:footnote w:id="44">
    <w:p w:rsidR="0078394A" w:rsidRPr="00A37F9A" w:rsidRDefault="0078394A" w:rsidP="006C2742">
      <w:pPr>
        <w:pStyle w:val="FootnoteText"/>
        <w:rPr>
          <w:lang w:val="en-IE"/>
        </w:rPr>
      </w:pPr>
      <w:r>
        <w:rPr>
          <w:rStyle w:val="FootnoteReference"/>
        </w:rPr>
        <w:footnoteRef/>
      </w:r>
      <w:r w:rsidRPr="00A37F9A">
        <w:rPr>
          <w:lang w:val="en-IE"/>
        </w:rPr>
        <w:tab/>
        <w:t>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(OJ L 87, 31.3.2009, p. 164</w:t>
      </w:r>
      <w:r>
        <w:rPr>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DA29A2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9AC75F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228608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BEEFAA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DE0A3A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F466F8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1C6E3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8CEE34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6B842EB4"/>
    <w:name w:val="Considérant"/>
    <w:lvl w:ilvl="0">
      <w:start w:val="1"/>
      <w:numFmt w:val="decimal"/>
      <w:lvlRestart w:val="0"/>
      <w:pStyle w:val="Considrant"/>
      <w:lvlText w:val="(%1)"/>
      <w:lvlJc w:val="left"/>
      <w:pPr>
        <w:tabs>
          <w:tab w:val="num" w:pos="709"/>
        </w:tabs>
        <w:ind w:left="709" w:hanging="709"/>
      </w:pPr>
      <w:rPr>
        <w:i w:val="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1"/>
  </w:num>
  <w:num w:numId="20">
    <w:abstractNumId w:val="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2"/>
  </w:num>
  <w:num w:numId="47">
    <w:abstractNumId w:val="21"/>
  </w:num>
  <w:num w:numId="48">
    <w:abstractNumId w:val="11"/>
  </w:num>
  <w:num w:numId="49">
    <w:abstractNumId w:val="13"/>
  </w:num>
  <w:num w:numId="50">
    <w:abstractNumId w:val="14"/>
  </w:num>
  <w:num w:numId="51">
    <w:abstractNumId w:val="9"/>
  </w:num>
  <w:num w:numId="52">
    <w:abstractNumId w:val="20"/>
  </w:num>
  <w:num w:numId="53">
    <w:abstractNumId w:val="8"/>
  </w:num>
  <w:num w:numId="54">
    <w:abstractNumId w:val="15"/>
  </w:num>
  <w:num w:numId="55">
    <w:abstractNumId w:val="17"/>
  </w:num>
  <w:num w:numId="56">
    <w:abstractNumId w:val="18"/>
  </w:num>
  <w:num w:numId="57">
    <w:abstractNumId w:val="10"/>
  </w:num>
  <w:num w:numId="58">
    <w:abstractNumId w:val="16"/>
  </w:num>
  <w:num w:numId="59">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03 10:03:37"/>
    <w:docVar w:name="DQCNUMB_1" w:val="197"/>
    <w:docVar w:name="DQCNUMB_10" w:val="208"/>
    <w:docVar w:name="DQCNUMB_11" w:val="209"/>
    <w:docVar w:name="DQCNUMB_12" w:val="210"/>
    <w:docVar w:name="DQCNUMB_13" w:val="211"/>
    <w:docVar w:name="DQCNUMB_14" w:val="212"/>
    <w:docVar w:name="DQCNUMB_15" w:val="213"/>
    <w:docVar w:name="DQCNUMB_16" w:val="293"/>
    <w:docVar w:name="DQCNUMB_17" w:val="294"/>
    <w:docVar w:name="DQCNUMB_18" w:val="52"/>
    <w:docVar w:name="DQCNUMB_19" w:val="54"/>
    <w:docVar w:name="DQCNUMB_2" w:val="198"/>
    <w:docVar w:name="DQCNUMB_20" w:val="55"/>
    <w:docVar w:name="DQCNUMB_21" w:val="57"/>
    <w:docVar w:name="DQCNUMB_22" w:val="58"/>
    <w:docVar w:name="DQCNUMB_23" w:val="59"/>
    <w:docVar w:name="DQCNUMB_24" w:val="60"/>
    <w:docVar w:name="DQCNUMB_25" w:val="61"/>
    <w:docVar w:name="DQCNUMB_26" w:val="62"/>
    <w:docVar w:name="DQCNUMB_27" w:val="63"/>
    <w:docVar w:name="DQCNUMB_28" w:val="64"/>
    <w:docVar w:name="DQCNUMB_29" w:val="65"/>
    <w:docVar w:name="DQCNUMB_3" w:val="199"/>
    <w:docVar w:name="DQCNUMB_30" w:val="66"/>
    <w:docVar w:name="DQCNUMB_31" w:val="67"/>
    <w:docVar w:name="DQCNUMB_32" w:val="68"/>
    <w:docVar w:name="DQCNUMB_33" w:val="69"/>
    <w:docVar w:name="DQCNUMB_34" w:val="70"/>
    <w:docVar w:name="DQCNUMB_35" w:val="117"/>
    <w:docVar w:name="DQCNUMB_36" w:val="123"/>
    <w:docVar w:name="DQCNUMB_37" w:val="124"/>
    <w:docVar w:name="DQCNUMB_38" w:val="125"/>
    <w:docVar w:name="DQCNUMB_39" w:val="126"/>
    <w:docVar w:name="DQCNUMB_4" w:val="200"/>
    <w:docVar w:name="DQCNUMB_40" w:val="128"/>
    <w:docVar w:name="DQCNUMB_41" w:val="133"/>
    <w:docVar w:name="DQCNUMB_42" w:val="134"/>
    <w:docVar w:name="DQCNUMB_43" w:val="135"/>
    <w:docVar w:name="DQCNUMB_44" w:val="136"/>
    <w:docVar w:name="DQCNUMB_45" w:val="138"/>
    <w:docVar w:name="DQCNUMB_46" w:val="139"/>
    <w:docVar w:name="DQCNUMB_47" w:val="140"/>
    <w:docVar w:name="DQCNUMB_48" w:val="141"/>
    <w:docVar w:name="DQCNUMB_49" w:val="142"/>
    <w:docVar w:name="DQCNUMB_5" w:val="202"/>
    <w:docVar w:name="DQCNUMB_50" w:val="143"/>
    <w:docVar w:name="DQCNUMB_51" w:val="145"/>
    <w:docVar w:name="DQCNUMB_52" w:val="146"/>
    <w:docVar w:name="DQCNUMB_53" w:val="147"/>
    <w:docVar w:name="DQCNUMB_54" w:val="148"/>
    <w:docVar w:name="DQCNUMB_55" w:val="158"/>
    <w:docVar w:name="DQCNUMB_56" w:val="159"/>
    <w:docVar w:name="DQCNUMB_57" w:val="160"/>
    <w:docVar w:name="DQCNUMB_58" w:val="163"/>
    <w:docVar w:name="DQCNUMB_59" w:val="184"/>
    <w:docVar w:name="DQCNUMB_6" w:val="203"/>
    <w:docVar w:name="DQCNUMB_60" w:val="188"/>
    <w:docVar w:name="DQCNUMB_7" w:val="204"/>
    <w:docVar w:name="DQCNUMB_8" w:val="205"/>
    <w:docVar w:name="DQCNUMB_9" w:val="206"/>
    <w:docVar w:name="DQCResult_Distribution" w:val="2;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Red"/>
    <w:docVar w:name="DQCVersion" w:val="3"/>
    <w:docVar w:name="DQCWithWarnings" w:val="0"/>
    <w:docVar w:name="LW_CORRIGENDUM" w:val="&lt;UNUSED&gt;"/>
    <w:docVar w:name="LW_COVERPAGE_EXISTS" w:val="True"/>
    <w:docVar w:name="LW_COVERPAGE_GUID" w:val="B0511BAE-35A5-4535-924C-853046CC11B2"/>
    <w:docVar w:name="LW_COVERPAGE_TYPE" w:val="1"/>
    <w:docVar w:name="LW_CROSSREFERENCE" w:val="{SEC(2022) 393 final} - {SWD(2022) 348 final} - {SWD(2022) 349 final} - {SWD(2022) 350 final}"/>
    <w:docVar w:name="LW_DocType" w:val="COM"/>
    <w:docVar w:name="LW_EMISSION" w:val="7.11.2022"/>
    <w:docVar w:name="LW_EMISSION_ISODATE" w:val="2022-11-0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58"/>
    <w:docVar w:name="LW_REF.II.NEW.CP_YEAR" w:val="2022"/>
    <w:docVar w:name="LW_REF.INST.NEW" w:val="COM"/>
    <w:docVar w:name="LW_REF.INST.NEW_ADOPTED" w:val="final"/>
    <w:docVar w:name="LW_REF.INST.NEW_TEXT" w:val="(2022) 5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data collection and sharing relating to short-term accommodation rental services and amending Regulation (EU) 2018/1724"/>
    <w:docVar w:name="LW_TYPE.DOC.CP" w:val="REGULATION OF THE EUROPEAN PARLIAMENT AND OF THE COUNCIL"/>
    <w:docVar w:name="LwApiVersions" w:val="LW4CoDe 1.23.2.0; LW 8.0, Build 20211117"/>
  </w:docVars>
  <w:rsids>
    <w:rsidRoot w:val="008E658F"/>
    <w:rsid w:val="00000386"/>
    <w:rsid w:val="000012B3"/>
    <w:rsid w:val="000015DD"/>
    <w:rsid w:val="00002640"/>
    <w:rsid w:val="00003790"/>
    <w:rsid w:val="000038E4"/>
    <w:rsid w:val="00005E8C"/>
    <w:rsid w:val="00006139"/>
    <w:rsid w:val="00006752"/>
    <w:rsid w:val="00006F50"/>
    <w:rsid w:val="00007537"/>
    <w:rsid w:val="000105C0"/>
    <w:rsid w:val="00010711"/>
    <w:rsid w:val="00010AD9"/>
    <w:rsid w:val="00011951"/>
    <w:rsid w:val="00014055"/>
    <w:rsid w:val="000148B0"/>
    <w:rsid w:val="00017865"/>
    <w:rsid w:val="000211C1"/>
    <w:rsid w:val="00021AAD"/>
    <w:rsid w:val="00021D30"/>
    <w:rsid w:val="00022218"/>
    <w:rsid w:val="000226CB"/>
    <w:rsid w:val="00022756"/>
    <w:rsid w:val="000236E3"/>
    <w:rsid w:val="00024980"/>
    <w:rsid w:val="000249D5"/>
    <w:rsid w:val="00026969"/>
    <w:rsid w:val="000279D5"/>
    <w:rsid w:val="00027E4E"/>
    <w:rsid w:val="00030D51"/>
    <w:rsid w:val="00030F70"/>
    <w:rsid w:val="000310C4"/>
    <w:rsid w:val="00033960"/>
    <w:rsid w:val="00033AC2"/>
    <w:rsid w:val="00034E29"/>
    <w:rsid w:val="00035280"/>
    <w:rsid w:val="00037C2D"/>
    <w:rsid w:val="00040882"/>
    <w:rsid w:val="00043781"/>
    <w:rsid w:val="00044CF6"/>
    <w:rsid w:val="00045707"/>
    <w:rsid w:val="0004589A"/>
    <w:rsid w:val="000460B1"/>
    <w:rsid w:val="00046168"/>
    <w:rsid w:val="00046835"/>
    <w:rsid w:val="0004689F"/>
    <w:rsid w:val="00046F38"/>
    <w:rsid w:val="00050564"/>
    <w:rsid w:val="00050B62"/>
    <w:rsid w:val="00051A06"/>
    <w:rsid w:val="00051B6B"/>
    <w:rsid w:val="0005242E"/>
    <w:rsid w:val="000525D8"/>
    <w:rsid w:val="00052D73"/>
    <w:rsid w:val="000546F2"/>
    <w:rsid w:val="000569B5"/>
    <w:rsid w:val="000569EC"/>
    <w:rsid w:val="00056D22"/>
    <w:rsid w:val="0005743E"/>
    <w:rsid w:val="000576B5"/>
    <w:rsid w:val="00057D14"/>
    <w:rsid w:val="00060227"/>
    <w:rsid w:val="0006161B"/>
    <w:rsid w:val="00061A5C"/>
    <w:rsid w:val="000620FC"/>
    <w:rsid w:val="00063661"/>
    <w:rsid w:val="0006380A"/>
    <w:rsid w:val="000648CF"/>
    <w:rsid w:val="00064988"/>
    <w:rsid w:val="00064FFA"/>
    <w:rsid w:val="00065E02"/>
    <w:rsid w:val="00066D78"/>
    <w:rsid w:val="00067DA2"/>
    <w:rsid w:val="00070241"/>
    <w:rsid w:val="000708EC"/>
    <w:rsid w:val="0007108B"/>
    <w:rsid w:val="0007169A"/>
    <w:rsid w:val="00071777"/>
    <w:rsid w:val="00071AA6"/>
    <w:rsid w:val="00072F75"/>
    <w:rsid w:val="0007392F"/>
    <w:rsid w:val="000742A4"/>
    <w:rsid w:val="000752BB"/>
    <w:rsid w:val="00075438"/>
    <w:rsid w:val="00076940"/>
    <w:rsid w:val="00076FF9"/>
    <w:rsid w:val="000775A3"/>
    <w:rsid w:val="000808DB"/>
    <w:rsid w:val="000812C1"/>
    <w:rsid w:val="00082190"/>
    <w:rsid w:val="00082B57"/>
    <w:rsid w:val="0008387A"/>
    <w:rsid w:val="00083BB5"/>
    <w:rsid w:val="000849FF"/>
    <w:rsid w:val="000852A7"/>
    <w:rsid w:val="000862D2"/>
    <w:rsid w:val="00086ACC"/>
    <w:rsid w:val="000871D6"/>
    <w:rsid w:val="000875A6"/>
    <w:rsid w:val="00087927"/>
    <w:rsid w:val="0009017F"/>
    <w:rsid w:val="00090676"/>
    <w:rsid w:val="000908E7"/>
    <w:rsid w:val="000928C6"/>
    <w:rsid w:val="00092920"/>
    <w:rsid w:val="00092C18"/>
    <w:rsid w:val="00092F8F"/>
    <w:rsid w:val="00093DB3"/>
    <w:rsid w:val="00094FF0"/>
    <w:rsid w:val="000956BF"/>
    <w:rsid w:val="00095CE3"/>
    <w:rsid w:val="0009792A"/>
    <w:rsid w:val="00097E94"/>
    <w:rsid w:val="000A0812"/>
    <w:rsid w:val="000A1507"/>
    <w:rsid w:val="000A169C"/>
    <w:rsid w:val="000A1B2B"/>
    <w:rsid w:val="000A353F"/>
    <w:rsid w:val="000A3CAF"/>
    <w:rsid w:val="000A4090"/>
    <w:rsid w:val="000A43A5"/>
    <w:rsid w:val="000A446B"/>
    <w:rsid w:val="000A4A00"/>
    <w:rsid w:val="000A4C01"/>
    <w:rsid w:val="000A4F62"/>
    <w:rsid w:val="000A5427"/>
    <w:rsid w:val="000A61D6"/>
    <w:rsid w:val="000A67D2"/>
    <w:rsid w:val="000A682B"/>
    <w:rsid w:val="000A7FFA"/>
    <w:rsid w:val="000B00B0"/>
    <w:rsid w:val="000B073D"/>
    <w:rsid w:val="000B07E2"/>
    <w:rsid w:val="000B11E1"/>
    <w:rsid w:val="000B256D"/>
    <w:rsid w:val="000B2E8D"/>
    <w:rsid w:val="000B2F0B"/>
    <w:rsid w:val="000B3F6D"/>
    <w:rsid w:val="000B5911"/>
    <w:rsid w:val="000B5E5A"/>
    <w:rsid w:val="000B629A"/>
    <w:rsid w:val="000B653E"/>
    <w:rsid w:val="000B6657"/>
    <w:rsid w:val="000B7A7D"/>
    <w:rsid w:val="000C020E"/>
    <w:rsid w:val="000C09A7"/>
    <w:rsid w:val="000C12C4"/>
    <w:rsid w:val="000C1706"/>
    <w:rsid w:val="000C18AF"/>
    <w:rsid w:val="000C2FC2"/>
    <w:rsid w:val="000C3718"/>
    <w:rsid w:val="000C415F"/>
    <w:rsid w:val="000C43C9"/>
    <w:rsid w:val="000C46E4"/>
    <w:rsid w:val="000C4C8C"/>
    <w:rsid w:val="000C691F"/>
    <w:rsid w:val="000C6945"/>
    <w:rsid w:val="000C6B55"/>
    <w:rsid w:val="000C74FB"/>
    <w:rsid w:val="000C7A20"/>
    <w:rsid w:val="000D0A1C"/>
    <w:rsid w:val="000D2251"/>
    <w:rsid w:val="000D2B21"/>
    <w:rsid w:val="000D2FDA"/>
    <w:rsid w:val="000D367F"/>
    <w:rsid w:val="000D36C0"/>
    <w:rsid w:val="000D5D6C"/>
    <w:rsid w:val="000D67BA"/>
    <w:rsid w:val="000D6AAA"/>
    <w:rsid w:val="000E0424"/>
    <w:rsid w:val="000E0881"/>
    <w:rsid w:val="000E13AF"/>
    <w:rsid w:val="000E3142"/>
    <w:rsid w:val="000E38A3"/>
    <w:rsid w:val="000E4798"/>
    <w:rsid w:val="000E4E04"/>
    <w:rsid w:val="000E5ADD"/>
    <w:rsid w:val="000E64A7"/>
    <w:rsid w:val="000E6CD2"/>
    <w:rsid w:val="000E7907"/>
    <w:rsid w:val="000E7AFD"/>
    <w:rsid w:val="000F03F9"/>
    <w:rsid w:val="000F2A5F"/>
    <w:rsid w:val="000F38A7"/>
    <w:rsid w:val="000F3922"/>
    <w:rsid w:val="000F4A08"/>
    <w:rsid w:val="000F5522"/>
    <w:rsid w:val="000F55C3"/>
    <w:rsid w:val="000F5A57"/>
    <w:rsid w:val="000F6290"/>
    <w:rsid w:val="000F6D3B"/>
    <w:rsid w:val="000F7F61"/>
    <w:rsid w:val="001005F5"/>
    <w:rsid w:val="00101875"/>
    <w:rsid w:val="001025AF"/>
    <w:rsid w:val="00102C30"/>
    <w:rsid w:val="00103223"/>
    <w:rsid w:val="00103287"/>
    <w:rsid w:val="001038CE"/>
    <w:rsid w:val="001050F2"/>
    <w:rsid w:val="00105B30"/>
    <w:rsid w:val="00107375"/>
    <w:rsid w:val="001079F1"/>
    <w:rsid w:val="00111774"/>
    <w:rsid w:val="001117E8"/>
    <w:rsid w:val="00111951"/>
    <w:rsid w:val="00112066"/>
    <w:rsid w:val="00112124"/>
    <w:rsid w:val="001123FD"/>
    <w:rsid w:val="001125E9"/>
    <w:rsid w:val="001126C3"/>
    <w:rsid w:val="001128C4"/>
    <w:rsid w:val="00112FB0"/>
    <w:rsid w:val="00113459"/>
    <w:rsid w:val="00113B2E"/>
    <w:rsid w:val="00114688"/>
    <w:rsid w:val="001152C2"/>
    <w:rsid w:val="00115B3D"/>
    <w:rsid w:val="00115D37"/>
    <w:rsid w:val="00115F59"/>
    <w:rsid w:val="001179A3"/>
    <w:rsid w:val="00120FD1"/>
    <w:rsid w:val="00122541"/>
    <w:rsid w:val="00122CD7"/>
    <w:rsid w:val="001232C2"/>
    <w:rsid w:val="0012372A"/>
    <w:rsid w:val="00123FCC"/>
    <w:rsid w:val="00124033"/>
    <w:rsid w:val="001249E5"/>
    <w:rsid w:val="00124B09"/>
    <w:rsid w:val="00125F72"/>
    <w:rsid w:val="00126D25"/>
    <w:rsid w:val="00126DF1"/>
    <w:rsid w:val="00126FBA"/>
    <w:rsid w:val="0013024D"/>
    <w:rsid w:val="00131393"/>
    <w:rsid w:val="00132928"/>
    <w:rsid w:val="00132A7E"/>
    <w:rsid w:val="00132D6C"/>
    <w:rsid w:val="00133A6E"/>
    <w:rsid w:val="00136D7D"/>
    <w:rsid w:val="00141BEE"/>
    <w:rsid w:val="001424BA"/>
    <w:rsid w:val="00143A4A"/>
    <w:rsid w:val="00144697"/>
    <w:rsid w:val="00144972"/>
    <w:rsid w:val="00144B89"/>
    <w:rsid w:val="001455AA"/>
    <w:rsid w:val="00146409"/>
    <w:rsid w:val="00146D6D"/>
    <w:rsid w:val="001470FB"/>
    <w:rsid w:val="00147B00"/>
    <w:rsid w:val="001507AE"/>
    <w:rsid w:val="00151644"/>
    <w:rsid w:val="00151BC3"/>
    <w:rsid w:val="00152043"/>
    <w:rsid w:val="00152894"/>
    <w:rsid w:val="001560EF"/>
    <w:rsid w:val="0015635E"/>
    <w:rsid w:val="0015660E"/>
    <w:rsid w:val="001568A1"/>
    <w:rsid w:val="00160071"/>
    <w:rsid w:val="0016036F"/>
    <w:rsid w:val="0016040C"/>
    <w:rsid w:val="00160984"/>
    <w:rsid w:val="001612B6"/>
    <w:rsid w:val="00162C11"/>
    <w:rsid w:val="00162C64"/>
    <w:rsid w:val="001634D6"/>
    <w:rsid w:val="00165459"/>
    <w:rsid w:val="001655C0"/>
    <w:rsid w:val="00166072"/>
    <w:rsid w:val="001671B4"/>
    <w:rsid w:val="00167733"/>
    <w:rsid w:val="00170F55"/>
    <w:rsid w:val="001713AC"/>
    <w:rsid w:val="00171D32"/>
    <w:rsid w:val="00172001"/>
    <w:rsid w:val="00172BC5"/>
    <w:rsid w:val="00175B43"/>
    <w:rsid w:val="00176AA6"/>
    <w:rsid w:val="00176F96"/>
    <w:rsid w:val="00177D49"/>
    <w:rsid w:val="00180F12"/>
    <w:rsid w:val="00181B6F"/>
    <w:rsid w:val="00182EFB"/>
    <w:rsid w:val="00183285"/>
    <w:rsid w:val="001833DA"/>
    <w:rsid w:val="00184CCB"/>
    <w:rsid w:val="0018527A"/>
    <w:rsid w:val="00185808"/>
    <w:rsid w:val="00185861"/>
    <w:rsid w:val="001867B4"/>
    <w:rsid w:val="00186E31"/>
    <w:rsid w:val="0018708F"/>
    <w:rsid w:val="001911F4"/>
    <w:rsid w:val="0019150B"/>
    <w:rsid w:val="00192405"/>
    <w:rsid w:val="001932CF"/>
    <w:rsid w:val="001941DF"/>
    <w:rsid w:val="001949D4"/>
    <w:rsid w:val="001967B6"/>
    <w:rsid w:val="00196FA8"/>
    <w:rsid w:val="00197338"/>
    <w:rsid w:val="00197892"/>
    <w:rsid w:val="001A0620"/>
    <w:rsid w:val="001A07D5"/>
    <w:rsid w:val="001A0F87"/>
    <w:rsid w:val="001A37E2"/>
    <w:rsid w:val="001A3807"/>
    <w:rsid w:val="001A3C99"/>
    <w:rsid w:val="001A40B3"/>
    <w:rsid w:val="001A4926"/>
    <w:rsid w:val="001A6B2B"/>
    <w:rsid w:val="001A6DC1"/>
    <w:rsid w:val="001A6E07"/>
    <w:rsid w:val="001A79A7"/>
    <w:rsid w:val="001B1CFB"/>
    <w:rsid w:val="001B2A0E"/>
    <w:rsid w:val="001B2C38"/>
    <w:rsid w:val="001B33DF"/>
    <w:rsid w:val="001B38AF"/>
    <w:rsid w:val="001B4A2F"/>
    <w:rsid w:val="001B6146"/>
    <w:rsid w:val="001B6A39"/>
    <w:rsid w:val="001B7425"/>
    <w:rsid w:val="001B74A6"/>
    <w:rsid w:val="001C04D0"/>
    <w:rsid w:val="001C095A"/>
    <w:rsid w:val="001C1384"/>
    <w:rsid w:val="001C1D5D"/>
    <w:rsid w:val="001C24BF"/>
    <w:rsid w:val="001C2E4A"/>
    <w:rsid w:val="001C4941"/>
    <w:rsid w:val="001C67F0"/>
    <w:rsid w:val="001C6E55"/>
    <w:rsid w:val="001D105B"/>
    <w:rsid w:val="001D3155"/>
    <w:rsid w:val="001D3815"/>
    <w:rsid w:val="001D3B16"/>
    <w:rsid w:val="001D5C09"/>
    <w:rsid w:val="001D5D59"/>
    <w:rsid w:val="001D5F7A"/>
    <w:rsid w:val="001D7457"/>
    <w:rsid w:val="001D7D4E"/>
    <w:rsid w:val="001E08AF"/>
    <w:rsid w:val="001E2153"/>
    <w:rsid w:val="001E2CCF"/>
    <w:rsid w:val="001E30B3"/>
    <w:rsid w:val="001E4478"/>
    <w:rsid w:val="001E504F"/>
    <w:rsid w:val="001E5F34"/>
    <w:rsid w:val="001E6106"/>
    <w:rsid w:val="001E6938"/>
    <w:rsid w:val="001E7599"/>
    <w:rsid w:val="001F17D0"/>
    <w:rsid w:val="001F2DBF"/>
    <w:rsid w:val="001F2F22"/>
    <w:rsid w:val="001F6204"/>
    <w:rsid w:val="001F654F"/>
    <w:rsid w:val="001F714A"/>
    <w:rsid w:val="001F7C7C"/>
    <w:rsid w:val="001F7E5A"/>
    <w:rsid w:val="002028D3"/>
    <w:rsid w:val="002028FC"/>
    <w:rsid w:val="002038D4"/>
    <w:rsid w:val="00203C24"/>
    <w:rsid w:val="002056B3"/>
    <w:rsid w:val="002063F6"/>
    <w:rsid w:val="00206527"/>
    <w:rsid w:val="00206F94"/>
    <w:rsid w:val="00207426"/>
    <w:rsid w:val="00207A3A"/>
    <w:rsid w:val="00207C1C"/>
    <w:rsid w:val="00211AD6"/>
    <w:rsid w:val="00214172"/>
    <w:rsid w:val="00215AEF"/>
    <w:rsid w:val="00215EB7"/>
    <w:rsid w:val="00216EFC"/>
    <w:rsid w:val="00217939"/>
    <w:rsid w:val="00217AEF"/>
    <w:rsid w:val="00217F7A"/>
    <w:rsid w:val="002201B5"/>
    <w:rsid w:val="002224F7"/>
    <w:rsid w:val="002224FB"/>
    <w:rsid w:val="00223A55"/>
    <w:rsid w:val="00225833"/>
    <w:rsid w:val="00225D10"/>
    <w:rsid w:val="00226937"/>
    <w:rsid w:val="00230712"/>
    <w:rsid w:val="0023124D"/>
    <w:rsid w:val="002320D4"/>
    <w:rsid w:val="00234285"/>
    <w:rsid w:val="00234738"/>
    <w:rsid w:val="0023599F"/>
    <w:rsid w:val="0024052D"/>
    <w:rsid w:val="0024336B"/>
    <w:rsid w:val="0024385F"/>
    <w:rsid w:val="002443A5"/>
    <w:rsid w:val="00246E59"/>
    <w:rsid w:val="0024751C"/>
    <w:rsid w:val="002500D0"/>
    <w:rsid w:val="0025030D"/>
    <w:rsid w:val="00250F8D"/>
    <w:rsid w:val="00251EDC"/>
    <w:rsid w:val="0025221E"/>
    <w:rsid w:val="00252B5F"/>
    <w:rsid w:val="00253927"/>
    <w:rsid w:val="00253B48"/>
    <w:rsid w:val="00253E2B"/>
    <w:rsid w:val="002546A1"/>
    <w:rsid w:val="002549F8"/>
    <w:rsid w:val="00255726"/>
    <w:rsid w:val="00256B2B"/>
    <w:rsid w:val="002573F5"/>
    <w:rsid w:val="00260417"/>
    <w:rsid w:val="00261E43"/>
    <w:rsid w:val="0026272F"/>
    <w:rsid w:val="002629EB"/>
    <w:rsid w:val="00262C43"/>
    <w:rsid w:val="00263322"/>
    <w:rsid w:val="00263FC8"/>
    <w:rsid w:val="002652C2"/>
    <w:rsid w:val="002654E1"/>
    <w:rsid w:val="0026562A"/>
    <w:rsid w:val="0026596B"/>
    <w:rsid w:val="00265D04"/>
    <w:rsid w:val="00266F54"/>
    <w:rsid w:val="00270581"/>
    <w:rsid w:val="00270E0A"/>
    <w:rsid w:val="00271021"/>
    <w:rsid w:val="002716A2"/>
    <w:rsid w:val="00271E37"/>
    <w:rsid w:val="002748CE"/>
    <w:rsid w:val="00274ACF"/>
    <w:rsid w:val="0027517D"/>
    <w:rsid w:val="002762D0"/>
    <w:rsid w:val="0027667C"/>
    <w:rsid w:val="002772C0"/>
    <w:rsid w:val="00277368"/>
    <w:rsid w:val="00280A4F"/>
    <w:rsid w:val="00280C4A"/>
    <w:rsid w:val="0028142B"/>
    <w:rsid w:val="002814F4"/>
    <w:rsid w:val="00281FC4"/>
    <w:rsid w:val="00282DAD"/>
    <w:rsid w:val="002831B4"/>
    <w:rsid w:val="0028394B"/>
    <w:rsid w:val="00284677"/>
    <w:rsid w:val="002849EA"/>
    <w:rsid w:val="00286633"/>
    <w:rsid w:val="002924C2"/>
    <w:rsid w:val="00292DA5"/>
    <w:rsid w:val="002930CE"/>
    <w:rsid w:val="00293220"/>
    <w:rsid w:val="002948B8"/>
    <w:rsid w:val="00294E3F"/>
    <w:rsid w:val="00297E4A"/>
    <w:rsid w:val="002A02D3"/>
    <w:rsid w:val="002A031A"/>
    <w:rsid w:val="002A1602"/>
    <w:rsid w:val="002A2110"/>
    <w:rsid w:val="002A2B8D"/>
    <w:rsid w:val="002A38C1"/>
    <w:rsid w:val="002A447B"/>
    <w:rsid w:val="002A52CD"/>
    <w:rsid w:val="002A6035"/>
    <w:rsid w:val="002A74D3"/>
    <w:rsid w:val="002A7AAC"/>
    <w:rsid w:val="002A7C69"/>
    <w:rsid w:val="002B0216"/>
    <w:rsid w:val="002B1061"/>
    <w:rsid w:val="002B12F4"/>
    <w:rsid w:val="002B16A7"/>
    <w:rsid w:val="002B249C"/>
    <w:rsid w:val="002B272E"/>
    <w:rsid w:val="002B3A0C"/>
    <w:rsid w:val="002B68E5"/>
    <w:rsid w:val="002B7182"/>
    <w:rsid w:val="002B7223"/>
    <w:rsid w:val="002B78DB"/>
    <w:rsid w:val="002C16C7"/>
    <w:rsid w:val="002C237F"/>
    <w:rsid w:val="002C2415"/>
    <w:rsid w:val="002C2744"/>
    <w:rsid w:val="002C3A53"/>
    <w:rsid w:val="002C5091"/>
    <w:rsid w:val="002C580C"/>
    <w:rsid w:val="002C6305"/>
    <w:rsid w:val="002C70C5"/>
    <w:rsid w:val="002C7446"/>
    <w:rsid w:val="002C7BD0"/>
    <w:rsid w:val="002D08B7"/>
    <w:rsid w:val="002D260B"/>
    <w:rsid w:val="002D4426"/>
    <w:rsid w:val="002D4909"/>
    <w:rsid w:val="002D565B"/>
    <w:rsid w:val="002D5968"/>
    <w:rsid w:val="002E031F"/>
    <w:rsid w:val="002E1A38"/>
    <w:rsid w:val="002E22C2"/>
    <w:rsid w:val="002E2B44"/>
    <w:rsid w:val="002E3D49"/>
    <w:rsid w:val="002E588D"/>
    <w:rsid w:val="002E6A52"/>
    <w:rsid w:val="002E708E"/>
    <w:rsid w:val="002E731B"/>
    <w:rsid w:val="002E761E"/>
    <w:rsid w:val="002F0B0C"/>
    <w:rsid w:val="002F2713"/>
    <w:rsid w:val="002F2BEC"/>
    <w:rsid w:val="002F714C"/>
    <w:rsid w:val="002F7221"/>
    <w:rsid w:val="00300298"/>
    <w:rsid w:val="00300EE8"/>
    <w:rsid w:val="00302067"/>
    <w:rsid w:val="00302080"/>
    <w:rsid w:val="00302598"/>
    <w:rsid w:val="00305C9B"/>
    <w:rsid w:val="00305E42"/>
    <w:rsid w:val="00306338"/>
    <w:rsid w:val="003065A6"/>
    <w:rsid w:val="0030667C"/>
    <w:rsid w:val="00306894"/>
    <w:rsid w:val="00307805"/>
    <w:rsid w:val="00307F02"/>
    <w:rsid w:val="00311124"/>
    <w:rsid w:val="00311521"/>
    <w:rsid w:val="003121CE"/>
    <w:rsid w:val="003127D3"/>
    <w:rsid w:val="00312DBA"/>
    <w:rsid w:val="003131C4"/>
    <w:rsid w:val="00314536"/>
    <w:rsid w:val="00314777"/>
    <w:rsid w:val="00315279"/>
    <w:rsid w:val="00316C18"/>
    <w:rsid w:val="00322393"/>
    <w:rsid w:val="0032276B"/>
    <w:rsid w:val="00322FA3"/>
    <w:rsid w:val="003238CB"/>
    <w:rsid w:val="0032482C"/>
    <w:rsid w:val="003248A7"/>
    <w:rsid w:val="003252E6"/>
    <w:rsid w:val="003255F9"/>
    <w:rsid w:val="0032570B"/>
    <w:rsid w:val="00325AEC"/>
    <w:rsid w:val="003265C8"/>
    <w:rsid w:val="003267C5"/>
    <w:rsid w:val="00327B62"/>
    <w:rsid w:val="00327C04"/>
    <w:rsid w:val="003304E8"/>
    <w:rsid w:val="00330F4B"/>
    <w:rsid w:val="00332172"/>
    <w:rsid w:val="003327ED"/>
    <w:rsid w:val="003338C8"/>
    <w:rsid w:val="0033513C"/>
    <w:rsid w:val="00336041"/>
    <w:rsid w:val="0033680F"/>
    <w:rsid w:val="00337CC0"/>
    <w:rsid w:val="00337E63"/>
    <w:rsid w:val="003406D8"/>
    <w:rsid w:val="00340AF2"/>
    <w:rsid w:val="00344FAE"/>
    <w:rsid w:val="00345429"/>
    <w:rsid w:val="00345841"/>
    <w:rsid w:val="003474D4"/>
    <w:rsid w:val="003511C4"/>
    <w:rsid w:val="00351C0A"/>
    <w:rsid w:val="003521D4"/>
    <w:rsid w:val="00353D34"/>
    <w:rsid w:val="00353F1D"/>
    <w:rsid w:val="003543E1"/>
    <w:rsid w:val="00355076"/>
    <w:rsid w:val="00355A72"/>
    <w:rsid w:val="00356ACD"/>
    <w:rsid w:val="0035709B"/>
    <w:rsid w:val="00360B65"/>
    <w:rsid w:val="00361BDE"/>
    <w:rsid w:val="0036222C"/>
    <w:rsid w:val="00362D6A"/>
    <w:rsid w:val="003632F0"/>
    <w:rsid w:val="00364391"/>
    <w:rsid w:val="00364707"/>
    <w:rsid w:val="00366ADA"/>
    <w:rsid w:val="00366DAC"/>
    <w:rsid w:val="00366DF9"/>
    <w:rsid w:val="003672DB"/>
    <w:rsid w:val="003702A8"/>
    <w:rsid w:val="003709EB"/>
    <w:rsid w:val="00371922"/>
    <w:rsid w:val="003719D6"/>
    <w:rsid w:val="00371B74"/>
    <w:rsid w:val="00371CCA"/>
    <w:rsid w:val="00371EF5"/>
    <w:rsid w:val="0037308C"/>
    <w:rsid w:val="00373236"/>
    <w:rsid w:val="003748BF"/>
    <w:rsid w:val="00375730"/>
    <w:rsid w:val="0037641E"/>
    <w:rsid w:val="003778C2"/>
    <w:rsid w:val="00380043"/>
    <w:rsid w:val="00380710"/>
    <w:rsid w:val="00380997"/>
    <w:rsid w:val="0038112C"/>
    <w:rsid w:val="0038121A"/>
    <w:rsid w:val="00381884"/>
    <w:rsid w:val="00381BBC"/>
    <w:rsid w:val="003821D0"/>
    <w:rsid w:val="00385507"/>
    <w:rsid w:val="003867AF"/>
    <w:rsid w:val="00390471"/>
    <w:rsid w:val="00390794"/>
    <w:rsid w:val="00390982"/>
    <w:rsid w:val="00391906"/>
    <w:rsid w:val="003929AE"/>
    <w:rsid w:val="00396214"/>
    <w:rsid w:val="00396ACD"/>
    <w:rsid w:val="003976BE"/>
    <w:rsid w:val="00397B52"/>
    <w:rsid w:val="003A0031"/>
    <w:rsid w:val="003A06AE"/>
    <w:rsid w:val="003A1203"/>
    <w:rsid w:val="003A1B9F"/>
    <w:rsid w:val="003A216D"/>
    <w:rsid w:val="003A242A"/>
    <w:rsid w:val="003A2BB1"/>
    <w:rsid w:val="003A34A3"/>
    <w:rsid w:val="003A379C"/>
    <w:rsid w:val="003A39B6"/>
    <w:rsid w:val="003A39BD"/>
    <w:rsid w:val="003A4018"/>
    <w:rsid w:val="003A4650"/>
    <w:rsid w:val="003A4CC8"/>
    <w:rsid w:val="003A56E2"/>
    <w:rsid w:val="003A7031"/>
    <w:rsid w:val="003A75B6"/>
    <w:rsid w:val="003B045F"/>
    <w:rsid w:val="003B0D28"/>
    <w:rsid w:val="003B190A"/>
    <w:rsid w:val="003B271C"/>
    <w:rsid w:val="003B298C"/>
    <w:rsid w:val="003B2DF1"/>
    <w:rsid w:val="003B3A2D"/>
    <w:rsid w:val="003B4753"/>
    <w:rsid w:val="003B4B59"/>
    <w:rsid w:val="003B54AE"/>
    <w:rsid w:val="003B7668"/>
    <w:rsid w:val="003B794E"/>
    <w:rsid w:val="003C022C"/>
    <w:rsid w:val="003C0272"/>
    <w:rsid w:val="003C22B1"/>
    <w:rsid w:val="003C4457"/>
    <w:rsid w:val="003C457A"/>
    <w:rsid w:val="003C52DA"/>
    <w:rsid w:val="003C58F8"/>
    <w:rsid w:val="003C720E"/>
    <w:rsid w:val="003C772D"/>
    <w:rsid w:val="003C7C4D"/>
    <w:rsid w:val="003D00A4"/>
    <w:rsid w:val="003D0929"/>
    <w:rsid w:val="003D2B28"/>
    <w:rsid w:val="003D2E26"/>
    <w:rsid w:val="003D48EC"/>
    <w:rsid w:val="003D500C"/>
    <w:rsid w:val="003D5572"/>
    <w:rsid w:val="003D5C7C"/>
    <w:rsid w:val="003E0E92"/>
    <w:rsid w:val="003E1528"/>
    <w:rsid w:val="003E235B"/>
    <w:rsid w:val="003E2A0A"/>
    <w:rsid w:val="003E34AD"/>
    <w:rsid w:val="003E3851"/>
    <w:rsid w:val="003E550D"/>
    <w:rsid w:val="003E55AA"/>
    <w:rsid w:val="003E5DE0"/>
    <w:rsid w:val="003E661C"/>
    <w:rsid w:val="003E6AB0"/>
    <w:rsid w:val="003E6E35"/>
    <w:rsid w:val="003E723A"/>
    <w:rsid w:val="003E7A2D"/>
    <w:rsid w:val="003F13F3"/>
    <w:rsid w:val="003F20CE"/>
    <w:rsid w:val="003F2BA5"/>
    <w:rsid w:val="003F32F4"/>
    <w:rsid w:val="003F3A27"/>
    <w:rsid w:val="003F403F"/>
    <w:rsid w:val="003F4421"/>
    <w:rsid w:val="003F51CA"/>
    <w:rsid w:val="003F57EB"/>
    <w:rsid w:val="003F7367"/>
    <w:rsid w:val="003F797B"/>
    <w:rsid w:val="003F79B7"/>
    <w:rsid w:val="00400470"/>
    <w:rsid w:val="004007BB"/>
    <w:rsid w:val="004028C1"/>
    <w:rsid w:val="004037E2"/>
    <w:rsid w:val="00404596"/>
    <w:rsid w:val="0040486E"/>
    <w:rsid w:val="00404926"/>
    <w:rsid w:val="0040512B"/>
    <w:rsid w:val="00405381"/>
    <w:rsid w:val="004058AC"/>
    <w:rsid w:val="00406598"/>
    <w:rsid w:val="00407DE5"/>
    <w:rsid w:val="00412401"/>
    <w:rsid w:val="00412D99"/>
    <w:rsid w:val="0041379B"/>
    <w:rsid w:val="0041388C"/>
    <w:rsid w:val="00415ABC"/>
    <w:rsid w:val="00415B09"/>
    <w:rsid w:val="00415FD7"/>
    <w:rsid w:val="0041615D"/>
    <w:rsid w:val="0041717F"/>
    <w:rsid w:val="00417AB6"/>
    <w:rsid w:val="00420A58"/>
    <w:rsid w:val="00421C02"/>
    <w:rsid w:val="004242F0"/>
    <w:rsid w:val="00424691"/>
    <w:rsid w:val="00424959"/>
    <w:rsid w:val="00424F5C"/>
    <w:rsid w:val="004258F1"/>
    <w:rsid w:val="00426EAE"/>
    <w:rsid w:val="004272F4"/>
    <w:rsid w:val="00427448"/>
    <w:rsid w:val="0042762C"/>
    <w:rsid w:val="004278DC"/>
    <w:rsid w:val="004305C1"/>
    <w:rsid w:val="00430AFB"/>
    <w:rsid w:val="00431EF7"/>
    <w:rsid w:val="00432581"/>
    <w:rsid w:val="00432F0C"/>
    <w:rsid w:val="004351CC"/>
    <w:rsid w:val="00435933"/>
    <w:rsid w:val="00435D8B"/>
    <w:rsid w:val="0043627A"/>
    <w:rsid w:val="004362B7"/>
    <w:rsid w:val="00436F36"/>
    <w:rsid w:val="00437AA5"/>
    <w:rsid w:val="004404D4"/>
    <w:rsid w:val="004413CD"/>
    <w:rsid w:val="004424B5"/>
    <w:rsid w:val="004430EA"/>
    <w:rsid w:val="0044391D"/>
    <w:rsid w:val="00443DD4"/>
    <w:rsid w:val="0044414D"/>
    <w:rsid w:val="004442BB"/>
    <w:rsid w:val="00444D40"/>
    <w:rsid w:val="0044514F"/>
    <w:rsid w:val="00445C47"/>
    <w:rsid w:val="004464B9"/>
    <w:rsid w:val="004505AC"/>
    <w:rsid w:val="00450D97"/>
    <w:rsid w:val="004519DE"/>
    <w:rsid w:val="00451A1D"/>
    <w:rsid w:val="00451C28"/>
    <w:rsid w:val="00452EEA"/>
    <w:rsid w:val="00453F55"/>
    <w:rsid w:val="0045450D"/>
    <w:rsid w:val="0045553B"/>
    <w:rsid w:val="004566EE"/>
    <w:rsid w:val="00456B1D"/>
    <w:rsid w:val="00456D54"/>
    <w:rsid w:val="00457444"/>
    <w:rsid w:val="004605A9"/>
    <w:rsid w:val="004606EA"/>
    <w:rsid w:val="00460EF0"/>
    <w:rsid w:val="004619FD"/>
    <w:rsid w:val="004621F3"/>
    <w:rsid w:val="0046454B"/>
    <w:rsid w:val="00466018"/>
    <w:rsid w:val="00466EFA"/>
    <w:rsid w:val="00467178"/>
    <w:rsid w:val="00467916"/>
    <w:rsid w:val="004722AF"/>
    <w:rsid w:val="00472CBC"/>
    <w:rsid w:val="00473CBD"/>
    <w:rsid w:val="00475203"/>
    <w:rsid w:val="004756F6"/>
    <w:rsid w:val="0047611C"/>
    <w:rsid w:val="004773AC"/>
    <w:rsid w:val="00482527"/>
    <w:rsid w:val="00482D40"/>
    <w:rsid w:val="004833D9"/>
    <w:rsid w:val="004833DD"/>
    <w:rsid w:val="004834F6"/>
    <w:rsid w:val="0048525D"/>
    <w:rsid w:val="00485DC3"/>
    <w:rsid w:val="0048636D"/>
    <w:rsid w:val="004874B6"/>
    <w:rsid w:val="00487BB4"/>
    <w:rsid w:val="00490F6E"/>
    <w:rsid w:val="004910AC"/>
    <w:rsid w:val="00491DA5"/>
    <w:rsid w:val="004921FA"/>
    <w:rsid w:val="00492396"/>
    <w:rsid w:val="00493B7B"/>
    <w:rsid w:val="00494685"/>
    <w:rsid w:val="0049542B"/>
    <w:rsid w:val="00496A61"/>
    <w:rsid w:val="00496C26"/>
    <w:rsid w:val="00496D15"/>
    <w:rsid w:val="00497649"/>
    <w:rsid w:val="00497C48"/>
    <w:rsid w:val="004A0AA3"/>
    <w:rsid w:val="004A1DC8"/>
    <w:rsid w:val="004A2237"/>
    <w:rsid w:val="004A2ED6"/>
    <w:rsid w:val="004A35CE"/>
    <w:rsid w:val="004A3F96"/>
    <w:rsid w:val="004A4289"/>
    <w:rsid w:val="004A43A0"/>
    <w:rsid w:val="004A4F71"/>
    <w:rsid w:val="004A574E"/>
    <w:rsid w:val="004A5D7D"/>
    <w:rsid w:val="004A640D"/>
    <w:rsid w:val="004A677F"/>
    <w:rsid w:val="004A68F8"/>
    <w:rsid w:val="004A6F9D"/>
    <w:rsid w:val="004B21FB"/>
    <w:rsid w:val="004B2A0B"/>
    <w:rsid w:val="004B2E7C"/>
    <w:rsid w:val="004B364C"/>
    <w:rsid w:val="004B3C85"/>
    <w:rsid w:val="004B7246"/>
    <w:rsid w:val="004B7413"/>
    <w:rsid w:val="004B77F5"/>
    <w:rsid w:val="004C0DD1"/>
    <w:rsid w:val="004C12B8"/>
    <w:rsid w:val="004C17CF"/>
    <w:rsid w:val="004C17D8"/>
    <w:rsid w:val="004C1C0C"/>
    <w:rsid w:val="004C29D1"/>
    <w:rsid w:val="004C34BC"/>
    <w:rsid w:val="004C351E"/>
    <w:rsid w:val="004C3B5A"/>
    <w:rsid w:val="004C3CB0"/>
    <w:rsid w:val="004C3D82"/>
    <w:rsid w:val="004C4049"/>
    <w:rsid w:val="004C40CC"/>
    <w:rsid w:val="004C4CEB"/>
    <w:rsid w:val="004C65D2"/>
    <w:rsid w:val="004C77F7"/>
    <w:rsid w:val="004C7C43"/>
    <w:rsid w:val="004D01B4"/>
    <w:rsid w:val="004D20D8"/>
    <w:rsid w:val="004D279A"/>
    <w:rsid w:val="004D367D"/>
    <w:rsid w:val="004D38E9"/>
    <w:rsid w:val="004D5C23"/>
    <w:rsid w:val="004D6132"/>
    <w:rsid w:val="004D6602"/>
    <w:rsid w:val="004D6976"/>
    <w:rsid w:val="004D7218"/>
    <w:rsid w:val="004D7499"/>
    <w:rsid w:val="004D7C5B"/>
    <w:rsid w:val="004D7FE8"/>
    <w:rsid w:val="004E048D"/>
    <w:rsid w:val="004E19F9"/>
    <w:rsid w:val="004E2737"/>
    <w:rsid w:val="004E2A68"/>
    <w:rsid w:val="004E4514"/>
    <w:rsid w:val="004E455D"/>
    <w:rsid w:val="004E7ABD"/>
    <w:rsid w:val="004E7CFF"/>
    <w:rsid w:val="004F0791"/>
    <w:rsid w:val="004F0C93"/>
    <w:rsid w:val="004F17B6"/>
    <w:rsid w:val="004F1936"/>
    <w:rsid w:val="004F2667"/>
    <w:rsid w:val="004F26CB"/>
    <w:rsid w:val="004F3E0A"/>
    <w:rsid w:val="004F446F"/>
    <w:rsid w:val="004F5527"/>
    <w:rsid w:val="004F61D7"/>
    <w:rsid w:val="004F6B8A"/>
    <w:rsid w:val="004F7784"/>
    <w:rsid w:val="00501EF2"/>
    <w:rsid w:val="00502268"/>
    <w:rsid w:val="005038CF"/>
    <w:rsid w:val="00503DCE"/>
    <w:rsid w:val="00504427"/>
    <w:rsid w:val="0050480B"/>
    <w:rsid w:val="00505194"/>
    <w:rsid w:val="005055AB"/>
    <w:rsid w:val="00505EAA"/>
    <w:rsid w:val="00506B4D"/>
    <w:rsid w:val="00507918"/>
    <w:rsid w:val="00510037"/>
    <w:rsid w:val="00510C76"/>
    <w:rsid w:val="00511023"/>
    <w:rsid w:val="0051199F"/>
    <w:rsid w:val="00511B88"/>
    <w:rsid w:val="00512E95"/>
    <w:rsid w:val="00513D48"/>
    <w:rsid w:val="005149AF"/>
    <w:rsid w:val="00514D59"/>
    <w:rsid w:val="00515C48"/>
    <w:rsid w:val="00517205"/>
    <w:rsid w:val="005172BE"/>
    <w:rsid w:val="0052023C"/>
    <w:rsid w:val="005206F6"/>
    <w:rsid w:val="00520E85"/>
    <w:rsid w:val="005218B1"/>
    <w:rsid w:val="00522291"/>
    <w:rsid w:val="005224E5"/>
    <w:rsid w:val="00522614"/>
    <w:rsid w:val="00522FEC"/>
    <w:rsid w:val="00523818"/>
    <w:rsid w:val="005242FC"/>
    <w:rsid w:val="0052431E"/>
    <w:rsid w:val="0052435C"/>
    <w:rsid w:val="00525EB3"/>
    <w:rsid w:val="00525FD4"/>
    <w:rsid w:val="00526105"/>
    <w:rsid w:val="00527272"/>
    <w:rsid w:val="005278C7"/>
    <w:rsid w:val="0052796C"/>
    <w:rsid w:val="005311A3"/>
    <w:rsid w:val="00531D08"/>
    <w:rsid w:val="00531E62"/>
    <w:rsid w:val="005323F6"/>
    <w:rsid w:val="005324DD"/>
    <w:rsid w:val="00532626"/>
    <w:rsid w:val="00532896"/>
    <w:rsid w:val="005330E9"/>
    <w:rsid w:val="005331ED"/>
    <w:rsid w:val="00534493"/>
    <w:rsid w:val="00535A3C"/>
    <w:rsid w:val="00535D7C"/>
    <w:rsid w:val="0053636E"/>
    <w:rsid w:val="005363F9"/>
    <w:rsid w:val="0053651E"/>
    <w:rsid w:val="00536CE6"/>
    <w:rsid w:val="00536D50"/>
    <w:rsid w:val="00537EF5"/>
    <w:rsid w:val="00540CF5"/>
    <w:rsid w:val="00541EE3"/>
    <w:rsid w:val="00542165"/>
    <w:rsid w:val="00542487"/>
    <w:rsid w:val="0054278D"/>
    <w:rsid w:val="00543675"/>
    <w:rsid w:val="00543DCC"/>
    <w:rsid w:val="00546296"/>
    <w:rsid w:val="00546351"/>
    <w:rsid w:val="00547B25"/>
    <w:rsid w:val="00550369"/>
    <w:rsid w:val="00550E33"/>
    <w:rsid w:val="0055113F"/>
    <w:rsid w:val="00552043"/>
    <w:rsid w:val="00553C72"/>
    <w:rsid w:val="00553CED"/>
    <w:rsid w:val="00554D4D"/>
    <w:rsid w:val="00555AEE"/>
    <w:rsid w:val="0055644C"/>
    <w:rsid w:val="00556BC9"/>
    <w:rsid w:val="005577AA"/>
    <w:rsid w:val="00557CCD"/>
    <w:rsid w:val="0056040E"/>
    <w:rsid w:val="005608BE"/>
    <w:rsid w:val="00562794"/>
    <w:rsid w:val="005631C2"/>
    <w:rsid w:val="00565C50"/>
    <w:rsid w:val="005669CC"/>
    <w:rsid w:val="005679C4"/>
    <w:rsid w:val="00567F0F"/>
    <w:rsid w:val="005714C9"/>
    <w:rsid w:val="005715ED"/>
    <w:rsid w:val="00571DAA"/>
    <w:rsid w:val="00572105"/>
    <w:rsid w:val="00572531"/>
    <w:rsid w:val="00572C1D"/>
    <w:rsid w:val="00572F61"/>
    <w:rsid w:val="00574554"/>
    <w:rsid w:val="005745BB"/>
    <w:rsid w:val="00574B3A"/>
    <w:rsid w:val="005751AC"/>
    <w:rsid w:val="005763C3"/>
    <w:rsid w:val="005768DF"/>
    <w:rsid w:val="00576AF0"/>
    <w:rsid w:val="005770DD"/>
    <w:rsid w:val="00577486"/>
    <w:rsid w:val="005779A8"/>
    <w:rsid w:val="00577D1E"/>
    <w:rsid w:val="00577F4F"/>
    <w:rsid w:val="0058067D"/>
    <w:rsid w:val="00580ED2"/>
    <w:rsid w:val="0058244C"/>
    <w:rsid w:val="00582810"/>
    <w:rsid w:val="005830F6"/>
    <w:rsid w:val="00583876"/>
    <w:rsid w:val="00583EB4"/>
    <w:rsid w:val="005844B5"/>
    <w:rsid w:val="005844BA"/>
    <w:rsid w:val="00584DA0"/>
    <w:rsid w:val="005859F8"/>
    <w:rsid w:val="00585CD3"/>
    <w:rsid w:val="00585F54"/>
    <w:rsid w:val="00586436"/>
    <w:rsid w:val="0058738B"/>
    <w:rsid w:val="005877A6"/>
    <w:rsid w:val="0059008D"/>
    <w:rsid w:val="00591CD3"/>
    <w:rsid w:val="00592482"/>
    <w:rsid w:val="00592688"/>
    <w:rsid w:val="00592B69"/>
    <w:rsid w:val="005943E4"/>
    <w:rsid w:val="00595540"/>
    <w:rsid w:val="00595778"/>
    <w:rsid w:val="00596512"/>
    <w:rsid w:val="00597D34"/>
    <w:rsid w:val="005A0541"/>
    <w:rsid w:val="005A1179"/>
    <w:rsid w:val="005A33D4"/>
    <w:rsid w:val="005A4163"/>
    <w:rsid w:val="005A44A3"/>
    <w:rsid w:val="005A4E3D"/>
    <w:rsid w:val="005A6FB9"/>
    <w:rsid w:val="005A7333"/>
    <w:rsid w:val="005A7C48"/>
    <w:rsid w:val="005A7FD1"/>
    <w:rsid w:val="005B0D4A"/>
    <w:rsid w:val="005B142B"/>
    <w:rsid w:val="005B1706"/>
    <w:rsid w:val="005B179C"/>
    <w:rsid w:val="005B28EA"/>
    <w:rsid w:val="005B2C3F"/>
    <w:rsid w:val="005B3469"/>
    <w:rsid w:val="005B3C1A"/>
    <w:rsid w:val="005B40EA"/>
    <w:rsid w:val="005B4ADB"/>
    <w:rsid w:val="005B4C31"/>
    <w:rsid w:val="005B4FE5"/>
    <w:rsid w:val="005B54D6"/>
    <w:rsid w:val="005B582C"/>
    <w:rsid w:val="005B5FA6"/>
    <w:rsid w:val="005B6937"/>
    <w:rsid w:val="005B7B18"/>
    <w:rsid w:val="005C0654"/>
    <w:rsid w:val="005C0C65"/>
    <w:rsid w:val="005C257E"/>
    <w:rsid w:val="005C32BF"/>
    <w:rsid w:val="005C3D5E"/>
    <w:rsid w:val="005C48DA"/>
    <w:rsid w:val="005C688B"/>
    <w:rsid w:val="005C6E66"/>
    <w:rsid w:val="005C7433"/>
    <w:rsid w:val="005C76F7"/>
    <w:rsid w:val="005C7DA3"/>
    <w:rsid w:val="005D0328"/>
    <w:rsid w:val="005D25EB"/>
    <w:rsid w:val="005D3A11"/>
    <w:rsid w:val="005D3D13"/>
    <w:rsid w:val="005D3DCD"/>
    <w:rsid w:val="005D4864"/>
    <w:rsid w:val="005D526C"/>
    <w:rsid w:val="005D5F83"/>
    <w:rsid w:val="005D6C25"/>
    <w:rsid w:val="005D7574"/>
    <w:rsid w:val="005E07F5"/>
    <w:rsid w:val="005E09DE"/>
    <w:rsid w:val="005E1F18"/>
    <w:rsid w:val="005E2421"/>
    <w:rsid w:val="005E3244"/>
    <w:rsid w:val="005E384F"/>
    <w:rsid w:val="005E44A9"/>
    <w:rsid w:val="005E4938"/>
    <w:rsid w:val="005E4E4B"/>
    <w:rsid w:val="005E598A"/>
    <w:rsid w:val="005E68C2"/>
    <w:rsid w:val="005F0C60"/>
    <w:rsid w:val="005F32A0"/>
    <w:rsid w:val="005F3D54"/>
    <w:rsid w:val="005F40FC"/>
    <w:rsid w:val="005F43FF"/>
    <w:rsid w:val="005F59BD"/>
    <w:rsid w:val="005F74BC"/>
    <w:rsid w:val="0060194F"/>
    <w:rsid w:val="00601F9F"/>
    <w:rsid w:val="00602084"/>
    <w:rsid w:val="006033A7"/>
    <w:rsid w:val="00603F99"/>
    <w:rsid w:val="00604256"/>
    <w:rsid w:val="00604F03"/>
    <w:rsid w:val="006055E4"/>
    <w:rsid w:val="00606A8C"/>
    <w:rsid w:val="00607C47"/>
    <w:rsid w:val="00607DA7"/>
    <w:rsid w:val="00611073"/>
    <w:rsid w:val="00611ADD"/>
    <w:rsid w:val="00611F1A"/>
    <w:rsid w:val="006123D6"/>
    <w:rsid w:val="0061270D"/>
    <w:rsid w:val="00612EED"/>
    <w:rsid w:val="006130F8"/>
    <w:rsid w:val="006133F6"/>
    <w:rsid w:val="00613479"/>
    <w:rsid w:val="00613D9F"/>
    <w:rsid w:val="0061540A"/>
    <w:rsid w:val="00616274"/>
    <w:rsid w:val="00616D08"/>
    <w:rsid w:val="0061797C"/>
    <w:rsid w:val="00617CFA"/>
    <w:rsid w:val="006205AC"/>
    <w:rsid w:val="006205EB"/>
    <w:rsid w:val="00620DF9"/>
    <w:rsid w:val="00622F62"/>
    <w:rsid w:val="00623432"/>
    <w:rsid w:val="006244B5"/>
    <w:rsid w:val="00624E0A"/>
    <w:rsid w:val="00624E65"/>
    <w:rsid w:val="0062505E"/>
    <w:rsid w:val="00625149"/>
    <w:rsid w:val="00626F6C"/>
    <w:rsid w:val="00627B5A"/>
    <w:rsid w:val="006300F0"/>
    <w:rsid w:val="0063039A"/>
    <w:rsid w:val="006314B1"/>
    <w:rsid w:val="006326C6"/>
    <w:rsid w:val="0063277C"/>
    <w:rsid w:val="00634752"/>
    <w:rsid w:val="00634A48"/>
    <w:rsid w:val="006351F2"/>
    <w:rsid w:val="0063584B"/>
    <w:rsid w:val="00635CC3"/>
    <w:rsid w:val="006363C3"/>
    <w:rsid w:val="00637451"/>
    <w:rsid w:val="0064204C"/>
    <w:rsid w:val="00642364"/>
    <w:rsid w:val="006424F9"/>
    <w:rsid w:val="006430AA"/>
    <w:rsid w:val="00644D2B"/>
    <w:rsid w:val="00644FB4"/>
    <w:rsid w:val="006465FB"/>
    <w:rsid w:val="00650999"/>
    <w:rsid w:val="006519F4"/>
    <w:rsid w:val="00651CB4"/>
    <w:rsid w:val="006539BF"/>
    <w:rsid w:val="00654CF1"/>
    <w:rsid w:val="006565FF"/>
    <w:rsid w:val="006573CC"/>
    <w:rsid w:val="006601EA"/>
    <w:rsid w:val="00660D97"/>
    <w:rsid w:val="00661D6E"/>
    <w:rsid w:val="0066277D"/>
    <w:rsid w:val="006632C1"/>
    <w:rsid w:val="00663C3F"/>
    <w:rsid w:val="00664C81"/>
    <w:rsid w:val="006654AB"/>
    <w:rsid w:val="006657C4"/>
    <w:rsid w:val="006671E5"/>
    <w:rsid w:val="00667323"/>
    <w:rsid w:val="00667391"/>
    <w:rsid w:val="00667BF5"/>
    <w:rsid w:val="00671855"/>
    <w:rsid w:val="0067283C"/>
    <w:rsid w:val="00672947"/>
    <w:rsid w:val="0067323D"/>
    <w:rsid w:val="0067586E"/>
    <w:rsid w:val="006759CF"/>
    <w:rsid w:val="00680BD2"/>
    <w:rsid w:val="00681345"/>
    <w:rsid w:val="006824C3"/>
    <w:rsid w:val="00683353"/>
    <w:rsid w:val="00683374"/>
    <w:rsid w:val="00683801"/>
    <w:rsid w:val="00683D52"/>
    <w:rsid w:val="00683F5B"/>
    <w:rsid w:val="00684209"/>
    <w:rsid w:val="00684C60"/>
    <w:rsid w:val="0068503E"/>
    <w:rsid w:val="006854A2"/>
    <w:rsid w:val="00685949"/>
    <w:rsid w:val="00685C57"/>
    <w:rsid w:val="00685C60"/>
    <w:rsid w:val="00685D43"/>
    <w:rsid w:val="00686C59"/>
    <w:rsid w:val="00687078"/>
    <w:rsid w:val="00687691"/>
    <w:rsid w:val="00690311"/>
    <w:rsid w:val="00690D15"/>
    <w:rsid w:val="006912A2"/>
    <w:rsid w:val="00691584"/>
    <w:rsid w:val="00691986"/>
    <w:rsid w:val="00692E70"/>
    <w:rsid w:val="006931F3"/>
    <w:rsid w:val="0069326E"/>
    <w:rsid w:val="00693598"/>
    <w:rsid w:val="006937FA"/>
    <w:rsid w:val="00693B69"/>
    <w:rsid w:val="00693E52"/>
    <w:rsid w:val="00696644"/>
    <w:rsid w:val="00696690"/>
    <w:rsid w:val="00696A8D"/>
    <w:rsid w:val="00696C80"/>
    <w:rsid w:val="006A00C6"/>
    <w:rsid w:val="006A1B54"/>
    <w:rsid w:val="006A24BC"/>
    <w:rsid w:val="006A2802"/>
    <w:rsid w:val="006A2C92"/>
    <w:rsid w:val="006A3342"/>
    <w:rsid w:val="006A5234"/>
    <w:rsid w:val="006A77BF"/>
    <w:rsid w:val="006A7FC5"/>
    <w:rsid w:val="006B0106"/>
    <w:rsid w:val="006B01E5"/>
    <w:rsid w:val="006B0411"/>
    <w:rsid w:val="006B1EAC"/>
    <w:rsid w:val="006B3EBE"/>
    <w:rsid w:val="006B4935"/>
    <w:rsid w:val="006B50A4"/>
    <w:rsid w:val="006B5934"/>
    <w:rsid w:val="006B5FAF"/>
    <w:rsid w:val="006B628C"/>
    <w:rsid w:val="006B6741"/>
    <w:rsid w:val="006B78DA"/>
    <w:rsid w:val="006C0AAE"/>
    <w:rsid w:val="006C0C2D"/>
    <w:rsid w:val="006C2742"/>
    <w:rsid w:val="006C351D"/>
    <w:rsid w:val="006C411D"/>
    <w:rsid w:val="006C57DE"/>
    <w:rsid w:val="006C5B44"/>
    <w:rsid w:val="006C62CE"/>
    <w:rsid w:val="006C73D5"/>
    <w:rsid w:val="006C7493"/>
    <w:rsid w:val="006D1323"/>
    <w:rsid w:val="006D142F"/>
    <w:rsid w:val="006D16F5"/>
    <w:rsid w:val="006D1C73"/>
    <w:rsid w:val="006D1D3D"/>
    <w:rsid w:val="006D2310"/>
    <w:rsid w:val="006D372D"/>
    <w:rsid w:val="006D3C12"/>
    <w:rsid w:val="006D4097"/>
    <w:rsid w:val="006D508E"/>
    <w:rsid w:val="006D5648"/>
    <w:rsid w:val="006D6533"/>
    <w:rsid w:val="006D799B"/>
    <w:rsid w:val="006E1605"/>
    <w:rsid w:val="006E3051"/>
    <w:rsid w:val="006E3C6B"/>
    <w:rsid w:val="006E3FD0"/>
    <w:rsid w:val="006E58A7"/>
    <w:rsid w:val="006E5AC2"/>
    <w:rsid w:val="006F03F6"/>
    <w:rsid w:val="006F0860"/>
    <w:rsid w:val="006F0C3E"/>
    <w:rsid w:val="006F182D"/>
    <w:rsid w:val="006F2129"/>
    <w:rsid w:val="006F3808"/>
    <w:rsid w:val="006F3A1F"/>
    <w:rsid w:val="006F430F"/>
    <w:rsid w:val="006F4B38"/>
    <w:rsid w:val="006F578B"/>
    <w:rsid w:val="006F5A07"/>
    <w:rsid w:val="006F6189"/>
    <w:rsid w:val="006F723C"/>
    <w:rsid w:val="006F7A61"/>
    <w:rsid w:val="006F7EFE"/>
    <w:rsid w:val="0070170E"/>
    <w:rsid w:val="00701CBC"/>
    <w:rsid w:val="0070236E"/>
    <w:rsid w:val="00702F3E"/>
    <w:rsid w:val="007035C1"/>
    <w:rsid w:val="007039F4"/>
    <w:rsid w:val="00704554"/>
    <w:rsid w:val="00705CD5"/>
    <w:rsid w:val="00705F36"/>
    <w:rsid w:val="00706678"/>
    <w:rsid w:val="00706B07"/>
    <w:rsid w:val="00706DEA"/>
    <w:rsid w:val="00707CE2"/>
    <w:rsid w:val="00712224"/>
    <w:rsid w:val="00712D7D"/>
    <w:rsid w:val="0071329D"/>
    <w:rsid w:val="007132F4"/>
    <w:rsid w:val="007135BC"/>
    <w:rsid w:val="00714713"/>
    <w:rsid w:val="00714A58"/>
    <w:rsid w:val="00714A66"/>
    <w:rsid w:val="007156F0"/>
    <w:rsid w:val="00716385"/>
    <w:rsid w:val="0071710F"/>
    <w:rsid w:val="007174BA"/>
    <w:rsid w:val="0072073E"/>
    <w:rsid w:val="00720966"/>
    <w:rsid w:val="00721209"/>
    <w:rsid w:val="00722F2E"/>
    <w:rsid w:val="007241B0"/>
    <w:rsid w:val="007242F0"/>
    <w:rsid w:val="00724B19"/>
    <w:rsid w:val="00724BCB"/>
    <w:rsid w:val="00727422"/>
    <w:rsid w:val="00727974"/>
    <w:rsid w:val="00730FE3"/>
    <w:rsid w:val="007312BB"/>
    <w:rsid w:val="00731D38"/>
    <w:rsid w:val="0073229C"/>
    <w:rsid w:val="00732AD4"/>
    <w:rsid w:val="00732ECC"/>
    <w:rsid w:val="007341FB"/>
    <w:rsid w:val="0073667F"/>
    <w:rsid w:val="00736E4F"/>
    <w:rsid w:val="00737782"/>
    <w:rsid w:val="00737D47"/>
    <w:rsid w:val="007407D7"/>
    <w:rsid w:val="00740A94"/>
    <w:rsid w:val="00741FEC"/>
    <w:rsid w:val="00742A65"/>
    <w:rsid w:val="00743715"/>
    <w:rsid w:val="007444E8"/>
    <w:rsid w:val="00744DA6"/>
    <w:rsid w:val="00745DE8"/>
    <w:rsid w:val="00746A64"/>
    <w:rsid w:val="00746BE3"/>
    <w:rsid w:val="00747042"/>
    <w:rsid w:val="007504F6"/>
    <w:rsid w:val="00750522"/>
    <w:rsid w:val="00750A72"/>
    <w:rsid w:val="00750B96"/>
    <w:rsid w:val="00750EFE"/>
    <w:rsid w:val="00752940"/>
    <w:rsid w:val="00753683"/>
    <w:rsid w:val="00753A61"/>
    <w:rsid w:val="00755A54"/>
    <w:rsid w:val="0075665A"/>
    <w:rsid w:val="007567B0"/>
    <w:rsid w:val="007568FB"/>
    <w:rsid w:val="00757786"/>
    <w:rsid w:val="00757C12"/>
    <w:rsid w:val="007600CD"/>
    <w:rsid w:val="007602C2"/>
    <w:rsid w:val="0076081A"/>
    <w:rsid w:val="00760D6F"/>
    <w:rsid w:val="00762EF2"/>
    <w:rsid w:val="007655C2"/>
    <w:rsid w:val="00767398"/>
    <w:rsid w:val="007673D1"/>
    <w:rsid w:val="00767D9A"/>
    <w:rsid w:val="00770310"/>
    <w:rsid w:val="00770EF0"/>
    <w:rsid w:val="00770FD4"/>
    <w:rsid w:val="007711D2"/>
    <w:rsid w:val="00771391"/>
    <w:rsid w:val="00771716"/>
    <w:rsid w:val="00771863"/>
    <w:rsid w:val="00771B9D"/>
    <w:rsid w:val="00772494"/>
    <w:rsid w:val="00772D4A"/>
    <w:rsid w:val="007741A0"/>
    <w:rsid w:val="007748DA"/>
    <w:rsid w:val="00774D5A"/>
    <w:rsid w:val="00775793"/>
    <w:rsid w:val="00775C9C"/>
    <w:rsid w:val="00775D49"/>
    <w:rsid w:val="007768D6"/>
    <w:rsid w:val="00776BCE"/>
    <w:rsid w:val="00776E5A"/>
    <w:rsid w:val="00776FA0"/>
    <w:rsid w:val="00777147"/>
    <w:rsid w:val="007812C0"/>
    <w:rsid w:val="007816EB"/>
    <w:rsid w:val="00781CD4"/>
    <w:rsid w:val="007821AA"/>
    <w:rsid w:val="007825E8"/>
    <w:rsid w:val="00782742"/>
    <w:rsid w:val="0078277E"/>
    <w:rsid w:val="0078296B"/>
    <w:rsid w:val="00782995"/>
    <w:rsid w:val="00782A12"/>
    <w:rsid w:val="00782FDF"/>
    <w:rsid w:val="0078394A"/>
    <w:rsid w:val="007839DF"/>
    <w:rsid w:val="0078407F"/>
    <w:rsid w:val="00784607"/>
    <w:rsid w:val="00786488"/>
    <w:rsid w:val="00787472"/>
    <w:rsid w:val="00787865"/>
    <w:rsid w:val="00791D1F"/>
    <w:rsid w:val="0079200F"/>
    <w:rsid w:val="00792B84"/>
    <w:rsid w:val="00792F5D"/>
    <w:rsid w:val="00793C5B"/>
    <w:rsid w:val="0079407C"/>
    <w:rsid w:val="007940E4"/>
    <w:rsid w:val="00794EF4"/>
    <w:rsid w:val="007950E5"/>
    <w:rsid w:val="0079526D"/>
    <w:rsid w:val="00795BB5"/>
    <w:rsid w:val="00797278"/>
    <w:rsid w:val="007A001B"/>
    <w:rsid w:val="007A0FCA"/>
    <w:rsid w:val="007A1AED"/>
    <w:rsid w:val="007A4196"/>
    <w:rsid w:val="007A4BA2"/>
    <w:rsid w:val="007A4C63"/>
    <w:rsid w:val="007A5731"/>
    <w:rsid w:val="007A5946"/>
    <w:rsid w:val="007A6813"/>
    <w:rsid w:val="007A7BD1"/>
    <w:rsid w:val="007B0D16"/>
    <w:rsid w:val="007B118E"/>
    <w:rsid w:val="007B181E"/>
    <w:rsid w:val="007B2FF5"/>
    <w:rsid w:val="007B4E5F"/>
    <w:rsid w:val="007B6734"/>
    <w:rsid w:val="007C00B0"/>
    <w:rsid w:val="007C03B5"/>
    <w:rsid w:val="007C0C67"/>
    <w:rsid w:val="007C1927"/>
    <w:rsid w:val="007C3062"/>
    <w:rsid w:val="007C3903"/>
    <w:rsid w:val="007C3A57"/>
    <w:rsid w:val="007C4470"/>
    <w:rsid w:val="007C481A"/>
    <w:rsid w:val="007C4A73"/>
    <w:rsid w:val="007C4D9D"/>
    <w:rsid w:val="007C4F8C"/>
    <w:rsid w:val="007C50E1"/>
    <w:rsid w:val="007C5CF9"/>
    <w:rsid w:val="007C629C"/>
    <w:rsid w:val="007C646B"/>
    <w:rsid w:val="007C65F9"/>
    <w:rsid w:val="007C7C46"/>
    <w:rsid w:val="007C7E24"/>
    <w:rsid w:val="007D0301"/>
    <w:rsid w:val="007D0861"/>
    <w:rsid w:val="007D092B"/>
    <w:rsid w:val="007D0A38"/>
    <w:rsid w:val="007D0C68"/>
    <w:rsid w:val="007D1438"/>
    <w:rsid w:val="007D2FD8"/>
    <w:rsid w:val="007D4250"/>
    <w:rsid w:val="007D485B"/>
    <w:rsid w:val="007D4A17"/>
    <w:rsid w:val="007D4CA4"/>
    <w:rsid w:val="007D4DC7"/>
    <w:rsid w:val="007D67EA"/>
    <w:rsid w:val="007D68F7"/>
    <w:rsid w:val="007D6AC1"/>
    <w:rsid w:val="007D72E5"/>
    <w:rsid w:val="007D756C"/>
    <w:rsid w:val="007E010B"/>
    <w:rsid w:val="007E088F"/>
    <w:rsid w:val="007E19BE"/>
    <w:rsid w:val="007E1C60"/>
    <w:rsid w:val="007E1DD5"/>
    <w:rsid w:val="007E2D60"/>
    <w:rsid w:val="007E2E9E"/>
    <w:rsid w:val="007E4441"/>
    <w:rsid w:val="007E5AC1"/>
    <w:rsid w:val="007E68C8"/>
    <w:rsid w:val="007F08A2"/>
    <w:rsid w:val="007F17ED"/>
    <w:rsid w:val="007F180F"/>
    <w:rsid w:val="007F1ACC"/>
    <w:rsid w:val="007F1FE4"/>
    <w:rsid w:val="007F2063"/>
    <w:rsid w:val="007F2B55"/>
    <w:rsid w:val="007F2DE6"/>
    <w:rsid w:val="007F3322"/>
    <w:rsid w:val="007F3CE4"/>
    <w:rsid w:val="007F568C"/>
    <w:rsid w:val="007F5812"/>
    <w:rsid w:val="007F6519"/>
    <w:rsid w:val="007F6917"/>
    <w:rsid w:val="007F6A29"/>
    <w:rsid w:val="007F6A83"/>
    <w:rsid w:val="007F73E4"/>
    <w:rsid w:val="007F7626"/>
    <w:rsid w:val="00800D03"/>
    <w:rsid w:val="00801DC6"/>
    <w:rsid w:val="008020B3"/>
    <w:rsid w:val="008026AF"/>
    <w:rsid w:val="00802FC2"/>
    <w:rsid w:val="00802FE5"/>
    <w:rsid w:val="008033AB"/>
    <w:rsid w:val="00803F23"/>
    <w:rsid w:val="00805364"/>
    <w:rsid w:val="00806A06"/>
    <w:rsid w:val="0080761F"/>
    <w:rsid w:val="008100B7"/>
    <w:rsid w:val="0081143B"/>
    <w:rsid w:val="0081185D"/>
    <w:rsid w:val="00812413"/>
    <w:rsid w:val="00812DCF"/>
    <w:rsid w:val="0081340D"/>
    <w:rsid w:val="00814A94"/>
    <w:rsid w:val="008150FA"/>
    <w:rsid w:val="00817DAD"/>
    <w:rsid w:val="00817FC5"/>
    <w:rsid w:val="00820F9E"/>
    <w:rsid w:val="008216B1"/>
    <w:rsid w:val="008233F7"/>
    <w:rsid w:val="00823793"/>
    <w:rsid w:val="008251BD"/>
    <w:rsid w:val="00825717"/>
    <w:rsid w:val="0082583A"/>
    <w:rsid w:val="008259DF"/>
    <w:rsid w:val="00827BEA"/>
    <w:rsid w:val="0083017A"/>
    <w:rsid w:val="00830AA9"/>
    <w:rsid w:val="00834E37"/>
    <w:rsid w:val="00834E88"/>
    <w:rsid w:val="00835962"/>
    <w:rsid w:val="008362C1"/>
    <w:rsid w:val="00836BEE"/>
    <w:rsid w:val="00836D03"/>
    <w:rsid w:val="00836E01"/>
    <w:rsid w:val="00837CF4"/>
    <w:rsid w:val="00840180"/>
    <w:rsid w:val="008439AF"/>
    <w:rsid w:val="008440B5"/>
    <w:rsid w:val="008447E3"/>
    <w:rsid w:val="008459A5"/>
    <w:rsid w:val="0084643B"/>
    <w:rsid w:val="00850500"/>
    <w:rsid w:val="008509D1"/>
    <w:rsid w:val="00852687"/>
    <w:rsid w:val="0085272A"/>
    <w:rsid w:val="008540BF"/>
    <w:rsid w:val="008547C4"/>
    <w:rsid w:val="0085488F"/>
    <w:rsid w:val="008549F6"/>
    <w:rsid w:val="008552E2"/>
    <w:rsid w:val="00856232"/>
    <w:rsid w:val="0085631F"/>
    <w:rsid w:val="008603B9"/>
    <w:rsid w:val="008609D7"/>
    <w:rsid w:val="00861253"/>
    <w:rsid w:val="00862570"/>
    <w:rsid w:val="008625FE"/>
    <w:rsid w:val="008634BD"/>
    <w:rsid w:val="008636E2"/>
    <w:rsid w:val="00865AB3"/>
    <w:rsid w:val="00865F90"/>
    <w:rsid w:val="008661E7"/>
    <w:rsid w:val="00866201"/>
    <w:rsid w:val="0086650B"/>
    <w:rsid w:val="00866E66"/>
    <w:rsid w:val="00867480"/>
    <w:rsid w:val="0087001D"/>
    <w:rsid w:val="00870A79"/>
    <w:rsid w:val="00870CC3"/>
    <w:rsid w:val="00871EB7"/>
    <w:rsid w:val="00874552"/>
    <w:rsid w:val="00874C99"/>
    <w:rsid w:val="00874DE2"/>
    <w:rsid w:val="00874E8B"/>
    <w:rsid w:val="0087563F"/>
    <w:rsid w:val="00875990"/>
    <w:rsid w:val="00876FE8"/>
    <w:rsid w:val="008807DA"/>
    <w:rsid w:val="00880FB7"/>
    <w:rsid w:val="008815D9"/>
    <w:rsid w:val="008815E5"/>
    <w:rsid w:val="00881A0A"/>
    <w:rsid w:val="008829C6"/>
    <w:rsid w:val="00882AEB"/>
    <w:rsid w:val="00882EF8"/>
    <w:rsid w:val="00883A06"/>
    <w:rsid w:val="00883BAE"/>
    <w:rsid w:val="00883C62"/>
    <w:rsid w:val="00883F79"/>
    <w:rsid w:val="0088402F"/>
    <w:rsid w:val="00886184"/>
    <w:rsid w:val="00886BB6"/>
    <w:rsid w:val="00886F39"/>
    <w:rsid w:val="0088719C"/>
    <w:rsid w:val="00887550"/>
    <w:rsid w:val="0089085D"/>
    <w:rsid w:val="00890E29"/>
    <w:rsid w:val="008912AD"/>
    <w:rsid w:val="008915FD"/>
    <w:rsid w:val="00892B7C"/>
    <w:rsid w:val="00892D9D"/>
    <w:rsid w:val="00892F38"/>
    <w:rsid w:val="008935AA"/>
    <w:rsid w:val="00893FA5"/>
    <w:rsid w:val="00894A68"/>
    <w:rsid w:val="00894B4D"/>
    <w:rsid w:val="00894B58"/>
    <w:rsid w:val="0089631F"/>
    <w:rsid w:val="0089679A"/>
    <w:rsid w:val="008969C7"/>
    <w:rsid w:val="008A0658"/>
    <w:rsid w:val="008A083C"/>
    <w:rsid w:val="008A0DB1"/>
    <w:rsid w:val="008A165A"/>
    <w:rsid w:val="008A1BEA"/>
    <w:rsid w:val="008A2E35"/>
    <w:rsid w:val="008A326C"/>
    <w:rsid w:val="008A43C6"/>
    <w:rsid w:val="008A50CA"/>
    <w:rsid w:val="008A5493"/>
    <w:rsid w:val="008A569B"/>
    <w:rsid w:val="008A5A4C"/>
    <w:rsid w:val="008A634B"/>
    <w:rsid w:val="008A63AB"/>
    <w:rsid w:val="008A665B"/>
    <w:rsid w:val="008A68E0"/>
    <w:rsid w:val="008A6D72"/>
    <w:rsid w:val="008A6FA4"/>
    <w:rsid w:val="008A7820"/>
    <w:rsid w:val="008B1498"/>
    <w:rsid w:val="008B1E73"/>
    <w:rsid w:val="008B2C58"/>
    <w:rsid w:val="008B391C"/>
    <w:rsid w:val="008B3F1B"/>
    <w:rsid w:val="008B4785"/>
    <w:rsid w:val="008B5AE5"/>
    <w:rsid w:val="008B6545"/>
    <w:rsid w:val="008B695F"/>
    <w:rsid w:val="008B713C"/>
    <w:rsid w:val="008B714B"/>
    <w:rsid w:val="008B76E9"/>
    <w:rsid w:val="008B7B90"/>
    <w:rsid w:val="008B7D9F"/>
    <w:rsid w:val="008C032F"/>
    <w:rsid w:val="008C0A46"/>
    <w:rsid w:val="008C0C5C"/>
    <w:rsid w:val="008C17EB"/>
    <w:rsid w:val="008C1E5A"/>
    <w:rsid w:val="008C2626"/>
    <w:rsid w:val="008C2F79"/>
    <w:rsid w:val="008C52BA"/>
    <w:rsid w:val="008C6239"/>
    <w:rsid w:val="008C667C"/>
    <w:rsid w:val="008C6CE5"/>
    <w:rsid w:val="008C7D29"/>
    <w:rsid w:val="008D00BF"/>
    <w:rsid w:val="008D068B"/>
    <w:rsid w:val="008D0C94"/>
    <w:rsid w:val="008D1177"/>
    <w:rsid w:val="008D2257"/>
    <w:rsid w:val="008D3964"/>
    <w:rsid w:val="008D46FC"/>
    <w:rsid w:val="008D4C4E"/>
    <w:rsid w:val="008D7A86"/>
    <w:rsid w:val="008D7CF4"/>
    <w:rsid w:val="008E0EF6"/>
    <w:rsid w:val="008E1512"/>
    <w:rsid w:val="008E1612"/>
    <w:rsid w:val="008E1B35"/>
    <w:rsid w:val="008E1D88"/>
    <w:rsid w:val="008E2694"/>
    <w:rsid w:val="008E3A10"/>
    <w:rsid w:val="008E4204"/>
    <w:rsid w:val="008E49FA"/>
    <w:rsid w:val="008E578F"/>
    <w:rsid w:val="008E5DE1"/>
    <w:rsid w:val="008E5F0F"/>
    <w:rsid w:val="008E658F"/>
    <w:rsid w:val="008E7CBA"/>
    <w:rsid w:val="008F06E7"/>
    <w:rsid w:val="008F2A95"/>
    <w:rsid w:val="008F2C25"/>
    <w:rsid w:val="008F2D7F"/>
    <w:rsid w:val="008F3787"/>
    <w:rsid w:val="008F3B9C"/>
    <w:rsid w:val="008F5C1B"/>
    <w:rsid w:val="008F5E0E"/>
    <w:rsid w:val="008F72CB"/>
    <w:rsid w:val="008F7877"/>
    <w:rsid w:val="009007F6"/>
    <w:rsid w:val="00901015"/>
    <w:rsid w:val="00901D5F"/>
    <w:rsid w:val="00902386"/>
    <w:rsid w:val="00902A8F"/>
    <w:rsid w:val="009039DD"/>
    <w:rsid w:val="00904459"/>
    <w:rsid w:val="0090465F"/>
    <w:rsid w:val="00905238"/>
    <w:rsid w:val="0090532B"/>
    <w:rsid w:val="00905468"/>
    <w:rsid w:val="00905653"/>
    <w:rsid w:val="009067EF"/>
    <w:rsid w:val="00906CB6"/>
    <w:rsid w:val="00906FC4"/>
    <w:rsid w:val="0090762A"/>
    <w:rsid w:val="00910318"/>
    <w:rsid w:val="0091062C"/>
    <w:rsid w:val="009114A3"/>
    <w:rsid w:val="00911A4C"/>
    <w:rsid w:val="00911F96"/>
    <w:rsid w:val="009121AB"/>
    <w:rsid w:val="00912DD5"/>
    <w:rsid w:val="00912E1F"/>
    <w:rsid w:val="00913022"/>
    <w:rsid w:val="00913C65"/>
    <w:rsid w:val="009144C2"/>
    <w:rsid w:val="009150EB"/>
    <w:rsid w:val="00915355"/>
    <w:rsid w:val="00915DB3"/>
    <w:rsid w:val="00916597"/>
    <w:rsid w:val="0092086C"/>
    <w:rsid w:val="0092226E"/>
    <w:rsid w:val="009227AC"/>
    <w:rsid w:val="009238ED"/>
    <w:rsid w:val="009244D1"/>
    <w:rsid w:val="00925D5F"/>
    <w:rsid w:val="00925FF7"/>
    <w:rsid w:val="0092653F"/>
    <w:rsid w:val="0092730B"/>
    <w:rsid w:val="00927EB6"/>
    <w:rsid w:val="00930A5C"/>
    <w:rsid w:val="00930C72"/>
    <w:rsid w:val="009317EE"/>
    <w:rsid w:val="00932C91"/>
    <w:rsid w:val="00933040"/>
    <w:rsid w:val="00934E2F"/>
    <w:rsid w:val="00936855"/>
    <w:rsid w:val="00936B4F"/>
    <w:rsid w:val="00936DAE"/>
    <w:rsid w:val="00937178"/>
    <w:rsid w:val="009379E6"/>
    <w:rsid w:val="00937C02"/>
    <w:rsid w:val="0094034D"/>
    <w:rsid w:val="00940731"/>
    <w:rsid w:val="00941E83"/>
    <w:rsid w:val="00943723"/>
    <w:rsid w:val="00943D14"/>
    <w:rsid w:val="00943D8C"/>
    <w:rsid w:val="009442CA"/>
    <w:rsid w:val="009451CC"/>
    <w:rsid w:val="009461BD"/>
    <w:rsid w:val="009475D8"/>
    <w:rsid w:val="00951220"/>
    <w:rsid w:val="009516BD"/>
    <w:rsid w:val="00951C33"/>
    <w:rsid w:val="00953118"/>
    <w:rsid w:val="009533D4"/>
    <w:rsid w:val="00953E98"/>
    <w:rsid w:val="00954C65"/>
    <w:rsid w:val="009550C1"/>
    <w:rsid w:val="00955712"/>
    <w:rsid w:val="00956FE2"/>
    <w:rsid w:val="00957093"/>
    <w:rsid w:val="00957276"/>
    <w:rsid w:val="00957367"/>
    <w:rsid w:val="009578C4"/>
    <w:rsid w:val="00957E6D"/>
    <w:rsid w:val="00957E8A"/>
    <w:rsid w:val="00961178"/>
    <w:rsid w:val="00961F78"/>
    <w:rsid w:val="00962518"/>
    <w:rsid w:val="00962541"/>
    <w:rsid w:val="00964A3B"/>
    <w:rsid w:val="00965143"/>
    <w:rsid w:val="00965242"/>
    <w:rsid w:val="009674A1"/>
    <w:rsid w:val="009675C6"/>
    <w:rsid w:val="009702AA"/>
    <w:rsid w:val="00970601"/>
    <w:rsid w:val="009707AC"/>
    <w:rsid w:val="00972809"/>
    <w:rsid w:val="00972F1D"/>
    <w:rsid w:val="00973017"/>
    <w:rsid w:val="00974007"/>
    <w:rsid w:val="0097419E"/>
    <w:rsid w:val="0097494F"/>
    <w:rsid w:val="00975058"/>
    <w:rsid w:val="009753EC"/>
    <w:rsid w:val="00976084"/>
    <w:rsid w:val="009763A0"/>
    <w:rsid w:val="00976A8F"/>
    <w:rsid w:val="00976C03"/>
    <w:rsid w:val="00977593"/>
    <w:rsid w:val="0098029A"/>
    <w:rsid w:val="00981A11"/>
    <w:rsid w:val="00982936"/>
    <w:rsid w:val="009847E0"/>
    <w:rsid w:val="00984ED6"/>
    <w:rsid w:val="009860D9"/>
    <w:rsid w:val="0098619B"/>
    <w:rsid w:val="00986503"/>
    <w:rsid w:val="009866A5"/>
    <w:rsid w:val="00986D58"/>
    <w:rsid w:val="00986E16"/>
    <w:rsid w:val="00986FAD"/>
    <w:rsid w:val="0098747E"/>
    <w:rsid w:val="00987BD3"/>
    <w:rsid w:val="00990EDD"/>
    <w:rsid w:val="009915B4"/>
    <w:rsid w:val="00991983"/>
    <w:rsid w:val="00991E67"/>
    <w:rsid w:val="00991FB5"/>
    <w:rsid w:val="00994452"/>
    <w:rsid w:val="009947E6"/>
    <w:rsid w:val="00994B64"/>
    <w:rsid w:val="00994C65"/>
    <w:rsid w:val="00994CF3"/>
    <w:rsid w:val="009957C5"/>
    <w:rsid w:val="009965BB"/>
    <w:rsid w:val="0099677C"/>
    <w:rsid w:val="00997463"/>
    <w:rsid w:val="00997621"/>
    <w:rsid w:val="00997BE2"/>
    <w:rsid w:val="00997EEA"/>
    <w:rsid w:val="009A0282"/>
    <w:rsid w:val="009A0ABC"/>
    <w:rsid w:val="009A0C55"/>
    <w:rsid w:val="009A231A"/>
    <w:rsid w:val="009A4684"/>
    <w:rsid w:val="009A676D"/>
    <w:rsid w:val="009A7202"/>
    <w:rsid w:val="009A7875"/>
    <w:rsid w:val="009B0583"/>
    <w:rsid w:val="009B0DE5"/>
    <w:rsid w:val="009B26A4"/>
    <w:rsid w:val="009B2B39"/>
    <w:rsid w:val="009B3991"/>
    <w:rsid w:val="009B3AAB"/>
    <w:rsid w:val="009B4232"/>
    <w:rsid w:val="009B4FB2"/>
    <w:rsid w:val="009B5DDC"/>
    <w:rsid w:val="009B6FB5"/>
    <w:rsid w:val="009B74AD"/>
    <w:rsid w:val="009B7740"/>
    <w:rsid w:val="009C1601"/>
    <w:rsid w:val="009C206C"/>
    <w:rsid w:val="009C2DDD"/>
    <w:rsid w:val="009C341B"/>
    <w:rsid w:val="009C3440"/>
    <w:rsid w:val="009C3A52"/>
    <w:rsid w:val="009C40E0"/>
    <w:rsid w:val="009C48E6"/>
    <w:rsid w:val="009C4CC1"/>
    <w:rsid w:val="009C6084"/>
    <w:rsid w:val="009C66C3"/>
    <w:rsid w:val="009C78B5"/>
    <w:rsid w:val="009D1A93"/>
    <w:rsid w:val="009D3318"/>
    <w:rsid w:val="009D39E9"/>
    <w:rsid w:val="009D413D"/>
    <w:rsid w:val="009D426D"/>
    <w:rsid w:val="009D4D2C"/>
    <w:rsid w:val="009D4F46"/>
    <w:rsid w:val="009D529C"/>
    <w:rsid w:val="009D579B"/>
    <w:rsid w:val="009D62CB"/>
    <w:rsid w:val="009D77E0"/>
    <w:rsid w:val="009E198A"/>
    <w:rsid w:val="009E1BD8"/>
    <w:rsid w:val="009E1FC4"/>
    <w:rsid w:val="009E2B87"/>
    <w:rsid w:val="009E47C8"/>
    <w:rsid w:val="009E4880"/>
    <w:rsid w:val="009E63D7"/>
    <w:rsid w:val="009F0490"/>
    <w:rsid w:val="009F2F19"/>
    <w:rsid w:val="009F31A7"/>
    <w:rsid w:val="009F33FE"/>
    <w:rsid w:val="009F473A"/>
    <w:rsid w:val="009F4DC6"/>
    <w:rsid w:val="009F64DB"/>
    <w:rsid w:val="009F6B73"/>
    <w:rsid w:val="00A003C3"/>
    <w:rsid w:val="00A019C9"/>
    <w:rsid w:val="00A02DF6"/>
    <w:rsid w:val="00A03358"/>
    <w:rsid w:val="00A03D61"/>
    <w:rsid w:val="00A04FE4"/>
    <w:rsid w:val="00A072A1"/>
    <w:rsid w:val="00A07FA4"/>
    <w:rsid w:val="00A106CE"/>
    <w:rsid w:val="00A10DD5"/>
    <w:rsid w:val="00A11396"/>
    <w:rsid w:val="00A11409"/>
    <w:rsid w:val="00A13599"/>
    <w:rsid w:val="00A138DF"/>
    <w:rsid w:val="00A149B5"/>
    <w:rsid w:val="00A15809"/>
    <w:rsid w:val="00A16300"/>
    <w:rsid w:val="00A1644F"/>
    <w:rsid w:val="00A170C6"/>
    <w:rsid w:val="00A17194"/>
    <w:rsid w:val="00A17204"/>
    <w:rsid w:val="00A2053E"/>
    <w:rsid w:val="00A219C6"/>
    <w:rsid w:val="00A2248D"/>
    <w:rsid w:val="00A23029"/>
    <w:rsid w:val="00A23871"/>
    <w:rsid w:val="00A24784"/>
    <w:rsid w:val="00A24D4C"/>
    <w:rsid w:val="00A24FFE"/>
    <w:rsid w:val="00A25C53"/>
    <w:rsid w:val="00A25DDB"/>
    <w:rsid w:val="00A25FD6"/>
    <w:rsid w:val="00A272B5"/>
    <w:rsid w:val="00A27DA0"/>
    <w:rsid w:val="00A30172"/>
    <w:rsid w:val="00A318A4"/>
    <w:rsid w:val="00A33777"/>
    <w:rsid w:val="00A337E9"/>
    <w:rsid w:val="00A33A93"/>
    <w:rsid w:val="00A33CD3"/>
    <w:rsid w:val="00A33E63"/>
    <w:rsid w:val="00A34646"/>
    <w:rsid w:val="00A34D1B"/>
    <w:rsid w:val="00A3612F"/>
    <w:rsid w:val="00A36315"/>
    <w:rsid w:val="00A36380"/>
    <w:rsid w:val="00A372D2"/>
    <w:rsid w:val="00A37570"/>
    <w:rsid w:val="00A37F9A"/>
    <w:rsid w:val="00A41CB2"/>
    <w:rsid w:val="00A42677"/>
    <w:rsid w:val="00A4270A"/>
    <w:rsid w:val="00A43741"/>
    <w:rsid w:val="00A444F9"/>
    <w:rsid w:val="00A4471B"/>
    <w:rsid w:val="00A450CC"/>
    <w:rsid w:val="00A45362"/>
    <w:rsid w:val="00A45517"/>
    <w:rsid w:val="00A45E2A"/>
    <w:rsid w:val="00A45F7C"/>
    <w:rsid w:val="00A46190"/>
    <w:rsid w:val="00A47466"/>
    <w:rsid w:val="00A4792F"/>
    <w:rsid w:val="00A50FDD"/>
    <w:rsid w:val="00A51057"/>
    <w:rsid w:val="00A51BEF"/>
    <w:rsid w:val="00A51D12"/>
    <w:rsid w:val="00A52186"/>
    <w:rsid w:val="00A54C73"/>
    <w:rsid w:val="00A55734"/>
    <w:rsid w:val="00A55C8B"/>
    <w:rsid w:val="00A565C7"/>
    <w:rsid w:val="00A56728"/>
    <w:rsid w:val="00A56B4E"/>
    <w:rsid w:val="00A60A09"/>
    <w:rsid w:val="00A60F7A"/>
    <w:rsid w:val="00A619FE"/>
    <w:rsid w:val="00A61CDA"/>
    <w:rsid w:val="00A6594A"/>
    <w:rsid w:val="00A65DDD"/>
    <w:rsid w:val="00A65F3E"/>
    <w:rsid w:val="00A662F0"/>
    <w:rsid w:val="00A664CF"/>
    <w:rsid w:val="00A66612"/>
    <w:rsid w:val="00A66864"/>
    <w:rsid w:val="00A675B8"/>
    <w:rsid w:val="00A70C2D"/>
    <w:rsid w:val="00A72AAC"/>
    <w:rsid w:val="00A73C6A"/>
    <w:rsid w:val="00A73CA7"/>
    <w:rsid w:val="00A74BF3"/>
    <w:rsid w:val="00A74F6A"/>
    <w:rsid w:val="00A752A3"/>
    <w:rsid w:val="00A76337"/>
    <w:rsid w:val="00A769B2"/>
    <w:rsid w:val="00A76FA8"/>
    <w:rsid w:val="00A7748F"/>
    <w:rsid w:val="00A80A23"/>
    <w:rsid w:val="00A83453"/>
    <w:rsid w:val="00A83A03"/>
    <w:rsid w:val="00A85628"/>
    <w:rsid w:val="00A860DB"/>
    <w:rsid w:val="00A901B8"/>
    <w:rsid w:val="00A90A5F"/>
    <w:rsid w:val="00A91916"/>
    <w:rsid w:val="00A92047"/>
    <w:rsid w:val="00A92220"/>
    <w:rsid w:val="00A92E81"/>
    <w:rsid w:val="00A93EF0"/>
    <w:rsid w:val="00A93F51"/>
    <w:rsid w:val="00A947B7"/>
    <w:rsid w:val="00A95A54"/>
    <w:rsid w:val="00A96085"/>
    <w:rsid w:val="00A961D6"/>
    <w:rsid w:val="00A9742F"/>
    <w:rsid w:val="00A97B14"/>
    <w:rsid w:val="00AA0FFF"/>
    <w:rsid w:val="00AA124A"/>
    <w:rsid w:val="00AA14CC"/>
    <w:rsid w:val="00AA16EF"/>
    <w:rsid w:val="00AA249E"/>
    <w:rsid w:val="00AA302D"/>
    <w:rsid w:val="00AA3614"/>
    <w:rsid w:val="00AA5653"/>
    <w:rsid w:val="00AA608F"/>
    <w:rsid w:val="00AA64F8"/>
    <w:rsid w:val="00AA661A"/>
    <w:rsid w:val="00AA76EF"/>
    <w:rsid w:val="00AB1CB2"/>
    <w:rsid w:val="00AB1D1D"/>
    <w:rsid w:val="00AB1EB4"/>
    <w:rsid w:val="00AB21B5"/>
    <w:rsid w:val="00AB2B5C"/>
    <w:rsid w:val="00AB41F7"/>
    <w:rsid w:val="00AB471C"/>
    <w:rsid w:val="00AB4748"/>
    <w:rsid w:val="00AB47E1"/>
    <w:rsid w:val="00AB5B29"/>
    <w:rsid w:val="00AB5D96"/>
    <w:rsid w:val="00AB6DB6"/>
    <w:rsid w:val="00AB6F68"/>
    <w:rsid w:val="00AB71E1"/>
    <w:rsid w:val="00AC0DAE"/>
    <w:rsid w:val="00AC0E94"/>
    <w:rsid w:val="00AC0EE8"/>
    <w:rsid w:val="00AC13D7"/>
    <w:rsid w:val="00AC17DF"/>
    <w:rsid w:val="00AC2A74"/>
    <w:rsid w:val="00AC397B"/>
    <w:rsid w:val="00AC3EA8"/>
    <w:rsid w:val="00AC3EDD"/>
    <w:rsid w:val="00AC4DE6"/>
    <w:rsid w:val="00AC5442"/>
    <w:rsid w:val="00AC622F"/>
    <w:rsid w:val="00AC64D1"/>
    <w:rsid w:val="00AC76BD"/>
    <w:rsid w:val="00AD37A5"/>
    <w:rsid w:val="00AD3BBD"/>
    <w:rsid w:val="00AD4106"/>
    <w:rsid w:val="00AD50D0"/>
    <w:rsid w:val="00AD5559"/>
    <w:rsid w:val="00AD7732"/>
    <w:rsid w:val="00AE06A2"/>
    <w:rsid w:val="00AE0848"/>
    <w:rsid w:val="00AE2E1C"/>
    <w:rsid w:val="00AE344E"/>
    <w:rsid w:val="00AE50DB"/>
    <w:rsid w:val="00AE5EE7"/>
    <w:rsid w:val="00AE661F"/>
    <w:rsid w:val="00AE694D"/>
    <w:rsid w:val="00AE6EC9"/>
    <w:rsid w:val="00AE73F7"/>
    <w:rsid w:val="00AE74FB"/>
    <w:rsid w:val="00AF1A5B"/>
    <w:rsid w:val="00AF20C8"/>
    <w:rsid w:val="00AF38D1"/>
    <w:rsid w:val="00AF4280"/>
    <w:rsid w:val="00AF574C"/>
    <w:rsid w:val="00AF6152"/>
    <w:rsid w:val="00AF6504"/>
    <w:rsid w:val="00AF6623"/>
    <w:rsid w:val="00AF68DE"/>
    <w:rsid w:val="00AF712B"/>
    <w:rsid w:val="00B0009A"/>
    <w:rsid w:val="00B0073E"/>
    <w:rsid w:val="00B00AF1"/>
    <w:rsid w:val="00B00E12"/>
    <w:rsid w:val="00B02BD5"/>
    <w:rsid w:val="00B02E21"/>
    <w:rsid w:val="00B03DC4"/>
    <w:rsid w:val="00B04699"/>
    <w:rsid w:val="00B06554"/>
    <w:rsid w:val="00B07394"/>
    <w:rsid w:val="00B0764D"/>
    <w:rsid w:val="00B07906"/>
    <w:rsid w:val="00B10278"/>
    <w:rsid w:val="00B10844"/>
    <w:rsid w:val="00B117FF"/>
    <w:rsid w:val="00B11E82"/>
    <w:rsid w:val="00B121ED"/>
    <w:rsid w:val="00B1221C"/>
    <w:rsid w:val="00B12492"/>
    <w:rsid w:val="00B1278B"/>
    <w:rsid w:val="00B12C6A"/>
    <w:rsid w:val="00B12CBB"/>
    <w:rsid w:val="00B130F3"/>
    <w:rsid w:val="00B13ED1"/>
    <w:rsid w:val="00B15144"/>
    <w:rsid w:val="00B15410"/>
    <w:rsid w:val="00B15E4D"/>
    <w:rsid w:val="00B21B37"/>
    <w:rsid w:val="00B2205B"/>
    <w:rsid w:val="00B23D94"/>
    <w:rsid w:val="00B23E3C"/>
    <w:rsid w:val="00B23F85"/>
    <w:rsid w:val="00B26873"/>
    <w:rsid w:val="00B3024E"/>
    <w:rsid w:val="00B31B2B"/>
    <w:rsid w:val="00B32792"/>
    <w:rsid w:val="00B32990"/>
    <w:rsid w:val="00B32A19"/>
    <w:rsid w:val="00B330EA"/>
    <w:rsid w:val="00B3322E"/>
    <w:rsid w:val="00B33D17"/>
    <w:rsid w:val="00B34260"/>
    <w:rsid w:val="00B342C2"/>
    <w:rsid w:val="00B351AB"/>
    <w:rsid w:val="00B37312"/>
    <w:rsid w:val="00B37B1A"/>
    <w:rsid w:val="00B41AE7"/>
    <w:rsid w:val="00B42E5E"/>
    <w:rsid w:val="00B43396"/>
    <w:rsid w:val="00B43FB6"/>
    <w:rsid w:val="00B4434C"/>
    <w:rsid w:val="00B4470D"/>
    <w:rsid w:val="00B462D5"/>
    <w:rsid w:val="00B46C01"/>
    <w:rsid w:val="00B4729D"/>
    <w:rsid w:val="00B500D2"/>
    <w:rsid w:val="00B5039A"/>
    <w:rsid w:val="00B527ED"/>
    <w:rsid w:val="00B52B25"/>
    <w:rsid w:val="00B530C4"/>
    <w:rsid w:val="00B53174"/>
    <w:rsid w:val="00B548A9"/>
    <w:rsid w:val="00B54CD1"/>
    <w:rsid w:val="00B55728"/>
    <w:rsid w:val="00B572C7"/>
    <w:rsid w:val="00B57CA2"/>
    <w:rsid w:val="00B604BF"/>
    <w:rsid w:val="00B63F45"/>
    <w:rsid w:val="00B642FD"/>
    <w:rsid w:val="00B65397"/>
    <w:rsid w:val="00B6665A"/>
    <w:rsid w:val="00B67926"/>
    <w:rsid w:val="00B7095F"/>
    <w:rsid w:val="00B70F44"/>
    <w:rsid w:val="00B726C4"/>
    <w:rsid w:val="00B7278E"/>
    <w:rsid w:val="00B7440D"/>
    <w:rsid w:val="00B74467"/>
    <w:rsid w:val="00B76557"/>
    <w:rsid w:val="00B765FF"/>
    <w:rsid w:val="00B76870"/>
    <w:rsid w:val="00B77748"/>
    <w:rsid w:val="00B77B83"/>
    <w:rsid w:val="00B8111A"/>
    <w:rsid w:val="00B83D5D"/>
    <w:rsid w:val="00B84185"/>
    <w:rsid w:val="00B853E3"/>
    <w:rsid w:val="00B8575D"/>
    <w:rsid w:val="00B8674A"/>
    <w:rsid w:val="00B86D80"/>
    <w:rsid w:val="00B8726B"/>
    <w:rsid w:val="00B8755E"/>
    <w:rsid w:val="00B902E7"/>
    <w:rsid w:val="00B92079"/>
    <w:rsid w:val="00B92E9E"/>
    <w:rsid w:val="00B933AD"/>
    <w:rsid w:val="00B936B2"/>
    <w:rsid w:val="00B9470C"/>
    <w:rsid w:val="00B947DD"/>
    <w:rsid w:val="00B95323"/>
    <w:rsid w:val="00B95C80"/>
    <w:rsid w:val="00B96ED6"/>
    <w:rsid w:val="00B9797C"/>
    <w:rsid w:val="00BA154D"/>
    <w:rsid w:val="00BA2272"/>
    <w:rsid w:val="00BA248F"/>
    <w:rsid w:val="00BA3307"/>
    <w:rsid w:val="00BA3622"/>
    <w:rsid w:val="00BA36F6"/>
    <w:rsid w:val="00BA57F0"/>
    <w:rsid w:val="00BA5A6C"/>
    <w:rsid w:val="00BA5CDA"/>
    <w:rsid w:val="00BA6230"/>
    <w:rsid w:val="00BA6C74"/>
    <w:rsid w:val="00BA7836"/>
    <w:rsid w:val="00BB13F2"/>
    <w:rsid w:val="00BB182C"/>
    <w:rsid w:val="00BB2017"/>
    <w:rsid w:val="00BB203A"/>
    <w:rsid w:val="00BB22E0"/>
    <w:rsid w:val="00BB3445"/>
    <w:rsid w:val="00BB3B3D"/>
    <w:rsid w:val="00BB49B1"/>
    <w:rsid w:val="00BB4E99"/>
    <w:rsid w:val="00BB4F6B"/>
    <w:rsid w:val="00BB6A27"/>
    <w:rsid w:val="00BB7126"/>
    <w:rsid w:val="00BB7606"/>
    <w:rsid w:val="00BC0EBB"/>
    <w:rsid w:val="00BC10C2"/>
    <w:rsid w:val="00BC11BC"/>
    <w:rsid w:val="00BC288A"/>
    <w:rsid w:val="00BC2B26"/>
    <w:rsid w:val="00BC2DC4"/>
    <w:rsid w:val="00BC4575"/>
    <w:rsid w:val="00BC557C"/>
    <w:rsid w:val="00BC67F5"/>
    <w:rsid w:val="00BC6A51"/>
    <w:rsid w:val="00BC721B"/>
    <w:rsid w:val="00BD042C"/>
    <w:rsid w:val="00BD0E36"/>
    <w:rsid w:val="00BD1B4B"/>
    <w:rsid w:val="00BD2432"/>
    <w:rsid w:val="00BD2DB9"/>
    <w:rsid w:val="00BD2E88"/>
    <w:rsid w:val="00BD3A5F"/>
    <w:rsid w:val="00BD4AAC"/>
    <w:rsid w:val="00BD5157"/>
    <w:rsid w:val="00BD555A"/>
    <w:rsid w:val="00BD6B0F"/>
    <w:rsid w:val="00BD6E69"/>
    <w:rsid w:val="00BE029C"/>
    <w:rsid w:val="00BE0E4D"/>
    <w:rsid w:val="00BE230E"/>
    <w:rsid w:val="00BE2AD2"/>
    <w:rsid w:val="00BE31B3"/>
    <w:rsid w:val="00BE3B71"/>
    <w:rsid w:val="00BE4918"/>
    <w:rsid w:val="00BE49FA"/>
    <w:rsid w:val="00BE5640"/>
    <w:rsid w:val="00BE78A7"/>
    <w:rsid w:val="00BF0B76"/>
    <w:rsid w:val="00BF24A8"/>
    <w:rsid w:val="00BF3C68"/>
    <w:rsid w:val="00BF3D4B"/>
    <w:rsid w:val="00BF4ECE"/>
    <w:rsid w:val="00BF4FFB"/>
    <w:rsid w:val="00BF515E"/>
    <w:rsid w:val="00BF5DDD"/>
    <w:rsid w:val="00BF662E"/>
    <w:rsid w:val="00BF6965"/>
    <w:rsid w:val="00BF7A6A"/>
    <w:rsid w:val="00C01A56"/>
    <w:rsid w:val="00C01FF0"/>
    <w:rsid w:val="00C03328"/>
    <w:rsid w:val="00C03AE1"/>
    <w:rsid w:val="00C05D90"/>
    <w:rsid w:val="00C05E65"/>
    <w:rsid w:val="00C06368"/>
    <w:rsid w:val="00C07116"/>
    <w:rsid w:val="00C075B4"/>
    <w:rsid w:val="00C0777E"/>
    <w:rsid w:val="00C11DEA"/>
    <w:rsid w:val="00C12011"/>
    <w:rsid w:val="00C13AF7"/>
    <w:rsid w:val="00C161CA"/>
    <w:rsid w:val="00C16D0A"/>
    <w:rsid w:val="00C171E8"/>
    <w:rsid w:val="00C1732D"/>
    <w:rsid w:val="00C179D4"/>
    <w:rsid w:val="00C17EE4"/>
    <w:rsid w:val="00C20A37"/>
    <w:rsid w:val="00C21890"/>
    <w:rsid w:val="00C2260B"/>
    <w:rsid w:val="00C23219"/>
    <w:rsid w:val="00C23B71"/>
    <w:rsid w:val="00C24278"/>
    <w:rsid w:val="00C242CE"/>
    <w:rsid w:val="00C247F9"/>
    <w:rsid w:val="00C24AE3"/>
    <w:rsid w:val="00C24BC4"/>
    <w:rsid w:val="00C25B0B"/>
    <w:rsid w:val="00C26CF1"/>
    <w:rsid w:val="00C27010"/>
    <w:rsid w:val="00C277A1"/>
    <w:rsid w:val="00C27B9C"/>
    <w:rsid w:val="00C30203"/>
    <w:rsid w:val="00C30AD1"/>
    <w:rsid w:val="00C30EEF"/>
    <w:rsid w:val="00C31DB0"/>
    <w:rsid w:val="00C32958"/>
    <w:rsid w:val="00C33A07"/>
    <w:rsid w:val="00C34300"/>
    <w:rsid w:val="00C34957"/>
    <w:rsid w:val="00C34D9A"/>
    <w:rsid w:val="00C34F62"/>
    <w:rsid w:val="00C35008"/>
    <w:rsid w:val="00C365E1"/>
    <w:rsid w:val="00C36D2C"/>
    <w:rsid w:val="00C3731F"/>
    <w:rsid w:val="00C37522"/>
    <w:rsid w:val="00C37609"/>
    <w:rsid w:val="00C3788F"/>
    <w:rsid w:val="00C37B6C"/>
    <w:rsid w:val="00C41E80"/>
    <w:rsid w:val="00C42055"/>
    <w:rsid w:val="00C42E6F"/>
    <w:rsid w:val="00C43FA5"/>
    <w:rsid w:val="00C44444"/>
    <w:rsid w:val="00C445E1"/>
    <w:rsid w:val="00C459A8"/>
    <w:rsid w:val="00C45C7E"/>
    <w:rsid w:val="00C47B6B"/>
    <w:rsid w:val="00C5122C"/>
    <w:rsid w:val="00C52A0F"/>
    <w:rsid w:val="00C52AF9"/>
    <w:rsid w:val="00C5313C"/>
    <w:rsid w:val="00C53F9B"/>
    <w:rsid w:val="00C54FBF"/>
    <w:rsid w:val="00C55A53"/>
    <w:rsid w:val="00C55C4D"/>
    <w:rsid w:val="00C56897"/>
    <w:rsid w:val="00C576DB"/>
    <w:rsid w:val="00C603E6"/>
    <w:rsid w:val="00C6059F"/>
    <w:rsid w:val="00C60A11"/>
    <w:rsid w:val="00C611D7"/>
    <w:rsid w:val="00C62A04"/>
    <w:rsid w:val="00C6305B"/>
    <w:rsid w:val="00C634B9"/>
    <w:rsid w:val="00C64AD6"/>
    <w:rsid w:val="00C64E68"/>
    <w:rsid w:val="00C64F23"/>
    <w:rsid w:val="00C64F87"/>
    <w:rsid w:val="00C65712"/>
    <w:rsid w:val="00C65A24"/>
    <w:rsid w:val="00C66639"/>
    <w:rsid w:val="00C668AD"/>
    <w:rsid w:val="00C6761D"/>
    <w:rsid w:val="00C70931"/>
    <w:rsid w:val="00C70F02"/>
    <w:rsid w:val="00C70F3C"/>
    <w:rsid w:val="00C71183"/>
    <w:rsid w:val="00C718AE"/>
    <w:rsid w:val="00C72FCC"/>
    <w:rsid w:val="00C7354C"/>
    <w:rsid w:val="00C737BE"/>
    <w:rsid w:val="00C73FCC"/>
    <w:rsid w:val="00C740D5"/>
    <w:rsid w:val="00C744FF"/>
    <w:rsid w:val="00C76374"/>
    <w:rsid w:val="00C763AE"/>
    <w:rsid w:val="00C76D74"/>
    <w:rsid w:val="00C7722F"/>
    <w:rsid w:val="00C77F08"/>
    <w:rsid w:val="00C80E41"/>
    <w:rsid w:val="00C8237E"/>
    <w:rsid w:val="00C8305A"/>
    <w:rsid w:val="00C837E9"/>
    <w:rsid w:val="00C83BC5"/>
    <w:rsid w:val="00C83C07"/>
    <w:rsid w:val="00C85801"/>
    <w:rsid w:val="00C85917"/>
    <w:rsid w:val="00C86705"/>
    <w:rsid w:val="00C86EB7"/>
    <w:rsid w:val="00C87A62"/>
    <w:rsid w:val="00C91C40"/>
    <w:rsid w:val="00C92BD2"/>
    <w:rsid w:val="00C93135"/>
    <w:rsid w:val="00C93A86"/>
    <w:rsid w:val="00C93A94"/>
    <w:rsid w:val="00C9407F"/>
    <w:rsid w:val="00C944A7"/>
    <w:rsid w:val="00C949E1"/>
    <w:rsid w:val="00C950CA"/>
    <w:rsid w:val="00C953E4"/>
    <w:rsid w:val="00C965BF"/>
    <w:rsid w:val="00C9799B"/>
    <w:rsid w:val="00CA1129"/>
    <w:rsid w:val="00CA3445"/>
    <w:rsid w:val="00CA3E83"/>
    <w:rsid w:val="00CA432C"/>
    <w:rsid w:val="00CA44B0"/>
    <w:rsid w:val="00CA4B78"/>
    <w:rsid w:val="00CA51A9"/>
    <w:rsid w:val="00CA6117"/>
    <w:rsid w:val="00CA72C6"/>
    <w:rsid w:val="00CA73A5"/>
    <w:rsid w:val="00CB01CA"/>
    <w:rsid w:val="00CB0BBE"/>
    <w:rsid w:val="00CB11B6"/>
    <w:rsid w:val="00CB180E"/>
    <w:rsid w:val="00CB2119"/>
    <w:rsid w:val="00CB273E"/>
    <w:rsid w:val="00CB59FC"/>
    <w:rsid w:val="00CB667D"/>
    <w:rsid w:val="00CB6822"/>
    <w:rsid w:val="00CB7DF4"/>
    <w:rsid w:val="00CC0735"/>
    <w:rsid w:val="00CC1B1E"/>
    <w:rsid w:val="00CC22FA"/>
    <w:rsid w:val="00CC3994"/>
    <w:rsid w:val="00CC3A47"/>
    <w:rsid w:val="00CC3BA6"/>
    <w:rsid w:val="00CC4A68"/>
    <w:rsid w:val="00CC59E4"/>
    <w:rsid w:val="00CC63BD"/>
    <w:rsid w:val="00CC6757"/>
    <w:rsid w:val="00CC6CFC"/>
    <w:rsid w:val="00CC7077"/>
    <w:rsid w:val="00CC7B9D"/>
    <w:rsid w:val="00CC7FF4"/>
    <w:rsid w:val="00CD121D"/>
    <w:rsid w:val="00CD1F84"/>
    <w:rsid w:val="00CD239E"/>
    <w:rsid w:val="00CD2D5F"/>
    <w:rsid w:val="00CD3013"/>
    <w:rsid w:val="00CD393C"/>
    <w:rsid w:val="00CD3BC8"/>
    <w:rsid w:val="00CD3D8E"/>
    <w:rsid w:val="00CD3F1A"/>
    <w:rsid w:val="00CD4024"/>
    <w:rsid w:val="00CD4D45"/>
    <w:rsid w:val="00CD5D98"/>
    <w:rsid w:val="00CD6057"/>
    <w:rsid w:val="00CD6447"/>
    <w:rsid w:val="00CD747E"/>
    <w:rsid w:val="00CD7C52"/>
    <w:rsid w:val="00CD7FA6"/>
    <w:rsid w:val="00CE0E05"/>
    <w:rsid w:val="00CE1565"/>
    <w:rsid w:val="00CE17FA"/>
    <w:rsid w:val="00CE19F2"/>
    <w:rsid w:val="00CE20DC"/>
    <w:rsid w:val="00CE36F5"/>
    <w:rsid w:val="00CE40FE"/>
    <w:rsid w:val="00CE42D2"/>
    <w:rsid w:val="00CE6475"/>
    <w:rsid w:val="00CE7FA6"/>
    <w:rsid w:val="00CF02B9"/>
    <w:rsid w:val="00CF26BC"/>
    <w:rsid w:val="00CF2F11"/>
    <w:rsid w:val="00CF5B01"/>
    <w:rsid w:val="00CF63A4"/>
    <w:rsid w:val="00D00C43"/>
    <w:rsid w:val="00D014A4"/>
    <w:rsid w:val="00D02D0F"/>
    <w:rsid w:val="00D02FF6"/>
    <w:rsid w:val="00D0427D"/>
    <w:rsid w:val="00D05841"/>
    <w:rsid w:val="00D06A26"/>
    <w:rsid w:val="00D0786F"/>
    <w:rsid w:val="00D105DA"/>
    <w:rsid w:val="00D10668"/>
    <w:rsid w:val="00D10B8C"/>
    <w:rsid w:val="00D10E07"/>
    <w:rsid w:val="00D12065"/>
    <w:rsid w:val="00D12CDE"/>
    <w:rsid w:val="00D12D78"/>
    <w:rsid w:val="00D12EDF"/>
    <w:rsid w:val="00D13DB5"/>
    <w:rsid w:val="00D140C3"/>
    <w:rsid w:val="00D14175"/>
    <w:rsid w:val="00D1434D"/>
    <w:rsid w:val="00D1460F"/>
    <w:rsid w:val="00D14DD3"/>
    <w:rsid w:val="00D16130"/>
    <w:rsid w:val="00D175B9"/>
    <w:rsid w:val="00D17965"/>
    <w:rsid w:val="00D2073B"/>
    <w:rsid w:val="00D207FD"/>
    <w:rsid w:val="00D20856"/>
    <w:rsid w:val="00D20EA6"/>
    <w:rsid w:val="00D21B54"/>
    <w:rsid w:val="00D21C24"/>
    <w:rsid w:val="00D2272A"/>
    <w:rsid w:val="00D22F7D"/>
    <w:rsid w:val="00D2507E"/>
    <w:rsid w:val="00D25B6F"/>
    <w:rsid w:val="00D25DD0"/>
    <w:rsid w:val="00D27BF7"/>
    <w:rsid w:val="00D3086A"/>
    <w:rsid w:val="00D326EF"/>
    <w:rsid w:val="00D33010"/>
    <w:rsid w:val="00D344AE"/>
    <w:rsid w:val="00D35D17"/>
    <w:rsid w:val="00D36962"/>
    <w:rsid w:val="00D369FC"/>
    <w:rsid w:val="00D36C75"/>
    <w:rsid w:val="00D36DB2"/>
    <w:rsid w:val="00D400FD"/>
    <w:rsid w:val="00D4149D"/>
    <w:rsid w:val="00D41D62"/>
    <w:rsid w:val="00D422AB"/>
    <w:rsid w:val="00D4387D"/>
    <w:rsid w:val="00D438AA"/>
    <w:rsid w:val="00D43A1C"/>
    <w:rsid w:val="00D465FA"/>
    <w:rsid w:val="00D47F5E"/>
    <w:rsid w:val="00D50168"/>
    <w:rsid w:val="00D5265B"/>
    <w:rsid w:val="00D54D71"/>
    <w:rsid w:val="00D54D75"/>
    <w:rsid w:val="00D56DCE"/>
    <w:rsid w:val="00D5737E"/>
    <w:rsid w:val="00D57E4B"/>
    <w:rsid w:val="00D60AF1"/>
    <w:rsid w:val="00D613DA"/>
    <w:rsid w:val="00D617BA"/>
    <w:rsid w:val="00D61D9B"/>
    <w:rsid w:val="00D625F4"/>
    <w:rsid w:val="00D639AE"/>
    <w:rsid w:val="00D64952"/>
    <w:rsid w:val="00D650DA"/>
    <w:rsid w:val="00D66B94"/>
    <w:rsid w:val="00D67024"/>
    <w:rsid w:val="00D67218"/>
    <w:rsid w:val="00D67786"/>
    <w:rsid w:val="00D6785F"/>
    <w:rsid w:val="00D7062E"/>
    <w:rsid w:val="00D72FE0"/>
    <w:rsid w:val="00D765F0"/>
    <w:rsid w:val="00D76CA1"/>
    <w:rsid w:val="00D76E12"/>
    <w:rsid w:val="00D77AE2"/>
    <w:rsid w:val="00D81204"/>
    <w:rsid w:val="00D8142F"/>
    <w:rsid w:val="00D828D2"/>
    <w:rsid w:val="00D82AD7"/>
    <w:rsid w:val="00D82BC4"/>
    <w:rsid w:val="00D82CD1"/>
    <w:rsid w:val="00D82F2A"/>
    <w:rsid w:val="00D834F7"/>
    <w:rsid w:val="00D83562"/>
    <w:rsid w:val="00D8363E"/>
    <w:rsid w:val="00D8440F"/>
    <w:rsid w:val="00D84991"/>
    <w:rsid w:val="00D84E4C"/>
    <w:rsid w:val="00D85359"/>
    <w:rsid w:val="00D85D62"/>
    <w:rsid w:val="00D86A7A"/>
    <w:rsid w:val="00D90E80"/>
    <w:rsid w:val="00D916FB"/>
    <w:rsid w:val="00D9253E"/>
    <w:rsid w:val="00D941EB"/>
    <w:rsid w:val="00D9458D"/>
    <w:rsid w:val="00D94676"/>
    <w:rsid w:val="00D96373"/>
    <w:rsid w:val="00D96667"/>
    <w:rsid w:val="00D967FF"/>
    <w:rsid w:val="00D970EF"/>
    <w:rsid w:val="00D972BD"/>
    <w:rsid w:val="00D97342"/>
    <w:rsid w:val="00D9774D"/>
    <w:rsid w:val="00DA0DDF"/>
    <w:rsid w:val="00DA14B2"/>
    <w:rsid w:val="00DA256A"/>
    <w:rsid w:val="00DA27DF"/>
    <w:rsid w:val="00DA3E58"/>
    <w:rsid w:val="00DA4011"/>
    <w:rsid w:val="00DA4E51"/>
    <w:rsid w:val="00DA52B9"/>
    <w:rsid w:val="00DA7118"/>
    <w:rsid w:val="00DA72D7"/>
    <w:rsid w:val="00DB0336"/>
    <w:rsid w:val="00DB0BA7"/>
    <w:rsid w:val="00DB0E33"/>
    <w:rsid w:val="00DB10D4"/>
    <w:rsid w:val="00DB1104"/>
    <w:rsid w:val="00DB132C"/>
    <w:rsid w:val="00DB1AA7"/>
    <w:rsid w:val="00DB2012"/>
    <w:rsid w:val="00DB2307"/>
    <w:rsid w:val="00DB2C14"/>
    <w:rsid w:val="00DB3413"/>
    <w:rsid w:val="00DB35CD"/>
    <w:rsid w:val="00DB4A16"/>
    <w:rsid w:val="00DB4B20"/>
    <w:rsid w:val="00DB5809"/>
    <w:rsid w:val="00DB5E32"/>
    <w:rsid w:val="00DB6199"/>
    <w:rsid w:val="00DB6705"/>
    <w:rsid w:val="00DB6835"/>
    <w:rsid w:val="00DB7104"/>
    <w:rsid w:val="00DC03BC"/>
    <w:rsid w:val="00DC08BF"/>
    <w:rsid w:val="00DC0ADA"/>
    <w:rsid w:val="00DC0D7F"/>
    <w:rsid w:val="00DC129E"/>
    <w:rsid w:val="00DC1A0B"/>
    <w:rsid w:val="00DC1E6C"/>
    <w:rsid w:val="00DC2E8B"/>
    <w:rsid w:val="00DC3164"/>
    <w:rsid w:val="00DC4230"/>
    <w:rsid w:val="00DC4AD8"/>
    <w:rsid w:val="00DC54AE"/>
    <w:rsid w:val="00DC572E"/>
    <w:rsid w:val="00DC5A51"/>
    <w:rsid w:val="00DC713E"/>
    <w:rsid w:val="00DC7FD6"/>
    <w:rsid w:val="00DD09E3"/>
    <w:rsid w:val="00DD1E0F"/>
    <w:rsid w:val="00DD34BC"/>
    <w:rsid w:val="00DD3EEB"/>
    <w:rsid w:val="00DD5DE7"/>
    <w:rsid w:val="00DD6060"/>
    <w:rsid w:val="00DD623B"/>
    <w:rsid w:val="00DD72A3"/>
    <w:rsid w:val="00DD77FE"/>
    <w:rsid w:val="00DD7833"/>
    <w:rsid w:val="00DE09FE"/>
    <w:rsid w:val="00DE10B1"/>
    <w:rsid w:val="00DE111B"/>
    <w:rsid w:val="00DE1475"/>
    <w:rsid w:val="00DE1A1C"/>
    <w:rsid w:val="00DE1D4C"/>
    <w:rsid w:val="00DE482B"/>
    <w:rsid w:val="00DE4840"/>
    <w:rsid w:val="00DE5269"/>
    <w:rsid w:val="00DE5CCD"/>
    <w:rsid w:val="00DE62C8"/>
    <w:rsid w:val="00DE6EC6"/>
    <w:rsid w:val="00DF01C2"/>
    <w:rsid w:val="00DF0EB0"/>
    <w:rsid w:val="00DF1D5D"/>
    <w:rsid w:val="00DF1F97"/>
    <w:rsid w:val="00DF29E2"/>
    <w:rsid w:val="00DF3998"/>
    <w:rsid w:val="00DF446D"/>
    <w:rsid w:val="00DF4721"/>
    <w:rsid w:val="00DF4F96"/>
    <w:rsid w:val="00DF52A6"/>
    <w:rsid w:val="00DF6615"/>
    <w:rsid w:val="00DF7813"/>
    <w:rsid w:val="00DF7962"/>
    <w:rsid w:val="00DF7DE9"/>
    <w:rsid w:val="00E01764"/>
    <w:rsid w:val="00E022D4"/>
    <w:rsid w:val="00E025F4"/>
    <w:rsid w:val="00E033E1"/>
    <w:rsid w:val="00E043D2"/>
    <w:rsid w:val="00E07235"/>
    <w:rsid w:val="00E07A1A"/>
    <w:rsid w:val="00E1061A"/>
    <w:rsid w:val="00E10B60"/>
    <w:rsid w:val="00E11449"/>
    <w:rsid w:val="00E11546"/>
    <w:rsid w:val="00E11882"/>
    <w:rsid w:val="00E11EA4"/>
    <w:rsid w:val="00E120D8"/>
    <w:rsid w:val="00E12188"/>
    <w:rsid w:val="00E12776"/>
    <w:rsid w:val="00E12F53"/>
    <w:rsid w:val="00E12FEE"/>
    <w:rsid w:val="00E13017"/>
    <w:rsid w:val="00E141ED"/>
    <w:rsid w:val="00E14268"/>
    <w:rsid w:val="00E148FC"/>
    <w:rsid w:val="00E14FF8"/>
    <w:rsid w:val="00E1528A"/>
    <w:rsid w:val="00E1610E"/>
    <w:rsid w:val="00E209F9"/>
    <w:rsid w:val="00E21084"/>
    <w:rsid w:val="00E22F9C"/>
    <w:rsid w:val="00E230EE"/>
    <w:rsid w:val="00E23337"/>
    <w:rsid w:val="00E2335B"/>
    <w:rsid w:val="00E23589"/>
    <w:rsid w:val="00E242CD"/>
    <w:rsid w:val="00E25CBD"/>
    <w:rsid w:val="00E26830"/>
    <w:rsid w:val="00E26A87"/>
    <w:rsid w:val="00E277CB"/>
    <w:rsid w:val="00E27A50"/>
    <w:rsid w:val="00E30688"/>
    <w:rsid w:val="00E3103C"/>
    <w:rsid w:val="00E31113"/>
    <w:rsid w:val="00E33341"/>
    <w:rsid w:val="00E3377C"/>
    <w:rsid w:val="00E33C9F"/>
    <w:rsid w:val="00E34940"/>
    <w:rsid w:val="00E34FFF"/>
    <w:rsid w:val="00E3580D"/>
    <w:rsid w:val="00E370B9"/>
    <w:rsid w:val="00E407F0"/>
    <w:rsid w:val="00E40B18"/>
    <w:rsid w:val="00E40DF4"/>
    <w:rsid w:val="00E42A81"/>
    <w:rsid w:val="00E42B62"/>
    <w:rsid w:val="00E42ED0"/>
    <w:rsid w:val="00E438C7"/>
    <w:rsid w:val="00E441F6"/>
    <w:rsid w:val="00E447D7"/>
    <w:rsid w:val="00E4498C"/>
    <w:rsid w:val="00E44B9D"/>
    <w:rsid w:val="00E450EA"/>
    <w:rsid w:val="00E45873"/>
    <w:rsid w:val="00E461A5"/>
    <w:rsid w:val="00E462A1"/>
    <w:rsid w:val="00E46CB0"/>
    <w:rsid w:val="00E46D67"/>
    <w:rsid w:val="00E47610"/>
    <w:rsid w:val="00E47EED"/>
    <w:rsid w:val="00E50084"/>
    <w:rsid w:val="00E53626"/>
    <w:rsid w:val="00E54C3B"/>
    <w:rsid w:val="00E55501"/>
    <w:rsid w:val="00E5671D"/>
    <w:rsid w:val="00E56D21"/>
    <w:rsid w:val="00E56F73"/>
    <w:rsid w:val="00E572A5"/>
    <w:rsid w:val="00E572CA"/>
    <w:rsid w:val="00E616B8"/>
    <w:rsid w:val="00E61EFE"/>
    <w:rsid w:val="00E6244F"/>
    <w:rsid w:val="00E62794"/>
    <w:rsid w:val="00E62FA3"/>
    <w:rsid w:val="00E631A1"/>
    <w:rsid w:val="00E642E6"/>
    <w:rsid w:val="00E64E8A"/>
    <w:rsid w:val="00E65377"/>
    <w:rsid w:val="00E656C5"/>
    <w:rsid w:val="00E65A09"/>
    <w:rsid w:val="00E661ED"/>
    <w:rsid w:val="00E6667A"/>
    <w:rsid w:val="00E672FC"/>
    <w:rsid w:val="00E67334"/>
    <w:rsid w:val="00E67463"/>
    <w:rsid w:val="00E679CF"/>
    <w:rsid w:val="00E7170F"/>
    <w:rsid w:val="00E717CB"/>
    <w:rsid w:val="00E724AD"/>
    <w:rsid w:val="00E72FA2"/>
    <w:rsid w:val="00E745F6"/>
    <w:rsid w:val="00E7499F"/>
    <w:rsid w:val="00E77578"/>
    <w:rsid w:val="00E77792"/>
    <w:rsid w:val="00E81999"/>
    <w:rsid w:val="00E820B7"/>
    <w:rsid w:val="00E82537"/>
    <w:rsid w:val="00E82D2E"/>
    <w:rsid w:val="00E83694"/>
    <w:rsid w:val="00E837CA"/>
    <w:rsid w:val="00E83E09"/>
    <w:rsid w:val="00E84168"/>
    <w:rsid w:val="00E85540"/>
    <w:rsid w:val="00E85944"/>
    <w:rsid w:val="00E8735C"/>
    <w:rsid w:val="00E87917"/>
    <w:rsid w:val="00E906E5"/>
    <w:rsid w:val="00E90AF7"/>
    <w:rsid w:val="00E90FA4"/>
    <w:rsid w:val="00E9118A"/>
    <w:rsid w:val="00E92086"/>
    <w:rsid w:val="00E92D36"/>
    <w:rsid w:val="00E9390F"/>
    <w:rsid w:val="00E93AB9"/>
    <w:rsid w:val="00E93ADC"/>
    <w:rsid w:val="00E97324"/>
    <w:rsid w:val="00E979AB"/>
    <w:rsid w:val="00EA0117"/>
    <w:rsid w:val="00EA04DB"/>
    <w:rsid w:val="00EA0A50"/>
    <w:rsid w:val="00EA1434"/>
    <w:rsid w:val="00EA1D4F"/>
    <w:rsid w:val="00EA23D2"/>
    <w:rsid w:val="00EA25C4"/>
    <w:rsid w:val="00EA2BE4"/>
    <w:rsid w:val="00EA5E34"/>
    <w:rsid w:val="00EA734E"/>
    <w:rsid w:val="00EA7469"/>
    <w:rsid w:val="00EB0211"/>
    <w:rsid w:val="00EB1994"/>
    <w:rsid w:val="00EB251A"/>
    <w:rsid w:val="00EB3407"/>
    <w:rsid w:val="00EB37D7"/>
    <w:rsid w:val="00EB39CA"/>
    <w:rsid w:val="00EB3F77"/>
    <w:rsid w:val="00EB4738"/>
    <w:rsid w:val="00EB4DB6"/>
    <w:rsid w:val="00EB55C2"/>
    <w:rsid w:val="00EB651F"/>
    <w:rsid w:val="00EB6F44"/>
    <w:rsid w:val="00EB700E"/>
    <w:rsid w:val="00EB7194"/>
    <w:rsid w:val="00EB7888"/>
    <w:rsid w:val="00EB7D8F"/>
    <w:rsid w:val="00EC08A9"/>
    <w:rsid w:val="00EC0FF0"/>
    <w:rsid w:val="00EC150D"/>
    <w:rsid w:val="00EC1557"/>
    <w:rsid w:val="00EC2E45"/>
    <w:rsid w:val="00EC39BC"/>
    <w:rsid w:val="00EC416C"/>
    <w:rsid w:val="00EC5346"/>
    <w:rsid w:val="00EC542D"/>
    <w:rsid w:val="00EC6230"/>
    <w:rsid w:val="00ED02D2"/>
    <w:rsid w:val="00ED035E"/>
    <w:rsid w:val="00ED0383"/>
    <w:rsid w:val="00ED079B"/>
    <w:rsid w:val="00ED2AF6"/>
    <w:rsid w:val="00ED2DBC"/>
    <w:rsid w:val="00ED4C1F"/>
    <w:rsid w:val="00ED4FC8"/>
    <w:rsid w:val="00ED5943"/>
    <w:rsid w:val="00ED5981"/>
    <w:rsid w:val="00ED7ED3"/>
    <w:rsid w:val="00EE1126"/>
    <w:rsid w:val="00EE140B"/>
    <w:rsid w:val="00EE2371"/>
    <w:rsid w:val="00EE3328"/>
    <w:rsid w:val="00EE551D"/>
    <w:rsid w:val="00EE5A44"/>
    <w:rsid w:val="00EE5DA3"/>
    <w:rsid w:val="00EE6275"/>
    <w:rsid w:val="00EE6B34"/>
    <w:rsid w:val="00EF0851"/>
    <w:rsid w:val="00EF20E4"/>
    <w:rsid w:val="00EF30AF"/>
    <w:rsid w:val="00EF3939"/>
    <w:rsid w:val="00EF4DF3"/>
    <w:rsid w:val="00F00610"/>
    <w:rsid w:val="00F007FB"/>
    <w:rsid w:val="00F00A59"/>
    <w:rsid w:val="00F016CB"/>
    <w:rsid w:val="00F01DA1"/>
    <w:rsid w:val="00F033C1"/>
    <w:rsid w:val="00F0356D"/>
    <w:rsid w:val="00F037F1"/>
    <w:rsid w:val="00F03EE9"/>
    <w:rsid w:val="00F0418E"/>
    <w:rsid w:val="00F0467B"/>
    <w:rsid w:val="00F04A7D"/>
    <w:rsid w:val="00F04E5C"/>
    <w:rsid w:val="00F0672A"/>
    <w:rsid w:val="00F07227"/>
    <w:rsid w:val="00F07910"/>
    <w:rsid w:val="00F07B90"/>
    <w:rsid w:val="00F11312"/>
    <w:rsid w:val="00F1739B"/>
    <w:rsid w:val="00F17996"/>
    <w:rsid w:val="00F2034C"/>
    <w:rsid w:val="00F20BDE"/>
    <w:rsid w:val="00F2119C"/>
    <w:rsid w:val="00F227FF"/>
    <w:rsid w:val="00F22B47"/>
    <w:rsid w:val="00F236A2"/>
    <w:rsid w:val="00F23D9D"/>
    <w:rsid w:val="00F2495D"/>
    <w:rsid w:val="00F25FE0"/>
    <w:rsid w:val="00F2668E"/>
    <w:rsid w:val="00F3008E"/>
    <w:rsid w:val="00F30275"/>
    <w:rsid w:val="00F30965"/>
    <w:rsid w:val="00F30F0C"/>
    <w:rsid w:val="00F319D1"/>
    <w:rsid w:val="00F31F2C"/>
    <w:rsid w:val="00F337F8"/>
    <w:rsid w:val="00F33E22"/>
    <w:rsid w:val="00F343DD"/>
    <w:rsid w:val="00F3514A"/>
    <w:rsid w:val="00F3665E"/>
    <w:rsid w:val="00F36A55"/>
    <w:rsid w:val="00F37EEB"/>
    <w:rsid w:val="00F41855"/>
    <w:rsid w:val="00F41971"/>
    <w:rsid w:val="00F41FD2"/>
    <w:rsid w:val="00F422EF"/>
    <w:rsid w:val="00F4284C"/>
    <w:rsid w:val="00F43307"/>
    <w:rsid w:val="00F43767"/>
    <w:rsid w:val="00F454F0"/>
    <w:rsid w:val="00F455C0"/>
    <w:rsid w:val="00F47FE1"/>
    <w:rsid w:val="00F519E4"/>
    <w:rsid w:val="00F51C18"/>
    <w:rsid w:val="00F5253A"/>
    <w:rsid w:val="00F52AF4"/>
    <w:rsid w:val="00F52C07"/>
    <w:rsid w:val="00F52EDB"/>
    <w:rsid w:val="00F5466F"/>
    <w:rsid w:val="00F5543C"/>
    <w:rsid w:val="00F55A39"/>
    <w:rsid w:val="00F55B8E"/>
    <w:rsid w:val="00F561D7"/>
    <w:rsid w:val="00F56383"/>
    <w:rsid w:val="00F56CC2"/>
    <w:rsid w:val="00F57729"/>
    <w:rsid w:val="00F60697"/>
    <w:rsid w:val="00F614CF"/>
    <w:rsid w:val="00F617AE"/>
    <w:rsid w:val="00F6274E"/>
    <w:rsid w:val="00F62E58"/>
    <w:rsid w:val="00F647DB"/>
    <w:rsid w:val="00F64801"/>
    <w:rsid w:val="00F6538F"/>
    <w:rsid w:val="00F676E3"/>
    <w:rsid w:val="00F67C83"/>
    <w:rsid w:val="00F71DDA"/>
    <w:rsid w:val="00F7214B"/>
    <w:rsid w:val="00F7229F"/>
    <w:rsid w:val="00F73283"/>
    <w:rsid w:val="00F73593"/>
    <w:rsid w:val="00F74C56"/>
    <w:rsid w:val="00F769C9"/>
    <w:rsid w:val="00F76C13"/>
    <w:rsid w:val="00F7734F"/>
    <w:rsid w:val="00F77EDA"/>
    <w:rsid w:val="00F824A1"/>
    <w:rsid w:val="00F829A4"/>
    <w:rsid w:val="00F83135"/>
    <w:rsid w:val="00F83BF3"/>
    <w:rsid w:val="00F841C1"/>
    <w:rsid w:val="00F84AB6"/>
    <w:rsid w:val="00F84E48"/>
    <w:rsid w:val="00F84EF8"/>
    <w:rsid w:val="00F859B4"/>
    <w:rsid w:val="00F9081B"/>
    <w:rsid w:val="00F93BF6"/>
    <w:rsid w:val="00F93DED"/>
    <w:rsid w:val="00F952A3"/>
    <w:rsid w:val="00F960B9"/>
    <w:rsid w:val="00F96935"/>
    <w:rsid w:val="00F97428"/>
    <w:rsid w:val="00FA001D"/>
    <w:rsid w:val="00FA0103"/>
    <w:rsid w:val="00FA0502"/>
    <w:rsid w:val="00FA063D"/>
    <w:rsid w:val="00FA1386"/>
    <w:rsid w:val="00FA19A8"/>
    <w:rsid w:val="00FA2C2E"/>
    <w:rsid w:val="00FA3DC3"/>
    <w:rsid w:val="00FA476A"/>
    <w:rsid w:val="00FA5E06"/>
    <w:rsid w:val="00FA5EFA"/>
    <w:rsid w:val="00FA5F5F"/>
    <w:rsid w:val="00FA660F"/>
    <w:rsid w:val="00FA6D8D"/>
    <w:rsid w:val="00FA6EAF"/>
    <w:rsid w:val="00FB086F"/>
    <w:rsid w:val="00FB0B13"/>
    <w:rsid w:val="00FB0B31"/>
    <w:rsid w:val="00FB1436"/>
    <w:rsid w:val="00FB18E7"/>
    <w:rsid w:val="00FB340D"/>
    <w:rsid w:val="00FB39B8"/>
    <w:rsid w:val="00FB39F5"/>
    <w:rsid w:val="00FB3E6A"/>
    <w:rsid w:val="00FB3F32"/>
    <w:rsid w:val="00FB41EF"/>
    <w:rsid w:val="00FB4804"/>
    <w:rsid w:val="00FB561C"/>
    <w:rsid w:val="00FB573D"/>
    <w:rsid w:val="00FB5EF2"/>
    <w:rsid w:val="00FB75F4"/>
    <w:rsid w:val="00FB761C"/>
    <w:rsid w:val="00FB76FB"/>
    <w:rsid w:val="00FC004D"/>
    <w:rsid w:val="00FC0DB6"/>
    <w:rsid w:val="00FC0E39"/>
    <w:rsid w:val="00FC107A"/>
    <w:rsid w:val="00FC129E"/>
    <w:rsid w:val="00FC1ADF"/>
    <w:rsid w:val="00FC2396"/>
    <w:rsid w:val="00FC274D"/>
    <w:rsid w:val="00FC2BC6"/>
    <w:rsid w:val="00FC4056"/>
    <w:rsid w:val="00FC429E"/>
    <w:rsid w:val="00FC4AAF"/>
    <w:rsid w:val="00FC53D9"/>
    <w:rsid w:val="00FC608D"/>
    <w:rsid w:val="00FC6349"/>
    <w:rsid w:val="00FC65A6"/>
    <w:rsid w:val="00FC65F5"/>
    <w:rsid w:val="00FC6DE4"/>
    <w:rsid w:val="00FD0A1B"/>
    <w:rsid w:val="00FD1195"/>
    <w:rsid w:val="00FD1F71"/>
    <w:rsid w:val="00FD28BB"/>
    <w:rsid w:val="00FD2BFE"/>
    <w:rsid w:val="00FD3FA3"/>
    <w:rsid w:val="00FD47D5"/>
    <w:rsid w:val="00FD4879"/>
    <w:rsid w:val="00FD4CDD"/>
    <w:rsid w:val="00FD68C5"/>
    <w:rsid w:val="00FD68FA"/>
    <w:rsid w:val="00FD6B22"/>
    <w:rsid w:val="00FD7996"/>
    <w:rsid w:val="00FD7B55"/>
    <w:rsid w:val="00FD7CEC"/>
    <w:rsid w:val="00FD7EBD"/>
    <w:rsid w:val="00FE0BF4"/>
    <w:rsid w:val="00FE1318"/>
    <w:rsid w:val="00FE1FE7"/>
    <w:rsid w:val="00FE30BF"/>
    <w:rsid w:val="00FE3114"/>
    <w:rsid w:val="00FE537B"/>
    <w:rsid w:val="00FE538C"/>
    <w:rsid w:val="00FF10DD"/>
    <w:rsid w:val="00FF225F"/>
    <w:rsid w:val="00FF23B4"/>
    <w:rsid w:val="00FF26F4"/>
    <w:rsid w:val="00FF2864"/>
    <w:rsid w:val="00FF2F48"/>
    <w:rsid w:val="00FF3255"/>
    <w:rsid w:val="00FF3852"/>
    <w:rsid w:val="00FF4200"/>
    <w:rsid w:val="00FF47FD"/>
    <w:rsid w:val="00FF4CE5"/>
    <w:rsid w:val="00FF54B2"/>
    <w:rsid w:val="00FF6575"/>
    <w:rsid w:val="00FF6F12"/>
    <w:rsid w:val="00FF7008"/>
    <w:rsid w:val="00FF794A"/>
    <w:rsid w:val="00FF7D62"/>
    <w:rsid w:val="1111D6F3"/>
    <w:rsid w:val="58290867"/>
    <w:rsid w:val="655C89DB"/>
    <w:rsid w:val="6611D56A"/>
    <w:rsid w:val="6B9C3AED"/>
    <w:rsid w:val="73BF9773"/>
    <w:rsid w:val="73DB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7132ECD-2A3E-4CB1-8AC9-BB7DD1C0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5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E658F"/>
    <w:rPr>
      <w:sz w:val="16"/>
      <w:szCs w:val="16"/>
    </w:rPr>
  </w:style>
  <w:style w:type="paragraph" w:styleId="CommentText">
    <w:name w:val="annotation text"/>
    <w:basedOn w:val="Normal"/>
    <w:link w:val="CommentTextChar"/>
    <w:uiPriority w:val="99"/>
    <w:unhideWhenUsed/>
    <w:rsid w:val="008E658F"/>
    <w:pPr>
      <w:widowControl w:val="0"/>
      <w:autoSpaceDE w:val="0"/>
      <w:autoSpaceDN w:val="0"/>
      <w:spacing w:before="0" w:after="0"/>
      <w:jc w:val="left"/>
    </w:pPr>
    <w:rPr>
      <w:rFonts w:eastAsia="Times New Roman"/>
      <w:sz w:val="20"/>
      <w:szCs w:val="20"/>
      <w:lang w:val="en-US"/>
    </w:rPr>
  </w:style>
  <w:style w:type="character" w:customStyle="1" w:styleId="CommentTextChar">
    <w:name w:val="Comment Text Char"/>
    <w:basedOn w:val="DefaultParagraphFont"/>
    <w:link w:val="CommentText"/>
    <w:uiPriority w:val="99"/>
    <w:rsid w:val="008E65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E658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58F"/>
    <w:rPr>
      <w:rFonts w:ascii="Segoe UI" w:hAnsi="Segoe UI" w:cs="Segoe UI"/>
      <w:sz w:val="18"/>
      <w:szCs w:val="18"/>
      <w:lang w:val="en-GB"/>
    </w:rPr>
  </w:style>
  <w:style w:type="paragraph" w:styleId="ListParagraph">
    <w:name w:val="List Paragraph"/>
    <w:aliases w:val="Lettre d'introduction,Paragrafo elenco,List Paragraph1,1st level - Bullet List Paragraph,Normal bullet 2,Bullet list,Numbered List,Bullet List Paragraph,Elenco a colori - Colore 11"/>
    <w:basedOn w:val="Normal"/>
    <w:link w:val="ListParagraphChar"/>
    <w:uiPriority w:val="34"/>
    <w:qFormat/>
    <w:rsid w:val="008E658F"/>
    <w:pPr>
      <w:ind w:left="720"/>
      <w:contextualSpacing/>
    </w:pPr>
  </w:style>
  <w:style w:type="character" w:customStyle="1" w:styleId="ListParagraphChar">
    <w:name w:val="List Paragraph Char"/>
    <w:aliases w:val="Lettre d'introduction Char,Paragrafo elenco Char,List Paragraph1 Char,1st level - Bullet List Paragraph Char,Normal bullet 2 Char,Bullet list Char,Numbered List Char,Bullet List Paragraph Char,Elenco a colori - Colore 11 Char"/>
    <w:basedOn w:val="DefaultParagraphFont"/>
    <w:link w:val="ListParagraph"/>
    <w:uiPriority w:val="34"/>
    <w:locked/>
    <w:rsid w:val="008E658F"/>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C87A62"/>
    <w:pPr>
      <w:widowControl/>
      <w:autoSpaceDE/>
      <w:autoSpaceDN/>
      <w:spacing w:before="120" w:after="120"/>
      <w:jc w:val="both"/>
    </w:pPr>
    <w:rPr>
      <w:rFonts w:eastAsiaTheme="minorHAnsi"/>
      <w:b/>
      <w:bCs/>
      <w:lang w:val="en-GB"/>
    </w:rPr>
  </w:style>
  <w:style w:type="character" w:customStyle="1" w:styleId="CommentSubjectChar">
    <w:name w:val="Comment Subject Char"/>
    <w:basedOn w:val="CommentTextChar"/>
    <w:link w:val="CommentSubject"/>
    <w:uiPriority w:val="99"/>
    <w:semiHidden/>
    <w:rsid w:val="00C87A62"/>
    <w:rPr>
      <w:rFonts w:ascii="Times New Roman" w:eastAsia="Times New Roman" w:hAnsi="Times New Roman" w:cs="Times New Roman"/>
      <w:b/>
      <w:bCs/>
      <w:sz w:val="20"/>
      <w:szCs w:val="20"/>
      <w:lang w:val="en-GB"/>
    </w:rPr>
  </w:style>
  <w:style w:type="paragraph" w:styleId="Revision">
    <w:name w:val="Revision"/>
    <w:hidden/>
    <w:uiPriority w:val="99"/>
    <w:semiHidden/>
    <w:rsid w:val="00C87A62"/>
    <w:pPr>
      <w:spacing w:after="0" w:line="240" w:lineRule="auto"/>
    </w:pPr>
    <w:rPr>
      <w:rFonts w:ascii="Times New Roman" w:hAnsi="Times New Roman" w:cs="Times New Roman"/>
      <w:sz w:val="24"/>
      <w:lang w:val="en-GB"/>
    </w:rPr>
  </w:style>
  <w:style w:type="paragraph" w:customStyle="1" w:styleId="paragraph">
    <w:name w:val="paragraph"/>
    <w:basedOn w:val="Normal"/>
    <w:rsid w:val="00002640"/>
    <w:pPr>
      <w:spacing w:before="100" w:beforeAutospacing="1" w:after="100" w:afterAutospacing="1"/>
      <w:jc w:val="left"/>
    </w:pPr>
    <w:rPr>
      <w:rFonts w:eastAsia="Times New Roman"/>
      <w:szCs w:val="24"/>
      <w:lang w:val="fr-BE" w:eastAsia="fr-BE"/>
    </w:rPr>
  </w:style>
  <w:style w:type="character" w:customStyle="1" w:styleId="normaltextrun">
    <w:name w:val="normaltextrun"/>
    <w:basedOn w:val="DefaultParagraphFont"/>
    <w:rsid w:val="00002640"/>
  </w:style>
  <w:style w:type="character" w:customStyle="1" w:styleId="eop">
    <w:name w:val="eop"/>
    <w:basedOn w:val="DefaultParagraphFont"/>
    <w:rsid w:val="001949D4"/>
  </w:style>
  <w:style w:type="paragraph" w:styleId="ListBullet">
    <w:name w:val="List Bullet"/>
    <w:basedOn w:val="Normal"/>
    <w:uiPriority w:val="99"/>
    <w:semiHidden/>
    <w:unhideWhenUsed/>
    <w:rsid w:val="00FB4804"/>
    <w:pPr>
      <w:numPr>
        <w:numId w:val="4"/>
      </w:numPr>
      <w:contextualSpacing/>
    </w:pPr>
  </w:style>
  <w:style w:type="paragraph" w:styleId="ListBullet2">
    <w:name w:val="List Bullet 2"/>
    <w:basedOn w:val="Normal"/>
    <w:uiPriority w:val="99"/>
    <w:semiHidden/>
    <w:unhideWhenUsed/>
    <w:rsid w:val="00FB4804"/>
    <w:pPr>
      <w:numPr>
        <w:numId w:val="5"/>
      </w:numPr>
      <w:contextualSpacing/>
    </w:pPr>
  </w:style>
  <w:style w:type="paragraph" w:styleId="ListBullet3">
    <w:name w:val="List Bullet 3"/>
    <w:basedOn w:val="Normal"/>
    <w:uiPriority w:val="99"/>
    <w:semiHidden/>
    <w:unhideWhenUsed/>
    <w:rsid w:val="00FB4804"/>
    <w:pPr>
      <w:numPr>
        <w:numId w:val="6"/>
      </w:numPr>
      <w:contextualSpacing/>
    </w:pPr>
  </w:style>
  <w:style w:type="paragraph" w:styleId="ListBullet4">
    <w:name w:val="List Bullet 4"/>
    <w:basedOn w:val="Normal"/>
    <w:uiPriority w:val="99"/>
    <w:semiHidden/>
    <w:unhideWhenUsed/>
    <w:rsid w:val="00FB4804"/>
    <w:pPr>
      <w:numPr>
        <w:numId w:val="7"/>
      </w:numPr>
      <w:contextualSpacing/>
    </w:pPr>
  </w:style>
  <w:style w:type="paragraph" w:customStyle="1" w:styleId="Num">
    <w:name w:val="Num"/>
    <w:basedOn w:val="Text1"/>
    <w:rsid w:val="004F7784"/>
    <w:rPr>
      <w:lang w:val="en-IE"/>
    </w:rPr>
  </w:style>
  <w:style w:type="paragraph" w:customStyle="1" w:styleId="oj-ti-art">
    <w:name w:val="oj-ti-art"/>
    <w:basedOn w:val="Normal"/>
    <w:rsid w:val="003A216D"/>
    <w:pPr>
      <w:spacing w:before="100" w:beforeAutospacing="1" w:after="100" w:afterAutospacing="1"/>
      <w:jc w:val="left"/>
    </w:pPr>
    <w:rPr>
      <w:rFonts w:eastAsia="Times New Roman"/>
      <w:szCs w:val="24"/>
      <w:lang w:val="fr-BE" w:eastAsia="fr-BE"/>
    </w:rPr>
  </w:style>
  <w:style w:type="paragraph" w:customStyle="1" w:styleId="oj-sti-art">
    <w:name w:val="oj-sti-art"/>
    <w:basedOn w:val="Normal"/>
    <w:rsid w:val="003A216D"/>
    <w:pPr>
      <w:spacing w:before="100" w:beforeAutospacing="1" w:after="100" w:afterAutospacing="1"/>
      <w:jc w:val="left"/>
    </w:pPr>
    <w:rPr>
      <w:rFonts w:eastAsia="Times New Roman"/>
      <w:szCs w:val="24"/>
      <w:lang w:val="fr-BE" w:eastAsia="fr-BE"/>
    </w:rPr>
  </w:style>
  <w:style w:type="paragraph" w:customStyle="1" w:styleId="oj-normal">
    <w:name w:val="oj-normal"/>
    <w:basedOn w:val="Normal"/>
    <w:rsid w:val="003A216D"/>
    <w:pPr>
      <w:spacing w:before="100" w:beforeAutospacing="1" w:after="100" w:afterAutospacing="1"/>
      <w:jc w:val="left"/>
    </w:pPr>
    <w:rPr>
      <w:rFonts w:eastAsia="Times New Roman"/>
      <w:szCs w:val="24"/>
      <w:lang w:val="fr-BE" w:eastAsia="fr-BE"/>
    </w:rPr>
  </w:style>
  <w:style w:type="character" w:styleId="Hyperlink">
    <w:name w:val="Hyperlink"/>
    <w:basedOn w:val="DefaultParagraphFont"/>
    <w:uiPriority w:val="99"/>
    <w:unhideWhenUsed/>
    <w:rsid w:val="003A216D"/>
    <w:rPr>
      <w:color w:val="0000FF"/>
      <w:u w:val="single"/>
    </w:rPr>
  </w:style>
  <w:style w:type="character" w:customStyle="1" w:styleId="oj-super">
    <w:name w:val="oj-super"/>
    <w:basedOn w:val="DefaultParagraphFont"/>
    <w:rsid w:val="003A216D"/>
  </w:style>
  <w:style w:type="character" w:styleId="FollowedHyperlink">
    <w:name w:val="FollowedHyperlink"/>
    <w:basedOn w:val="DefaultParagraphFont"/>
    <w:uiPriority w:val="99"/>
    <w:semiHidden/>
    <w:unhideWhenUsed/>
    <w:rsid w:val="002B68E5"/>
    <w:rPr>
      <w:color w:val="800080" w:themeColor="followedHyperlink"/>
      <w:u w:val="single"/>
    </w:rPr>
  </w:style>
  <w:style w:type="paragraph" w:customStyle="1" w:styleId="Default">
    <w:name w:val="Default"/>
    <w:rsid w:val="005C32BF"/>
    <w:pPr>
      <w:autoSpaceDE w:val="0"/>
      <w:autoSpaceDN w:val="0"/>
      <w:adjustRightInd w:val="0"/>
      <w:spacing w:after="0" w:line="240" w:lineRule="auto"/>
    </w:pPr>
    <w:rPr>
      <w:rFonts w:ascii="Times New Roman" w:hAnsi="Times New Roman" w:cs="Times New Roman"/>
      <w:color w:val="000000"/>
      <w:sz w:val="24"/>
      <w:szCs w:val="24"/>
      <w:lang w:val="en-IE"/>
    </w:rPr>
  </w:style>
  <w:style w:type="paragraph" w:styleId="Caption">
    <w:name w:val="caption"/>
    <w:basedOn w:val="Normal"/>
    <w:next w:val="Normal"/>
    <w:uiPriority w:val="35"/>
    <w:semiHidden/>
    <w:unhideWhenUsed/>
    <w:qFormat/>
    <w:rsid w:val="006A334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A3342"/>
    <w:pPr>
      <w:spacing w:after="0"/>
    </w:pPr>
  </w:style>
  <w:style w:type="paragraph" w:styleId="ListNumber">
    <w:name w:val="List Number"/>
    <w:basedOn w:val="Normal"/>
    <w:uiPriority w:val="99"/>
    <w:semiHidden/>
    <w:unhideWhenUsed/>
    <w:rsid w:val="006A3342"/>
    <w:pPr>
      <w:numPr>
        <w:numId w:val="17"/>
      </w:numPr>
      <w:contextualSpacing/>
    </w:pPr>
  </w:style>
  <w:style w:type="paragraph" w:styleId="ListNumber2">
    <w:name w:val="List Number 2"/>
    <w:basedOn w:val="Normal"/>
    <w:uiPriority w:val="99"/>
    <w:semiHidden/>
    <w:unhideWhenUsed/>
    <w:rsid w:val="006A3342"/>
    <w:pPr>
      <w:numPr>
        <w:numId w:val="18"/>
      </w:numPr>
      <w:contextualSpacing/>
    </w:pPr>
  </w:style>
  <w:style w:type="paragraph" w:styleId="ListNumber3">
    <w:name w:val="List Number 3"/>
    <w:basedOn w:val="Normal"/>
    <w:uiPriority w:val="99"/>
    <w:semiHidden/>
    <w:unhideWhenUsed/>
    <w:rsid w:val="006A3342"/>
    <w:pPr>
      <w:numPr>
        <w:numId w:val="19"/>
      </w:numPr>
      <w:contextualSpacing/>
    </w:pPr>
  </w:style>
  <w:style w:type="paragraph" w:styleId="ListNumber4">
    <w:name w:val="List Number 4"/>
    <w:basedOn w:val="Normal"/>
    <w:uiPriority w:val="99"/>
    <w:semiHidden/>
    <w:unhideWhenUsed/>
    <w:rsid w:val="006A3342"/>
    <w:pPr>
      <w:numPr>
        <w:numId w:val="20"/>
      </w:numPr>
      <w:contextualSpacing/>
    </w:pPr>
  </w:style>
  <w:style w:type="paragraph" w:customStyle="1" w:styleId="Conside">
    <w:name w:val="Conside"/>
    <w:basedOn w:val="NormalCentered"/>
    <w:rsid w:val="00094FF0"/>
    <w:pPr>
      <w:jc w:val="both"/>
    </w:pPr>
    <w:rPr>
      <w:lang w:val="en-IE"/>
    </w:rPr>
  </w:style>
  <w:style w:type="paragraph" w:customStyle="1" w:styleId="li">
    <w:name w:val="li"/>
    <w:basedOn w:val="Normal"/>
    <w:rsid w:val="0043627A"/>
    <w:pPr>
      <w:spacing w:before="100" w:beforeAutospacing="1" w:after="100" w:afterAutospacing="1"/>
      <w:jc w:val="left"/>
    </w:pPr>
    <w:rPr>
      <w:rFonts w:eastAsia="Times New Roman"/>
      <w:szCs w:val="24"/>
      <w:lang w:val="fr-BE" w:eastAsia="fr-BE"/>
    </w:rPr>
  </w:style>
  <w:style w:type="character" w:customStyle="1" w:styleId="num0">
    <w:name w:val="num"/>
    <w:basedOn w:val="DefaultParagraphFont"/>
    <w:rsid w:val="0043627A"/>
  </w:style>
  <w:style w:type="paragraph" w:customStyle="1" w:styleId="Normal1">
    <w:name w:val="Normal1"/>
    <w:basedOn w:val="Normal"/>
    <w:rsid w:val="00445C47"/>
    <w:pPr>
      <w:spacing w:before="100" w:beforeAutospacing="1" w:after="100" w:afterAutospacing="1"/>
      <w:jc w:val="left"/>
    </w:pPr>
    <w:rPr>
      <w:rFonts w:eastAsia="Times New Roman"/>
      <w:szCs w:val="24"/>
      <w:lang w:val="fr-BE" w:eastAsia="fr-BE"/>
    </w:rPr>
  </w:style>
  <w:style w:type="paragraph" w:customStyle="1" w:styleId="Normal2">
    <w:name w:val="Normal2"/>
    <w:basedOn w:val="Normal"/>
    <w:rsid w:val="00957276"/>
    <w:pPr>
      <w:spacing w:before="100" w:beforeAutospacing="1" w:after="100" w:afterAutospacing="1"/>
      <w:jc w:val="left"/>
    </w:pPr>
    <w:rPr>
      <w:rFonts w:eastAsia="Times New Roman"/>
      <w:szCs w:val="24"/>
      <w:lang w:val="fr-BE" w:eastAsia="fr-BE"/>
    </w:rPr>
  </w:style>
  <w:style w:type="paragraph" w:customStyle="1" w:styleId="Nromal">
    <w:name w:val="Nromal"/>
    <w:basedOn w:val="Titrearticle"/>
    <w:rsid w:val="00DC0D7F"/>
    <w:pPr>
      <w:jc w:val="both"/>
    </w:pPr>
    <w:rPr>
      <w:lang w:val="en-IE"/>
    </w:rPr>
  </w:style>
  <w:style w:type="paragraph" w:styleId="Header">
    <w:name w:val="header"/>
    <w:basedOn w:val="Normal"/>
    <w:link w:val="HeaderChar"/>
    <w:uiPriority w:val="99"/>
    <w:unhideWhenUsed/>
    <w:rsid w:val="000A1507"/>
    <w:pPr>
      <w:tabs>
        <w:tab w:val="center" w:pos="4535"/>
        <w:tab w:val="right" w:pos="9071"/>
      </w:tabs>
      <w:spacing w:before="0"/>
    </w:pPr>
  </w:style>
  <w:style w:type="character" w:customStyle="1" w:styleId="HeaderChar">
    <w:name w:val="Header Char"/>
    <w:basedOn w:val="DefaultParagraphFont"/>
    <w:link w:val="Header"/>
    <w:uiPriority w:val="99"/>
    <w:rsid w:val="000A1507"/>
    <w:rPr>
      <w:rFonts w:ascii="Times New Roman" w:hAnsi="Times New Roman" w:cs="Times New Roman"/>
      <w:sz w:val="24"/>
      <w:lang w:val="en-GB"/>
    </w:rPr>
  </w:style>
  <w:style w:type="paragraph" w:styleId="Footer">
    <w:name w:val="footer"/>
    <w:basedOn w:val="Normal"/>
    <w:link w:val="FooterChar"/>
    <w:uiPriority w:val="99"/>
    <w:unhideWhenUsed/>
    <w:rsid w:val="000A150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A150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A1507"/>
    <w:pPr>
      <w:tabs>
        <w:tab w:val="center" w:pos="7285"/>
        <w:tab w:val="right" w:pos="14003"/>
      </w:tabs>
      <w:spacing w:before="0"/>
    </w:pPr>
  </w:style>
  <w:style w:type="paragraph" w:customStyle="1" w:styleId="FooterLandscape">
    <w:name w:val="FooterLandscape"/>
    <w:basedOn w:val="Normal"/>
    <w:rsid w:val="000A150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A150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A1507"/>
    <w:pPr>
      <w:spacing w:before="0"/>
      <w:jc w:val="right"/>
    </w:pPr>
    <w:rPr>
      <w:sz w:val="28"/>
    </w:rPr>
  </w:style>
  <w:style w:type="paragraph" w:customStyle="1" w:styleId="FooterSensitivity">
    <w:name w:val="Footer Sensitivity"/>
    <w:basedOn w:val="Normal"/>
    <w:rsid w:val="000A150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5"/>
      </w:numPr>
    </w:pPr>
  </w:style>
  <w:style w:type="paragraph" w:customStyle="1" w:styleId="Tiret1">
    <w:name w:val="Tiret 1"/>
    <w:basedOn w:val="Point1"/>
    <w:pPr>
      <w:numPr>
        <w:numId w:val="46"/>
      </w:numPr>
    </w:pPr>
  </w:style>
  <w:style w:type="paragraph" w:customStyle="1" w:styleId="Tiret2">
    <w:name w:val="Tiret 2"/>
    <w:basedOn w:val="Point2"/>
    <w:pPr>
      <w:numPr>
        <w:numId w:val="47"/>
      </w:numPr>
    </w:pPr>
  </w:style>
  <w:style w:type="paragraph" w:customStyle="1" w:styleId="Tiret3">
    <w:name w:val="Tiret 3"/>
    <w:basedOn w:val="Point3"/>
    <w:pPr>
      <w:numPr>
        <w:numId w:val="48"/>
      </w:numPr>
    </w:pPr>
  </w:style>
  <w:style w:type="paragraph" w:customStyle="1" w:styleId="Tiret4">
    <w:name w:val="Tiret 4"/>
    <w:basedOn w:val="Point4"/>
    <w:pPr>
      <w:numPr>
        <w:numId w:val="49"/>
      </w:numPr>
    </w:pPr>
  </w:style>
  <w:style w:type="paragraph" w:customStyle="1" w:styleId="Tiret5">
    <w:name w:val="Tiret 5"/>
    <w:basedOn w:val="Point5"/>
    <w:pPr>
      <w:numPr>
        <w:numId w:val="5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1"/>
      </w:numPr>
    </w:pPr>
  </w:style>
  <w:style w:type="paragraph" w:customStyle="1" w:styleId="NumPar2">
    <w:name w:val="NumPar 2"/>
    <w:basedOn w:val="Normal"/>
    <w:next w:val="Text1"/>
    <w:pPr>
      <w:numPr>
        <w:ilvl w:val="1"/>
        <w:numId w:val="51"/>
      </w:numPr>
    </w:pPr>
  </w:style>
  <w:style w:type="paragraph" w:customStyle="1" w:styleId="NumPar3">
    <w:name w:val="NumPar 3"/>
    <w:basedOn w:val="Normal"/>
    <w:next w:val="Text1"/>
    <w:pPr>
      <w:numPr>
        <w:ilvl w:val="2"/>
        <w:numId w:val="51"/>
      </w:numPr>
    </w:pPr>
  </w:style>
  <w:style w:type="paragraph" w:customStyle="1" w:styleId="NumPar4">
    <w:name w:val="NumPar 4"/>
    <w:basedOn w:val="Normal"/>
    <w:next w:val="Text1"/>
    <w:pPr>
      <w:numPr>
        <w:ilvl w:val="3"/>
        <w:numId w:val="51"/>
      </w:numPr>
    </w:pPr>
  </w:style>
  <w:style w:type="paragraph" w:customStyle="1" w:styleId="NumPar5">
    <w:name w:val="NumPar 5"/>
    <w:basedOn w:val="Normal"/>
    <w:next w:val="Text2"/>
    <w:pPr>
      <w:numPr>
        <w:ilvl w:val="4"/>
        <w:numId w:val="51"/>
      </w:numPr>
    </w:pPr>
  </w:style>
  <w:style w:type="paragraph" w:customStyle="1" w:styleId="NumPar6">
    <w:name w:val="NumPar 6"/>
    <w:basedOn w:val="Normal"/>
    <w:next w:val="Text2"/>
    <w:pPr>
      <w:numPr>
        <w:ilvl w:val="5"/>
        <w:numId w:val="51"/>
      </w:numPr>
    </w:pPr>
  </w:style>
  <w:style w:type="paragraph" w:customStyle="1" w:styleId="NumPar7">
    <w:name w:val="NumPar 7"/>
    <w:basedOn w:val="Normal"/>
    <w:next w:val="Text2"/>
    <w:pPr>
      <w:numPr>
        <w:ilvl w:val="6"/>
        <w:numId w:val="5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3"/>
      </w:numPr>
    </w:pPr>
  </w:style>
  <w:style w:type="paragraph" w:customStyle="1" w:styleId="Point1number">
    <w:name w:val="Point 1 (number)"/>
    <w:basedOn w:val="Normal"/>
    <w:pPr>
      <w:numPr>
        <w:ilvl w:val="2"/>
        <w:numId w:val="53"/>
      </w:numPr>
    </w:pPr>
  </w:style>
  <w:style w:type="paragraph" w:customStyle="1" w:styleId="Point2number">
    <w:name w:val="Point 2 (number)"/>
    <w:basedOn w:val="Normal"/>
    <w:pPr>
      <w:numPr>
        <w:ilvl w:val="4"/>
        <w:numId w:val="53"/>
      </w:numPr>
    </w:pPr>
  </w:style>
  <w:style w:type="paragraph" w:customStyle="1" w:styleId="Point3number">
    <w:name w:val="Point 3 (number)"/>
    <w:basedOn w:val="Normal"/>
    <w:pPr>
      <w:numPr>
        <w:ilvl w:val="6"/>
        <w:numId w:val="53"/>
      </w:numPr>
    </w:pPr>
  </w:style>
  <w:style w:type="paragraph" w:customStyle="1" w:styleId="Point0letter">
    <w:name w:val="Point 0 (letter)"/>
    <w:basedOn w:val="Normal"/>
    <w:pPr>
      <w:numPr>
        <w:ilvl w:val="1"/>
        <w:numId w:val="53"/>
      </w:numPr>
    </w:pPr>
  </w:style>
  <w:style w:type="paragraph" w:customStyle="1" w:styleId="Point1letter">
    <w:name w:val="Point 1 (letter)"/>
    <w:basedOn w:val="Normal"/>
    <w:pPr>
      <w:numPr>
        <w:ilvl w:val="3"/>
        <w:numId w:val="53"/>
      </w:numPr>
    </w:pPr>
  </w:style>
  <w:style w:type="paragraph" w:customStyle="1" w:styleId="Point2letter">
    <w:name w:val="Point 2 (letter)"/>
    <w:basedOn w:val="Normal"/>
    <w:pPr>
      <w:numPr>
        <w:ilvl w:val="5"/>
        <w:numId w:val="53"/>
      </w:numPr>
    </w:pPr>
  </w:style>
  <w:style w:type="paragraph" w:customStyle="1" w:styleId="Point3letter">
    <w:name w:val="Point 3 (letter)"/>
    <w:basedOn w:val="Normal"/>
    <w:pPr>
      <w:numPr>
        <w:ilvl w:val="7"/>
        <w:numId w:val="53"/>
      </w:numPr>
    </w:pPr>
  </w:style>
  <w:style w:type="paragraph" w:customStyle="1" w:styleId="Point4letter">
    <w:name w:val="Point 4 (letter)"/>
    <w:basedOn w:val="Normal"/>
    <w:pPr>
      <w:numPr>
        <w:ilvl w:val="8"/>
        <w:numId w:val="53"/>
      </w:numPr>
    </w:pPr>
  </w:style>
  <w:style w:type="paragraph" w:customStyle="1" w:styleId="Bullet0">
    <w:name w:val="Bullet 0"/>
    <w:basedOn w:val="Normal"/>
    <w:pPr>
      <w:numPr>
        <w:numId w:val="54"/>
      </w:numPr>
    </w:pPr>
  </w:style>
  <w:style w:type="paragraph" w:customStyle="1" w:styleId="Bullet1">
    <w:name w:val="Bullet 1"/>
    <w:basedOn w:val="Normal"/>
    <w:pPr>
      <w:numPr>
        <w:numId w:val="55"/>
      </w:numPr>
    </w:pPr>
  </w:style>
  <w:style w:type="paragraph" w:customStyle="1" w:styleId="Bullet2">
    <w:name w:val="Bullet 2"/>
    <w:basedOn w:val="Normal"/>
    <w:pPr>
      <w:numPr>
        <w:numId w:val="56"/>
      </w:numPr>
    </w:pPr>
  </w:style>
  <w:style w:type="paragraph" w:customStyle="1" w:styleId="Bullet3">
    <w:name w:val="Bullet 3"/>
    <w:basedOn w:val="Normal"/>
    <w:pPr>
      <w:numPr>
        <w:numId w:val="57"/>
      </w:numPr>
    </w:pPr>
  </w:style>
  <w:style w:type="paragraph" w:customStyle="1" w:styleId="Bullet4">
    <w:name w:val="Bullet 4"/>
    <w:basedOn w:val="Normal"/>
    <w:pPr>
      <w:numPr>
        <w:numId w:val="5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5596">
      <w:bodyDiv w:val="1"/>
      <w:marLeft w:val="0"/>
      <w:marRight w:val="0"/>
      <w:marTop w:val="0"/>
      <w:marBottom w:val="0"/>
      <w:divBdr>
        <w:top w:val="none" w:sz="0" w:space="0" w:color="auto"/>
        <w:left w:val="none" w:sz="0" w:space="0" w:color="auto"/>
        <w:bottom w:val="none" w:sz="0" w:space="0" w:color="auto"/>
        <w:right w:val="none" w:sz="0" w:space="0" w:color="auto"/>
      </w:divBdr>
    </w:div>
    <w:div w:id="195972615">
      <w:bodyDiv w:val="1"/>
      <w:marLeft w:val="0"/>
      <w:marRight w:val="0"/>
      <w:marTop w:val="0"/>
      <w:marBottom w:val="0"/>
      <w:divBdr>
        <w:top w:val="none" w:sz="0" w:space="0" w:color="auto"/>
        <w:left w:val="none" w:sz="0" w:space="0" w:color="auto"/>
        <w:bottom w:val="none" w:sz="0" w:space="0" w:color="auto"/>
        <w:right w:val="none" w:sz="0" w:space="0" w:color="auto"/>
      </w:divBdr>
    </w:div>
    <w:div w:id="224806653">
      <w:bodyDiv w:val="1"/>
      <w:marLeft w:val="0"/>
      <w:marRight w:val="0"/>
      <w:marTop w:val="0"/>
      <w:marBottom w:val="0"/>
      <w:divBdr>
        <w:top w:val="none" w:sz="0" w:space="0" w:color="auto"/>
        <w:left w:val="none" w:sz="0" w:space="0" w:color="auto"/>
        <w:bottom w:val="none" w:sz="0" w:space="0" w:color="auto"/>
        <w:right w:val="none" w:sz="0" w:space="0" w:color="auto"/>
      </w:divBdr>
    </w:div>
    <w:div w:id="285699321">
      <w:bodyDiv w:val="1"/>
      <w:marLeft w:val="0"/>
      <w:marRight w:val="0"/>
      <w:marTop w:val="0"/>
      <w:marBottom w:val="0"/>
      <w:divBdr>
        <w:top w:val="none" w:sz="0" w:space="0" w:color="auto"/>
        <w:left w:val="none" w:sz="0" w:space="0" w:color="auto"/>
        <w:bottom w:val="none" w:sz="0" w:space="0" w:color="auto"/>
        <w:right w:val="none" w:sz="0" w:space="0" w:color="auto"/>
      </w:divBdr>
    </w:div>
    <w:div w:id="289215825">
      <w:bodyDiv w:val="1"/>
      <w:marLeft w:val="0"/>
      <w:marRight w:val="0"/>
      <w:marTop w:val="0"/>
      <w:marBottom w:val="0"/>
      <w:divBdr>
        <w:top w:val="none" w:sz="0" w:space="0" w:color="auto"/>
        <w:left w:val="none" w:sz="0" w:space="0" w:color="auto"/>
        <w:bottom w:val="none" w:sz="0" w:space="0" w:color="auto"/>
        <w:right w:val="none" w:sz="0" w:space="0" w:color="auto"/>
      </w:divBdr>
    </w:div>
    <w:div w:id="293483931">
      <w:bodyDiv w:val="1"/>
      <w:marLeft w:val="0"/>
      <w:marRight w:val="0"/>
      <w:marTop w:val="0"/>
      <w:marBottom w:val="0"/>
      <w:divBdr>
        <w:top w:val="none" w:sz="0" w:space="0" w:color="auto"/>
        <w:left w:val="none" w:sz="0" w:space="0" w:color="auto"/>
        <w:bottom w:val="none" w:sz="0" w:space="0" w:color="auto"/>
        <w:right w:val="none" w:sz="0" w:space="0" w:color="auto"/>
      </w:divBdr>
    </w:div>
    <w:div w:id="307978086">
      <w:bodyDiv w:val="1"/>
      <w:marLeft w:val="0"/>
      <w:marRight w:val="0"/>
      <w:marTop w:val="0"/>
      <w:marBottom w:val="0"/>
      <w:divBdr>
        <w:top w:val="none" w:sz="0" w:space="0" w:color="auto"/>
        <w:left w:val="none" w:sz="0" w:space="0" w:color="auto"/>
        <w:bottom w:val="none" w:sz="0" w:space="0" w:color="auto"/>
        <w:right w:val="none" w:sz="0" w:space="0" w:color="auto"/>
      </w:divBdr>
    </w:div>
    <w:div w:id="398794347">
      <w:bodyDiv w:val="1"/>
      <w:marLeft w:val="0"/>
      <w:marRight w:val="0"/>
      <w:marTop w:val="0"/>
      <w:marBottom w:val="0"/>
      <w:divBdr>
        <w:top w:val="none" w:sz="0" w:space="0" w:color="auto"/>
        <w:left w:val="none" w:sz="0" w:space="0" w:color="auto"/>
        <w:bottom w:val="none" w:sz="0" w:space="0" w:color="auto"/>
        <w:right w:val="none" w:sz="0" w:space="0" w:color="auto"/>
      </w:divBdr>
    </w:div>
    <w:div w:id="435028032">
      <w:bodyDiv w:val="1"/>
      <w:marLeft w:val="0"/>
      <w:marRight w:val="0"/>
      <w:marTop w:val="0"/>
      <w:marBottom w:val="0"/>
      <w:divBdr>
        <w:top w:val="none" w:sz="0" w:space="0" w:color="auto"/>
        <w:left w:val="none" w:sz="0" w:space="0" w:color="auto"/>
        <w:bottom w:val="none" w:sz="0" w:space="0" w:color="auto"/>
        <w:right w:val="none" w:sz="0" w:space="0" w:color="auto"/>
      </w:divBdr>
    </w:div>
    <w:div w:id="454376044">
      <w:bodyDiv w:val="1"/>
      <w:marLeft w:val="0"/>
      <w:marRight w:val="0"/>
      <w:marTop w:val="0"/>
      <w:marBottom w:val="0"/>
      <w:divBdr>
        <w:top w:val="none" w:sz="0" w:space="0" w:color="auto"/>
        <w:left w:val="none" w:sz="0" w:space="0" w:color="auto"/>
        <w:bottom w:val="none" w:sz="0" w:space="0" w:color="auto"/>
        <w:right w:val="none" w:sz="0" w:space="0" w:color="auto"/>
      </w:divBdr>
    </w:div>
    <w:div w:id="494105161">
      <w:bodyDiv w:val="1"/>
      <w:marLeft w:val="0"/>
      <w:marRight w:val="0"/>
      <w:marTop w:val="0"/>
      <w:marBottom w:val="0"/>
      <w:divBdr>
        <w:top w:val="none" w:sz="0" w:space="0" w:color="auto"/>
        <w:left w:val="none" w:sz="0" w:space="0" w:color="auto"/>
        <w:bottom w:val="none" w:sz="0" w:space="0" w:color="auto"/>
        <w:right w:val="none" w:sz="0" w:space="0" w:color="auto"/>
      </w:divBdr>
    </w:div>
    <w:div w:id="497772305">
      <w:bodyDiv w:val="1"/>
      <w:marLeft w:val="0"/>
      <w:marRight w:val="0"/>
      <w:marTop w:val="0"/>
      <w:marBottom w:val="0"/>
      <w:divBdr>
        <w:top w:val="none" w:sz="0" w:space="0" w:color="auto"/>
        <w:left w:val="none" w:sz="0" w:space="0" w:color="auto"/>
        <w:bottom w:val="none" w:sz="0" w:space="0" w:color="auto"/>
        <w:right w:val="none" w:sz="0" w:space="0" w:color="auto"/>
      </w:divBdr>
    </w:div>
    <w:div w:id="498614978">
      <w:bodyDiv w:val="1"/>
      <w:marLeft w:val="0"/>
      <w:marRight w:val="0"/>
      <w:marTop w:val="0"/>
      <w:marBottom w:val="0"/>
      <w:divBdr>
        <w:top w:val="none" w:sz="0" w:space="0" w:color="auto"/>
        <w:left w:val="none" w:sz="0" w:space="0" w:color="auto"/>
        <w:bottom w:val="none" w:sz="0" w:space="0" w:color="auto"/>
        <w:right w:val="none" w:sz="0" w:space="0" w:color="auto"/>
      </w:divBdr>
    </w:div>
    <w:div w:id="501243018">
      <w:bodyDiv w:val="1"/>
      <w:marLeft w:val="0"/>
      <w:marRight w:val="0"/>
      <w:marTop w:val="0"/>
      <w:marBottom w:val="0"/>
      <w:divBdr>
        <w:top w:val="none" w:sz="0" w:space="0" w:color="auto"/>
        <w:left w:val="none" w:sz="0" w:space="0" w:color="auto"/>
        <w:bottom w:val="none" w:sz="0" w:space="0" w:color="auto"/>
        <w:right w:val="none" w:sz="0" w:space="0" w:color="auto"/>
      </w:divBdr>
    </w:div>
    <w:div w:id="527716632">
      <w:bodyDiv w:val="1"/>
      <w:marLeft w:val="0"/>
      <w:marRight w:val="0"/>
      <w:marTop w:val="0"/>
      <w:marBottom w:val="0"/>
      <w:divBdr>
        <w:top w:val="none" w:sz="0" w:space="0" w:color="auto"/>
        <w:left w:val="none" w:sz="0" w:space="0" w:color="auto"/>
        <w:bottom w:val="none" w:sz="0" w:space="0" w:color="auto"/>
        <w:right w:val="none" w:sz="0" w:space="0" w:color="auto"/>
      </w:divBdr>
    </w:div>
    <w:div w:id="663820434">
      <w:bodyDiv w:val="1"/>
      <w:marLeft w:val="0"/>
      <w:marRight w:val="0"/>
      <w:marTop w:val="0"/>
      <w:marBottom w:val="0"/>
      <w:divBdr>
        <w:top w:val="none" w:sz="0" w:space="0" w:color="auto"/>
        <w:left w:val="none" w:sz="0" w:space="0" w:color="auto"/>
        <w:bottom w:val="none" w:sz="0" w:space="0" w:color="auto"/>
        <w:right w:val="none" w:sz="0" w:space="0" w:color="auto"/>
      </w:divBdr>
      <w:divsChild>
        <w:div w:id="829638189">
          <w:marLeft w:val="0"/>
          <w:marRight w:val="0"/>
          <w:marTop w:val="0"/>
          <w:marBottom w:val="0"/>
          <w:divBdr>
            <w:top w:val="none" w:sz="0" w:space="0" w:color="auto"/>
            <w:left w:val="none" w:sz="0" w:space="0" w:color="auto"/>
            <w:bottom w:val="none" w:sz="0" w:space="0" w:color="auto"/>
            <w:right w:val="none" w:sz="0" w:space="0" w:color="auto"/>
          </w:divBdr>
        </w:div>
        <w:div w:id="1149906845">
          <w:marLeft w:val="0"/>
          <w:marRight w:val="0"/>
          <w:marTop w:val="0"/>
          <w:marBottom w:val="0"/>
          <w:divBdr>
            <w:top w:val="none" w:sz="0" w:space="0" w:color="auto"/>
            <w:left w:val="none" w:sz="0" w:space="0" w:color="auto"/>
            <w:bottom w:val="none" w:sz="0" w:space="0" w:color="auto"/>
            <w:right w:val="none" w:sz="0" w:space="0" w:color="auto"/>
          </w:divBdr>
        </w:div>
      </w:divsChild>
    </w:div>
    <w:div w:id="857886382">
      <w:bodyDiv w:val="1"/>
      <w:marLeft w:val="0"/>
      <w:marRight w:val="0"/>
      <w:marTop w:val="0"/>
      <w:marBottom w:val="0"/>
      <w:divBdr>
        <w:top w:val="none" w:sz="0" w:space="0" w:color="auto"/>
        <w:left w:val="none" w:sz="0" w:space="0" w:color="auto"/>
        <w:bottom w:val="none" w:sz="0" w:space="0" w:color="auto"/>
        <w:right w:val="none" w:sz="0" w:space="0" w:color="auto"/>
      </w:divBdr>
    </w:div>
    <w:div w:id="914508101">
      <w:bodyDiv w:val="1"/>
      <w:marLeft w:val="0"/>
      <w:marRight w:val="0"/>
      <w:marTop w:val="0"/>
      <w:marBottom w:val="0"/>
      <w:divBdr>
        <w:top w:val="none" w:sz="0" w:space="0" w:color="auto"/>
        <w:left w:val="none" w:sz="0" w:space="0" w:color="auto"/>
        <w:bottom w:val="none" w:sz="0" w:space="0" w:color="auto"/>
        <w:right w:val="none" w:sz="0" w:space="0" w:color="auto"/>
      </w:divBdr>
    </w:div>
    <w:div w:id="984579499">
      <w:bodyDiv w:val="1"/>
      <w:marLeft w:val="0"/>
      <w:marRight w:val="0"/>
      <w:marTop w:val="0"/>
      <w:marBottom w:val="0"/>
      <w:divBdr>
        <w:top w:val="none" w:sz="0" w:space="0" w:color="auto"/>
        <w:left w:val="none" w:sz="0" w:space="0" w:color="auto"/>
        <w:bottom w:val="none" w:sz="0" w:space="0" w:color="auto"/>
        <w:right w:val="none" w:sz="0" w:space="0" w:color="auto"/>
      </w:divBdr>
    </w:div>
    <w:div w:id="1165361863">
      <w:bodyDiv w:val="1"/>
      <w:marLeft w:val="0"/>
      <w:marRight w:val="0"/>
      <w:marTop w:val="0"/>
      <w:marBottom w:val="0"/>
      <w:divBdr>
        <w:top w:val="none" w:sz="0" w:space="0" w:color="auto"/>
        <w:left w:val="none" w:sz="0" w:space="0" w:color="auto"/>
        <w:bottom w:val="none" w:sz="0" w:space="0" w:color="auto"/>
        <w:right w:val="none" w:sz="0" w:space="0" w:color="auto"/>
      </w:divBdr>
    </w:div>
    <w:div w:id="1172797309">
      <w:bodyDiv w:val="1"/>
      <w:marLeft w:val="0"/>
      <w:marRight w:val="0"/>
      <w:marTop w:val="0"/>
      <w:marBottom w:val="0"/>
      <w:divBdr>
        <w:top w:val="none" w:sz="0" w:space="0" w:color="auto"/>
        <w:left w:val="none" w:sz="0" w:space="0" w:color="auto"/>
        <w:bottom w:val="none" w:sz="0" w:space="0" w:color="auto"/>
        <w:right w:val="none" w:sz="0" w:space="0" w:color="auto"/>
      </w:divBdr>
    </w:div>
    <w:div w:id="1189294508">
      <w:bodyDiv w:val="1"/>
      <w:marLeft w:val="0"/>
      <w:marRight w:val="0"/>
      <w:marTop w:val="0"/>
      <w:marBottom w:val="0"/>
      <w:divBdr>
        <w:top w:val="none" w:sz="0" w:space="0" w:color="auto"/>
        <w:left w:val="none" w:sz="0" w:space="0" w:color="auto"/>
        <w:bottom w:val="none" w:sz="0" w:space="0" w:color="auto"/>
        <w:right w:val="none" w:sz="0" w:space="0" w:color="auto"/>
      </w:divBdr>
    </w:div>
    <w:div w:id="1275402457">
      <w:bodyDiv w:val="1"/>
      <w:marLeft w:val="0"/>
      <w:marRight w:val="0"/>
      <w:marTop w:val="0"/>
      <w:marBottom w:val="0"/>
      <w:divBdr>
        <w:top w:val="none" w:sz="0" w:space="0" w:color="auto"/>
        <w:left w:val="none" w:sz="0" w:space="0" w:color="auto"/>
        <w:bottom w:val="none" w:sz="0" w:space="0" w:color="auto"/>
        <w:right w:val="none" w:sz="0" w:space="0" w:color="auto"/>
      </w:divBdr>
    </w:div>
    <w:div w:id="1326277530">
      <w:bodyDiv w:val="1"/>
      <w:marLeft w:val="0"/>
      <w:marRight w:val="0"/>
      <w:marTop w:val="0"/>
      <w:marBottom w:val="0"/>
      <w:divBdr>
        <w:top w:val="none" w:sz="0" w:space="0" w:color="auto"/>
        <w:left w:val="none" w:sz="0" w:space="0" w:color="auto"/>
        <w:bottom w:val="none" w:sz="0" w:space="0" w:color="auto"/>
        <w:right w:val="none" w:sz="0" w:space="0" w:color="auto"/>
      </w:divBdr>
    </w:div>
    <w:div w:id="1358502842">
      <w:bodyDiv w:val="1"/>
      <w:marLeft w:val="0"/>
      <w:marRight w:val="0"/>
      <w:marTop w:val="0"/>
      <w:marBottom w:val="0"/>
      <w:divBdr>
        <w:top w:val="none" w:sz="0" w:space="0" w:color="auto"/>
        <w:left w:val="none" w:sz="0" w:space="0" w:color="auto"/>
        <w:bottom w:val="none" w:sz="0" w:space="0" w:color="auto"/>
        <w:right w:val="none" w:sz="0" w:space="0" w:color="auto"/>
      </w:divBdr>
    </w:div>
    <w:div w:id="1421214990">
      <w:bodyDiv w:val="1"/>
      <w:marLeft w:val="0"/>
      <w:marRight w:val="0"/>
      <w:marTop w:val="0"/>
      <w:marBottom w:val="0"/>
      <w:divBdr>
        <w:top w:val="none" w:sz="0" w:space="0" w:color="auto"/>
        <w:left w:val="none" w:sz="0" w:space="0" w:color="auto"/>
        <w:bottom w:val="none" w:sz="0" w:space="0" w:color="auto"/>
        <w:right w:val="none" w:sz="0" w:space="0" w:color="auto"/>
      </w:divBdr>
    </w:div>
    <w:div w:id="1512136687">
      <w:bodyDiv w:val="1"/>
      <w:marLeft w:val="0"/>
      <w:marRight w:val="0"/>
      <w:marTop w:val="0"/>
      <w:marBottom w:val="0"/>
      <w:divBdr>
        <w:top w:val="none" w:sz="0" w:space="0" w:color="auto"/>
        <w:left w:val="none" w:sz="0" w:space="0" w:color="auto"/>
        <w:bottom w:val="none" w:sz="0" w:space="0" w:color="auto"/>
        <w:right w:val="none" w:sz="0" w:space="0" w:color="auto"/>
      </w:divBdr>
    </w:div>
    <w:div w:id="1588731473">
      <w:bodyDiv w:val="1"/>
      <w:marLeft w:val="0"/>
      <w:marRight w:val="0"/>
      <w:marTop w:val="0"/>
      <w:marBottom w:val="0"/>
      <w:divBdr>
        <w:top w:val="none" w:sz="0" w:space="0" w:color="auto"/>
        <w:left w:val="none" w:sz="0" w:space="0" w:color="auto"/>
        <w:bottom w:val="none" w:sz="0" w:space="0" w:color="auto"/>
        <w:right w:val="none" w:sz="0" w:space="0" w:color="auto"/>
      </w:divBdr>
    </w:div>
    <w:div w:id="1687368455">
      <w:bodyDiv w:val="1"/>
      <w:marLeft w:val="0"/>
      <w:marRight w:val="0"/>
      <w:marTop w:val="0"/>
      <w:marBottom w:val="0"/>
      <w:divBdr>
        <w:top w:val="none" w:sz="0" w:space="0" w:color="auto"/>
        <w:left w:val="none" w:sz="0" w:space="0" w:color="auto"/>
        <w:bottom w:val="none" w:sz="0" w:space="0" w:color="auto"/>
        <w:right w:val="none" w:sz="0" w:space="0" w:color="auto"/>
      </w:divBdr>
    </w:div>
    <w:div w:id="1814130510">
      <w:bodyDiv w:val="1"/>
      <w:marLeft w:val="0"/>
      <w:marRight w:val="0"/>
      <w:marTop w:val="0"/>
      <w:marBottom w:val="0"/>
      <w:divBdr>
        <w:top w:val="none" w:sz="0" w:space="0" w:color="auto"/>
        <w:left w:val="none" w:sz="0" w:space="0" w:color="auto"/>
        <w:bottom w:val="none" w:sz="0" w:space="0" w:color="auto"/>
        <w:right w:val="none" w:sz="0" w:space="0" w:color="auto"/>
      </w:divBdr>
    </w:div>
    <w:div w:id="1840389413">
      <w:bodyDiv w:val="1"/>
      <w:marLeft w:val="0"/>
      <w:marRight w:val="0"/>
      <w:marTop w:val="0"/>
      <w:marBottom w:val="0"/>
      <w:divBdr>
        <w:top w:val="none" w:sz="0" w:space="0" w:color="auto"/>
        <w:left w:val="none" w:sz="0" w:space="0" w:color="auto"/>
        <w:bottom w:val="none" w:sz="0" w:space="0" w:color="auto"/>
        <w:right w:val="none" w:sz="0" w:space="0" w:color="auto"/>
      </w:divBdr>
    </w:div>
    <w:div w:id="1849099923">
      <w:bodyDiv w:val="1"/>
      <w:marLeft w:val="0"/>
      <w:marRight w:val="0"/>
      <w:marTop w:val="0"/>
      <w:marBottom w:val="0"/>
      <w:divBdr>
        <w:top w:val="none" w:sz="0" w:space="0" w:color="auto"/>
        <w:left w:val="none" w:sz="0" w:space="0" w:color="auto"/>
        <w:bottom w:val="none" w:sz="0" w:space="0" w:color="auto"/>
        <w:right w:val="none" w:sz="0" w:space="0" w:color="auto"/>
      </w:divBdr>
      <w:divsChild>
        <w:div w:id="267660062">
          <w:marLeft w:val="0"/>
          <w:marRight w:val="0"/>
          <w:marTop w:val="0"/>
          <w:marBottom w:val="0"/>
          <w:divBdr>
            <w:top w:val="none" w:sz="0" w:space="0" w:color="auto"/>
            <w:left w:val="none" w:sz="0" w:space="0" w:color="auto"/>
            <w:bottom w:val="none" w:sz="0" w:space="0" w:color="auto"/>
            <w:right w:val="none" w:sz="0" w:space="0" w:color="auto"/>
          </w:divBdr>
        </w:div>
        <w:div w:id="1422066047">
          <w:marLeft w:val="0"/>
          <w:marRight w:val="0"/>
          <w:marTop w:val="0"/>
          <w:marBottom w:val="0"/>
          <w:divBdr>
            <w:top w:val="none" w:sz="0" w:space="0" w:color="auto"/>
            <w:left w:val="none" w:sz="0" w:space="0" w:color="auto"/>
            <w:bottom w:val="none" w:sz="0" w:space="0" w:color="auto"/>
            <w:right w:val="none" w:sz="0" w:space="0" w:color="auto"/>
          </w:divBdr>
        </w:div>
        <w:div w:id="1540432955">
          <w:marLeft w:val="0"/>
          <w:marRight w:val="0"/>
          <w:marTop w:val="0"/>
          <w:marBottom w:val="0"/>
          <w:divBdr>
            <w:top w:val="none" w:sz="0" w:space="0" w:color="auto"/>
            <w:left w:val="none" w:sz="0" w:space="0" w:color="auto"/>
            <w:bottom w:val="none" w:sz="0" w:space="0" w:color="auto"/>
            <w:right w:val="none" w:sz="0" w:space="0" w:color="auto"/>
          </w:divBdr>
        </w:div>
        <w:div w:id="1558516164">
          <w:marLeft w:val="0"/>
          <w:marRight w:val="0"/>
          <w:marTop w:val="0"/>
          <w:marBottom w:val="0"/>
          <w:divBdr>
            <w:top w:val="none" w:sz="0" w:space="0" w:color="auto"/>
            <w:left w:val="none" w:sz="0" w:space="0" w:color="auto"/>
            <w:bottom w:val="none" w:sz="0" w:space="0" w:color="auto"/>
            <w:right w:val="none" w:sz="0" w:space="0" w:color="auto"/>
          </w:divBdr>
        </w:div>
      </w:divsChild>
    </w:div>
    <w:div w:id="1855727160">
      <w:bodyDiv w:val="1"/>
      <w:marLeft w:val="0"/>
      <w:marRight w:val="0"/>
      <w:marTop w:val="0"/>
      <w:marBottom w:val="0"/>
      <w:divBdr>
        <w:top w:val="none" w:sz="0" w:space="0" w:color="auto"/>
        <w:left w:val="none" w:sz="0" w:space="0" w:color="auto"/>
        <w:bottom w:val="none" w:sz="0" w:space="0" w:color="auto"/>
        <w:right w:val="none" w:sz="0" w:space="0" w:color="auto"/>
      </w:divBdr>
    </w:div>
    <w:div w:id="1917546074">
      <w:bodyDiv w:val="1"/>
      <w:marLeft w:val="0"/>
      <w:marRight w:val="0"/>
      <w:marTop w:val="0"/>
      <w:marBottom w:val="0"/>
      <w:divBdr>
        <w:top w:val="none" w:sz="0" w:space="0" w:color="auto"/>
        <w:left w:val="none" w:sz="0" w:space="0" w:color="auto"/>
        <w:bottom w:val="none" w:sz="0" w:space="0" w:color="auto"/>
        <w:right w:val="none" w:sz="0" w:space="0" w:color="auto"/>
      </w:divBdr>
      <w:divsChild>
        <w:div w:id="1012490532">
          <w:marLeft w:val="0"/>
          <w:marRight w:val="0"/>
          <w:marTop w:val="0"/>
          <w:marBottom w:val="0"/>
          <w:divBdr>
            <w:top w:val="none" w:sz="0" w:space="0" w:color="auto"/>
            <w:left w:val="none" w:sz="0" w:space="0" w:color="auto"/>
            <w:bottom w:val="none" w:sz="0" w:space="0" w:color="auto"/>
            <w:right w:val="none" w:sz="0" w:space="0" w:color="auto"/>
          </w:divBdr>
        </w:div>
        <w:div w:id="1018772694">
          <w:marLeft w:val="0"/>
          <w:marRight w:val="0"/>
          <w:marTop w:val="0"/>
          <w:marBottom w:val="0"/>
          <w:divBdr>
            <w:top w:val="none" w:sz="0" w:space="0" w:color="auto"/>
            <w:left w:val="none" w:sz="0" w:space="0" w:color="auto"/>
            <w:bottom w:val="none" w:sz="0" w:space="0" w:color="auto"/>
            <w:right w:val="none" w:sz="0" w:space="0" w:color="auto"/>
          </w:divBdr>
        </w:div>
      </w:divsChild>
    </w:div>
    <w:div w:id="2099595829">
      <w:bodyDiv w:val="1"/>
      <w:marLeft w:val="0"/>
      <w:marRight w:val="0"/>
      <w:marTop w:val="0"/>
      <w:marBottom w:val="0"/>
      <w:divBdr>
        <w:top w:val="none" w:sz="0" w:space="0" w:color="auto"/>
        <w:left w:val="none" w:sz="0" w:space="0" w:color="auto"/>
        <w:bottom w:val="none" w:sz="0" w:space="0" w:color="auto"/>
        <w:right w:val="none" w:sz="0" w:space="0" w:color="auto"/>
      </w:divBdr>
    </w:div>
    <w:div w:id="213906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sites/default/files/swd2021_305_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wto.org/english/tratop_e/serv_e/gatsintr_e.htm" TargetMode="External"/><Relationship Id="rId3" Type="http://schemas.openxmlformats.org/officeDocument/2006/relationships/hyperlink" Target="https://eur-lex.europa.eu/legal-content/EN/TXT/?uri=COM%3A2020%3A103%3AFIN" TargetMode="External"/><Relationship Id="rId7" Type="http://schemas.openxmlformats.org/officeDocument/2006/relationships/hyperlink" Target="https://futureu.europa.eu/pages/reporting" TargetMode="External"/><Relationship Id="rId2" Type="http://schemas.openxmlformats.org/officeDocument/2006/relationships/hyperlink" Target="https://eur-lex.europa.eu/legal-content/en/TXT/?uri=CELEX%3A52020DC0067" TargetMode="External"/><Relationship Id="rId1" Type="http://schemas.openxmlformats.org/officeDocument/2006/relationships/hyperlink" Target="https://ec.europa.eu/eurostat/statistics-explained/index.php?title=Tourism_statistics_-_annual_results_for_the_accommodation_sector%23Continuous_growth_in_the_tourist_accommodation_sector." TargetMode="External"/><Relationship Id="rId6" Type="http://schemas.openxmlformats.org/officeDocument/2006/relationships/hyperlink" Target="https://sdgs.un.org/goals" TargetMode="External"/><Relationship Id="rId11" Type="http://schemas.openxmlformats.org/officeDocument/2006/relationships/hyperlink" Target="https://www.europarl.europa.eu/doceo/document/TA-9-2021-0020_EN.html" TargetMode="External"/><Relationship Id="rId5" Type="http://schemas.openxmlformats.org/officeDocument/2006/relationships/hyperlink" Target="https://futurium.ec.europa.eu/en/urban-agenda/culturecultural-heritage/action-plan/final-action-plan-partnership-culturecultural-heritage" TargetMode="External"/><Relationship Id="rId10" Type="http://schemas.openxmlformats.org/officeDocument/2006/relationships/hyperlink" Target="https://data.consilium.europa.eu/doc/document/ST-9707-2019-INIT/en/pdf" TargetMode="External"/><Relationship Id="rId4" Type="http://schemas.openxmlformats.org/officeDocument/2006/relationships/hyperlink" Target="https://op.europa.eu/en/publication-detail/-/publication/404a8144-8892-11ec-8c40-01aa75ed71a1" TargetMode="External"/><Relationship Id="rId9" Type="http://schemas.openxmlformats.org/officeDocument/2006/relationships/hyperlink" Target="https://eur-lex.europa.eu/legal-content/EN/TXT/PDF/?uri=CELEX:52022DC0028&amp;fr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Reference xmlns="ff0f9928-5fc6-4a47-8920-46735db8db79" xsi:nil="true"/>
    <EC_Collab_DocumentLanguage xmlns="ff0f9928-5fc6-4a47-8920-46735db8db79">EN</EC_Collab_DocumentLanguage>
    <EC_Collab_Status xmlns="ff0f9928-5fc6-4a47-8920-46735db8db79">Not Started</EC_Collab_Status>
    <SharedWithUsers xmlns="77bfb09f-7861-46b2-b11d-48c69f4a02b5">
      <UserInfo>
        <DisplayName>MATAIJA Mislav</DisplayName>
        <AccountId>519</AccountId>
        <AccountType/>
      </UserInfo>
      <UserInfo>
        <DisplayName>MALFERRARI Luigi</DisplayName>
        <AccountId>260</AccountId>
        <AccountType/>
      </UserInfo>
      <UserInfo>
        <DisplayName>LOEWENTHAL Paul-John</DisplayName>
        <AccountId>286</AccountId>
        <AccountType/>
      </UserInfo>
      <UserInfo>
        <DisplayName>KALEDA Saulius Lukas</DisplayName>
        <AccountId>181</AccountId>
        <AccountType/>
      </UserInfo>
      <UserInfo>
        <DisplayName>ESCOBAR GOMEZ Maria</DisplayName>
        <AccountId>597</AccountId>
        <AccountType/>
      </UserInfo>
      <UserInfo>
        <DisplayName>ROELS Wim</DisplayName>
        <AccountId>269</AccountId>
        <AccountType/>
      </UserInfo>
      <UserInfo>
        <DisplayName>MAŁECKA Urszula</DisplayName>
        <AccountId>525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E6FD662DFF6DE40BB7756568E7A82AE" ma:contentTypeVersion="2" ma:contentTypeDescription="Create a new document in this library." ma:contentTypeScope="" ma:versionID="a34f9e96f552d0c0de55a0425fdb866a">
  <xsd:schema xmlns:xsd="http://www.w3.org/2001/XMLSchema" xmlns:xs="http://www.w3.org/2001/XMLSchema" xmlns:p="http://schemas.microsoft.com/office/2006/metadata/properties" xmlns:ns2="http://schemas.microsoft.com/sharepoint/v3/fields" xmlns:ns3="ff0f9928-5fc6-4a47-8920-46735db8db79" xmlns:ns4="77bfb09f-7861-46b2-b11d-48c69f4a02b5" targetNamespace="http://schemas.microsoft.com/office/2006/metadata/properties" ma:root="true" ma:fieldsID="9ecb4842d09abfceceb4996799fb7f5a" ns2:_="" ns3:_="" ns4:_="">
    <xsd:import namespace="http://schemas.microsoft.com/sharepoint/v3/fields"/>
    <xsd:import namespace="ff0f9928-5fc6-4a47-8920-46735db8db79"/>
    <xsd:import namespace="77bfb09f-7861-46b2-b11d-48c69f4a02b5"/>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f0f9928-5fc6-4a47-8920-46735db8db7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77bfb09f-7861-46b2-b11d-48c69f4a0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8013E6B-74E9-407B-A58C-C759DCB7EE6E}">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f0f9928-5fc6-4a47-8920-46735db8db79"/>
    <ds:schemaRef ds:uri="http://schemas.microsoft.com/office/2006/metadata/properties"/>
    <ds:schemaRef ds:uri="http://purl.org/dc/elements/1.1/"/>
    <ds:schemaRef ds:uri="77bfb09f-7861-46b2-b11d-48c69f4a02b5"/>
    <ds:schemaRef ds:uri="http://purl.org/dc/term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685A9B40-43B8-4E2C-834A-CF615CB87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f0f9928-5fc6-4a47-8920-46735db8db79"/>
    <ds:schemaRef ds:uri="77bfb09f-7861-46b2-b11d-48c69f4a0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F9188-F547-49C8-85B5-D5D50AFBEE1D}">
  <ds:schemaRefs>
    <ds:schemaRef ds:uri="http://schemas.microsoft.com/sharepoint/v3/contenttype/forms"/>
  </ds:schemaRefs>
</ds:datastoreItem>
</file>

<file path=customXml/itemProps4.xml><?xml version="1.0" encoding="utf-8"?>
<ds:datastoreItem xmlns:ds="http://schemas.openxmlformats.org/officeDocument/2006/customXml" ds:itemID="{84D50C51-E842-4313-B49F-16D45341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32</Pages>
  <Words>13264</Words>
  <Characters>74544</Characters>
  <Application>Microsoft Office Word</Application>
  <DocSecurity>0</DocSecurity>
  <Lines>1222</Lines>
  <Paragraphs>381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2022-10-13T16:52:00Z</cp:lastPrinted>
  <dcterms:created xsi:type="dcterms:W3CDTF">2022-11-03T12:07:00Z</dcterms:created>
  <dcterms:modified xsi:type="dcterms:W3CDTF">2022-11-03T14:57:00Z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 Build 20220128</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0x010100258AA79CEB83498886A3A0868112325000BE6FD662DFF6DE40BB7756568E7A82AE</vt:lpwstr>
  </property>
  <property fmtid="{D5CDD505-2E9C-101B-9397-08002B2CF9AE}" pid="10" name="Last edited using">
    <vt:lpwstr>LW 8.1, Build 20220902</vt:lpwstr>
  </property>
  <property fmtid="{D5CDD505-2E9C-101B-9397-08002B2CF9AE}" pid="11" name="DQCStatus">
    <vt:lpwstr>Red (DQC version 03)</vt:lpwstr>
  </property>
</Properties>
</file>