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1545D" w14:textId="5B40A420" w:rsidR="005C6BD9" w:rsidRDefault="00440524" w:rsidP="00440524">
      <w:pPr>
        <w:pStyle w:val="Pagedecouverture"/>
        <w:rPr>
          <w:noProof/>
        </w:rPr>
      </w:pPr>
      <w:bookmarkStart w:id="0" w:name="LW_BM_COVERPAGE"/>
      <w:r>
        <w:rPr>
          <w:noProof/>
        </w:rPr>
        <w:pict w14:anchorId="7766E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7C685B37-6A5E-4AB1-9E67-D7AF9C1FF7FC" style="width:455.25pt;height:378.75pt">
            <v:imagedata r:id="rId8" o:title=""/>
          </v:shape>
        </w:pict>
      </w:r>
    </w:p>
    <w:bookmarkEnd w:id="0"/>
    <w:p w14:paraId="0EC42BBF" w14:textId="77777777" w:rsidR="00105133" w:rsidRPr="00105133" w:rsidRDefault="00105133" w:rsidP="00105133">
      <w:pPr>
        <w:pStyle w:val="Pagedecouverture"/>
        <w:rPr>
          <w:noProof/>
        </w:rPr>
        <w:sectPr w:rsidR="00105133" w:rsidRPr="00105133" w:rsidSect="00440524">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391E7C73" w14:textId="77777777" w:rsidR="000746FB" w:rsidRPr="00577846" w:rsidRDefault="000746FB" w:rsidP="008A54AE">
      <w:pPr>
        <w:keepNext/>
        <w:tabs>
          <w:tab w:val="num" w:pos="482"/>
        </w:tabs>
        <w:spacing w:before="240" w:after="240" w:line="240" w:lineRule="auto"/>
        <w:ind w:left="482" w:hanging="482"/>
        <w:jc w:val="both"/>
        <w:outlineLvl w:val="0"/>
        <w:rPr>
          <w:rFonts w:ascii="Times New Roman" w:eastAsia="Times New Roman" w:hAnsi="Times New Roman" w:cs="Times New Roman"/>
          <w:b/>
          <w:smallCaps/>
          <w:noProof/>
          <w:sz w:val="24"/>
          <w:szCs w:val="20"/>
        </w:rPr>
      </w:pPr>
      <w:bookmarkStart w:id="1" w:name="_Hlk112662393"/>
      <w:bookmarkStart w:id="2" w:name="_GoBack"/>
      <w:bookmarkEnd w:id="2"/>
      <w:r>
        <w:rPr>
          <w:rFonts w:ascii="Times New Roman" w:hAnsi="Times New Roman"/>
          <w:b/>
          <w:smallCaps/>
          <w:noProof/>
          <w:sz w:val="24"/>
        </w:rPr>
        <w:lastRenderedPageBreak/>
        <w:t>1.</w:t>
      </w:r>
      <w:bookmarkEnd w:id="1"/>
      <w:r>
        <w:rPr>
          <w:rFonts w:ascii="Times New Roman" w:hAnsi="Times New Roman"/>
          <w:b/>
          <w:smallCaps/>
          <w:noProof/>
          <w:sz w:val="24"/>
        </w:rPr>
        <w:t xml:space="preserve"> UVOD I NAJVAŽNIJE TEME</w:t>
      </w:r>
    </w:p>
    <w:p w14:paraId="5A61EBAB" w14:textId="054B5CB0" w:rsidR="00903C42" w:rsidRDefault="00AC7545" w:rsidP="008A54AE">
      <w:pPr>
        <w:spacing w:after="240" w:line="240" w:lineRule="auto"/>
        <w:jc w:val="both"/>
        <w:rPr>
          <w:rFonts w:ascii="Times New Roman" w:eastAsia="MS Mincho" w:hAnsi="Times New Roman" w:cs="Times New Roman"/>
          <w:bCs/>
          <w:noProof/>
          <w:sz w:val="24"/>
          <w:szCs w:val="24"/>
        </w:rPr>
      </w:pPr>
      <w:r>
        <w:rPr>
          <w:rFonts w:ascii="Times New Roman" w:hAnsi="Times New Roman"/>
          <w:noProof/>
          <w:sz w:val="24"/>
        </w:rPr>
        <w:t xml:space="preserve">U izvješću o stanju energetske unije pruža se pregled najnovijeg razvoja politika i opis napretka koji je na razini Unije postignut prema ispunjavanju ciljeva energetske unije, uključujući ciljeve Unije za energiju i klimu do 2030. U </w:t>
      </w:r>
      <w:r>
        <w:rPr>
          <w:rFonts w:ascii="Times New Roman" w:hAnsi="Times New Roman"/>
          <w:b/>
          <w:noProof/>
          <w:sz w:val="24"/>
        </w:rPr>
        <w:t>izdanju izvješća za 2022. iznesen je pregled odgovora energetske politike EU-a na trenutačnu energetsku krizu</w:t>
      </w:r>
      <w:r>
        <w:rPr>
          <w:rFonts w:ascii="Times New Roman" w:hAnsi="Times New Roman"/>
          <w:noProof/>
          <w:sz w:val="24"/>
        </w:rPr>
        <w:t xml:space="preserve"> te su objašnjeni njegov opseg, očekivani učinci i usklađenost. Ovom su izvješću priloženi prijedlozi u kojima se razmatraju cijene energije i sigurnost opskrbe uoči ove zime.</w:t>
      </w:r>
    </w:p>
    <w:p w14:paraId="4AC27B09" w14:textId="293110E5" w:rsidR="00B823D5" w:rsidRPr="00577846" w:rsidRDefault="00B823D5" w:rsidP="008A54AE">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Ničim izazvana i neopravdana vojna agresija Rusije na Ukrajinu poremetila je energetska tržišta, što je dovelo do nestabilnosti cijena i energetske nesigurnosti u svijetu te je utjecalo na energetski sustav EU-a. EU i njegove države članice </w:t>
      </w:r>
      <w:r>
        <w:rPr>
          <w:rFonts w:ascii="Times New Roman" w:hAnsi="Times New Roman"/>
          <w:b/>
          <w:noProof/>
          <w:sz w:val="24"/>
        </w:rPr>
        <w:t>aktivno preoblikuju svoje energetske strategije</w:t>
      </w:r>
      <w:r>
        <w:rPr>
          <w:rFonts w:ascii="Times New Roman" w:hAnsi="Times New Roman"/>
          <w:noProof/>
          <w:sz w:val="24"/>
        </w:rPr>
        <w:t xml:space="preserve"> kako bi odražavale novu geopolitičku situaciju i odgovorile na potrebu za cjenovno pristupačnom energijom. To uključuje odlučnije mjere za povećanje opskrbe plinom iz zemalja koje su pouzdani partneri EU-a. </w:t>
      </w:r>
      <w:r>
        <w:rPr>
          <w:rFonts w:ascii="Times New Roman" w:hAnsi="Times New Roman"/>
          <w:b/>
          <w:noProof/>
          <w:sz w:val="24"/>
        </w:rPr>
        <w:t>Rekordno visoke cijene energije</w:t>
      </w:r>
      <w:r>
        <w:rPr>
          <w:rFonts w:ascii="Times New Roman" w:hAnsi="Times New Roman"/>
          <w:noProof/>
          <w:sz w:val="24"/>
        </w:rPr>
        <w:t xml:space="preserve"> od druge polovine 2021. dodatno su se povećale zbog sukoba jer je Rusija opskrbu energijom iskoristila kao oružje, a i rekordno visoke temperature u ljetnom razdoblju snažno su utjecale na njih. Nužno je </w:t>
      </w:r>
      <w:r>
        <w:rPr>
          <w:rFonts w:ascii="Times New Roman" w:hAnsi="Times New Roman"/>
          <w:b/>
          <w:noProof/>
          <w:sz w:val="24"/>
        </w:rPr>
        <w:t xml:space="preserve">ubrzati prelazak na čistu energiju te postići neovisnost o ruskoj energiji </w:t>
      </w:r>
      <w:r>
        <w:rPr>
          <w:rFonts w:ascii="Times New Roman" w:hAnsi="Times New Roman"/>
          <w:noProof/>
          <w:sz w:val="24"/>
        </w:rPr>
        <w:t>što prije</w:t>
      </w:r>
      <w:r>
        <w:rPr>
          <w:rFonts w:ascii="Times New Roman" w:eastAsia="Times New Roman" w:hAnsi="Times New Roman" w:cs="Times New Roman"/>
          <w:noProof/>
          <w:sz w:val="24"/>
          <w:szCs w:val="20"/>
          <w:vertAlign w:val="superscript"/>
        </w:rPr>
        <w:footnoteReference w:id="2"/>
      </w:r>
      <w:r>
        <w:rPr>
          <w:rFonts w:ascii="Times New Roman" w:hAnsi="Times New Roman"/>
          <w:noProof/>
          <w:sz w:val="24"/>
        </w:rPr>
        <w:t>, znatno prije kraja ovog desetljeća</w:t>
      </w:r>
      <w:r>
        <w:rPr>
          <w:rFonts w:ascii="Times New Roman" w:eastAsia="Times New Roman" w:hAnsi="Times New Roman" w:cs="Times New Roman"/>
          <w:noProof/>
          <w:sz w:val="24"/>
          <w:szCs w:val="20"/>
          <w:vertAlign w:val="superscript"/>
        </w:rPr>
        <w:footnoteReference w:id="3"/>
      </w:r>
      <w:r>
        <w:rPr>
          <w:rFonts w:ascii="Times New Roman" w:hAnsi="Times New Roman"/>
          <w:noProof/>
          <w:sz w:val="24"/>
        </w:rPr>
        <w:t xml:space="preserve">. </w:t>
      </w:r>
    </w:p>
    <w:p w14:paraId="21F6E70E" w14:textId="25D712D3" w:rsidR="00FD0DB6" w:rsidRPr="00577846" w:rsidRDefault="00440524" w:rsidP="008A54AE">
      <w:pPr>
        <w:spacing w:after="240" w:line="240" w:lineRule="auto"/>
        <w:jc w:val="both"/>
        <w:rPr>
          <w:rFonts w:ascii="Times New Roman" w:eastAsia="Times New Roman" w:hAnsi="Times New Roman" w:cs="Times New Roman"/>
          <w:noProof/>
          <w:sz w:val="24"/>
          <w:szCs w:val="20"/>
        </w:rPr>
      </w:pPr>
      <w:hyperlink r:id="rId15" w:history="1">
        <w:r w:rsidR="00FD0DB6">
          <w:rPr>
            <w:rStyle w:val="Hyperlink"/>
            <w:rFonts w:ascii="Times New Roman" w:hAnsi="Times New Roman"/>
            <w:b/>
            <w:noProof/>
            <w:sz w:val="24"/>
          </w:rPr>
          <w:t>Plan REPowerEU</w:t>
        </w:r>
        <w:r w:rsidR="00FD0DB6">
          <w:rPr>
            <w:rFonts w:ascii="Times New Roman" w:eastAsia="Times New Roman" w:hAnsi="Times New Roman" w:cs="Times New Roman"/>
            <w:b/>
            <w:bCs/>
            <w:noProof/>
            <w:sz w:val="24"/>
            <w:szCs w:val="20"/>
            <w:vertAlign w:val="superscript"/>
          </w:rPr>
          <w:footnoteReference w:id="4"/>
        </w:r>
      </w:hyperlink>
      <w:r w:rsidR="00FD0DB6">
        <w:rPr>
          <w:noProof/>
        </w:rPr>
        <w:t xml:space="preserve">, </w:t>
      </w:r>
      <w:r w:rsidR="00FD0DB6">
        <w:rPr>
          <w:rFonts w:ascii="Times New Roman" w:hAnsi="Times New Roman"/>
          <w:noProof/>
          <w:sz w:val="24"/>
        </w:rPr>
        <w:t>koji je Komisija predstavila u svibnju 2022., temelji se na potpunoj provedbi europskog zelenog plana i ključan je novi element odgovora europske politike na ovu situaciju bez presedana. Taj plan, donesen uz novu Zajedničku komunikaciju o vanjskom djelovanju EU-a u području energetike</w:t>
      </w:r>
      <w:r w:rsidR="00FD0DB6">
        <w:rPr>
          <w:rStyle w:val="FootnoteReference"/>
          <w:rFonts w:ascii="Times New Roman" w:eastAsia="Times New Roman" w:hAnsi="Times New Roman" w:cs="Times New Roman"/>
          <w:noProof/>
          <w:sz w:val="24"/>
          <w:szCs w:val="20"/>
        </w:rPr>
        <w:footnoteReference w:id="5"/>
      </w:r>
      <w:r w:rsidR="00FD0DB6">
        <w:rPr>
          <w:rFonts w:ascii="Times New Roman" w:hAnsi="Times New Roman"/>
          <w:noProof/>
          <w:sz w:val="24"/>
        </w:rPr>
        <w:t xml:space="preserve">, uključuje skup integriranih mjera za </w:t>
      </w:r>
      <w:r w:rsidR="00FD0DB6">
        <w:rPr>
          <w:rFonts w:ascii="Times New Roman" w:hAnsi="Times New Roman"/>
          <w:b/>
          <w:noProof/>
          <w:sz w:val="24"/>
        </w:rPr>
        <w:t>štednju energije, diversifikaciju i sigurnost opskrbe energijom, poticanje uvođenja energije iz obnovljivih izvora i pametno kombiniranje ulaganja i reformi.</w:t>
      </w:r>
      <w:r w:rsidR="00FD0DB6">
        <w:rPr>
          <w:rFonts w:ascii="Times New Roman" w:hAnsi="Times New Roman"/>
          <w:noProof/>
          <w:sz w:val="24"/>
        </w:rPr>
        <w:t xml:space="preserve"> Planom REPowerEU povećane su ambicije iz paketa prijedloga </w:t>
      </w:r>
      <w:r w:rsidR="00FD0DB6">
        <w:rPr>
          <w:rFonts w:ascii="Times New Roman" w:hAnsi="Times New Roman"/>
          <w:b/>
          <w:noProof/>
          <w:sz w:val="24"/>
        </w:rPr>
        <w:t>„Spremni za 55 %”</w:t>
      </w:r>
      <w:r w:rsidR="00FD0DB6">
        <w:rPr>
          <w:rFonts w:ascii="Times New Roman" w:hAnsi="Times New Roman"/>
          <w:noProof/>
          <w:sz w:val="24"/>
        </w:rPr>
        <w:t xml:space="preserve"> o energetskoj učinkovitosti i obnovljivim izvorima energije, koji su trenutačno u uznapredovaloj fazi pregovora o zakonodavstvu.</w:t>
      </w:r>
    </w:p>
    <w:p w14:paraId="180AD550" w14:textId="1514DC9D" w:rsidR="007C4087" w:rsidRPr="00577846" w:rsidRDefault="000746FB" w:rsidP="008A54AE">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Prije donošenja plana REPowerEU suzakonodavci su 27. lipnja 2022. donijeli Prijedlog </w:t>
      </w:r>
      <w:r>
        <w:rPr>
          <w:rFonts w:ascii="Times New Roman" w:hAnsi="Times New Roman"/>
          <w:b/>
          <w:noProof/>
          <w:sz w:val="24"/>
        </w:rPr>
        <w:t>uredbe o skladištenju plina</w:t>
      </w:r>
      <w:r>
        <w:rPr>
          <w:rFonts w:ascii="Times New Roman" w:eastAsia="Times New Roman" w:hAnsi="Times New Roman" w:cs="Times New Roman"/>
          <w:b/>
          <w:noProof/>
          <w:sz w:val="24"/>
          <w:szCs w:val="20"/>
          <w:vertAlign w:val="superscript"/>
        </w:rPr>
        <w:footnoteReference w:id="6"/>
      </w:r>
      <w:r>
        <w:rPr>
          <w:rFonts w:ascii="Times New Roman" w:hAnsi="Times New Roman"/>
          <w:noProof/>
          <w:sz w:val="24"/>
        </w:rPr>
        <w:t xml:space="preserve"> te je u travnju 2022. uspostavljena </w:t>
      </w:r>
      <w:r>
        <w:rPr>
          <w:rFonts w:ascii="Times New Roman" w:hAnsi="Times New Roman"/>
          <w:b/>
          <w:noProof/>
          <w:sz w:val="24"/>
        </w:rPr>
        <w:t>Platforma EU-a za energiju</w:t>
      </w:r>
      <w:r>
        <w:rPr>
          <w:rFonts w:ascii="Times New Roman" w:hAnsi="Times New Roman"/>
          <w:noProof/>
          <w:sz w:val="24"/>
        </w:rPr>
        <w:t xml:space="preserve">. Ubrzo su uslijedile hitne intervencije, uključujući Komunikaciju </w:t>
      </w:r>
      <w:r>
        <w:rPr>
          <w:rFonts w:ascii="Times New Roman" w:hAnsi="Times New Roman"/>
          <w:b/>
          <w:noProof/>
          <w:sz w:val="24"/>
        </w:rPr>
        <w:t>„Štednja plina za sigurnu zimu”</w:t>
      </w:r>
      <w:r>
        <w:rPr>
          <w:rFonts w:ascii="Times New Roman" w:eastAsia="Times New Roman" w:hAnsi="Times New Roman" w:cs="Times New Roman"/>
          <w:noProof/>
          <w:sz w:val="24"/>
          <w:szCs w:val="20"/>
          <w:vertAlign w:val="superscript"/>
        </w:rPr>
        <w:footnoteReference w:id="7"/>
      </w:r>
      <w:r>
        <w:rPr>
          <w:rFonts w:ascii="Times New Roman" w:hAnsi="Times New Roman"/>
          <w:noProof/>
          <w:sz w:val="24"/>
        </w:rPr>
        <w:t xml:space="preserve">, </w:t>
      </w:r>
      <w:r>
        <w:rPr>
          <w:rFonts w:ascii="Times New Roman" w:hAnsi="Times New Roman"/>
          <w:b/>
          <w:noProof/>
          <w:sz w:val="24"/>
        </w:rPr>
        <w:t>novi zakonodavni instrument</w:t>
      </w:r>
      <w:r>
        <w:rPr>
          <w:rFonts w:ascii="Times New Roman" w:hAnsi="Times New Roman"/>
          <w:noProof/>
          <w:sz w:val="24"/>
        </w:rPr>
        <w:t xml:space="preserve"> te </w:t>
      </w:r>
      <w:r>
        <w:rPr>
          <w:rFonts w:ascii="Times New Roman" w:hAnsi="Times New Roman"/>
          <w:b/>
          <w:noProof/>
          <w:sz w:val="24"/>
        </w:rPr>
        <w:t>Europski plan za smanjenje potražnje za plinom</w:t>
      </w:r>
      <w:r>
        <w:rPr>
          <w:rFonts w:ascii="Times New Roman" w:hAnsi="Times New Roman"/>
          <w:noProof/>
          <w:sz w:val="24"/>
        </w:rPr>
        <w:t xml:space="preserve"> radi smanjenja potražnje za plinom u Europi za 15 % do sljedećeg proljeća, kao i Prijedlog </w:t>
      </w:r>
      <w:r>
        <w:rPr>
          <w:rFonts w:ascii="Times New Roman" w:hAnsi="Times New Roman"/>
          <w:b/>
          <w:noProof/>
          <w:sz w:val="24"/>
        </w:rPr>
        <w:t>uredbe o hitnoj intervenciji za rješavanje problema visokih cijena energije</w:t>
      </w:r>
      <w:r>
        <w:rPr>
          <w:rStyle w:val="FootnoteReference"/>
          <w:rFonts w:ascii="Times New Roman" w:eastAsia="Times New Roman" w:hAnsi="Times New Roman" w:cs="Times New Roman"/>
          <w:b/>
          <w:noProof/>
          <w:sz w:val="24"/>
          <w:szCs w:val="20"/>
        </w:rPr>
        <w:footnoteReference w:id="8"/>
      </w:r>
      <w:r>
        <w:rPr>
          <w:rFonts w:ascii="Times New Roman" w:hAnsi="Times New Roman"/>
          <w:b/>
          <w:noProof/>
          <w:sz w:val="24"/>
        </w:rPr>
        <w:t xml:space="preserve">, </w:t>
      </w:r>
      <w:r>
        <w:rPr>
          <w:rFonts w:ascii="Times New Roman" w:hAnsi="Times New Roman"/>
          <w:noProof/>
          <w:sz w:val="24"/>
        </w:rPr>
        <w:t>koji je na političkoj razini prihvaćen na izvanrednoj sjednici Vijeća za energetiku 30. rujna. U Prilogu I. nalazi se pregled mjera poduzetih od listopada 2021. za rješavanje problema rasta cijena energije.</w:t>
      </w:r>
    </w:p>
    <w:p w14:paraId="72A60DA4" w14:textId="0C74C86A" w:rsidR="00472B20" w:rsidRDefault="00472B20" w:rsidP="008A54AE">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U izvješću o stanju energetske unije za 2022. naglašava se da će </w:t>
      </w:r>
      <w:r>
        <w:rPr>
          <w:rFonts w:ascii="Times New Roman" w:hAnsi="Times New Roman"/>
          <w:b/>
          <w:noProof/>
          <w:sz w:val="24"/>
        </w:rPr>
        <w:t>energetska unija</w:t>
      </w:r>
      <w:r>
        <w:rPr>
          <w:rFonts w:ascii="Times New Roman" w:hAnsi="Times New Roman"/>
          <w:noProof/>
          <w:sz w:val="24"/>
        </w:rPr>
        <w:t xml:space="preserve"> pomoći u ubrzavanju provedbe europskog zelenog plana te poticanju energetske sigurnosti, cjenovne pristupačnosti, uvođenja energije iz obnovljivih izvora te mjera štednje energije i energetske učinkovitosti. U njemu se razlažu i potpora koju EU pruža svojim susjedima te nova partnerstva uspostavljena kako bi se ubrzala globalna zelena i pravedna energetska tranzicija.</w:t>
      </w:r>
    </w:p>
    <w:p w14:paraId="625BF9C6" w14:textId="77777777" w:rsidR="00EC3F86" w:rsidRPr="00EF5A18" w:rsidRDefault="00EC3F86" w:rsidP="00EC3F86">
      <w:pPr>
        <w:spacing w:before="240" w:after="240" w:line="240" w:lineRule="auto"/>
        <w:jc w:val="both"/>
        <w:rPr>
          <w:rFonts w:ascii="Times New Roman" w:eastAsia="Times New Roman" w:hAnsi="Times New Roman" w:cs="Times New Roman"/>
          <w:noProof/>
          <w:sz w:val="24"/>
          <w:szCs w:val="20"/>
        </w:rPr>
      </w:pPr>
      <w:r>
        <w:rPr>
          <w:rFonts w:ascii="Times New Roman" w:hAnsi="Times New Roman"/>
          <w:noProof/>
          <w:sz w:val="24"/>
        </w:rPr>
        <w:t>Komisija će uz ovo izvješće objaviti i prikaze stanja energetskog sektora za svaku državu članicu, koji pružaju sveobuhvatan pregled njihove situacije u pogledu energije. Uskoro će biti objavljeni prilozi izvješću o stanju energetske unije 2022.:</w:t>
      </w:r>
    </w:p>
    <w:p w14:paraId="42CDDB8F" w14:textId="2535981E" w:rsidR="00817C1C" w:rsidRPr="00817C1C" w:rsidRDefault="00817C1C" w:rsidP="00817C1C">
      <w:pPr>
        <w:pStyle w:val="ListParagraph"/>
        <w:numPr>
          <w:ilvl w:val="0"/>
          <w:numId w:val="2"/>
        </w:num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Izvješće o subvencijama za energiju u EU-u za 2022.,</w:t>
      </w:r>
    </w:p>
    <w:p w14:paraId="09B27266" w14:textId="77777777" w:rsidR="00817C1C" w:rsidRDefault="00817C1C" w:rsidP="00817C1C">
      <w:pPr>
        <w:pStyle w:val="ListParagraph"/>
        <w:numPr>
          <w:ilvl w:val="0"/>
          <w:numId w:val="2"/>
        </w:num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Izvješće o djelovanju EU-a u području klime za 2022.,</w:t>
      </w:r>
    </w:p>
    <w:p w14:paraId="27817E4F" w14:textId="77777777" w:rsidR="00817C1C" w:rsidRDefault="00817C1C" w:rsidP="00817C1C">
      <w:pPr>
        <w:pStyle w:val="ListParagraph"/>
        <w:numPr>
          <w:ilvl w:val="0"/>
          <w:numId w:val="2"/>
        </w:num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Izvješće o postizanju ciljeva u području energije iz obnovljivih izvora do 2020. za 2022.,</w:t>
      </w:r>
    </w:p>
    <w:p w14:paraId="47921C45" w14:textId="6A966A86" w:rsidR="00817C1C" w:rsidRPr="00817C1C" w:rsidRDefault="00817C1C" w:rsidP="00817C1C">
      <w:pPr>
        <w:pStyle w:val="ListParagraph"/>
        <w:numPr>
          <w:ilvl w:val="0"/>
          <w:numId w:val="2"/>
        </w:num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Izvješće o postizanju ciljeva u području energetske učinkovitosti do 2020. za 2022.,</w:t>
      </w:r>
    </w:p>
    <w:p w14:paraId="61C71082" w14:textId="77777777" w:rsidR="00817C1C" w:rsidRDefault="00817C1C" w:rsidP="00817C1C">
      <w:pPr>
        <w:pStyle w:val="ListParagraph"/>
        <w:numPr>
          <w:ilvl w:val="0"/>
          <w:numId w:val="2"/>
        </w:num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Smjernice o raspodjeli troškova i koristi u prekograničnim projektima suradnje u području energije iz obnovljivih izvora,</w:t>
      </w:r>
    </w:p>
    <w:p w14:paraId="54BE5D3D" w14:textId="77777777" w:rsidR="00817C1C" w:rsidRPr="00817C1C" w:rsidRDefault="00817C1C" w:rsidP="00817C1C">
      <w:pPr>
        <w:pStyle w:val="ListParagraph"/>
        <w:numPr>
          <w:ilvl w:val="0"/>
          <w:numId w:val="2"/>
        </w:num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Izvješće o izvršenju potpora za električnu energiju iz obnovljivih izvora dodijeljenih u okviru natječajnih postupaka,</w:t>
      </w:r>
    </w:p>
    <w:p w14:paraId="3A83EDEB" w14:textId="77777777" w:rsidR="00817C1C" w:rsidRDefault="00EC3F86" w:rsidP="00817C1C">
      <w:pPr>
        <w:pStyle w:val="ListParagraph"/>
        <w:numPr>
          <w:ilvl w:val="0"/>
          <w:numId w:val="2"/>
        </w:num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Izvješće o napretku u području konkurentnosti tehnologija čiste energije,</w:t>
      </w:r>
    </w:p>
    <w:p w14:paraId="41BC7F7F" w14:textId="764C3DCE" w:rsidR="00EC3F86" w:rsidRPr="00817C1C" w:rsidRDefault="00EC3F86" w:rsidP="00817C1C">
      <w:pPr>
        <w:pStyle w:val="ListParagraph"/>
        <w:numPr>
          <w:ilvl w:val="0"/>
          <w:numId w:val="2"/>
        </w:num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Izvješće o kakvoći goriva,</w:t>
      </w:r>
    </w:p>
    <w:p w14:paraId="7773F96F" w14:textId="40FEDE31" w:rsidR="00EC3F86" w:rsidRPr="00817C1C" w:rsidRDefault="00EC3F86" w:rsidP="00817C1C">
      <w:pPr>
        <w:pStyle w:val="ListParagraph"/>
        <w:numPr>
          <w:ilvl w:val="0"/>
          <w:numId w:val="2"/>
        </w:num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Izvješće o funkcioniranju tržišta ugljika (ETS).</w:t>
      </w:r>
    </w:p>
    <w:p w14:paraId="1262D87F" w14:textId="77777777" w:rsidR="00A3097E" w:rsidRPr="00A3097E" w:rsidRDefault="00A3097E" w:rsidP="0094757D">
      <w:pPr>
        <w:pBdr>
          <w:top w:val="single" w:sz="4" w:space="1" w:color="auto"/>
          <w:left w:val="single" w:sz="4" w:space="4" w:color="auto"/>
          <w:bottom w:val="single" w:sz="4" w:space="1" w:color="auto"/>
          <w:right w:val="single" w:sz="4" w:space="4" w:color="auto"/>
        </w:pBdr>
        <w:spacing w:after="240" w:line="240" w:lineRule="auto"/>
        <w:jc w:val="center"/>
        <w:rPr>
          <w:rFonts w:ascii="Times New Roman" w:eastAsia="Times New Roman" w:hAnsi="Times New Roman" w:cs="Times New Roman"/>
          <w:b/>
          <w:bCs/>
          <w:i/>
          <w:iCs/>
          <w:noProof/>
          <w:sz w:val="24"/>
          <w:szCs w:val="20"/>
        </w:rPr>
      </w:pPr>
      <w:r>
        <w:rPr>
          <w:rFonts w:ascii="Times New Roman" w:hAnsi="Times New Roman"/>
          <w:b/>
          <w:i/>
          <w:noProof/>
          <w:sz w:val="24"/>
        </w:rPr>
        <w:t>Stanje energetske unije 2022. – glavni zaključci</w:t>
      </w:r>
    </w:p>
    <w:p w14:paraId="75183AF4" w14:textId="158F615C" w:rsidR="0084303C" w:rsidRPr="00AA130B" w:rsidRDefault="0084303C" w:rsidP="0084303C">
      <w:pPr>
        <w:numPr>
          <w:ilvl w:val="0"/>
          <w:numId w:val="3"/>
        </w:numPr>
        <w:pBdr>
          <w:top w:val="single" w:sz="4" w:space="1" w:color="auto"/>
          <w:left w:val="single" w:sz="4" w:space="4" w:color="auto"/>
          <w:bottom w:val="single" w:sz="4" w:space="1" w:color="auto"/>
          <w:right w:val="single" w:sz="4" w:space="4" w:color="auto"/>
        </w:pBdr>
        <w:spacing w:after="240" w:line="240" w:lineRule="auto"/>
        <w:ind w:left="360"/>
        <w:jc w:val="both"/>
        <w:rPr>
          <w:rFonts w:ascii="Times New Roman" w:eastAsia="Times New Roman" w:hAnsi="Times New Roman" w:cs="Times New Roman"/>
          <w:i/>
          <w:noProof/>
          <w:sz w:val="24"/>
          <w:szCs w:val="20"/>
        </w:rPr>
      </w:pPr>
      <w:r>
        <w:rPr>
          <w:rFonts w:ascii="Times New Roman" w:hAnsi="Times New Roman"/>
          <w:b/>
          <w:i/>
          <w:noProof/>
          <w:sz w:val="24"/>
        </w:rPr>
        <w:t>Trenutačne visoke i nestabilne cijene energije utječu na potrošače</w:t>
      </w:r>
      <w:r>
        <w:rPr>
          <w:rFonts w:ascii="Times New Roman" w:hAnsi="Times New Roman"/>
          <w:i/>
          <w:noProof/>
          <w:sz w:val="24"/>
        </w:rPr>
        <w:t xml:space="preserve"> u svim državama članicama EU-a, što utječe na kućanstva s niskim dohotkom, ali i na kućanstva s nižim srednjim dohotkom, MSP-ove i industrije. U razdoblju od 2019. do 2022. udio izdataka za energiju u državama članicama EU-a</w:t>
      </w:r>
      <w:r>
        <w:rPr>
          <w:rFonts w:ascii="Times New Roman" w:eastAsia="Times New Roman" w:hAnsi="Times New Roman" w:cs="Times New Roman"/>
          <w:i/>
          <w:noProof/>
          <w:sz w:val="24"/>
          <w:szCs w:val="20"/>
          <w:vertAlign w:val="superscript"/>
        </w:rPr>
        <w:footnoteReference w:id="9"/>
      </w:r>
      <w:r>
        <w:rPr>
          <w:rFonts w:ascii="Times New Roman" w:hAnsi="Times New Roman"/>
          <w:i/>
          <w:noProof/>
          <w:sz w:val="24"/>
        </w:rPr>
        <w:t xml:space="preserve"> u prosjeku se povećao za više od trećine, a u nekim se zemljama gotovo udvostručio</w:t>
      </w:r>
      <w:r>
        <w:rPr>
          <w:rFonts w:ascii="Times New Roman" w:eastAsia="Times New Roman" w:hAnsi="Times New Roman" w:cs="Times New Roman"/>
          <w:i/>
          <w:noProof/>
          <w:sz w:val="24"/>
          <w:szCs w:val="20"/>
          <w:vertAlign w:val="superscript"/>
        </w:rPr>
        <w:footnoteReference w:id="10"/>
      </w:r>
      <w:r>
        <w:rPr>
          <w:rFonts w:ascii="Times New Roman" w:hAnsi="Times New Roman"/>
          <w:i/>
          <w:noProof/>
          <w:sz w:val="24"/>
        </w:rPr>
        <w:t xml:space="preserve">. Prema </w:t>
      </w:r>
      <w:hyperlink r:id="rId16" w:history="1">
        <w:r>
          <w:rPr>
            <w:rStyle w:val="Hyperlink"/>
            <w:rFonts w:ascii="Times New Roman" w:hAnsi="Times New Roman"/>
            <w:i/>
            <w:noProof/>
            <w:color w:val="auto"/>
            <w:sz w:val="24"/>
          </w:rPr>
          <w:t>podacima Eurostata</w:t>
        </w:r>
      </w:hyperlink>
      <w:r>
        <w:rPr>
          <w:rFonts w:ascii="Times New Roman" w:hAnsi="Times New Roman"/>
          <w:i/>
          <w:noProof/>
          <w:sz w:val="24"/>
        </w:rPr>
        <w:t xml:space="preserve"> otprilike 35 milijuna građana EU-a (približno 8 % stanovništva EU-a) nije moglo održavati svoje domove dovoljno toplima 2020. Povećanje </w:t>
      </w:r>
      <w:hyperlink r:id="rId17" w:history="1">
        <w:r>
          <w:rPr>
            <w:rStyle w:val="Hyperlink"/>
            <w:rFonts w:ascii="Times New Roman" w:hAnsi="Times New Roman"/>
            <w:i/>
            <w:noProof/>
            <w:color w:val="auto"/>
            <w:sz w:val="24"/>
          </w:rPr>
          <w:t>cijena energije</w:t>
        </w:r>
      </w:hyperlink>
      <w:r>
        <w:rPr>
          <w:rFonts w:ascii="Times New Roman" w:hAnsi="Times New Roman"/>
          <w:i/>
          <w:noProof/>
          <w:sz w:val="24"/>
        </w:rPr>
        <w:t xml:space="preserve"> 2021., koje su se dodatno povećale nakon ruske invazije na Ukrajinu u veljači 2022., vjerojatno je u kombinaciji s posljedicama krize uzrokovane bolešću COVID-19 pogoršalo ionako tešku situaciju za mnoge građane EU-a.</w:t>
      </w:r>
    </w:p>
    <w:p w14:paraId="3D9A9309" w14:textId="6503E5DE" w:rsidR="0084303C" w:rsidRPr="00AA130B" w:rsidRDefault="0084303C" w:rsidP="0084303C">
      <w:pPr>
        <w:numPr>
          <w:ilvl w:val="0"/>
          <w:numId w:val="3"/>
        </w:numPr>
        <w:pBdr>
          <w:top w:val="single" w:sz="4" w:space="1" w:color="auto"/>
          <w:left w:val="single" w:sz="4" w:space="4" w:color="auto"/>
          <w:bottom w:val="single" w:sz="4" w:space="1" w:color="auto"/>
          <w:right w:val="single" w:sz="4" w:space="4" w:color="auto"/>
        </w:pBdr>
        <w:spacing w:after="240" w:line="240" w:lineRule="auto"/>
        <w:ind w:left="360"/>
        <w:jc w:val="both"/>
        <w:rPr>
          <w:rFonts w:ascii="Times New Roman" w:eastAsia="Times New Roman" w:hAnsi="Times New Roman" w:cs="Times New Roman"/>
          <w:i/>
          <w:noProof/>
          <w:sz w:val="24"/>
          <w:szCs w:val="20"/>
        </w:rPr>
      </w:pPr>
      <w:r>
        <w:rPr>
          <w:rFonts w:ascii="Times New Roman" w:hAnsi="Times New Roman"/>
          <w:b/>
          <w:i/>
          <w:noProof/>
          <w:sz w:val="24"/>
        </w:rPr>
        <w:t>Sve su države članice provele mjere za rješavanje problema viših cijena energije.</w:t>
      </w:r>
      <w:r>
        <w:rPr>
          <w:rFonts w:ascii="Times New Roman" w:hAnsi="Times New Roman"/>
          <w:i/>
          <w:noProof/>
          <w:sz w:val="24"/>
        </w:rPr>
        <w:t xml:space="preserve"> Donesene su nacionalne mjere povezane s Komisijinim </w:t>
      </w:r>
      <w:r>
        <w:rPr>
          <w:rFonts w:ascii="Times New Roman" w:hAnsi="Times New Roman"/>
          <w:b/>
          <w:i/>
          <w:noProof/>
          <w:sz w:val="24"/>
        </w:rPr>
        <w:t>„Paketom mjera za djelovanje i potporu za suočavanje s rastom cijena energije”</w:t>
      </w:r>
      <w:r>
        <w:rPr>
          <w:rFonts w:ascii="Times New Roman" w:eastAsia="Times New Roman" w:hAnsi="Times New Roman" w:cs="Times New Roman"/>
          <w:b/>
          <w:bCs/>
          <w:i/>
          <w:iCs/>
          <w:noProof/>
          <w:sz w:val="24"/>
          <w:szCs w:val="20"/>
          <w:vertAlign w:val="superscript"/>
        </w:rPr>
        <w:footnoteReference w:id="11"/>
      </w:r>
      <w:r>
        <w:rPr>
          <w:rFonts w:ascii="Times New Roman" w:hAnsi="Times New Roman"/>
          <w:i/>
          <w:noProof/>
          <w:sz w:val="24"/>
        </w:rPr>
        <w:t xml:space="preserve"> iz listopada 2021. kako bi se spriječila kriza. Na primjer, utvrđene su regulirane cijene / socijalne tarife te su uvedeni vaučeri za energiju i privremene subvencije za privatne potrošače i poslovne potrošače (uključujući MSP-ove i industrije). Smanjenje poreza povezanih s energijom i mrežnih tarifa dodatne su ključne mjere koje države članice poduzimaju kako bi ublažile posljedice viših cijena energije na krajnjeg potrošača. U nekoliko slučajeva uvedene su subvencije za fosilna goriva, koje će vjerojatno utjecati na ciljeve i obveze EU-a.</w:t>
      </w:r>
    </w:p>
    <w:p w14:paraId="642B9E96" w14:textId="38CF3447" w:rsidR="005331B3" w:rsidRPr="00AA130B" w:rsidRDefault="005331B3" w:rsidP="005331B3">
      <w:pPr>
        <w:numPr>
          <w:ilvl w:val="0"/>
          <w:numId w:val="3"/>
        </w:numPr>
        <w:pBdr>
          <w:top w:val="single" w:sz="4" w:space="1" w:color="auto"/>
          <w:left w:val="single" w:sz="4" w:space="4" w:color="auto"/>
          <w:bottom w:val="single" w:sz="4" w:space="1" w:color="auto"/>
          <w:right w:val="single" w:sz="4" w:space="4" w:color="auto"/>
        </w:pBdr>
        <w:spacing w:after="240" w:line="240" w:lineRule="auto"/>
        <w:ind w:left="360"/>
        <w:jc w:val="both"/>
        <w:rPr>
          <w:rFonts w:ascii="Times New Roman" w:eastAsia="Times New Roman" w:hAnsi="Times New Roman" w:cs="Times New Roman"/>
          <w:bCs/>
          <w:i/>
          <w:iCs/>
          <w:noProof/>
          <w:sz w:val="24"/>
          <w:szCs w:val="20"/>
        </w:rPr>
      </w:pPr>
      <w:r>
        <w:rPr>
          <w:rFonts w:ascii="Times New Roman" w:hAnsi="Times New Roman"/>
          <w:b/>
          <w:noProof/>
          <w:sz w:val="24"/>
        </w:rPr>
        <w:t xml:space="preserve">Skladišta plina </w:t>
      </w:r>
      <w:r>
        <w:rPr>
          <w:rFonts w:ascii="Times New Roman" w:hAnsi="Times New Roman"/>
          <w:b/>
          <w:i/>
          <w:noProof/>
          <w:sz w:val="24"/>
        </w:rPr>
        <w:t>u EU-u</w:t>
      </w:r>
      <w:r>
        <w:rPr>
          <w:rFonts w:ascii="Times New Roman" w:hAnsi="Times New Roman"/>
          <w:b/>
          <w:noProof/>
          <w:sz w:val="24"/>
        </w:rPr>
        <w:t xml:space="preserve"> sredinom listopada napunjena su više od 91 %</w:t>
      </w:r>
      <w:r>
        <w:rPr>
          <w:rFonts w:ascii="Times New Roman" w:hAnsi="Times New Roman"/>
          <w:noProof/>
          <w:sz w:val="24"/>
        </w:rPr>
        <w:t>.</w:t>
      </w:r>
      <w:r>
        <w:rPr>
          <w:rFonts w:ascii="Times New Roman" w:hAnsi="Times New Roman"/>
          <w:b/>
          <w:i/>
          <w:noProof/>
          <w:sz w:val="24"/>
        </w:rPr>
        <w:t xml:space="preserve"> </w:t>
      </w:r>
      <w:r>
        <w:rPr>
          <w:rFonts w:ascii="Times New Roman" w:hAnsi="Times New Roman"/>
          <w:i/>
          <w:noProof/>
          <w:sz w:val="24"/>
        </w:rPr>
        <w:t>Do 5 listopada 2022. 14 država članica već je znatno premašilo cilj da do 1. studenoga 2022. postigne popunjenost od 80 %.</w:t>
      </w:r>
    </w:p>
    <w:p w14:paraId="6E07856D" w14:textId="7249F412" w:rsidR="0084303C" w:rsidRPr="00AA130B" w:rsidRDefault="0011780A" w:rsidP="0084303C">
      <w:pPr>
        <w:numPr>
          <w:ilvl w:val="0"/>
          <w:numId w:val="3"/>
        </w:numPr>
        <w:pBdr>
          <w:top w:val="single" w:sz="4" w:space="1" w:color="auto"/>
          <w:left w:val="single" w:sz="4" w:space="4" w:color="auto"/>
          <w:bottom w:val="single" w:sz="4" w:space="1" w:color="auto"/>
          <w:right w:val="single" w:sz="4" w:space="4" w:color="auto"/>
        </w:pBdr>
        <w:spacing w:after="240" w:line="240" w:lineRule="auto"/>
        <w:ind w:left="360"/>
        <w:jc w:val="both"/>
        <w:rPr>
          <w:rFonts w:ascii="Times New Roman" w:eastAsia="Times New Roman" w:hAnsi="Times New Roman" w:cs="Times New Roman"/>
          <w:bCs/>
          <w:i/>
          <w:iCs/>
          <w:noProof/>
          <w:sz w:val="24"/>
          <w:szCs w:val="20"/>
        </w:rPr>
      </w:pPr>
      <w:r>
        <w:rPr>
          <w:rFonts w:ascii="Times New Roman" w:hAnsi="Times New Roman"/>
          <w:b/>
          <w:bCs/>
          <w:i/>
          <w:noProof/>
          <w:sz w:val="24"/>
        </w:rPr>
        <w:t>Udio plina iz ruskih plinovoda u uvozu EU-a smanjio se s 41 %</w:t>
      </w:r>
      <w:r>
        <w:rPr>
          <w:rFonts w:ascii="Times New Roman" w:hAnsi="Times New Roman"/>
          <w:i/>
          <w:noProof/>
          <w:sz w:val="24"/>
        </w:rPr>
        <w:t xml:space="preserve"> u 2021. </w:t>
      </w:r>
      <w:r>
        <w:rPr>
          <w:rFonts w:ascii="Times New Roman" w:hAnsi="Times New Roman"/>
          <w:b/>
          <w:bCs/>
          <w:i/>
          <w:noProof/>
          <w:sz w:val="24"/>
        </w:rPr>
        <w:t>na 9 %</w:t>
      </w:r>
      <w:r>
        <w:rPr>
          <w:rFonts w:ascii="Times New Roman" w:hAnsi="Times New Roman"/>
          <w:i/>
          <w:noProof/>
          <w:sz w:val="24"/>
        </w:rPr>
        <w:t xml:space="preserve"> u rujnu 2022. Ukapljeni prirodni plin (UPP) </w:t>
      </w:r>
      <w:r>
        <w:rPr>
          <w:rFonts w:ascii="Times New Roman" w:hAnsi="Times New Roman"/>
          <w:b/>
          <w:i/>
          <w:noProof/>
          <w:sz w:val="24"/>
        </w:rPr>
        <w:t xml:space="preserve">sad je glavni izvor opskrbe </w:t>
      </w:r>
      <w:r>
        <w:rPr>
          <w:rFonts w:ascii="Times New Roman" w:hAnsi="Times New Roman"/>
          <w:i/>
          <w:noProof/>
          <w:sz w:val="24"/>
        </w:rPr>
        <w:t>te čini 32 % ukupnog neto uvoza plina u EU.</w:t>
      </w:r>
    </w:p>
    <w:p w14:paraId="798D0F2F" w14:textId="1A255339" w:rsidR="0084303C" w:rsidRPr="00AA130B" w:rsidRDefault="0084303C" w:rsidP="0084303C">
      <w:pPr>
        <w:numPr>
          <w:ilvl w:val="0"/>
          <w:numId w:val="3"/>
        </w:numPr>
        <w:pBdr>
          <w:top w:val="single" w:sz="4" w:space="1" w:color="auto"/>
          <w:left w:val="single" w:sz="4" w:space="4" w:color="auto"/>
          <w:bottom w:val="single" w:sz="4" w:space="1" w:color="auto"/>
          <w:right w:val="single" w:sz="4" w:space="4" w:color="auto"/>
        </w:pBdr>
        <w:spacing w:after="240" w:line="240" w:lineRule="auto"/>
        <w:ind w:left="360"/>
        <w:jc w:val="both"/>
        <w:rPr>
          <w:rFonts w:ascii="Times New Roman" w:eastAsia="Times New Roman" w:hAnsi="Times New Roman" w:cs="Times New Roman"/>
          <w:noProof/>
          <w:sz w:val="24"/>
          <w:szCs w:val="20"/>
        </w:rPr>
      </w:pPr>
      <w:r>
        <w:rPr>
          <w:rFonts w:ascii="Times New Roman" w:hAnsi="Times New Roman"/>
          <w:i/>
          <w:noProof/>
          <w:sz w:val="24"/>
        </w:rPr>
        <w:t xml:space="preserve">Godine 2021. </w:t>
      </w:r>
      <w:r>
        <w:rPr>
          <w:rFonts w:ascii="Times New Roman" w:hAnsi="Times New Roman"/>
          <w:b/>
          <w:i/>
          <w:noProof/>
          <w:sz w:val="24"/>
        </w:rPr>
        <w:t>broj subvencija za naftu, ugljen i plin neznatno se povećao</w:t>
      </w:r>
      <w:r>
        <w:rPr>
          <w:rFonts w:ascii="Times New Roman" w:hAnsi="Times New Roman"/>
          <w:i/>
          <w:noProof/>
          <w:sz w:val="24"/>
        </w:rPr>
        <w:t xml:space="preserve">, a broj subvencija za proizvodnju električne energije iz fosilnih goriva smanjio se, pri čemu je broj subvencija za fosilna goriva općenito ostao prilično stabilan. </w:t>
      </w:r>
      <w:r>
        <w:rPr>
          <w:rFonts w:ascii="Times New Roman" w:hAnsi="Times New Roman"/>
          <w:noProof/>
          <w:sz w:val="24"/>
        </w:rPr>
        <w:t xml:space="preserve"> </w:t>
      </w:r>
      <w:r>
        <w:rPr>
          <w:rFonts w:ascii="Times New Roman" w:hAnsi="Times New Roman"/>
          <w:b/>
          <w:i/>
          <w:noProof/>
          <w:sz w:val="24"/>
        </w:rPr>
        <w:t>Broj subvencija za energiju iz obnovljivih izvora</w:t>
      </w:r>
      <w:r>
        <w:rPr>
          <w:rFonts w:ascii="Times New Roman" w:hAnsi="Times New Roman"/>
          <w:i/>
          <w:noProof/>
          <w:sz w:val="24"/>
        </w:rPr>
        <w:t xml:space="preserve"> povećao se 2020. za 7 % te </w:t>
      </w:r>
      <w:r>
        <w:rPr>
          <w:rFonts w:ascii="Times New Roman" w:hAnsi="Times New Roman"/>
          <w:b/>
          <w:i/>
          <w:noProof/>
          <w:sz w:val="24"/>
        </w:rPr>
        <w:t>se neznatno smanjio 2021.</w:t>
      </w:r>
      <w:r>
        <w:rPr>
          <w:rFonts w:ascii="Times New Roman" w:hAnsi="Times New Roman"/>
          <w:i/>
          <w:noProof/>
          <w:sz w:val="24"/>
        </w:rPr>
        <w:t xml:space="preserve"> </w:t>
      </w:r>
      <w:r>
        <w:rPr>
          <w:rFonts w:ascii="Times New Roman" w:hAnsi="Times New Roman"/>
          <w:b/>
          <w:i/>
          <w:noProof/>
          <w:sz w:val="24"/>
        </w:rPr>
        <w:t>Broj subvencija za energetsku učinkovitost</w:t>
      </w:r>
      <w:r>
        <w:rPr>
          <w:rFonts w:ascii="Times New Roman" w:hAnsi="Times New Roman"/>
          <w:i/>
          <w:noProof/>
          <w:sz w:val="24"/>
        </w:rPr>
        <w:t xml:space="preserve"> smanjio se 2020., ali </w:t>
      </w:r>
      <w:r>
        <w:rPr>
          <w:rFonts w:ascii="Times New Roman" w:hAnsi="Times New Roman"/>
          <w:b/>
          <w:i/>
          <w:noProof/>
          <w:sz w:val="24"/>
        </w:rPr>
        <w:t>ponovno se</w:t>
      </w:r>
      <w:r>
        <w:rPr>
          <w:rFonts w:ascii="Times New Roman" w:hAnsi="Times New Roman"/>
          <w:i/>
          <w:noProof/>
          <w:sz w:val="24"/>
        </w:rPr>
        <w:t xml:space="preserve"> </w:t>
      </w:r>
      <w:r>
        <w:rPr>
          <w:rFonts w:ascii="Times New Roman" w:hAnsi="Times New Roman"/>
          <w:b/>
          <w:i/>
          <w:noProof/>
          <w:sz w:val="24"/>
        </w:rPr>
        <w:t>povećao 2021</w:t>
      </w:r>
      <w:r>
        <w:rPr>
          <w:rFonts w:ascii="Times New Roman" w:hAnsi="Times New Roman"/>
          <w:i/>
          <w:noProof/>
          <w:sz w:val="24"/>
        </w:rPr>
        <w:t>.</w:t>
      </w:r>
    </w:p>
    <w:p w14:paraId="338C65ED" w14:textId="77777777" w:rsidR="00A3097E" w:rsidRDefault="00A3097E" w:rsidP="00D47ACE">
      <w:pPr>
        <w:numPr>
          <w:ilvl w:val="0"/>
          <w:numId w:val="3"/>
        </w:numPr>
        <w:pBdr>
          <w:top w:val="single" w:sz="4" w:space="1" w:color="auto"/>
          <w:left w:val="single" w:sz="4" w:space="4" w:color="auto"/>
          <w:bottom w:val="single" w:sz="4" w:space="1" w:color="auto"/>
          <w:right w:val="single" w:sz="4" w:space="4" w:color="auto"/>
        </w:pBdr>
        <w:spacing w:after="240" w:line="240" w:lineRule="auto"/>
        <w:ind w:left="360"/>
        <w:jc w:val="both"/>
        <w:rPr>
          <w:rFonts w:ascii="Times New Roman" w:eastAsia="Times New Roman" w:hAnsi="Times New Roman" w:cs="Times New Roman"/>
          <w:i/>
          <w:noProof/>
          <w:sz w:val="24"/>
          <w:szCs w:val="20"/>
        </w:rPr>
      </w:pPr>
      <w:r>
        <w:rPr>
          <w:rFonts w:ascii="Times New Roman" w:hAnsi="Times New Roman"/>
          <w:b/>
          <w:i/>
          <w:noProof/>
          <w:sz w:val="24"/>
        </w:rPr>
        <w:t>EU</w:t>
      </w:r>
      <w:r>
        <w:rPr>
          <w:rFonts w:ascii="Times New Roman" w:hAnsi="Times New Roman"/>
          <w:i/>
          <w:noProof/>
          <w:sz w:val="24"/>
        </w:rPr>
        <w:t xml:space="preserve"> je postigao smanjenje domaćih neto emisija stakleničkih plinova od 32 % (to ne uključuje sektor LULUCF</w:t>
      </w:r>
      <w:r>
        <w:rPr>
          <w:rFonts w:ascii="Times New Roman" w:eastAsia="Times New Roman" w:hAnsi="Times New Roman" w:cs="Times New Roman"/>
          <w:bCs/>
          <w:i/>
          <w:iCs/>
          <w:noProof/>
          <w:sz w:val="24"/>
          <w:szCs w:val="20"/>
          <w:vertAlign w:val="superscript"/>
        </w:rPr>
        <w:footnoteReference w:id="12"/>
      </w:r>
      <w:r>
        <w:rPr>
          <w:rFonts w:ascii="Times New Roman" w:hAnsi="Times New Roman"/>
          <w:i/>
          <w:noProof/>
          <w:sz w:val="24"/>
        </w:rPr>
        <w:t>) u 2020., čime</w:t>
      </w:r>
      <w:r>
        <w:rPr>
          <w:rFonts w:ascii="Times New Roman" w:hAnsi="Times New Roman"/>
          <w:b/>
          <w:i/>
          <w:noProof/>
          <w:sz w:val="24"/>
        </w:rPr>
        <w:t xml:space="preserve"> je znatno premašio cilj smanjenja emisija za 2020.</w:t>
      </w:r>
      <w:r>
        <w:rPr>
          <w:rFonts w:ascii="Times New Roman" w:hAnsi="Times New Roman"/>
          <w:i/>
          <w:noProof/>
          <w:sz w:val="24"/>
        </w:rPr>
        <w:t xml:space="preserve"> utvrđen u sklopu Okvirne konvencije Ujedinjenih naroda o promjeni klime. Privremene procjene pokazuju da je vjerojatno da su se emisije ponovno povećale 2021., ali i dalje se smanjuju u odnosu na razine prije pandemije.</w:t>
      </w:r>
    </w:p>
    <w:p w14:paraId="2C2F05A6" w14:textId="77777777" w:rsidR="00020E18" w:rsidRPr="007A3B9D" w:rsidRDefault="00245B54" w:rsidP="007A3B9D">
      <w:pPr>
        <w:numPr>
          <w:ilvl w:val="0"/>
          <w:numId w:val="3"/>
        </w:numPr>
        <w:pBdr>
          <w:top w:val="single" w:sz="4" w:space="1" w:color="auto"/>
          <w:left w:val="single" w:sz="4" w:space="4" w:color="auto"/>
          <w:bottom w:val="single" w:sz="4" w:space="1" w:color="auto"/>
          <w:right w:val="single" w:sz="4" w:space="4" w:color="auto"/>
        </w:pBdr>
        <w:spacing w:after="240" w:line="240" w:lineRule="auto"/>
        <w:ind w:left="360"/>
        <w:jc w:val="both"/>
        <w:rPr>
          <w:rFonts w:ascii="Times New Roman" w:eastAsia="Times New Roman" w:hAnsi="Times New Roman" w:cs="Times New Roman"/>
          <w:i/>
          <w:noProof/>
          <w:sz w:val="24"/>
          <w:szCs w:val="20"/>
        </w:rPr>
      </w:pPr>
      <w:r>
        <w:rPr>
          <w:rFonts w:ascii="Times New Roman" w:hAnsi="Times New Roman"/>
          <w:b/>
          <w:i/>
          <w:noProof/>
          <w:sz w:val="24"/>
        </w:rPr>
        <w:t>Premašeni su ciljevi EU-a u području energetske učinkovitosti i energije iz obnovljivih izvora za 2020.</w:t>
      </w:r>
      <w:r>
        <w:rPr>
          <w:rFonts w:ascii="Times New Roman" w:hAnsi="Times New Roman"/>
          <w:i/>
          <w:noProof/>
          <w:sz w:val="24"/>
        </w:rPr>
        <w:t xml:space="preserve">  Potrošnja krajnje energije (FEC) i potrošnja primarne energije (PEC) bile su 5,4 %, tj. 5,8 % niže u odnosu na ciljeve utvrđene za 2020. Udio energije iz obnovljivih izvora u bruto potrošnji krajnje energije EU-a iznosio je 22,1 %, čime je EU premašio cilj od 20 % utvrđen u Direktivi o obnovljivoj energiji iz 2009.</w:t>
      </w:r>
    </w:p>
    <w:p w14:paraId="22F86EE6" w14:textId="77777777" w:rsidR="00A3097E" w:rsidRPr="00AA130B" w:rsidRDefault="00A3097E" w:rsidP="00D47ACE">
      <w:pPr>
        <w:numPr>
          <w:ilvl w:val="0"/>
          <w:numId w:val="3"/>
        </w:numPr>
        <w:pBdr>
          <w:top w:val="single" w:sz="4" w:space="1" w:color="auto"/>
          <w:left w:val="single" w:sz="4" w:space="4" w:color="auto"/>
          <w:bottom w:val="single" w:sz="4" w:space="1" w:color="auto"/>
          <w:right w:val="single" w:sz="4" w:space="4" w:color="auto"/>
        </w:pBdr>
        <w:spacing w:after="240" w:line="240" w:lineRule="auto"/>
        <w:ind w:left="360"/>
        <w:jc w:val="both"/>
        <w:rPr>
          <w:rFonts w:ascii="Times New Roman" w:eastAsia="Times New Roman" w:hAnsi="Times New Roman" w:cs="Times New Roman"/>
          <w:bCs/>
          <w:i/>
          <w:iCs/>
          <w:noProof/>
          <w:sz w:val="24"/>
          <w:szCs w:val="20"/>
        </w:rPr>
      </w:pPr>
      <w:r>
        <w:rPr>
          <w:rFonts w:ascii="Times New Roman" w:hAnsi="Times New Roman"/>
          <w:b/>
          <w:i/>
          <w:noProof/>
          <w:sz w:val="24"/>
        </w:rPr>
        <w:t>Povećanom upotrebom energije iz obnovljivih izvora</w:t>
      </w:r>
      <w:r>
        <w:rPr>
          <w:rFonts w:ascii="Times New Roman" w:hAnsi="Times New Roman"/>
          <w:i/>
          <w:noProof/>
          <w:sz w:val="24"/>
        </w:rPr>
        <w:t xml:space="preserve"> 2019. i 2020.</w:t>
      </w:r>
      <w:r>
        <w:rPr>
          <w:rFonts w:ascii="Times New Roman" w:hAnsi="Times New Roman"/>
          <w:b/>
          <w:i/>
          <w:noProof/>
          <w:sz w:val="24"/>
        </w:rPr>
        <w:t xml:space="preserve"> zamijenjena je potrošnja fosilnih goriva od približno 155,6 Mtoe, odnosno 164,6 Mtoe</w:t>
      </w:r>
      <w:r>
        <w:rPr>
          <w:rFonts w:ascii="Times New Roman" w:hAnsi="Times New Roman"/>
          <w:i/>
          <w:noProof/>
          <w:sz w:val="24"/>
        </w:rPr>
        <w:t xml:space="preserve">. To odgovara uštedi </w:t>
      </w:r>
      <w:r>
        <w:rPr>
          <w:rFonts w:ascii="Times New Roman" w:hAnsi="Times New Roman"/>
          <w:b/>
          <w:i/>
          <w:noProof/>
          <w:sz w:val="24"/>
        </w:rPr>
        <w:t>od 43,5 milijardi EUR u 2019. i 34,6 milijardi EUR u 2020. zbog izbjegavanja upotrebe fosilnih goriva</w:t>
      </w:r>
      <w:r>
        <w:rPr>
          <w:rFonts w:ascii="Times New Roman" w:hAnsi="Times New Roman"/>
          <w:i/>
          <w:noProof/>
          <w:sz w:val="24"/>
        </w:rPr>
        <w:t xml:space="preserve"> u EU-u.</w:t>
      </w:r>
    </w:p>
    <w:p w14:paraId="2FC32CDF" w14:textId="6D80BEA7" w:rsidR="00A3097E" w:rsidRPr="007274E7" w:rsidRDefault="00A3097E" w:rsidP="007274E7">
      <w:pPr>
        <w:numPr>
          <w:ilvl w:val="0"/>
          <w:numId w:val="3"/>
        </w:numPr>
        <w:pBdr>
          <w:top w:val="single" w:sz="4" w:space="1" w:color="auto"/>
          <w:left w:val="single" w:sz="4" w:space="4" w:color="auto"/>
          <w:bottom w:val="single" w:sz="4" w:space="1" w:color="auto"/>
          <w:right w:val="single" w:sz="4" w:space="4" w:color="auto"/>
        </w:pBdr>
        <w:spacing w:after="240" w:line="240" w:lineRule="auto"/>
        <w:ind w:left="360"/>
        <w:jc w:val="both"/>
        <w:rPr>
          <w:rFonts w:ascii="Times New Roman" w:eastAsia="Times New Roman" w:hAnsi="Times New Roman" w:cs="Times New Roman"/>
          <w:bCs/>
          <w:i/>
          <w:iCs/>
          <w:noProof/>
          <w:sz w:val="24"/>
          <w:szCs w:val="20"/>
        </w:rPr>
      </w:pPr>
      <w:r>
        <w:rPr>
          <w:rFonts w:ascii="Times New Roman" w:hAnsi="Times New Roman"/>
          <w:b/>
          <w:i/>
          <w:noProof/>
          <w:sz w:val="24"/>
        </w:rPr>
        <w:t>EU je</w:t>
      </w:r>
      <w:r>
        <w:rPr>
          <w:rFonts w:ascii="Times New Roman" w:hAnsi="Times New Roman"/>
          <w:i/>
          <w:noProof/>
          <w:sz w:val="24"/>
        </w:rPr>
        <w:t xml:space="preserve"> od svibnja do kolovoza 2022. </w:t>
      </w:r>
      <w:r>
        <w:rPr>
          <w:rFonts w:ascii="Times New Roman" w:hAnsi="Times New Roman"/>
          <w:b/>
          <w:i/>
          <w:noProof/>
          <w:sz w:val="24"/>
        </w:rPr>
        <w:t>proizveo rekordnih 12 % svoje električne energije iz solarne energije</w:t>
      </w:r>
      <w:r>
        <w:rPr>
          <w:rFonts w:ascii="Times New Roman" w:hAnsi="Times New Roman"/>
          <w:i/>
          <w:noProof/>
          <w:sz w:val="24"/>
        </w:rPr>
        <w:t xml:space="preserve">, a </w:t>
      </w:r>
      <w:r>
        <w:rPr>
          <w:rFonts w:ascii="Times New Roman" w:hAnsi="Times New Roman"/>
          <w:b/>
          <w:i/>
          <w:noProof/>
          <w:sz w:val="24"/>
        </w:rPr>
        <w:t>13 % iz</w:t>
      </w:r>
      <w:r>
        <w:rPr>
          <w:rFonts w:ascii="Times New Roman" w:hAnsi="Times New Roman"/>
          <w:i/>
          <w:noProof/>
          <w:sz w:val="24"/>
        </w:rPr>
        <w:t xml:space="preserve"> </w:t>
      </w:r>
      <w:r>
        <w:rPr>
          <w:rFonts w:ascii="Times New Roman" w:hAnsi="Times New Roman"/>
          <w:b/>
          <w:i/>
          <w:noProof/>
          <w:sz w:val="24"/>
        </w:rPr>
        <w:t>energije vjetra</w:t>
      </w:r>
      <w:r>
        <w:rPr>
          <w:rFonts w:ascii="Times New Roman" w:hAnsi="Times New Roman"/>
          <w:i/>
          <w:noProof/>
          <w:sz w:val="24"/>
        </w:rPr>
        <w:t>.</w:t>
      </w:r>
      <w:r>
        <w:rPr>
          <w:rFonts w:ascii="Times New Roman" w:hAnsi="Times New Roman"/>
          <w:noProof/>
          <w:sz w:val="24"/>
        </w:rPr>
        <w:t xml:space="preserve"> </w:t>
      </w:r>
      <w:r>
        <w:rPr>
          <w:rFonts w:ascii="Times New Roman" w:hAnsi="Times New Roman"/>
          <w:i/>
          <w:noProof/>
          <w:sz w:val="24"/>
        </w:rPr>
        <w:t xml:space="preserve">Prve naznake ukazuju na to da će </w:t>
      </w:r>
      <w:r>
        <w:rPr>
          <w:rFonts w:ascii="Times New Roman" w:hAnsi="Times New Roman"/>
          <w:b/>
          <w:i/>
          <w:noProof/>
          <w:sz w:val="24"/>
        </w:rPr>
        <w:t xml:space="preserve">2022. biti rekordna godina za europsko tržište solarne fotonaponske energije </w:t>
      </w:r>
      <w:r>
        <w:rPr>
          <w:rFonts w:ascii="Times New Roman" w:hAnsi="Times New Roman"/>
          <w:i/>
          <w:noProof/>
          <w:sz w:val="24"/>
        </w:rPr>
        <w:t xml:space="preserve">s godišnjim povećanjem primjene na najvećim tržištima država članica EU-a od 17 % do 26 %. Međutim, </w:t>
      </w:r>
      <w:r>
        <w:rPr>
          <w:rFonts w:ascii="Times New Roman" w:hAnsi="Times New Roman"/>
          <w:b/>
          <w:i/>
          <w:noProof/>
          <w:sz w:val="24"/>
        </w:rPr>
        <w:t xml:space="preserve">proizvodnja električne energije u hidroelektranima smanjila se s 14 % na 11 % u ljeto 2022. </w:t>
      </w:r>
      <w:r>
        <w:rPr>
          <w:rFonts w:ascii="Times New Roman" w:hAnsi="Times New Roman"/>
          <w:i/>
          <w:noProof/>
          <w:sz w:val="24"/>
        </w:rPr>
        <w:t>u usporedbi s prethodnim godinama zbog niskih razina vode u rijekama i akumulacijama uslijed suše.</w:t>
      </w:r>
    </w:p>
    <w:p w14:paraId="6D9D2D24" w14:textId="77777777" w:rsidR="00A3097E" w:rsidRPr="00AA130B" w:rsidRDefault="00A3097E" w:rsidP="00D47ACE">
      <w:pPr>
        <w:numPr>
          <w:ilvl w:val="0"/>
          <w:numId w:val="3"/>
        </w:numPr>
        <w:pBdr>
          <w:top w:val="single" w:sz="4" w:space="1" w:color="auto"/>
          <w:left w:val="single" w:sz="4" w:space="4" w:color="auto"/>
          <w:bottom w:val="single" w:sz="4" w:space="1" w:color="auto"/>
          <w:right w:val="single" w:sz="4" w:space="4" w:color="auto"/>
        </w:pBdr>
        <w:spacing w:after="240" w:line="240" w:lineRule="auto"/>
        <w:ind w:left="360"/>
        <w:jc w:val="both"/>
        <w:rPr>
          <w:rFonts w:ascii="Times New Roman" w:eastAsia="Times New Roman" w:hAnsi="Times New Roman" w:cs="Times New Roman"/>
          <w:bCs/>
          <w:i/>
          <w:iCs/>
          <w:noProof/>
          <w:sz w:val="24"/>
          <w:szCs w:val="20"/>
        </w:rPr>
      </w:pPr>
      <w:r>
        <w:rPr>
          <w:rFonts w:ascii="Times New Roman" w:hAnsi="Times New Roman"/>
          <w:b/>
          <w:i/>
          <w:noProof/>
          <w:sz w:val="24"/>
        </w:rPr>
        <w:t>Očekuje se da će se udio obnovljivih izvora energije u kombinaciji izvora električne energije povećati s 37 % u 2021. na 69 % u 2030</w:t>
      </w:r>
      <w:r>
        <w:rPr>
          <w:rFonts w:ascii="Times New Roman" w:hAnsi="Times New Roman"/>
          <w:i/>
          <w:noProof/>
          <w:sz w:val="24"/>
        </w:rPr>
        <w:t xml:space="preserve">. Kako bi se taj proces ubrzao, prvenstveno je potrebno riješiti problem </w:t>
      </w:r>
      <w:r>
        <w:rPr>
          <w:rFonts w:ascii="Times New Roman" w:hAnsi="Times New Roman"/>
          <w:b/>
          <w:i/>
          <w:noProof/>
          <w:sz w:val="24"/>
        </w:rPr>
        <w:t>složenih postupaka izdavanja dozvola, probleme s mrežnom integracijom</w:t>
      </w:r>
      <w:r>
        <w:rPr>
          <w:rFonts w:ascii="Times New Roman" w:hAnsi="Times New Roman"/>
          <w:i/>
          <w:noProof/>
          <w:sz w:val="24"/>
        </w:rPr>
        <w:t xml:space="preserve"> i </w:t>
      </w:r>
      <w:r>
        <w:rPr>
          <w:rFonts w:ascii="Times New Roman" w:hAnsi="Times New Roman"/>
          <w:b/>
          <w:i/>
          <w:noProof/>
          <w:sz w:val="24"/>
        </w:rPr>
        <w:t>teškoće u opskrbnim lancima</w:t>
      </w:r>
      <w:r>
        <w:rPr>
          <w:rFonts w:ascii="Times New Roman" w:hAnsi="Times New Roman"/>
          <w:i/>
          <w:noProof/>
          <w:sz w:val="24"/>
        </w:rPr>
        <w:t>.</w:t>
      </w:r>
    </w:p>
    <w:p w14:paraId="41D9BEE1" w14:textId="32BFA515" w:rsidR="00C46AA7" w:rsidRPr="00AA130B" w:rsidRDefault="00C46AA7" w:rsidP="00C46AA7">
      <w:pPr>
        <w:numPr>
          <w:ilvl w:val="0"/>
          <w:numId w:val="3"/>
        </w:numPr>
        <w:pBdr>
          <w:top w:val="single" w:sz="4" w:space="1" w:color="auto"/>
          <w:left w:val="single" w:sz="4" w:space="4" w:color="auto"/>
          <w:bottom w:val="single" w:sz="4" w:space="1" w:color="auto"/>
          <w:right w:val="single" w:sz="4" w:space="4" w:color="auto"/>
        </w:pBdr>
        <w:spacing w:after="240" w:line="240" w:lineRule="auto"/>
        <w:ind w:left="360"/>
        <w:jc w:val="both"/>
        <w:rPr>
          <w:rFonts w:ascii="Times New Roman" w:eastAsia="Times New Roman" w:hAnsi="Times New Roman" w:cs="Times New Roman"/>
          <w:i/>
          <w:noProof/>
          <w:sz w:val="24"/>
          <w:szCs w:val="20"/>
        </w:rPr>
      </w:pPr>
      <w:r>
        <w:rPr>
          <w:rFonts w:ascii="Times New Roman" w:hAnsi="Times New Roman"/>
          <w:i/>
          <w:noProof/>
          <w:sz w:val="24"/>
        </w:rPr>
        <w:t xml:space="preserve">EU je ostao predvodnik u istraživanju u području čiste energije i potvrdio svoj vodeći položaj u tehnologijama kao što su odobalne vjetroelektrane, a države članice stalno povećavaju javna ulaganja u istraživanje i inovacije. Međutim, potrebno je </w:t>
      </w:r>
      <w:r>
        <w:rPr>
          <w:rFonts w:ascii="Times New Roman" w:hAnsi="Times New Roman"/>
          <w:b/>
          <w:i/>
          <w:noProof/>
          <w:sz w:val="24"/>
        </w:rPr>
        <w:t>pojačati javna i privatna ulaganja u istraživanje i inovacije</w:t>
      </w:r>
      <w:r>
        <w:rPr>
          <w:rFonts w:ascii="Times New Roman" w:hAnsi="Times New Roman"/>
          <w:i/>
          <w:noProof/>
          <w:sz w:val="24"/>
        </w:rPr>
        <w:t xml:space="preserve"> te </w:t>
      </w:r>
      <w:r>
        <w:rPr>
          <w:rFonts w:ascii="Times New Roman" w:hAnsi="Times New Roman"/>
          <w:b/>
          <w:i/>
          <w:noProof/>
          <w:sz w:val="24"/>
        </w:rPr>
        <w:t>aktivnosti proširenja i primjene</w:t>
      </w:r>
      <w:r>
        <w:rPr>
          <w:rFonts w:ascii="Times New Roman" w:hAnsi="Times New Roman"/>
          <w:i/>
          <w:noProof/>
          <w:sz w:val="24"/>
        </w:rPr>
        <w:t xml:space="preserve"> kako bi se ojačala konkurentnost EU-a. </w:t>
      </w:r>
    </w:p>
    <w:p w14:paraId="597CA0DE" w14:textId="24F66EC7" w:rsidR="00A3097E" w:rsidRPr="00AA130B" w:rsidRDefault="00A3097E" w:rsidP="00D47ACE">
      <w:pPr>
        <w:numPr>
          <w:ilvl w:val="0"/>
          <w:numId w:val="3"/>
        </w:numPr>
        <w:pBdr>
          <w:top w:val="single" w:sz="4" w:space="1" w:color="auto"/>
          <w:left w:val="single" w:sz="4" w:space="4" w:color="auto"/>
          <w:bottom w:val="single" w:sz="4" w:space="1" w:color="auto"/>
          <w:right w:val="single" w:sz="4" w:space="4" w:color="auto"/>
        </w:pBdr>
        <w:spacing w:after="240" w:line="240" w:lineRule="auto"/>
        <w:ind w:left="360"/>
        <w:jc w:val="both"/>
        <w:rPr>
          <w:rFonts w:ascii="Times New Roman" w:eastAsia="Times New Roman" w:hAnsi="Times New Roman" w:cs="Times New Roman"/>
          <w:b/>
          <w:i/>
          <w:noProof/>
          <w:sz w:val="24"/>
          <w:szCs w:val="20"/>
        </w:rPr>
      </w:pPr>
      <w:r>
        <w:rPr>
          <w:rFonts w:ascii="Times New Roman" w:hAnsi="Times New Roman"/>
          <w:b/>
          <w:i/>
          <w:noProof/>
          <w:sz w:val="24"/>
        </w:rPr>
        <w:t>Na razini EU-a i na nacionalnoj razini postoji znatno više mogućnosti financiranja za europski lanac vrijednosti vodika</w:t>
      </w:r>
      <w:r>
        <w:rPr>
          <w:rFonts w:ascii="Times New Roman" w:hAnsi="Times New Roman"/>
          <w:i/>
          <w:noProof/>
          <w:sz w:val="24"/>
        </w:rPr>
        <w:t xml:space="preserve">. U okviru mehanizma za važne projekte od zajedničkog europskog interesa odobrena su javna ulaganja u lanac vrijednosti vodika od 10,6 milijardi EUR kao poticaj za privlačenje privatnog ulaganja u sektoru vodika. U okviru Mehanizma za oporavak i otpornost bit će dostupno približno 10,6 milijardi EUR za potporu projektima u području vodika. Proizvođači elektrolizera u Europi obvezali su se </w:t>
      </w:r>
      <w:r>
        <w:rPr>
          <w:rFonts w:ascii="Times New Roman" w:hAnsi="Times New Roman"/>
          <w:b/>
          <w:i/>
          <w:noProof/>
          <w:sz w:val="24"/>
        </w:rPr>
        <w:t>udeseterostručiti svoje kapacitete za proizvodnju elektrolizera</w:t>
      </w:r>
      <w:r>
        <w:rPr>
          <w:rFonts w:ascii="Times New Roman" w:hAnsi="Times New Roman"/>
          <w:i/>
          <w:noProof/>
          <w:sz w:val="24"/>
        </w:rPr>
        <w:t>:</w:t>
      </w:r>
      <w:r>
        <w:rPr>
          <w:rFonts w:ascii="Times New Roman" w:hAnsi="Times New Roman"/>
          <w:b/>
          <w:i/>
          <w:noProof/>
          <w:sz w:val="24"/>
        </w:rPr>
        <w:t xml:space="preserve"> na 17,5 GW do 2025.</w:t>
      </w:r>
      <w:r>
        <w:rPr>
          <w:rFonts w:ascii="Times New Roman" w:hAnsi="Times New Roman"/>
          <w:b/>
          <w:noProof/>
          <w:sz w:val="24"/>
        </w:rPr>
        <w:t xml:space="preserve"> </w:t>
      </w:r>
    </w:p>
    <w:p w14:paraId="1D344A67" w14:textId="77777777" w:rsidR="00A3097E" w:rsidRPr="00AA130B" w:rsidRDefault="00A3097E" w:rsidP="00FB61E1">
      <w:pPr>
        <w:numPr>
          <w:ilvl w:val="0"/>
          <w:numId w:val="3"/>
        </w:numPr>
        <w:pBdr>
          <w:top w:val="single" w:sz="4" w:space="1" w:color="auto"/>
          <w:left w:val="single" w:sz="4" w:space="4" w:color="auto"/>
          <w:bottom w:val="single" w:sz="4" w:space="1" w:color="auto"/>
          <w:right w:val="single" w:sz="4" w:space="4" w:color="auto"/>
        </w:pBdr>
        <w:spacing w:after="240" w:line="240" w:lineRule="auto"/>
        <w:ind w:left="360"/>
        <w:jc w:val="both"/>
        <w:rPr>
          <w:rFonts w:ascii="Times New Roman" w:eastAsia="Times New Roman" w:hAnsi="Times New Roman" w:cs="Times New Roman"/>
          <w:i/>
          <w:noProof/>
          <w:sz w:val="24"/>
          <w:szCs w:val="20"/>
        </w:rPr>
      </w:pPr>
      <w:r>
        <w:rPr>
          <w:rFonts w:ascii="Times New Roman" w:hAnsi="Times New Roman"/>
          <w:b/>
          <w:i/>
          <w:noProof/>
          <w:sz w:val="24"/>
        </w:rPr>
        <w:t>Države članice provode mjere za povećanje energetske učinkovitosti u svim sektorima.</w:t>
      </w:r>
      <w:r>
        <w:rPr>
          <w:rFonts w:ascii="Times New Roman" w:hAnsi="Times New Roman"/>
          <w:i/>
          <w:noProof/>
          <w:sz w:val="24"/>
        </w:rPr>
        <w:t xml:space="preserve"> U industriji poduzeća su sad u nekim slučajevima obvezna primijeniti preporuke iz energetskog pregleda ako je razdoblje povrata kraće od pet godina. Mjerama za iskorištavanje otpadne topline stvara se znatan potencijal za uštedu.</w:t>
      </w:r>
      <w:r>
        <w:rPr>
          <w:noProof/>
        </w:rPr>
        <w:t xml:space="preserve"> </w:t>
      </w:r>
      <w:r>
        <w:rPr>
          <w:rFonts w:ascii="Times New Roman" w:hAnsi="Times New Roman"/>
          <w:i/>
          <w:noProof/>
          <w:sz w:val="24"/>
        </w:rPr>
        <w:t xml:space="preserve">Države članice provode mjere energetske obnove, uključujući programe namijenjene za socijalno stanovanje i suzbijanje energetskog siromaštva, obnovu javnih zgrada, posebice škola, sveučilišta i infrastrukture za zdravstvenu skrb.  </w:t>
      </w:r>
    </w:p>
    <w:p w14:paraId="7A171E84" w14:textId="4DEF0779" w:rsidR="000746FB" w:rsidRPr="00577846" w:rsidRDefault="000746FB" w:rsidP="008A54AE">
      <w:pPr>
        <w:keepNext/>
        <w:spacing w:before="240" w:after="240" w:line="240" w:lineRule="auto"/>
        <w:ind w:left="482" w:hanging="482"/>
        <w:jc w:val="both"/>
        <w:outlineLvl w:val="0"/>
        <w:rPr>
          <w:rFonts w:ascii="Times New Roman" w:eastAsiaTheme="minorEastAsia" w:hAnsi="Times New Roman" w:cs="Times New Roman"/>
          <w:b/>
          <w:smallCaps/>
          <w:noProof/>
          <w:sz w:val="24"/>
          <w:szCs w:val="20"/>
        </w:rPr>
      </w:pPr>
      <w:r>
        <w:rPr>
          <w:rFonts w:ascii="Times New Roman" w:hAnsi="Times New Roman"/>
          <w:noProof/>
          <w:sz w:val="24"/>
        </w:rPr>
        <w:t>2.</w:t>
      </w:r>
      <w:r>
        <w:rPr>
          <w:rFonts w:ascii="Times New Roman" w:hAnsi="Times New Roman"/>
          <w:b/>
          <w:smallCaps/>
          <w:noProof/>
          <w:sz w:val="24"/>
        </w:rPr>
        <w:t xml:space="preserve">  POBOLJŠANJE ENERGETSKE SIGURNOSTI, DIVERSIFIKACIJA I UBRZANJE EUROPSKOG ZELENOG PLANA</w:t>
      </w:r>
    </w:p>
    <w:p w14:paraId="63FAAAA2" w14:textId="42D75BC2" w:rsidR="00654B41" w:rsidRPr="00577846" w:rsidRDefault="00654B41" w:rsidP="008A54AE">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Godine 2022. cijene plina i električne energije dosegle su najvišu razinu u povijesti.</w:t>
      </w:r>
      <w:r>
        <w:rPr>
          <w:rFonts w:ascii="Times New Roman" w:hAnsi="Times New Roman"/>
          <w:noProof/>
          <w:sz w:val="24"/>
        </w:rPr>
        <w:t xml:space="preserve"> Tijekom protekle godine cijene električne energije u Europi brzo su narasle na razinu znatno višu nego posljednjih desetljeća. Ta je dinamika u osnovi povezana s visokom cijenom plina, koja povećava cijenu električne energije proizvedene u plinskim elektranama. </w:t>
      </w:r>
      <w:r>
        <w:rPr>
          <w:rFonts w:ascii="Times New Roman" w:hAnsi="Times New Roman"/>
          <w:b/>
          <w:noProof/>
          <w:sz w:val="24"/>
        </w:rPr>
        <w:t xml:space="preserve">Cijene su počele brzo rasti tijekom druge polovine 2021., </w:t>
      </w:r>
      <w:r>
        <w:rPr>
          <w:rFonts w:ascii="Times New Roman" w:hAnsi="Times New Roman"/>
          <w:noProof/>
          <w:sz w:val="24"/>
        </w:rPr>
        <w:t>nakon što je svjetsko gospodarstvo oživjelo zbog ublažavanja ograničenja uvedenih zbog pandemije bolesti COVID-19. Ruska invazija na Ukrajinu pogoršala je tu situaciju.</w:t>
      </w:r>
    </w:p>
    <w:p w14:paraId="2270EC49" w14:textId="15D3F720" w:rsidR="00E018C3" w:rsidRPr="00577846" w:rsidRDefault="00654B41" w:rsidP="008A54AE">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Istodobno je razina </w:t>
      </w:r>
      <w:r>
        <w:rPr>
          <w:rFonts w:ascii="Times New Roman" w:hAnsi="Times New Roman"/>
          <w:b/>
          <w:noProof/>
          <w:sz w:val="24"/>
        </w:rPr>
        <w:t>proizvodnje električne energije u EU-u bila niža u odnosu na uobičajene razine</w:t>
      </w:r>
      <w:r>
        <w:rPr>
          <w:rFonts w:ascii="Times New Roman" w:hAnsi="Times New Roman"/>
          <w:noProof/>
          <w:sz w:val="24"/>
        </w:rPr>
        <w:t xml:space="preserve">. Zbog </w:t>
      </w:r>
      <w:r>
        <w:rPr>
          <w:rFonts w:ascii="Times New Roman" w:hAnsi="Times New Roman"/>
          <w:b/>
          <w:noProof/>
          <w:sz w:val="24"/>
        </w:rPr>
        <w:t>rekordnih temperatura ovog ljeta</w:t>
      </w:r>
      <w:r>
        <w:rPr>
          <w:rFonts w:ascii="Times New Roman" w:hAnsi="Times New Roman"/>
          <w:noProof/>
          <w:sz w:val="24"/>
        </w:rPr>
        <w:t xml:space="preserve"> povećala se potražnja za energijom za hlađenje, a proizvodnja električne energije bila je pod dodatnim pritiskom zbog suša (otežana proizvodnja hidroelektrične energije) i visokih temperatura vode (otežana proizvodnja nuklearne energije). </w:t>
      </w:r>
      <w:r>
        <w:rPr>
          <w:rFonts w:ascii="Times New Roman" w:hAnsi="Times New Roman"/>
          <w:b/>
          <w:noProof/>
          <w:sz w:val="24"/>
        </w:rPr>
        <w:t>Ekstremni vremenski uvjeti i njihove posljedice na vodne resurse stoga su pridonijeli manjku energije i visokim cijenama energije</w:t>
      </w:r>
      <w:r>
        <w:rPr>
          <w:rFonts w:ascii="Times New Roman" w:hAnsi="Times New Roman"/>
          <w:noProof/>
          <w:sz w:val="24"/>
        </w:rPr>
        <w:t xml:space="preserve">, što predstavlja opterećenje za potrošače, poduzeća i industriju te usporava gospodarski oporavak. Dodatan pritisak potražnje na cijene energije i hrane pojačava </w:t>
      </w:r>
      <w:r>
        <w:rPr>
          <w:rFonts w:ascii="Times New Roman" w:hAnsi="Times New Roman"/>
          <w:b/>
          <w:noProof/>
          <w:sz w:val="24"/>
        </w:rPr>
        <w:t>globalne inflacijske pritiske, zbog čega se smanjuje kupovna moć kućanstava</w:t>
      </w:r>
      <w:r>
        <w:rPr>
          <w:rFonts w:ascii="Times New Roman" w:hAnsi="Times New Roman"/>
          <w:noProof/>
          <w:sz w:val="24"/>
        </w:rPr>
        <w:t xml:space="preserve"> i gospodarstva.</w:t>
      </w:r>
    </w:p>
    <w:p w14:paraId="6125616B" w14:textId="3EDD776F" w:rsidR="00654B41" w:rsidRPr="00D47ACE" w:rsidRDefault="008B6404" w:rsidP="00D47ACE">
      <w:pPr>
        <w:spacing w:line="240" w:lineRule="auto"/>
        <w:jc w:val="both"/>
        <w:rPr>
          <w:rFonts w:ascii="Times New Roman" w:eastAsia="Times New Roman" w:hAnsi="Times New Roman" w:cs="Times New Roman"/>
          <w:bCs/>
          <w:i/>
          <w:iCs/>
          <w:noProof/>
          <w:sz w:val="24"/>
          <w:szCs w:val="20"/>
        </w:rPr>
      </w:pPr>
      <w:r w:rsidRPr="008B6404">
        <w:rPr>
          <w:rFonts w:ascii="Times New Roman" w:hAnsi="Times New Roman"/>
          <w:noProof/>
          <w:sz w:val="24"/>
          <w:lang w:val="en-GB" w:eastAsia="en-GB"/>
        </w:rPr>
        <w:drawing>
          <wp:inline distT="0" distB="0" distL="0" distR="0" wp14:anchorId="3EF2E043" wp14:editId="7202DBA9">
            <wp:extent cx="5731510" cy="2247798"/>
            <wp:effectExtent l="0" t="0" r="2540" b="635"/>
            <wp:docPr id="7" name="Picture 7" descr="\\net1.cec.eu.int\Homes\02\bekiciv\Desktop\SR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1.cec.eu.int\Homes\02\bekiciv\Desktop\SRC\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2247798"/>
                    </a:xfrm>
                    <a:prstGeom prst="rect">
                      <a:avLst/>
                    </a:prstGeom>
                    <a:noFill/>
                    <a:ln>
                      <a:noFill/>
                    </a:ln>
                  </pic:spPr>
                </pic:pic>
              </a:graphicData>
            </a:graphic>
          </wp:inline>
        </w:drawing>
      </w:r>
      <w:r w:rsidR="00E018C3">
        <w:rPr>
          <w:rFonts w:ascii="Times New Roman" w:hAnsi="Times New Roman"/>
          <w:i/>
          <w:noProof/>
          <w:sz w:val="20"/>
        </w:rPr>
        <w:t>Slika 1. Veleprodajne i maloprodajne cijene plina i električne energije te cijene ugljika u EU-u. Izvori: Platts, VaasaETT</w:t>
      </w:r>
    </w:p>
    <w:p w14:paraId="721728D9" w14:textId="5D57C9AA" w:rsidR="00654B41" w:rsidRDefault="00232FDA" w:rsidP="008A54AE">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Komisijin</w:t>
      </w:r>
      <w:r>
        <w:rPr>
          <w:rFonts w:ascii="Times New Roman" w:hAnsi="Times New Roman"/>
          <w:noProof/>
          <w:sz w:val="24"/>
        </w:rPr>
        <w:t xml:space="preserve"> Prijedlog </w:t>
      </w:r>
      <w:r>
        <w:rPr>
          <w:rFonts w:ascii="Times New Roman" w:hAnsi="Times New Roman"/>
          <w:b/>
          <w:noProof/>
          <w:sz w:val="24"/>
        </w:rPr>
        <w:t>uredbe o hitnoj intervenciji za rješavanje problema visokih cijena energije</w:t>
      </w:r>
      <w:r>
        <w:rPr>
          <w:rFonts w:ascii="Times New Roman" w:hAnsi="Times New Roman"/>
          <w:noProof/>
          <w:sz w:val="24"/>
        </w:rPr>
        <w:t xml:space="preserve"> od 14. rujna u rekordnom je roku prihvaćen na političkoj razini, suglasnošću Vijeća za energetiku 30. rujna. U njemu su utvrđeni </w:t>
      </w:r>
      <w:r>
        <w:rPr>
          <w:rFonts w:ascii="Times New Roman" w:hAnsi="Times New Roman"/>
          <w:b/>
          <w:noProof/>
          <w:sz w:val="24"/>
        </w:rPr>
        <w:t>cilj za ukupno smanjenje potražnje za električnom energijom</w:t>
      </w:r>
      <w:r>
        <w:rPr>
          <w:rFonts w:ascii="Times New Roman" w:hAnsi="Times New Roman"/>
          <w:noProof/>
          <w:sz w:val="24"/>
        </w:rPr>
        <w:t xml:space="preserve"> od svih potrošača usmjerenom na smanjenje potražnje u vrijeme kad su cijene najviše, </w:t>
      </w:r>
      <w:r>
        <w:rPr>
          <w:rFonts w:ascii="Times New Roman" w:hAnsi="Times New Roman"/>
          <w:b/>
          <w:noProof/>
          <w:sz w:val="24"/>
        </w:rPr>
        <w:t>ograničenje prihoda za inframarginalne tehnologije</w:t>
      </w:r>
      <w:r>
        <w:rPr>
          <w:rFonts w:ascii="Times New Roman" w:hAnsi="Times New Roman"/>
          <w:noProof/>
          <w:sz w:val="24"/>
        </w:rPr>
        <w:t xml:space="preserve"> i </w:t>
      </w:r>
      <w:r>
        <w:rPr>
          <w:rFonts w:ascii="Times New Roman" w:hAnsi="Times New Roman"/>
          <w:b/>
          <w:noProof/>
          <w:sz w:val="24"/>
        </w:rPr>
        <w:t xml:space="preserve">doprinos solidarnosti na prekomjernu dobit </w:t>
      </w:r>
      <w:r>
        <w:rPr>
          <w:rFonts w:ascii="Times New Roman" w:hAnsi="Times New Roman"/>
          <w:noProof/>
          <w:sz w:val="24"/>
        </w:rPr>
        <w:t xml:space="preserve">ostvarenu u aktivnostima u sektorima nafte, plina, ugljena i rafinerija. Takve bi </w:t>
      </w:r>
      <w:r>
        <w:rPr>
          <w:rFonts w:ascii="Times New Roman" w:hAnsi="Times New Roman"/>
          <w:b/>
          <w:noProof/>
          <w:sz w:val="24"/>
        </w:rPr>
        <w:t>prihode</w:t>
      </w:r>
      <w:r>
        <w:rPr>
          <w:rFonts w:ascii="Times New Roman" w:hAnsi="Times New Roman"/>
          <w:noProof/>
          <w:sz w:val="24"/>
        </w:rPr>
        <w:t xml:space="preserve"> prikupljale države članice te bi ih se </w:t>
      </w:r>
      <w:r>
        <w:rPr>
          <w:rFonts w:ascii="Times New Roman" w:hAnsi="Times New Roman"/>
          <w:b/>
          <w:noProof/>
          <w:sz w:val="24"/>
        </w:rPr>
        <w:t>preusmjerilo na potrošače energije</w:t>
      </w:r>
      <w:r>
        <w:rPr>
          <w:rFonts w:ascii="Times New Roman" w:hAnsi="Times New Roman"/>
          <w:noProof/>
          <w:sz w:val="24"/>
        </w:rPr>
        <w:t xml:space="preserve">, posebno na </w:t>
      </w:r>
      <w:r>
        <w:rPr>
          <w:rFonts w:ascii="Times New Roman" w:hAnsi="Times New Roman"/>
          <w:b/>
          <w:noProof/>
          <w:sz w:val="24"/>
        </w:rPr>
        <w:t>ranjiva kućanstva, teško pogođena poduzeća</w:t>
      </w:r>
      <w:r>
        <w:rPr>
          <w:rFonts w:ascii="Times New Roman" w:hAnsi="Times New Roman"/>
          <w:noProof/>
          <w:sz w:val="24"/>
        </w:rPr>
        <w:t xml:space="preserve">, uključujući MSP-ove, i </w:t>
      </w:r>
      <w:r>
        <w:rPr>
          <w:rFonts w:ascii="Times New Roman" w:hAnsi="Times New Roman"/>
          <w:b/>
          <w:noProof/>
          <w:sz w:val="24"/>
        </w:rPr>
        <w:t>energetski</w:t>
      </w:r>
      <w:r>
        <w:rPr>
          <w:rFonts w:ascii="Times New Roman" w:hAnsi="Times New Roman"/>
          <w:noProof/>
          <w:sz w:val="24"/>
        </w:rPr>
        <w:t xml:space="preserve"> </w:t>
      </w:r>
      <w:r>
        <w:rPr>
          <w:rFonts w:ascii="Times New Roman" w:hAnsi="Times New Roman"/>
          <w:b/>
          <w:noProof/>
          <w:sz w:val="24"/>
        </w:rPr>
        <w:t>intenzivne industrije</w:t>
      </w:r>
      <w:r>
        <w:rPr>
          <w:rFonts w:ascii="Times New Roman" w:hAnsi="Times New Roman"/>
          <w:noProof/>
          <w:sz w:val="24"/>
        </w:rPr>
        <w:t>. Njime je ujedno proširen paket mjera za djelovanje i potporu za suočavanje s rastom cijena energije, koji je na raspolaganju državama članicama radi pružanja pomoći potrošačima kako bi se omogućile regulirane cijene električne energije niže od stvarne cijene te kako bi se reguliranim cijenama obuhvatila i mala i srednja poduzeća.</w:t>
      </w:r>
    </w:p>
    <w:p w14:paraId="6317FA7B" w14:textId="15D605E0" w:rsidR="00427B59" w:rsidRDefault="00204CBB" w:rsidP="008A54AE">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Oslanjajući se na te mjere za smanjivanje cijena električne energije Komisija je 18. listopada predložila paket mjera za </w:t>
      </w:r>
      <w:r>
        <w:rPr>
          <w:rFonts w:ascii="Times New Roman" w:hAnsi="Times New Roman"/>
          <w:b/>
          <w:noProof/>
          <w:sz w:val="24"/>
        </w:rPr>
        <w:t>ublažavanje rasta cijena prirodnog plina i jačanje solidarnosti među državama članicama</w:t>
      </w:r>
      <w:r>
        <w:rPr>
          <w:rFonts w:ascii="Times New Roman" w:hAnsi="Times New Roman"/>
          <w:noProof/>
          <w:sz w:val="24"/>
        </w:rPr>
        <w:t xml:space="preserve">. Komisija je predložila uvođenje zakonodavnih alata EU-a za </w:t>
      </w:r>
      <w:r>
        <w:rPr>
          <w:rFonts w:ascii="Times New Roman" w:hAnsi="Times New Roman"/>
          <w:b/>
          <w:noProof/>
          <w:sz w:val="24"/>
        </w:rPr>
        <w:t>zajedničku nabavu plina</w:t>
      </w:r>
      <w:r>
        <w:rPr>
          <w:rFonts w:ascii="Times New Roman" w:hAnsi="Times New Roman"/>
          <w:noProof/>
          <w:sz w:val="24"/>
        </w:rPr>
        <w:t xml:space="preserve">, osiguravanja protoka plina gdje je potrebno te jačanje EU-ovih kapaciteta za brzi odgovor u slučaju nužde uspostavljanjem </w:t>
      </w:r>
      <w:r>
        <w:rPr>
          <w:rFonts w:ascii="Times New Roman" w:hAnsi="Times New Roman"/>
          <w:b/>
          <w:noProof/>
          <w:sz w:val="24"/>
        </w:rPr>
        <w:t>zadanih pravila za sporazume o bilateralnoj solidarnosti</w:t>
      </w:r>
      <w:r>
        <w:rPr>
          <w:rFonts w:ascii="Times New Roman" w:hAnsi="Times New Roman"/>
          <w:noProof/>
          <w:sz w:val="24"/>
        </w:rPr>
        <w:t xml:space="preserve"> za one države članice koje ih još nisu sklopile. Kako bi se ublažio rast cijena plina, ACER bi dobio zadaću izrade </w:t>
      </w:r>
      <w:r>
        <w:rPr>
          <w:rFonts w:ascii="Times New Roman" w:hAnsi="Times New Roman"/>
          <w:b/>
          <w:bCs/>
          <w:noProof/>
          <w:sz w:val="24"/>
        </w:rPr>
        <w:t>novih komplementarnih referentnih vrijednosti za nabavu UPP-a</w:t>
      </w:r>
      <w:r>
        <w:rPr>
          <w:rFonts w:ascii="Times New Roman" w:hAnsi="Times New Roman"/>
          <w:noProof/>
          <w:sz w:val="24"/>
        </w:rPr>
        <w:t xml:space="preserve">. Štoviše, kao odgovor na trenutačnu krizu opskrbe energijom Komisija predlaže uvođenje mehanizma </w:t>
      </w:r>
      <w:r>
        <w:rPr>
          <w:rFonts w:ascii="Times New Roman" w:hAnsi="Times New Roman"/>
          <w:b/>
          <w:bCs/>
          <w:noProof/>
          <w:sz w:val="24"/>
        </w:rPr>
        <w:t>za ograničavanje cijena na glavnoj europskoj burzi plina,</w:t>
      </w:r>
      <w:r>
        <w:rPr>
          <w:rFonts w:ascii="Times New Roman" w:hAnsi="Times New Roman"/>
          <w:noProof/>
          <w:sz w:val="24"/>
        </w:rPr>
        <w:t xml:space="preserve"> TTF-u, koji bi se aktivirao prema potrebi.</w:t>
      </w:r>
    </w:p>
    <w:p w14:paraId="40BE476F" w14:textId="125F0A39" w:rsidR="006847D4" w:rsidRPr="00577846" w:rsidRDefault="00427B59" w:rsidP="008A54AE">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Komisija pomno prati napredak u </w:t>
      </w:r>
      <w:r>
        <w:rPr>
          <w:rFonts w:ascii="Times New Roman" w:hAnsi="Times New Roman"/>
          <w:b/>
          <w:noProof/>
          <w:sz w:val="24"/>
        </w:rPr>
        <w:t>procjenama primjerenosti koje se trenutačno provode i koje bi trebale pružiti pregled konkretnih rizika ove zime</w:t>
      </w:r>
      <w:r>
        <w:rPr>
          <w:rFonts w:ascii="Times New Roman" w:hAnsi="Times New Roman"/>
          <w:noProof/>
          <w:sz w:val="24"/>
        </w:rPr>
        <w:t xml:space="preserve"> te o njemu raspravlja s državama članicama.</w:t>
      </w:r>
      <w:r>
        <w:rPr>
          <w:rFonts w:ascii="Times New Roman" w:hAnsi="Times New Roman"/>
          <w:b/>
          <w:noProof/>
          <w:sz w:val="24"/>
        </w:rPr>
        <w:t xml:space="preserve"> </w:t>
      </w:r>
      <w:r>
        <w:rPr>
          <w:rFonts w:ascii="Times New Roman" w:hAnsi="Times New Roman"/>
          <w:noProof/>
          <w:sz w:val="24"/>
        </w:rPr>
        <w:t>Te se procjene temelje na najnovijim mjerama i stanju izvora proizvodnje tijekom zime te na mjerama potrebnima za otklanjanje konkretnih rizika. Takve bi mjere trebale omogućiti potpuno poštovanje unutarnjeg tržišta jer je prekogranična trgovina bitan element unutarnjeg tržišta, ali i ključan čimbenik europske solidarnosti u pogledu električne energije i plina. Stoga svako neopravdano ograničenje može ugroziti sigurnost opskrbe država članica, regija i EU-a električnom energijom.</w:t>
      </w:r>
    </w:p>
    <w:p w14:paraId="5EC742F7" w14:textId="77777777" w:rsidR="00A1076D" w:rsidRPr="00577846" w:rsidRDefault="006679D9" w:rsidP="008A54AE">
      <w:pPr>
        <w:keepNext/>
        <w:spacing w:before="240" w:after="240" w:line="240" w:lineRule="auto"/>
        <w:ind w:left="482" w:hanging="482"/>
        <w:jc w:val="both"/>
        <w:outlineLvl w:val="0"/>
        <w:rPr>
          <w:rFonts w:ascii="Times New Roman" w:eastAsiaTheme="minorEastAsia" w:hAnsi="Times New Roman" w:cs="Times New Roman"/>
          <w:b/>
          <w:smallCaps/>
          <w:noProof/>
          <w:sz w:val="24"/>
          <w:szCs w:val="20"/>
        </w:rPr>
      </w:pPr>
      <w:r>
        <w:rPr>
          <w:rFonts w:ascii="Times New Roman" w:hAnsi="Times New Roman"/>
          <w:b/>
          <w:smallCaps/>
          <w:noProof/>
          <w:sz w:val="24"/>
        </w:rPr>
        <w:t>2.1. OPSKRBA ENERGIJOM</w:t>
      </w:r>
    </w:p>
    <w:p w14:paraId="1D60EF2D" w14:textId="216CBFC1" w:rsidR="00453B1D" w:rsidRDefault="00A056F0" w:rsidP="00180930">
      <w:pPr>
        <w:spacing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b/>
          <w:noProof/>
          <w:color w:val="000000" w:themeColor="text1"/>
          <w:sz w:val="24"/>
        </w:rPr>
        <w:t>Od početka ruske invazije na Ukrajinu Rusija manipulira opskrbom plinom kako bi narušila solidarnost i energetsku sigurnost EU-a</w:t>
      </w:r>
      <w:r>
        <w:rPr>
          <w:rFonts w:ascii="Times New Roman" w:hAnsi="Times New Roman"/>
          <w:noProof/>
          <w:sz w:val="24"/>
        </w:rPr>
        <w:t>.</w:t>
      </w:r>
      <w:r>
        <w:rPr>
          <w:rFonts w:ascii="Times New Roman" w:hAnsi="Times New Roman"/>
          <w:noProof/>
          <w:color w:val="000000"/>
          <w:sz w:val="24"/>
        </w:rPr>
        <w:t xml:space="preserve"> Općenito, 13 država članica izravno je pogođeno djelomičnim ili potpunim </w:t>
      </w:r>
      <w:r>
        <w:rPr>
          <w:rFonts w:ascii="Times New Roman" w:hAnsi="Times New Roman"/>
          <w:b/>
          <w:noProof/>
          <w:color w:val="000000"/>
          <w:sz w:val="24"/>
        </w:rPr>
        <w:t>smanjenjem opskrbe</w:t>
      </w:r>
      <w:r>
        <w:rPr>
          <w:rFonts w:ascii="Times New Roman" w:eastAsia="Calibri" w:hAnsi="Times New Roman" w:cs="Times New Roman"/>
          <w:b/>
          <w:bCs/>
          <w:noProof/>
          <w:color w:val="000000"/>
          <w:sz w:val="24"/>
          <w:szCs w:val="24"/>
          <w:vertAlign w:val="superscript"/>
        </w:rPr>
        <w:footnoteReference w:id="13"/>
      </w:r>
      <w:r>
        <w:rPr>
          <w:rFonts w:ascii="Times New Roman" w:hAnsi="Times New Roman"/>
          <w:noProof/>
          <w:color w:val="000000"/>
          <w:sz w:val="24"/>
        </w:rPr>
        <w:t xml:space="preserve">, a </w:t>
      </w:r>
      <w:r>
        <w:rPr>
          <w:rFonts w:ascii="Times New Roman" w:hAnsi="Times New Roman"/>
          <w:b/>
          <w:noProof/>
          <w:color w:val="000000"/>
          <w:sz w:val="24"/>
        </w:rPr>
        <w:t>pet država članica</w:t>
      </w:r>
      <w:r>
        <w:rPr>
          <w:rFonts w:ascii="Times New Roman" w:hAnsi="Times New Roman"/>
          <w:noProof/>
          <w:color w:val="000000"/>
          <w:sz w:val="24"/>
        </w:rPr>
        <w:t xml:space="preserve"> (Bugarska, Poljska, Litva, Latvija i Finska) </w:t>
      </w:r>
      <w:r>
        <w:rPr>
          <w:rFonts w:ascii="Times New Roman" w:hAnsi="Times New Roman"/>
          <w:b/>
          <w:noProof/>
          <w:color w:val="000000"/>
          <w:sz w:val="24"/>
        </w:rPr>
        <w:t>više ne dobivaju plin iz Rusije</w:t>
      </w:r>
      <w:r>
        <w:rPr>
          <w:rFonts w:ascii="Times New Roman" w:hAnsi="Times New Roman"/>
          <w:noProof/>
          <w:color w:val="000000"/>
          <w:sz w:val="24"/>
        </w:rPr>
        <w:t xml:space="preserve">. </w:t>
      </w:r>
      <w:r>
        <w:rPr>
          <w:rFonts w:ascii="Times New Roman" w:hAnsi="Times New Roman"/>
          <w:b/>
          <w:noProof/>
          <w:color w:val="000000"/>
          <w:sz w:val="24"/>
        </w:rPr>
        <w:t>Gazprom je</w:t>
      </w:r>
      <w:r>
        <w:rPr>
          <w:rFonts w:ascii="Times New Roman" w:hAnsi="Times New Roman"/>
          <w:noProof/>
          <w:color w:val="000000"/>
          <w:sz w:val="24"/>
        </w:rPr>
        <w:t xml:space="preserve"> do početka rujna </w:t>
      </w:r>
      <w:r>
        <w:rPr>
          <w:rFonts w:ascii="Times New Roman" w:hAnsi="Times New Roman"/>
          <w:b/>
          <w:noProof/>
          <w:color w:val="000000"/>
          <w:sz w:val="24"/>
        </w:rPr>
        <w:t>postupno smanjivao protok plina</w:t>
      </w:r>
      <w:r>
        <w:rPr>
          <w:rFonts w:ascii="Times New Roman" w:hAnsi="Times New Roman"/>
          <w:noProof/>
          <w:color w:val="000000"/>
          <w:sz w:val="24"/>
        </w:rPr>
        <w:t xml:space="preserve"> Sjevernim tokom 1 i u konačnici ga u potpunosti obustavio, a nedavni incidenti u vezi sa Sjevernim tokom 1 i 2 bili su još jedno upozorenje da EU mora ojačati sigurnost opskrbe i povećati mjere pripravnosti na rješavanje mogućih ozbiljnih poremećaja. Energetski sustav EU-a snažan je, među ostalim i u pogledu hibridnih prijetnji.  Međutim, uz to što moramo osigurati sigurnu opskrbu energijom, moramo nastaviti rad na zaštiti ključne infrastrukture i kibersigurnosti. </w:t>
      </w:r>
      <w:r>
        <w:rPr>
          <w:rFonts w:ascii="Times New Roman" w:hAnsi="Times New Roman"/>
          <w:noProof/>
          <w:color w:val="000000" w:themeColor="text1"/>
          <w:sz w:val="24"/>
        </w:rPr>
        <w:t xml:space="preserve">Stalne manipulacije </w:t>
      </w:r>
      <w:r>
        <w:rPr>
          <w:rFonts w:ascii="Times New Roman" w:hAnsi="Times New Roman"/>
          <w:b/>
          <w:noProof/>
          <w:color w:val="000000" w:themeColor="text1"/>
          <w:sz w:val="24"/>
        </w:rPr>
        <w:t>opskrbom plina</w:t>
      </w:r>
      <w:r>
        <w:rPr>
          <w:rFonts w:ascii="Times New Roman" w:hAnsi="Times New Roman"/>
          <w:noProof/>
          <w:color w:val="000000" w:themeColor="text1"/>
          <w:sz w:val="24"/>
        </w:rPr>
        <w:t xml:space="preserve"> u EU-u dovele su do znatnog smanjenja ruskog udjela u našem uvozu plinovodima. Iako je u 2021. 41 % opskrbe EU-a plinom pristizalo iz Rusije, </w:t>
      </w:r>
      <w:r>
        <w:rPr>
          <w:rFonts w:ascii="Times New Roman" w:hAnsi="Times New Roman"/>
          <w:b/>
          <w:bCs/>
          <w:noProof/>
          <w:color w:val="000000" w:themeColor="text1"/>
          <w:sz w:val="24"/>
        </w:rPr>
        <w:t>uvoz plina iz ruskih plinovoda smanjio se na 9 % u rujnu 2022</w:t>
      </w:r>
      <w:r>
        <w:rPr>
          <w:rFonts w:ascii="Times New Roman" w:hAnsi="Times New Roman"/>
          <w:noProof/>
          <w:color w:val="000000" w:themeColor="text1"/>
          <w:sz w:val="24"/>
        </w:rPr>
        <w:t xml:space="preserve">. </w:t>
      </w:r>
    </w:p>
    <w:p w14:paraId="2AC444FA" w14:textId="681BA542" w:rsidR="00A0653E" w:rsidRPr="00577846" w:rsidRDefault="00AF14E4" w:rsidP="008A54AE">
      <w:pPr>
        <w:spacing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Provedbom plana REPowerEU i vanjske energetske strategije EU-a stalno smanjenje ruske opskrbe od početka rata nadoknađeno je povećanjem opskrbe alternativnim plinom zahvaljujući uspješnom radu na uključivanju međunarodnih partnera. Od siječnja do srpnja neruske isporuke ukapljenog prirodnog plina (UPP) povećale su se za 19 bcm, a isporuke plinovodima za 14 bcm. </w:t>
      </w:r>
      <w:r>
        <w:rPr>
          <w:rFonts w:ascii="Times New Roman" w:hAnsi="Times New Roman"/>
          <w:b/>
          <w:noProof/>
          <w:color w:val="000000" w:themeColor="text1"/>
          <w:sz w:val="24"/>
        </w:rPr>
        <w:t>UPP je sad glavni izvor opskrbe EU-a i čini 32 % ukupnog neto uvoza plina</w:t>
      </w:r>
      <w:r>
        <w:rPr>
          <w:rFonts w:ascii="Times New Roman" w:hAnsi="Times New Roman"/>
          <w:noProof/>
          <w:color w:val="000000" w:themeColor="text1"/>
          <w:sz w:val="24"/>
        </w:rPr>
        <w:t xml:space="preserve">. Norveška i SAD glavni su dobavljači za EU. </w:t>
      </w:r>
    </w:p>
    <w:p w14:paraId="4696E411" w14:textId="6C3169C0" w:rsidR="00DA13E8" w:rsidRPr="00577846" w:rsidRDefault="00453B1D" w:rsidP="008A54AE">
      <w:pPr>
        <w:spacing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Komisija je odlučila djelovati i u pogledu glavnog elementa pripravnosti za zimu:</w:t>
      </w:r>
      <w:r>
        <w:rPr>
          <w:rFonts w:ascii="Times New Roman" w:hAnsi="Times New Roman"/>
          <w:noProof/>
          <w:color w:val="000000" w:themeColor="text1"/>
          <w:sz w:val="24"/>
        </w:rPr>
        <w:t xml:space="preserve"> </w:t>
      </w:r>
      <w:r>
        <w:rPr>
          <w:rFonts w:ascii="Times New Roman" w:hAnsi="Times New Roman"/>
          <w:b/>
          <w:noProof/>
          <w:color w:val="000000" w:themeColor="text1"/>
          <w:sz w:val="24"/>
        </w:rPr>
        <w:t>skladišta plina</w:t>
      </w:r>
      <w:r>
        <w:rPr>
          <w:rFonts w:ascii="Times New Roman" w:hAnsi="Times New Roman"/>
          <w:noProof/>
          <w:color w:val="000000" w:themeColor="text1"/>
          <w:sz w:val="24"/>
        </w:rPr>
        <w:t xml:space="preserve">. U Uredbi o skladištenju plina utvrđen je cilj da do studenoga 2022. skladišta plina budu popunjena barem 80 %. </w:t>
      </w:r>
      <w:r>
        <w:rPr>
          <w:rFonts w:ascii="Times New Roman" w:hAnsi="Times New Roman"/>
          <w:b/>
          <w:bCs/>
          <w:noProof/>
          <w:sz w:val="24"/>
        </w:rPr>
        <w:t>Skladišta plina u EU-u sredinom listopada napunjena su više od 91 %</w:t>
      </w:r>
      <w:r>
        <w:rPr>
          <w:rFonts w:ascii="Times New Roman" w:hAnsi="Times New Roman"/>
          <w:noProof/>
          <w:sz w:val="24"/>
        </w:rPr>
        <w:t>, a 14 država članica već je do 5. listopada 2022. premašilo cilj popunjenosti od 80 %.</w:t>
      </w:r>
      <w:r>
        <w:rPr>
          <w:rFonts w:ascii="Times New Roman" w:hAnsi="Times New Roman"/>
          <w:noProof/>
          <w:color w:val="000000" w:themeColor="text1"/>
          <w:sz w:val="24"/>
        </w:rPr>
        <w:t xml:space="preserve"> Sve države članice ispunjavaju svoje ciljeve u pogledu skladištenja, a Komisija nastavlja svoj rad na provedbi Uredbe kako bi državama članicama omogućila da ih postignu bez teškoća.</w:t>
      </w:r>
    </w:p>
    <w:p w14:paraId="25B83153" w14:textId="7F76190C" w:rsidR="00347108" w:rsidRPr="00577846" w:rsidRDefault="007F13DF" w:rsidP="008A54AE">
      <w:pPr>
        <w:spacing w:after="240" w:line="240" w:lineRule="auto"/>
        <w:jc w:val="both"/>
        <w:rPr>
          <w:rFonts w:ascii="Times New Roman" w:eastAsia="Calibri" w:hAnsi="Times New Roman" w:cs="Times New Roman"/>
          <w:noProof/>
          <w:color w:val="000000"/>
          <w:sz w:val="24"/>
          <w:szCs w:val="24"/>
          <w:highlight w:val="yellow"/>
        </w:rPr>
      </w:pPr>
      <w:r>
        <w:rPr>
          <w:rFonts w:ascii="Times New Roman" w:hAnsi="Times New Roman"/>
          <w:b/>
          <w:noProof/>
          <w:color w:val="000000"/>
          <w:sz w:val="24"/>
        </w:rPr>
        <w:t xml:space="preserve">Na opskrbu električnom energijom u EU-u utjecali su i drugi poremećaji. </w:t>
      </w:r>
      <w:r>
        <w:rPr>
          <w:rFonts w:ascii="Times New Roman" w:hAnsi="Times New Roman"/>
          <w:noProof/>
          <w:sz w:val="24"/>
        </w:rPr>
        <w:t xml:space="preserve">EU je od svibnja do kolovoza 2022. proizveo rekordnih 12 % svoje električne energije iz </w:t>
      </w:r>
      <w:r>
        <w:rPr>
          <w:rFonts w:ascii="Times New Roman" w:hAnsi="Times New Roman"/>
          <w:b/>
          <w:noProof/>
          <w:sz w:val="24"/>
        </w:rPr>
        <w:t>solarne energije</w:t>
      </w:r>
      <w:r>
        <w:rPr>
          <w:rFonts w:ascii="Times New Roman" w:hAnsi="Times New Roman"/>
          <w:noProof/>
          <w:sz w:val="24"/>
        </w:rPr>
        <w:t xml:space="preserve"> te 13 % iz </w:t>
      </w:r>
      <w:r>
        <w:rPr>
          <w:rFonts w:ascii="Times New Roman" w:hAnsi="Times New Roman"/>
          <w:b/>
          <w:noProof/>
          <w:sz w:val="24"/>
        </w:rPr>
        <w:t>energije vjetra</w:t>
      </w:r>
      <w:r>
        <w:rPr>
          <w:rFonts w:ascii="Times New Roman" w:hAnsi="Times New Roman"/>
          <w:noProof/>
          <w:sz w:val="24"/>
        </w:rPr>
        <w:t xml:space="preserve">, međutim, udio </w:t>
      </w:r>
      <w:r>
        <w:rPr>
          <w:rFonts w:ascii="Times New Roman" w:hAnsi="Times New Roman"/>
          <w:b/>
          <w:noProof/>
          <w:sz w:val="24"/>
        </w:rPr>
        <w:t>hidroenergije</w:t>
      </w:r>
      <w:r>
        <w:rPr>
          <w:rStyle w:val="FootnoteReference"/>
          <w:rFonts w:ascii="Times New Roman" w:eastAsia="Calibri" w:hAnsi="Times New Roman" w:cs="Times New Roman"/>
          <w:bCs/>
          <w:noProof/>
          <w:sz w:val="24"/>
          <w:szCs w:val="24"/>
        </w:rPr>
        <w:footnoteReference w:id="14"/>
      </w:r>
      <w:r>
        <w:rPr>
          <w:rFonts w:ascii="Times New Roman" w:hAnsi="Times New Roman"/>
          <w:noProof/>
          <w:sz w:val="24"/>
        </w:rPr>
        <w:t xml:space="preserve"> smanjio se s 14 % na 11 % u odnosu na prethodne godine zbog niskog vodostaja u nekoliko rijeka i rezervoara, povezanog s ljetnim sušama.</w:t>
      </w:r>
    </w:p>
    <w:p w14:paraId="26490C21" w14:textId="77777777" w:rsidR="00352340" w:rsidRPr="00577846" w:rsidRDefault="00816705" w:rsidP="008A54AE">
      <w:pPr>
        <w:pStyle w:val="paywall"/>
        <w:shd w:val="clear" w:color="auto" w:fill="FFFFFF"/>
        <w:spacing w:after="0"/>
        <w:jc w:val="both"/>
        <w:textAlignment w:val="baseline"/>
        <w:rPr>
          <w:rFonts w:eastAsia="Calibri"/>
          <w:bCs/>
          <w:noProof/>
          <w:color w:val="000000"/>
        </w:rPr>
      </w:pPr>
      <w:r>
        <w:rPr>
          <w:noProof/>
          <w:color w:val="000000"/>
        </w:rPr>
        <w:t xml:space="preserve">Godine 2020. u </w:t>
      </w:r>
      <w:r>
        <w:rPr>
          <w:b/>
          <w:noProof/>
          <w:color w:val="000000"/>
        </w:rPr>
        <w:t>nuklearnim</w:t>
      </w:r>
      <w:r>
        <w:rPr>
          <w:noProof/>
          <w:color w:val="000000"/>
        </w:rPr>
        <w:t xml:space="preserve"> elektranama proizvedeno je približno 24,6 %</w:t>
      </w:r>
      <w:r>
        <w:rPr>
          <w:rStyle w:val="FootnoteReference"/>
          <w:rFonts w:eastAsia="Calibri"/>
          <w:bCs/>
          <w:noProof/>
          <w:color w:val="000000"/>
          <w:lang w:val="en-IE"/>
        </w:rPr>
        <w:footnoteReference w:id="15"/>
      </w:r>
      <w:r>
        <w:rPr>
          <w:noProof/>
          <w:color w:val="000000"/>
        </w:rPr>
        <w:t xml:space="preserve"> ukupne električne energije proizvedene u EU-u. Međutim, </w:t>
      </w:r>
      <w:r>
        <w:rPr>
          <w:b/>
          <w:noProof/>
          <w:color w:val="000000"/>
        </w:rPr>
        <w:t>nuklearne elektrane u EU-u zastarjele su i dok se ne pokrenu nova ulaganja, njihova ukupna proizvodnja privremeno će se smanjiti do kraja desetljeća</w:t>
      </w:r>
      <w:r>
        <w:rPr>
          <w:rStyle w:val="FootnoteReference"/>
          <w:rFonts w:eastAsia="Calibri"/>
          <w:bCs/>
          <w:noProof/>
          <w:color w:val="000000"/>
          <w:lang w:val="en-IE"/>
        </w:rPr>
        <w:footnoteReference w:id="16"/>
      </w:r>
      <w:r>
        <w:rPr>
          <w:b/>
          <w:noProof/>
          <w:color w:val="000000"/>
        </w:rPr>
        <w:t>.</w:t>
      </w:r>
      <w:r>
        <w:rPr>
          <w:noProof/>
          <w:color w:val="000000"/>
        </w:rPr>
        <w:t xml:space="preserve"> Suše i visoke temperature dovele su do nedostatka vode za hlađenje nuklearnih elektrana te niskog vodostaja, koji je otežao proizvodnju i transport nuklearnog goriva. Zbog toga je 2022. proizvodnja smanjena.</w:t>
      </w:r>
    </w:p>
    <w:p w14:paraId="5B6312B2" w14:textId="021A215C" w:rsidR="00715B50" w:rsidRPr="00577846" w:rsidRDefault="007F13DF" w:rsidP="008A54AE">
      <w:pPr>
        <w:pStyle w:val="paywall"/>
        <w:shd w:val="clear" w:color="auto" w:fill="FFFFFF"/>
        <w:spacing w:after="0"/>
        <w:jc w:val="both"/>
        <w:textAlignment w:val="baseline"/>
        <w:rPr>
          <w:b/>
          <w:noProof/>
          <w:szCs w:val="20"/>
        </w:rPr>
      </w:pPr>
      <w:r>
        <w:rPr>
          <w:b/>
          <w:noProof/>
        </w:rPr>
        <w:t>Od ožujka 2022. uočeni su sve veće pomanjkanje, pa čak i nestašica nekih ključnih naftnih derivata</w:t>
      </w:r>
      <w:r>
        <w:rPr>
          <w:noProof/>
        </w:rPr>
        <w:t xml:space="preserve"> (ponajviše dizela, mlaznog goriva i loživog ulja), </w:t>
      </w:r>
      <w:r>
        <w:rPr>
          <w:b/>
          <w:noProof/>
        </w:rPr>
        <w:t>uglavnom zbog sve veće potražnje</w:t>
      </w:r>
      <w:r>
        <w:rPr>
          <w:noProof/>
        </w:rPr>
        <w:t xml:space="preserve"> i samosankcioniranja operatera iz EU-a uslijed iščekivanja mjera na razini EU-a. Ta se situacija tijekom ljeta pogoršala zbog </w:t>
      </w:r>
      <w:r>
        <w:rPr>
          <w:b/>
          <w:noProof/>
        </w:rPr>
        <w:t>incidenata u nekim rafinerijama u EU-u te zbog nekih logističkih teškoća</w:t>
      </w:r>
      <w:r>
        <w:rPr>
          <w:noProof/>
        </w:rPr>
        <w:t xml:space="preserve"> uzrokovanih niskim vodostajem rijeka Rajne i Dunava, koje su ključni plovni putovi za prijevoz goriva. To je potaknulo neke države članice da </w:t>
      </w:r>
      <w:r>
        <w:rPr>
          <w:b/>
          <w:noProof/>
        </w:rPr>
        <w:t>puste u promet zalihe nafte za slučaj nužde</w:t>
      </w:r>
      <w:r>
        <w:rPr>
          <w:noProof/>
        </w:rPr>
        <w:t xml:space="preserve"> kako bi nadoknadile nestašicu naftnih derivata. Komisija kontinuirano prati razvoj događaja u bliskoj suradnji s državama članicama i Europskom skupinom za koordinaciju nafte. </w:t>
      </w:r>
    </w:p>
    <w:p w14:paraId="02D12629" w14:textId="77777777" w:rsidR="006679D9" w:rsidRDefault="006679D9" w:rsidP="008A54AE">
      <w:pPr>
        <w:pStyle w:val="paywall"/>
        <w:shd w:val="clear" w:color="auto" w:fill="FFFFFF"/>
        <w:spacing w:after="0"/>
        <w:jc w:val="both"/>
        <w:textAlignment w:val="baseline"/>
        <w:rPr>
          <w:rFonts w:eastAsiaTheme="minorEastAsia"/>
          <w:b/>
          <w:smallCaps/>
          <w:noProof/>
          <w:szCs w:val="20"/>
        </w:rPr>
      </w:pPr>
      <w:r>
        <w:rPr>
          <w:b/>
          <w:smallCaps/>
          <w:noProof/>
        </w:rPr>
        <w:t xml:space="preserve">2.2. </w:t>
      </w:r>
      <w:bookmarkStart w:id="3" w:name="_Hlk114741468"/>
      <w:r>
        <w:rPr>
          <w:b/>
          <w:smallCaps/>
          <w:noProof/>
        </w:rPr>
        <w:t>DIVERSIFIKACIJA OPSKRBE ENERGIJOM U EU-u</w:t>
      </w:r>
      <w:bookmarkEnd w:id="3"/>
    </w:p>
    <w:p w14:paraId="2CB1B129" w14:textId="2205250A" w:rsidR="00326D72" w:rsidRPr="00CC2760" w:rsidRDefault="00326D72" w:rsidP="00CC2760">
      <w:pPr>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EU kao najveći uvoznik prirodnog plina na svijetu ima opsežnu strategiju </w:t>
      </w:r>
      <w:r>
        <w:rPr>
          <w:rFonts w:ascii="Times New Roman" w:hAnsi="Times New Roman"/>
          <w:b/>
          <w:noProof/>
          <w:color w:val="000000"/>
          <w:sz w:val="24"/>
        </w:rPr>
        <w:t>diversifikacije izvora i pravaca uvoza prirodnog plina</w:t>
      </w:r>
      <w:r>
        <w:rPr>
          <w:rFonts w:ascii="Times New Roman" w:hAnsi="Times New Roman"/>
          <w:noProof/>
          <w:color w:val="000000"/>
          <w:sz w:val="24"/>
        </w:rPr>
        <w:t xml:space="preserve">. Ona uključuje povezivanje EU-a s novim izvorima opskrbe, primjerice preko </w:t>
      </w:r>
      <w:r>
        <w:rPr>
          <w:rFonts w:ascii="Times New Roman" w:hAnsi="Times New Roman"/>
          <w:b/>
          <w:noProof/>
          <w:color w:val="000000"/>
          <w:sz w:val="24"/>
        </w:rPr>
        <w:t>južnog plinskog koridora</w:t>
      </w:r>
      <w:r>
        <w:rPr>
          <w:rFonts w:ascii="Times New Roman" w:hAnsi="Times New Roman"/>
          <w:noProof/>
          <w:color w:val="000000"/>
          <w:sz w:val="24"/>
        </w:rPr>
        <w:t xml:space="preserve"> i novih izvora UPP-a na području Sredozemlja. Diversifikacija je nedavno ubrzana, primjerice upotrebom </w:t>
      </w:r>
      <w:r>
        <w:rPr>
          <w:rFonts w:ascii="Times New Roman" w:hAnsi="Times New Roman"/>
          <w:b/>
          <w:noProof/>
          <w:color w:val="000000"/>
          <w:sz w:val="24"/>
        </w:rPr>
        <w:t>baltičkog plinovoda</w:t>
      </w:r>
      <w:r>
        <w:rPr>
          <w:rFonts w:ascii="Times New Roman" w:hAnsi="Times New Roman"/>
          <w:noProof/>
          <w:color w:val="000000"/>
          <w:sz w:val="24"/>
        </w:rPr>
        <w:t xml:space="preserve"> putem transeuropske energetske mreže, koja je otvorena 28. rujna 2022. Baltički plinovod pospješuje diversifikaciju opskrbe plinom u srednjoistočnoj Europi i baltičkim državama jer je njime otvorena novi uvozni pravac iz Sjevernog mora u EU. Omogućit će uvoz do 10 milijardi bcm plina godišnje iz Norveške u Poljsku i prijevoz 3 milijarde bcm plina iz Poljske u Dansku. Nedavno je, 1. listopada, svečano otvoren i grčko-bugarski spojni vod, koji je ključan čimbenik promjene u strategiji diversifikacije i otpornosti. </w:t>
      </w:r>
    </w:p>
    <w:p w14:paraId="37E64990" w14:textId="1B3007BE" w:rsidR="005C0EDC" w:rsidRPr="00577846" w:rsidRDefault="00395EA6" w:rsidP="008A54AE">
      <w:pPr>
        <w:spacing w:after="120" w:line="240" w:lineRule="auto"/>
        <w:jc w:val="both"/>
        <w:rPr>
          <w:rFonts w:ascii="Times New Roman" w:eastAsia="MS Mincho" w:hAnsi="Times New Roman" w:cs="Times New Roman"/>
          <w:noProof/>
          <w:sz w:val="24"/>
          <w:szCs w:val="24"/>
        </w:rPr>
      </w:pPr>
      <w:r>
        <w:rPr>
          <w:rFonts w:ascii="Times New Roman" w:hAnsi="Times New Roman"/>
          <w:noProof/>
          <w:color w:val="000000"/>
          <w:sz w:val="24"/>
        </w:rPr>
        <w:t xml:space="preserve">Suočene s trenutačnim pritiskom u pogledu opskrbe energijom Komisija i države članice uspostavile su </w:t>
      </w:r>
      <w:r>
        <w:rPr>
          <w:rFonts w:ascii="Times New Roman" w:hAnsi="Times New Roman"/>
          <w:b/>
          <w:noProof/>
          <w:color w:val="000000"/>
          <w:sz w:val="24"/>
        </w:rPr>
        <w:t>Platformu EU-a za energiju</w:t>
      </w:r>
      <w:r>
        <w:rPr>
          <w:rFonts w:ascii="Times New Roman" w:hAnsi="Times New Roman"/>
          <w:noProof/>
          <w:color w:val="000000"/>
          <w:sz w:val="24"/>
        </w:rPr>
        <w:t xml:space="preserve"> kao </w:t>
      </w:r>
      <w:r>
        <w:rPr>
          <w:rFonts w:ascii="Times New Roman" w:hAnsi="Times New Roman"/>
          <w:b/>
          <w:noProof/>
          <w:color w:val="000000"/>
          <w:sz w:val="24"/>
        </w:rPr>
        <w:t>dobrovoljni mehanizam koordinacije namijenjen za pružanje potpore pri kupnji plina, UPP-a i vodika</w:t>
      </w:r>
      <w:r>
        <w:rPr>
          <w:rFonts w:ascii="Times New Roman" w:hAnsi="Times New Roman"/>
          <w:noProof/>
          <w:color w:val="000000"/>
          <w:sz w:val="24"/>
        </w:rPr>
        <w:t xml:space="preserve"> i pružanje pomoći u diversifikaciji opskrbe plinom. Platforma EU-a za energiju temelji se na trima stupovima: objedinjavanje potražnje za plinom radi zajedničke kupnje, optimizacija upotrebe infrastrukture</w:t>
      </w:r>
      <w:r>
        <w:rPr>
          <w:rFonts w:ascii="Times New Roman" w:hAnsi="Times New Roman"/>
          <w:noProof/>
          <w:sz w:val="24"/>
        </w:rPr>
        <w:t xml:space="preserve"> u EU-u radi pružanja potpore pri promjeni modela protoka i koordinirano uključivanje međunarodnih partnera.</w:t>
      </w:r>
    </w:p>
    <w:p w14:paraId="18A0F7BA" w14:textId="110D0A60" w:rsidR="000031A5" w:rsidRDefault="00A14785" w:rsidP="008A54AE">
      <w:pPr>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 xml:space="preserve">Ta je platforma ubrzala sklapanje </w:t>
      </w:r>
      <w:r>
        <w:rPr>
          <w:rFonts w:ascii="Times New Roman" w:hAnsi="Times New Roman"/>
          <w:b/>
          <w:noProof/>
          <w:sz w:val="24"/>
        </w:rPr>
        <w:t>sporazuma s pouzdanim i vjerodostojnim energetskim partnerima</w:t>
      </w:r>
      <w:r>
        <w:rPr>
          <w:rFonts w:ascii="Times New Roman" w:hAnsi="Times New Roman"/>
          <w:noProof/>
          <w:sz w:val="24"/>
        </w:rPr>
        <w:t xml:space="preserve"> radi diversifikacije i osiguravanja opskrbe energijom u EU-u u kratkoročnom i srednjoročnom razdoblju. U Kairu je 15. lipnja 2022. sklopljen trilateralni sporazum između </w:t>
      </w:r>
      <w:r>
        <w:rPr>
          <w:rFonts w:ascii="Times New Roman" w:hAnsi="Times New Roman"/>
          <w:b/>
          <w:noProof/>
          <w:sz w:val="24"/>
        </w:rPr>
        <w:t>EU-a, Egipta i Izraela</w:t>
      </w:r>
      <w:r>
        <w:rPr>
          <w:rFonts w:ascii="Times New Roman" w:hAnsi="Times New Roman"/>
          <w:noProof/>
          <w:sz w:val="24"/>
        </w:rPr>
        <w:t xml:space="preserve"> kako bi se omogućio izvoz plina iz Izraela u EU preko egipatskih terminala UPP-a. </w:t>
      </w:r>
      <w:r>
        <w:rPr>
          <w:rFonts w:ascii="Times New Roman" w:hAnsi="Times New Roman"/>
          <w:b/>
          <w:noProof/>
          <w:sz w:val="24"/>
        </w:rPr>
        <w:t>EU i Azerbajdžan</w:t>
      </w:r>
      <w:r>
        <w:rPr>
          <w:rFonts w:ascii="Times New Roman" w:hAnsi="Times New Roman"/>
          <w:noProof/>
          <w:sz w:val="24"/>
        </w:rPr>
        <w:t xml:space="preserve"> potpisali su 18. srpnja 2022. Memorandum o razumijevanju o strateškom partnerstvu u području energetike. Taj novi Memorandum o razumijevanju omogućit će udvostručivanje kapaciteta južnog plinskog koridora na najmanje 20 milijardi kubičnih metara godišnje od 2027. u skladu s planom REPowerEU te će se njime istodobno i dalje osiguravati privlačni i stabilni uvjeti za opskrbu EU-a prirodnim plinom na temelju dugotrajnog energetskog partnerstva između EU-a i Azerbajdžana. Osim toga, EU je intenzivirao dijalog o povećanju opskrbe plinom sa svojim pouzdanim partnerima, među ostalim sa SAD-om, Norveškom i Alžirom. Ujedno je intenzivirao razgovore s Kanadom o mogućoj opskrbi u srednjoročnom razdoblju. </w:t>
      </w:r>
    </w:p>
    <w:p w14:paraId="724C48F3" w14:textId="3EB2E0B0" w:rsidR="00A14785" w:rsidRPr="00577846" w:rsidRDefault="00280869" w:rsidP="008A54AE">
      <w:pPr>
        <w:spacing w:after="120" w:line="240" w:lineRule="auto"/>
        <w:jc w:val="both"/>
        <w:rPr>
          <w:rFonts w:ascii="Times New Roman" w:eastAsia="MS Mincho" w:hAnsi="Times New Roman" w:cs="Times New Roman"/>
          <w:noProof/>
          <w:sz w:val="24"/>
          <w:szCs w:val="24"/>
        </w:rPr>
      </w:pPr>
      <w:r>
        <w:rPr>
          <w:rFonts w:ascii="Times New Roman" w:hAnsi="Times New Roman"/>
          <w:noProof/>
          <w:color w:val="000000"/>
          <w:sz w:val="24"/>
        </w:rPr>
        <w:t xml:space="preserve">U svojem neposrednom </w:t>
      </w:r>
      <w:r>
        <w:rPr>
          <w:rFonts w:ascii="Times New Roman" w:hAnsi="Times New Roman"/>
          <w:b/>
          <w:noProof/>
          <w:color w:val="000000"/>
          <w:sz w:val="24"/>
        </w:rPr>
        <w:t>susjedstvu</w:t>
      </w:r>
      <w:r>
        <w:rPr>
          <w:rFonts w:ascii="Times New Roman" w:hAnsi="Times New Roman"/>
          <w:noProof/>
          <w:color w:val="000000"/>
          <w:sz w:val="24"/>
        </w:rPr>
        <w:t xml:space="preserve"> EU je poduzeo hrabar i jedinstven korak pružanja potpore za hitno usklađivanje ukrajinske i moldovske elektroenergetske mreže s kontinentalnom europskom elektroenergetskom mrežom, što je omogućilo očuvanje stabilnosti mreže i stvaranje uvjeta za uzajamno korisnu trgovinu električnom energijom.</w:t>
      </w:r>
      <w:r>
        <w:rPr>
          <w:rFonts w:ascii="Times New Roman" w:hAnsi="Times New Roman"/>
          <w:noProof/>
          <w:sz w:val="24"/>
        </w:rPr>
        <w:t xml:space="preserve"> </w:t>
      </w:r>
    </w:p>
    <w:p w14:paraId="73977CD3" w14:textId="4C2E3F49" w:rsidR="00A3464C" w:rsidRDefault="00E948A6" w:rsidP="00094087">
      <w:pPr>
        <w:spacing w:after="120" w:line="240" w:lineRule="auto"/>
        <w:jc w:val="both"/>
        <w:rPr>
          <w:rFonts w:ascii="Times New Roman" w:eastAsiaTheme="minorEastAsia" w:hAnsi="Times New Roman" w:cs="Times New Roman"/>
          <w:noProof/>
          <w:sz w:val="24"/>
          <w:szCs w:val="24"/>
        </w:rPr>
      </w:pPr>
      <w:bookmarkStart w:id="4" w:name="_Hlk114741457"/>
      <w:r>
        <w:rPr>
          <w:rFonts w:ascii="Times New Roman" w:hAnsi="Times New Roman"/>
          <w:noProof/>
          <w:sz w:val="24"/>
        </w:rPr>
        <w:t xml:space="preserve">Budući da su za uspjeh tog mehanizma ključni doprinosi poduzeća na tržištu plina, Komisija </w:t>
      </w:r>
      <w:r>
        <w:rPr>
          <w:rFonts w:ascii="Times New Roman" w:hAnsi="Times New Roman"/>
          <w:b/>
          <w:noProof/>
          <w:sz w:val="24"/>
        </w:rPr>
        <w:t>uspostavlja</w:t>
      </w:r>
      <w:r>
        <w:rPr>
          <w:rFonts w:ascii="Times New Roman" w:hAnsi="Times New Roman"/>
          <w:noProof/>
          <w:sz w:val="24"/>
        </w:rPr>
        <w:t xml:space="preserve"> i </w:t>
      </w:r>
      <w:r>
        <w:rPr>
          <w:rFonts w:ascii="Times New Roman" w:hAnsi="Times New Roman"/>
          <w:b/>
          <w:noProof/>
          <w:sz w:val="24"/>
        </w:rPr>
        <w:t>Industrijsku savjetodavnu skupinu</w:t>
      </w:r>
      <w:r>
        <w:rPr>
          <w:rStyle w:val="FootnoteReference"/>
          <w:rFonts w:ascii="Times New Roman" w:eastAsiaTheme="minorEastAsia" w:hAnsi="Times New Roman" w:cs="Times New Roman"/>
          <w:b/>
          <w:bCs/>
          <w:noProof/>
          <w:sz w:val="24"/>
          <w:szCs w:val="24"/>
        </w:rPr>
        <w:footnoteReference w:id="17"/>
      </w:r>
      <w:r>
        <w:rPr>
          <w:rFonts w:ascii="Times New Roman" w:hAnsi="Times New Roman"/>
          <w:b/>
          <w:noProof/>
          <w:sz w:val="24"/>
        </w:rPr>
        <w:t>.</w:t>
      </w:r>
      <w:r>
        <w:rPr>
          <w:rFonts w:ascii="Times New Roman" w:hAnsi="Times New Roman"/>
          <w:noProof/>
          <w:sz w:val="24"/>
        </w:rPr>
        <w:t xml:space="preserve"> Ta će skupina savjetovati Komisiju o praktičnoj provedbi zajedničke nabave i tehničkim specifikacijama za zajedničku nabavu u skladu s potrebama industrije. Razmatrat će mehanizme kao što je zajednička javna nabava i uspostavu zajedničkih pothvata za nabavu plina. </w:t>
      </w:r>
    </w:p>
    <w:p w14:paraId="159C8FE2" w14:textId="77777777" w:rsidR="00094087" w:rsidRPr="00577846" w:rsidRDefault="00094087" w:rsidP="00094087">
      <w:pPr>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sz w:val="24"/>
        </w:rPr>
        <w:t xml:space="preserve">Suradnja s industrijom već donosi rezultate. Na primjer, </w:t>
      </w:r>
      <w:r>
        <w:rPr>
          <w:rFonts w:ascii="Times New Roman" w:hAnsi="Times New Roman"/>
          <w:noProof/>
          <w:color w:val="000000"/>
          <w:sz w:val="24"/>
        </w:rPr>
        <w:t xml:space="preserve">službenim pokretanjem </w:t>
      </w:r>
      <w:r>
        <w:rPr>
          <w:rFonts w:ascii="Times New Roman" w:hAnsi="Times New Roman"/>
          <w:b/>
          <w:bCs/>
          <w:noProof/>
          <w:color w:val="000000"/>
          <w:sz w:val="24"/>
        </w:rPr>
        <w:t>industrijskog partnerstva za biometan (BIP)</w:t>
      </w:r>
      <w:r>
        <w:rPr>
          <w:rFonts w:ascii="Times New Roman" w:hAnsi="Times New Roman"/>
          <w:noProof/>
          <w:color w:val="000000"/>
          <w:sz w:val="24"/>
        </w:rPr>
        <w:t xml:space="preserve"> postignuta je važna prekretnica za provedbu akcijskog plana REPowerEU u pogledu </w:t>
      </w:r>
      <w:r>
        <w:rPr>
          <w:rFonts w:ascii="Times New Roman" w:hAnsi="Times New Roman"/>
          <w:b/>
          <w:bCs/>
          <w:noProof/>
          <w:color w:val="000000"/>
          <w:sz w:val="24"/>
        </w:rPr>
        <w:t>biometana</w:t>
      </w:r>
      <w:r>
        <w:rPr>
          <w:rFonts w:ascii="Times New Roman" w:hAnsi="Times New Roman"/>
          <w:noProof/>
          <w:color w:val="000000"/>
          <w:sz w:val="24"/>
        </w:rPr>
        <w:t xml:space="preserve">. Akcijskim planom olakšat će se postizanje cilja da se do 2030. u EU-u godišnje proizvode 35 bcm održivog biometana. Industrijsko partnerstvo za biometan poduprijet će njegovu provedbu uspostavom nekoliko radnih skupina sastavljenih od stručnjaka iz industrije, javnih tijela primarnog sektora, akademske zajednice i civilnog društva. </w:t>
      </w:r>
    </w:p>
    <w:p w14:paraId="324893DD" w14:textId="18009D10" w:rsidR="00A43866" w:rsidRPr="00577846" w:rsidRDefault="00A43866" w:rsidP="008A54AE">
      <w:pPr>
        <w:spacing w:line="240" w:lineRule="auto"/>
        <w:jc w:val="both"/>
        <w:rPr>
          <w:rFonts w:ascii="Times New Roman" w:eastAsia="Times New Roman" w:hAnsi="Times New Roman" w:cs="Times New Roman"/>
          <w:noProof/>
          <w:sz w:val="24"/>
          <w:szCs w:val="24"/>
        </w:rPr>
      </w:pPr>
      <w:bookmarkStart w:id="5" w:name="_Hlk114741529"/>
      <w:r>
        <w:rPr>
          <w:rFonts w:ascii="Times New Roman" w:hAnsi="Times New Roman"/>
          <w:noProof/>
          <w:sz w:val="24"/>
        </w:rPr>
        <w:t xml:space="preserve">Nadalje, </w:t>
      </w:r>
      <w:r>
        <w:rPr>
          <w:rFonts w:ascii="Times New Roman" w:hAnsi="Times New Roman"/>
          <w:b/>
          <w:noProof/>
          <w:sz w:val="24"/>
        </w:rPr>
        <w:t>u okviru Platforme za energiju uspostavljeno je pet regionalnih skupina</w:t>
      </w:r>
      <w:r>
        <w:rPr>
          <w:rFonts w:ascii="Times New Roman" w:hAnsi="Times New Roman"/>
          <w:noProof/>
          <w:sz w:val="24"/>
        </w:rPr>
        <w:t>, koje uključuju Komisiju, države članice i utvrđene zemlje Energetske zajednice. Time će se omogućiti bolje razumijevanje potencijalne potražnje za plinom, što će biti temelj za program zajedničke nabave nakon što se uspostavi</w:t>
      </w:r>
      <w:bookmarkEnd w:id="5"/>
      <w:r>
        <w:rPr>
          <w:rFonts w:ascii="Times New Roman" w:hAnsi="Times New Roman"/>
          <w:noProof/>
          <w:sz w:val="24"/>
        </w:rPr>
        <w:t>.</w:t>
      </w:r>
    </w:p>
    <w:bookmarkEnd w:id="4"/>
    <w:p w14:paraId="255D590F" w14:textId="77777777" w:rsidR="00395EA6" w:rsidRPr="00577846" w:rsidRDefault="007F13DF" w:rsidP="008A54AE">
      <w:pPr>
        <w:spacing w:after="120" w:line="240" w:lineRule="auto"/>
        <w:jc w:val="both"/>
        <w:rPr>
          <w:rFonts w:ascii="Times New Roman" w:eastAsia="Calibri" w:hAnsi="Times New Roman" w:cs="Times New Roman"/>
          <w:noProof/>
          <w:color w:val="000000"/>
          <w:sz w:val="24"/>
          <w:szCs w:val="24"/>
        </w:rPr>
      </w:pPr>
      <w:r>
        <w:rPr>
          <w:rFonts w:ascii="Times New Roman" w:hAnsi="Times New Roman"/>
          <w:b/>
          <w:noProof/>
          <w:color w:val="000000"/>
          <w:sz w:val="24"/>
        </w:rPr>
        <w:t>Uz diversifikaciju pravaca treba provesti i diversifikaciju izvora energije</w:t>
      </w:r>
      <w:r>
        <w:rPr>
          <w:rFonts w:ascii="Times New Roman" w:hAnsi="Times New Roman"/>
          <w:noProof/>
          <w:color w:val="000000"/>
          <w:sz w:val="24"/>
        </w:rPr>
        <w:t>, primjerice poticanjem upotrebe energije iz obnovljivih izvora, ubrzavanjem uvođenja vodika proizvedenog iz obnovljivih izvora, povećanjem proizvodnje održivog biometana, smanjenjem potrošnje fosilnih goriva u industrijskom sektoru i sektoru prometa u kojima je teško smanjiti emisije stakleničkih plinova i ubrzavanjem izdavanja dozvola i inovacija.</w:t>
      </w:r>
    </w:p>
    <w:p w14:paraId="092E4AC7" w14:textId="77777777" w:rsidR="00680361" w:rsidRPr="00577846" w:rsidRDefault="00461F20" w:rsidP="008A54AE">
      <w:pPr>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Kad je riječ o </w:t>
      </w:r>
      <w:r>
        <w:rPr>
          <w:rFonts w:ascii="Times New Roman" w:hAnsi="Times New Roman"/>
          <w:b/>
          <w:noProof/>
          <w:color w:val="000000"/>
          <w:sz w:val="24"/>
        </w:rPr>
        <w:t>upotrebi domaćih izvora</w:t>
      </w:r>
      <w:r>
        <w:rPr>
          <w:rFonts w:ascii="Times New Roman" w:hAnsi="Times New Roman"/>
          <w:noProof/>
          <w:color w:val="000000"/>
          <w:sz w:val="24"/>
        </w:rPr>
        <w:t>, godine 2021.</w:t>
      </w:r>
      <w:r>
        <w:rPr>
          <w:rFonts w:ascii="Times New Roman" w:eastAsia="Times New Roman" w:hAnsi="Times New Roman" w:cs="Times New Roman"/>
          <w:iCs/>
          <w:noProof/>
          <w:color w:val="000000"/>
          <w:sz w:val="24"/>
          <w:szCs w:val="24"/>
          <w:vertAlign w:val="superscript"/>
        </w:rPr>
        <w:footnoteReference w:id="18"/>
      </w:r>
      <w:r>
        <w:rPr>
          <w:rFonts w:ascii="Times New Roman" w:hAnsi="Times New Roman"/>
          <w:noProof/>
          <w:color w:val="000000"/>
          <w:sz w:val="24"/>
        </w:rPr>
        <w:t xml:space="preserve"> zabilježen je rekord od 36 GW novougrađenih kapaciteta za proizvodnju energije iz obnovljivih izvora. Povećanom upotrebom </w:t>
      </w:r>
      <w:r>
        <w:rPr>
          <w:rFonts w:ascii="Times New Roman" w:hAnsi="Times New Roman"/>
          <w:b/>
          <w:noProof/>
          <w:color w:val="000000"/>
          <w:sz w:val="24"/>
        </w:rPr>
        <w:t>energije iz obnovljivih izvora EU je</w:t>
      </w:r>
      <w:r>
        <w:rPr>
          <w:rFonts w:ascii="Times New Roman" w:hAnsi="Times New Roman"/>
          <w:noProof/>
          <w:color w:val="000000"/>
          <w:sz w:val="24"/>
        </w:rPr>
        <w:t xml:space="preserve"> 2019. i 2020. </w:t>
      </w:r>
      <w:r>
        <w:rPr>
          <w:rFonts w:ascii="Times New Roman" w:hAnsi="Times New Roman"/>
          <w:b/>
          <w:noProof/>
          <w:color w:val="000000"/>
          <w:sz w:val="24"/>
        </w:rPr>
        <w:t>zamijenio potrošnju fosilnih goriva od približno 155,6 Mtoe odnosno 164,6 Mtoe</w:t>
      </w:r>
      <w:r>
        <w:rPr>
          <w:rFonts w:ascii="Times New Roman" w:hAnsi="Times New Roman"/>
          <w:noProof/>
          <w:color w:val="000000"/>
          <w:sz w:val="24"/>
        </w:rPr>
        <w:t xml:space="preserve"> u odnosu na razinu upotrebe energije iz obnovljivih izvora u 2005. To odgovara uštedi </w:t>
      </w:r>
      <w:r>
        <w:rPr>
          <w:rFonts w:ascii="Times New Roman" w:hAnsi="Times New Roman"/>
          <w:b/>
          <w:noProof/>
          <w:color w:val="000000"/>
          <w:sz w:val="24"/>
        </w:rPr>
        <w:t xml:space="preserve">od 43,5 milijardi EUR </w:t>
      </w:r>
      <w:r>
        <w:rPr>
          <w:rFonts w:ascii="Times New Roman" w:hAnsi="Times New Roman"/>
          <w:noProof/>
          <w:color w:val="000000"/>
          <w:sz w:val="24"/>
        </w:rPr>
        <w:t>u 2019.</w:t>
      </w:r>
      <w:r>
        <w:rPr>
          <w:rFonts w:ascii="Times New Roman" w:hAnsi="Times New Roman"/>
          <w:b/>
          <w:noProof/>
          <w:color w:val="000000"/>
          <w:sz w:val="24"/>
        </w:rPr>
        <w:t xml:space="preserve"> i 34,6 milijardi EUR </w:t>
      </w:r>
      <w:r>
        <w:rPr>
          <w:rFonts w:ascii="Times New Roman" w:hAnsi="Times New Roman"/>
          <w:noProof/>
          <w:color w:val="000000"/>
          <w:sz w:val="24"/>
        </w:rPr>
        <w:t>u 2020. u cijelom EU-u zbog izbjegavanja upotrebe fosilnih goriva</w:t>
      </w:r>
      <w:r>
        <w:rPr>
          <w:rFonts w:ascii="Times New Roman" w:eastAsia="Times New Roman" w:hAnsi="Times New Roman" w:cs="Times New Roman"/>
          <w:iCs/>
          <w:noProof/>
          <w:color w:val="000000"/>
          <w:sz w:val="24"/>
          <w:szCs w:val="24"/>
          <w:vertAlign w:val="superscript"/>
        </w:rPr>
        <w:footnoteReference w:id="19"/>
      </w:r>
      <w:r>
        <w:rPr>
          <w:rFonts w:ascii="Times New Roman" w:hAnsi="Times New Roman"/>
          <w:noProof/>
          <w:color w:val="000000"/>
          <w:sz w:val="24"/>
        </w:rPr>
        <w:t>. Uštede fosilnih goriva zbog primjene energije iz obnovljivih izvora, koje bi se značajno povećale ispunjavanjem predloženog cilja da do 2030. udio energije iz obnovljivih izvora iznosi 45 %, omogućile bi EU-u da do 2027. postupno postigne potpunu neovisnost o fosilnim gorivima iz Rusije.</w:t>
      </w:r>
    </w:p>
    <w:p w14:paraId="4FF75BDB" w14:textId="77777777" w:rsidR="00680361" w:rsidRPr="00577846" w:rsidRDefault="002054C8" w:rsidP="008A54AE">
      <w:pPr>
        <w:spacing w:after="120" w:line="240" w:lineRule="auto"/>
        <w:jc w:val="both"/>
        <w:rPr>
          <w:rFonts w:ascii="Times New Roman" w:eastAsia="Times New Roman" w:hAnsi="Times New Roman" w:cs="Times New Roman"/>
          <w:iCs/>
          <w:noProof/>
          <w:color w:val="000000"/>
          <w:sz w:val="24"/>
          <w:szCs w:val="24"/>
        </w:rPr>
      </w:pPr>
      <w:r>
        <w:rPr>
          <w:rFonts w:ascii="Times New Roman" w:hAnsi="Times New Roman"/>
          <w:noProof/>
          <w:color w:val="000000"/>
          <w:sz w:val="24"/>
        </w:rPr>
        <w:t xml:space="preserve">Plan REPowerEU bio je znatan poticaj za napredne politike EU-a o primjeni energije iz obnovljivih izvora, što je omogućilo golemo povećanje primjene energije iz obnovljivih izvora i u svim sektorima krajnje potrošnje. Prve naznake ukazuju na to da će </w:t>
      </w:r>
      <w:r>
        <w:rPr>
          <w:rFonts w:ascii="Times New Roman" w:hAnsi="Times New Roman"/>
          <w:b/>
          <w:noProof/>
          <w:color w:val="000000"/>
          <w:sz w:val="24"/>
        </w:rPr>
        <w:t>2022. biti rekordna godina za europsko tržište solarne fotonaponske energije</w:t>
      </w:r>
      <w:r>
        <w:rPr>
          <w:rFonts w:ascii="Times New Roman" w:hAnsi="Times New Roman"/>
          <w:noProof/>
          <w:color w:val="000000"/>
          <w:sz w:val="24"/>
        </w:rPr>
        <w:t xml:space="preserve"> s godišnjim povećanjem primjene na najvećim tržištima država članica EU-a od 17 % do 26 %</w:t>
      </w:r>
      <w:r>
        <w:rPr>
          <w:rFonts w:ascii="Times New Roman" w:eastAsia="Times New Roman" w:hAnsi="Times New Roman" w:cs="Times New Roman"/>
          <w:iCs/>
          <w:noProof/>
          <w:color w:val="000000"/>
          <w:sz w:val="24"/>
          <w:szCs w:val="24"/>
          <w:vertAlign w:val="superscript"/>
        </w:rPr>
        <w:footnoteReference w:id="20"/>
      </w:r>
      <w:r>
        <w:rPr>
          <w:rFonts w:ascii="Times New Roman" w:hAnsi="Times New Roman"/>
          <w:noProof/>
          <w:color w:val="000000"/>
          <w:sz w:val="24"/>
        </w:rPr>
        <w:t xml:space="preserve">. Općenito </w:t>
      </w:r>
      <w:r>
        <w:rPr>
          <w:rFonts w:ascii="Times New Roman" w:hAnsi="Times New Roman"/>
          <w:b/>
          <w:noProof/>
          <w:color w:val="000000"/>
          <w:sz w:val="24"/>
        </w:rPr>
        <w:t>se očekuje da će se udio energije iz obnovljivih izvora u proizvodnji električne energije povećati s 37 % u 2021.</w:t>
      </w:r>
      <w:r>
        <w:rPr>
          <w:rFonts w:ascii="Times New Roman" w:eastAsia="Times New Roman" w:hAnsi="Times New Roman" w:cs="Times New Roman"/>
          <w:b/>
          <w:iCs/>
          <w:noProof/>
          <w:color w:val="000000"/>
          <w:sz w:val="24"/>
          <w:szCs w:val="24"/>
          <w:vertAlign w:val="superscript"/>
        </w:rPr>
        <w:footnoteReference w:id="21"/>
      </w:r>
      <w:r>
        <w:rPr>
          <w:rFonts w:ascii="Times New Roman" w:hAnsi="Times New Roman"/>
          <w:b/>
          <w:noProof/>
          <w:color w:val="000000"/>
          <w:sz w:val="24"/>
        </w:rPr>
        <w:t xml:space="preserve"> na 69 % u 2030.</w:t>
      </w:r>
      <w:r>
        <w:rPr>
          <w:rFonts w:ascii="Times New Roman" w:hAnsi="Times New Roman"/>
          <w:noProof/>
          <w:color w:val="000000"/>
          <w:sz w:val="24"/>
        </w:rPr>
        <w:t xml:space="preserve"> </w:t>
      </w:r>
    </w:p>
    <w:p w14:paraId="5F8BB6CD" w14:textId="065E24F0" w:rsidR="00F84C55" w:rsidRPr="00A15E24" w:rsidRDefault="00F84C55">
      <w:pPr>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S pomoću </w:t>
      </w:r>
      <w:r>
        <w:rPr>
          <w:rFonts w:ascii="Times New Roman" w:hAnsi="Times New Roman"/>
          <w:b/>
          <w:noProof/>
          <w:color w:val="000000"/>
          <w:sz w:val="24"/>
        </w:rPr>
        <w:t>akceleratora vodika</w:t>
      </w:r>
      <w:r>
        <w:rPr>
          <w:rFonts w:ascii="Times New Roman" w:hAnsi="Times New Roman"/>
          <w:noProof/>
          <w:color w:val="000000"/>
          <w:sz w:val="24"/>
        </w:rPr>
        <w:t xml:space="preserve"> predloženog u akcijskom planu REPowerEU Komisija je dostavila procjenu o potrebi za ulaganjima i dodatnim troškovima, uz posebnu usmjerenost na zamjenu upotrebe prirodnog plina. Predsjednica Komisije u svojem govoru o stanju Unije pred Europskim parlamentom u rujnu najavila je uspostavu </w:t>
      </w:r>
      <w:r>
        <w:rPr>
          <w:rFonts w:ascii="Times New Roman" w:hAnsi="Times New Roman"/>
          <w:b/>
          <w:noProof/>
          <w:color w:val="000000"/>
          <w:sz w:val="24"/>
        </w:rPr>
        <w:t>Europske banke vodika</w:t>
      </w:r>
      <w:r>
        <w:rPr>
          <w:rFonts w:ascii="Times New Roman" w:hAnsi="Times New Roman"/>
          <w:noProof/>
          <w:color w:val="000000"/>
          <w:sz w:val="24"/>
        </w:rPr>
        <w:t>. Bankom vodika nastoji se povećati zasad nišno tržište vodika ubrzavanjem proizvodnje i upotrebe vodika dobivenog iz obnovljivih izvora te povezivanjem tih procesa koordiniranim razvojem potrebne infrastrukture.  </w:t>
      </w:r>
    </w:p>
    <w:p w14:paraId="0DF0B2F0" w14:textId="6BDFB82A" w:rsidR="00352340" w:rsidRPr="00577846" w:rsidRDefault="00C41A18" w:rsidP="008A54AE">
      <w:pPr>
        <w:spacing w:after="240" w:line="240" w:lineRule="auto"/>
        <w:jc w:val="both"/>
        <w:rPr>
          <w:rFonts w:ascii="Times New Roman" w:eastAsia="Calibri" w:hAnsi="Times New Roman" w:cs="Times New Roman"/>
          <w:b/>
          <w:bCs/>
          <w:noProof/>
          <w:color w:val="000000"/>
          <w:sz w:val="24"/>
          <w:szCs w:val="24"/>
        </w:rPr>
      </w:pPr>
      <w:r>
        <w:rPr>
          <w:rFonts w:ascii="Times New Roman" w:hAnsi="Times New Roman"/>
          <w:noProof/>
          <w:color w:val="000000"/>
          <w:sz w:val="24"/>
        </w:rPr>
        <w:t xml:space="preserve">Kad je riječ o doprinosu </w:t>
      </w:r>
      <w:r>
        <w:rPr>
          <w:rFonts w:ascii="Times New Roman" w:hAnsi="Times New Roman"/>
          <w:b/>
          <w:noProof/>
          <w:color w:val="000000"/>
          <w:sz w:val="24"/>
        </w:rPr>
        <w:t>nuklearne energije</w:t>
      </w:r>
      <w:r>
        <w:rPr>
          <w:rFonts w:ascii="Times New Roman" w:hAnsi="Times New Roman"/>
          <w:noProof/>
          <w:color w:val="000000"/>
          <w:sz w:val="24"/>
        </w:rPr>
        <w:t xml:space="preserve"> sigurnosti opskrbe električnom energijom u nadolazećim godinama, države članice trebaju donijeti pravodobne odluke u vezi s ulaganjima u dugoročni rad postojećih nuklearnih elektrana i odgovarajućim poboljšanjima sigurnosti i učinkovitosti, među ostalim u okviru mjera prilagodbe klimatskim promjenama. Nadalje, kako bi se nekim državama članicama</w:t>
      </w:r>
      <w:r>
        <w:rPr>
          <w:rStyle w:val="FootnoteReference"/>
          <w:rFonts w:ascii="Times New Roman" w:eastAsia="Calibri" w:hAnsi="Times New Roman" w:cs="Times New Roman"/>
          <w:bCs/>
          <w:noProof/>
          <w:color w:val="000000"/>
          <w:sz w:val="24"/>
          <w:szCs w:val="24"/>
        </w:rPr>
        <w:footnoteReference w:id="22"/>
      </w:r>
      <w:r>
        <w:rPr>
          <w:rFonts w:ascii="Times New Roman" w:hAnsi="Times New Roman"/>
          <w:noProof/>
          <w:color w:val="000000"/>
          <w:sz w:val="24"/>
        </w:rPr>
        <w:t xml:space="preserve"> pomoglo u </w:t>
      </w:r>
      <w:r>
        <w:rPr>
          <w:rFonts w:ascii="Times New Roman" w:hAnsi="Times New Roman"/>
          <w:b/>
          <w:noProof/>
          <w:color w:val="000000"/>
          <w:sz w:val="24"/>
        </w:rPr>
        <w:t>ublažavanju rizika</w:t>
      </w:r>
      <w:r>
        <w:rPr>
          <w:rFonts w:ascii="Times New Roman" w:hAnsi="Times New Roman"/>
          <w:noProof/>
          <w:color w:val="000000"/>
          <w:sz w:val="24"/>
        </w:rPr>
        <w:t xml:space="preserve"> povezanih sa </w:t>
      </w:r>
      <w:r>
        <w:rPr>
          <w:rFonts w:ascii="Times New Roman" w:hAnsi="Times New Roman"/>
          <w:b/>
          <w:noProof/>
          <w:color w:val="000000"/>
          <w:sz w:val="24"/>
        </w:rPr>
        <w:t>sigurnošću opskrbe ruskim nuklearnim gorivom i uslugama u pogledu nuklearnog gorivnog ciklusa</w:t>
      </w:r>
      <w:r>
        <w:rPr>
          <w:rFonts w:ascii="Times New Roman" w:hAnsi="Times New Roman"/>
          <w:noProof/>
          <w:color w:val="000000"/>
          <w:sz w:val="24"/>
        </w:rPr>
        <w:t xml:space="preserve"> te s opremom i tehnologijom, Komisija i Agencija za opskrbu Euratoma (ESA) u suradnji s državama članicama i njihovim tijelima intenzivnije rade na osiguravanju opskrbe alternativnim gorivom iz EU-a i zemalja koje su pouzdani međunarodni partneri.  </w:t>
      </w:r>
    </w:p>
    <w:p w14:paraId="660D5A35" w14:textId="77777777" w:rsidR="00A1076D" w:rsidRPr="00577846" w:rsidRDefault="004D213C" w:rsidP="008A54AE">
      <w:pPr>
        <w:keepNext/>
        <w:spacing w:before="240" w:after="240" w:line="240" w:lineRule="auto"/>
        <w:ind w:left="482" w:hanging="482"/>
        <w:jc w:val="both"/>
        <w:outlineLvl w:val="0"/>
        <w:rPr>
          <w:rFonts w:ascii="Times New Roman" w:eastAsiaTheme="minorEastAsia" w:hAnsi="Times New Roman" w:cs="Times New Roman"/>
          <w:b/>
          <w:smallCaps/>
          <w:noProof/>
          <w:sz w:val="24"/>
          <w:szCs w:val="20"/>
        </w:rPr>
      </w:pPr>
      <w:r>
        <w:rPr>
          <w:rFonts w:ascii="Times New Roman" w:hAnsi="Times New Roman"/>
          <w:b/>
          <w:smallCaps/>
          <w:noProof/>
          <w:sz w:val="24"/>
        </w:rPr>
        <w:t>2.3. POTRAŽNJA ZA ENERGIJOM</w:t>
      </w:r>
    </w:p>
    <w:p w14:paraId="12719C3A" w14:textId="34283F2C" w:rsidR="003F59C7" w:rsidRDefault="00A3464C" w:rsidP="008A54AE">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Poboljšanje energetske učinkovitosti i smanjenje potražnje za energijom ključno je za zaštitu od potencijalnih poremećaja u opskrbi te za ublažavanje njihovih posljedica i smanjenje njihovih troškova.</w:t>
      </w:r>
      <w:r>
        <w:rPr>
          <w:rFonts w:ascii="Times New Roman" w:hAnsi="Times New Roman"/>
          <w:noProof/>
          <w:sz w:val="24"/>
        </w:rPr>
        <w:t xml:space="preserve"> To često može biti najjeftiniji, najsigurniji i najčišći način smanjenja naše ovisnosti o uvozu fosilnih goriva iz Rusije, čime se istodobno doprinosi smanjenju emisija stakleničkih plinova i onečišćujućih tvari i borbi protiv klimatskih promjena. </w:t>
      </w:r>
    </w:p>
    <w:p w14:paraId="2AFE2443" w14:textId="6567089A" w:rsidR="00ED5EF8" w:rsidRPr="00577846" w:rsidRDefault="009C6E25" w:rsidP="008A54AE">
      <w:pPr>
        <w:spacing w:line="240" w:lineRule="auto"/>
        <w:jc w:val="center"/>
        <w:rPr>
          <w:noProof/>
        </w:rPr>
      </w:pPr>
      <w:r w:rsidRPr="009C6E25">
        <w:rPr>
          <w:noProof/>
          <w:lang w:val="en-GB" w:eastAsia="en-GB"/>
        </w:rPr>
        <w:drawing>
          <wp:inline distT="0" distB="0" distL="0" distR="0" wp14:anchorId="50E09556" wp14:editId="1C855CAE">
            <wp:extent cx="5462016" cy="3099355"/>
            <wp:effectExtent l="0" t="0" r="5715" b="6350"/>
            <wp:docPr id="10" name="Picture 10" descr="\\net1.cec.eu.int\Homes\02\bekiciv\Desktop\SR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t1.cec.eu.int\Homes\02\bekiciv\Desktop\SRC\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94766" cy="3117938"/>
                    </a:xfrm>
                    <a:prstGeom prst="rect">
                      <a:avLst/>
                    </a:prstGeom>
                    <a:noFill/>
                    <a:ln>
                      <a:noFill/>
                    </a:ln>
                  </pic:spPr>
                </pic:pic>
              </a:graphicData>
            </a:graphic>
          </wp:inline>
        </w:drawing>
      </w:r>
    </w:p>
    <w:p w14:paraId="233878A1" w14:textId="77777777" w:rsidR="009C6E25" w:rsidRDefault="00EC29F9" w:rsidP="00AF69D7">
      <w:pPr>
        <w:spacing w:after="0" w:line="240" w:lineRule="auto"/>
        <w:jc w:val="center"/>
        <w:rPr>
          <w:noProof/>
          <w:sz w:val="20"/>
        </w:rPr>
      </w:pPr>
      <w:r>
        <w:rPr>
          <w:rFonts w:ascii="Times New Roman" w:hAnsi="Times New Roman"/>
          <w:i/>
          <w:noProof/>
          <w:sz w:val="20"/>
        </w:rPr>
        <w:t>Slika 2.: Smanjenje potrošnje krajnje energije u industriji, prometu, kućanstvima i uslugama.</w:t>
      </w:r>
      <w:r>
        <w:rPr>
          <w:noProof/>
          <w:sz w:val="20"/>
        </w:rPr>
        <w:t xml:space="preserve"> </w:t>
      </w:r>
    </w:p>
    <w:p w14:paraId="483EB0D5" w14:textId="2532A6DF" w:rsidR="00C374F1" w:rsidRPr="003F2335" w:rsidRDefault="00EC29F9" w:rsidP="00AF69D7">
      <w:pPr>
        <w:spacing w:after="0" w:line="240" w:lineRule="auto"/>
        <w:jc w:val="center"/>
        <w:rPr>
          <w:rFonts w:ascii="Times New Roman" w:eastAsia="Times New Roman" w:hAnsi="Times New Roman" w:cs="Times New Roman"/>
          <w:bCs/>
          <w:i/>
          <w:iCs/>
          <w:noProof/>
          <w:sz w:val="20"/>
          <w:szCs w:val="20"/>
        </w:rPr>
      </w:pPr>
      <w:r>
        <w:rPr>
          <w:rFonts w:ascii="Times New Roman" w:hAnsi="Times New Roman"/>
          <w:i/>
          <w:noProof/>
          <w:sz w:val="20"/>
        </w:rPr>
        <w:t>Izvor: Eurostat, 2022.</w:t>
      </w:r>
      <w:r>
        <w:rPr>
          <w:rStyle w:val="FootnoteReference"/>
          <w:rFonts w:ascii="Times New Roman" w:eastAsia="Times New Roman" w:hAnsi="Times New Roman" w:cs="Times New Roman"/>
          <w:bCs/>
          <w:i/>
          <w:iCs/>
          <w:noProof/>
          <w:sz w:val="20"/>
          <w:szCs w:val="20"/>
        </w:rPr>
        <w:footnoteReference w:id="23"/>
      </w:r>
      <w:r>
        <w:rPr>
          <w:rFonts w:ascii="Times New Roman" w:hAnsi="Times New Roman"/>
          <w:i/>
          <w:noProof/>
          <w:sz w:val="20"/>
        </w:rPr>
        <w:t xml:space="preserve"> </w:t>
      </w:r>
    </w:p>
    <w:p w14:paraId="2812B5D2" w14:textId="77777777" w:rsidR="006D6287" w:rsidRPr="00577846" w:rsidRDefault="00484303" w:rsidP="00D47ACE">
      <w:pPr>
        <w:spacing w:before="240"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Komisija je u svibnju 2022. predložila niz inicijativa, počevši od </w:t>
      </w:r>
      <w:r>
        <w:rPr>
          <w:rFonts w:ascii="Times New Roman" w:hAnsi="Times New Roman"/>
          <w:b/>
          <w:noProof/>
          <w:sz w:val="24"/>
        </w:rPr>
        <w:t>plana EU-a „Štednja energije”</w:t>
      </w:r>
      <w:r>
        <w:rPr>
          <w:rFonts w:ascii="Times New Roman" w:hAnsi="Times New Roman"/>
          <w:noProof/>
          <w:sz w:val="24"/>
        </w:rPr>
        <w:t xml:space="preserve">, kako bi državama članicama pružila smjernice za oblikovanje najboljih prilagođenih mjera za smanjenje potrošnje energije. Komisija je u srpnju 2022. predložila i </w:t>
      </w:r>
      <w:r>
        <w:rPr>
          <w:rFonts w:ascii="Times New Roman" w:hAnsi="Times New Roman"/>
          <w:b/>
          <w:noProof/>
          <w:sz w:val="24"/>
        </w:rPr>
        <w:t>novi zakonodavni alat</w:t>
      </w:r>
      <w:r>
        <w:rPr>
          <w:rFonts w:ascii="Times New Roman" w:hAnsi="Times New Roman"/>
          <w:noProof/>
          <w:sz w:val="24"/>
        </w:rPr>
        <w:t xml:space="preserve"> te </w:t>
      </w:r>
      <w:r>
        <w:rPr>
          <w:rFonts w:ascii="Times New Roman" w:hAnsi="Times New Roman"/>
          <w:b/>
          <w:noProof/>
          <w:sz w:val="24"/>
        </w:rPr>
        <w:t>Europski plan za smanjenje potražnje za plinom</w:t>
      </w:r>
      <w:r>
        <w:rPr>
          <w:rFonts w:ascii="Times New Roman" w:hAnsi="Times New Roman"/>
          <w:noProof/>
          <w:sz w:val="24"/>
        </w:rPr>
        <w:t xml:space="preserve"> kako bi se upotreba plina u Europi smanjila za 15 % do sljedećeg proljeća, a Vijeće je 5. kolovoza 2022. donijelo Uredbu o smanjenju potražnje za plinom</w:t>
      </w:r>
      <w:r>
        <w:rPr>
          <w:rFonts w:ascii="Times New Roman" w:eastAsia="Times New Roman" w:hAnsi="Times New Roman" w:cs="Times New Roman"/>
          <w:noProof/>
          <w:sz w:val="24"/>
          <w:szCs w:val="20"/>
          <w:vertAlign w:val="superscript"/>
        </w:rPr>
        <w:footnoteReference w:id="24"/>
      </w:r>
      <w:r>
        <w:rPr>
          <w:rFonts w:ascii="Times New Roman" w:hAnsi="Times New Roman"/>
          <w:noProof/>
          <w:sz w:val="24"/>
        </w:rPr>
        <w:t xml:space="preserve">. Države članice sad provode mjere za smanjenje potražnje, a one će biti uključene u </w:t>
      </w:r>
      <w:r>
        <w:rPr>
          <w:rFonts w:ascii="Times New Roman" w:hAnsi="Times New Roman"/>
          <w:b/>
          <w:noProof/>
          <w:sz w:val="24"/>
        </w:rPr>
        <w:t>ažurirane nacionalne planove za hitne situacije krajem listopada 2022</w:t>
      </w:r>
      <w:r>
        <w:rPr>
          <w:rFonts w:ascii="Times New Roman" w:hAnsi="Times New Roman"/>
          <w:noProof/>
          <w:sz w:val="24"/>
        </w:rPr>
        <w:t>.</w:t>
      </w:r>
    </w:p>
    <w:p w14:paraId="70D5F5FA" w14:textId="77777777" w:rsidR="00A30F13" w:rsidRPr="00577846" w:rsidRDefault="00391E3D" w:rsidP="008A54AE">
      <w:pPr>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 xml:space="preserve">U skladu s ciljevima iz plana REPowerEU i paketa </w:t>
      </w:r>
      <w:r>
        <w:rPr>
          <w:rFonts w:ascii="Times New Roman" w:hAnsi="Times New Roman"/>
          <w:b/>
          <w:noProof/>
          <w:sz w:val="24"/>
        </w:rPr>
        <w:t>„Štednja plina za sigurnu zimu”</w:t>
      </w:r>
      <w:r>
        <w:rPr>
          <w:rFonts w:ascii="Times New Roman" w:hAnsi="Times New Roman"/>
          <w:noProof/>
          <w:sz w:val="24"/>
        </w:rPr>
        <w:t xml:space="preserve"> </w:t>
      </w:r>
      <w:r>
        <w:rPr>
          <w:rFonts w:ascii="Times New Roman" w:hAnsi="Times New Roman"/>
          <w:b/>
          <w:noProof/>
          <w:sz w:val="24"/>
        </w:rPr>
        <w:t>većina država članica donijela je mjere za</w:t>
      </w:r>
      <w:r>
        <w:rPr>
          <w:rFonts w:ascii="Times New Roman" w:hAnsi="Times New Roman"/>
          <w:noProof/>
          <w:sz w:val="24"/>
        </w:rPr>
        <w:t xml:space="preserve"> kratkoročno </w:t>
      </w:r>
      <w:r>
        <w:rPr>
          <w:rFonts w:ascii="Times New Roman" w:hAnsi="Times New Roman"/>
          <w:b/>
          <w:noProof/>
          <w:sz w:val="24"/>
        </w:rPr>
        <w:t>poticanje štednje energije</w:t>
      </w:r>
      <w:r>
        <w:rPr>
          <w:rFonts w:ascii="Times New Roman" w:hAnsi="Times New Roman"/>
          <w:noProof/>
          <w:sz w:val="24"/>
        </w:rPr>
        <w:t xml:space="preserve"> u zgradama, industriji i prometu. Mnoge su države članice uvele komunikacijske kampanje. </w:t>
      </w:r>
      <w:r>
        <w:rPr>
          <w:rFonts w:ascii="Times New Roman" w:hAnsi="Times New Roman"/>
          <w:b/>
          <w:noProof/>
          <w:sz w:val="24"/>
        </w:rPr>
        <w:t>Nekoliko država članica provelo je mjere za određivanje maksimalne temperature grijanja i minimalne temperature hlađenja</w:t>
      </w:r>
      <w:r>
        <w:rPr>
          <w:rFonts w:ascii="Times New Roman" w:hAnsi="Times New Roman"/>
          <w:noProof/>
          <w:sz w:val="24"/>
        </w:rPr>
        <w:t xml:space="preserve"> u određenim kategorijama zgrada te preporuke o smanjenju ograničenja brzine na autocestama. Neke </w:t>
      </w:r>
      <w:r>
        <w:rPr>
          <w:rFonts w:ascii="Times New Roman" w:hAnsi="Times New Roman"/>
          <w:b/>
          <w:noProof/>
          <w:sz w:val="24"/>
        </w:rPr>
        <w:t>države članice ujedno su donijele sveobuhvatnije i strukturne mjere</w:t>
      </w:r>
      <w:r>
        <w:rPr>
          <w:rFonts w:ascii="Times New Roman" w:hAnsi="Times New Roman"/>
          <w:noProof/>
          <w:sz w:val="24"/>
        </w:rPr>
        <w:t xml:space="preserve">, koje će imati učinak već ove zime, </w:t>
      </w:r>
      <w:r>
        <w:rPr>
          <w:rFonts w:ascii="Times New Roman" w:hAnsi="Times New Roman"/>
          <w:b/>
          <w:noProof/>
          <w:sz w:val="24"/>
        </w:rPr>
        <w:t>i to jačanjem postojećih propisa ili dopunjavanjem postojećih programa potpore</w:t>
      </w:r>
      <w:r>
        <w:rPr>
          <w:rFonts w:ascii="Times New Roman" w:hAnsi="Times New Roman"/>
          <w:noProof/>
          <w:sz w:val="24"/>
        </w:rPr>
        <w:t xml:space="preserve"> za zgrade, industriju i promet.</w:t>
      </w:r>
    </w:p>
    <w:p w14:paraId="5B4A7CF7" w14:textId="77777777" w:rsidR="00E516D6" w:rsidRPr="00577846" w:rsidRDefault="00213625" w:rsidP="008A54AE">
      <w:pPr>
        <w:spacing w:after="120" w:line="240" w:lineRule="auto"/>
        <w:jc w:val="both"/>
        <w:rPr>
          <w:rFonts w:ascii="Times New Roman" w:hAnsi="Times New Roman"/>
          <w:noProof/>
          <w:color w:val="000000"/>
          <w:sz w:val="24"/>
          <w:szCs w:val="24"/>
        </w:rPr>
      </w:pPr>
      <w:r>
        <w:rPr>
          <w:rFonts w:ascii="Times New Roman" w:hAnsi="Times New Roman"/>
          <w:noProof/>
          <w:color w:val="000000"/>
          <w:sz w:val="24"/>
        </w:rPr>
        <w:t xml:space="preserve">Osim toga, </w:t>
      </w:r>
      <w:r>
        <w:rPr>
          <w:rFonts w:ascii="Times New Roman" w:hAnsi="Times New Roman"/>
          <w:b/>
          <w:noProof/>
          <w:color w:val="000000"/>
          <w:sz w:val="24"/>
        </w:rPr>
        <w:t>Komisija je predložila da se ciljevi EU-a za energetsku učinkovitost do 2030. povećaju na 13 % kako bi se povećala privatna financijska sredstva za energetsku učinkovitost</w:t>
      </w:r>
      <w:r>
        <w:rPr>
          <w:rFonts w:ascii="Times New Roman" w:hAnsi="Times New Roman"/>
          <w:noProof/>
          <w:color w:val="000000"/>
          <w:sz w:val="24"/>
        </w:rPr>
        <w:t>. Pokrenut će 2023. i Europsku koaliciju za financiranje energetske učinkovitosti na visokoj razini s financijskim sektorom.</w:t>
      </w:r>
    </w:p>
    <w:p w14:paraId="53A90764" w14:textId="77777777" w:rsidR="00147183" w:rsidRPr="00577846" w:rsidRDefault="00135ABD" w:rsidP="008A54AE">
      <w:pPr>
        <w:spacing w:after="120" w:line="240" w:lineRule="auto"/>
        <w:jc w:val="both"/>
        <w:rPr>
          <w:rFonts w:ascii="Times New Roman" w:hAnsi="Times New Roman"/>
          <w:noProof/>
          <w:sz w:val="24"/>
          <w:szCs w:val="24"/>
        </w:rPr>
      </w:pPr>
      <w:r>
        <w:rPr>
          <w:rFonts w:ascii="Times New Roman" w:hAnsi="Times New Roman"/>
          <w:noProof/>
          <w:sz w:val="24"/>
        </w:rPr>
        <w:t xml:space="preserve">Uz plan REPowerEU Komisija je u okviru revizije Direktive o energetskim svojstvima zgrada (EPBD), koja je u tijeku, predložila i da se </w:t>
      </w:r>
      <w:r>
        <w:rPr>
          <w:rFonts w:ascii="Times New Roman" w:hAnsi="Times New Roman"/>
          <w:b/>
          <w:noProof/>
          <w:sz w:val="24"/>
        </w:rPr>
        <w:t>osigura da se sve nove zgrade projektiraju tako da se optimizira njihov potencijal za proizvodnju solarne energije</w:t>
      </w:r>
      <w:r>
        <w:rPr>
          <w:rFonts w:ascii="Times New Roman" w:hAnsi="Times New Roman"/>
          <w:noProof/>
          <w:sz w:val="24"/>
        </w:rPr>
        <w:t xml:space="preserve">. Cilj te revizije postići je </w:t>
      </w:r>
      <w:r>
        <w:rPr>
          <w:rFonts w:ascii="Times New Roman" w:hAnsi="Times New Roman"/>
          <w:b/>
          <w:noProof/>
          <w:sz w:val="24"/>
        </w:rPr>
        <w:t>potpunu dekarbonizaciju europskog fonda zgrada do 2050.</w:t>
      </w:r>
      <w:r>
        <w:rPr>
          <w:rFonts w:ascii="Times New Roman" w:hAnsi="Times New Roman"/>
          <w:noProof/>
          <w:sz w:val="24"/>
        </w:rPr>
        <w:t>, utvrditi minimalne standarde energetskih svojstava radi poticanja energetski učinkovite obnove zgrada, povećati stopu obnove do 2030., postupno ukinuti sustave grijanja koji se temelje na fosilnim gorivima i maksimalno iskoristiti potencijal za proizvodnju solarne energije u zgradama. Takve će mjere biti važne za ranjiva kućanstva, posebno u kontekstu trenutačno visokih cijena energije.</w:t>
      </w:r>
    </w:p>
    <w:p w14:paraId="168D643E" w14:textId="77777777" w:rsidR="007E7BF4" w:rsidRPr="00577846" w:rsidRDefault="007E7BF4" w:rsidP="008A54AE">
      <w:pPr>
        <w:spacing w:after="120" w:line="240" w:lineRule="auto"/>
        <w:jc w:val="both"/>
        <w:rPr>
          <w:rFonts w:ascii="Times New Roman" w:eastAsia="Times New Roman" w:hAnsi="Times New Roman" w:cs="Times New Roman"/>
          <w:noProof/>
          <w:sz w:val="24"/>
          <w:szCs w:val="24"/>
        </w:rPr>
      </w:pPr>
      <w:r>
        <w:rPr>
          <w:rFonts w:ascii="Times New Roman" w:hAnsi="Times New Roman"/>
          <w:b/>
          <w:noProof/>
          <w:sz w:val="24"/>
        </w:rPr>
        <w:t>Plan rada za ekološki dizajn i označivanje energetske učinkovitosti</w:t>
      </w:r>
      <w:r>
        <w:rPr>
          <w:rFonts w:ascii="Times New Roman" w:eastAsia="Times New Roman" w:hAnsi="Times New Roman" w:cs="Times New Roman"/>
          <w:b/>
          <w:bCs/>
          <w:noProof/>
          <w:sz w:val="24"/>
          <w:szCs w:val="24"/>
          <w:vertAlign w:val="superscript"/>
        </w:rPr>
        <w:footnoteReference w:id="25"/>
      </w:r>
      <w:r>
        <w:rPr>
          <w:rFonts w:ascii="Times New Roman" w:hAnsi="Times New Roman"/>
          <w:noProof/>
          <w:sz w:val="24"/>
        </w:rPr>
        <w:t xml:space="preserve"> uglavnom je usmjeren na preispitivanje i ažuriranje postojećih propisa o proizvodima povezanima s energijom, </w:t>
      </w:r>
      <w:r>
        <w:rPr>
          <w:rFonts w:ascii="Times New Roman" w:hAnsi="Times New Roman"/>
          <w:b/>
          <w:noProof/>
          <w:sz w:val="24"/>
        </w:rPr>
        <w:t>pri čemu su uređaji za grijanje i hlađenje prioritet</w:t>
      </w:r>
      <w:r>
        <w:rPr>
          <w:rFonts w:ascii="Times New Roman" w:hAnsi="Times New Roman"/>
          <w:noProof/>
          <w:sz w:val="24"/>
        </w:rPr>
        <w:t>. Istodobno je u tijeku ambiciozna revizija Direktive o ekološkom dizajnu</w:t>
      </w:r>
      <w:r>
        <w:rPr>
          <w:rFonts w:ascii="Times New Roman" w:eastAsia="MS Mincho" w:hAnsi="Times New Roman" w:cs="Times New Roman"/>
          <w:noProof/>
          <w:sz w:val="24"/>
          <w:szCs w:val="24"/>
          <w:vertAlign w:val="superscript"/>
        </w:rPr>
        <w:footnoteReference w:id="26"/>
      </w:r>
      <w:r>
        <w:rPr>
          <w:rFonts w:ascii="Times New Roman" w:hAnsi="Times New Roman"/>
          <w:noProof/>
          <w:sz w:val="24"/>
        </w:rPr>
        <w:t>.</w:t>
      </w:r>
    </w:p>
    <w:p w14:paraId="494B5AFE" w14:textId="77777777" w:rsidR="00A1076D" w:rsidRPr="00577846" w:rsidRDefault="004D213C" w:rsidP="008A54AE">
      <w:pPr>
        <w:keepNext/>
        <w:spacing w:before="240" w:after="240" w:line="240" w:lineRule="auto"/>
        <w:ind w:left="482" w:hanging="482"/>
        <w:jc w:val="both"/>
        <w:outlineLvl w:val="0"/>
        <w:rPr>
          <w:rFonts w:ascii="Times New Roman" w:eastAsiaTheme="minorEastAsia" w:hAnsi="Times New Roman" w:cs="Times New Roman"/>
          <w:b/>
          <w:smallCaps/>
          <w:noProof/>
          <w:sz w:val="24"/>
          <w:szCs w:val="20"/>
        </w:rPr>
      </w:pPr>
      <w:r>
        <w:rPr>
          <w:rFonts w:ascii="Times New Roman" w:hAnsi="Times New Roman"/>
          <w:b/>
          <w:smallCaps/>
          <w:noProof/>
          <w:sz w:val="24"/>
        </w:rPr>
        <w:t>2.4. PRAVEDNA TRANZICIJA, CJENOVNA PRISTUPAČNOST I ODRŽIVOST</w:t>
      </w:r>
    </w:p>
    <w:p w14:paraId="6AEE8C27" w14:textId="77777777" w:rsidR="002D374D" w:rsidRPr="002D374D" w:rsidRDefault="002D374D" w:rsidP="008A54AE">
      <w:pPr>
        <w:spacing w:line="240" w:lineRule="auto"/>
        <w:jc w:val="both"/>
        <w:rPr>
          <w:rFonts w:ascii="Times New Roman" w:hAnsi="Times New Roman" w:cs="Times New Roman"/>
          <w:bCs/>
          <w:i/>
          <w:iCs/>
          <w:noProof/>
          <w:sz w:val="24"/>
          <w:szCs w:val="24"/>
        </w:rPr>
      </w:pPr>
      <w:r>
        <w:rPr>
          <w:rFonts w:ascii="Times New Roman" w:hAnsi="Times New Roman"/>
          <w:i/>
          <w:noProof/>
          <w:sz w:val="24"/>
        </w:rPr>
        <w:t>Pravedna tranzicija i cjenovna pristupačnost</w:t>
      </w:r>
    </w:p>
    <w:p w14:paraId="5C8391C1" w14:textId="77777777" w:rsidR="00022F32" w:rsidRDefault="00CF7E67" w:rsidP="00022F32">
      <w:pPr>
        <w:spacing w:line="240" w:lineRule="auto"/>
        <w:jc w:val="both"/>
        <w:rPr>
          <w:rFonts w:ascii="Times New Roman" w:eastAsia="Calibri" w:hAnsi="Times New Roman" w:cs="Times New Roman"/>
          <w:noProof/>
          <w:color w:val="000000" w:themeColor="text1"/>
          <w:sz w:val="24"/>
          <w:szCs w:val="24"/>
        </w:rPr>
      </w:pPr>
      <w:r>
        <w:rPr>
          <w:rFonts w:ascii="Times New Roman" w:hAnsi="Times New Roman"/>
          <w:b/>
          <w:noProof/>
          <w:sz w:val="24"/>
        </w:rPr>
        <w:t>Okvir politike za podupiranje pravedne energetske i klimatske tranzicije</w:t>
      </w:r>
      <w:r>
        <w:rPr>
          <w:rFonts w:ascii="Times New Roman" w:hAnsi="Times New Roman"/>
          <w:noProof/>
          <w:sz w:val="24"/>
        </w:rPr>
        <w:t xml:space="preserve"> usmjeren je na regije, sektore i poduzeća koji imaju visoke emisije stakleničkih plinova ili su u velikoj mjeri ovisni o vađenju krutih fosilnih goriva. </w:t>
      </w:r>
      <w:r>
        <w:rPr>
          <w:rFonts w:ascii="Times New Roman" w:hAnsi="Times New Roman"/>
          <w:b/>
          <w:noProof/>
          <w:color w:val="000000" w:themeColor="text1"/>
          <w:sz w:val="24"/>
        </w:rPr>
        <w:t>Sektori ugljena, treseta i naftnog škriljevca te regije s visokim emisijama ugljika koje su najviše pogođene prelaskom na klimatsku neutralnost mogu dobiti financijska sredstva iz Mehanizma za pravednu tranziciju</w:t>
      </w:r>
      <w:r>
        <w:rPr>
          <w:rFonts w:ascii="Times New Roman" w:hAnsi="Times New Roman"/>
          <w:noProof/>
          <w:color w:val="000000" w:themeColor="text1"/>
          <w:sz w:val="24"/>
        </w:rPr>
        <w:t xml:space="preserve">. </w:t>
      </w:r>
      <w:r>
        <w:rPr>
          <w:rFonts w:ascii="Times New Roman" w:hAnsi="Times New Roman"/>
          <w:noProof/>
          <w:sz w:val="24"/>
        </w:rPr>
        <w:t>Komisija planira do kraja 2022. donijeti sve teritorijalne planove za pravednu tranziciju i podupire sve regije u okviru platforme za pravednu tranziciju i inicijative za rudarske regije u tranziciji.</w:t>
      </w:r>
      <w:r>
        <w:rPr>
          <w:rFonts w:ascii="Times New Roman" w:hAnsi="Times New Roman"/>
          <w:noProof/>
          <w:color w:val="000000" w:themeColor="text1"/>
          <w:sz w:val="24"/>
        </w:rPr>
        <w:t xml:space="preserve"> Preporuka Vijeća o osiguravanju poštene tranzicije prema klimatskoj neutralnosti, donesena 16. lipnja 2022., pruža dodatan zajednički okvir za sveobuhvatne i usklađene politike zapošljavanja, politike o vještinama i socijalne politike kako bi se osiguralo da nitko ne bude zapostavljen, u skladu s europskim stupom socijalnih prava.</w:t>
      </w:r>
    </w:p>
    <w:p w14:paraId="3E7B6E02" w14:textId="070C5A86" w:rsidR="00B87CA1" w:rsidRPr="00E26B3C" w:rsidRDefault="0029376D" w:rsidP="00910888">
      <w:pPr>
        <w:spacing w:line="240" w:lineRule="auto"/>
        <w:jc w:val="both"/>
        <w:rPr>
          <w:rFonts w:ascii="Times New Roman" w:eastAsia="Calibri" w:hAnsi="Times New Roman" w:cs="Times New Roman"/>
          <w:noProof/>
          <w:sz w:val="24"/>
          <w:szCs w:val="24"/>
        </w:rPr>
      </w:pPr>
      <w:r>
        <w:rPr>
          <w:rFonts w:ascii="Times New Roman" w:hAnsi="Times New Roman"/>
          <w:b/>
          <w:noProof/>
          <w:sz w:val="24"/>
        </w:rPr>
        <w:t>Posljedice visokih i nestabilnih cijena energije na potrošače, MSP-ove i industrije</w:t>
      </w:r>
      <w:r>
        <w:rPr>
          <w:rFonts w:ascii="Times New Roman" w:hAnsi="Times New Roman"/>
          <w:noProof/>
          <w:sz w:val="24"/>
        </w:rPr>
        <w:t xml:space="preserve"> u svim državama članicama EU-a </w:t>
      </w:r>
      <w:r>
        <w:rPr>
          <w:rFonts w:ascii="Times New Roman" w:hAnsi="Times New Roman"/>
          <w:b/>
          <w:noProof/>
          <w:sz w:val="24"/>
        </w:rPr>
        <w:t>vrlo su zabrinjavajuće</w:t>
      </w:r>
      <w:r>
        <w:rPr>
          <w:rFonts w:ascii="Times New Roman" w:hAnsi="Times New Roman"/>
          <w:noProof/>
          <w:sz w:val="24"/>
        </w:rPr>
        <w:t xml:space="preserve">. U razdoblju od </w:t>
      </w:r>
      <w:r>
        <w:rPr>
          <w:rStyle w:val="normaltextrun"/>
          <w:rFonts w:ascii="Times New Roman" w:hAnsi="Times New Roman"/>
          <w:noProof/>
          <w:sz w:val="24"/>
          <w:shd w:val="clear" w:color="auto" w:fill="FFFFFF"/>
        </w:rPr>
        <w:t>2019. do 2022. udio izdataka za energiju u državama članicama EU-a</w:t>
      </w:r>
      <w:r>
        <w:rPr>
          <w:rStyle w:val="FootnoteReference"/>
          <w:rFonts w:ascii="Times New Roman" w:hAnsi="Times New Roman" w:cs="Times New Roman"/>
          <w:noProof/>
          <w:sz w:val="24"/>
          <w:szCs w:val="24"/>
          <w:shd w:val="clear" w:color="auto" w:fill="FFFFFF"/>
        </w:rPr>
        <w:footnoteReference w:id="27"/>
      </w:r>
      <w:r>
        <w:rPr>
          <w:rStyle w:val="normaltextrun"/>
          <w:rFonts w:ascii="Times New Roman" w:hAnsi="Times New Roman"/>
          <w:noProof/>
          <w:sz w:val="24"/>
          <w:shd w:val="clear" w:color="auto" w:fill="FFFFFF"/>
        </w:rPr>
        <w:t xml:space="preserve"> u prosjeku se povećao za više od trećine, a u nekim se zemljama gotovo udvostručio</w:t>
      </w:r>
      <w:r>
        <w:rPr>
          <w:rStyle w:val="FootnoteReference"/>
          <w:rFonts w:ascii="Times New Roman" w:hAnsi="Times New Roman" w:cs="Times New Roman"/>
          <w:noProof/>
          <w:sz w:val="24"/>
          <w:szCs w:val="24"/>
          <w:shd w:val="clear" w:color="auto" w:fill="FFFFFF"/>
        </w:rPr>
        <w:footnoteReference w:id="28"/>
      </w:r>
      <w:r>
        <w:rPr>
          <w:noProof/>
        </w:rPr>
        <w:t>.</w:t>
      </w:r>
      <w:r>
        <w:rPr>
          <w:rStyle w:val="normaltextrun"/>
          <w:noProof/>
          <w:shd w:val="clear" w:color="auto" w:fill="FFFFFF"/>
        </w:rPr>
        <w:t xml:space="preserve"> </w:t>
      </w:r>
      <w:r>
        <w:rPr>
          <w:rFonts w:ascii="Times New Roman" w:hAnsi="Times New Roman"/>
          <w:b/>
          <w:noProof/>
          <w:sz w:val="24"/>
        </w:rPr>
        <w:t>Postoji rizik da veća skupina kućanstava</w:t>
      </w:r>
      <w:r>
        <w:rPr>
          <w:rFonts w:ascii="Times New Roman" w:hAnsi="Times New Roman"/>
          <w:noProof/>
          <w:sz w:val="24"/>
        </w:rPr>
        <w:t xml:space="preserve"> ne bi mogla plaćati svoje račune za električnu energiju, pri čemu bi bila pogođena kućanstva s niskim dohotkom, ali i kućanstva s nižim srednjim dohotkom, a potencijalno i ostala kućanstva u nekim državama članicama. Godine 2020. otprilike 35 milijuna građana EU-a (približno 8 % stanovništva EU-a) nije moglo održavati svoje domove dovoljno toplima, a sad postoji rizik od pogoršanja takvog energetskog siromaštva.</w:t>
      </w:r>
      <w:r>
        <w:rPr>
          <w:rFonts w:ascii="Times New Roman" w:hAnsi="Times New Roman"/>
          <w:i/>
          <w:noProof/>
          <w:sz w:val="24"/>
        </w:rPr>
        <w:t xml:space="preserve"> </w:t>
      </w:r>
      <w:r>
        <w:rPr>
          <w:rFonts w:ascii="Times New Roman" w:hAnsi="Times New Roman"/>
          <w:noProof/>
          <w:sz w:val="24"/>
        </w:rPr>
        <w:t>Stoga je sad postalo još hitnije da države članice riješe problem neposrednih i temeljnih uzroka energetskog siromaštva kombiniranjem ciljanih hitnih mjera i dugoročnih djelovanja, kao što su mjere energetske učinkovitosti, te ublažavanjem svih mogućih negativnih učinaka klimatske i energetske politike. Komisija je u svibnju 2022. uspostavila Koordinacijsku skupinu</w:t>
      </w:r>
      <w:r>
        <w:rPr>
          <w:rStyle w:val="FootnoteReference"/>
          <w:rFonts w:ascii="Times New Roman" w:eastAsia="Calibri" w:hAnsi="Times New Roman" w:cs="Times New Roman"/>
          <w:noProof/>
          <w:sz w:val="24"/>
          <w:szCs w:val="24"/>
        </w:rPr>
        <w:footnoteReference w:id="29"/>
      </w:r>
      <w:r>
        <w:rPr>
          <w:rFonts w:ascii="Times New Roman" w:hAnsi="Times New Roman"/>
          <w:noProof/>
          <w:sz w:val="24"/>
        </w:rPr>
        <w:t xml:space="preserve"> za energetsko siromaštvo i ugrožene potrošače, koja će državama članicama pomoći u razmjeni iskustava u rješavanju problema energetskog siromaštva.</w:t>
      </w:r>
    </w:p>
    <w:p w14:paraId="203814DA" w14:textId="77777777" w:rsidR="00F6328D" w:rsidRPr="006B2EFD" w:rsidRDefault="00F6328D" w:rsidP="00F6328D">
      <w:pPr>
        <w:pStyle w:val="ListBullet"/>
        <w:numPr>
          <w:ilvl w:val="0"/>
          <w:numId w:val="0"/>
        </w:numPr>
        <w:spacing w:before="120" w:after="120"/>
        <w:contextualSpacing w:val="0"/>
        <w:jc w:val="both"/>
        <w:rPr>
          <w:noProof/>
        </w:rPr>
      </w:pPr>
      <w:r>
        <w:rPr>
          <w:noProof/>
        </w:rPr>
        <w:t xml:space="preserve">Nadalje, visoke cijene energije uz kućanstva utječu neravnomjerno i na poduzeća i industriju te stvaraju znatne probleme u pogledu cjenovne pristupačnosti energije za neka poduzeća i sektore. U skladu s planom REPowerEU izmjenom </w:t>
      </w:r>
      <w:r>
        <w:rPr>
          <w:b/>
          <w:noProof/>
        </w:rPr>
        <w:t>Privremenog okvira za mjere državne potpore u kriznim situacijama</w:t>
      </w:r>
      <w:r>
        <w:rPr>
          <w:noProof/>
        </w:rPr>
        <w:t xml:space="preserve"> pruža se mogućnost dodjele potpore za zamjenu goriva. Točnije, privremeni okvir za krizne situacije proširen je kako bi se uključilo mjere za ubrzavanje uvođenja energije iz obnovljivih izvora i olakšavanje dekarbonizacije industrijskih postupaka. Mjere za olakšavanje dekarbonizacije industrijskih postupaka podrazumijevaju da države članice mogu podupirati ulaganja u industriju, postupno ukinuti upotrebu fosilnih goriva i stvarati manje nestabilno poslovno okruženje elektrifikacijom, energetskom učinkovitošću i prelaskom na upotrebu energije iz obnovljivih izvora i vodika proizvedenog upotrebom električne energije. </w:t>
      </w:r>
    </w:p>
    <w:p w14:paraId="2284A5AC" w14:textId="305E6AF2" w:rsidR="00912FDF" w:rsidRDefault="00B87CA1" w:rsidP="00912FDF">
      <w:pPr>
        <w:spacing w:before="100" w:beforeAutospacing="1" w:after="0" w:line="240" w:lineRule="auto"/>
        <w:jc w:val="both"/>
        <w:textAlignment w:val="baseline"/>
        <w:rPr>
          <w:rFonts w:ascii="Times New Roman" w:eastAsia="Times New Roman" w:hAnsi="Times New Roman" w:cs="Times New Roman"/>
          <w:noProof/>
          <w:color w:val="000000" w:themeColor="text1"/>
          <w:sz w:val="24"/>
          <w:szCs w:val="24"/>
        </w:rPr>
      </w:pPr>
      <w:r>
        <w:rPr>
          <w:rFonts w:ascii="Times New Roman" w:hAnsi="Times New Roman"/>
          <w:noProof/>
          <w:color w:val="000000"/>
          <w:sz w:val="24"/>
        </w:rPr>
        <w:t xml:space="preserve">Države članice uvele su širok raspon </w:t>
      </w:r>
      <w:r>
        <w:rPr>
          <w:rFonts w:ascii="Times New Roman" w:hAnsi="Times New Roman"/>
          <w:b/>
          <w:noProof/>
          <w:color w:val="000000"/>
          <w:sz w:val="24"/>
        </w:rPr>
        <w:t>mjera potpore</w:t>
      </w:r>
      <w:r>
        <w:rPr>
          <w:rFonts w:ascii="Times New Roman" w:hAnsi="Times New Roman"/>
          <w:noProof/>
          <w:color w:val="000000"/>
          <w:sz w:val="24"/>
        </w:rPr>
        <w:t xml:space="preserve">, uključujući mjere koje se temelje na paketu mjera za djelovanje i potporu za suočavanje s rastom cijena energije. Među ostalim, države članice osigurale su izravnu dohodovnu potporu, smanjenje poreza i nameta i rabata na račune za energiju te mjere za potporu energetskoj učinkovitosti i proizvodnji energije iz obnovljivih izvora na licu mjesta. Države članice intervenirale su i u maloprodajne cijene električne energije i plina. </w:t>
      </w:r>
      <w:r>
        <w:rPr>
          <w:rFonts w:ascii="Times New Roman" w:hAnsi="Times New Roman"/>
          <w:b/>
          <w:noProof/>
          <w:color w:val="000000"/>
          <w:sz w:val="24"/>
        </w:rPr>
        <w:t>Komisija je</w:t>
      </w:r>
      <w:r>
        <w:rPr>
          <w:rFonts w:ascii="Times New Roman" w:hAnsi="Times New Roman"/>
          <w:noProof/>
          <w:color w:val="000000"/>
          <w:sz w:val="24"/>
        </w:rPr>
        <w:t xml:space="preserve"> u okviru Komunikacije „Plan REPowerEU” iz ožujka 2022.</w:t>
      </w:r>
      <w:r>
        <w:rPr>
          <w:rStyle w:val="FootnoteReference"/>
          <w:rFonts w:ascii="Times New Roman" w:eastAsia="Calibri" w:hAnsi="Times New Roman" w:cs="Times New Roman"/>
          <w:noProof/>
          <w:color w:val="000000"/>
          <w:sz w:val="24"/>
          <w:szCs w:val="24"/>
        </w:rPr>
        <w:footnoteReference w:id="30"/>
      </w:r>
      <w:r>
        <w:rPr>
          <w:rFonts w:ascii="Times New Roman" w:hAnsi="Times New Roman"/>
          <w:noProof/>
          <w:color w:val="000000"/>
          <w:sz w:val="24"/>
        </w:rPr>
        <w:t xml:space="preserve"> za opskrbu električnom energijom </w:t>
      </w:r>
      <w:r>
        <w:rPr>
          <w:rFonts w:ascii="Times New Roman" w:hAnsi="Times New Roman"/>
          <w:b/>
          <w:noProof/>
          <w:color w:val="000000"/>
          <w:sz w:val="24"/>
        </w:rPr>
        <w:t>pružila smjernice o interveniranju države u određivanje cijena</w:t>
      </w:r>
      <w:r>
        <w:rPr>
          <w:rFonts w:ascii="Times New Roman" w:hAnsi="Times New Roman"/>
          <w:noProof/>
          <w:color w:val="000000"/>
          <w:sz w:val="24"/>
        </w:rPr>
        <w:t xml:space="preserve"> tako što je osigurala da tijekom ove trenutačne krize pogoduju potrošačima i dugoročno povećaju tržišno natjecanje u korist potrošača. </w:t>
      </w:r>
      <w:r>
        <w:rPr>
          <w:rFonts w:ascii="Times New Roman" w:hAnsi="Times New Roman"/>
          <w:noProof/>
          <w:sz w:val="24"/>
        </w:rPr>
        <w:t>Osim toga, kako je utvrđeno u Komunikaciji o kratkoročnim intervencijama na tržištu električne energije i dugoročnim poboljšanjima modela tržišta električne energije, Komisija je predstavila zakon kojim se za MSP-ove i kućanstva omogućuju regulirane maloprodajne cijene niže od stvarne cijene.</w:t>
      </w:r>
      <w:r>
        <w:rPr>
          <w:rFonts w:ascii="Times New Roman" w:hAnsi="Times New Roman"/>
          <w:noProof/>
          <w:color w:val="000000" w:themeColor="text1"/>
          <w:sz w:val="24"/>
        </w:rPr>
        <w:t xml:space="preserve"> </w:t>
      </w:r>
      <w:r>
        <w:rPr>
          <w:rFonts w:ascii="Times New Roman" w:hAnsi="Times New Roman"/>
          <w:noProof/>
          <w:sz w:val="24"/>
        </w:rPr>
        <w:t>To je na političkoj razini dogovoreno na izvanrednom sastanku Vijeća za energetiku održanom 30. rujna.</w:t>
      </w:r>
      <w:r>
        <w:rPr>
          <w:rFonts w:ascii="Times New Roman" w:hAnsi="Times New Roman"/>
          <w:noProof/>
          <w:color w:val="000000" w:themeColor="text1"/>
          <w:sz w:val="24"/>
        </w:rPr>
        <w:t xml:space="preserve"> </w:t>
      </w:r>
    </w:p>
    <w:p w14:paraId="55D46CFB" w14:textId="500F86FC" w:rsidR="000031A5" w:rsidRDefault="00C46341" w:rsidP="00912FDF">
      <w:pPr>
        <w:spacing w:before="100" w:beforeAutospacing="1" w:after="0" w:line="240" w:lineRule="auto"/>
        <w:jc w:val="both"/>
        <w:textAlignment w:val="baseline"/>
        <w:rPr>
          <w:rFonts w:ascii="Times New Roman" w:eastAsia="Calibri" w:hAnsi="Times New Roman" w:cs="Times New Roman"/>
          <w:noProof/>
          <w:color w:val="000000"/>
          <w:sz w:val="24"/>
          <w:szCs w:val="24"/>
        </w:rPr>
      </w:pPr>
      <w:r>
        <w:rPr>
          <w:rFonts w:ascii="Times New Roman" w:hAnsi="Times New Roman"/>
          <w:noProof/>
          <w:color w:val="000000"/>
          <w:sz w:val="24"/>
        </w:rPr>
        <w:t xml:space="preserve">Kad je riječ o </w:t>
      </w:r>
      <w:r>
        <w:rPr>
          <w:rFonts w:ascii="Times New Roman" w:hAnsi="Times New Roman"/>
          <w:b/>
          <w:noProof/>
          <w:color w:val="000000"/>
          <w:sz w:val="24"/>
        </w:rPr>
        <w:t>međunarodnom angažmanu i vanjskom radu</w:t>
      </w:r>
      <w:r>
        <w:rPr>
          <w:rFonts w:ascii="Times New Roman" w:hAnsi="Times New Roman"/>
          <w:noProof/>
          <w:color w:val="000000"/>
          <w:sz w:val="24"/>
        </w:rPr>
        <w:t>, EU je postigao važan napredak u provedbi globalne obveze u pogledu emisija metana i partnerstva za pravednu energetsku tranziciju s Južnom Afrikom, u skladu s najavama na konferenciji COP26.</w:t>
      </w:r>
    </w:p>
    <w:p w14:paraId="5165CD8C" w14:textId="77777777" w:rsidR="00912FDF" w:rsidRPr="00912FDF" w:rsidRDefault="00912FDF" w:rsidP="00912FDF">
      <w:pPr>
        <w:spacing w:before="100" w:beforeAutospacing="1" w:after="0" w:line="240" w:lineRule="auto"/>
        <w:jc w:val="both"/>
        <w:textAlignment w:val="baseline"/>
        <w:rPr>
          <w:rFonts w:ascii="Times New Roman" w:eastAsia="Times New Roman" w:hAnsi="Times New Roman" w:cs="Times New Roman"/>
          <w:i/>
          <w:iCs/>
          <w:noProof/>
          <w:color w:val="000000"/>
          <w:sz w:val="24"/>
          <w:szCs w:val="24"/>
          <w:shd w:val="clear" w:color="auto" w:fill="FFFFFF"/>
        </w:rPr>
      </w:pPr>
      <w:r>
        <w:rPr>
          <w:rFonts w:ascii="Times New Roman" w:hAnsi="Times New Roman"/>
          <w:i/>
          <w:noProof/>
          <w:color w:val="000000"/>
          <w:sz w:val="24"/>
          <w:shd w:val="clear" w:color="auto" w:fill="FFFFFF"/>
        </w:rPr>
        <w:t>Održivost</w:t>
      </w:r>
    </w:p>
    <w:p w14:paraId="498B5112" w14:textId="77777777" w:rsidR="00912FDF" w:rsidRPr="00577846" w:rsidRDefault="00374F92" w:rsidP="00912FDF">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Daljnje </w:t>
      </w:r>
      <w:r>
        <w:rPr>
          <w:rFonts w:ascii="Times New Roman" w:hAnsi="Times New Roman"/>
          <w:b/>
          <w:noProof/>
          <w:sz w:val="24"/>
        </w:rPr>
        <w:t>smanjenje onečišćenja zraka</w:t>
      </w:r>
      <w:r>
        <w:rPr>
          <w:rFonts w:ascii="Times New Roman" w:hAnsi="Times New Roman"/>
          <w:noProof/>
          <w:sz w:val="24"/>
        </w:rPr>
        <w:t xml:space="preserve"> nužno je kako bi se ostvarile ambicije utvrđene u Akcijskom planu za nultu stopu onečišćenja i kako bi se smanjio broj slučajeva preuranjene smrti povezanih s onečišćenjem zraka. </w:t>
      </w:r>
      <w:r>
        <w:rPr>
          <w:rFonts w:ascii="Times New Roman" w:hAnsi="Times New Roman"/>
          <w:b/>
          <w:noProof/>
          <w:sz w:val="24"/>
        </w:rPr>
        <w:t>Plan REPowerEU</w:t>
      </w:r>
      <w:r>
        <w:rPr>
          <w:rFonts w:ascii="Times New Roman" w:hAnsi="Times New Roman"/>
          <w:noProof/>
          <w:sz w:val="24"/>
        </w:rPr>
        <w:t xml:space="preserve"> te ažurirani </w:t>
      </w:r>
      <w:r>
        <w:rPr>
          <w:rFonts w:ascii="Times New Roman" w:hAnsi="Times New Roman"/>
          <w:b/>
          <w:noProof/>
          <w:sz w:val="24"/>
        </w:rPr>
        <w:t>nacionalni energetski i klimatski planovi pružaju mogućnost za daljnje smanjenje emisija onečišćujućih tvari</w:t>
      </w:r>
      <w:r>
        <w:rPr>
          <w:rFonts w:ascii="Times New Roman" w:hAnsi="Times New Roman"/>
          <w:noProof/>
          <w:sz w:val="24"/>
        </w:rPr>
        <w:t xml:space="preserve"> daljnjim poboljšanjem energetske učinkovitosti i prelaskom na energiju iz negorivih obnovljivih izvora, posebice solarnu energiju i energiju vjetra. Istodobno diversifikacija opskrbe i izvora energije, čak i samo na privremenoj osnovi, uključuje rizike povezane s većim oslanjanjem na ugljen i bioenergiju, što bi dovelo do većeg onečišćenja zraka. </w:t>
      </w:r>
    </w:p>
    <w:p w14:paraId="00B1F7E2" w14:textId="77777777" w:rsidR="00535953" w:rsidRDefault="00912FDF" w:rsidP="008A54AE">
      <w:pPr>
        <w:spacing w:after="120" w:line="240" w:lineRule="auto"/>
        <w:jc w:val="both"/>
        <w:rPr>
          <w:rFonts w:ascii="Times New Roman" w:hAnsi="Times New Roman" w:cs="Times New Roman"/>
          <w:noProof/>
          <w:sz w:val="24"/>
          <w:szCs w:val="24"/>
        </w:rPr>
      </w:pPr>
      <w:r>
        <w:rPr>
          <w:rFonts w:ascii="Times New Roman" w:hAnsi="Times New Roman"/>
          <w:b/>
          <w:noProof/>
          <w:sz w:val="24"/>
        </w:rPr>
        <w:t>Ukupan učinak na kvalitetu zraka vjerojatno će se razlikovati ovisno o geografskom području</w:t>
      </w:r>
      <w:r>
        <w:rPr>
          <w:rFonts w:ascii="Times New Roman" w:hAnsi="Times New Roman"/>
          <w:noProof/>
          <w:sz w:val="24"/>
        </w:rPr>
        <w:t xml:space="preserve">, a to će se razmotriti u </w:t>
      </w:r>
      <w:r>
        <w:rPr>
          <w:rFonts w:ascii="Times New Roman" w:hAnsi="Times New Roman"/>
          <w:b/>
          <w:noProof/>
          <w:sz w:val="24"/>
        </w:rPr>
        <w:t>trećem izvješću o izgledima za čisti zrak</w:t>
      </w:r>
      <w:r>
        <w:rPr>
          <w:rStyle w:val="FootnoteReference"/>
          <w:rFonts w:ascii="Times New Roman" w:hAnsi="Times New Roman" w:cs="Times New Roman"/>
          <w:b/>
          <w:noProof/>
          <w:sz w:val="24"/>
          <w:szCs w:val="24"/>
        </w:rPr>
        <w:footnoteReference w:id="31"/>
      </w:r>
      <w:r>
        <w:rPr>
          <w:rFonts w:ascii="Times New Roman" w:hAnsi="Times New Roman"/>
          <w:noProof/>
          <w:sz w:val="24"/>
        </w:rPr>
        <w:t xml:space="preserve"> u okviru šireg </w:t>
      </w:r>
      <w:r>
        <w:rPr>
          <w:rFonts w:ascii="Times New Roman" w:hAnsi="Times New Roman"/>
          <w:b/>
          <w:noProof/>
          <w:sz w:val="24"/>
        </w:rPr>
        <w:t>izvješća o praćenju i projekcijama nulte stope onečišćenja</w:t>
      </w:r>
      <w:r>
        <w:rPr>
          <w:rFonts w:ascii="Times New Roman" w:hAnsi="Times New Roman"/>
          <w:noProof/>
          <w:sz w:val="24"/>
        </w:rPr>
        <w:t xml:space="preserve">. Takva analiza može pomoći u usmjeravanju država članica u njihovim izborima u okviru provedbe kako se ispunjavanjem kratkoročnih potreba ne bi narušili dugoročni ciljevi javnog zdravstva. </w:t>
      </w:r>
    </w:p>
    <w:p w14:paraId="467F527F" w14:textId="77777777" w:rsidR="00F3145E" w:rsidRDefault="00912FDF" w:rsidP="008A54AE">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U tijeku je rad na reviziji </w:t>
      </w:r>
      <w:r>
        <w:rPr>
          <w:rFonts w:ascii="Times New Roman" w:hAnsi="Times New Roman"/>
          <w:b/>
          <w:noProof/>
          <w:sz w:val="24"/>
        </w:rPr>
        <w:t>direktiva o kvaliteti okolnog zraka</w:t>
      </w:r>
      <w:r>
        <w:rPr>
          <w:rFonts w:ascii="Times New Roman" w:hAnsi="Times New Roman"/>
          <w:noProof/>
          <w:sz w:val="24"/>
        </w:rPr>
        <w:t xml:space="preserve"> kako bi se europske standarde kvalitete zraka bolje uskladilo s revidiranim smjernicama o kvaliteti zraka koje je Svjetska zdravstvena organizacija donijela 2021. i očekuje se da će zakonodavni prijedlog biti donesen do kraja godine. Time će se dodatno poboljšati kvaliteta zraka u cijelom EU-u, a bliska koordinacija među različitim područjima politike bit će potrebnija nego ikad kako bi se osiguralo međusobno osnaživanje različitih politika.</w:t>
      </w:r>
    </w:p>
    <w:p w14:paraId="1D8CB139" w14:textId="77777777" w:rsidR="00E56610" w:rsidRPr="009858D4" w:rsidRDefault="00F4183C" w:rsidP="000769A4">
      <w:pPr>
        <w:spacing w:after="120" w:line="240" w:lineRule="auto"/>
        <w:jc w:val="both"/>
        <w:rPr>
          <w:rFonts w:ascii="Times New Roman" w:hAnsi="Times New Roman" w:cs="Times New Roman"/>
          <w:noProof/>
          <w:sz w:val="24"/>
          <w:szCs w:val="24"/>
        </w:rPr>
      </w:pPr>
      <w:r>
        <w:rPr>
          <w:rFonts w:ascii="Times New Roman" w:hAnsi="Times New Roman"/>
          <w:noProof/>
          <w:sz w:val="24"/>
        </w:rPr>
        <w:t>Prelazak s tehnologija parnih turbina na proizvodnju energije iz obnovljivih izvora, odnosno solarne energije i energije vjetra, smanjit će ukupnu potrošnju slatke vode, međutim, povećat će se potreba za svježom vodom zbog pojačanog uvođenja proizvodnje vodika iz obnovljivih izvora, posebno na lokalnoj razini. Stoga je pri razmatranju lokacije za uvođenje dodatnih kapaciteta elektrolizera važno poštovati okvir za djelovanje u području vodne politike.</w:t>
      </w:r>
    </w:p>
    <w:p w14:paraId="3977A9E7" w14:textId="77777777" w:rsidR="009A2497" w:rsidRPr="00577846" w:rsidRDefault="00E616A6" w:rsidP="008A54AE">
      <w:pPr>
        <w:keepNext/>
        <w:spacing w:before="240" w:after="240" w:line="240" w:lineRule="auto"/>
        <w:ind w:left="360"/>
        <w:jc w:val="both"/>
        <w:outlineLvl w:val="0"/>
        <w:rPr>
          <w:rFonts w:ascii="Times New Roman" w:eastAsiaTheme="minorEastAsia" w:hAnsi="Times New Roman" w:cs="Times New Roman"/>
          <w:b/>
          <w:smallCaps/>
          <w:noProof/>
          <w:sz w:val="24"/>
          <w:szCs w:val="20"/>
        </w:rPr>
      </w:pPr>
      <w:r>
        <w:rPr>
          <w:rFonts w:ascii="Times New Roman" w:hAnsi="Times New Roman"/>
          <w:b/>
          <w:smallCaps/>
          <w:noProof/>
          <w:sz w:val="24"/>
        </w:rPr>
        <w:t>3. NAPREDAK ENERGETSKE UNIJE – PREGLED SVIH DIMENZIJA ENERGETSKE I KLIMATSKE POLITIKE</w:t>
      </w:r>
    </w:p>
    <w:p w14:paraId="3EBDE6B9" w14:textId="77777777" w:rsidR="000746FB" w:rsidRPr="00577846" w:rsidRDefault="000746FB" w:rsidP="008A54AE">
      <w:pPr>
        <w:keepNext/>
        <w:tabs>
          <w:tab w:val="num" w:pos="595"/>
        </w:tabs>
        <w:spacing w:after="240" w:line="240" w:lineRule="auto"/>
        <w:ind w:left="595" w:hanging="595"/>
        <w:jc w:val="both"/>
        <w:outlineLvl w:val="1"/>
        <w:rPr>
          <w:rFonts w:ascii="Times New Roman" w:eastAsia="Times New Roman" w:hAnsi="Times New Roman" w:cs="Times New Roman"/>
          <w:b/>
          <w:noProof/>
          <w:sz w:val="24"/>
          <w:szCs w:val="20"/>
        </w:rPr>
      </w:pPr>
      <w:r>
        <w:rPr>
          <w:rFonts w:ascii="Times New Roman" w:hAnsi="Times New Roman"/>
          <w:b/>
          <w:noProof/>
          <w:sz w:val="24"/>
        </w:rPr>
        <w:t xml:space="preserve">3.1. Dekarbonizacija i emisije stakleničkih plinova </w:t>
      </w:r>
    </w:p>
    <w:p w14:paraId="16491EF3" w14:textId="77777777" w:rsidR="000746FB" w:rsidRPr="00577846" w:rsidRDefault="000746FB" w:rsidP="008A54AE">
      <w:pPr>
        <w:spacing w:after="120" w:line="240" w:lineRule="auto"/>
        <w:jc w:val="both"/>
        <w:rPr>
          <w:rFonts w:ascii="Times New Roman" w:eastAsia="MS Mincho"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 xml:space="preserve">Najnovija izvješća Međuvladinog panela o klimatskim promjenama (IPCC) potvrđuju da je potrebno poduzeti brze i transformativne mjere na globalnoj razini ako želimo ispuniti ciljeve Pariškog sporazuma i spriječiti opasne klimatske promjene. EU se čvrsto obvezao ograničiti globalno zagrijavanje i utvrđuje konkretne politike u skladu s ciljevima za 2030. i ciljem postizanja klimatske neutralnosti do 2050. EU je uspostavio i mehanizme financiranja kako bi osigurao održivu, socijalno pravednu i troškovno učinkovitu tranziciju te je donio ambicioznu strategiju za prilagodbu klimatskim promjenama. </w:t>
      </w:r>
    </w:p>
    <w:p w14:paraId="0E351EA8" w14:textId="7FF96A7E" w:rsidR="000746FB" w:rsidRPr="00912FDF" w:rsidRDefault="00912FDF" w:rsidP="008A54AE">
      <w:pPr>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 xml:space="preserve">EU je znatno premašio svoj cilj da do 2020. </w:t>
      </w:r>
      <w:r>
        <w:rPr>
          <w:rFonts w:ascii="Times New Roman" w:hAnsi="Times New Roman"/>
          <w:b/>
          <w:noProof/>
          <w:sz w:val="24"/>
        </w:rPr>
        <w:t>smanji emisije stakleničkih plinova</w:t>
      </w:r>
      <w:r>
        <w:rPr>
          <w:rFonts w:ascii="Times New Roman" w:hAnsi="Times New Roman"/>
          <w:noProof/>
          <w:sz w:val="24"/>
        </w:rPr>
        <w:t xml:space="preserve"> za 20 % u odnosu na 1990.</w:t>
      </w:r>
      <w:r>
        <w:rPr>
          <w:rFonts w:ascii="Times New Roman" w:eastAsia="MS Mincho" w:hAnsi="Times New Roman" w:cs="Times New Roman"/>
          <w:noProof/>
          <w:sz w:val="24"/>
          <w:szCs w:val="24"/>
          <w:vertAlign w:val="superscript"/>
          <w:lang w:eastAsia="en-GB"/>
        </w:rPr>
        <w:footnoteReference w:id="32"/>
      </w:r>
      <w:r>
        <w:rPr>
          <w:rFonts w:ascii="Times New Roman" w:hAnsi="Times New Roman"/>
          <w:noProof/>
          <w:sz w:val="24"/>
        </w:rPr>
        <w:t xml:space="preserve"> Ukupne emisije stakleničkih plinova u EU-u</w:t>
      </w:r>
      <w:r>
        <w:rPr>
          <w:rStyle w:val="FootnoteReference"/>
          <w:rFonts w:ascii="Times New Roman" w:eastAsia="MS Mincho" w:hAnsi="Times New Roman" w:cs="Times New Roman"/>
          <w:noProof/>
          <w:sz w:val="24"/>
          <w:szCs w:val="24"/>
        </w:rPr>
        <w:footnoteReference w:id="33"/>
      </w:r>
      <w:r>
        <w:rPr>
          <w:rFonts w:ascii="Times New Roman" w:hAnsi="Times New Roman"/>
          <w:noProof/>
          <w:sz w:val="24"/>
        </w:rPr>
        <w:t>, izuzev emisija iz sektora korištenja zemljišta, prenamjene zemljišta i šumarstva te uključujući emisije iz međunarodnog zrakoplovstva, smanjile su se za 32 % u odnosu na polazišnu 1990. godinu, što je smanjenje od 1,55 milijardi tona ekvivalenata ugljikova dioksida (CO</w:t>
      </w:r>
      <w:r>
        <w:rPr>
          <w:rFonts w:ascii="Times New Roman" w:hAnsi="Times New Roman"/>
          <w:noProof/>
          <w:sz w:val="24"/>
          <w:vertAlign w:val="subscript"/>
        </w:rPr>
        <w:t>2</w:t>
      </w:r>
      <w:r>
        <w:rPr>
          <w:rFonts w:ascii="Times New Roman" w:hAnsi="Times New Roman"/>
          <w:noProof/>
          <w:sz w:val="24"/>
        </w:rPr>
        <w:t>) do 2020. Međutim, privremene procjene ukazuju na vjerojatnost ponovnog povećanja emisija stakleničkih plinova u EU-u</w:t>
      </w:r>
      <w:r>
        <w:rPr>
          <w:rStyle w:val="FootnoteReference"/>
          <w:rFonts w:ascii="Times New Roman" w:hAnsi="Times New Roman" w:cs="Times New Roman"/>
          <w:noProof/>
          <w:sz w:val="24"/>
          <w:szCs w:val="24"/>
        </w:rPr>
        <w:footnoteReference w:id="34"/>
      </w:r>
      <w:r>
        <w:rPr>
          <w:rFonts w:ascii="Times New Roman" w:hAnsi="Times New Roman"/>
          <w:noProof/>
          <w:sz w:val="24"/>
        </w:rPr>
        <w:t xml:space="preserve"> 2021. u odnosu na iznimno nisku razinu 2020.</w:t>
      </w:r>
      <w:r>
        <w:rPr>
          <w:rStyle w:val="FootnoteReference"/>
          <w:rFonts w:ascii="Times New Roman" w:hAnsi="Times New Roman" w:cs="Times New Roman"/>
          <w:noProof/>
          <w:sz w:val="24"/>
          <w:szCs w:val="24"/>
        </w:rPr>
        <w:footnoteReference w:id="35"/>
      </w:r>
      <w:r>
        <w:rPr>
          <w:rFonts w:ascii="Times New Roman" w:hAnsi="Times New Roman"/>
          <w:noProof/>
          <w:sz w:val="24"/>
        </w:rPr>
        <w:t xml:space="preserve"> uslijed oporavka gospodarstva od pandemije i iznimno visokih cijena plina, koje su uzrokovale privremeni prelazak s plina na ugljen. </w:t>
      </w:r>
    </w:p>
    <w:p w14:paraId="26E5C65C" w14:textId="77777777" w:rsidR="000746FB" w:rsidRPr="00912FDF" w:rsidRDefault="000746FB" w:rsidP="00912FDF">
      <w:pPr>
        <w:spacing w:before="100" w:beforeAutospacing="1" w:after="0" w:line="240" w:lineRule="auto"/>
        <w:jc w:val="both"/>
        <w:textAlignment w:val="baseline"/>
        <w:rPr>
          <w:rFonts w:ascii="Times New Roman" w:eastAsia="Times New Roman" w:hAnsi="Times New Roman" w:cs="Times New Roman"/>
          <w:i/>
          <w:iCs/>
          <w:noProof/>
          <w:color w:val="000000"/>
          <w:sz w:val="24"/>
          <w:szCs w:val="24"/>
          <w:shd w:val="clear" w:color="auto" w:fill="FFFFFF"/>
        </w:rPr>
      </w:pPr>
      <w:r>
        <w:rPr>
          <w:rFonts w:ascii="Times New Roman" w:hAnsi="Times New Roman"/>
          <w:i/>
          <w:noProof/>
          <w:color w:val="000000"/>
          <w:sz w:val="24"/>
          <w:shd w:val="clear" w:color="auto" w:fill="FFFFFF"/>
        </w:rPr>
        <w:t xml:space="preserve">Napredak u djelovanju EU-a u području klime </w:t>
      </w:r>
    </w:p>
    <w:p w14:paraId="57F77B28" w14:textId="77777777" w:rsidR="000746FB" w:rsidRPr="00577846" w:rsidRDefault="000746FB" w:rsidP="00912FDF">
      <w:pPr>
        <w:spacing w:after="120" w:afterAutospacing="1" w:line="240" w:lineRule="auto"/>
        <w:jc w:val="both"/>
        <w:textAlignment w:val="baseline"/>
        <w:rPr>
          <w:rFonts w:ascii="Times New Roman" w:eastAsia="Times New Roman" w:hAnsi="Times New Roman" w:cs="Times New Roman"/>
          <w:noProof/>
          <w:sz w:val="24"/>
          <w:szCs w:val="24"/>
        </w:rPr>
      </w:pPr>
      <w:r>
        <w:rPr>
          <w:rFonts w:ascii="Times New Roman" w:hAnsi="Times New Roman"/>
          <w:noProof/>
          <w:sz w:val="24"/>
        </w:rPr>
        <w:t xml:space="preserve">EU je postigao znatan napredak u provedbi </w:t>
      </w:r>
      <w:r>
        <w:rPr>
          <w:rFonts w:ascii="Times New Roman" w:hAnsi="Times New Roman"/>
          <w:b/>
          <w:noProof/>
          <w:sz w:val="24"/>
        </w:rPr>
        <w:t>europskog zelenog plana</w:t>
      </w:r>
      <w:r>
        <w:rPr>
          <w:rFonts w:ascii="Times New Roman" w:hAnsi="Times New Roman"/>
          <w:noProof/>
          <w:sz w:val="24"/>
        </w:rPr>
        <w:t xml:space="preserve">. Komisija je u srpnju 2021. predložila </w:t>
      </w:r>
      <w:r>
        <w:rPr>
          <w:rFonts w:ascii="Times New Roman" w:hAnsi="Times New Roman"/>
          <w:b/>
          <w:noProof/>
          <w:sz w:val="24"/>
        </w:rPr>
        <w:t>sveobuhvatan paket zakona o klimi i energiji</w:t>
      </w:r>
      <w:r>
        <w:rPr>
          <w:rFonts w:ascii="Times New Roman" w:hAnsi="Times New Roman"/>
          <w:noProof/>
          <w:sz w:val="24"/>
        </w:rPr>
        <w:t xml:space="preserve"> (dodatno ojačan najnovijim </w:t>
      </w:r>
      <w:r>
        <w:rPr>
          <w:rFonts w:ascii="Times New Roman" w:hAnsi="Times New Roman"/>
          <w:b/>
          <w:noProof/>
          <w:sz w:val="24"/>
        </w:rPr>
        <w:t>planom REPowerEU</w:t>
      </w:r>
      <w:r>
        <w:rPr>
          <w:rFonts w:ascii="Times New Roman" w:hAnsi="Times New Roman"/>
          <w:noProof/>
          <w:sz w:val="24"/>
        </w:rPr>
        <w:t xml:space="preserve">), o kojem Europski parlament i Vijeće trenutačno pregovaraju, kako bi osigurala da okvir politike EU-a odgovara povećanom klimatskom cilju EU-a do 2030. Godine 2022. imenovan je </w:t>
      </w:r>
      <w:r>
        <w:rPr>
          <w:rFonts w:ascii="Times New Roman" w:hAnsi="Times New Roman"/>
          <w:b/>
          <w:noProof/>
          <w:sz w:val="24"/>
        </w:rPr>
        <w:t>Europski znanstveni savjetodavni odbor za klimatske promjene</w:t>
      </w:r>
      <w:r>
        <w:rPr>
          <w:rFonts w:ascii="Times New Roman" w:hAnsi="Times New Roman"/>
          <w:noProof/>
          <w:sz w:val="24"/>
        </w:rPr>
        <w:t xml:space="preserve"> kako bi se pružili neovisni znanstveni savjeti o mjerama EU-a i klimatskim ciljevima. Komisija je donijela i </w:t>
      </w:r>
      <w:r>
        <w:rPr>
          <w:rFonts w:ascii="Times New Roman" w:hAnsi="Times New Roman"/>
          <w:b/>
          <w:noProof/>
          <w:sz w:val="24"/>
        </w:rPr>
        <w:t>smjernice o prilagodbi klimatskim promjenama</w:t>
      </w:r>
      <w:r>
        <w:rPr>
          <w:rFonts w:ascii="Times New Roman" w:hAnsi="Times New Roman"/>
          <w:noProof/>
          <w:sz w:val="24"/>
        </w:rPr>
        <w:t xml:space="preserve"> te je ažurirala svoje </w:t>
      </w:r>
      <w:r>
        <w:rPr>
          <w:rFonts w:ascii="Times New Roman" w:hAnsi="Times New Roman"/>
          <w:b/>
          <w:noProof/>
          <w:sz w:val="24"/>
        </w:rPr>
        <w:t>instrumente za bolju izradu zakonodavstva</w:t>
      </w:r>
      <w:r>
        <w:rPr>
          <w:rFonts w:ascii="Times New Roman" w:hAnsi="Times New Roman"/>
          <w:noProof/>
          <w:sz w:val="24"/>
        </w:rPr>
        <w:t xml:space="preserve"> kako bi osigurala da pri ocjenjivanju usklađenosti nacrta mjera s klimatskom neutralnošću i napretkom u prilagodbi primjenjuje isti pristup, kako je utvrđeno u Zakonu o klimi.  </w:t>
      </w:r>
    </w:p>
    <w:p w14:paraId="4C3C8F2A" w14:textId="77777777" w:rsidR="000746FB" w:rsidRPr="00577846" w:rsidRDefault="000746FB" w:rsidP="008A54AE">
      <w:pPr>
        <w:spacing w:before="100" w:beforeAutospacing="1" w:after="120" w:afterAutospacing="1" w:line="240" w:lineRule="auto"/>
        <w:jc w:val="both"/>
        <w:textAlignment w:val="baseline"/>
        <w:rPr>
          <w:rFonts w:ascii="Times New Roman" w:eastAsia="Times New Roman" w:hAnsi="Times New Roman" w:cs="Times New Roman"/>
          <w:noProof/>
          <w:sz w:val="24"/>
          <w:szCs w:val="24"/>
        </w:rPr>
      </w:pPr>
      <w:r>
        <w:rPr>
          <w:rFonts w:ascii="Times New Roman" w:hAnsi="Times New Roman"/>
          <w:noProof/>
          <w:sz w:val="24"/>
        </w:rPr>
        <w:t xml:space="preserve">EU je 2022. ujedno osnažio svoje djelovanje u okviru politika u ključnim sektorima donošenjem zakonodavnog prijedloga o novoj </w:t>
      </w:r>
      <w:r>
        <w:rPr>
          <w:rFonts w:ascii="Times New Roman" w:hAnsi="Times New Roman"/>
          <w:b/>
          <w:noProof/>
          <w:sz w:val="24"/>
        </w:rPr>
        <w:t>uredbi o F-plinovima</w:t>
      </w:r>
      <w:r>
        <w:rPr>
          <w:rFonts w:ascii="Times New Roman" w:hAnsi="Times New Roman"/>
          <w:noProof/>
          <w:sz w:val="24"/>
        </w:rPr>
        <w:t xml:space="preserve"> kako bi se postigle dodatne kumulativne uštede emisija do 2050. Do kraja 2022. trebao bi biti donesen i zakonodavni prijedlog o osnaživanju </w:t>
      </w:r>
      <w:r>
        <w:rPr>
          <w:rFonts w:ascii="Times New Roman" w:hAnsi="Times New Roman"/>
          <w:b/>
          <w:bCs/>
          <w:noProof/>
          <w:sz w:val="24"/>
        </w:rPr>
        <w:t>normi za emisije CO</w:t>
      </w:r>
      <w:r>
        <w:rPr>
          <w:rFonts w:ascii="Times New Roman" w:hAnsi="Times New Roman"/>
          <w:b/>
          <w:bCs/>
          <w:noProof/>
          <w:sz w:val="24"/>
          <w:vertAlign w:val="subscript"/>
        </w:rPr>
        <w:t>2</w:t>
      </w:r>
      <w:r>
        <w:rPr>
          <w:rFonts w:ascii="Times New Roman" w:hAnsi="Times New Roman"/>
          <w:b/>
          <w:bCs/>
          <w:noProof/>
          <w:sz w:val="24"/>
        </w:rPr>
        <w:t xml:space="preserve"> za teška teretna vozila</w:t>
      </w:r>
      <w:r>
        <w:rPr>
          <w:rFonts w:ascii="Times New Roman" w:hAnsi="Times New Roman"/>
          <w:noProof/>
          <w:sz w:val="24"/>
        </w:rPr>
        <w:t>.</w:t>
      </w:r>
    </w:p>
    <w:p w14:paraId="4A4D0BBC" w14:textId="77777777" w:rsidR="000746FB" w:rsidRPr="004B2029" w:rsidRDefault="000746FB" w:rsidP="004B2029">
      <w:pPr>
        <w:spacing w:before="100" w:beforeAutospacing="1" w:after="0" w:line="240" w:lineRule="auto"/>
        <w:jc w:val="both"/>
        <w:textAlignment w:val="baseline"/>
        <w:rPr>
          <w:rFonts w:ascii="Times New Roman" w:eastAsia="Times New Roman" w:hAnsi="Times New Roman" w:cs="Times New Roman"/>
          <w:i/>
          <w:iCs/>
          <w:noProof/>
          <w:color w:val="000000"/>
          <w:sz w:val="24"/>
          <w:szCs w:val="24"/>
          <w:shd w:val="clear" w:color="auto" w:fill="FFFFFF"/>
        </w:rPr>
      </w:pPr>
      <w:r>
        <w:rPr>
          <w:rFonts w:ascii="Times New Roman" w:hAnsi="Times New Roman"/>
          <w:i/>
          <w:noProof/>
          <w:color w:val="000000"/>
          <w:sz w:val="24"/>
          <w:shd w:val="clear" w:color="auto" w:fill="FFFFFF"/>
        </w:rPr>
        <w:t>Energija iz obnovljivih izvora</w:t>
      </w:r>
    </w:p>
    <w:p w14:paraId="08C7FE19" w14:textId="5FEBEAE9" w:rsidR="00C47B68" w:rsidRPr="00577846" w:rsidRDefault="000746FB" w:rsidP="008A54AE">
      <w:pPr>
        <w:spacing w:line="240" w:lineRule="auto"/>
        <w:jc w:val="both"/>
        <w:rPr>
          <w:rFonts w:ascii="Times New Roman" w:eastAsia="Times New Roman" w:hAnsi="Times New Roman" w:cs="Times New Roman"/>
          <w:iCs/>
          <w:noProof/>
          <w:color w:val="000000"/>
          <w:sz w:val="24"/>
          <w:szCs w:val="24"/>
        </w:rPr>
      </w:pPr>
      <w:r>
        <w:rPr>
          <w:rFonts w:ascii="Times New Roman" w:hAnsi="Times New Roman"/>
          <w:noProof/>
          <w:color w:val="000000"/>
          <w:sz w:val="24"/>
        </w:rPr>
        <w:t xml:space="preserve">Godine 2020. </w:t>
      </w:r>
      <w:r>
        <w:rPr>
          <w:rFonts w:ascii="Times New Roman" w:hAnsi="Times New Roman"/>
          <w:b/>
          <w:noProof/>
          <w:color w:val="000000"/>
          <w:sz w:val="24"/>
        </w:rPr>
        <w:t>udio obnovljivih izvora energije (OIE) u bruto potrošnji krajnje energije EU-a iznosio je 22,1 %, čime je EU premašio ciljanu razinu od 20 %</w:t>
      </w:r>
      <w:r>
        <w:rPr>
          <w:rFonts w:ascii="Times New Roman" w:hAnsi="Times New Roman"/>
          <w:noProof/>
          <w:color w:val="000000"/>
          <w:sz w:val="24"/>
        </w:rPr>
        <w:t xml:space="preserve"> utvrđen za tu godinu</w:t>
      </w:r>
      <w:r>
        <w:rPr>
          <w:rStyle w:val="FootnoteReference"/>
          <w:rFonts w:ascii="Times New Roman" w:eastAsia="Times New Roman" w:hAnsi="Times New Roman" w:cs="Times New Roman"/>
          <w:iCs/>
          <w:noProof/>
          <w:color w:val="000000"/>
          <w:sz w:val="24"/>
          <w:szCs w:val="24"/>
        </w:rPr>
        <w:footnoteReference w:id="36"/>
      </w:r>
      <w:r>
        <w:rPr>
          <w:rFonts w:ascii="Times New Roman" w:hAnsi="Times New Roman"/>
          <w:noProof/>
          <w:color w:val="000000"/>
          <w:sz w:val="24"/>
        </w:rPr>
        <w:t>. Od 2019. do 2020. ukupan udio obnovljivih izvora energije povećao se za 2,2 postotna boda zbog niže potrošnje energije uslijed pandemije bolesti COVID-19. Udjeli obnovljivih izvora energije 2020. uvelike u se razlikovali među državama članicama. Švedska je ostvarila najveći udio 2020. (60,1 %), a slijede Finska (43,8 %) i Latvija (42,1 %). Kad se razmatraju primjena na nacionalnoj razini i trenutačno prijavljeni prijenosi statističkih podataka, sve države članice osim Francuske postigle su svoj nacionalni cilj za 2020.</w:t>
      </w:r>
      <w:r>
        <w:rPr>
          <w:rStyle w:val="FootnoteReference"/>
          <w:rFonts w:ascii="Times New Roman" w:eastAsia="Times New Roman" w:hAnsi="Times New Roman" w:cs="Times New Roman"/>
          <w:iCs/>
          <w:noProof/>
          <w:color w:val="000000"/>
          <w:sz w:val="24"/>
          <w:szCs w:val="24"/>
        </w:rPr>
        <w:footnoteReference w:id="37"/>
      </w:r>
      <w:r>
        <w:rPr>
          <w:rFonts w:ascii="Times New Roman" w:hAnsi="Times New Roman"/>
          <w:noProof/>
          <w:color w:val="000000"/>
          <w:sz w:val="24"/>
        </w:rPr>
        <w:t xml:space="preserve"> Belgija, Irska, Luksemburg, Nizozemska i Slovenija koristile su se prijenosom statističkih podataka kako bi postigle svoj cilj za obnovljive izvore energije iz Direktive o promicanju uporabe energije iz obnovljivih izvora. </w:t>
      </w:r>
    </w:p>
    <w:p w14:paraId="7B6BAD8A" w14:textId="42FBDEA1" w:rsidR="00B029AC" w:rsidRPr="00577846" w:rsidRDefault="00315929" w:rsidP="008A54AE">
      <w:pPr>
        <w:spacing w:line="240" w:lineRule="auto"/>
        <w:jc w:val="both"/>
        <w:rPr>
          <w:rFonts w:ascii="Times New Roman" w:eastAsia="Times New Roman" w:hAnsi="Times New Roman" w:cs="Times New Roman"/>
          <w:iCs/>
          <w:noProof/>
          <w:color w:val="000000"/>
          <w:sz w:val="24"/>
          <w:szCs w:val="24"/>
        </w:rPr>
      </w:pPr>
      <w:r w:rsidRPr="00315929">
        <w:rPr>
          <w:rFonts w:ascii="Arial" w:hAnsi="Arial"/>
          <w:noProof/>
          <w:color w:val="555759"/>
          <w:sz w:val="20"/>
          <w:lang w:val="en-GB" w:eastAsia="en-GB"/>
        </w:rPr>
        <w:drawing>
          <wp:inline distT="0" distB="0" distL="0" distR="0" wp14:anchorId="2C0F826D" wp14:editId="5B99FB2A">
            <wp:extent cx="5731510" cy="2958586"/>
            <wp:effectExtent l="0" t="0" r="2540" b="0"/>
            <wp:docPr id="12" name="Picture 12" descr="\\net1.cec.eu.int\Homes\02\bekiciv\Desktop\SRC\3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t1.cec.eu.int\Homes\02\bekiciv\Desktop\SRC\3x.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2958586"/>
                    </a:xfrm>
                    <a:prstGeom prst="rect">
                      <a:avLst/>
                    </a:prstGeom>
                    <a:noFill/>
                    <a:ln>
                      <a:noFill/>
                    </a:ln>
                  </pic:spPr>
                </pic:pic>
              </a:graphicData>
            </a:graphic>
          </wp:inline>
        </w:drawing>
      </w:r>
    </w:p>
    <w:p w14:paraId="6CED8AA1" w14:textId="77777777" w:rsidR="00B029AC" w:rsidRPr="003F2335" w:rsidRDefault="00B029AC" w:rsidP="008A54AE">
      <w:pPr>
        <w:spacing w:after="0" w:line="240" w:lineRule="auto"/>
        <w:jc w:val="both"/>
        <w:rPr>
          <w:rFonts w:ascii="Times New Roman" w:eastAsia="Times New Roman" w:hAnsi="Times New Roman" w:cs="Times New Roman"/>
          <w:bCs/>
          <w:i/>
          <w:iCs/>
          <w:noProof/>
          <w:sz w:val="20"/>
          <w:szCs w:val="20"/>
        </w:rPr>
      </w:pPr>
      <w:r>
        <w:rPr>
          <w:rFonts w:ascii="Times New Roman" w:hAnsi="Times New Roman"/>
          <w:i/>
          <w:noProof/>
          <w:sz w:val="20"/>
        </w:rPr>
        <w:t xml:space="preserve">Slika 3.: Ukupni udjeli obnovljivih izvora energije s prijenosima statističkih podataka i bez njih u odnosu na ciljeve za obnovljive izvore energije za 2020. Izvor: Eurostat SHARES; Direktiva RED I </w:t>
      </w:r>
    </w:p>
    <w:p w14:paraId="6FEC3A4C" w14:textId="77777777" w:rsidR="004B7196" w:rsidRPr="00577846" w:rsidRDefault="004B7196" w:rsidP="00415BFA">
      <w:pPr>
        <w:spacing w:before="240" w:line="240" w:lineRule="auto"/>
        <w:jc w:val="both"/>
        <w:rPr>
          <w:rFonts w:ascii="Times New Roman" w:eastAsia="Times New Roman" w:hAnsi="Times New Roman" w:cs="Times New Roman"/>
          <w:iCs/>
          <w:noProof/>
          <w:color w:val="000000"/>
          <w:sz w:val="24"/>
          <w:szCs w:val="24"/>
        </w:rPr>
      </w:pPr>
      <w:r>
        <w:rPr>
          <w:rFonts w:ascii="Times New Roman" w:hAnsi="Times New Roman"/>
          <w:noProof/>
          <w:color w:val="000000"/>
          <w:sz w:val="24"/>
        </w:rPr>
        <w:t xml:space="preserve">S doprinosom od 37,5 % u 2020. relativni udio obnovljivih izvora energije najveći je u </w:t>
      </w:r>
      <w:r>
        <w:rPr>
          <w:rFonts w:ascii="Times New Roman" w:hAnsi="Times New Roman"/>
          <w:b/>
          <w:noProof/>
          <w:color w:val="000000"/>
          <w:sz w:val="24"/>
        </w:rPr>
        <w:t>elektroenergetskom sektoru</w:t>
      </w:r>
      <w:r>
        <w:rPr>
          <w:rFonts w:ascii="Times New Roman" w:hAnsi="Times New Roman"/>
          <w:noProof/>
          <w:color w:val="000000"/>
          <w:sz w:val="24"/>
        </w:rPr>
        <w:t xml:space="preserve">. Udio obnovljivih izvora energije u sektoru </w:t>
      </w:r>
      <w:r>
        <w:rPr>
          <w:rFonts w:ascii="Times New Roman" w:hAnsi="Times New Roman"/>
          <w:b/>
          <w:noProof/>
          <w:color w:val="000000"/>
          <w:sz w:val="24"/>
        </w:rPr>
        <w:t>grijanja i hlađenja</w:t>
      </w:r>
      <w:r>
        <w:rPr>
          <w:rFonts w:ascii="Times New Roman" w:hAnsi="Times New Roman"/>
          <w:noProof/>
          <w:color w:val="000000"/>
          <w:sz w:val="24"/>
        </w:rPr>
        <w:t xml:space="preserve"> dosegnuo je 23,1 % u 2020. U sektoru </w:t>
      </w:r>
      <w:r>
        <w:rPr>
          <w:rFonts w:ascii="Times New Roman" w:hAnsi="Times New Roman"/>
          <w:b/>
          <w:noProof/>
          <w:color w:val="000000"/>
          <w:sz w:val="24"/>
        </w:rPr>
        <w:t>prometa</w:t>
      </w:r>
      <w:r>
        <w:rPr>
          <w:rFonts w:ascii="Times New Roman" w:hAnsi="Times New Roman"/>
          <w:noProof/>
          <w:color w:val="000000"/>
          <w:sz w:val="24"/>
        </w:rPr>
        <w:t xml:space="preserve"> udjeli su relativno niži i dosegnuli su 10,2 % u 2020. </w:t>
      </w:r>
      <w:r>
        <w:rPr>
          <w:rFonts w:ascii="Times New Roman" w:hAnsi="Times New Roman"/>
          <w:b/>
          <w:noProof/>
          <w:color w:val="000000"/>
          <w:sz w:val="24"/>
        </w:rPr>
        <w:t>Bioenergija</w:t>
      </w:r>
      <w:r>
        <w:rPr>
          <w:rFonts w:ascii="Times New Roman" w:hAnsi="Times New Roman"/>
          <w:noProof/>
          <w:color w:val="000000"/>
          <w:sz w:val="24"/>
        </w:rPr>
        <w:t xml:space="preserve"> je i dalje glavni obnovljivi izvor energije u EU-u, s ukupnim udjelom od 58,1 % u 2020. U Europi je bioenergija i dalje uglavnom glavni obnovljivi izvor energije (približno 60 %). S obzirom na smanjenje ponora ugljika i potrebu da se očuva bioraznolikost, prijedlogom Komisije o reviziji Direktive o promicanju uporabe energije iz obnovljivih izvora u okviru paketa „Spremni za 55 %” osnažuju se kriteriji održivosti za upotrebu biomase za energiju te se države članice obvezuju na primjenu načela kaskadnog korištenja u svojim programima potpore.</w:t>
      </w:r>
    </w:p>
    <w:p w14:paraId="54856088" w14:textId="77777777" w:rsidR="000746FB" w:rsidRDefault="00C47B68" w:rsidP="008A54AE">
      <w:pPr>
        <w:spacing w:before="240" w:line="240" w:lineRule="auto"/>
        <w:jc w:val="both"/>
        <w:rPr>
          <w:rFonts w:ascii="Times New Roman" w:eastAsia="Times New Roman" w:hAnsi="Times New Roman" w:cs="Times New Roman"/>
          <w:iCs/>
          <w:noProof/>
          <w:color w:val="000000"/>
          <w:sz w:val="24"/>
          <w:szCs w:val="24"/>
        </w:rPr>
      </w:pPr>
      <w:r>
        <w:rPr>
          <w:rFonts w:ascii="Times New Roman" w:hAnsi="Times New Roman"/>
          <w:noProof/>
          <w:color w:val="000000"/>
          <w:sz w:val="24"/>
        </w:rPr>
        <w:t xml:space="preserve">U Vijeću i Europskom parlamentu trenutačno se raspravlja o prijedlogu o </w:t>
      </w:r>
      <w:r>
        <w:rPr>
          <w:rFonts w:ascii="Times New Roman" w:hAnsi="Times New Roman"/>
          <w:b/>
          <w:noProof/>
          <w:color w:val="000000"/>
          <w:sz w:val="24"/>
        </w:rPr>
        <w:t>povećanju ukupnog cilja za OIE na 45 %</w:t>
      </w:r>
      <w:r>
        <w:rPr>
          <w:rFonts w:ascii="Times New Roman" w:hAnsi="Times New Roman"/>
          <w:noProof/>
          <w:color w:val="000000"/>
          <w:sz w:val="24"/>
        </w:rPr>
        <w:t xml:space="preserve"> i </w:t>
      </w:r>
      <w:r>
        <w:rPr>
          <w:rFonts w:ascii="Times New Roman" w:hAnsi="Times New Roman"/>
          <w:b/>
          <w:noProof/>
          <w:color w:val="000000"/>
          <w:sz w:val="24"/>
        </w:rPr>
        <w:t>ubrzanju postupaka izdavanja dozvola</w:t>
      </w:r>
      <w:r>
        <w:rPr>
          <w:rFonts w:ascii="Times New Roman" w:hAnsi="Times New Roman"/>
          <w:noProof/>
          <w:color w:val="000000"/>
          <w:sz w:val="24"/>
        </w:rPr>
        <w:t>. Njegovo brzo donošenje u okviru revizije Direktive RED II bilo bi ključno za poticanje daljnjeg razvoja energije iz obnovljivih izvora. Kako bi se postigao novi, veći predloženi cilj od 45 % na temelju plana REPowerEU, potrebno je veliko povećanje primjene energije iz obnovljivih izvora, gotovo trostruko veće od prosječnog godišnjeg povećanja u posljednjem desetljeću. Kad je riječ o dekarbonizaciji prometa, napredna biogoriva</w:t>
      </w:r>
      <w:r>
        <w:rPr>
          <w:rFonts w:ascii="Times New Roman" w:eastAsia="Times New Roman" w:hAnsi="Times New Roman" w:cs="Times New Roman"/>
          <w:iCs/>
          <w:noProof/>
          <w:color w:val="000000"/>
          <w:sz w:val="24"/>
          <w:szCs w:val="24"/>
          <w:vertAlign w:val="superscript"/>
        </w:rPr>
        <w:footnoteReference w:id="38"/>
      </w:r>
      <w:r>
        <w:rPr>
          <w:rFonts w:ascii="Times New Roman" w:hAnsi="Times New Roman"/>
          <w:noProof/>
          <w:color w:val="000000"/>
          <w:sz w:val="24"/>
        </w:rPr>
        <w:t xml:space="preserve"> zajedno s obnovljivim gorivima nebiološkog podrijetla mogu na održiv način doprinijeti postizanju tog cilja. </w:t>
      </w:r>
      <w:r>
        <w:rPr>
          <w:rFonts w:ascii="Times New Roman" w:hAnsi="Times New Roman"/>
          <w:b/>
          <w:noProof/>
          <w:color w:val="000000"/>
          <w:sz w:val="24"/>
        </w:rPr>
        <w:t>U Direktivi RED II za udio naprednih biogoriva utvrđen je cilj od 3,5 % do 2030.</w:t>
      </w:r>
      <w:r>
        <w:rPr>
          <w:rFonts w:ascii="Times New Roman" w:hAnsi="Times New Roman"/>
          <w:noProof/>
          <w:color w:val="000000"/>
          <w:sz w:val="24"/>
        </w:rPr>
        <w:t xml:space="preserve"> Od 2016. proizvodnja u EU-u više se nego udvostručila te je 2020. iznosila 1 224 ktoe. Osim toga, u okviru revizije Direktive RED II predloženo je da za obnovljiva goriva nebiološkog podrijetla cilj bude 2,6 % do 2030.</w:t>
      </w:r>
    </w:p>
    <w:p w14:paraId="1BD5230A" w14:textId="77777777" w:rsidR="009E727E" w:rsidRPr="00577846" w:rsidRDefault="009E727E" w:rsidP="009E727E">
      <w:pPr>
        <w:spacing w:before="240" w:line="240" w:lineRule="auto"/>
        <w:jc w:val="both"/>
        <w:rPr>
          <w:rFonts w:ascii="Times New Roman" w:eastAsia="MS Mincho" w:hAnsi="Times New Roman" w:cs="Times New Roman"/>
          <w:iCs/>
          <w:noProof/>
          <w:sz w:val="24"/>
          <w:szCs w:val="24"/>
        </w:rPr>
      </w:pPr>
      <w:r>
        <w:rPr>
          <w:rFonts w:ascii="Times New Roman" w:hAnsi="Times New Roman"/>
          <w:noProof/>
          <w:sz w:val="24"/>
        </w:rPr>
        <w:t xml:space="preserve">Za promet su strategijom održive i pametne mobilnosti utvrđeni temelji načina postizanja zelene preobrazbe prometnog sustava EU-a. Dovršeno je nekoliko mjera iz strategije – Komisija je u okviru inicijativa </w:t>
      </w:r>
      <w:r>
        <w:rPr>
          <w:rFonts w:ascii="Times New Roman" w:hAnsi="Times New Roman"/>
          <w:b/>
          <w:noProof/>
          <w:sz w:val="24"/>
        </w:rPr>
        <w:t>„FuelEU Maritime”</w:t>
      </w:r>
      <w:r>
        <w:rPr>
          <w:rFonts w:ascii="Times New Roman" w:hAnsi="Times New Roman"/>
          <w:noProof/>
          <w:sz w:val="24"/>
        </w:rPr>
        <w:t xml:space="preserve"> i </w:t>
      </w:r>
      <w:r>
        <w:rPr>
          <w:rFonts w:ascii="Times New Roman" w:hAnsi="Times New Roman"/>
          <w:b/>
          <w:noProof/>
          <w:sz w:val="24"/>
        </w:rPr>
        <w:t>„ReFuelEU Aviation”</w:t>
      </w:r>
      <w:r>
        <w:rPr>
          <w:rFonts w:ascii="Times New Roman" w:hAnsi="Times New Roman"/>
          <w:noProof/>
          <w:sz w:val="24"/>
        </w:rPr>
        <w:t xml:space="preserve"> predložila poticanje proizvodnje i primjene održivih zrakoplovnih i pomorskih goriva, a u okviru Uredbe o infrastrukturi za alternativna goriva predložila je povećanje primjene i upotrebe obnovljivih i niskougljičnih goriva te povezane infrastrukture.</w:t>
      </w:r>
    </w:p>
    <w:p w14:paraId="5AAE041B" w14:textId="77777777" w:rsidR="000746FB" w:rsidRPr="00577846" w:rsidRDefault="00512045" w:rsidP="008A54AE">
      <w:pPr>
        <w:spacing w:after="120" w:line="240" w:lineRule="auto"/>
        <w:jc w:val="both"/>
        <w:rPr>
          <w:rFonts w:ascii="Times New Roman" w:eastAsia="MS Mincho" w:hAnsi="Times New Roman" w:cs="Times New Roman"/>
          <w:iCs/>
          <w:noProof/>
          <w:sz w:val="24"/>
          <w:szCs w:val="24"/>
        </w:rPr>
      </w:pPr>
      <w:r>
        <w:rPr>
          <w:rFonts w:ascii="Times New Roman" w:hAnsi="Times New Roman"/>
          <w:b/>
          <w:noProof/>
          <w:sz w:val="24"/>
        </w:rPr>
        <w:t>Hitno i potpuno prenošenje Direktive RED II o obnovljivoj energiji iz 2018. ključno je</w:t>
      </w:r>
      <w:r>
        <w:rPr>
          <w:rFonts w:ascii="Times New Roman" w:hAnsi="Times New Roman"/>
          <w:noProof/>
          <w:sz w:val="24"/>
        </w:rPr>
        <w:t xml:space="preserve"> za uspjeh energetske tranzicije jer su u njoj utvrđeni temelji za šire uvođenje obnovljivih izvora energije. Komisija trenutačno provjerava je li Direktiva prenesena te je pokrenula postupke zbog povrede prava protiv svih država članica, koji su u različitim fazama.</w:t>
      </w:r>
    </w:p>
    <w:p w14:paraId="60E078F7" w14:textId="77777777" w:rsidR="000746FB" w:rsidRPr="00577846" w:rsidRDefault="000746FB" w:rsidP="008A54AE">
      <w:pPr>
        <w:keepNext/>
        <w:tabs>
          <w:tab w:val="num" w:pos="595"/>
        </w:tabs>
        <w:spacing w:after="240" w:line="240" w:lineRule="auto"/>
        <w:ind w:left="595" w:hanging="595"/>
        <w:jc w:val="both"/>
        <w:outlineLvl w:val="1"/>
        <w:rPr>
          <w:rFonts w:ascii="Times New Roman" w:eastAsia="Times New Roman" w:hAnsi="Times New Roman" w:cs="Times New Roman"/>
          <w:b/>
          <w:noProof/>
          <w:sz w:val="24"/>
          <w:szCs w:val="20"/>
        </w:rPr>
      </w:pPr>
      <w:r>
        <w:rPr>
          <w:rFonts w:ascii="Times New Roman" w:hAnsi="Times New Roman"/>
          <w:b/>
          <w:noProof/>
          <w:sz w:val="24"/>
        </w:rPr>
        <w:t>3.2. Energetska učinkovitost</w:t>
      </w:r>
    </w:p>
    <w:p w14:paraId="3E441629" w14:textId="1E775D3C" w:rsidR="00E3699A" w:rsidRDefault="00EF5A18" w:rsidP="008A54AE">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Uzimajući u obzir jedinstvenu situaciju zbog pandemije bolesti COVID-19, </w:t>
      </w:r>
      <w:r>
        <w:rPr>
          <w:rFonts w:ascii="Times New Roman" w:hAnsi="Times New Roman"/>
          <w:b/>
          <w:noProof/>
          <w:sz w:val="24"/>
        </w:rPr>
        <w:t>EU je postigao ciljeve za 2020.; i za potrošnju primarne energije i za potrošnju krajnje energije</w:t>
      </w:r>
      <w:r>
        <w:rPr>
          <w:rFonts w:ascii="Times New Roman" w:hAnsi="Times New Roman"/>
          <w:noProof/>
          <w:sz w:val="24"/>
        </w:rPr>
        <w:t>. Potrošnja primarne energije u EU-u iznosila je 1 236 Mtoe, što je 5,8 % manje u odnosu na cilj za 2020. Potrošnja primarne energije smanjila se treću godinu zaredom te je iznosila 907 Mtoe, što je 8,7 % niže nego 2019. Potrošnja krajnje energije bila je 5,4 % niža od cilja za 2020. te se smanjila za 8 % u odnosu na 2019. Ovo je druga uzastopna godina u kojoj je zabilježeno njezino smanjenje nakon šest godina stalnog rasta. Sve države članice postigle su svoje nacionalne doprinose za 2020. za potrošnju primarne energije, osim Belgije, Bugarske i Poljske. Belgija, Bugarska, Njemačka, Litva, Austrija i Švedska nisu ostvarile svoje nacionalne doprinose za potrošnju krajnje energije.</w:t>
      </w:r>
    </w:p>
    <w:p w14:paraId="1A5662B7" w14:textId="7CD1B084" w:rsidR="009A7183" w:rsidRPr="002A7F4A" w:rsidRDefault="002A7F4A" w:rsidP="00D543E6">
      <w:pPr>
        <w:spacing w:after="120" w:line="240" w:lineRule="auto"/>
        <w:jc w:val="both"/>
        <w:rPr>
          <w:noProof/>
        </w:rPr>
      </w:pPr>
      <w:r>
        <w:rPr>
          <w:rFonts w:ascii="Times New Roman" w:hAnsi="Times New Roman"/>
          <w:noProof/>
          <w:sz w:val="24"/>
        </w:rPr>
        <w:t xml:space="preserve">Kad je riječ o članku 7. Direktive o energetskoj učinkovitosti, kumulativne uštede energije u razdoblju 2014.–2020., o čemu su dostupni podaci za 24 države članice, iznosile su 197,5 Mtoe, što odgovara 103 % zbroja obveza kumulativne uštede energije u krajnjoj potrošnji za razdoblje 2014.–2020. (191,7 Mtoe), odnosno 97,5 % (202,5 Mtoe) za 27 država članica. Ovisno o konačnim ostvarenjima triju država članica za koje nisu dostavljeni podaci mogao bi se ostvariti zbroj kumulativnih ušteda koji se zahtijeva za 27 država članica. Od 24 države članice koje su dostavile potpune podatke o konačnim ostvarenjima 14 država članica ispunilo je svoju obvezu uštede energije, a njih 10 nije. </w:t>
      </w:r>
    </w:p>
    <w:p w14:paraId="3217BB9C" w14:textId="77777777" w:rsidR="009A7183" w:rsidRPr="00577846" w:rsidRDefault="009A7183" w:rsidP="008A54AE">
      <w:pPr>
        <w:spacing w:after="120" w:line="240" w:lineRule="auto"/>
        <w:jc w:val="both"/>
        <w:rPr>
          <w:rFonts w:ascii="Times New Roman" w:eastAsia="Times New Roman" w:hAnsi="Times New Roman" w:cs="Times New Roman"/>
          <w:noProof/>
          <w:sz w:val="24"/>
          <w:szCs w:val="24"/>
        </w:rPr>
      </w:pPr>
    </w:p>
    <w:p w14:paraId="37FD6482" w14:textId="13A780B5" w:rsidR="004C7954" w:rsidRPr="00577846" w:rsidRDefault="005F327C" w:rsidP="008A54AE">
      <w:pPr>
        <w:spacing w:after="0" w:line="240" w:lineRule="auto"/>
        <w:jc w:val="center"/>
        <w:textAlignment w:val="baseline"/>
        <w:rPr>
          <w:rFonts w:ascii="Segoe UI" w:eastAsia="Times New Roman" w:hAnsi="Segoe UI" w:cs="Segoe UI"/>
          <w:noProof/>
          <w:sz w:val="18"/>
          <w:szCs w:val="18"/>
        </w:rPr>
      </w:pPr>
      <w:r w:rsidRPr="005F327C">
        <w:rPr>
          <w:rFonts w:ascii="Times New Roman" w:hAnsi="Times New Roman"/>
          <w:noProof/>
          <w:sz w:val="24"/>
          <w:lang w:val="en-GB" w:eastAsia="en-GB"/>
        </w:rPr>
        <w:drawing>
          <wp:inline distT="0" distB="0" distL="0" distR="0" wp14:anchorId="6B1D56DD" wp14:editId="624F5FF4">
            <wp:extent cx="4384040" cy="2227545"/>
            <wp:effectExtent l="0" t="0" r="0" b="1905"/>
            <wp:docPr id="14" name="Picture 14" descr="\\net1.cec.eu.int\Homes\02\bekiciv\Desktop\SR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t1.cec.eu.int\Homes\02\bekiciv\Desktop\SRC\4.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21468" cy="2246562"/>
                    </a:xfrm>
                    <a:prstGeom prst="rect">
                      <a:avLst/>
                    </a:prstGeom>
                    <a:noFill/>
                    <a:ln>
                      <a:noFill/>
                    </a:ln>
                  </pic:spPr>
                </pic:pic>
              </a:graphicData>
            </a:graphic>
          </wp:inline>
        </w:drawing>
      </w:r>
      <w:r w:rsidR="004C7954">
        <w:rPr>
          <w:rFonts w:ascii="Times New Roman" w:hAnsi="Times New Roman"/>
          <w:noProof/>
        </w:rPr>
        <w:t xml:space="preserve"> </w:t>
      </w:r>
    </w:p>
    <w:p w14:paraId="0F05A09A" w14:textId="78A5AAF6" w:rsidR="004C7954" w:rsidRPr="003F2335" w:rsidRDefault="00D47ACE" w:rsidP="00D47ACE">
      <w:pPr>
        <w:spacing w:after="0" w:line="240" w:lineRule="auto"/>
        <w:jc w:val="both"/>
        <w:rPr>
          <w:rFonts w:ascii="Times New Roman" w:eastAsia="Times New Roman" w:hAnsi="Times New Roman" w:cs="Times New Roman"/>
          <w:bCs/>
          <w:i/>
          <w:iCs/>
          <w:noProof/>
          <w:sz w:val="20"/>
          <w:szCs w:val="20"/>
        </w:rPr>
      </w:pPr>
      <w:r>
        <w:rPr>
          <w:rFonts w:ascii="Times New Roman" w:hAnsi="Times New Roman"/>
          <w:i/>
          <w:noProof/>
          <w:sz w:val="20"/>
        </w:rPr>
        <w:t xml:space="preserve">Slika 4. Razvoj potrošnje krajnje i primarne energije u EU-u od 2005. do 2020. (točke predstavljaju ciljeve </w:t>
      </w:r>
      <w:r w:rsidR="005F327C">
        <w:rPr>
          <w:rFonts w:ascii="Times New Roman" w:hAnsi="Times New Roman"/>
          <w:i/>
          <w:noProof/>
          <w:sz w:val="20"/>
        </w:rPr>
        <w:t xml:space="preserve">  </w:t>
      </w:r>
      <w:r>
        <w:rPr>
          <w:rFonts w:ascii="Times New Roman" w:hAnsi="Times New Roman"/>
          <w:i/>
          <w:noProof/>
          <w:sz w:val="20"/>
        </w:rPr>
        <w:t>EU-a u pogledu energetske učinkovitosti za 2020.). Izvor: Eurostat, JRC, 2022.</w:t>
      </w:r>
    </w:p>
    <w:p w14:paraId="65EEF176" w14:textId="77777777" w:rsidR="002E358F" w:rsidRPr="00577846" w:rsidRDefault="00584C0C" w:rsidP="004B2029">
      <w:pPr>
        <w:spacing w:before="240" w:after="120" w:line="240" w:lineRule="auto"/>
        <w:jc w:val="both"/>
        <w:rPr>
          <w:rFonts w:ascii="Times New Roman" w:eastAsia="Times New Roman" w:hAnsi="Times New Roman" w:cs="Times New Roman"/>
          <w:noProof/>
          <w:sz w:val="24"/>
          <w:szCs w:val="24"/>
        </w:rPr>
      </w:pPr>
      <w:r>
        <w:rPr>
          <w:rFonts w:ascii="Times New Roman" w:hAnsi="Times New Roman"/>
          <w:b/>
          <w:noProof/>
          <w:sz w:val="24"/>
        </w:rPr>
        <w:t>Pandemija bolesti COVID-19 nedvojbeno je utjecala na potrošnju energije 2020.</w:t>
      </w:r>
      <w:r>
        <w:rPr>
          <w:rFonts w:ascii="Times New Roman" w:hAnsi="Times New Roman"/>
          <w:noProof/>
          <w:sz w:val="24"/>
        </w:rPr>
        <w:t xml:space="preserve"> Ta izvanredna situacija dovela je do blagog rasta potrošnje energije u stambenom sektoru jer su ljudi više vremena provodili kod kuće (ograničenje kretanja i rad na daljinu) i smanjenja potrošnje energije u sektoru prometa, industrije i usluga. U sektoru prometa zabilježeno je najizraženije smanjenje potrošnje zbog naglog pada aktivnosti, uglavnom zbog ograničenja putovanja tijekom pandemije bolesti COVID-19. </w:t>
      </w:r>
    </w:p>
    <w:p w14:paraId="1AB21A94" w14:textId="77777777" w:rsidR="000746FB" w:rsidRPr="00577846" w:rsidRDefault="000746FB" w:rsidP="008A54AE">
      <w:pPr>
        <w:spacing w:after="120" w:line="240" w:lineRule="auto"/>
        <w:jc w:val="both"/>
        <w:rPr>
          <w:rFonts w:ascii="Times New Roman" w:hAnsi="Times New Roman" w:cs="Times New Roman"/>
          <w:noProof/>
          <w:color w:val="C45911" w:themeColor="accent2" w:themeShade="BF"/>
        </w:rPr>
      </w:pPr>
      <w:r>
        <w:rPr>
          <w:rFonts w:ascii="Times New Roman" w:hAnsi="Times New Roman"/>
          <w:b/>
          <w:noProof/>
          <w:sz w:val="24"/>
        </w:rPr>
        <w:t>U razdoblju od 2005. do 2020. potrošnja energije u EU-u bila je u skladu s općim trendom smanjenja</w:t>
      </w:r>
      <w:r>
        <w:rPr>
          <w:rFonts w:ascii="Times New Roman" w:hAnsi="Times New Roman"/>
          <w:noProof/>
          <w:sz w:val="24"/>
        </w:rPr>
        <w:t>, kako je prikazano na slici 4. Uz smanjenje potrošnje energije zabilježeno je i opće smanjenje energetskog intenziteta i potrošnje energije po glavi stanovnika, što odražava mogući porast konkurentnosti.</w:t>
      </w:r>
    </w:p>
    <w:p w14:paraId="3DB26A05" w14:textId="77777777" w:rsidR="00CA305E" w:rsidRPr="00577846" w:rsidRDefault="000746FB" w:rsidP="008A54AE">
      <w:pPr>
        <w:spacing w:after="120" w:line="240" w:lineRule="auto"/>
        <w:jc w:val="both"/>
        <w:rPr>
          <w:rFonts w:ascii="Times New Roman" w:eastAsia="Times New Roman" w:hAnsi="Times New Roman" w:cs="Times New Roman"/>
          <w:noProof/>
          <w:sz w:val="24"/>
          <w:szCs w:val="24"/>
        </w:rPr>
      </w:pPr>
      <w:r>
        <w:rPr>
          <w:rFonts w:ascii="Times New Roman" w:hAnsi="Times New Roman"/>
          <w:b/>
          <w:noProof/>
          <w:sz w:val="24"/>
        </w:rPr>
        <w:t>Kad je riječ o napretku u postizanju ciljeva za 2030.</w:t>
      </w:r>
      <w:r>
        <w:rPr>
          <w:rFonts w:ascii="Times New Roman" w:hAnsi="Times New Roman"/>
          <w:noProof/>
          <w:sz w:val="24"/>
        </w:rPr>
        <w:t xml:space="preserve">, potrošnja primarne energije u EU-u bila je 7,2 % viša (a potrošnja krajnje energije 9,6 % viša) u odnosu na ciljane razine potrošnje energije za 2030. To je </w:t>
      </w:r>
      <w:r>
        <w:rPr>
          <w:rFonts w:ascii="Times New Roman" w:hAnsi="Times New Roman"/>
          <w:b/>
          <w:noProof/>
          <w:sz w:val="24"/>
        </w:rPr>
        <w:t>smanjenje od 32,5 % u odnosu na referentni polazišni scenarij iz 2007.</w:t>
      </w:r>
      <w:r>
        <w:rPr>
          <w:rFonts w:ascii="Times New Roman" w:hAnsi="Times New Roman"/>
          <w:noProof/>
          <w:sz w:val="24"/>
        </w:rPr>
        <w:t xml:space="preserve"> Međutim, potreban je mnogo veći napredak ako želimo postići strukturno smanjenje potrošnje energije i ispuniti novi cilj od 13 % predložen u planu REPowerEU.</w:t>
      </w:r>
    </w:p>
    <w:p w14:paraId="009A1BE2" w14:textId="77777777" w:rsidR="000746FB" w:rsidRPr="004B2029" w:rsidRDefault="000746FB" w:rsidP="004B2029">
      <w:pPr>
        <w:spacing w:before="100" w:beforeAutospacing="1" w:after="0" w:line="240" w:lineRule="auto"/>
        <w:jc w:val="both"/>
        <w:textAlignment w:val="baseline"/>
        <w:rPr>
          <w:rFonts w:ascii="Times New Roman" w:eastAsia="Times New Roman" w:hAnsi="Times New Roman" w:cs="Times New Roman"/>
          <w:i/>
          <w:iCs/>
          <w:noProof/>
          <w:color w:val="000000"/>
          <w:sz w:val="24"/>
          <w:szCs w:val="24"/>
          <w:shd w:val="clear" w:color="auto" w:fill="FFFFFF"/>
        </w:rPr>
      </w:pPr>
      <w:r>
        <w:rPr>
          <w:rFonts w:ascii="Times New Roman" w:hAnsi="Times New Roman"/>
          <w:i/>
          <w:noProof/>
          <w:color w:val="000000"/>
          <w:sz w:val="24"/>
          <w:shd w:val="clear" w:color="auto" w:fill="FFFFFF"/>
        </w:rPr>
        <w:t>Zgrade i proizvodi</w:t>
      </w:r>
    </w:p>
    <w:p w14:paraId="332C6D51" w14:textId="77777777" w:rsidR="003907C8" w:rsidRPr="00577846" w:rsidRDefault="008A54AE" w:rsidP="008A54AE">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Nekoliko mjera iz </w:t>
      </w:r>
      <w:r>
        <w:rPr>
          <w:rFonts w:ascii="Times New Roman" w:hAnsi="Times New Roman"/>
          <w:b/>
          <w:noProof/>
          <w:sz w:val="24"/>
        </w:rPr>
        <w:t>akcijskog plana u okviru inicijative „Val obnove”</w:t>
      </w:r>
      <w:r>
        <w:rPr>
          <w:rFonts w:ascii="Times New Roman" w:hAnsi="Times New Roman"/>
          <w:noProof/>
          <w:sz w:val="24"/>
        </w:rPr>
        <w:t xml:space="preserve"> za postizanje </w:t>
      </w:r>
      <w:r>
        <w:rPr>
          <w:rFonts w:ascii="Times New Roman" w:hAnsi="Times New Roman"/>
          <w:b/>
          <w:noProof/>
          <w:sz w:val="24"/>
        </w:rPr>
        <w:t>barem dvostruko veće godišnje stope energetske obnove zgrada do 2030.</w:t>
      </w:r>
      <w:r>
        <w:rPr>
          <w:rFonts w:ascii="Times New Roman" w:hAnsi="Times New Roman"/>
          <w:noProof/>
          <w:sz w:val="24"/>
        </w:rPr>
        <w:t xml:space="preserve"> i poticanje temeljitije energetske obnove već je dovršeno ili je znatno uznapredovalo.</w:t>
      </w:r>
    </w:p>
    <w:p w14:paraId="4A6A8974" w14:textId="77777777" w:rsidR="000746FB" w:rsidRPr="00577846" w:rsidRDefault="000746FB" w:rsidP="008A54AE">
      <w:pPr>
        <w:spacing w:after="120" w:line="240" w:lineRule="auto"/>
        <w:jc w:val="both"/>
        <w:rPr>
          <w:rFonts w:ascii="Times New Roman" w:eastAsia="Times New Roman" w:hAnsi="Times New Roman" w:cs="Times New Roman"/>
          <w:noProof/>
          <w:sz w:val="24"/>
          <w:szCs w:val="24"/>
          <w:highlight w:val="yellow"/>
        </w:rPr>
      </w:pPr>
      <w:r>
        <w:rPr>
          <w:rFonts w:ascii="Times New Roman" w:hAnsi="Times New Roman"/>
          <w:noProof/>
          <w:sz w:val="24"/>
        </w:rPr>
        <w:t xml:space="preserve">Države članice dostavile su svoje </w:t>
      </w:r>
      <w:r>
        <w:rPr>
          <w:rFonts w:ascii="Times New Roman" w:hAnsi="Times New Roman"/>
          <w:b/>
          <w:noProof/>
          <w:sz w:val="24"/>
        </w:rPr>
        <w:t>nacionalne dugoročne strategije obnove</w:t>
      </w:r>
      <w:r>
        <w:rPr>
          <w:rFonts w:ascii="Times New Roman" w:hAnsi="Times New Roman"/>
          <w:noProof/>
          <w:sz w:val="24"/>
        </w:rPr>
        <w:t xml:space="preserve"> s konkretnim mjerama politike za lakši pristup financiranju, promicanje savjetodavnih alata kao što su sustavi pružanja usluga na jednom mjestu, suzbijanje energetskog siromaštva, poboljšanje energetske učinkovitosti javnih zgrada i bolje informiranje</w:t>
      </w:r>
      <w:r>
        <w:rPr>
          <w:rFonts w:ascii="Times New Roman" w:eastAsia="Times New Roman" w:hAnsi="Times New Roman" w:cs="Times New Roman"/>
          <w:noProof/>
          <w:sz w:val="24"/>
          <w:szCs w:val="24"/>
          <w:vertAlign w:val="superscript"/>
        </w:rPr>
        <w:footnoteReference w:id="39"/>
      </w:r>
      <w:r>
        <w:rPr>
          <w:rFonts w:ascii="Times New Roman" w:hAnsi="Times New Roman"/>
          <w:noProof/>
          <w:sz w:val="24"/>
        </w:rPr>
        <w:t xml:space="preserve">. Od početka 2021. </w:t>
      </w:r>
      <w:r>
        <w:rPr>
          <w:rFonts w:ascii="Times New Roman" w:hAnsi="Times New Roman"/>
          <w:b/>
          <w:noProof/>
          <w:sz w:val="24"/>
        </w:rPr>
        <w:t>načelo „gotovo nulte energije” postalo je službena norma za nove zgrade u EU-u</w:t>
      </w:r>
      <w:r>
        <w:rPr>
          <w:rFonts w:ascii="Times New Roman" w:hAnsi="Times New Roman"/>
          <w:noProof/>
          <w:sz w:val="24"/>
        </w:rPr>
        <w:t>.</w:t>
      </w:r>
    </w:p>
    <w:p w14:paraId="742801FD" w14:textId="77777777" w:rsidR="000746FB" w:rsidRPr="00577846" w:rsidRDefault="000746FB" w:rsidP="008A54AE">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Objava službene </w:t>
      </w:r>
      <w:r>
        <w:rPr>
          <w:rFonts w:ascii="Times New Roman" w:hAnsi="Times New Roman"/>
          <w:b/>
          <w:noProof/>
          <w:sz w:val="24"/>
        </w:rPr>
        <w:t>Komunikacije o novom europskom Bauhausu (NEB)</w:t>
      </w:r>
      <w:r>
        <w:rPr>
          <w:rStyle w:val="FootnoteReference"/>
          <w:rFonts w:ascii="Times New Roman" w:eastAsia="Times New Roman" w:hAnsi="Times New Roman" w:cs="Times New Roman"/>
          <w:b/>
          <w:bCs/>
          <w:noProof/>
          <w:sz w:val="24"/>
          <w:szCs w:val="24"/>
        </w:rPr>
        <w:footnoteReference w:id="40"/>
      </w:r>
      <w:r>
        <w:rPr>
          <w:rFonts w:ascii="Times New Roman" w:hAnsi="Times New Roman"/>
          <w:noProof/>
          <w:sz w:val="24"/>
        </w:rPr>
        <w:t xml:space="preserve"> označila je prelazak iz faze zajedničkog oblikovanja u fazu ostvarivanja inicijative Bauhaus te su u njoj predstavljene aktivnosti koje će dodatno poduprijeti njezine ciljeve. Jedan od ključnih instrumenata te inicijative jest </w:t>
      </w:r>
      <w:r>
        <w:rPr>
          <w:rFonts w:ascii="Times New Roman" w:hAnsi="Times New Roman"/>
          <w:b/>
          <w:noProof/>
          <w:sz w:val="24"/>
        </w:rPr>
        <w:t>laboratorij za novi europski Bauhaus</w:t>
      </w:r>
      <w:r>
        <w:rPr>
          <w:rFonts w:ascii="Times New Roman" w:hAnsi="Times New Roman"/>
          <w:noProof/>
          <w:sz w:val="24"/>
        </w:rPr>
        <w:t xml:space="preserve">, kojim se nastoji povezati ljude kako bi surađivali na konkretnim projektima. Od travnja 2022. u sklopu tog okvira u provedbi je već osam mjera, uključujući </w:t>
      </w:r>
      <w:r>
        <w:rPr>
          <w:rFonts w:ascii="Times New Roman" w:hAnsi="Times New Roman"/>
          <w:b/>
          <w:noProof/>
          <w:sz w:val="24"/>
        </w:rPr>
        <w:t>strategiju označivanja za novi europski Bauhaus</w:t>
      </w:r>
      <w:r>
        <w:rPr>
          <w:rFonts w:ascii="Times New Roman" w:hAnsi="Times New Roman"/>
          <w:noProof/>
          <w:sz w:val="24"/>
        </w:rPr>
        <w:t>, programe financiranja, obrazovanje i izradu zakonodavstva.</w:t>
      </w:r>
    </w:p>
    <w:p w14:paraId="3DE13D26" w14:textId="64C4940E" w:rsidR="009F1D19" w:rsidRPr="00577846" w:rsidRDefault="000746FB" w:rsidP="008A54AE">
      <w:pPr>
        <w:spacing w:after="120" w:line="240" w:lineRule="auto"/>
        <w:jc w:val="both"/>
        <w:rPr>
          <w:rFonts w:ascii="Times New Roman" w:eastAsia="Times New Roman" w:hAnsi="Times New Roman" w:cs="Times New Roman"/>
          <w:noProof/>
          <w:sz w:val="24"/>
          <w:szCs w:val="24"/>
        </w:rPr>
      </w:pPr>
      <w:r>
        <w:rPr>
          <w:rFonts w:ascii="Times New Roman" w:hAnsi="Times New Roman"/>
          <w:b/>
          <w:noProof/>
          <w:sz w:val="24"/>
        </w:rPr>
        <w:t>Ekološki dizajn i označivanje energetske učinkovitosti</w:t>
      </w:r>
      <w:r>
        <w:rPr>
          <w:rFonts w:ascii="Times New Roman" w:hAnsi="Times New Roman"/>
          <w:noProof/>
          <w:sz w:val="24"/>
        </w:rPr>
        <w:t xml:space="preserve"> ključni su i sve važniji za ostvarivanje ciljeva europskog zelenog plana i paketa „Spremni za 55 %” te za potrošače suočene s visokim cijenama energije, čiji bi računi inače bili mnogo viši. </w:t>
      </w:r>
      <w:r>
        <w:rPr>
          <w:rFonts w:ascii="Times New Roman" w:hAnsi="Times New Roman"/>
          <w:b/>
          <w:noProof/>
          <w:sz w:val="24"/>
        </w:rPr>
        <w:t>Godine 2020. ukupna procijenjena ušteda energije ostvarena svim mjerama ekološkog dizajna i označivanja energetske učinkovitosti iznosila je 1 037 TWh/g (ili 89 Mtoe/g), što je 7,2 % ukupne potrošnje primarne energije u EU-u 2020</w:t>
      </w:r>
      <w:r>
        <w:rPr>
          <w:rFonts w:ascii="Times New Roman" w:hAnsi="Times New Roman"/>
          <w:noProof/>
          <w:sz w:val="24"/>
        </w:rPr>
        <w:t>. U usporedbi s procjenom za 2020. objavljenom u posljednjem izdanju računovodstvenog izvješća o učinku ekološkog dizajna</w:t>
      </w:r>
      <w:r>
        <w:rPr>
          <w:rFonts w:ascii="Times New Roman" w:eastAsia="Times New Roman" w:hAnsi="Times New Roman" w:cs="Times New Roman"/>
          <w:noProof/>
          <w:sz w:val="24"/>
          <w:szCs w:val="24"/>
          <w:vertAlign w:val="superscript"/>
        </w:rPr>
        <w:footnoteReference w:id="41"/>
      </w:r>
      <w:r>
        <w:rPr>
          <w:rFonts w:ascii="Times New Roman" w:hAnsi="Times New Roman"/>
          <w:noProof/>
          <w:sz w:val="24"/>
        </w:rPr>
        <w:t xml:space="preserve"> (60 milijardi EUR) procjenjuje se da se smanjenje izdataka potrošača otprilike udvostručilo u 2021. (iznosilo je više od 120 milijardi EUR), a 2022. to bi smanjenje moglo biti čak i veće</w:t>
      </w:r>
      <w:r>
        <w:rPr>
          <w:rFonts w:ascii="Times New Roman" w:eastAsia="Times New Roman" w:hAnsi="Times New Roman" w:cs="Times New Roman"/>
          <w:noProof/>
          <w:sz w:val="24"/>
          <w:szCs w:val="24"/>
          <w:vertAlign w:val="superscript"/>
        </w:rPr>
        <w:footnoteReference w:id="42"/>
      </w:r>
      <w:r>
        <w:rPr>
          <w:rFonts w:ascii="Times New Roman" w:hAnsi="Times New Roman"/>
          <w:noProof/>
          <w:sz w:val="24"/>
        </w:rPr>
        <w:t>. Komisija je 30. ožujka 2022. donijela ažurirani plan rada za ekološki dizajn i označivanje energetske učinkovitosti za proizvode povezane s energijom</w:t>
      </w:r>
      <w:r>
        <w:rPr>
          <w:rFonts w:ascii="Times New Roman" w:eastAsia="Times New Roman" w:hAnsi="Times New Roman" w:cs="Times New Roman"/>
          <w:noProof/>
          <w:sz w:val="24"/>
          <w:szCs w:val="24"/>
          <w:vertAlign w:val="superscript"/>
        </w:rPr>
        <w:footnoteReference w:id="43"/>
      </w:r>
      <w:r>
        <w:rPr>
          <w:rFonts w:ascii="Times New Roman" w:hAnsi="Times New Roman"/>
          <w:noProof/>
          <w:sz w:val="24"/>
        </w:rPr>
        <w:t>, čija bi provedba mogla dovesti do znatnih ušteda u narednim godinama.</w:t>
      </w:r>
    </w:p>
    <w:p w14:paraId="04F3A690" w14:textId="77777777" w:rsidR="000746FB" w:rsidRPr="00577846" w:rsidRDefault="000746FB" w:rsidP="008A54AE">
      <w:pPr>
        <w:keepNext/>
        <w:tabs>
          <w:tab w:val="num" w:pos="595"/>
        </w:tabs>
        <w:spacing w:after="240" w:line="240" w:lineRule="auto"/>
        <w:ind w:left="595" w:hanging="595"/>
        <w:jc w:val="both"/>
        <w:outlineLvl w:val="1"/>
        <w:rPr>
          <w:rFonts w:ascii="Times New Roman" w:eastAsia="Times New Roman" w:hAnsi="Times New Roman" w:cs="Times New Roman"/>
          <w:b/>
          <w:noProof/>
          <w:sz w:val="24"/>
          <w:szCs w:val="20"/>
        </w:rPr>
      </w:pPr>
      <w:r>
        <w:rPr>
          <w:rFonts w:ascii="Times New Roman" w:hAnsi="Times New Roman"/>
          <w:b/>
          <w:noProof/>
          <w:sz w:val="24"/>
        </w:rPr>
        <w:t xml:space="preserve">3.3. Energetska sigurnost </w:t>
      </w:r>
    </w:p>
    <w:p w14:paraId="124987EE" w14:textId="4EB276F5" w:rsidR="00B015B0" w:rsidRPr="00577846" w:rsidRDefault="00807725" w:rsidP="008A54AE">
      <w:pPr>
        <w:spacing w:after="120" w:line="240" w:lineRule="auto"/>
        <w:jc w:val="both"/>
        <w:rPr>
          <w:rFonts w:ascii="Times New Roman" w:eastAsia="MS Mincho" w:hAnsi="Times New Roman" w:cs="Times New Roman"/>
          <w:noProof/>
          <w:sz w:val="24"/>
          <w:szCs w:val="24"/>
        </w:rPr>
      </w:pPr>
      <w:r>
        <w:rPr>
          <w:rFonts w:ascii="Times New Roman" w:hAnsi="Times New Roman"/>
          <w:b/>
          <w:noProof/>
          <w:sz w:val="24"/>
        </w:rPr>
        <w:t xml:space="preserve">Unatoč velikim poteškoćama sigurnost opskrbe energijom u Europi ni u jednom trenutku nije dovedena u pitanje </w:t>
      </w:r>
      <w:r>
        <w:rPr>
          <w:rFonts w:ascii="Times New Roman" w:hAnsi="Times New Roman"/>
          <w:noProof/>
          <w:sz w:val="24"/>
        </w:rPr>
        <w:t>zahvaljujući otpornosti postojećeg okvira, povećanoj pripravnosti utemeljenoj na duhu solidarnosti među državama članicama, brzoj političkoj potpori prošle godine i uspješnoj suradnji s našim međunarodnim partnerima. Uredba TEN-E znatno je doprinijela tom snažnom sustavu sigurnosti opskrbe međusobnim povezivanjem energetskih sustava država članica u okviru projekata od zajedničkog interesa.</w:t>
      </w:r>
    </w:p>
    <w:p w14:paraId="29F06FFB" w14:textId="77777777" w:rsidR="00B015B0" w:rsidRPr="00577846" w:rsidRDefault="00B015B0" w:rsidP="008A54AE">
      <w:pPr>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 xml:space="preserve">EU se </w:t>
      </w:r>
      <w:r>
        <w:rPr>
          <w:rFonts w:ascii="Times New Roman" w:hAnsi="Times New Roman"/>
          <w:b/>
          <w:noProof/>
          <w:sz w:val="24"/>
        </w:rPr>
        <w:t>priprema za različite scenarije mogućih poremećaja</w:t>
      </w:r>
      <w:r>
        <w:rPr>
          <w:rFonts w:ascii="Times New Roman" w:hAnsi="Times New Roman"/>
          <w:noProof/>
          <w:sz w:val="24"/>
        </w:rPr>
        <w:t xml:space="preserve"> izradom sveobuhvatnog pregleda pripravnosti i uvođenjem mjera na nacionalnoj razini i na razini EU-a za jačanje pripravnosti i sigurnosti opskrbe energijom. U ovim teškim vremenima </w:t>
      </w:r>
      <w:r>
        <w:rPr>
          <w:rFonts w:ascii="Times New Roman" w:hAnsi="Times New Roman"/>
          <w:b/>
          <w:noProof/>
          <w:sz w:val="24"/>
        </w:rPr>
        <w:t>regionalna suradnja i solidarnost i dalje će biti ključne kako bi se zajamčila otpornost EU-a</w:t>
      </w:r>
      <w:r>
        <w:rPr>
          <w:rFonts w:ascii="Times New Roman" w:hAnsi="Times New Roman"/>
          <w:noProof/>
          <w:sz w:val="24"/>
        </w:rPr>
        <w:t xml:space="preserve"> i osiguralo da tokovi i pristup skladištima preko granica ostanu mogući u svim situacijama. U tom smislu skupine na visokoj razini, na temelju Uredbe TEN-E, strateški koordiniraju i nadziru zajedničku provedbu prekograničnih projekata od zajedničkog interesa. </w:t>
      </w:r>
    </w:p>
    <w:p w14:paraId="0804C4B5" w14:textId="77777777" w:rsidR="00B015B0" w:rsidRPr="00577846" w:rsidRDefault="00B015B0" w:rsidP="008A54AE">
      <w:pPr>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 xml:space="preserve">Sektorske </w:t>
      </w:r>
      <w:r>
        <w:rPr>
          <w:rFonts w:ascii="Times New Roman" w:hAnsi="Times New Roman"/>
          <w:b/>
          <w:noProof/>
          <w:sz w:val="24"/>
        </w:rPr>
        <w:t>europske koordinacijske skupine</w:t>
      </w:r>
      <w:r>
        <w:rPr>
          <w:rFonts w:ascii="Times New Roman" w:hAnsi="Times New Roman"/>
          <w:noProof/>
          <w:sz w:val="24"/>
        </w:rPr>
        <w:t xml:space="preserve"> (za električnu energiju, plin i naftu) redovito se sastaju i imaju ključnu ulogu u praćenju sigurnosti opskrbe, razmjeni informacija i koordinaciji mjera kako bi bile spremne za sve moguće scenarije. </w:t>
      </w:r>
    </w:p>
    <w:p w14:paraId="39FB0309" w14:textId="77777777" w:rsidR="00B015B0" w:rsidRPr="00577846" w:rsidRDefault="00B015B0" w:rsidP="008A54AE">
      <w:pPr>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 xml:space="preserve">Kad je riječ o provedbi </w:t>
      </w:r>
      <w:r>
        <w:rPr>
          <w:rFonts w:ascii="Times New Roman" w:hAnsi="Times New Roman"/>
          <w:b/>
          <w:noProof/>
          <w:sz w:val="24"/>
        </w:rPr>
        <w:t>pravila o sigurnosti opskrbe plinom</w:t>
      </w:r>
      <w:r>
        <w:rPr>
          <w:rFonts w:ascii="Times New Roman" w:eastAsia="MS Mincho" w:hAnsi="Times New Roman" w:cs="Times New Roman"/>
          <w:noProof/>
          <w:sz w:val="24"/>
          <w:szCs w:val="24"/>
          <w:vertAlign w:val="superscript"/>
        </w:rPr>
        <w:footnoteReference w:id="44"/>
      </w:r>
      <w:r>
        <w:rPr>
          <w:rFonts w:ascii="Times New Roman" w:hAnsi="Times New Roman"/>
          <w:noProof/>
          <w:sz w:val="24"/>
        </w:rPr>
        <w:t xml:space="preserve">, sve države članice uspostavile su nacionalne planove za hitne situacije za sprečavanje ili ublažavanje posljedica prekida u opskrbi plinom. Kad je riječ o sklapanju bilateralnih sporazuma o solidarnosti, države članice postigle su napredak. U elektroenergetskom sektoru u okviru provedbe </w:t>
      </w:r>
      <w:r>
        <w:rPr>
          <w:rFonts w:ascii="Times New Roman" w:hAnsi="Times New Roman"/>
          <w:b/>
          <w:noProof/>
          <w:sz w:val="24"/>
        </w:rPr>
        <w:t>Uredbe o pripravnosti na rizike</w:t>
      </w:r>
      <w:r>
        <w:rPr>
          <w:rFonts w:ascii="Times New Roman" w:eastAsia="MS Mincho" w:hAnsi="Times New Roman" w:cs="Times New Roman"/>
          <w:noProof/>
          <w:sz w:val="24"/>
          <w:szCs w:val="24"/>
          <w:vertAlign w:val="superscript"/>
        </w:rPr>
        <w:footnoteReference w:id="45"/>
      </w:r>
      <w:r>
        <w:rPr>
          <w:rFonts w:ascii="Times New Roman" w:hAnsi="Times New Roman"/>
          <w:noProof/>
          <w:sz w:val="24"/>
        </w:rPr>
        <w:t xml:space="preserve"> izrađen je prvi skup nacionalnih planova pripravnosti na rizike. Kad je riječ o sigurnosti </w:t>
      </w:r>
      <w:r>
        <w:rPr>
          <w:rFonts w:ascii="Times New Roman" w:hAnsi="Times New Roman"/>
          <w:b/>
          <w:noProof/>
          <w:sz w:val="24"/>
        </w:rPr>
        <w:t>opskrbe naftom</w:t>
      </w:r>
      <w:r>
        <w:rPr>
          <w:rFonts w:ascii="Times New Roman" w:eastAsia="MS Mincho" w:hAnsi="Times New Roman" w:cs="Times New Roman"/>
          <w:noProof/>
          <w:sz w:val="24"/>
          <w:szCs w:val="24"/>
          <w:vertAlign w:val="superscript"/>
        </w:rPr>
        <w:footnoteReference w:id="46"/>
      </w:r>
      <w:r>
        <w:rPr>
          <w:rFonts w:ascii="Times New Roman" w:hAnsi="Times New Roman"/>
          <w:noProof/>
          <w:sz w:val="24"/>
        </w:rPr>
        <w:t>, 18 država članica (uključujući dvije države članice koje nisu članice Međunarodne agencije za energiju) sudjelovalo je u zajedničkima akcijama koje je Međunarodna agencija za energiju pokrenula 1. ožujka i 1. travnja kako bi se na raspolaganje stavile zalihe nafte za slučaj nužde. Komisija je u lipnju izdala Preporuku</w:t>
      </w:r>
      <w:r>
        <w:rPr>
          <w:rStyle w:val="FootnoteReference"/>
          <w:rFonts w:ascii="Times New Roman" w:eastAsia="MS Mincho" w:hAnsi="Times New Roman" w:cs="Times New Roman"/>
          <w:noProof/>
          <w:sz w:val="24"/>
          <w:szCs w:val="24"/>
        </w:rPr>
        <w:footnoteReference w:id="47"/>
      </w:r>
      <w:r>
        <w:rPr>
          <w:rFonts w:ascii="Times New Roman" w:hAnsi="Times New Roman"/>
          <w:noProof/>
          <w:sz w:val="24"/>
        </w:rPr>
        <w:t xml:space="preserve"> državama članicama da barem do 1. studenoga ne obnavljaju zalihe za slučaj nužde do razine koja se zahtijeva u Direktivi o zalihama nafte kako bi se izbjeglo dodatno opterećivanje tržišta nafte. </w:t>
      </w:r>
    </w:p>
    <w:p w14:paraId="6DB03B58" w14:textId="77777777" w:rsidR="00603B37" w:rsidRPr="00577846" w:rsidRDefault="00603B37" w:rsidP="008A54AE">
      <w:pPr>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 xml:space="preserve">Budući energetski sustav zahtijevat će više alata fleksibilnosti, primjerice u pogledu odgovora potražnje ili skladištenja energije. Komisija je radila na utvrđivanju ključnih mjera EU-a za potporu razvoju načina </w:t>
      </w:r>
      <w:r>
        <w:rPr>
          <w:rFonts w:ascii="Times New Roman" w:hAnsi="Times New Roman"/>
          <w:b/>
          <w:noProof/>
          <w:sz w:val="24"/>
        </w:rPr>
        <w:t>skladištenja energije otpornog na buduće promjene</w:t>
      </w:r>
      <w:r>
        <w:rPr>
          <w:rFonts w:ascii="Times New Roman" w:hAnsi="Times New Roman"/>
          <w:noProof/>
          <w:sz w:val="24"/>
        </w:rPr>
        <w:t xml:space="preserve"> kao ključnog alata fleksibilnosti. </w:t>
      </w:r>
    </w:p>
    <w:p w14:paraId="1CE19F53" w14:textId="77777777" w:rsidR="002D374D" w:rsidRPr="008A54AE" w:rsidRDefault="008B66FE" w:rsidP="008A54AE">
      <w:pPr>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Na temelju studije</w:t>
      </w:r>
      <w:r>
        <w:rPr>
          <w:rFonts w:ascii="Times New Roman" w:eastAsia="MS Mincho" w:hAnsi="Times New Roman" w:cs="Times New Roman"/>
          <w:noProof/>
          <w:sz w:val="24"/>
          <w:szCs w:val="24"/>
          <w:vertAlign w:val="superscript"/>
          <w:lang w:val="en-GB"/>
        </w:rPr>
        <w:footnoteReference w:id="48"/>
      </w:r>
      <w:r>
        <w:rPr>
          <w:rFonts w:ascii="Times New Roman" w:hAnsi="Times New Roman"/>
          <w:noProof/>
          <w:sz w:val="24"/>
        </w:rPr>
        <w:t xml:space="preserve"> objavljene u listopadu 2021. Komisija je pomno pratila potencijalna uska grla u </w:t>
      </w:r>
      <w:r>
        <w:rPr>
          <w:rFonts w:ascii="Times New Roman" w:hAnsi="Times New Roman"/>
          <w:b/>
          <w:noProof/>
          <w:sz w:val="24"/>
        </w:rPr>
        <w:t>lancima opskrbe sirovinama</w:t>
      </w:r>
      <w:r>
        <w:rPr>
          <w:rFonts w:ascii="Times New Roman" w:hAnsi="Times New Roman"/>
          <w:noProof/>
          <w:sz w:val="24"/>
        </w:rPr>
        <w:t xml:space="preserve"> za tehnologije u energetskom sektoru, što je ključno za energetsku sigurnost i prelazak na čistu energiju.</w:t>
      </w:r>
    </w:p>
    <w:p w14:paraId="16A9EC7A" w14:textId="77777777" w:rsidR="000746FB" w:rsidRPr="00577846" w:rsidRDefault="000746FB" w:rsidP="008A54AE">
      <w:pPr>
        <w:keepNext/>
        <w:tabs>
          <w:tab w:val="num" w:pos="595"/>
        </w:tabs>
        <w:spacing w:after="240" w:line="240" w:lineRule="auto"/>
        <w:ind w:left="595" w:hanging="595"/>
        <w:jc w:val="both"/>
        <w:outlineLvl w:val="1"/>
        <w:rPr>
          <w:rFonts w:ascii="Times New Roman" w:eastAsia="Times New Roman" w:hAnsi="Times New Roman" w:cs="Times New Roman"/>
          <w:b/>
          <w:noProof/>
          <w:sz w:val="24"/>
          <w:szCs w:val="20"/>
        </w:rPr>
      </w:pPr>
      <w:r>
        <w:rPr>
          <w:rFonts w:ascii="Times New Roman" w:hAnsi="Times New Roman"/>
          <w:b/>
          <w:noProof/>
          <w:sz w:val="24"/>
        </w:rPr>
        <w:t>3.4. Unutarnje energetsko tržište</w:t>
      </w:r>
    </w:p>
    <w:p w14:paraId="0FE1B613" w14:textId="77777777" w:rsidR="000746FB" w:rsidRPr="00577846" w:rsidRDefault="000746FB" w:rsidP="008A54AE">
      <w:pPr>
        <w:spacing w:after="120" w:line="240" w:lineRule="auto"/>
        <w:jc w:val="both"/>
        <w:rPr>
          <w:rFonts w:ascii="Times New Roman" w:eastAsia="Calibri" w:hAnsi="Times New Roman" w:cs="Times New Roman"/>
          <w:bCs/>
          <w:iCs/>
          <w:noProof/>
          <w:color w:val="000000"/>
          <w:sz w:val="24"/>
          <w:szCs w:val="24"/>
        </w:rPr>
      </w:pPr>
      <w:r>
        <w:rPr>
          <w:rFonts w:ascii="Times New Roman" w:hAnsi="Times New Roman"/>
          <w:noProof/>
          <w:color w:val="000000"/>
          <w:sz w:val="24"/>
        </w:rPr>
        <w:t xml:space="preserve">U kontekstu drastičnog rasta cijena energije Europska komisija zadužila je </w:t>
      </w:r>
      <w:r>
        <w:rPr>
          <w:rFonts w:ascii="Times New Roman" w:hAnsi="Times New Roman"/>
          <w:b/>
          <w:noProof/>
          <w:color w:val="000000"/>
          <w:sz w:val="24"/>
        </w:rPr>
        <w:t>Agenciju Europske unije za suradnju energetskih regulatora (ACER)</w:t>
      </w:r>
      <w:r>
        <w:rPr>
          <w:rFonts w:ascii="Times New Roman" w:hAnsi="Times New Roman"/>
          <w:noProof/>
          <w:color w:val="000000"/>
          <w:sz w:val="24"/>
        </w:rPr>
        <w:t xml:space="preserve"> da ocijeni </w:t>
      </w:r>
      <w:r>
        <w:rPr>
          <w:rFonts w:ascii="Times New Roman" w:hAnsi="Times New Roman"/>
          <w:b/>
          <w:noProof/>
          <w:color w:val="000000"/>
          <w:sz w:val="24"/>
        </w:rPr>
        <w:t>prednosti i nedostatke trenutačnog modela veleprodajnog tržišta električne energije u EU-u</w:t>
      </w:r>
      <w:r>
        <w:rPr>
          <w:rFonts w:ascii="Times New Roman" w:hAnsi="Times New Roman"/>
          <w:noProof/>
          <w:color w:val="000000"/>
          <w:sz w:val="24"/>
        </w:rPr>
        <w:t>. U travnju 2022.</w:t>
      </w:r>
      <w:r>
        <w:rPr>
          <w:rStyle w:val="FootnoteReference"/>
          <w:rFonts w:ascii="Times New Roman" w:eastAsia="Calibri" w:hAnsi="Times New Roman" w:cs="Times New Roman"/>
          <w:bCs/>
          <w:iCs/>
          <w:noProof/>
          <w:color w:val="000000"/>
          <w:sz w:val="24"/>
          <w:szCs w:val="24"/>
        </w:rPr>
        <w:footnoteReference w:id="49"/>
      </w:r>
      <w:r>
        <w:rPr>
          <w:rFonts w:ascii="Times New Roman" w:hAnsi="Times New Roman"/>
          <w:noProof/>
          <w:color w:val="000000"/>
          <w:sz w:val="24"/>
        </w:rPr>
        <w:t xml:space="preserve"> </w:t>
      </w:r>
      <w:r>
        <w:rPr>
          <w:rFonts w:ascii="Times New Roman" w:hAnsi="Times New Roman"/>
          <w:b/>
          <w:noProof/>
          <w:color w:val="000000"/>
          <w:sz w:val="24"/>
        </w:rPr>
        <w:t>ACER je zaključio da je trenutačna energetska kriza u osnovi nastala zbog šoka prouzročenog cijenom plina</w:t>
      </w:r>
      <w:r>
        <w:rPr>
          <w:rFonts w:ascii="Times New Roman" w:hAnsi="Times New Roman"/>
          <w:noProof/>
          <w:color w:val="000000"/>
          <w:sz w:val="24"/>
        </w:rPr>
        <w:t xml:space="preserve">, koji utječe i na cijene električne energije.  </w:t>
      </w:r>
    </w:p>
    <w:p w14:paraId="6112C1C1" w14:textId="77777777" w:rsidR="000746FB" w:rsidRPr="00577846" w:rsidRDefault="000746FB" w:rsidP="008A54AE">
      <w:pPr>
        <w:spacing w:after="120" w:line="240" w:lineRule="auto"/>
        <w:jc w:val="both"/>
        <w:rPr>
          <w:rFonts w:ascii="Times New Roman" w:eastAsia="Calibri" w:hAnsi="Times New Roman" w:cs="Times New Roman"/>
          <w:bCs/>
          <w:iCs/>
          <w:noProof/>
          <w:color w:val="000000"/>
          <w:sz w:val="24"/>
          <w:szCs w:val="24"/>
        </w:rPr>
      </w:pPr>
      <w:r>
        <w:rPr>
          <w:rFonts w:ascii="Times New Roman" w:hAnsi="Times New Roman"/>
          <w:noProof/>
          <w:color w:val="000000"/>
          <w:sz w:val="24"/>
        </w:rPr>
        <w:t xml:space="preserve">ACER je zaključio i da su </w:t>
      </w:r>
      <w:r>
        <w:rPr>
          <w:rFonts w:ascii="Times New Roman" w:hAnsi="Times New Roman"/>
          <w:b/>
          <w:noProof/>
          <w:color w:val="000000"/>
          <w:sz w:val="24"/>
        </w:rPr>
        <w:t xml:space="preserve">prekogranična trgovina i intenzivan rad na daljnjoj integraciji tržišta električne energije u Europi </w:t>
      </w:r>
      <w:r>
        <w:rPr>
          <w:rFonts w:ascii="Times New Roman" w:hAnsi="Times New Roman"/>
          <w:noProof/>
          <w:color w:val="000000"/>
          <w:sz w:val="24"/>
        </w:rPr>
        <w:t xml:space="preserve">tijekom posljednjeg desetljeća </w:t>
      </w:r>
      <w:r>
        <w:rPr>
          <w:rFonts w:ascii="Times New Roman" w:hAnsi="Times New Roman"/>
          <w:b/>
          <w:noProof/>
          <w:color w:val="000000"/>
          <w:sz w:val="24"/>
        </w:rPr>
        <w:t>donijeli znatne koristi za potrošače</w:t>
      </w:r>
      <w:r>
        <w:rPr>
          <w:rFonts w:ascii="Times New Roman" w:hAnsi="Times New Roman"/>
          <w:noProof/>
          <w:color w:val="000000"/>
          <w:sz w:val="24"/>
        </w:rPr>
        <w:t xml:space="preserve">. Procjenjuje se da one iznose približno 34 milijarde EUR zahvaljujući mogućnosti prekogranične trgovine među državama članicama i poboljšavanju sigurnosti opskrbe na većem zemljopisnom području. U izvješću ACER-a naglašava se da su takve koristi ostvarene čak i u trenutačnoj krizi jer je integrirano tržište pomoglo u sprečavanju ograničenja u opskrbi električnom energijom ili nestanka struje u određenim regijama.  </w:t>
      </w:r>
    </w:p>
    <w:p w14:paraId="279FF490" w14:textId="5ED89684" w:rsidR="000746FB" w:rsidRPr="00577846" w:rsidRDefault="006F776D" w:rsidP="008A54AE">
      <w:pPr>
        <w:spacing w:after="120" w:line="240" w:lineRule="auto"/>
        <w:jc w:val="both"/>
        <w:rPr>
          <w:rFonts w:ascii="Times New Roman" w:eastAsia="Calibri" w:hAnsi="Times New Roman" w:cs="Times New Roman"/>
          <w:bCs/>
          <w:iCs/>
          <w:noProof/>
          <w:color w:val="000000"/>
          <w:sz w:val="24"/>
          <w:szCs w:val="24"/>
        </w:rPr>
      </w:pPr>
      <w:r>
        <w:rPr>
          <w:rFonts w:ascii="Times New Roman" w:hAnsi="Times New Roman"/>
          <w:b/>
          <w:noProof/>
          <w:color w:val="000000"/>
          <w:sz w:val="24"/>
        </w:rPr>
        <w:t>Tržišno povezivanje</w:t>
      </w:r>
      <w:r>
        <w:rPr>
          <w:rFonts w:ascii="Times New Roman" w:hAnsi="Times New Roman"/>
          <w:noProof/>
          <w:color w:val="000000"/>
          <w:sz w:val="24"/>
        </w:rPr>
        <w:t xml:space="preserve">, što znači da se električnom energijom i kapacitetima spojnih vodova za njezin prijenos može lako trgovati na zajedničkoj platformi EU-a za trgovanje, dodatno je poboljšano, i na tržištu za dan unaprijed i na tržištu za unutardnevno povezivanje. Povezivanje tržišta za dan unaprijed uspješno je prošireno na sve granice država članica </w:t>
      </w:r>
      <w:r w:rsidR="003123E7">
        <w:rPr>
          <w:rFonts w:ascii="Times New Roman" w:hAnsi="Times New Roman"/>
          <w:noProof/>
          <w:color w:val="000000"/>
          <w:sz w:val="24"/>
        </w:rPr>
        <w:t xml:space="preserve">   </w:t>
      </w:r>
      <w:r>
        <w:rPr>
          <w:rFonts w:ascii="Times New Roman" w:hAnsi="Times New Roman"/>
          <w:noProof/>
          <w:color w:val="000000"/>
          <w:sz w:val="24"/>
        </w:rPr>
        <w:t>EU-a. Kako bi dodatno optimizirala upotrebnu spojnih vodova, Komisija radi na proširenju tržišnog povezivanja na Energetsku zajednicu.</w:t>
      </w:r>
    </w:p>
    <w:p w14:paraId="3E75FDEC" w14:textId="77777777" w:rsidR="00EF1FD7" w:rsidRPr="00577846" w:rsidRDefault="000746FB" w:rsidP="008A54AE">
      <w:pPr>
        <w:spacing w:after="120" w:line="240" w:lineRule="auto"/>
        <w:jc w:val="both"/>
        <w:rPr>
          <w:rFonts w:ascii="Times New Roman" w:eastAsia="Calibri" w:hAnsi="Times New Roman" w:cs="Times New Roman"/>
          <w:bCs/>
          <w:iCs/>
          <w:noProof/>
          <w:color w:val="000000"/>
          <w:sz w:val="24"/>
          <w:szCs w:val="24"/>
        </w:rPr>
      </w:pPr>
      <w:r>
        <w:rPr>
          <w:rFonts w:ascii="Times New Roman" w:hAnsi="Times New Roman"/>
          <w:noProof/>
          <w:color w:val="000000"/>
          <w:sz w:val="24"/>
        </w:rPr>
        <w:t xml:space="preserve">U kontekstu drastično povećanih cijena električne energije Komisija je objavila Komunikaciju o </w:t>
      </w:r>
      <w:r>
        <w:rPr>
          <w:rFonts w:ascii="Times New Roman" w:hAnsi="Times New Roman"/>
          <w:b/>
          <w:noProof/>
          <w:color w:val="000000"/>
          <w:sz w:val="24"/>
        </w:rPr>
        <w:t>kratkoročnim intervencijama na tržištu električne energije i dugoročnim poboljšanjima modela tržišta električne energije</w:t>
      </w:r>
      <w:r>
        <w:rPr>
          <w:rStyle w:val="FootnoteReference"/>
          <w:rFonts w:ascii="Times New Roman" w:eastAsia="Calibri" w:hAnsi="Times New Roman" w:cs="Times New Roman"/>
          <w:b/>
          <w:bCs/>
          <w:iCs/>
          <w:noProof/>
          <w:color w:val="000000"/>
          <w:sz w:val="24"/>
          <w:szCs w:val="24"/>
        </w:rPr>
        <w:footnoteReference w:id="50"/>
      </w:r>
      <w:r>
        <w:rPr>
          <w:rFonts w:ascii="Times New Roman" w:hAnsi="Times New Roman"/>
          <w:b/>
          <w:noProof/>
          <w:color w:val="000000"/>
          <w:sz w:val="24"/>
        </w:rPr>
        <w:t>.</w:t>
      </w:r>
      <w:r>
        <w:rPr>
          <w:rFonts w:ascii="Times New Roman" w:hAnsi="Times New Roman"/>
          <w:noProof/>
          <w:color w:val="000000"/>
          <w:sz w:val="24"/>
        </w:rPr>
        <w:t xml:space="preserve"> Komisija je pokrenula postupak procjene učinka i s državama članicama raspravlja o mogućim poboljšanjima jer je uvidjela da bi mogao postojati prostor za daljnju optimizaciju funkcioniranja modela tržišta električne energije. Potrebno je razviti otpornija i učinkovitija dugoročna tržišta, i radi poticanja energetske tranzicije i radi bolje zaštite potrošača i malih poduzeća od nestabilnosti cijena. U tom će se postupku ocijeniti i okvir za provedbu REMIT-a</w:t>
      </w:r>
      <w:r>
        <w:rPr>
          <w:rStyle w:val="FootnoteReference"/>
          <w:rFonts w:ascii="Times New Roman" w:eastAsia="Calibri" w:hAnsi="Times New Roman" w:cs="Times New Roman"/>
          <w:bCs/>
          <w:iCs/>
          <w:noProof/>
          <w:color w:val="000000"/>
          <w:sz w:val="24"/>
          <w:szCs w:val="24"/>
        </w:rPr>
        <w:footnoteReference w:id="51"/>
      </w:r>
      <w:r>
        <w:rPr>
          <w:rFonts w:ascii="Times New Roman" w:hAnsi="Times New Roman"/>
          <w:noProof/>
          <w:color w:val="000000"/>
          <w:sz w:val="24"/>
        </w:rPr>
        <w:t xml:space="preserve"> radi učinkovitijeg ublažavanja rizika od zlouporabe tržišta poboljšanjem transparentnosti i kvalitete tržišnih podataka te osiguravanja bolje provedbe u slučajevima kršenja pravila. </w:t>
      </w:r>
    </w:p>
    <w:p w14:paraId="4F9B16C2" w14:textId="77777777" w:rsidR="000746FB" w:rsidRPr="00577846" w:rsidRDefault="000746FB" w:rsidP="008A54AE">
      <w:pPr>
        <w:spacing w:after="120" w:line="240" w:lineRule="auto"/>
        <w:jc w:val="both"/>
        <w:rPr>
          <w:rFonts w:ascii="Times New Roman" w:eastAsia="Calibri" w:hAnsi="Times New Roman" w:cs="Times New Roman"/>
          <w:bCs/>
          <w:iCs/>
          <w:noProof/>
          <w:color w:val="000000"/>
          <w:sz w:val="24"/>
          <w:szCs w:val="24"/>
        </w:rPr>
      </w:pPr>
      <w:r>
        <w:rPr>
          <w:rFonts w:ascii="Times New Roman" w:hAnsi="Times New Roman"/>
          <w:b/>
          <w:noProof/>
          <w:color w:val="000000"/>
          <w:sz w:val="24"/>
        </w:rPr>
        <w:t>Rad na optimizaciji funkcioniranja modela tržišta električne energije ne bi trebao usporiti</w:t>
      </w:r>
      <w:r>
        <w:rPr>
          <w:rFonts w:ascii="Times New Roman" w:hAnsi="Times New Roman"/>
          <w:noProof/>
          <w:color w:val="000000"/>
          <w:sz w:val="24"/>
        </w:rPr>
        <w:t xml:space="preserve"> rad na provedbi postojećeg okvira</w:t>
      </w:r>
      <w:r>
        <w:rPr>
          <w:rStyle w:val="FootnoteReference"/>
          <w:rFonts w:ascii="Times New Roman" w:eastAsia="Calibri" w:hAnsi="Times New Roman" w:cs="Times New Roman"/>
          <w:bCs/>
          <w:iCs/>
          <w:noProof/>
          <w:color w:val="000000"/>
          <w:sz w:val="24"/>
          <w:szCs w:val="24"/>
        </w:rPr>
        <w:footnoteReference w:id="52"/>
      </w:r>
      <w:r>
        <w:rPr>
          <w:rFonts w:ascii="Times New Roman" w:hAnsi="Times New Roman"/>
          <w:noProof/>
          <w:color w:val="000000"/>
          <w:sz w:val="24"/>
        </w:rPr>
        <w:t xml:space="preserve">. To uključuje poboljšanje prava potrošača, ostvarivanje cilja da 2025. najmanje 70 % kapaciteta spojnih vodova bude dostupno za trgovinu, strukturiranje tržišta kako bi se osiguralo da pruža odgovarajuće naznake o područjima u kojima su potrebna ulaganja, utvrđivanje i otklanjanje regulatornih poremećaja i tržišnih nedostataka te poticanje odgovora potražnje i skladištenja. </w:t>
      </w:r>
    </w:p>
    <w:p w14:paraId="0BC4EA05" w14:textId="77777777" w:rsidR="000746FB" w:rsidRPr="00577846" w:rsidRDefault="006F776D" w:rsidP="008A54AE">
      <w:pPr>
        <w:spacing w:after="120" w:line="240" w:lineRule="auto"/>
        <w:jc w:val="both"/>
        <w:rPr>
          <w:rFonts w:ascii="Times New Roman" w:eastAsia="Calibri" w:hAnsi="Times New Roman" w:cs="Times New Roman"/>
          <w:bCs/>
          <w:iCs/>
          <w:noProof/>
          <w:color w:val="000000"/>
          <w:sz w:val="24"/>
          <w:szCs w:val="24"/>
        </w:rPr>
      </w:pPr>
      <w:r>
        <w:rPr>
          <w:rFonts w:ascii="Times New Roman" w:hAnsi="Times New Roman"/>
          <w:noProof/>
          <w:color w:val="000000"/>
          <w:sz w:val="24"/>
        </w:rPr>
        <w:t xml:space="preserve">Kako bi se smanjila potreba za </w:t>
      </w:r>
      <w:r>
        <w:rPr>
          <w:rFonts w:ascii="Times New Roman" w:hAnsi="Times New Roman"/>
          <w:b/>
          <w:noProof/>
          <w:color w:val="000000"/>
          <w:sz w:val="24"/>
        </w:rPr>
        <w:t>mehanizmima raspodjele kapaciteta</w:t>
      </w:r>
      <w:r>
        <w:rPr>
          <w:rFonts w:ascii="Times New Roman" w:hAnsi="Times New Roman"/>
          <w:noProof/>
          <w:color w:val="000000"/>
          <w:sz w:val="24"/>
        </w:rPr>
        <w:t xml:space="preserve">, potrebno je bolje iskoristiti golem potencijal fleksibilnosti na strani potražnje. Komisija je stoga pozvala ACER da obavi pripreme za razvoj </w:t>
      </w:r>
      <w:r>
        <w:rPr>
          <w:rFonts w:ascii="Times New Roman" w:hAnsi="Times New Roman"/>
          <w:b/>
          <w:noProof/>
          <w:color w:val="000000"/>
          <w:sz w:val="24"/>
        </w:rPr>
        <w:t>mrežnog kodeksa za fleksibilnost na strani potražnje</w:t>
      </w:r>
      <w:r>
        <w:rPr>
          <w:rFonts w:ascii="Times New Roman" w:hAnsi="Times New Roman"/>
          <w:noProof/>
          <w:color w:val="000000"/>
          <w:sz w:val="24"/>
        </w:rPr>
        <w:t xml:space="preserve">. </w:t>
      </w:r>
      <w:bookmarkStart w:id="6" w:name="_Hlk112681417"/>
    </w:p>
    <w:bookmarkEnd w:id="6"/>
    <w:p w14:paraId="1C52779E" w14:textId="77777777" w:rsidR="0021674D" w:rsidRPr="00577846" w:rsidRDefault="000746FB" w:rsidP="008A54AE">
      <w:pPr>
        <w:spacing w:after="120" w:line="240" w:lineRule="auto"/>
        <w:jc w:val="both"/>
        <w:rPr>
          <w:rFonts w:ascii="Times New Roman" w:eastAsia="Calibri" w:hAnsi="Times New Roman" w:cs="Times New Roman"/>
          <w:bCs/>
          <w:iCs/>
          <w:noProof/>
          <w:color w:val="000000"/>
          <w:sz w:val="24"/>
          <w:szCs w:val="24"/>
        </w:rPr>
      </w:pPr>
      <w:r>
        <w:rPr>
          <w:rFonts w:ascii="Times New Roman" w:hAnsi="Times New Roman"/>
          <w:noProof/>
          <w:color w:val="000000"/>
          <w:sz w:val="24"/>
        </w:rPr>
        <w:t xml:space="preserve">U trenutačnoj geopolitičkoj situaciji </w:t>
      </w:r>
      <w:r>
        <w:rPr>
          <w:rFonts w:ascii="Times New Roman" w:hAnsi="Times New Roman"/>
          <w:b/>
          <w:noProof/>
          <w:color w:val="000000"/>
          <w:sz w:val="24"/>
        </w:rPr>
        <w:t>likvidno i konkurentno unutarnje tržište plina imalo je važnu ulogu u privlačenju plina u Europu</w:t>
      </w:r>
      <w:r>
        <w:rPr>
          <w:rFonts w:ascii="Times New Roman" w:hAnsi="Times New Roman"/>
          <w:noProof/>
          <w:color w:val="000000"/>
          <w:sz w:val="24"/>
        </w:rPr>
        <w:t xml:space="preserve">. Svjedočimo i tome da plin trenutačno teče iz zapadne u istočnu Europu maksimalnim kapacitetom, što pokazuje da cjenovni signali i sve povezanija tržišta plina koji su se razvili u Europi u posljednjem desetljeću pomažu u distribuciji zaliha plina do područja na kojima je najpotrebniji. </w:t>
      </w:r>
    </w:p>
    <w:p w14:paraId="22C3ABE9" w14:textId="77777777" w:rsidR="000746FB" w:rsidRPr="00577846" w:rsidRDefault="000746FB" w:rsidP="008A54AE">
      <w:pPr>
        <w:keepNext/>
        <w:tabs>
          <w:tab w:val="num" w:pos="595"/>
        </w:tabs>
        <w:spacing w:after="240" w:line="240" w:lineRule="auto"/>
        <w:ind w:left="595" w:hanging="595"/>
        <w:jc w:val="both"/>
        <w:outlineLvl w:val="1"/>
        <w:rPr>
          <w:rFonts w:ascii="Times New Roman" w:eastAsia="Times New Roman" w:hAnsi="Times New Roman" w:cs="Times New Roman"/>
          <w:b/>
          <w:noProof/>
          <w:sz w:val="24"/>
          <w:szCs w:val="20"/>
        </w:rPr>
      </w:pPr>
      <w:r>
        <w:rPr>
          <w:rFonts w:ascii="Times New Roman" w:hAnsi="Times New Roman"/>
          <w:b/>
          <w:noProof/>
          <w:sz w:val="24"/>
        </w:rPr>
        <w:t>3.5. Istraživanje, inovacije i konkurentnost</w:t>
      </w:r>
    </w:p>
    <w:p w14:paraId="47A6D65F" w14:textId="77777777" w:rsidR="00731C05" w:rsidRDefault="00731C05" w:rsidP="008A54AE">
      <w:pPr>
        <w:spacing w:after="120" w:line="240" w:lineRule="auto"/>
        <w:jc w:val="both"/>
        <w:textAlignment w:val="baseline"/>
        <w:rPr>
          <w:rFonts w:ascii="Times New Roman" w:eastAsia="Times New Roman" w:hAnsi="Times New Roman" w:cs="Times New Roman"/>
          <w:bCs/>
          <w:noProof/>
          <w:sz w:val="24"/>
          <w:szCs w:val="24"/>
        </w:rPr>
      </w:pPr>
      <w:r>
        <w:rPr>
          <w:rFonts w:ascii="Times New Roman" w:hAnsi="Times New Roman"/>
          <w:noProof/>
          <w:sz w:val="24"/>
        </w:rPr>
        <w:t>EU se suočava s</w:t>
      </w:r>
      <w:r>
        <w:rPr>
          <w:rFonts w:ascii="Times New Roman" w:hAnsi="Times New Roman"/>
          <w:b/>
          <w:noProof/>
          <w:sz w:val="24"/>
        </w:rPr>
        <w:t xml:space="preserve"> tehnološkim i netehnološkim izazovima povezanima s visokim cijenama energije, prekidima u lancu opskrbe kritičnim sirovinama, nedostatkom prirodnih resursa (npr. zemlja i voda) i vještina</w:t>
      </w:r>
      <w:r>
        <w:rPr>
          <w:rFonts w:ascii="Times New Roman" w:hAnsi="Times New Roman"/>
          <w:noProof/>
          <w:sz w:val="24"/>
        </w:rPr>
        <w:t>. Budući da se polovina od 30 kritičnih sirovina s popisa EU-a uvozi u omjerima većima od 80 %, skokovite cijene</w:t>
      </w:r>
      <w:r>
        <w:rPr>
          <w:rStyle w:val="FootnoteReference"/>
          <w:rFonts w:ascii="Times New Roman" w:eastAsia="Times New Roman" w:hAnsi="Times New Roman" w:cs="Times New Roman"/>
          <w:bCs/>
          <w:noProof/>
          <w:sz w:val="24"/>
          <w:szCs w:val="24"/>
          <w:lang w:eastAsia="fr-BE"/>
        </w:rPr>
        <w:footnoteReference w:id="53"/>
      </w:r>
      <w:r>
        <w:rPr>
          <w:rFonts w:ascii="Times New Roman" w:hAnsi="Times New Roman"/>
          <w:noProof/>
          <w:sz w:val="24"/>
        </w:rPr>
        <w:t xml:space="preserve"> utječu na konkurentnost tehnologija čiste energije. Godine 2022. više od 70 % poduzeća u EU-u koja se bave proizvodnjom opreme suočilo se s nedostatkom materijala, a njih 30 % s nedostatkom radne snage. Takva kretanja ukazuju na sve veći rizik od poremećaja u lancu opskrbe čistom energijom.</w:t>
      </w:r>
    </w:p>
    <w:p w14:paraId="667AD459" w14:textId="1B2943E0" w:rsidR="005A37FE" w:rsidRDefault="006321ED" w:rsidP="008A54AE">
      <w:pPr>
        <w:spacing w:after="120" w:line="240" w:lineRule="auto"/>
        <w:jc w:val="both"/>
        <w:textAlignment w:val="baseline"/>
        <w:rPr>
          <w:rFonts w:ascii="Times New Roman" w:eastAsia="Times New Roman" w:hAnsi="Times New Roman" w:cs="Times New Roman"/>
          <w:bCs/>
          <w:noProof/>
          <w:sz w:val="24"/>
          <w:szCs w:val="24"/>
        </w:rPr>
      </w:pPr>
      <w:r>
        <w:rPr>
          <w:rFonts w:ascii="Times New Roman" w:hAnsi="Times New Roman"/>
          <w:noProof/>
          <w:sz w:val="24"/>
        </w:rPr>
        <w:t xml:space="preserve">Kako bi </w:t>
      </w:r>
      <w:r>
        <w:rPr>
          <w:rFonts w:ascii="Times New Roman" w:hAnsi="Times New Roman"/>
          <w:b/>
          <w:noProof/>
          <w:sz w:val="24"/>
        </w:rPr>
        <w:t>sektor čiste energije u EU-u bio konkurentniji</w:t>
      </w:r>
      <w:r>
        <w:rPr>
          <w:rFonts w:ascii="Times New Roman" w:hAnsi="Times New Roman"/>
          <w:noProof/>
          <w:sz w:val="24"/>
        </w:rPr>
        <w:t>, EU će morati osigurati opskrbu te prikupiti strateške rezerve u slučaju ugrožene opskrbe. Komisija je zbog toga najavila Europski zakon o kritičnim sirovinama</w:t>
      </w:r>
      <w:r>
        <w:rPr>
          <w:rStyle w:val="FootnoteReference"/>
          <w:noProof/>
        </w:rPr>
        <w:footnoteReference w:id="54"/>
      </w:r>
      <w:r>
        <w:rPr>
          <w:rFonts w:ascii="Times New Roman" w:hAnsi="Times New Roman"/>
          <w:noProof/>
          <w:sz w:val="24"/>
        </w:rPr>
        <w:t xml:space="preserve">, kojim će se ujedno utvrditi strateški projekti u cijelom opskrbnom lancu (vađenje, rafiniranje, prerada i recikliranje) i osigurati da ti projekti privuku privatna i javna ulaganja. </w:t>
      </w:r>
    </w:p>
    <w:p w14:paraId="1131525F" w14:textId="77777777" w:rsidR="008A2BBC" w:rsidRPr="00577846" w:rsidRDefault="009A36F1" w:rsidP="009A36F1">
      <w:pPr>
        <w:spacing w:after="120" w:line="240" w:lineRule="auto"/>
        <w:jc w:val="both"/>
        <w:textAlignment w:val="baseline"/>
        <w:rPr>
          <w:rFonts w:ascii="Times New Roman" w:eastAsia="Times New Roman" w:hAnsi="Times New Roman" w:cs="Times New Roman"/>
          <w:noProof/>
          <w:sz w:val="24"/>
          <w:szCs w:val="24"/>
        </w:rPr>
      </w:pPr>
      <w:r>
        <w:rPr>
          <w:rFonts w:ascii="Times New Roman" w:hAnsi="Times New Roman"/>
          <w:noProof/>
          <w:sz w:val="24"/>
        </w:rPr>
        <w:t>Smanjenjem ovisnosti EU-a o sirovinama, snažnijim radom na stvaranju kružnog gospodarstva i prevladavanjem nedostatka kvalificirane radne snage stvorit će se otporniji, neovisniji, sigurniji i cjenovno pristupačniji energetski sustav potreban za ostvarivanje plana REPowerEU. Budući da otprilike polovina iznosa smanjenja emisija stakleničkih plinova koje se očekuje do 2050. zahtijeva tehnologije koje još nisu spremne za tržište</w:t>
      </w:r>
      <w:r>
        <w:rPr>
          <w:rStyle w:val="FootnoteReference"/>
          <w:rFonts w:eastAsiaTheme="minorEastAsia"/>
          <w:noProof/>
          <w:sz w:val="24"/>
          <w:szCs w:val="24"/>
        </w:rPr>
        <w:footnoteReference w:id="55"/>
      </w:r>
      <w:r>
        <w:rPr>
          <w:rFonts w:ascii="Times New Roman" w:hAnsi="Times New Roman"/>
          <w:noProof/>
          <w:sz w:val="24"/>
        </w:rPr>
        <w:t xml:space="preserve">, </w:t>
      </w:r>
      <w:r>
        <w:rPr>
          <w:rFonts w:ascii="Times New Roman" w:hAnsi="Times New Roman"/>
          <w:b/>
          <w:noProof/>
          <w:sz w:val="24"/>
        </w:rPr>
        <w:t>aktivnosti u području istraživanja i inovacija</w:t>
      </w:r>
      <w:r>
        <w:rPr>
          <w:rFonts w:ascii="Times New Roman" w:hAnsi="Times New Roman"/>
          <w:noProof/>
          <w:sz w:val="24"/>
        </w:rPr>
        <w:t xml:space="preserve"> ključne su za postizanje ciljeva europskog zelenog plana. </w:t>
      </w:r>
    </w:p>
    <w:p w14:paraId="2C31B98A" w14:textId="26192828" w:rsidR="0063556E" w:rsidRDefault="008A2BBC">
      <w:pPr>
        <w:pStyle w:val="CommentText"/>
        <w:jc w:val="both"/>
        <w:rPr>
          <w:rFonts w:ascii="Times New Roman" w:hAnsi="Times New Roman" w:cs="Times New Roman"/>
          <w:noProof/>
          <w:sz w:val="24"/>
          <w:szCs w:val="24"/>
        </w:rPr>
      </w:pPr>
      <w:r>
        <w:rPr>
          <w:rFonts w:ascii="Times New Roman" w:hAnsi="Times New Roman"/>
          <w:noProof/>
          <w:sz w:val="24"/>
        </w:rPr>
        <w:t>EU je predvodnik u istraživanju u području čiste energije.</w:t>
      </w:r>
      <w:r>
        <w:rPr>
          <w:rFonts w:ascii="Times New Roman" w:hAnsi="Times New Roman"/>
          <w:noProof/>
          <w:color w:val="000000"/>
          <w:sz w:val="24"/>
        </w:rPr>
        <w:t xml:space="preserve"> </w:t>
      </w:r>
      <w:r>
        <w:rPr>
          <w:rFonts w:ascii="Times New Roman" w:hAnsi="Times New Roman"/>
          <w:noProof/>
          <w:sz w:val="24"/>
        </w:rPr>
        <w:t xml:space="preserve">Međutim, potrebno je </w:t>
      </w:r>
      <w:r>
        <w:rPr>
          <w:rFonts w:ascii="Times New Roman" w:hAnsi="Times New Roman"/>
          <w:b/>
          <w:noProof/>
          <w:sz w:val="24"/>
        </w:rPr>
        <w:t>pojačati javna i privatna ulaganja u istraživanje i inovacije</w:t>
      </w:r>
      <w:r>
        <w:rPr>
          <w:rFonts w:ascii="Times New Roman" w:hAnsi="Times New Roman"/>
          <w:noProof/>
          <w:sz w:val="24"/>
        </w:rPr>
        <w:t xml:space="preserve"> te aktivnosti proširenja i primjene. </w:t>
      </w:r>
      <w:r>
        <w:rPr>
          <w:rFonts w:ascii="Times New Roman" w:hAnsi="Times New Roman"/>
          <w:noProof/>
          <w:color w:val="000000"/>
          <w:sz w:val="24"/>
        </w:rPr>
        <w:t xml:space="preserve"> </w:t>
      </w:r>
      <w:r>
        <w:rPr>
          <w:rFonts w:ascii="Times New Roman" w:hAnsi="Times New Roman"/>
          <w:noProof/>
          <w:sz w:val="24"/>
        </w:rPr>
        <w:t xml:space="preserve">EU je 2022. potvrdio svoj </w:t>
      </w:r>
      <w:r>
        <w:rPr>
          <w:rFonts w:ascii="Times New Roman" w:hAnsi="Times New Roman"/>
          <w:b/>
          <w:noProof/>
          <w:sz w:val="24"/>
        </w:rPr>
        <w:t>vodeći položaj u području istraživanja i inovacija u globalnom sektoru energije vjetra</w:t>
      </w:r>
      <w:r>
        <w:rPr>
          <w:rFonts w:ascii="Times New Roman" w:hAnsi="Times New Roman"/>
          <w:noProof/>
          <w:sz w:val="24"/>
        </w:rPr>
        <w:t xml:space="preserve"> te svoj položaj jednog od najvećih tržišta </w:t>
      </w:r>
      <w:r>
        <w:rPr>
          <w:rFonts w:ascii="Times New Roman" w:hAnsi="Times New Roman"/>
          <w:b/>
          <w:noProof/>
          <w:sz w:val="24"/>
        </w:rPr>
        <w:t>solarne fotonaponske energije</w:t>
      </w:r>
      <w:r>
        <w:rPr>
          <w:rFonts w:ascii="Times New Roman" w:hAnsi="Times New Roman"/>
          <w:noProof/>
          <w:sz w:val="24"/>
        </w:rPr>
        <w:t xml:space="preserve">, na kojem je konkurencija i dalje oštra u nekoliko segmenata lanca vrijednosti. EU je ujedno na prekretnici u pogledu nekoliko tehnologija. Na primjer, u sektoru </w:t>
      </w:r>
      <w:r>
        <w:rPr>
          <w:rFonts w:ascii="Times New Roman" w:hAnsi="Times New Roman"/>
          <w:b/>
          <w:noProof/>
          <w:sz w:val="24"/>
        </w:rPr>
        <w:t>dizalica topline</w:t>
      </w:r>
      <w:r>
        <w:rPr>
          <w:rFonts w:ascii="Times New Roman" w:hAnsi="Times New Roman"/>
          <w:noProof/>
          <w:sz w:val="24"/>
        </w:rPr>
        <w:t xml:space="preserve"> morat će se ubrzati već brzorastuća primjena, a dobavljači iz EU-a morat će povećati proizvodnju. Kad je riječ o </w:t>
      </w:r>
      <w:r>
        <w:rPr>
          <w:rFonts w:ascii="Times New Roman" w:hAnsi="Times New Roman"/>
          <w:b/>
          <w:noProof/>
          <w:sz w:val="24"/>
        </w:rPr>
        <w:t>baterijama</w:t>
      </w:r>
      <w:r>
        <w:rPr>
          <w:rFonts w:ascii="Times New Roman" w:hAnsi="Times New Roman"/>
          <w:noProof/>
          <w:sz w:val="24"/>
        </w:rPr>
        <w:t>, unatoč inicijativama koje su u tijeku</w:t>
      </w:r>
      <w:r>
        <w:rPr>
          <w:rStyle w:val="FootnoteReference"/>
          <w:rFonts w:ascii="Times New Roman" w:hAnsi="Times New Roman" w:cs="Times New Roman"/>
          <w:noProof/>
          <w:sz w:val="24"/>
          <w:szCs w:val="24"/>
          <w:lang w:eastAsia="en-IE"/>
        </w:rPr>
        <w:footnoteReference w:id="56"/>
      </w:r>
      <w:r>
        <w:rPr>
          <w:rFonts w:ascii="Times New Roman" w:hAnsi="Times New Roman"/>
          <w:noProof/>
          <w:sz w:val="24"/>
        </w:rPr>
        <w:t xml:space="preserve"> nedostatak domaćih sirovina i proizvodnje naprednih materijala u EU-u ugrožava konkurentnost EU-a. Iako se EU može osloniti na svoj snažan sveobuhvatan pristup za uravnoteženje potražnje i ponude, skok cijena električne energije i oslanjanje na kritične sirovine glavni su izazovi i za </w:t>
      </w:r>
      <w:r>
        <w:rPr>
          <w:rFonts w:ascii="Times New Roman" w:hAnsi="Times New Roman"/>
          <w:b/>
          <w:noProof/>
          <w:sz w:val="24"/>
        </w:rPr>
        <w:t>proizvodnju vodika elektrolizom u EU-u</w:t>
      </w:r>
      <w:r>
        <w:rPr>
          <w:rFonts w:ascii="Times New Roman" w:hAnsi="Times New Roman"/>
          <w:noProof/>
          <w:sz w:val="24"/>
        </w:rPr>
        <w:t>.</w:t>
      </w:r>
      <w:r>
        <w:rPr>
          <w:rFonts w:ascii="Times New Roman" w:hAnsi="Times New Roman"/>
          <w:b/>
          <w:noProof/>
          <w:sz w:val="24"/>
        </w:rPr>
        <w:t xml:space="preserve"> </w:t>
      </w:r>
    </w:p>
    <w:p w14:paraId="0AA7B15D" w14:textId="77777777" w:rsidR="003E4969" w:rsidRPr="00577846" w:rsidRDefault="008A2BBC" w:rsidP="008A54AE">
      <w:pPr>
        <w:spacing w:after="120" w:line="240" w:lineRule="auto"/>
        <w:jc w:val="both"/>
        <w:textAlignment w:val="baseline"/>
        <w:rPr>
          <w:rFonts w:ascii="Segoe UI" w:eastAsia="Times New Roman" w:hAnsi="Segoe UI" w:cs="Segoe UI"/>
          <w:noProof/>
          <w:sz w:val="18"/>
          <w:szCs w:val="18"/>
        </w:rPr>
      </w:pPr>
      <w:r>
        <w:rPr>
          <w:rFonts w:ascii="Times New Roman" w:hAnsi="Times New Roman"/>
          <w:b/>
          <w:noProof/>
          <w:sz w:val="24"/>
        </w:rPr>
        <w:t>Snažniji ekosustav istraživanja i inovacija</w:t>
      </w:r>
      <w:r>
        <w:rPr>
          <w:rFonts w:ascii="Times New Roman" w:hAnsi="Times New Roman"/>
          <w:noProof/>
          <w:sz w:val="24"/>
        </w:rPr>
        <w:t xml:space="preserve"> poduprt programima EU-a za financiranje, </w:t>
      </w:r>
      <w:r>
        <w:rPr>
          <w:rFonts w:ascii="Times New Roman" w:hAnsi="Times New Roman"/>
          <w:b/>
          <w:noProof/>
          <w:sz w:val="24"/>
        </w:rPr>
        <w:t>poboljšana suradnja</w:t>
      </w:r>
      <w:r>
        <w:rPr>
          <w:rFonts w:ascii="Times New Roman" w:hAnsi="Times New Roman"/>
          <w:noProof/>
          <w:sz w:val="24"/>
        </w:rPr>
        <w:t xml:space="preserve"> država članica</w:t>
      </w:r>
      <w:r>
        <w:rPr>
          <w:rFonts w:ascii="Times New Roman" w:hAnsi="Times New Roman"/>
          <w:noProof/>
          <w:sz w:val="19"/>
          <w:vertAlign w:val="superscript"/>
        </w:rPr>
        <w:t>45</w:t>
      </w:r>
      <w:r>
        <w:rPr>
          <w:rFonts w:ascii="Times New Roman" w:hAnsi="Times New Roman"/>
          <w:noProof/>
          <w:sz w:val="24"/>
        </w:rPr>
        <w:t xml:space="preserve"> i kontinuirano </w:t>
      </w:r>
      <w:r>
        <w:rPr>
          <w:rFonts w:ascii="Times New Roman" w:hAnsi="Times New Roman"/>
          <w:b/>
          <w:noProof/>
          <w:sz w:val="24"/>
        </w:rPr>
        <w:t>praćenje nacionalnih aktivnosti u području istraživanja i inovacija</w:t>
      </w:r>
      <w:r>
        <w:rPr>
          <w:rFonts w:ascii="Times New Roman" w:hAnsi="Times New Roman"/>
          <w:noProof/>
          <w:sz w:val="24"/>
        </w:rPr>
        <w:t xml:space="preserve"> presudni su za definiranje uspješnog razvoja područja istraživanja i inovacija, premošćivanje jaza između istraživanja i inovacija i primjene na tržištu, iskorištavanje mogućnosti tehnologija čiste energije EU-a i jačanje konkurentnosti EU-a.</w:t>
      </w:r>
      <w:r>
        <w:rPr>
          <w:rFonts w:ascii="Times New Roman" w:hAnsi="Times New Roman"/>
          <w:b/>
          <w:noProof/>
          <w:color w:val="000000"/>
          <w:sz w:val="24"/>
        </w:rPr>
        <w:t xml:space="preserve"> </w:t>
      </w:r>
      <w:r>
        <w:rPr>
          <w:rFonts w:ascii="Times New Roman" w:hAnsi="Times New Roman"/>
          <w:noProof/>
          <w:color w:val="000000"/>
          <w:sz w:val="24"/>
        </w:rPr>
        <w:t xml:space="preserve"> </w:t>
      </w:r>
    </w:p>
    <w:p w14:paraId="5E4BE22C" w14:textId="77777777" w:rsidR="001E5705" w:rsidRPr="00577846" w:rsidRDefault="001E5705" w:rsidP="008A54AE">
      <w:pPr>
        <w:keepNext/>
        <w:spacing w:before="240" w:after="240" w:line="240" w:lineRule="auto"/>
        <w:jc w:val="both"/>
        <w:outlineLvl w:val="0"/>
        <w:rPr>
          <w:rFonts w:ascii="Times New Roman" w:eastAsia="Times New Roman" w:hAnsi="Times New Roman" w:cs="Times New Roman"/>
          <w:b/>
          <w:bCs/>
          <w:noProof/>
          <w:sz w:val="24"/>
          <w:szCs w:val="20"/>
        </w:rPr>
      </w:pPr>
      <w:r>
        <w:rPr>
          <w:rFonts w:ascii="Times New Roman" w:hAnsi="Times New Roman"/>
          <w:b/>
          <w:noProof/>
          <w:sz w:val="24"/>
        </w:rPr>
        <w:t>4. UNIJINO FINANCIRANJE ZA PLAN REPOWEREU, UBRZAVANJE PRELASKA NA ČISTU ENERGIJU I EUROPSKI ZELENI PLAN</w:t>
      </w:r>
    </w:p>
    <w:p w14:paraId="2030A454" w14:textId="77777777" w:rsidR="001E5705" w:rsidRPr="00577846" w:rsidRDefault="001E5705" w:rsidP="008A54AE">
      <w:pPr>
        <w:spacing w:line="240" w:lineRule="auto"/>
        <w:rPr>
          <w:rFonts w:ascii="Times New Roman" w:eastAsia="Times New Roman" w:hAnsi="Times New Roman" w:cs="Times New Roman"/>
          <w:b/>
          <w:noProof/>
          <w:sz w:val="24"/>
          <w:szCs w:val="20"/>
        </w:rPr>
      </w:pPr>
      <w:r>
        <w:rPr>
          <w:rFonts w:ascii="Times New Roman" w:hAnsi="Times New Roman"/>
          <w:b/>
          <w:noProof/>
          <w:sz w:val="24"/>
        </w:rPr>
        <w:t>4.1. Glavne potrebe za ulaganjima i dostupno Unijino financiranje za plan REPowerEU</w:t>
      </w:r>
    </w:p>
    <w:p w14:paraId="051CE50A" w14:textId="77777777" w:rsidR="001E5705" w:rsidRPr="00892785" w:rsidRDefault="001E5705" w:rsidP="008A54AE">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Prema </w:t>
      </w:r>
      <w:r>
        <w:rPr>
          <w:rFonts w:ascii="Times New Roman" w:hAnsi="Times New Roman"/>
          <w:b/>
          <w:noProof/>
          <w:sz w:val="24"/>
        </w:rPr>
        <w:t>Komisijinoj analizi potreba za ulaganjima</w:t>
      </w:r>
      <w:r>
        <w:rPr>
          <w:rFonts w:ascii="Times New Roman" w:eastAsia="Calibri" w:hAnsi="Times New Roman" w:cs="Times New Roman"/>
          <w:noProof/>
          <w:sz w:val="24"/>
          <w:szCs w:val="24"/>
          <w:vertAlign w:val="superscript"/>
        </w:rPr>
        <w:footnoteReference w:id="57"/>
      </w:r>
      <w:r>
        <w:rPr>
          <w:rFonts w:ascii="Times New Roman" w:hAnsi="Times New Roman"/>
          <w:noProof/>
          <w:sz w:val="24"/>
        </w:rPr>
        <w:t xml:space="preserve"> iskorištavanje punog potencijala za postizanje potpune neovisnosti o ruskom uvozu fosilnih goriva zahtijevalo bi 300 milijardi EUR od danas do 2030. Ta ulaganja moraju biti komplementarna s paketom prijedloga „Spremni za 55 %” i uključivati</w:t>
      </w:r>
      <w:r>
        <w:rPr>
          <w:rStyle w:val="FootnoteReference"/>
          <w:rFonts w:ascii="Times New Roman" w:eastAsia="Calibri" w:hAnsi="Times New Roman" w:cs="Times New Roman"/>
          <w:noProof/>
          <w:sz w:val="24"/>
          <w:szCs w:val="24"/>
        </w:rPr>
        <w:footnoteReference w:id="58"/>
      </w:r>
      <w:r>
        <w:rPr>
          <w:rFonts w:ascii="Times New Roman" w:hAnsi="Times New Roman"/>
          <w:noProof/>
          <w:sz w:val="24"/>
        </w:rPr>
        <w:t xml:space="preserve">: solarnu fotonaponsku energiju i energiju vjetra (86 milijardi EUR), vodik dobiven iz obnovljivih izvora (27 milijardi EUR), energetsku učinkovitost i dizalice topline (56 milijardi EUR), prilagodbu industrije radi manje upotrebe fosilnih goriva (41 milijardu EUR), povećanje proizvodnje biometana (37 milijardi EUR), ulaganje u elektroenergetsku mrežu kako bi se omogućila veća elektrifikacija (29 milijardi EUR), ulaganja u novu infrastrukturu za UPP i koridore plinovoda (10 milijardi EUR) te naftnu infrastrukturu potrebnu za jamčenje sigurnosti opskrbe naftom (1,5–2 milijarde EUR). </w:t>
      </w:r>
    </w:p>
    <w:p w14:paraId="408B5ECA" w14:textId="191DB721" w:rsidR="00326D72" w:rsidRPr="00577846" w:rsidRDefault="00221D76" w:rsidP="00326D72">
      <w:pPr>
        <w:spacing w:before="120" w:after="120" w:line="240" w:lineRule="auto"/>
        <w:jc w:val="both"/>
        <w:rPr>
          <w:rFonts w:ascii="Times New Roman" w:eastAsia="Calibri" w:hAnsi="Times New Roman" w:cs="Times New Roman"/>
          <w:noProof/>
          <w:color w:val="000000"/>
          <w:sz w:val="24"/>
          <w:szCs w:val="24"/>
        </w:rPr>
      </w:pPr>
      <w:r>
        <w:rPr>
          <w:rFonts w:ascii="Times New Roman" w:hAnsi="Times New Roman"/>
          <w:b/>
          <w:noProof/>
          <w:sz w:val="24"/>
        </w:rPr>
        <w:t>Mehanizam za oporavak i otpornost imat će ključnu ulogu u ispunjavanju tih potreba</w:t>
      </w:r>
      <w:r>
        <w:rPr>
          <w:rFonts w:ascii="Times New Roman" w:hAnsi="Times New Roman"/>
          <w:noProof/>
          <w:sz w:val="24"/>
        </w:rPr>
        <w:t xml:space="preserve"> putem različitih mjera u okviru nacionalnih planova za oporavak i otpornost, uključujući poglavlja koja se odnose na plan REPowerEU.</w:t>
      </w:r>
      <w:r>
        <w:rPr>
          <w:rFonts w:ascii="Times New Roman" w:hAnsi="Times New Roman"/>
          <w:noProof/>
          <w:color w:val="000000" w:themeColor="text1"/>
          <w:sz w:val="24"/>
        </w:rPr>
        <w:t xml:space="preserve"> Plan REPowerEU i poglavlja u nacionalnim planovima za oporavak i otpornost koja se odnose na plan REPowerEU trebali bi se odražavati i u ažuriranim nacionalnim energetskim i klimatskim planovima (NECP-i) (koji će biti podneseni do sredine 2023.). Komisija će pružiti smjernice za ažuriranje tih planova. </w:t>
      </w:r>
      <w:r>
        <w:rPr>
          <w:rFonts w:ascii="Times New Roman" w:hAnsi="Times New Roman"/>
          <w:noProof/>
          <w:color w:val="000000"/>
          <w:sz w:val="24"/>
        </w:rPr>
        <w:t xml:space="preserve">Komisija je predložila dodatna sredstva za Mehanizam za oporavak i otpornost i pokrenula bilateralne rasprave s državama članicama radi utvrđivanja potencijalno prihvatljivih reformi i ulaganja za financiranje u okviru novih poglavlja koja se odnose na plan REPowerEU. </w:t>
      </w:r>
    </w:p>
    <w:p w14:paraId="3DC04107" w14:textId="77777777" w:rsidR="001E5705" w:rsidRPr="00577846" w:rsidRDefault="00364BDA" w:rsidP="008A54AE">
      <w:pPr>
        <w:spacing w:before="120" w:after="120" w:line="240" w:lineRule="auto"/>
        <w:jc w:val="both"/>
        <w:rPr>
          <w:rFonts w:ascii="Times New Roman" w:eastAsia="Calibri" w:hAnsi="Times New Roman" w:cs="Times New Roman"/>
          <w:noProof/>
          <w:sz w:val="24"/>
          <w:szCs w:val="24"/>
        </w:rPr>
      </w:pPr>
      <w:r>
        <w:rPr>
          <w:rFonts w:ascii="Times New Roman" w:hAnsi="Times New Roman"/>
          <w:noProof/>
          <w:color w:val="000000"/>
          <w:sz w:val="24"/>
        </w:rPr>
        <w:t xml:space="preserve">U pripremi svojih poglavlja koja se odnose na REPowerEU države članice morat će uzeti u obzir </w:t>
      </w:r>
      <w:r>
        <w:rPr>
          <w:rFonts w:ascii="Times New Roman" w:hAnsi="Times New Roman"/>
          <w:b/>
          <w:noProof/>
          <w:color w:val="000000"/>
          <w:sz w:val="24"/>
        </w:rPr>
        <w:t>preporuke za pojedinu zemlju utvrđene u europskom semestru</w:t>
      </w:r>
      <w:r>
        <w:rPr>
          <w:rFonts w:ascii="Times New Roman" w:hAnsi="Times New Roman"/>
          <w:noProof/>
          <w:color w:val="000000"/>
          <w:sz w:val="24"/>
        </w:rPr>
        <w:t xml:space="preserve">, koje su ove godine uključivale </w:t>
      </w:r>
      <w:r>
        <w:rPr>
          <w:rFonts w:ascii="Times New Roman" w:hAnsi="Times New Roman"/>
          <w:b/>
          <w:noProof/>
          <w:color w:val="000000"/>
          <w:sz w:val="24"/>
        </w:rPr>
        <w:t>preporuke koje se posebno odnose na energiju</w:t>
      </w:r>
      <w:r>
        <w:rPr>
          <w:rFonts w:ascii="Times New Roman" w:hAnsi="Times New Roman"/>
          <w:noProof/>
          <w:color w:val="000000"/>
          <w:sz w:val="24"/>
        </w:rPr>
        <w:t xml:space="preserve">, s posebnim naglaskom na dodatne reforme i potrebe za ulaganjima povezane s potrebom za smanjenjem ovisnosti o energiji i ubrzanjem energetske tranzicije. Okvir europskog semestra imat će središnju ulogu u praćenju mjera iz plana REPowerEU. </w:t>
      </w:r>
      <w:r>
        <w:rPr>
          <w:rFonts w:ascii="Times New Roman" w:hAnsi="Times New Roman"/>
          <w:noProof/>
          <w:sz w:val="24"/>
        </w:rPr>
        <w:t>Ciljevi plana REPowerEU ostvarivat će se u okviru prelaska na čistu energiju, a financirat će se i iz drugih programa EU-a te će se podupirati putem nekoliko inicijativa EU-a (vidjeti odjeljak 4.2.). Unijino financiranje dopunjuje ostala dostupna javna i privatna financiranja, koja će imati ključnu ulogu u ostvarivanju ulaganja potrebnih za ostvarivanje plana REPowerEU.</w:t>
      </w:r>
    </w:p>
    <w:p w14:paraId="138B74A0" w14:textId="77777777" w:rsidR="001E5705" w:rsidRPr="00577846" w:rsidRDefault="001E5705" w:rsidP="008A54AE">
      <w:pPr>
        <w:spacing w:line="240" w:lineRule="auto"/>
        <w:rPr>
          <w:rFonts w:ascii="Times New Roman" w:eastAsia="Times New Roman" w:hAnsi="Times New Roman" w:cs="Times New Roman"/>
          <w:b/>
          <w:noProof/>
          <w:sz w:val="24"/>
          <w:szCs w:val="20"/>
        </w:rPr>
      </w:pPr>
      <w:r>
        <w:rPr>
          <w:rFonts w:ascii="Times New Roman" w:hAnsi="Times New Roman"/>
          <w:b/>
          <w:noProof/>
          <w:sz w:val="24"/>
        </w:rPr>
        <w:t>4.2. Financijska potpora EU-a za prelazak na čistu energiju</w:t>
      </w:r>
    </w:p>
    <w:p w14:paraId="6805D1C0" w14:textId="77777777" w:rsidR="001E5705" w:rsidRPr="00577846" w:rsidRDefault="001E5705" w:rsidP="008A54AE">
      <w:pPr>
        <w:spacing w:line="240" w:lineRule="auto"/>
        <w:jc w:val="both"/>
        <w:rPr>
          <w:rFonts w:ascii="Times New Roman" w:eastAsia="Calibri" w:hAnsi="Times New Roman" w:cs="Times New Roman"/>
          <w:noProof/>
          <w:sz w:val="24"/>
          <w:szCs w:val="24"/>
        </w:rPr>
      </w:pPr>
      <w:r>
        <w:rPr>
          <w:rFonts w:ascii="Times New Roman" w:hAnsi="Times New Roman"/>
          <w:noProof/>
          <w:sz w:val="24"/>
        </w:rPr>
        <w:t>Potpora EU-a za prelazak na čistu energiju pruža se u okviru različitih programa:</w:t>
      </w:r>
    </w:p>
    <w:p w14:paraId="424C925C" w14:textId="77777777" w:rsidR="00724EA8" w:rsidRPr="00577846" w:rsidRDefault="00440524" w:rsidP="00724EA8">
      <w:pPr>
        <w:numPr>
          <w:ilvl w:val="0"/>
          <w:numId w:val="11"/>
        </w:numPr>
        <w:spacing w:after="120" w:line="240" w:lineRule="auto"/>
        <w:contextualSpacing/>
        <w:jc w:val="both"/>
        <w:rPr>
          <w:rFonts w:ascii="Times New Roman" w:eastAsia="Calibri" w:hAnsi="Times New Roman" w:cs="Times New Roman"/>
          <w:noProof/>
          <w:sz w:val="24"/>
          <w:szCs w:val="24"/>
        </w:rPr>
      </w:pPr>
      <w:hyperlink r:id="rId22" w:history="1">
        <w:r w:rsidR="00513D6E">
          <w:rPr>
            <w:rFonts w:ascii="Times New Roman" w:hAnsi="Times New Roman"/>
            <w:b/>
            <w:noProof/>
            <w:color w:val="0563C1"/>
            <w:sz w:val="24"/>
            <w:u w:val="single"/>
          </w:rPr>
          <w:t>Mehanizam za oporavak i otpornost</w:t>
        </w:r>
      </w:hyperlink>
      <w:r w:rsidR="00513D6E">
        <w:rPr>
          <w:rFonts w:ascii="Times New Roman" w:hAnsi="Times New Roman"/>
          <w:noProof/>
          <w:sz w:val="24"/>
        </w:rPr>
        <w:t>: ulaganja povezana s klimom u 26 odobrenih planova za oporavak i otpornost</w:t>
      </w:r>
      <w:r w:rsidR="00513D6E">
        <w:rPr>
          <w:rFonts w:ascii="Times New Roman" w:eastAsia="MS Mincho" w:hAnsi="Times New Roman" w:cs="Times New Roman"/>
          <w:noProof/>
          <w:vertAlign w:val="superscript"/>
        </w:rPr>
        <w:footnoteReference w:id="59"/>
      </w:r>
      <w:r w:rsidR="00513D6E">
        <w:rPr>
          <w:rFonts w:ascii="Times New Roman" w:hAnsi="Times New Roman"/>
          <w:noProof/>
          <w:sz w:val="24"/>
        </w:rPr>
        <w:t xml:space="preserve"> iznose približno 200 milijardi EUR</w:t>
      </w:r>
      <w:r w:rsidR="00513D6E">
        <w:rPr>
          <w:rFonts w:ascii="Times New Roman" w:eastAsia="MS Mincho" w:hAnsi="Times New Roman" w:cs="Times New Roman"/>
          <w:b/>
          <w:noProof/>
          <w:vertAlign w:val="superscript"/>
          <w:lang w:val="en-GB"/>
        </w:rPr>
        <w:footnoteReference w:id="60"/>
      </w:r>
      <w:r w:rsidR="00513D6E">
        <w:rPr>
          <w:rFonts w:ascii="Times New Roman" w:hAnsi="Times New Roman"/>
          <w:noProof/>
          <w:sz w:val="24"/>
        </w:rPr>
        <w:t>, što je iznad obveze od 37 % utvrđene Uredbom o Mehanizmu za oporavak i otpornost</w:t>
      </w:r>
      <w:r w:rsidR="00513D6E">
        <w:rPr>
          <w:rStyle w:val="FootnoteReference"/>
          <w:rFonts w:ascii="Times New Roman" w:hAnsi="Times New Roman" w:cs="Times New Roman"/>
          <w:noProof/>
          <w:sz w:val="24"/>
          <w:szCs w:val="24"/>
          <w:lang w:eastAsia="en-GB"/>
        </w:rPr>
        <w:footnoteReference w:id="61"/>
      </w:r>
      <w:r w:rsidR="00513D6E">
        <w:rPr>
          <w:rFonts w:ascii="Times New Roman" w:hAnsi="Times New Roman"/>
          <w:noProof/>
          <w:sz w:val="24"/>
        </w:rPr>
        <w:t>. Najveći dio izdvajanja za klimatska ulaganja namijenjen je za čistu energiju, energetsku učinkovitost i mjere obnove zgrada (približno 88 milijardi EUR). Drugi znatan dio namijenjen je za održivi promet (približno 70 milijardi EUR).</w:t>
      </w:r>
      <w:r w:rsidR="00513D6E">
        <w:rPr>
          <w:rFonts w:ascii="Times New Roman" w:hAnsi="Times New Roman"/>
          <w:noProof/>
        </w:rPr>
        <w:t xml:space="preserve"> </w:t>
      </w:r>
      <w:r w:rsidR="00513D6E">
        <w:rPr>
          <w:rFonts w:ascii="Times New Roman" w:hAnsi="Times New Roman"/>
          <w:noProof/>
          <w:sz w:val="24"/>
        </w:rPr>
        <w:t>Približno 10 milijardi EUR izdvaja se za vodik dobiven iz obnovljivih izvora i niskougljični vodik;</w:t>
      </w:r>
    </w:p>
    <w:p w14:paraId="0E97A493" w14:textId="77777777" w:rsidR="0043654C" w:rsidRPr="00577846" w:rsidRDefault="00513D6E" w:rsidP="008A54AE">
      <w:pPr>
        <w:numPr>
          <w:ilvl w:val="0"/>
          <w:numId w:val="11"/>
        </w:numPr>
        <w:spacing w:after="120" w:line="240" w:lineRule="auto"/>
        <w:contextualSpacing/>
        <w:jc w:val="both"/>
        <w:rPr>
          <w:rFonts w:ascii="Times New Roman" w:eastAsia="Calibri" w:hAnsi="Times New Roman" w:cs="Times New Roman"/>
          <w:noProof/>
          <w:sz w:val="24"/>
          <w:szCs w:val="24"/>
        </w:rPr>
      </w:pPr>
      <w:r>
        <w:rPr>
          <w:rFonts w:ascii="Times New Roman" w:hAnsi="Times New Roman"/>
          <w:noProof/>
          <w:sz w:val="24"/>
        </w:rPr>
        <w:t>znatna potpora za energetsku učinkovitost, energiju iz obnovljivih izvora i energetsku infrastrukturu pruža se i okviru</w:t>
      </w:r>
      <w:hyperlink r:id="rId23" w:history="1">
        <w:r>
          <w:rPr>
            <w:rStyle w:val="Hyperlink"/>
            <w:rFonts w:ascii="Times New Roman" w:hAnsi="Times New Roman"/>
            <w:b/>
            <w:noProof/>
            <w:sz w:val="24"/>
          </w:rPr>
          <w:t>kohezijske politike</w:t>
        </w:r>
      </w:hyperlink>
      <w:r>
        <w:rPr>
          <w:noProof/>
        </w:rPr>
        <w:t>.</w:t>
      </w:r>
      <w:r>
        <w:rPr>
          <w:rFonts w:ascii="Times New Roman" w:hAnsi="Times New Roman"/>
          <w:noProof/>
          <w:sz w:val="24"/>
        </w:rPr>
        <w:t xml:space="preserve"> U razdoblju 2014.–2020. 27,5 milijardi EUR dodijeljeno je za ulaganja koja su u planu REPowerEU prepoznata kao prioritetna. Za razdoblje 2021.–2027., Komisija očekuje da će države članice za te prioritete dodijeliti dodatnih 34–36 milijardi EUR. Izrađen je novi model financijskog instrumenta za potporu planu REPowerEU u lipnju 2022. s Europskom investicijskom bankom (EIB);</w:t>
      </w:r>
    </w:p>
    <w:p w14:paraId="6A914403" w14:textId="77777777" w:rsidR="001E5705" w:rsidRPr="00577846" w:rsidRDefault="00440524" w:rsidP="008A54AE">
      <w:pPr>
        <w:numPr>
          <w:ilvl w:val="0"/>
          <w:numId w:val="11"/>
        </w:numPr>
        <w:spacing w:after="120" w:line="240" w:lineRule="auto"/>
        <w:contextualSpacing/>
        <w:jc w:val="both"/>
        <w:rPr>
          <w:rFonts w:ascii="Times New Roman" w:eastAsia="Calibri" w:hAnsi="Times New Roman" w:cs="Times New Roman"/>
          <w:noProof/>
          <w:sz w:val="24"/>
          <w:szCs w:val="24"/>
        </w:rPr>
      </w:pPr>
      <w:hyperlink r:id="rId24" w:history="1">
        <w:r w:rsidR="00513D6E">
          <w:rPr>
            <w:rFonts w:ascii="Times New Roman" w:hAnsi="Times New Roman"/>
            <w:b/>
            <w:noProof/>
            <w:color w:val="0563C1"/>
            <w:sz w:val="24"/>
            <w:u w:val="single"/>
          </w:rPr>
          <w:t>program InvestEU</w:t>
        </w:r>
      </w:hyperlink>
      <w:r w:rsidR="00513D6E">
        <w:rPr>
          <w:rFonts w:ascii="Times New Roman" w:hAnsi="Times New Roman"/>
          <w:noProof/>
          <w:sz w:val="24"/>
        </w:rPr>
        <w:t xml:space="preserve">: U okviru programskog dijela namijenjenog za održivu infrastrukturu do srpnja 2022. već je dodijeljeno približno 1,6 milijardi EUR obuhvaćenih jamstvom EU-a, među ostalim za ulaganja u solarnu fotonaponsku energiju, energiju vjetra i energetsku učinkovitost. Ključne inicijative </w:t>
      </w:r>
      <w:hyperlink r:id="rId25" w:history="1">
        <w:r w:rsidR="00513D6E">
          <w:rPr>
            <w:rFonts w:ascii="Times New Roman" w:hAnsi="Times New Roman"/>
            <w:noProof/>
            <w:color w:val="0563C1"/>
            <w:sz w:val="24"/>
            <w:u w:val="single"/>
          </w:rPr>
          <w:t>savjetodavnog centra InvestEU</w:t>
        </w:r>
      </w:hyperlink>
      <w:r w:rsidR="00513D6E">
        <w:rPr>
          <w:noProof/>
        </w:rPr>
        <w:t xml:space="preserve"> </w:t>
      </w:r>
      <w:r w:rsidR="00513D6E">
        <w:rPr>
          <w:rFonts w:ascii="Times New Roman" w:hAnsi="Times New Roman"/>
          <w:noProof/>
          <w:sz w:val="24"/>
        </w:rPr>
        <w:t xml:space="preserve">obuhvaćaju područja energetske učinkovitosti i vodika: </w:t>
      </w:r>
    </w:p>
    <w:p w14:paraId="61EB1229" w14:textId="77777777" w:rsidR="001E5705" w:rsidRPr="00577846" w:rsidRDefault="001E5705" w:rsidP="008A54AE">
      <w:pPr>
        <w:numPr>
          <w:ilvl w:val="0"/>
          <w:numId w:val="15"/>
        </w:numPr>
        <w:spacing w:before="120" w:after="120" w:line="240" w:lineRule="auto"/>
        <w:contextualSpacing/>
        <w:jc w:val="both"/>
        <w:rPr>
          <w:rFonts w:ascii="Times New Roman" w:eastAsia="Calibri" w:hAnsi="Times New Roman" w:cs="Times New Roman"/>
          <w:noProof/>
          <w:sz w:val="24"/>
          <w:szCs w:val="24"/>
        </w:rPr>
      </w:pPr>
      <w:r>
        <w:rPr>
          <w:rFonts w:ascii="Times New Roman" w:hAnsi="Times New Roman"/>
          <w:noProof/>
          <w:sz w:val="24"/>
        </w:rPr>
        <w:t xml:space="preserve">od 2011. </w:t>
      </w:r>
      <w:hyperlink r:id="rId26" w:history="1">
        <w:r>
          <w:rPr>
            <w:rFonts w:ascii="Times New Roman" w:hAnsi="Times New Roman"/>
            <w:noProof/>
            <w:color w:val="0563C1"/>
            <w:sz w:val="24"/>
            <w:u w:val="single"/>
          </w:rPr>
          <w:t>instrumentom ELENA</w:t>
        </w:r>
      </w:hyperlink>
      <w:r>
        <w:rPr>
          <w:rFonts w:ascii="Times New Roman" w:hAnsi="Times New Roman"/>
          <w:noProof/>
          <w:sz w:val="24"/>
        </w:rPr>
        <w:t xml:space="preserve"> podupire se razvoj projekata u području energetske učinkovitosti i čiste mobilnosti. Budući da ima faktor financijske poluge od 33, njegova je sposobnost privlačenja privatnog financiranja impresivna. Za 18 novih projekata 2021. dodijeljeno je 35,8 milijuna EUR. Očekuje se da će se njima ostvariti približno 500 GWh uštede energije godišnje; </w:t>
      </w:r>
    </w:p>
    <w:p w14:paraId="12249E64" w14:textId="77777777" w:rsidR="001E5705" w:rsidRPr="00577846" w:rsidRDefault="001E5705" w:rsidP="008A54AE">
      <w:pPr>
        <w:numPr>
          <w:ilvl w:val="0"/>
          <w:numId w:val="15"/>
        </w:numPr>
        <w:spacing w:before="120" w:after="120" w:line="240" w:lineRule="auto"/>
        <w:contextualSpacing/>
        <w:jc w:val="both"/>
        <w:rPr>
          <w:rFonts w:ascii="Times New Roman" w:eastAsia="Calibri" w:hAnsi="Times New Roman" w:cs="Times New Roman"/>
          <w:noProof/>
          <w:sz w:val="24"/>
          <w:szCs w:val="24"/>
        </w:rPr>
      </w:pPr>
      <w:r>
        <w:rPr>
          <w:rFonts w:ascii="Times New Roman" w:hAnsi="Times New Roman"/>
          <w:noProof/>
          <w:sz w:val="24"/>
        </w:rPr>
        <w:t xml:space="preserve">Komisija surađuje s EIB-om na razvoju </w:t>
      </w:r>
      <w:hyperlink r:id="rId27" w:history="1">
        <w:r>
          <w:rPr>
            <w:rStyle w:val="Hyperlink"/>
            <w:rFonts w:ascii="Times New Roman" w:hAnsi="Times New Roman"/>
            <w:noProof/>
            <w:sz w:val="24"/>
          </w:rPr>
          <w:t>savjetodavnog instrumenta za potporu projektima na temelju ugovora o kupnji energije iz obnovljivih izvora</w:t>
        </w:r>
      </w:hyperlink>
      <w:r>
        <w:rPr>
          <w:rStyle w:val="Hyperlink"/>
          <w:rFonts w:ascii="Times New Roman" w:hAnsi="Times New Roman"/>
          <w:noProof/>
          <w:sz w:val="24"/>
        </w:rPr>
        <w:t>, među ostalim</w:t>
      </w:r>
      <w:r>
        <w:rPr>
          <w:rFonts w:ascii="Times New Roman" w:hAnsi="Times New Roman"/>
          <w:noProof/>
          <w:sz w:val="24"/>
        </w:rPr>
        <w:t xml:space="preserve"> za potporu uvođenju vodika i elektrifikaciji u industrijskim sektorima;</w:t>
      </w:r>
    </w:p>
    <w:p w14:paraId="21DD2099" w14:textId="77777777" w:rsidR="0043654C" w:rsidRDefault="001E5705" w:rsidP="00D627D2">
      <w:pPr>
        <w:numPr>
          <w:ilvl w:val="0"/>
          <w:numId w:val="12"/>
        </w:numPr>
        <w:spacing w:before="120" w:after="120" w:line="240" w:lineRule="auto"/>
        <w:ind w:left="426" w:hanging="426"/>
        <w:contextualSpacing/>
        <w:jc w:val="both"/>
        <w:rPr>
          <w:rFonts w:ascii="Times New Roman" w:eastAsia="Calibri" w:hAnsi="Times New Roman" w:cs="Times New Roman"/>
          <w:noProof/>
          <w:sz w:val="24"/>
          <w:szCs w:val="24"/>
        </w:rPr>
      </w:pPr>
      <w:r>
        <w:rPr>
          <w:rFonts w:ascii="Times New Roman" w:hAnsi="Times New Roman"/>
          <w:noProof/>
          <w:sz w:val="24"/>
        </w:rPr>
        <w:t xml:space="preserve">u okviru </w:t>
      </w:r>
      <w:hyperlink r:id="rId28" w:history="1">
        <w:r>
          <w:rPr>
            <w:rFonts w:ascii="Times New Roman" w:hAnsi="Times New Roman"/>
            <w:b/>
            <w:noProof/>
            <w:color w:val="0563C1"/>
            <w:sz w:val="24"/>
            <w:u w:val="single"/>
          </w:rPr>
          <w:t>programa Obzor</w:t>
        </w:r>
      </w:hyperlink>
      <w:r>
        <w:rPr>
          <w:rFonts w:ascii="Times New Roman" w:hAnsi="Times New Roman"/>
          <w:b/>
          <w:noProof/>
          <w:color w:val="0563C1"/>
          <w:sz w:val="24"/>
          <w:u w:val="single"/>
        </w:rPr>
        <w:t xml:space="preserve"> Europa</w:t>
      </w:r>
      <w:r>
        <w:rPr>
          <w:rFonts w:ascii="Times New Roman" w:hAnsi="Times New Roman"/>
          <w:noProof/>
          <w:sz w:val="24"/>
        </w:rPr>
        <w:t xml:space="preserve"> dodijeljeno je 15 milijardi EUR za potporu istraživanju i inovacijama u području tehnologija za energiju iz obnovljivih izvora, energetske učinkovitosti, elektrifikacije grijanja i hlađenja i digitalizacije energetskog sustava;</w:t>
      </w:r>
    </w:p>
    <w:p w14:paraId="3B383EE3" w14:textId="77777777" w:rsidR="001E5705" w:rsidRPr="00910888" w:rsidRDefault="00440524" w:rsidP="00D627D2">
      <w:pPr>
        <w:numPr>
          <w:ilvl w:val="0"/>
          <w:numId w:val="12"/>
        </w:numPr>
        <w:spacing w:before="120" w:after="120" w:line="240" w:lineRule="auto"/>
        <w:ind w:left="426" w:hanging="426"/>
        <w:contextualSpacing/>
        <w:jc w:val="both"/>
        <w:rPr>
          <w:rFonts w:ascii="Times New Roman" w:eastAsia="Calibri" w:hAnsi="Times New Roman" w:cs="Times New Roman"/>
          <w:noProof/>
          <w:sz w:val="24"/>
          <w:szCs w:val="24"/>
        </w:rPr>
      </w:pPr>
      <w:hyperlink r:id="rId29" w:history="1">
        <w:r w:rsidR="00513D6E">
          <w:rPr>
            <w:rStyle w:val="Hyperlink"/>
            <w:rFonts w:ascii="Times New Roman" w:hAnsi="Times New Roman"/>
            <w:b/>
            <w:noProof/>
            <w:sz w:val="24"/>
          </w:rPr>
          <w:t>Instrumentom za povezivanje Europe u energetskom sektoru</w:t>
        </w:r>
      </w:hyperlink>
      <w:r w:rsidR="00513D6E">
        <w:rPr>
          <w:rFonts w:ascii="Times New Roman" w:hAnsi="Times New Roman"/>
          <w:noProof/>
          <w:sz w:val="24"/>
        </w:rPr>
        <w:t xml:space="preserve"> financira se bolje međusobno povezivanje energetskih mreža radi postizanja jedinstvenog energetskog tržišta EU-a i prelaska na čistu energiju. Instrumentom za povezivanje Europe u energetskom sektoru od 2014. pružena je potpora od ukupno 5,7 milijardi EUR za 154 projekta. Komisija je u ožujku 2022. objavila prvi poziv na podnošenje prijedloga za Instrument za povezivanje Europe za prekogranične projekte u području energije iz obnovljivih izvora. Komisija je u svibnju 2022. objavila novi poziv za ključne prekogranične projekte za energetsku infrastrukturu za projekte uvrštene u peti popis projekata od zajedničkog interesa EU-a;</w:t>
      </w:r>
    </w:p>
    <w:p w14:paraId="77D151DE" w14:textId="77777777" w:rsidR="001E5705" w:rsidRPr="00577846" w:rsidRDefault="00440524" w:rsidP="008A54AE">
      <w:pPr>
        <w:numPr>
          <w:ilvl w:val="0"/>
          <w:numId w:val="12"/>
        </w:numPr>
        <w:spacing w:before="120" w:after="120" w:line="240" w:lineRule="auto"/>
        <w:ind w:left="426" w:hanging="426"/>
        <w:contextualSpacing/>
        <w:jc w:val="both"/>
        <w:rPr>
          <w:rFonts w:ascii="Times New Roman" w:eastAsia="Calibri" w:hAnsi="Times New Roman" w:cs="Times New Roman"/>
          <w:noProof/>
          <w:sz w:val="24"/>
          <w:szCs w:val="24"/>
        </w:rPr>
      </w:pPr>
      <w:hyperlink r:id="rId30" w:anchor=":~:text=The%20LIFE%20Clean%20Energy%20Transition%20sub%2Dprogramme%20has%20a%20budget,actions%20(Other%20Action%20Grants)%20across" w:history="1">
        <w:r w:rsidR="00513D6E">
          <w:rPr>
            <w:rFonts w:ascii="Times New Roman" w:hAnsi="Times New Roman"/>
            <w:b/>
            <w:noProof/>
            <w:color w:val="0563C1"/>
            <w:sz w:val="24"/>
            <w:u w:val="single"/>
          </w:rPr>
          <w:t>potprogram Prelazak na čistu energiju programa LIFE (LIFE CET)</w:t>
        </w:r>
      </w:hyperlink>
      <w:r w:rsidR="00513D6E">
        <w:rPr>
          <w:rFonts w:ascii="Times New Roman" w:hAnsi="Times New Roman"/>
          <w:noProof/>
          <w:sz w:val="24"/>
        </w:rPr>
        <w:t>: u svibnju 2022. objavljen je poziv na podnošenje prijedloga za LIFE CET, čime je za projekte energetske učinkovitosti i čiste energije na raspolaganje stavljeno 98 milijuna EUR. Taj poziv obuhvaća ciljeve plana REPowerEU, kao što su smanjenje potrošnje fosilnih goriva za grijanje i ubrzanje primjene rješenja za energetsku učinkovitost u stambenom, poslovnom i javnom sektoru;</w:t>
      </w:r>
    </w:p>
    <w:p w14:paraId="343EB5D3" w14:textId="77777777" w:rsidR="001E5705" w:rsidRPr="00577846" w:rsidRDefault="001E5705" w:rsidP="008A54AE">
      <w:pPr>
        <w:numPr>
          <w:ilvl w:val="0"/>
          <w:numId w:val="12"/>
        </w:numPr>
        <w:spacing w:before="120" w:after="120" w:line="240" w:lineRule="auto"/>
        <w:ind w:left="426" w:hanging="426"/>
        <w:contextualSpacing/>
        <w:jc w:val="both"/>
        <w:rPr>
          <w:rFonts w:ascii="Times New Roman" w:eastAsia="Calibri" w:hAnsi="Times New Roman" w:cs="Times New Roman"/>
          <w:noProof/>
          <w:sz w:val="24"/>
          <w:szCs w:val="24"/>
        </w:rPr>
      </w:pPr>
      <w:r>
        <w:rPr>
          <w:rFonts w:ascii="Times New Roman" w:hAnsi="Times New Roman"/>
          <w:noProof/>
          <w:sz w:val="24"/>
        </w:rPr>
        <w:t xml:space="preserve">u okviru </w:t>
      </w:r>
      <w:hyperlink r:id="rId31" w:anchor=":~:text=The%20renewable%20energy%20financing%20mechanism,the%20EU%20countries'%20collective%20efforts." w:history="1">
        <w:r>
          <w:rPr>
            <w:rFonts w:ascii="Times New Roman" w:hAnsi="Times New Roman"/>
            <w:b/>
            <w:noProof/>
            <w:color w:val="0563C1"/>
            <w:sz w:val="24"/>
            <w:u w:val="single"/>
          </w:rPr>
          <w:t>mehanizma za financiranje energije iz obnovljivih izvora</w:t>
        </w:r>
      </w:hyperlink>
      <w:r>
        <w:rPr>
          <w:noProof/>
        </w:rPr>
        <w:t xml:space="preserve"> 2022. provest će se prva prekogranična javna nabava</w:t>
      </w:r>
      <w:r>
        <w:rPr>
          <w:rFonts w:ascii="Times New Roman" w:hAnsi="Times New Roman"/>
          <w:noProof/>
          <w:sz w:val="24"/>
        </w:rPr>
        <w:t xml:space="preserve">. Ta će javna nabava biti usmjerena na projekte u području solarne fotonaponske energije. Mehanizam za financiranje pomoći će u iskorištavanju punog potencijala obnovljivih izvora energije u EU-u te će državama članicama pomoći u postizanju cilja dekarbonizacije uz veću suradnju; </w:t>
      </w:r>
    </w:p>
    <w:p w14:paraId="64D22303" w14:textId="24071CCB" w:rsidR="00033F0B" w:rsidRDefault="00584B49" w:rsidP="00033F0B">
      <w:pPr>
        <w:numPr>
          <w:ilvl w:val="0"/>
          <w:numId w:val="12"/>
        </w:numPr>
        <w:spacing w:before="120" w:after="120" w:line="257" w:lineRule="auto"/>
        <w:ind w:left="426" w:hanging="426"/>
        <w:contextualSpacing/>
        <w:jc w:val="both"/>
        <w:rPr>
          <w:rFonts w:ascii="Times New Roman" w:eastAsia="MS Mincho" w:hAnsi="Times New Roman" w:cs="Times New Roman"/>
          <w:noProof/>
          <w:sz w:val="24"/>
          <w:szCs w:val="24"/>
        </w:rPr>
      </w:pPr>
      <w:bookmarkStart w:id="7" w:name="_Hlk114740552"/>
      <w:r>
        <w:rPr>
          <w:rFonts w:ascii="Times New Roman" w:hAnsi="Times New Roman"/>
          <w:noProof/>
          <w:sz w:val="24"/>
        </w:rPr>
        <w:t xml:space="preserve">cijene ugljika povećale su se 2021., kao i ukupni prihodi od ETS-a EU-a, koji su ukupno iznosili približno 31 milijardu EUR. Tim će se sredstvima poduprijeti </w:t>
      </w:r>
      <w:hyperlink r:id="rId32" w:history="1">
        <w:r>
          <w:rPr>
            <w:rFonts w:ascii="Times New Roman" w:hAnsi="Times New Roman"/>
            <w:b/>
            <w:noProof/>
            <w:color w:val="0563C1"/>
            <w:sz w:val="24"/>
            <w:u w:val="single"/>
          </w:rPr>
          <w:t>Inovacijski fond</w:t>
        </w:r>
      </w:hyperlink>
      <w:r>
        <w:rPr>
          <w:rFonts w:ascii="Times New Roman" w:hAnsi="Times New Roman"/>
          <w:noProof/>
          <w:sz w:val="24"/>
        </w:rPr>
        <w:t xml:space="preserve"> i </w:t>
      </w:r>
      <w:hyperlink r:id="rId33" w:history="1">
        <w:r>
          <w:rPr>
            <w:rStyle w:val="Hyperlink"/>
            <w:rFonts w:ascii="Times New Roman" w:hAnsi="Times New Roman"/>
            <w:b/>
            <w:noProof/>
            <w:sz w:val="24"/>
          </w:rPr>
          <w:t>Fond za modernizaciju</w:t>
        </w:r>
      </w:hyperlink>
      <w:r>
        <w:rPr>
          <w:noProof/>
        </w:rPr>
        <w:t>;</w:t>
      </w:r>
      <w:r>
        <w:rPr>
          <w:rFonts w:ascii="Times New Roman" w:hAnsi="Times New Roman"/>
          <w:noProof/>
          <w:sz w:val="24"/>
        </w:rPr>
        <w:t xml:space="preserve">  </w:t>
      </w:r>
    </w:p>
    <w:p w14:paraId="6C960F3E" w14:textId="77777777" w:rsidR="002537FA" w:rsidRPr="00033F0B" w:rsidRDefault="002537FA" w:rsidP="00033F0B">
      <w:pPr>
        <w:numPr>
          <w:ilvl w:val="0"/>
          <w:numId w:val="12"/>
        </w:numPr>
        <w:spacing w:before="120" w:after="120" w:line="257" w:lineRule="auto"/>
        <w:ind w:left="426" w:hanging="426"/>
        <w:contextualSpacing/>
        <w:jc w:val="both"/>
        <w:rPr>
          <w:rFonts w:ascii="Times New Roman" w:eastAsia="MS Mincho" w:hAnsi="Times New Roman" w:cs="Times New Roman"/>
          <w:noProof/>
          <w:sz w:val="24"/>
          <w:szCs w:val="24"/>
        </w:rPr>
      </w:pPr>
      <w:r>
        <w:rPr>
          <w:rFonts w:ascii="Times New Roman" w:hAnsi="Times New Roman"/>
          <w:noProof/>
          <w:sz w:val="24"/>
        </w:rPr>
        <w:t xml:space="preserve">energetska učinkovitost, obnovljivi izvori energije i energetska infrastruktura podupiru se i </w:t>
      </w:r>
      <w:r>
        <w:rPr>
          <w:rFonts w:ascii="Times New Roman" w:hAnsi="Times New Roman"/>
          <w:b/>
          <w:noProof/>
          <w:sz w:val="24"/>
        </w:rPr>
        <w:t>zajedničkom poljoprivrednom politikom (ZPP)</w:t>
      </w:r>
      <w:r>
        <w:rPr>
          <w:rFonts w:ascii="Times New Roman" w:hAnsi="Times New Roman"/>
          <w:noProof/>
          <w:sz w:val="24"/>
        </w:rPr>
        <w:t xml:space="preserve"> u okviru </w:t>
      </w:r>
      <w:r>
        <w:rPr>
          <w:rFonts w:ascii="Times New Roman" w:hAnsi="Times New Roman"/>
          <w:b/>
          <w:noProof/>
          <w:sz w:val="24"/>
        </w:rPr>
        <w:t>Europskog poljoprivrednog fonda za ruralni razvoj (EPFRR)</w:t>
      </w:r>
      <w:r>
        <w:rPr>
          <w:rFonts w:ascii="Times New Roman" w:hAnsi="Times New Roman"/>
          <w:noProof/>
          <w:sz w:val="24"/>
        </w:rPr>
        <w:t>. Ovisno o utvrđenim potrebama i strategiji razvijenoj u okviru trenutačnih programa ruralnog razvoja ili budućim strateškim planovima ZPP-a države članice mogu poduprijeti ulaganja u proizvodnju energije iz obnovljivih izvora ili u poboljšanje energetske učinkovitosti za poljoprivredna gospodarstva, ali i za ruralna poduzeća.</w:t>
      </w:r>
    </w:p>
    <w:bookmarkEnd w:id="7"/>
    <w:p w14:paraId="53D39F9B" w14:textId="77777777" w:rsidR="002F2769" w:rsidRDefault="002F2769" w:rsidP="008A54AE">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Komisija podupire države članice i putem </w:t>
      </w:r>
      <w:r>
        <w:rPr>
          <w:rFonts w:ascii="Times New Roman" w:hAnsi="Times New Roman"/>
          <w:b/>
          <w:noProof/>
          <w:sz w:val="24"/>
        </w:rPr>
        <w:t>Instrumenta za tehničku potporu</w:t>
      </w:r>
      <w:r>
        <w:rPr>
          <w:rFonts w:ascii="Times New Roman" w:hAnsi="Times New Roman"/>
          <w:noProof/>
          <w:sz w:val="24"/>
        </w:rPr>
        <w:t xml:space="preserve"> pružanjem prilagođenog tehničko stručnog znanja za oblikovanje i provedbu reformi, uključujući prelazak na čistu energiju. Točnije, Komisija pomaže državama članicama da utvrde reforme i ulaganja za postupno ukidanje uvoza fosilnih goriva iz Rusije.</w:t>
      </w:r>
    </w:p>
    <w:p w14:paraId="789ECE4E" w14:textId="77777777" w:rsidR="00622209" w:rsidRPr="00577846" w:rsidRDefault="001E5705" w:rsidP="008A54AE">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Pokrenute </w:t>
      </w:r>
      <w:r>
        <w:rPr>
          <w:rFonts w:ascii="Times New Roman" w:hAnsi="Times New Roman"/>
          <w:b/>
          <w:noProof/>
          <w:sz w:val="24"/>
        </w:rPr>
        <w:t>inicijative EU-a</w:t>
      </w:r>
      <w:r>
        <w:rPr>
          <w:rFonts w:ascii="Times New Roman" w:hAnsi="Times New Roman"/>
          <w:noProof/>
          <w:sz w:val="24"/>
        </w:rPr>
        <w:t xml:space="preserve"> imaju važnu ulogu u mobiliziranju financiranja za prelazak na čistu energiju. Među njima su: </w:t>
      </w:r>
    </w:p>
    <w:p w14:paraId="7F5D6DBC" w14:textId="77777777" w:rsidR="00622209" w:rsidRPr="00577846" w:rsidRDefault="00440524" w:rsidP="008A54AE">
      <w:pPr>
        <w:pStyle w:val="ListParagraph"/>
        <w:numPr>
          <w:ilvl w:val="0"/>
          <w:numId w:val="16"/>
        </w:numPr>
        <w:spacing w:line="240" w:lineRule="auto"/>
        <w:ind w:left="426"/>
        <w:jc w:val="both"/>
        <w:rPr>
          <w:rFonts w:ascii="Times New Roman" w:eastAsia="Calibri" w:hAnsi="Times New Roman" w:cs="Times New Roman"/>
          <w:noProof/>
          <w:sz w:val="24"/>
          <w:szCs w:val="24"/>
        </w:rPr>
      </w:pPr>
      <w:hyperlink r:id="rId34" w:anchor="sustainable-energy-investment-forums">
        <w:r w:rsidR="00513D6E">
          <w:rPr>
            <w:rFonts w:ascii="Times New Roman" w:hAnsi="Times New Roman"/>
            <w:b/>
            <w:noProof/>
            <w:color w:val="0563C1"/>
            <w:sz w:val="24"/>
            <w:u w:val="single"/>
          </w:rPr>
          <w:t>forumi za ulaganja u održivu energiju</w:t>
        </w:r>
      </w:hyperlink>
      <w:r w:rsidR="00513D6E">
        <w:rPr>
          <w:rFonts w:ascii="Times New Roman" w:hAnsi="Times New Roman"/>
          <w:noProof/>
          <w:sz w:val="24"/>
        </w:rPr>
        <w:t>, vrlo uspješna inicijativa koja olakšava dijalog između javnih i privatnih dionika radi mobiliziranja privatnog financiranja za energetsku učinkovitost i ulaganja u održivu energiju,</w:t>
      </w:r>
    </w:p>
    <w:p w14:paraId="3E47B89D" w14:textId="77777777" w:rsidR="00622209" w:rsidRPr="00577846" w:rsidRDefault="00440524" w:rsidP="008A54AE">
      <w:pPr>
        <w:pStyle w:val="ListParagraph"/>
        <w:numPr>
          <w:ilvl w:val="0"/>
          <w:numId w:val="16"/>
        </w:numPr>
        <w:spacing w:line="240" w:lineRule="auto"/>
        <w:ind w:left="426"/>
        <w:jc w:val="both"/>
        <w:rPr>
          <w:rFonts w:ascii="Times New Roman" w:eastAsia="Calibri" w:hAnsi="Times New Roman" w:cs="Times New Roman"/>
          <w:noProof/>
          <w:sz w:val="24"/>
          <w:szCs w:val="24"/>
        </w:rPr>
      </w:pPr>
      <w:hyperlink r:id="rId35" w:history="1">
        <w:r w:rsidR="00513D6E">
          <w:rPr>
            <w:rFonts w:ascii="Times New Roman" w:hAnsi="Times New Roman"/>
            <w:b/>
            <w:noProof/>
            <w:color w:val="0563C1"/>
            <w:sz w:val="24"/>
            <w:u w:val="single"/>
          </w:rPr>
          <w:t>Grupa financijskih institucija za energetsku učinkovitost</w:t>
        </w:r>
      </w:hyperlink>
      <w:r w:rsidR="00513D6E">
        <w:rPr>
          <w:rFonts w:ascii="Times New Roman" w:hAnsi="Times New Roman"/>
          <w:noProof/>
          <w:sz w:val="24"/>
        </w:rPr>
        <w:t>, čija je ključna misija utvrditi prepreke financiranju energetske učinkovitosti i dati preporuke tijelima koja donose politike i financijskim institucijama o tome kako ih otkloniti,</w:t>
      </w:r>
      <w:r w:rsidR="00513D6E">
        <w:rPr>
          <w:rFonts w:ascii="Times New Roman" w:hAnsi="Times New Roman"/>
          <w:noProof/>
          <w:color w:val="0563C1"/>
          <w:sz w:val="24"/>
          <w:u w:val="single"/>
        </w:rPr>
        <w:t xml:space="preserve"> </w:t>
      </w:r>
    </w:p>
    <w:p w14:paraId="6082277D" w14:textId="77777777" w:rsidR="001E5705" w:rsidRPr="00577846" w:rsidRDefault="00440524" w:rsidP="008A54AE">
      <w:pPr>
        <w:pStyle w:val="ListParagraph"/>
        <w:numPr>
          <w:ilvl w:val="0"/>
          <w:numId w:val="16"/>
        </w:numPr>
        <w:spacing w:line="240" w:lineRule="auto"/>
        <w:ind w:left="426"/>
        <w:jc w:val="both"/>
        <w:rPr>
          <w:rFonts w:ascii="Times New Roman" w:eastAsia="Calibri" w:hAnsi="Times New Roman" w:cs="Times New Roman"/>
          <w:noProof/>
          <w:sz w:val="24"/>
          <w:szCs w:val="24"/>
        </w:rPr>
      </w:pPr>
      <w:hyperlink r:id="rId36" w:history="1">
        <w:r w:rsidR="00513D6E">
          <w:rPr>
            <w:rFonts w:ascii="Times New Roman" w:hAnsi="Times New Roman"/>
            <w:b/>
            <w:noProof/>
            <w:color w:val="0563C1"/>
            <w:sz w:val="24"/>
            <w:u w:val="single"/>
          </w:rPr>
          <w:t>Dijalog ulagača o energiji</w:t>
        </w:r>
      </w:hyperlink>
      <w:r w:rsidR="00513D6E">
        <w:rPr>
          <w:rFonts w:ascii="Times New Roman" w:hAnsi="Times New Roman"/>
          <w:noProof/>
          <w:sz w:val="24"/>
        </w:rPr>
        <w:t>, koji je 2022. pokrenut kao platforma dionika koja okuplja stručnjake u području energije i financija radi utvrđivanja prepreka ulaganju u energetski sektor, ocjenjivanja financijskih politika i instrumenata te predlaganja relevantnih rješenja.</w:t>
      </w:r>
    </w:p>
    <w:p w14:paraId="7C31D90C" w14:textId="77777777" w:rsidR="001E5705" w:rsidRPr="00577846" w:rsidRDefault="001E5705" w:rsidP="008A54AE">
      <w:pPr>
        <w:keepNext/>
        <w:spacing w:after="120" w:line="240" w:lineRule="auto"/>
        <w:jc w:val="both"/>
        <w:rPr>
          <w:rFonts w:ascii="Times New Roman" w:eastAsia="Times New Roman" w:hAnsi="Times New Roman" w:cs="Times New Roman"/>
          <w:b/>
          <w:bCs/>
          <w:noProof/>
          <w:color w:val="000000"/>
          <w:sz w:val="24"/>
          <w:szCs w:val="24"/>
          <w:shd w:val="clear" w:color="auto" w:fill="FFFFFF"/>
        </w:rPr>
      </w:pPr>
      <w:r>
        <w:rPr>
          <w:rFonts w:ascii="Times New Roman" w:hAnsi="Times New Roman"/>
          <w:b/>
          <w:noProof/>
          <w:color w:val="000000"/>
          <w:sz w:val="24"/>
          <w:shd w:val="clear" w:color="auto" w:fill="FFFFFF"/>
        </w:rPr>
        <w:t>Uključivanje klimatskih pitanja</w:t>
      </w:r>
    </w:p>
    <w:p w14:paraId="1F609E1E" w14:textId="77777777" w:rsidR="000746FB" w:rsidRPr="00577846" w:rsidRDefault="001E5705" w:rsidP="008A54AE">
      <w:pPr>
        <w:spacing w:after="120" w:line="240" w:lineRule="auto"/>
        <w:jc w:val="both"/>
        <w:rPr>
          <w:rFonts w:ascii="Times New Roman" w:eastAsia="MS Mincho" w:hAnsi="Times New Roman" w:cs="Times New Roman"/>
          <w:strike/>
          <w:noProof/>
          <w:sz w:val="24"/>
          <w:szCs w:val="24"/>
        </w:rPr>
      </w:pPr>
      <w:r>
        <w:rPr>
          <w:rFonts w:ascii="Times New Roman" w:hAnsi="Times New Roman"/>
          <w:b/>
          <w:bCs/>
          <w:noProof/>
          <w:color w:val="000000"/>
          <w:sz w:val="24"/>
        </w:rPr>
        <w:t>Najmanje 30 % proračuna EU-a za razdoblje 2021.–2027. dodijeljeno je za klimu</w:t>
      </w:r>
      <w:r>
        <w:rPr>
          <w:rFonts w:ascii="Times New Roman" w:hAnsi="Times New Roman"/>
          <w:noProof/>
          <w:sz w:val="24"/>
        </w:rPr>
        <w:t xml:space="preserve"> (u odnosu na 20 % za razdoblje 2014.–2020.).</w:t>
      </w:r>
      <w:r>
        <w:rPr>
          <w:rFonts w:ascii="Times New Roman" w:hAnsi="Times New Roman"/>
          <w:noProof/>
          <w:color w:val="000000"/>
          <w:sz w:val="24"/>
        </w:rPr>
        <w:t xml:space="preserve"> </w:t>
      </w:r>
      <w:r>
        <w:rPr>
          <w:rFonts w:ascii="Times New Roman" w:hAnsi="Times New Roman"/>
          <w:noProof/>
          <w:sz w:val="24"/>
        </w:rPr>
        <w:t>Ciljevi potrošnje u području klimatskih promjena određenih programa iznose 30 % ili više – Europski fond za regionalni razvoj (30 %), Obzor Europa (35 %), Kohezijski fond (37 %), Mehanizam za oporavak i otpornost (37 %), Instrument za povezivanje Europe (60 %), LIFE (61 %) i Fond za pravednu tranziciju (100 %). Države članice namijenile su 2021. u okviru planova za oporavak i otpornost 40 % za ulaganja u klimatsku politiku, znatno više od regulatorne obveze od 37 %.</w:t>
      </w:r>
    </w:p>
    <w:p w14:paraId="589EA902" w14:textId="77777777" w:rsidR="00EC722E" w:rsidRPr="00577846" w:rsidRDefault="00EC722E" w:rsidP="008A54AE">
      <w:pPr>
        <w:keepNext/>
        <w:spacing w:before="240" w:after="240" w:line="240" w:lineRule="auto"/>
        <w:ind w:left="482" w:hanging="482"/>
        <w:jc w:val="both"/>
        <w:outlineLvl w:val="0"/>
        <w:rPr>
          <w:rFonts w:ascii="Times New Roman" w:eastAsia="Times New Roman" w:hAnsi="Times New Roman" w:cs="Times New Roman"/>
          <w:b/>
          <w:noProof/>
          <w:sz w:val="24"/>
          <w:szCs w:val="20"/>
        </w:rPr>
      </w:pPr>
      <w:r>
        <w:rPr>
          <w:rFonts w:ascii="Times New Roman" w:hAnsi="Times New Roman"/>
          <w:b/>
          <w:noProof/>
          <w:sz w:val="24"/>
        </w:rPr>
        <w:t>4.3. Subvencije za energiju u EU-u</w:t>
      </w:r>
    </w:p>
    <w:p w14:paraId="59C68FD6" w14:textId="0A690B5A" w:rsidR="00EC722E" w:rsidRPr="00577846" w:rsidRDefault="00EC722E" w:rsidP="008A54AE">
      <w:pPr>
        <w:spacing w:line="240" w:lineRule="auto"/>
        <w:jc w:val="both"/>
        <w:rPr>
          <w:rFonts w:ascii="Times New Roman" w:eastAsia="Times New Roman" w:hAnsi="Times New Roman" w:cs="Times New Roman"/>
          <w:b/>
          <w:noProof/>
          <w:sz w:val="24"/>
          <w:szCs w:val="20"/>
        </w:rPr>
      </w:pPr>
      <w:r>
        <w:rPr>
          <w:rFonts w:ascii="Times New Roman" w:hAnsi="Times New Roman"/>
          <w:noProof/>
          <w:sz w:val="24"/>
        </w:rPr>
        <w:t>Tijekom posljednje dvije godine, u kontekstu ograničenja kretanja povezanih s pandemijom bolesti COVID-19, oporavka nakon pandemije te trenutačnih iznimno visokih i nestabilnih cijena energije, na energetskim tržištima zabilježena su neočekivana i iznenadna kretanja, koja su znatno utjecala na potrošnju i cijene energenata. U izvješću o subvencijama za energiju</w:t>
      </w:r>
      <w:r>
        <w:rPr>
          <w:rStyle w:val="FootnoteReference"/>
          <w:rFonts w:ascii="Times New Roman" w:hAnsi="Times New Roman" w:cs="Times New Roman"/>
          <w:noProof/>
          <w:sz w:val="24"/>
          <w:szCs w:val="24"/>
        </w:rPr>
        <w:footnoteReference w:id="62"/>
      </w:r>
      <w:r>
        <w:rPr>
          <w:rFonts w:ascii="Times New Roman" w:hAnsi="Times New Roman"/>
          <w:noProof/>
          <w:sz w:val="24"/>
        </w:rPr>
        <w:t xml:space="preserve"> koje će biti objavljeno u listopadu bit će iznesene: i. konačne, točnije brojke o razvoju subvencija za energiju tijekom 2020. u kojoj je izbila pandemija bolesti COVID-19 i ii. procjene utjecaja globalnog gospodarskog oporavka i visokih cijena energije na subvencije za energiju u 2021.</w:t>
      </w:r>
    </w:p>
    <w:p w14:paraId="3188E3FA" w14:textId="60CB6E67" w:rsidR="00EC722E" w:rsidRPr="00577846" w:rsidRDefault="00EC722E" w:rsidP="008A54AE">
      <w:pPr>
        <w:spacing w:line="240" w:lineRule="auto"/>
        <w:jc w:val="both"/>
        <w:rPr>
          <w:rFonts w:ascii="Times New Roman" w:hAnsi="Times New Roman" w:cs="Times New Roman"/>
          <w:noProof/>
          <w:sz w:val="24"/>
          <w:szCs w:val="24"/>
        </w:rPr>
      </w:pPr>
      <w:r>
        <w:rPr>
          <w:rFonts w:ascii="Times New Roman" w:hAnsi="Times New Roman"/>
          <w:b/>
          <w:noProof/>
          <w:sz w:val="24"/>
        </w:rPr>
        <w:t>Subvencije za fosilna goriva u EU-u, nakon što su se 2020. smanjile za više od 5 %</w:t>
      </w:r>
      <w:r>
        <w:rPr>
          <w:rFonts w:ascii="Times New Roman" w:hAnsi="Times New Roman"/>
          <w:noProof/>
          <w:sz w:val="24"/>
        </w:rPr>
        <w:t xml:space="preserve"> zbog ograničenja kretanja i putovanja za ljude i poduzeća, </w:t>
      </w:r>
      <w:r>
        <w:rPr>
          <w:rFonts w:ascii="Times New Roman" w:hAnsi="Times New Roman"/>
          <w:b/>
          <w:noProof/>
          <w:sz w:val="24"/>
        </w:rPr>
        <w:t>ostale su prilično stabilne 2021.</w:t>
      </w:r>
      <w:r>
        <w:rPr>
          <w:rFonts w:ascii="Times New Roman" w:hAnsi="Times New Roman"/>
          <w:noProof/>
          <w:sz w:val="24"/>
        </w:rPr>
        <w:t xml:space="preserve"> jer se povećanje u sektoru prometa i industrije nadoknadilo smanjenjem subvencija za fosilna goriva u energetskom sektoru. Subvencije za </w:t>
      </w:r>
      <w:r>
        <w:rPr>
          <w:rFonts w:ascii="Times New Roman" w:hAnsi="Times New Roman"/>
          <w:i/>
          <w:noProof/>
          <w:sz w:val="24"/>
        </w:rPr>
        <w:t>naftne derivate</w:t>
      </w:r>
      <w:r>
        <w:rPr>
          <w:rFonts w:ascii="Times New Roman" w:hAnsi="Times New Roman"/>
          <w:noProof/>
          <w:sz w:val="24"/>
        </w:rPr>
        <w:t xml:space="preserve">, posebno u sektoru prometa, smanjile su se 2020. za 12 %, a subvencije za </w:t>
      </w:r>
      <w:r>
        <w:rPr>
          <w:rFonts w:ascii="Times New Roman" w:hAnsi="Times New Roman"/>
          <w:i/>
          <w:noProof/>
          <w:sz w:val="24"/>
        </w:rPr>
        <w:t>ugljen</w:t>
      </w:r>
      <w:r>
        <w:rPr>
          <w:rFonts w:ascii="Times New Roman" w:hAnsi="Times New Roman"/>
          <w:noProof/>
          <w:sz w:val="24"/>
        </w:rPr>
        <w:t xml:space="preserve"> povećale su se za 7 % uslijed neznatnog smanjenja subvencija za plin (za 2 %) na godišnjoj razini zbog njihove uloge u proizvodnji električne energije. </w:t>
      </w:r>
      <w:r>
        <w:rPr>
          <w:rFonts w:ascii="Times New Roman" w:hAnsi="Times New Roman"/>
          <w:b/>
          <w:noProof/>
          <w:sz w:val="24"/>
        </w:rPr>
        <w:t>Subvencije za naftu, ugljen i plin neznatno su se povećale 2021.</w:t>
      </w:r>
      <w:r>
        <w:rPr>
          <w:rFonts w:ascii="Times New Roman" w:hAnsi="Times New Roman"/>
          <w:noProof/>
          <w:sz w:val="24"/>
        </w:rPr>
        <w:t xml:space="preserve">, a </w:t>
      </w:r>
      <w:r>
        <w:rPr>
          <w:rFonts w:ascii="Times New Roman" w:hAnsi="Times New Roman"/>
          <w:b/>
          <w:noProof/>
          <w:sz w:val="24"/>
        </w:rPr>
        <w:t>subvencije za proizvodnju električne energije iz fosilnih goriva smanjile su se</w:t>
      </w:r>
      <w:r>
        <w:rPr>
          <w:rFonts w:ascii="Times New Roman" w:hAnsi="Times New Roman"/>
          <w:noProof/>
          <w:sz w:val="24"/>
        </w:rPr>
        <w:t>. Od jeseni 2021., usporedo s povećanjem cijena energije na europskim tržištima, nekoliko je država članica EU-a poduzelo mjere za ublažavanje utjecaja računa za energiju na građane i poduzeća, što je dovelo do većih subvencija za potrošnju energije.</w:t>
      </w:r>
    </w:p>
    <w:p w14:paraId="6B9EC27D" w14:textId="2BD200AC" w:rsidR="00EC722E" w:rsidRPr="00577846" w:rsidRDefault="00EC722E" w:rsidP="008A54AE">
      <w:pPr>
        <w:spacing w:line="240" w:lineRule="auto"/>
        <w:jc w:val="both"/>
        <w:rPr>
          <w:rFonts w:ascii="Times New Roman" w:hAnsi="Times New Roman" w:cs="Times New Roman"/>
          <w:b/>
          <w:noProof/>
          <w:sz w:val="20"/>
          <w:szCs w:val="20"/>
        </w:rPr>
      </w:pPr>
      <w:r>
        <w:rPr>
          <w:rFonts w:ascii="Times New Roman" w:hAnsi="Times New Roman"/>
          <w:noProof/>
          <w:sz w:val="24"/>
        </w:rPr>
        <w:t xml:space="preserve">Subvencije za </w:t>
      </w:r>
      <w:r>
        <w:rPr>
          <w:rFonts w:ascii="Times New Roman" w:hAnsi="Times New Roman"/>
          <w:i/>
          <w:noProof/>
          <w:sz w:val="24"/>
        </w:rPr>
        <w:t>energiju iz obnovljivih izvora</w:t>
      </w:r>
      <w:r>
        <w:rPr>
          <w:rFonts w:ascii="Times New Roman" w:hAnsi="Times New Roman"/>
          <w:noProof/>
          <w:sz w:val="24"/>
        </w:rPr>
        <w:t xml:space="preserve"> 2020. povećale su se za 7 % jer su dugotrajni programi potpore i dalje imali mjerljiv učinak, ali 2021. neznatno su se smanjile. Broj subvencija za energetsku učinkovitost smanjio se 2020., ali ponovno se povećao 2021. Subvencije za </w:t>
      </w:r>
      <w:r>
        <w:rPr>
          <w:rFonts w:ascii="Times New Roman" w:hAnsi="Times New Roman"/>
          <w:i/>
          <w:noProof/>
          <w:sz w:val="24"/>
        </w:rPr>
        <w:t>nuklearnu</w:t>
      </w:r>
      <w:r>
        <w:rPr>
          <w:rFonts w:ascii="Times New Roman" w:hAnsi="Times New Roman"/>
          <w:noProof/>
          <w:sz w:val="24"/>
        </w:rPr>
        <w:t xml:space="preserve"> energiju nastavile su se povećavati zbog isplata za prijevremeno zatvaranje nuklearnih elektrana u dvjema državama članicama.</w:t>
      </w:r>
    </w:p>
    <w:p w14:paraId="449818FD" w14:textId="570EBE07" w:rsidR="00EC722E" w:rsidRPr="00577846" w:rsidRDefault="00DB56FE" w:rsidP="008A54AE">
      <w:pPr>
        <w:tabs>
          <w:tab w:val="left" w:pos="8138"/>
        </w:tabs>
        <w:spacing w:after="0" w:line="240" w:lineRule="auto"/>
        <w:jc w:val="center"/>
        <w:rPr>
          <w:noProof/>
        </w:rPr>
      </w:pPr>
      <w:r w:rsidRPr="00DB56FE">
        <w:rPr>
          <w:rFonts w:ascii="Times New Roman" w:hAnsi="Times New Roman"/>
          <w:b/>
          <w:noProof/>
          <w:sz w:val="24"/>
          <w:lang w:val="en-GB" w:eastAsia="en-GB"/>
        </w:rPr>
        <w:drawing>
          <wp:inline distT="0" distB="0" distL="0" distR="0" wp14:anchorId="634B9BF1" wp14:editId="021D5B99">
            <wp:extent cx="5731510" cy="3583484"/>
            <wp:effectExtent l="0" t="0" r="2540" b="0"/>
            <wp:docPr id="15" name="Picture 15" descr="\\net1.cec.eu.int\Homes\02\bekiciv\Desktop\SR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t1.cec.eu.int\Homes\02\bekiciv\Desktop\SRC\5.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3583484"/>
                    </a:xfrm>
                    <a:prstGeom prst="rect">
                      <a:avLst/>
                    </a:prstGeom>
                    <a:noFill/>
                    <a:ln>
                      <a:noFill/>
                    </a:ln>
                  </pic:spPr>
                </pic:pic>
              </a:graphicData>
            </a:graphic>
          </wp:inline>
        </w:drawing>
      </w:r>
    </w:p>
    <w:p w14:paraId="1A038B30" w14:textId="7C3F0A6A" w:rsidR="00D83744" w:rsidRDefault="00D47ACE" w:rsidP="00D47ACE">
      <w:pPr>
        <w:spacing w:after="0" w:line="240" w:lineRule="auto"/>
        <w:jc w:val="both"/>
        <w:rPr>
          <w:rFonts w:ascii="Times New Roman" w:eastAsia="Times New Roman" w:hAnsi="Times New Roman" w:cs="Times New Roman"/>
          <w:bCs/>
          <w:i/>
          <w:iCs/>
          <w:noProof/>
          <w:sz w:val="20"/>
          <w:szCs w:val="20"/>
        </w:rPr>
      </w:pPr>
      <w:r>
        <w:rPr>
          <w:rFonts w:ascii="Times New Roman" w:hAnsi="Times New Roman"/>
          <w:i/>
          <w:noProof/>
          <w:sz w:val="20"/>
        </w:rPr>
        <w:t>Slika 5. Subvencije za fosilna goriva u različitim sektorima u EU-u. Izvor: Studija o subvencijama za energiju i drugim državnim intervencijama u Europskoj uniji 2022.</w:t>
      </w:r>
    </w:p>
    <w:p w14:paraId="62B10859" w14:textId="2A129EDB" w:rsidR="00D83744" w:rsidRPr="00D83744" w:rsidRDefault="00382A58" w:rsidP="00903C42">
      <w:pPr>
        <w:rPr>
          <w:rFonts w:ascii="Times New Roman" w:hAnsi="Times New Roman"/>
          <w:b/>
          <w:noProof/>
          <w:sz w:val="24"/>
          <w:szCs w:val="24"/>
        </w:rPr>
      </w:pPr>
      <w:r>
        <w:rPr>
          <w:noProof/>
        </w:rPr>
        <w:br w:type="page"/>
      </w:r>
      <w:r>
        <w:rPr>
          <w:rFonts w:ascii="Times New Roman" w:hAnsi="Times New Roman"/>
          <w:b/>
          <w:noProof/>
          <w:sz w:val="24"/>
        </w:rPr>
        <w:t>Prilog I. – Pregled mjera poduzetih s obzirom na rast cijena energije od listopada 2021.</w:t>
      </w:r>
    </w:p>
    <w:p w14:paraId="6724775C" w14:textId="09C94FB0" w:rsidR="00D83744" w:rsidRDefault="00D83744" w:rsidP="00D83744">
      <w:pPr>
        <w:jc w:val="center"/>
        <w:rPr>
          <w:rFonts w:ascii="Times New Roman" w:hAnsi="Times New Roman"/>
          <w:b/>
          <w:noProof/>
          <w:sz w:val="24"/>
          <w:szCs w:val="24"/>
        </w:rPr>
      </w:pPr>
    </w:p>
    <w:p w14:paraId="0B02D5B4" w14:textId="6C101321" w:rsidR="00903C42" w:rsidRPr="00A93F1A" w:rsidRDefault="005528F6" w:rsidP="00D83744">
      <w:pPr>
        <w:jc w:val="center"/>
        <w:rPr>
          <w:rFonts w:ascii="Times New Roman" w:hAnsi="Times New Roman"/>
          <w:b/>
          <w:noProof/>
          <w:sz w:val="24"/>
          <w:szCs w:val="24"/>
        </w:rPr>
      </w:pPr>
      <w:r w:rsidRPr="005528F6">
        <w:rPr>
          <w:rFonts w:ascii="Times New Roman" w:hAnsi="Times New Roman"/>
          <w:b/>
          <w:noProof/>
          <w:sz w:val="24"/>
          <w:szCs w:val="24"/>
          <w:lang w:val="en-GB" w:eastAsia="en-GB"/>
        </w:rPr>
        <w:drawing>
          <wp:inline distT="0" distB="0" distL="0" distR="0" wp14:anchorId="6A3F31F5" wp14:editId="7691D444">
            <wp:extent cx="5731510" cy="2607906"/>
            <wp:effectExtent l="0" t="0" r="2540" b="2540"/>
            <wp:docPr id="18" name="Picture 18" descr="\\net1.cec.eu.int\Homes\02\bekiciv\Desktop\SR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t1.cec.eu.int\Homes\02\bekiciv\Desktop\SRC\6.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31510" cy="2607906"/>
                    </a:xfrm>
                    <a:prstGeom prst="rect">
                      <a:avLst/>
                    </a:prstGeom>
                    <a:noFill/>
                    <a:ln>
                      <a:noFill/>
                    </a:ln>
                  </pic:spPr>
                </pic:pic>
              </a:graphicData>
            </a:graphic>
          </wp:inline>
        </w:drawing>
      </w:r>
    </w:p>
    <w:p w14:paraId="7D03ECDE" w14:textId="44859CC8" w:rsidR="00D83744" w:rsidRPr="00A93F1A" w:rsidRDefault="00F95DB4" w:rsidP="00D83744">
      <w:pPr>
        <w:rPr>
          <w:rFonts w:ascii="Times New Roman" w:hAnsi="Times New Roman"/>
          <w:noProof/>
          <w:sz w:val="24"/>
          <w:szCs w:val="24"/>
        </w:rPr>
      </w:pPr>
      <w:r>
        <w:rPr>
          <w:rFonts w:ascii="Times New Roman" w:hAnsi="Times New Roman"/>
          <w:noProof/>
          <w:sz w:val="24"/>
        </w:rPr>
        <w:t xml:space="preserve"> </w:t>
      </w:r>
    </w:p>
    <w:p w14:paraId="1AA308CC" w14:textId="77777777" w:rsidR="00D83744" w:rsidRPr="00A93F1A" w:rsidRDefault="00D83744" w:rsidP="00D83744">
      <w:pPr>
        <w:pStyle w:val="ListParagraph"/>
        <w:numPr>
          <w:ilvl w:val="0"/>
          <w:numId w:val="23"/>
        </w:numPr>
        <w:spacing w:before="360" w:after="120"/>
        <w:ind w:left="357" w:hanging="357"/>
        <w:contextualSpacing w:val="0"/>
        <w:rPr>
          <w:rFonts w:ascii="Times New Roman" w:hAnsi="Times New Roman" w:cs="Times New Roman"/>
          <w:b/>
          <w:noProof/>
          <w:sz w:val="24"/>
          <w:szCs w:val="24"/>
        </w:rPr>
      </w:pPr>
      <w:r>
        <w:rPr>
          <w:rFonts w:ascii="Times New Roman" w:hAnsi="Times New Roman"/>
          <w:b/>
          <w:noProof/>
          <w:sz w:val="24"/>
        </w:rPr>
        <w:t>Paket mjera za djelovanje i potporu, 13. listopada 2021.:</w:t>
      </w:r>
    </w:p>
    <w:p w14:paraId="7B952F3B" w14:textId="77777777" w:rsidR="00D83744" w:rsidRPr="000071F0" w:rsidRDefault="00D83744" w:rsidP="00D83744">
      <w:pPr>
        <w:pStyle w:val="ListParagraph"/>
        <w:numPr>
          <w:ilvl w:val="0"/>
          <w:numId w:val="22"/>
        </w:numPr>
        <w:rPr>
          <w:rFonts w:ascii="Times New Roman" w:hAnsi="Times New Roman" w:cs="Times New Roman"/>
          <w:b/>
          <w:noProof/>
          <w:sz w:val="24"/>
          <w:szCs w:val="24"/>
        </w:rPr>
      </w:pPr>
      <w:r>
        <w:rPr>
          <w:rFonts w:ascii="Times New Roman" w:hAnsi="Times New Roman"/>
          <w:b/>
          <w:noProof/>
          <w:sz w:val="24"/>
        </w:rPr>
        <w:t xml:space="preserve">poduprijeti potrošače, </w:t>
      </w:r>
      <w:r>
        <w:rPr>
          <w:rFonts w:ascii="Times New Roman" w:hAnsi="Times New Roman"/>
          <w:noProof/>
          <w:sz w:val="24"/>
        </w:rPr>
        <w:t xml:space="preserve">među ostalim putem </w:t>
      </w:r>
      <w:r>
        <w:rPr>
          <w:rFonts w:ascii="Times New Roman" w:hAnsi="Times New Roman"/>
          <w:b/>
          <w:noProof/>
          <w:sz w:val="24"/>
        </w:rPr>
        <w:t xml:space="preserve">hitne potpore dohotku </w:t>
      </w:r>
      <w:r>
        <w:rPr>
          <w:rFonts w:ascii="Times New Roman" w:hAnsi="Times New Roman"/>
          <w:noProof/>
          <w:sz w:val="24"/>
        </w:rPr>
        <w:t>za potrošače pogođene energetskim siromaštvom,</w:t>
      </w:r>
      <w:r>
        <w:rPr>
          <w:rFonts w:ascii="Times New Roman" w:hAnsi="Times New Roman"/>
          <w:b/>
          <w:noProof/>
          <w:sz w:val="24"/>
        </w:rPr>
        <w:t xml:space="preserve"> </w:t>
      </w:r>
      <w:r>
        <w:rPr>
          <w:rFonts w:ascii="Times New Roman" w:hAnsi="Times New Roman"/>
          <w:noProof/>
          <w:sz w:val="24"/>
        </w:rPr>
        <w:t xml:space="preserve">privremenim ciljanim </w:t>
      </w:r>
      <w:r>
        <w:rPr>
          <w:rFonts w:ascii="Times New Roman" w:hAnsi="Times New Roman"/>
          <w:b/>
          <w:noProof/>
          <w:sz w:val="24"/>
        </w:rPr>
        <w:t>smanjenjima poreznih stopa</w:t>
      </w:r>
      <w:r>
        <w:rPr>
          <w:rFonts w:ascii="Times New Roman" w:hAnsi="Times New Roman"/>
          <w:noProof/>
          <w:sz w:val="24"/>
        </w:rPr>
        <w:t xml:space="preserve"> za ranjiva kućanstva, odobravanjem privremene </w:t>
      </w:r>
      <w:r>
        <w:rPr>
          <w:rFonts w:ascii="Times New Roman" w:hAnsi="Times New Roman"/>
          <w:b/>
          <w:noProof/>
          <w:sz w:val="24"/>
        </w:rPr>
        <w:t>odgode plaćanja računa</w:t>
      </w:r>
      <w:r>
        <w:rPr>
          <w:rFonts w:ascii="Times New Roman" w:hAnsi="Times New Roman"/>
          <w:noProof/>
          <w:sz w:val="24"/>
        </w:rPr>
        <w:t xml:space="preserve"> i uspostavom zaštitnih mjera </w:t>
      </w:r>
      <w:r>
        <w:rPr>
          <w:rFonts w:ascii="Times New Roman" w:hAnsi="Times New Roman"/>
          <w:b/>
          <w:noProof/>
          <w:sz w:val="24"/>
        </w:rPr>
        <w:t>kako bi se izbjegla isključenja iz mreže</w:t>
      </w:r>
      <w:r>
        <w:rPr>
          <w:rFonts w:ascii="Times New Roman" w:hAnsi="Times New Roman"/>
          <w:noProof/>
          <w:sz w:val="24"/>
        </w:rPr>
        <w:t>,</w:t>
      </w:r>
    </w:p>
    <w:p w14:paraId="2541E252" w14:textId="77777777" w:rsidR="00D83744" w:rsidRPr="00EC7C03" w:rsidRDefault="00D83744" w:rsidP="00D83744">
      <w:pPr>
        <w:pStyle w:val="ListParagraph"/>
        <w:numPr>
          <w:ilvl w:val="0"/>
          <w:numId w:val="22"/>
        </w:numPr>
        <w:rPr>
          <w:rFonts w:ascii="Times New Roman" w:hAnsi="Times New Roman" w:cs="Times New Roman"/>
          <w:noProof/>
          <w:sz w:val="24"/>
          <w:szCs w:val="24"/>
        </w:rPr>
      </w:pPr>
      <w:r>
        <w:rPr>
          <w:rFonts w:ascii="Times New Roman" w:hAnsi="Times New Roman"/>
          <w:b/>
          <w:noProof/>
          <w:sz w:val="24"/>
        </w:rPr>
        <w:t>pružiti potporu poduzećima ili sektorima</w:t>
      </w:r>
      <w:r>
        <w:rPr>
          <w:rFonts w:ascii="Times New Roman" w:hAnsi="Times New Roman"/>
          <w:noProof/>
          <w:sz w:val="24"/>
        </w:rPr>
        <w:t xml:space="preserve"> u skladu s pravilima EU-a o državnim potporama,</w:t>
      </w:r>
    </w:p>
    <w:p w14:paraId="6B942F3D" w14:textId="77777777" w:rsidR="00D83744" w:rsidRPr="00A93F1A" w:rsidRDefault="00D83744" w:rsidP="00D83744">
      <w:pPr>
        <w:pStyle w:val="ListParagraph"/>
        <w:numPr>
          <w:ilvl w:val="0"/>
          <w:numId w:val="22"/>
        </w:numPr>
        <w:rPr>
          <w:rFonts w:ascii="Times New Roman" w:hAnsi="Times New Roman" w:cs="Times New Roman"/>
          <w:noProof/>
          <w:sz w:val="24"/>
          <w:szCs w:val="24"/>
        </w:rPr>
      </w:pPr>
      <w:r>
        <w:rPr>
          <w:rFonts w:ascii="Times New Roman" w:hAnsi="Times New Roman"/>
          <w:b/>
          <w:noProof/>
          <w:sz w:val="24"/>
        </w:rPr>
        <w:t>poboljšati međunarodnu suradnju u području energetike</w:t>
      </w:r>
      <w:r>
        <w:rPr>
          <w:rFonts w:ascii="Times New Roman" w:hAnsi="Times New Roman"/>
          <w:noProof/>
          <w:sz w:val="24"/>
        </w:rPr>
        <w:t xml:space="preserve"> kako bi se osigurala transparentnost, likvidnost i fleksibilnost međunarodnih tržišta,</w:t>
      </w:r>
    </w:p>
    <w:p w14:paraId="2EE533FE" w14:textId="77777777" w:rsidR="00D83744" w:rsidRPr="00A93F1A" w:rsidRDefault="00D83744" w:rsidP="00D83744">
      <w:pPr>
        <w:pStyle w:val="ListParagraph"/>
        <w:numPr>
          <w:ilvl w:val="0"/>
          <w:numId w:val="22"/>
        </w:numPr>
        <w:rPr>
          <w:rFonts w:ascii="Times New Roman" w:hAnsi="Times New Roman" w:cs="Times New Roman"/>
          <w:noProof/>
          <w:sz w:val="24"/>
          <w:szCs w:val="24"/>
        </w:rPr>
      </w:pPr>
      <w:r>
        <w:rPr>
          <w:rFonts w:ascii="Times New Roman" w:hAnsi="Times New Roman"/>
          <w:b/>
          <w:noProof/>
          <w:sz w:val="24"/>
        </w:rPr>
        <w:t>istražiti moguće protutržišno ponašanje</w:t>
      </w:r>
      <w:r>
        <w:rPr>
          <w:rFonts w:ascii="Times New Roman" w:hAnsi="Times New Roman"/>
          <w:noProof/>
          <w:sz w:val="24"/>
        </w:rPr>
        <w:t xml:space="preserve"> na energetskom tržištu i poboljšati praćenje kretanja na tržištu ugljika,</w:t>
      </w:r>
    </w:p>
    <w:p w14:paraId="2A08626E" w14:textId="77777777" w:rsidR="00D83744" w:rsidRPr="00A93F1A" w:rsidRDefault="00D83744" w:rsidP="00D83744">
      <w:pPr>
        <w:pStyle w:val="ListParagraph"/>
        <w:numPr>
          <w:ilvl w:val="0"/>
          <w:numId w:val="22"/>
        </w:numPr>
        <w:rPr>
          <w:rFonts w:ascii="Times New Roman" w:hAnsi="Times New Roman" w:cs="Times New Roman"/>
          <w:noProof/>
          <w:sz w:val="24"/>
          <w:szCs w:val="24"/>
        </w:rPr>
      </w:pPr>
      <w:r>
        <w:rPr>
          <w:rFonts w:ascii="Times New Roman" w:hAnsi="Times New Roman"/>
          <w:noProof/>
          <w:sz w:val="24"/>
        </w:rPr>
        <w:t xml:space="preserve">olakšati </w:t>
      </w:r>
      <w:r>
        <w:rPr>
          <w:rFonts w:ascii="Times New Roman" w:hAnsi="Times New Roman"/>
          <w:b/>
          <w:noProof/>
          <w:sz w:val="24"/>
        </w:rPr>
        <w:t>većem broju dionika pristup ugovorima o kupnji energije iz obnovljivih izvora</w:t>
      </w:r>
      <w:r>
        <w:rPr>
          <w:rFonts w:ascii="Times New Roman" w:hAnsi="Times New Roman"/>
          <w:noProof/>
          <w:sz w:val="24"/>
        </w:rPr>
        <w:t xml:space="preserve"> i poduprijeti ih pratećim mjerama.</w:t>
      </w:r>
    </w:p>
    <w:p w14:paraId="1EB4D08F" w14:textId="77777777" w:rsidR="00D83744" w:rsidRPr="00A93F1A" w:rsidRDefault="00D83744" w:rsidP="00D83744">
      <w:pPr>
        <w:pStyle w:val="ListParagraph"/>
        <w:numPr>
          <w:ilvl w:val="0"/>
          <w:numId w:val="23"/>
        </w:numPr>
        <w:spacing w:before="360" w:after="120"/>
        <w:ind w:left="357" w:hanging="357"/>
        <w:contextualSpacing w:val="0"/>
        <w:rPr>
          <w:rFonts w:ascii="Times New Roman" w:hAnsi="Times New Roman" w:cs="Times New Roman"/>
          <w:b/>
          <w:noProof/>
          <w:sz w:val="24"/>
          <w:szCs w:val="24"/>
        </w:rPr>
      </w:pPr>
      <w:r>
        <w:rPr>
          <w:rFonts w:ascii="Times New Roman" w:hAnsi="Times New Roman"/>
          <w:b/>
          <w:noProof/>
          <w:sz w:val="24"/>
        </w:rPr>
        <w:t>Komunikacija „Plan REPowerEU”, 8. ožujka 2022.:</w:t>
      </w:r>
    </w:p>
    <w:p w14:paraId="19B1B313" w14:textId="77777777" w:rsidR="00D83744" w:rsidRPr="00A93F1A" w:rsidRDefault="00D83744" w:rsidP="00D83744">
      <w:pPr>
        <w:pStyle w:val="ListParagraph"/>
        <w:numPr>
          <w:ilvl w:val="0"/>
          <w:numId w:val="22"/>
        </w:numPr>
        <w:rPr>
          <w:rFonts w:ascii="Times New Roman" w:hAnsi="Times New Roman" w:cs="Times New Roman"/>
          <w:noProof/>
          <w:sz w:val="24"/>
          <w:szCs w:val="24"/>
        </w:rPr>
      </w:pPr>
      <w:r>
        <w:rPr>
          <w:rFonts w:ascii="Times New Roman" w:hAnsi="Times New Roman"/>
          <w:b/>
          <w:noProof/>
          <w:sz w:val="24"/>
        </w:rPr>
        <w:t>potrošači:</w:t>
      </w:r>
      <w:r>
        <w:rPr>
          <w:rFonts w:ascii="Times New Roman" w:hAnsi="Times New Roman"/>
          <w:noProof/>
          <w:sz w:val="24"/>
        </w:rPr>
        <w:t xml:space="preserve"> sadržava smjernice kojima se potvrđuje mogućnost </w:t>
      </w:r>
      <w:r>
        <w:rPr>
          <w:rFonts w:ascii="Times New Roman" w:hAnsi="Times New Roman"/>
          <w:b/>
          <w:noProof/>
          <w:sz w:val="24"/>
        </w:rPr>
        <w:t>reguliranja cijena za u iznimnim okolnostima</w:t>
      </w:r>
      <w:r>
        <w:rPr>
          <w:rFonts w:ascii="Times New Roman" w:hAnsi="Times New Roman"/>
          <w:noProof/>
          <w:sz w:val="24"/>
        </w:rPr>
        <w:t xml:space="preserve"> te se u njoj utvrđuje kako države članice mogu na potrošače </w:t>
      </w:r>
      <w:r>
        <w:rPr>
          <w:rFonts w:ascii="Times New Roman" w:hAnsi="Times New Roman"/>
          <w:b/>
          <w:noProof/>
          <w:sz w:val="24"/>
        </w:rPr>
        <w:t>preraspodijeliti prihode</w:t>
      </w:r>
      <w:r>
        <w:rPr>
          <w:rFonts w:ascii="Times New Roman" w:hAnsi="Times New Roman"/>
          <w:noProof/>
          <w:sz w:val="24"/>
        </w:rPr>
        <w:t xml:space="preserve"> od velike dobiti energetskog sektora i trgovanja emisijama,</w:t>
      </w:r>
    </w:p>
    <w:p w14:paraId="512FB16C" w14:textId="77777777" w:rsidR="00D83744" w:rsidRDefault="00D83744" w:rsidP="00D83744">
      <w:pPr>
        <w:pStyle w:val="ListParagraph"/>
        <w:numPr>
          <w:ilvl w:val="0"/>
          <w:numId w:val="22"/>
        </w:numPr>
        <w:rPr>
          <w:rFonts w:ascii="Times New Roman" w:hAnsi="Times New Roman" w:cs="Times New Roman"/>
          <w:noProof/>
          <w:sz w:val="24"/>
          <w:szCs w:val="24"/>
        </w:rPr>
      </w:pPr>
      <w:r>
        <w:rPr>
          <w:rFonts w:ascii="Times New Roman" w:hAnsi="Times New Roman"/>
          <w:b/>
          <w:noProof/>
          <w:sz w:val="24"/>
        </w:rPr>
        <w:t xml:space="preserve">pravila o državnim potporama: </w:t>
      </w:r>
      <w:r>
        <w:rPr>
          <w:rFonts w:ascii="Times New Roman" w:hAnsi="Times New Roman"/>
          <w:noProof/>
          <w:sz w:val="24"/>
        </w:rPr>
        <w:t>savjetovanje Komisije s državama članicama o potrebama i području primjene</w:t>
      </w:r>
      <w:r>
        <w:rPr>
          <w:rFonts w:ascii="Times New Roman" w:hAnsi="Times New Roman"/>
          <w:b/>
          <w:noProof/>
          <w:sz w:val="24"/>
        </w:rPr>
        <w:t xml:space="preserve"> novog privremenog okvira za državne potpore u kriznim situacijama </w:t>
      </w:r>
      <w:r>
        <w:rPr>
          <w:rFonts w:ascii="Times New Roman" w:hAnsi="Times New Roman"/>
          <w:noProof/>
          <w:sz w:val="24"/>
        </w:rPr>
        <w:t>za dodjelu potpore poduzećima pogođenima krizom, posebno onima koja su suočena s visokim troškovima energije,</w:t>
      </w:r>
    </w:p>
    <w:p w14:paraId="2DB66E0D" w14:textId="77777777" w:rsidR="00D83744" w:rsidRDefault="00D83744" w:rsidP="00D83744">
      <w:pPr>
        <w:pStyle w:val="ListParagraph"/>
        <w:numPr>
          <w:ilvl w:val="0"/>
          <w:numId w:val="22"/>
        </w:numPr>
        <w:rPr>
          <w:rFonts w:ascii="Times New Roman" w:hAnsi="Times New Roman" w:cs="Times New Roman"/>
          <w:noProof/>
          <w:sz w:val="24"/>
          <w:szCs w:val="24"/>
        </w:rPr>
      </w:pPr>
      <w:r>
        <w:rPr>
          <w:rFonts w:ascii="Times New Roman" w:hAnsi="Times New Roman"/>
          <w:b/>
          <w:noProof/>
          <w:sz w:val="24"/>
        </w:rPr>
        <w:t>najava</w:t>
      </w:r>
      <w:r>
        <w:rPr>
          <w:rFonts w:ascii="Times New Roman" w:hAnsi="Times New Roman"/>
          <w:noProof/>
          <w:sz w:val="24"/>
        </w:rPr>
        <w:t xml:space="preserve"> zakonodavnog prijedloga </w:t>
      </w:r>
      <w:r>
        <w:rPr>
          <w:rFonts w:ascii="Times New Roman" w:hAnsi="Times New Roman"/>
          <w:b/>
          <w:noProof/>
          <w:sz w:val="24"/>
        </w:rPr>
        <w:t>Uredbe o skladištenju plina, plana RePowerEU</w:t>
      </w:r>
      <w:r>
        <w:rPr>
          <w:rFonts w:ascii="Times New Roman" w:hAnsi="Times New Roman"/>
          <w:noProof/>
          <w:sz w:val="24"/>
        </w:rPr>
        <w:t xml:space="preserve"> i procjena mogućnosti za </w:t>
      </w:r>
      <w:r>
        <w:rPr>
          <w:rFonts w:ascii="Times New Roman" w:hAnsi="Times New Roman"/>
          <w:b/>
          <w:noProof/>
          <w:sz w:val="24"/>
        </w:rPr>
        <w:t>optimizaciju modela tržišta električne energije.</w:t>
      </w:r>
    </w:p>
    <w:p w14:paraId="6A1D3AA7" w14:textId="77777777" w:rsidR="00D83744" w:rsidRPr="00A93F1A" w:rsidRDefault="00D83744" w:rsidP="00D83744">
      <w:pPr>
        <w:pStyle w:val="ListParagraph"/>
        <w:numPr>
          <w:ilvl w:val="0"/>
          <w:numId w:val="23"/>
        </w:numPr>
        <w:spacing w:before="360" w:after="120"/>
        <w:ind w:left="357" w:hanging="357"/>
        <w:contextualSpacing w:val="0"/>
        <w:rPr>
          <w:rFonts w:ascii="Times New Roman" w:hAnsi="Times New Roman" w:cs="Times New Roman"/>
          <w:b/>
          <w:noProof/>
          <w:sz w:val="24"/>
          <w:szCs w:val="24"/>
        </w:rPr>
      </w:pPr>
      <w:r>
        <w:rPr>
          <w:rFonts w:ascii="Times New Roman" w:hAnsi="Times New Roman"/>
          <w:b/>
          <w:noProof/>
          <w:sz w:val="24"/>
        </w:rPr>
        <w:t>Prijedlog uredbe o skladištenju plina, 23. ožujka 2022.:</w:t>
      </w:r>
    </w:p>
    <w:p w14:paraId="7E601186" w14:textId="77777777" w:rsidR="00D83744" w:rsidRPr="00A93F1A" w:rsidRDefault="00D83744" w:rsidP="00D83744">
      <w:pPr>
        <w:pStyle w:val="ListParagraph"/>
        <w:numPr>
          <w:ilvl w:val="0"/>
          <w:numId w:val="22"/>
        </w:numPr>
        <w:rPr>
          <w:rFonts w:ascii="Times New Roman" w:hAnsi="Times New Roman" w:cs="Times New Roman"/>
          <w:noProof/>
          <w:sz w:val="24"/>
          <w:szCs w:val="24"/>
        </w:rPr>
      </w:pPr>
      <w:r>
        <w:rPr>
          <w:rFonts w:ascii="Times New Roman" w:hAnsi="Times New Roman"/>
          <w:b/>
          <w:noProof/>
          <w:sz w:val="24"/>
        </w:rPr>
        <w:t>zakonodavni prijedlog</w:t>
      </w:r>
      <w:r>
        <w:rPr>
          <w:rFonts w:ascii="Times New Roman" w:hAnsi="Times New Roman"/>
          <w:noProof/>
          <w:sz w:val="24"/>
        </w:rPr>
        <w:t xml:space="preserve"> kojim se uvodi </w:t>
      </w:r>
      <w:r>
        <w:rPr>
          <w:rFonts w:ascii="Times New Roman" w:hAnsi="Times New Roman"/>
          <w:b/>
          <w:noProof/>
          <w:sz w:val="24"/>
        </w:rPr>
        <w:t>obveza skladištenja plina od najmanje 80 %</w:t>
      </w:r>
      <w:r>
        <w:rPr>
          <w:rFonts w:ascii="Times New Roman" w:hAnsi="Times New Roman"/>
          <w:noProof/>
          <w:sz w:val="24"/>
        </w:rPr>
        <w:t xml:space="preserve"> za sljedeću zimu,</w:t>
      </w:r>
    </w:p>
    <w:p w14:paraId="468D415B" w14:textId="77777777" w:rsidR="00D83744" w:rsidRPr="00A93F1A" w:rsidRDefault="00D83744" w:rsidP="00D83744">
      <w:pPr>
        <w:pStyle w:val="ListParagraph"/>
        <w:numPr>
          <w:ilvl w:val="0"/>
          <w:numId w:val="22"/>
        </w:numPr>
        <w:rPr>
          <w:rFonts w:ascii="Times New Roman" w:hAnsi="Times New Roman" w:cs="Times New Roman"/>
          <w:noProof/>
          <w:sz w:val="24"/>
          <w:szCs w:val="24"/>
        </w:rPr>
      </w:pPr>
      <w:r>
        <w:rPr>
          <w:rFonts w:ascii="Times New Roman" w:hAnsi="Times New Roman"/>
          <w:b/>
          <w:noProof/>
          <w:sz w:val="24"/>
        </w:rPr>
        <w:t xml:space="preserve">komunikacija </w:t>
      </w:r>
      <w:r>
        <w:rPr>
          <w:rFonts w:ascii="Times New Roman" w:hAnsi="Times New Roman"/>
          <w:noProof/>
          <w:sz w:val="24"/>
        </w:rPr>
        <w:t xml:space="preserve">u kojoj se utvrđuju </w:t>
      </w:r>
      <w:r>
        <w:rPr>
          <w:rFonts w:ascii="Times New Roman" w:hAnsi="Times New Roman"/>
          <w:b/>
          <w:noProof/>
          <w:sz w:val="24"/>
        </w:rPr>
        <w:t>opcije za tržišne intervencije</w:t>
      </w:r>
      <w:r>
        <w:rPr>
          <w:rFonts w:ascii="Times New Roman" w:hAnsi="Times New Roman"/>
          <w:noProof/>
          <w:sz w:val="24"/>
        </w:rPr>
        <w:t xml:space="preserve"> na europskoj i nacionalnoj razini te procjenjuju koristi i ograničenja svake opcije,</w:t>
      </w:r>
    </w:p>
    <w:p w14:paraId="34112DAE" w14:textId="77777777" w:rsidR="00D83744" w:rsidRPr="00A93F1A" w:rsidRDefault="00D83744" w:rsidP="00D83744">
      <w:pPr>
        <w:pStyle w:val="ListParagraph"/>
        <w:numPr>
          <w:ilvl w:val="0"/>
          <w:numId w:val="22"/>
        </w:numPr>
        <w:rPr>
          <w:rFonts w:ascii="Times New Roman" w:hAnsi="Times New Roman" w:cs="Times New Roman"/>
          <w:noProof/>
          <w:sz w:val="24"/>
          <w:szCs w:val="24"/>
        </w:rPr>
      </w:pPr>
      <w:r>
        <w:rPr>
          <w:rFonts w:ascii="Times New Roman" w:hAnsi="Times New Roman"/>
          <w:b/>
          <w:noProof/>
          <w:sz w:val="24"/>
        </w:rPr>
        <w:t xml:space="preserve">Uredbu </w:t>
      </w:r>
      <w:r>
        <w:rPr>
          <w:rFonts w:ascii="Times New Roman" w:hAnsi="Times New Roman"/>
          <w:noProof/>
          <w:sz w:val="24"/>
        </w:rPr>
        <w:t>su 27. lipnja. donijeli Europski parlament i Vijeće.</w:t>
      </w:r>
    </w:p>
    <w:p w14:paraId="12123C16" w14:textId="52DED9EA" w:rsidR="00D83744" w:rsidRPr="000071F0" w:rsidRDefault="00D83744" w:rsidP="00D83744">
      <w:pPr>
        <w:pStyle w:val="ListParagraph"/>
        <w:numPr>
          <w:ilvl w:val="0"/>
          <w:numId w:val="23"/>
        </w:numPr>
        <w:spacing w:before="360" w:after="120"/>
        <w:ind w:left="357" w:hanging="357"/>
        <w:contextualSpacing w:val="0"/>
        <w:rPr>
          <w:rFonts w:ascii="Times New Roman" w:hAnsi="Times New Roman" w:cs="Times New Roman"/>
          <w:b/>
          <w:noProof/>
          <w:sz w:val="24"/>
          <w:szCs w:val="24"/>
        </w:rPr>
      </w:pPr>
      <w:r>
        <w:rPr>
          <w:rFonts w:ascii="Times New Roman" w:hAnsi="Times New Roman"/>
          <w:b/>
          <w:noProof/>
          <w:sz w:val="24"/>
        </w:rPr>
        <w:t>Platforma EU-a za energiju, 7. travnja 2022.:</w:t>
      </w:r>
    </w:p>
    <w:p w14:paraId="6097E398" w14:textId="77777777" w:rsidR="00D83744" w:rsidRPr="00A33BD7" w:rsidRDefault="00D83744" w:rsidP="00D83744">
      <w:pPr>
        <w:pStyle w:val="ListParagraph"/>
        <w:numPr>
          <w:ilvl w:val="0"/>
          <w:numId w:val="24"/>
        </w:numPr>
        <w:ind w:left="709"/>
        <w:rPr>
          <w:rFonts w:ascii="Times New Roman" w:hAnsi="Times New Roman" w:cs="Times New Roman"/>
          <w:noProof/>
          <w:sz w:val="24"/>
          <w:szCs w:val="24"/>
        </w:rPr>
      </w:pPr>
      <w:r>
        <w:rPr>
          <w:rFonts w:ascii="Times New Roman" w:hAnsi="Times New Roman"/>
          <w:noProof/>
          <w:sz w:val="24"/>
        </w:rPr>
        <w:t xml:space="preserve">dobrovoljno sudjelovanje država članica u </w:t>
      </w:r>
      <w:r>
        <w:rPr>
          <w:rFonts w:ascii="Times New Roman" w:hAnsi="Times New Roman"/>
          <w:b/>
          <w:noProof/>
          <w:sz w:val="24"/>
        </w:rPr>
        <w:t>zajedničkoj nabavi plina</w:t>
      </w:r>
      <w:r>
        <w:rPr>
          <w:rFonts w:ascii="Times New Roman" w:hAnsi="Times New Roman"/>
          <w:noProof/>
          <w:sz w:val="24"/>
        </w:rPr>
        <w:t xml:space="preserve"> kako bi se osigurao ravnopravniji pristup u svim državama članicama EU-a i poduprla sigurnost opskrbe,</w:t>
      </w:r>
    </w:p>
    <w:p w14:paraId="3E0322A0" w14:textId="77777777" w:rsidR="00D83744" w:rsidRPr="00D17AD7" w:rsidRDefault="00D83744" w:rsidP="00D83744">
      <w:pPr>
        <w:pStyle w:val="ListParagraph"/>
        <w:numPr>
          <w:ilvl w:val="0"/>
          <w:numId w:val="24"/>
        </w:numPr>
        <w:ind w:left="709"/>
        <w:rPr>
          <w:rFonts w:ascii="Times New Roman" w:hAnsi="Times New Roman" w:cs="Times New Roman"/>
          <w:b/>
          <w:noProof/>
          <w:sz w:val="24"/>
          <w:szCs w:val="24"/>
        </w:rPr>
      </w:pPr>
      <w:r>
        <w:rPr>
          <w:rFonts w:ascii="Times New Roman" w:hAnsi="Times New Roman"/>
          <w:noProof/>
          <w:sz w:val="24"/>
        </w:rPr>
        <w:t xml:space="preserve">osnivanje </w:t>
      </w:r>
      <w:r>
        <w:rPr>
          <w:rFonts w:ascii="Times New Roman" w:hAnsi="Times New Roman"/>
          <w:b/>
          <w:noProof/>
          <w:sz w:val="24"/>
        </w:rPr>
        <w:t>Industrijske savjetodavne skupine i pet regionalnih radnih skupina</w:t>
      </w:r>
      <w:r>
        <w:rPr>
          <w:rFonts w:ascii="Times New Roman" w:hAnsi="Times New Roman"/>
          <w:noProof/>
          <w:sz w:val="24"/>
        </w:rPr>
        <w:t xml:space="preserve"> kako bi se pridonijelo boljem razumijevanju potencijalne potražnje koju treba uključiti u zajednički mehanizam nabave.</w:t>
      </w:r>
    </w:p>
    <w:p w14:paraId="195416E4" w14:textId="77777777" w:rsidR="00D83744" w:rsidRPr="00A93F1A" w:rsidRDefault="00D83744" w:rsidP="00D83744">
      <w:pPr>
        <w:pStyle w:val="ListParagraph"/>
        <w:numPr>
          <w:ilvl w:val="0"/>
          <w:numId w:val="23"/>
        </w:numPr>
        <w:spacing w:before="360" w:after="120"/>
        <w:ind w:left="357" w:hanging="357"/>
        <w:contextualSpacing w:val="0"/>
        <w:rPr>
          <w:rFonts w:ascii="Times New Roman" w:hAnsi="Times New Roman" w:cs="Times New Roman"/>
          <w:b/>
          <w:noProof/>
          <w:sz w:val="24"/>
          <w:szCs w:val="24"/>
        </w:rPr>
      </w:pPr>
      <w:r>
        <w:rPr>
          <w:rFonts w:ascii="Times New Roman" w:hAnsi="Times New Roman"/>
          <w:b/>
          <w:noProof/>
          <w:sz w:val="24"/>
        </w:rPr>
        <w:t>Plan REPowerEU, 18. svibnja 2022.:</w:t>
      </w:r>
    </w:p>
    <w:p w14:paraId="49FED63C" w14:textId="77777777" w:rsidR="00D83744" w:rsidRDefault="00D83744" w:rsidP="00D83744">
      <w:pPr>
        <w:pStyle w:val="ListParagraph"/>
        <w:numPr>
          <w:ilvl w:val="0"/>
          <w:numId w:val="22"/>
        </w:numPr>
        <w:rPr>
          <w:rFonts w:ascii="Times New Roman" w:hAnsi="Times New Roman" w:cs="Times New Roman"/>
          <w:noProof/>
          <w:sz w:val="24"/>
          <w:szCs w:val="24"/>
        </w:rPr>
      </w:pPr>
      <w:r>
        <w:rPr>
          <w:rFonts w:ascii="Times New Roman" w:hAnsi="Times New Roman"/>
          <w:b/>
          <w:noProof/>
          <w:sz w:val="24"/>
        </w:rPr>
        <w:t xml:space="preserve">ubrzano uvođenje energije iz obnovljivih izvora: </w:t>
      </w:r>
    </w:p>
    <w:p w14:paraId="506D987C" w14:textId="77777777" w:rsidR="00D83744" w:rsidRPr="00AF3163" w:rsidRDefault="00D83744" w:rsidP="00D83744">
      <w:pPr>
        <w:pStyle w:val="ListParagraph"/>
        <w:numPr>
          <w:ilvl w:val="1"/>
          <w:numId w:val="22"/>
        </w:numPr>
        <w:rPr>
          <w:rFonts w:ascii="Times New Roman" w:hAnsi="Times New Roman" w:cs="Times New Roman"/>
          <w:noProof/>
          <w:sz w:val="24"/>
          <w:szCs w:val="24"/>
        </w:rPr>
      </w:pPr>
      <w:r>
        <w:rPr>
          <w:rFonts w:ascii="Times New Roman" w:hAnsi="Times New Roman"/>
          <w:noProof/>
          <w:sz w:val="24"/>
        </w:rPr>
        <w:t>povećava se krovni cilj za 2030. za obnovljive izvore energije s 40 % na 45 %,</w:t>
      </w:r>
    </w:p>
    <w:p w14:paraId="177F9AFA" w14:textId="77777777" w:rsidR="00D83744" w:rsidRPr="00356EA7" w:rsidRDefault="00D83744" w:rsidP="00D83744">
      <w:pPr>
        <w:pStyle w:val="ListParagraph"/>
        <w:numPr>
          <w:ilvl w:val="1"/>
          <w:numId w:val="22"/>
        </w:numPr>
        <w:rPr>
          <w:rFonts w:ascii="Times New Roman" w:hAnsi="Times New Roman" w:cs="Times New Roman"/>
          <w:noProof/>
          <w:sz w:val="24"/>
          <w:szCs w:val="24"/>
        </w:rPr>
      </w:pPr>
      <w:r>
        <w:rPr>
          <w:rFonts w:ascii="Times New Roman" w:hAnsi="Times New Roman"/>
          <w:b/>
          <w:noProof/>
          <w:sz w:val="24"/>
        </w:rPr>
        <w:t xml:space="preserve">preporuke za ubrzanje izdavanja dozvola za velike projekte u području energije iz obnovljivih izvora, </w:t>
      </w:r>
    </w:p>
    <w:p w14:paraId="156918B4" w14:textId="34F74FA1" w:rsidR="00D83744" w:rsidRPr="00A93F1A" w:rsidRDefault="00D83744" w:rsidP="00D83744">
      <w:pPr>
        <w:pStyle w:val="ListParagraph"/>
        <w:numPr>
          <w:ilvl w:val="1"/>
          <w:numId w:val="22"/>
        </w:numPr>
        <w:rPr>
          <w:rFonts w:ascii="Times New Roman" w:hAnsi="Times New Roman" w:cs="Times New Roman"/>
          <w:noProof/>
          <w:sz w:val="24"/>
          <w:szCs w:val="24"/>
        </w:rPr>
      </w:pPr>
      <w:r>
        <w:rPr>
          <w:rFonts w:ascii="Times New Roman" w:hAnsi="Times New Roman"/>
          <w:noProof/>
          <w:sz w:val="24"/>
        </w:rPr>
        <w:t xml:space="preserve">ciljana </w:t>
      </w:r>
      <w:r>
        <w:rPr>
          <w:rFonts w:ascii="Times New Roman" w:hAnsi="Times New Roman"/>
          <w:b/>
          <w:noProof/>
          <w:sz w:val="24"/>
        </w:rPr>
        <w:t>izmjena Direktive o obnovljivoj energiji</w:t>
      </w:r>
      <w:r>
        <w:rPr>
          <w:rFonts w:ascii="Times New Roman" w:hAnsi="Times New Roman"/>
          <w:noProof/>
          <w:sz w:val="24"/>
        </w:rPr>
        <w:t xml:space="preserve"> kako bi se energija iz obnovljivih izvora prepoznala kao prevladavajući javni interes,</w:t>
      </w:r>
    </w:p>
    <w:p w14:paraId="7BE5677C" w14:textId="6C57560B" w:rsidR="00D83744" w:rsidRPr="00A93F1A" w:rsidRDefault="00D83744" w:rsidP="00D83744">
      <w:pPr>
        <w:pStyle w:val="ListParagraph"/>
        <w:numPr>
          <w:ilvl w:val="1"/>
          <w:numId w:val="22"/>
        </w:numPr>
        <w:rPr>
          <w:rFonts w:ascii="Times New Roman" w:hAnsi="Times New Roman" w:cs="Times New Roman"/>
          <w:noProof/>
          <w:sz w:val="24"/>
          <w:szCs w:val="24"/>
        </w:rPr>
      </w:pPr>
      <w:r>
        <w:rPr>
          <w:rFonts w:ascii="Times New Roman" w:hAnsi="Times New Roman"/>
          <w:b/>
          <w:noProof/>
          <w:sz w:val="24"/>
        </w:rPr>
        <w:t>Strategija EU-a za solarnu energiju</w:t>
      </w:r>
      <w:r>
        <w:rPr>
          <w:rFonts w:ascii="Times New Roman" w:hAnsi="Times New Roman"/>
          <w:noProof/>
          <w:sz w:val="24"/>
        </w:rPr>
        <w:t>,</w:t>
      </w:r>
    </w:p>
    <w:p w14:paraId="2AC005CC" w14:textId="00334304" w:rsidR="00D83744" w:rsidRPr="00A93F1A" w:rsidRDefault="00D83744" w:rsidP="00D83744">
      <w:pPr>
        <w:pStyle w:val="ListParagraph"/>
        <w:numPr>
          <w:ilvl w:val="1"/>
          <w:numId w:val="22"/>
        </w:numPr>
        <w:rPr>
          <w:rFonts w:ascii="Times New Roman" w:hAnsi="Times New Roman" w:cs="Times New Roman"/>
          <w:noProof/>
          <w:sz w:val="24"/>
          <w:szCs w:val="24"/>
        </w:rPr>
      </w:pPr>
      <w:r>
        <w:rPr>
          <w:rFonts w:ascii="Times New Roman" w:hAnsi="Times New Roman"/>
          <w:noProof/>
          <w:sz w:val="24"/>
        </w:rPr>
        <w:t>inicijativa za solarne krovove,</w:t>
      </w:r>
    </w:p>
    <w:p w14:paraId="23AB1F6E" w14:textId="71A818C2" w:rsidR="00D83744" w:rsidRPr="00A93F1A" w:rsidRDefault="00D83744" w:rsidP="00D83744">
      <w:pPr>
        <w:pStyle w:val="ListParagraph"/>
        <w:numPr>
          <w:ilvl w:val="1"/>
          <w:numId w:val="22"/>
        </w:numPr>
        <w:rPr>
          <w:rFonts w:ascii="Times New Roman" w:hAnsi="Times New Roman" w:cs="Times New Roman"/>
          <w:noProof/>
          <w:sz w:val="24"/>
          <w:szCs w:val="24"/>
        </w:rPr>
      </w:pPr>
      <w:r>
        <w:rPr>
          <w:rFonts w:ascii="Times New Roman" w:hAnsi="Times New Roman"/>
          <w:b/>
          <w:noProof/>
          <w:sz w:val="24"/>
        </w:rPr>
        <w:t>udvostručenje stope upotrebe toplinskih pumpi</w:t>
      </w:r>
      <w:r>
        <w:rPr>
          <w:rFonts w:ascii="Times New Roman" w:hAnsi="Times New Roman"/>
          <w:noProof/>
          <w:sz w:val="24"/>
        </w:rPr>
        <w:t>,</w:t>
      </w:r>
    </w:p>
    <w:p w14:paraId="76E17AE7" w14:textId="77777777" w:rsidR="00D83744" w:rsidRPr="000071F0" w:rsidRDefault="00D83744" w:rsidP="00D83744">
      <w:pPr>
        <w:pStyle w:val="ListParagraph"/>
        <w:numPr>
          <w:ilvl w:val="1"/>
          <w:numId w:val="22"/>
        </w:numPr>
        <w:rPr>
          <w:rFonts w:ascii="Times New Roman" w:hAnsi="Times New Roman" w:cs="Times New Roman"/>
          <w:noProof/>
          <w:sz w:val="24"/>
          <w:szCs w:val="24"/>
        </w:rPr>
      </w:pPr>
      <w:r>
        <w:rPr>
          <w:rFonts w:ascii="Times New Roman" w:hAnsi="Times New Roman"/>
          <w:noProof/>
          <w:sz w:val="24"/>
        </w:rPr>
        <w:t xml:space="preserve">postavlja se cilj od </w:t>
      </w:r>
      <w:r>
        <w:rPr>
          <w:rFonts w:ascii="Times New Roman" w:hAnsi="Times New Roman"/>
          <w:b/>
          <w:noProof/>
          <w:sz w:val="24"/>
        </w:rPr>
        <w:t xml:space="preserve">10 milijuna tona domaćeg vodika iz obnovljivih izvora </w:t>
      </w:r>
      <w:r>
        <w:rPr>
          <w:rFonts w:ascii="Times New Roman" w:hAnsi="Times New Roman"/>
          <w:noProof/>
          <w:sz w:val="24"/>
        </w:rPr>
        <w:t>do 2030.,</w:t>
      </w:r>
    </w:p>
    <w:p w14:paraId="4334D5BF" w14:textId="2F0C1FFC" w:rsidR="00D83744" w:rsidRPr="000071F0" w:rsidRDefault="00D83744" w:rsidP="00D83744">
      <w:pPr>
        <w:pStyle w:val="ListParagraph"/>
        <w:numPr>
          <w:ilvl w:val="1"/>
          <w:numId w:val="22"/>
        </w:numPr>
        <w:rPr>
          <w:rFonts w:ascii="Times New Roman" w:hAnsi="Times New Roman" w:cs="Times New Roman"/>
          <w:noProof/>
          <w:sz w:val="24"/>
          <w:szCs w:val="24"/>
        </w:rPr>
      </w:pPr>
      <w:r>
        <w:rPr>
          <w:rFonts w:ascii="Times New Roman" w:hAnsi="Times New Roman"/>
          <w:b/>
          <w:noProof/>
          <w:sz w:val="24"/>
        </w:rPr>
        <w:t>akcijski plan za biometan</w:t>
      </w:r>
      <w:r>
        <w:rPr>
          <w:rFonts w:ascii="Times New Roman" w:hAnsi="Times New Roman"/>
          <w:noProof/>
          <w:sz w:val="24"/>
        </w:rPr>
        <w:t>,</w:t>
      </w:r>
    </w:p>
    <w:p w14:paraId="5CF8D488" w14:textId="77777777" w:rsidR="00D83744" w:rsidRPr="000071F0" w:rsidRDefault="00D83744" w:rsidP="00D83744">
      <w:pPr>
        <w:pStyle w:val="ListParagraph"/>
        <w:numPr>
          <w:ilvl w:val="0"/>
          <w:numId w:val="22"/>
        </w:numPr>
        <w:rPr>
          <w:rFonts w:ascii="Times New Roman" w:hAnsi="Times New Roman" w:cs="Times New Roman"/>
          <w:noProof/>
          <w:sz w:val="24"/>
          <w:szCs w:val="24"/>
        </w:rPr>
      </w:pPr>
      <w:r>
        <w:rPr>
          <w:rFonts w:ascii="Times New Roman" w:hAnsi="Times New Roman"/>
          <w:b/>
          <w:noProof/>
          <w:sz w:val="24"/>
        </w:rPr>
        <w:t xml:space="preserve">ušteda energije: </w:t>
      </w:r>
    </w:p>
    <w:p w14:paraId="50FE3E92" w14:textId="77777777" w:rsidR="00D83744" w:rsidRDefault="00D83744" w:rsidP="00D83744">
      <w:pPr>
        <w:pStyle w:val="ListParagraph"/>
        <w:numPr>
          <w:ilvl w:val="1"/>
          <w:numId w:val="22"/>
        </w:numPr>
        <w:rPr>
          <w:rFonts w:ascii="Times New Roman" w:hAnsi="Times New Roman" w:cs="Times New Roman"/>
          <w:noProof/>
          <w:sz w:val="24"/>
          <w:szCs w:val="24"/>
        </w:rPr>
      </w:pPr>
      <w:r>
        <w:rPr>
          <w:rFonts w:ascii="Times New Roman" w:hAnsi="Times New Roman"/>
          <w:noProof/>
          <w:sz w:val="24"/>
        </w:rPr>
        <w:t>povećanje obvezujućeg cilja u pogledu energetske učinkovitosti do 2030. s 9 % na 13 %,</w:t>
      </w:r>
    </w:p>
    <w:p w14:paraId="44B346B9" w14:textId="636C97C8" w:rsidR="00D83744" w:rsidRPr="00C75485" w:rsidRDefault="00D83744" w:rsidP="00D83744">
      <w:pPr>
        <w:pStyle w:val="ListParagraph"/>
        <w:numPr>
          <w:ilvl w:val="1"/>
          <w:numId w:val="22"/>
        </w:numPr>
        <w:rPr>
          <w:rFonts w:ascii="Times New Roman" w:hAnsi="Times New Roman" w:cs="Times New Roman"/>
          <w:noProof/>
          <w:sz w:val="24"/>
          <w:szCs w:val="24"/>
        </w:rPr>
      </w:pPr>
      <w:r>
        <w:rPr>
          <w:rFonts w:ascii="Times New Roman" w:hAnsi="Times New Roman"/>
          <w:b/>
          <w:noProof/>
          <w:sz w:val="24"/>
        </w:rPr>
        <w:t>komunikacijom „Štednja energije u EU-u”</w:t>
      </w:r>
      <w:r>
        <w:rPr>
          <w:rFonts w:ascii="Times New Roman" w:hAnsi="Times New Roman"/>
          <w:noProof/>
          <w:sz w:val="24"/>
        </w:rPr>
        <w:t xml:space="preserve"> potiču se veće uštede energije,</w:t>
      </w:r>
    </w:p>
    <w:p w14:paraId="2CACFF53" w14:textId="77777777" w:rsidR="00D83744" w:rsidRPr="000071F0" w:rsidRDefault="00D83744" w:rsidP="00D83744">
      <w:pPr>
        <w:pStyle w:val="ListParagraph"/>
        <w:numPr>
          <w:ilvl w:val="0"/>
          <w:numId w:val="22"/>
        </w:numPr>
        <w:rPr>
          <w:rFonts w:ascii="Times New Roman" w:hAnsi="Times New Roman" w:cs="Times New Roman"/>
          <w:noProof/>
          <w:sz w:val="24"/>
          <w:szCs w:val="24"/>
        </w:rPr>
      </w:pPr>
      <w:r>
        <w:rPr>
          <w:rFonts w:ascii="Times New Roman" w:hAnsi="Times New Roman"/>
          <w:b/>
          <w:noProof/>
          <w:sz w:val="24"/>
        </w:rPr>
        <w:t>diversifikacija opskrbe energijom i podupiranje međunarodnih partnera:</w:t>
      </w:r>
    </w:p>
    <w:p w14:paraId="03CBDE02" w14:textId="77777777" w:rsidR="00D83744" w:rsidRPr="000071F0" w:rsidRDefault="00D83744" w:rsidP="00D83744">
      <w:pPr>
        <w:pStyle w:val="ListParagraph"/>
        <w:numPr>
          <w:ilvl w:val="1"/>
          <w:numId w:val="22"/>
        </w:numPr>
        <w:rPr>
          <w:rFonts w:ascii="Times New Roman" w:hAnsi="Times New Roman" w:cs="Times New Roman"/>
          <w:b/>
          <w:noProof/>
          <w:sz w:val="24"/>
          <w:szCs w:val="24"/>
        </w:rPr>
      </w:pPr>
      <w:r>
        <w:rPr>
          <w:rFonts w:ascii="Times New Roman" w:hAnsi="Times New Roman"/>
          <w:b/>
          <w:noProof/>
          <w:sz w:val="24"/>
        </w:rPr>
        <w:t>vanjskom energetskom strategijom EU-a</w:t>
      </w:r>
      <w:r>
        <w:rPr>
          <w:rFonts w:ascii="Times New Roman" w:hAnsi="Times New Roman"/>
          <w:noProof/>
          <w:sz w:val="24"/>
        </w:rPr>
        <w:t xml:space="preserve"> jača se suradnja EU-a s međunarodnim partnerima i njegova energetska diplomacija, čime se osigurava diversifikacija opskrbe energijom te potiče zelena i pravedna energetska tranzicija.</w:t>
      </w:r>
    </w:p>
    <w:p w14:paraId="3F10B7D0" w14:textId="77777777" w:rsidR="00D83744" w:rsidRPr="00A93F1A" w:rsidRDefault="00D83744" w:rsidP="00D83744">
      <w:pPr>
        <w:pStyle w:val="ListParagraph"/>
        <w:numPr>
          <w:ilvl w:val="0"/>
          <w:numId w:val="23"/>
        </w:numPr>
        <w:spacing w:before="360" w:after="120"/>
        <w:ind w:left="357" w:hanging="357"/>
        <w:contextualSpacing w:val="0"/>
        <w:rPr>
          <w:rFonts w:ascii="Times New Roman" w:hAnsi="Times New Roman" w:cs="Times New Roman"/>
          <w:b/>
          <w:noProof/>
          <w:sz w:val="24"/>
          <w:szCs w:val="24"/>
        </w:rPr>
      </w:pPr>
      <w:r>
        <w:rPr>
          <w:rFonts w:ascii="Times New Roman" w:hAnsi="Times New Roman"/>
          <w:b/>
          <w:noProof/>
          <w:sz w:val="24"/>
        </w:rPr>
        <w:t>Štednja plina za sigurnu zimu, 20. srpnja 2022.:</w:t>
      </w:r>
    </w:p>
    <w:p w14:paraId="7F686C2B" w14:textId="77777777" w:rsidR="00D83744" w:rsidRPr="00A93F1A" w:rsidRDefault="00D83744" w:rsidP="00D83744">
      <w:pPr>
        <w:pStyle w:val="ListParagraph"/>
        <w:numPr>
          <w:ilvl w:val="0"/>
          <w:numId w:val="22"/>
        </w:numPr>
        <w:rPr>
          <w:rFonts w:ascii="Times New Roman" w:hAnsi="Times New Roman" w:cs="Times New Roman"/>
          <w:b/>
          <w:noProof/>
          <w:sz w:val="24"/>
          <w:szCs w:val="24"/>
        </w:rPr>
      </w:pPr>
      <w:r>
        <w:rPr>
          <w:rFonts w:ascii="Times New Roman" w:hAnsi="Times New Roman"/>
          <w:b/>
          <w:noProof/>
          <w:sz w:val="24"/>
        </w:rPr>
        <w:t>Uredba o smanjenju potražnje za plinom (prijedlog), 20. srpnja 2022.:</w:t>
      </w:r>
    </w:p>
    <w:p w14:paraId="640AA402" w14:textId="77777777" w:rsidR="00D83744" w:rsidRPr="008C126C" w:rsidRDefault="00D83744" w:rsidP="00D83744">
      <w:pPr>
        <w:pStyle w:val="ListParagraph"/>
        <w:numPr>
          <w:ilvl w:val="1"/>
          <w:numId w:val="22"/>
        </w:numPr>
        <w:rPr>
          <w:rFonts w:ascii="Times New Roman" w:hAnsi="Times New Roman" w:cs="Times New Roman"/>
          <w:noProof/>
          <w:sz w:val="24"/>
          <w:szCs w:val="24"/>
        </w:rPr>
      </w:pPr>
      <w:r>
        <w:rPr>
          <w:rFonts w:ascii="Times New Roman" w:hAnsi="Times New Roman"/>
          <w:noProof/>
          <w:sz w:val="24"/>
        </w:rPr>
        <w:t xml:space="preserve">utvrđuje se cilj za sve države članice da od 1. kolovoza 2022. do 31. ožujka 2023. </w:t>
      </w:r>
      <w:r>
        <w:rPr>
          <w:rFonts w:ascii="Times New Roman" w:hAnsi="Times New Roman"/>
          <w:b/>
          <w:noProof/>
          <w:sz w:val="24"/>
        </w:rPr>
        <w:t>smanje potražnju za plinom za 15 %</w:t>
      </w:r>
      <w:r>
        <w:rPr>
          <w:rFonts w:ascii="Times New Roman" w:hAnsi="Times New Roman"/>
          <w:noProof/>
          <w:sz w:val="24"/>
        </w:rPr>
        <w:t>,</w:t>
      </w:r>
    </w:p>
    <w:p w14:paraId="0742BA45" w14:textId="77777777" w:rsidR="00D83744" w:rsidRPr="00A93F1A" w:rsidRDefault="00D83744" w:rsidP="00D83744">
      <w:pPr>
        <w:pStyle w:val="ListParagraph"/>
        <w:numPr>
          <w:ilvl w:val="1"/>
          <w:numId w:val="22"/>
        </w:numPr>
        <w:rPr>
          <w:rFonts w:ascii="Times New Roman" w:hAnsi="Times New Roman" w:cs="Times New Roman"/>
          <w:noProof/>
          <w:sz w:val="24"/>
          <w:szCs w:val="24"/>
        </w:rPr>
      </w:pPr>
      <w:r>
        <w:rPr>
          <w:rFonts w:ascii="Times New Roman" w:hAnsi="Times New Roman"/>
          <w:noProof/>
          <w:sz w:val="24"/>
        </w:rPr>
        <w:t xml:space="preserve">daje se mogućnost Komisiji da nakon savjetovanja s državama članicama proglasi </w:t>
      </w:r>
      <w:r>
        <w:rPr>
          <w:rFonts w:ascii="Times New Roman" w:hAnsi="Times New Roman"/>
          <w:b/>
          <w:noProof/>
          <w:sz w:val="24"/>
        </w:rPr>
        <w:t>„izvanredno stanje u Uniji” u području sigurnosti opskrbe</w:t>
      </w:r>
      <w:r>
        <w:rPr>
          <w:rFonts w:ascii="Times New Roman" w:hAnsi="Times New Roman"/>
          <w:noProof/>
          <w:sz w:val="24"/>
        </w:rPr>
        <w:t>, kojim se svim državama članicama nameće obvezno smanjenje potražnje za plinom,</w:t>
      </w:r>
    </w:p>
    <w:p w14:paraId="25F09EDE" w14:textId="77777777" w:rsidR="00D83744" w:rsidRDefault="00D83744" w:rsidP="00D83744">
      <w:pPr>
        <w:pStyle w:val="ListParagraph"/>
        <w:numPr>
          <w:ilvl w:val="1"/>
          <w:numId w:val="22"/>
        </w:numPr>
        <w:rPr>
          <w:rFonts w:ascii="Times New Roman" w:hAnsi="Times New Roman" w:cs="Times New Roman"/>
          <w:noProof/>
          <w:sz w:val="24"/>
          <w:szCs w:val="24"/>
        </w:rPr>
      </w:pPr>
      <w:r>
        <w:rPr>
          <w:rFonts w:ascii="Times New Roman" w:hAnsi="Times New Roman"/>
          <w:b/>
          <w:noProof/>
          <w:sz w:val="24"/>
        </w:rPr>
        <w:t>Uredba</w:t>
      </w:r>
      <w:r>
        <w:rPr>
          <w:rFonts w:ascii="Times New Roman" w:hAnsi="Times New Roman"/>
          <w:noProof/>
          <w:sz w:val="24"/>
        </w:rPr>
        <w:t xml:space="preserve"> se temelji na članku 122. UFEU-a, a Vijeće ju je donijelo </w:t>
      </w:r>
      <w:r>
        <w:rPr>
          <w:rFonts w:ascii="Times New Roman" w:hAnsi="Times New Roman"/>
          <w:b/>
          <w:noProof/>
          <w:sz w:val="24"/>
        </w:rPr>
        <w:t>27. srpnja.,</w:t>
      </w:r>
    </w:p>
    <w:p w14:paraId="1B0B6E29" w14:textId="77777777" w:rsidR="00D83744" w:rsidRPr="00AF3163" w:rsidRDefault="00D83744" w:rsidP="00D83744">
      <w:pPr>
        <w:pStyle w:val="ListParagraph"/>
        <w:numPr>
          <w:ilvl w:val="0"/>
          <w:numId w:val="22"/>
        </w:numPr>
        <w:rPr>
          <w:rFonts w:ascii="Times New Roman" w:hAnsi="Times New Roman" w:cs="Times New Roman"/>
          <w:noProof/>
          <w:sz w:val="24"/>
          <w:szCs w:val="24"/>
        </w:rPr>
      </w:pPr>
      <w:r>
        <w:rPr>
          <w:rFonts w:ascii="Times New Roman" w:hAnsi="Times New Roman"/>
          <w:b/>
          <w:noProof/>
          <w:sz w:val="24"/>
        </w:rPr>
        <w:t>Plan za smanjenje potražnje za plinom, 20. srpnja 2022.:</w:t>
      </w:r>
    </w:p>
    <w:p w14:paraId="208DE7A0" w14:textId="77777777" w:rsidR="00D83744" w:rsidRPr="000071F0" w:rsidRDefault="00D83744" w:rsidP="00D83744">
      <w:pPr>
        <w:pStyle w:val="ListParagraph"/>
        <w:numPr>
          <w:ilvl w:val="1"/>
          <w:numId w:val="22"/>
        </w:numPr>
        <w:rPr>
          <w:rFonts w:ascii="Times New Roman" w:hAnsi="Times New Roman" w:cs="Times New Roman"/>
          <w:noProof/>
          <w:sz w:val="24"/>
          <w:szCs w:val="24"/>
        </w:rPr>
      </w:pPr>
      <w:r>
        <w:rPr>
          <w:rFonts w:ascii="Times New Roman" w:hAnsi="Times New Roman"/>
          <w:noProof/>
          <w:sz w:val="24"/>
        </w:rPr>
        <w:t xml:space="preserve">utvrđuju se mjere, načela i kriteriji za </w:t>
      </w:r>
      <w:r>
        <w:rPr>
          <w:rFonts w:ascii="Times New Roman" w:hAnsi="Times New Roman"/>
          <w:b/>
          <w:noProof/>
          <w:sz w:val="24"/>
        </w:rPr>
        <w:t>koordinirano smanjenje potražnje za plinom,</w:t>
      </w:r>
    </w:p>
    <w:p w14:paraId="7EFB9899" w14:textId="77777777" w:rsidR="00D83744" w:rsidRPr="000071F0" w:rsidRDefault="00D83744" w:rsidP="00D83744">
      <w:pPr>
        <w:pStyle w:val="ListParagraph"/>
        <w:numPr>
          <w:ilvl w:val="1"/>
          <w:numId w:val="22"/>
        </w:numPr>
        <w:rPr>
          <w:rFonts w:ascii="Times New Roman" w:hAnsi="Times New Roman" w:cs="Times New Roman"/>
          <w:noProof/>
          <w:sz w:val="24"/>
          <w:szCs w:val="24"/>
        </w:rPr>
      </w:pPr>
      <w:r>
        <w:rPr>
          <w:rFonts w:ascii="Times New Roman" w:hAnsi="Times New Roman"/>
          <w:noProof/>
          <w:sz w:val="24"/>
        </w:rPr>
        <w:t xml:space="preserve">sadržava </w:t>
      </w:r>
      <w:r>
        <w:rPr>
          <w:rFonts w:ascii="Times New Roman" w:hAnsi="Times New Roman"/>
          <w:b/>
          <w:noProof/>
          <w:sz w:val="24"/>
        </w:rPr>
        <w:t>smjernice koje države članice</w:t>
      </w:r>
      <w:r>
        <w:rPr>
          <w:rFonts w:ascii="Times New Roman" w:hAnsi="Times New Roman"/>
          <w:noProof/>
          <w:sz w:val="24"/>
        </w:rPr>
        <w:t xml:space="preserve"> trebaju uzeti u obzir pri planiranju rezova,</w:t>
      </w:r>
    </w:p>
    <w:p w14:paraId="151A1D9F" w14:textId="77777777" w:rsidR="00D83744" w:rsidRPr="00A93F1A" w:rsidRDefault="00D83744" w:rsidP="00D83744">
      <w:pPr>
        <w:pStyle w:val="ListParagraph"/>
        <w:numPr>
          <w:ilvl w:val="1"/>
          <w:numId w:val="22"/>
        </w:numPr>
        <w:rPr>
          <w:rFonts w:ascii="Times New Roman" w:hAnsi="Times New Roman" w:cs="Times New Roman"/>
          <w:noProof/>
          <w:sz w:val="24"/>
          <w:szCs w:val="24"/>
        </w:rPr>
      </w:pPr>
      <w:r>
        <w:rPr>
          <w:rFonts w:ascii="Times New Roman" w:hAnsi="Times New Roman"/>
          <w:noProof/>
          <w:sz w:val="24"/>
        </w:rPr>
        <w:t xml:space="preserve">njime se potiče </w:t>
      </w:r>
      <w:r>
        <w:rPr>
          <w:rFonts w:ascii="Times New Roman" w:hAnsi="Times New Roman"/>
          <w:b/>
          <w:noProof/>
          <w:sz w:val="24"/>
        </w:rPr>
        <w:t>zamjena plina drugim gorivima</w:t>
      </w:r>
      <w:r>
        <w:rPr>
          <w:rFonts w:ascii="Times New Roman" w:hAnsi="Times New Roman"/>
          <w:noProof/>
          <w:sz w:val="24"/>
        </w:rPr>
        <w:t>, po mogućnosti čišćim izvorima energije,</w:t>
      </w:r>
    </w:p>
    <w:p w14:paraId="25EF0FF1" w14:textId="77777777" w:rsidR="00D83744" w:rsidRPr="004A62CF" w:rsidRDefault="00D83744" w:rsidP="00D83744">
      <w:pPr>
        <w:pStyle w:val="ListParagraph"/>
        <w:numPr>
          <w:ilvl w:val="1"/>
          <w:numId w:val="22"/>
        </w:numPr>
        <w:rPr>
          <w:rFonts w:ascii="Times New Roman" w:hAnsi="Times New Roman" w:cs="Times New Roman"/>
          <w:noProof/>
          <w:sz w:val="24"/>
          <w:szCs w:val="24"/>
        </w:rPr>
      </w:pPr>
      <w:r>
        <w:rPr>
          <w:rFonts w:ascii="Times New Roman" w:hAnsi="Times New Roman"/>
          <w:noProof/>
          <w:sz w:val="24"/>
        </w:rPr>
        <w:t xml:space="preserve">potiču se </w:t>
      </w:r>
      <w:r>
        <w:rPr>
          <w:rFonts w:ascii="Times New Roman" w:hAnsi="Times New Roman"/>
          <w:b/>
          <w:noProof/>
          <w:sz w:val="24"/>
        </w:rPr>
        <w:t>ukupne uštede energije u svim sektorima</w:t>
      </w:r>
      <w:r>
        <w:rPr>
          <w:rFonts w:ascii="Times New Roman" w:hAnsi="Times New Roman"/>
          <w:noProof/>
          <w:sz w:val="24"/>
        </w:rPr>
        <w:t>.</w:t>
      </w:r>
    </w:p>
    <w:p w14:paraId="5F434659" w14:textId="77777777" w:rsidR="00D83744" w:rsidRPr="00A93F1A" w:rsidRDefault="00D83744" w:rsidP="00D83744">
      <w:pPr>
        <w:pStyle w:val="ListParagraph"/>
        <w:numPr>
          <w:ilvl w:val="0"/>
          <w:numId w:val="23"/>
        </w:numPr>
        <w:spacing w:before="360" w:after="120"/>
        <w:ind w:left="357" w:hanging="357"/>
        <w:contextualSpacing w:val="0"/>
        <w:rPr>
          <w:rFonts w:ascii="Times New Roman" w:hAnsi="Times New Roman" w:cs="Times New Roman"/>
          <w:b/>
          <w:noProof/>
          <w:sz w:val="24"/>
          <w:szCs w:val="24"/>
        </w:rPr>
      </w:pPr>
      <w:r>
        <w:rPr>
          <w:rFonts w:ascii="Times New Roman" w:hAnsi="Times New Roman"/>
          <w:b/>
          <w:noProof/>
          <w:sz w:val="24"/>
        </w:rPr>
        <w:t>Hitna tržišna intervencija za rješavanje problema visokih cijena energije (prijedlog), 14. rujna 2022.:</w:t>
      </w:r>
    </w:p>
    <w:p w14:paraId="32EEAE35" w14:textId="77777777" w:rsidR="00D83744" w:rsidRDefault="00D83744" w:rsidP="00D83744">
      <w:pPr>
        <w:pStyle w:val="ListParagraph"/>
        <w:numPr>
          <w:ilvl w:val="0"/>
          <w:numId w:val="22"/>
        </w:numPr>
        <w:rPr>
          <w:rFonts w:ascii="Times New Roman" w:hAnsi="Times New Roman" w:cs="Times New Roman"/>
          <w:noProof/>
          <w:sz w:val="24"/>
          <w:szCs w:val="24"/>
        </w:rPr>
      </w:pPr>
      <w:r>
        <w:rPr>
          <w:rFonts w:ascii="Times New Roman" w:hAnsi="Times New Roman"/>
          <w:noProof/>
          <w:sz w:val="24"/>
        </w:rPr>
        <w:t>predlaže se da države članice do 31. ožujka 2023. nastoje smanjiti ukupnu potražnju za električnom energijom za najmanje 10 %,</w:t>
      </w:r>
    </w:p>
    <w:p w14:paraId="099DF3FC" w14:textId="77777777" w:rsidR="00D83744" w:rsidRPr="00A93F1A" w:rsidRDefault="00D83744" w:rsidP="00D83744">
      <w:pPr>
        <w:pStyle w:val="ListParagraph"/>
        <w:numPr>
          <w:ilvl w:val="0"/>
          <w:numId w:val="22"/>
        </w:numPr>
        <w:rPr>
          <w:rFonts w:ascii="Times New Roman" w:hAnsi="Times New Roman" w:cs="Times New Roman"/>
          <w:noProof/>
          <w:sz w:val="24"/>
          <w:szCs w:val="24"/>
        </w:rPr>
      </w:pPr>
      <w:r>
        <w:rPr>
          <w:rFonts w:ascii="Times New Roman" w:hAnsi="Times New Roman"/>
          <w:noProof/>
          <w:sz w:val="24"/>
        </w:rPr>
        <w:t xml:space="preserve">uspostavlja se privremeno </w:t>
      </w:r>
      <w:r>
        <w:rPr>
          <w:rFonts w:ascii="Times New Roman" w:hAnsi="Times New Roman"/>
          <w:b/>
          <w:noProof/>
          <w:sz w:val="24"/>
        </w:rPr>
        <w:t>ograničenje prihoda za inframarginalne</w:t>
      </w:r>
      <w:r>
        <w:rPr>
          <w:rFonts w:ascii="Times New Roman" w:hAnsi="Times New Roman"/>
          <w:noProof/>
          <w:sz w:val="24"/>
        </w:rPr>
        <w:t xml:space="preserve"> proizvođače električne energije,</w:t>
      </w:r>
    </w:p>
    <w:p w14:paraId="0BA5BE07" w14:textId="77777777" w:rsidR="00D83744" w:rsidRPr="00A93F1A" w:rsidRDefault="00D83744" w:rsidP="00D83744">
      <w:pPr>
        <w:pStyle w:val="ListParagraph"/>
        <w:numPr>
          <w:ilvl w:val="0"/>
          <w:numId w:val="22"/>
        </w:numPr>
        <w:rPr>
          <w:rFonts w:ascii="Times New Roman" w:hAnsi="Times New Roman" w:cs="Times New Roman"/>
          <w:noProof/>
          <w:sz w:val="24"/>
          <w:szCs w:val="24"/>
        </w:rPr>
      </w:pPr>
      <w:r>
        <w:rPr>
          <w:rFonts w:ascii="Times New Roman" w:hAnsi="Times New Roman"/>
          <w:noProof/>
          <w:sz w:val="24"/>
        </w:rPr>
        <w:t xml:space="preserve">utvrđuje se privremeni </w:t>
      </w:r>
      <w:r>
        <w:rPr>
          <w:rFonts w:ascii="Times New Roman" w:hAnsi="Times New Roman"/>
          <w:b/>
          <w:noProof/>
          <w:sz w:val="24"/>
        </w:rPr>
        <w:t xml:space="preserve">doprinos solidarnosti na prekomjernu dobit </w:t>
      </w:r>
      <w:r>
        <w:rPr>
          <w:rFonts w:ascii="Times New Roman" w:hAnsi="Times New Roman"/>
          <w:noProof/>
          <w:sz w:val="24"/>
        </w:rPr>
        <w:t>ostvarenu u aktivnostima u sektorima nafte, plina, ugljena i rafinerija, koji se preusmjerava potrošačima energije,</w:t>
      </w:r>
    </w:p>
    <w:p w14:paraId="7077BDD9" w14:textId="77777777" w:rsidR="00D83744" w:rsidRPr="00A93F1A" w:rsidRDefault="00D83744" w:rsidP="00D83744">
      <w:pPr>
        <w:pStyle w:val="ListParagraph"/>
        <w:numPr>
          <w:ilvl w:val="0"/>
          <w:numId w:val="22"/>
        </w:numPr>
        <w:rPr>
          <w:rFonts w:ascii="Times New Roman" w:hAnsi="Times New Roman" w:cs="Times New Roman"/>
          <w:noProof/>
          <w:sz w:val="24"/>
          <w:szCs w:val="24"/>
        </w:rPr>
      </w:pPr>
      <w:r>
        <w:rPr>
          <w:rFonts w:ascii="Times New Roman" w:hAnsi="Times New Roman"/>
          <w:noProof/>
          <w:sz w:val="24"/>
        </w:rPr>
        <w:t xml:space="preserve">po prvi put omogućuju se </w:t>
      </w:r>
      <w:r>
        <w:rPr>
          <w:rFonts w:ascii="Times New Roman" w:hAnsi="Times New Roman"/>
          <w:b/>
          <w:noProof/>
          <w:sz w:val="24"/>
        </w:rPr>
        <w:t>regulirane cijene električne energije niže od stvarne cijene</w:t>
      </w:r>
      <w:r>
        <w:rPr>
          <w:rFonts w:ascii="Times New Roman" w:hAnsi="Times New Roman"/>
          <w:noProof/>
          <w:sz w:val="24"/>
        </w:rPr>
        <w:t xml:space="preserve"> te se proširuje područje primjene reguliranih cijena kako bi se obuhvatila i mala i srednja poduzeća,</w:t>
      </w:r>
    </w:p>
    <w:p w14:paraId="3CBB2D96" w14:textId="77777777" w:rsidR="00D83744" w:rsidRPr="004A62CF" w:rsidRDefault="00D83744" w:rsidP="00D83744">
      <w:pPr>
        <w:pStyle w:val="ListParagraph"/>
        <w:numPr>
          <w:ilvl w:val="0"/>
          <w:numId w:val="22"/>
        </w:numPr>
        <w:rPr>
          <w:rFonts w:ascii="Times New Roman" w:hAnsi="Times New Roman" w:cs="Times New Roman"/>
          <w:b/>
          <w:noProof/>
          <w:sz w:val="24"/>
          <w:szCs w:val="24"/>
        </w:rPr>
      </w:pPr>
      <w:r>
        <w:rPr>
          <w:rFonts w:ascii="Times New Roman" w:hAnsi="Times New Roman"/>
          <w:noProof/>
          <w:sz w:val="24"/>
        </w:rPr>
        <w:t xml:space="preserve">Uredba se temelji na članku 122. UFEU-a, a Vijeće ju je donijelo </w:t>
      </w:r>
      <w:r>
        <w:rPr>
          <w:rFonts w:ascii="Times New Roman" w:hAnsi="Times New Roman"/>
          <w:b/>
          <w:noProof/>
          <w:sz w:val="24"/>
        </w:rPr>
        <w:t>30. rujna.</w:t>
      </w:r>
    </w:p>
    <w:p w14:paraId="1241AAB8" w14:textId="659FC680" w:rsidR="001D6D1F" w:rsidRPr="003F2335" w:rsidRDefault="001D6D1F" w:rsidP="00D47ACE">
      <w:pPr>
        <w:spacing w:after="0" w:line="240" w:lineRule="auto"/>
        <w:jc w:val="both"/>
        <w:rPr>
          <w:rFonts w:ascii="Times New Roman" w:eastAsia="Times New Roman" w:hAnsi="Times New Roman" w:cs="Times New Roman"/>
          <w:b/>
          <w:noProof/>
          <w:sz w:val="20"/>
          <w:szCs w:val="20"/>
        </w:rPr>
      </w:pPr>
    </w:p>
    <w:sectPr w:rsidR="001D6D1F" w:rsidRPr="003F2335" w:rsidSect="005C6BD9">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A6BFE" w16cex:dateUtc="2022-10-07T07:12:00Z"/>
  <w16cex:commentExtensible w16cex:durableId="26EA6DC1" w16cex:dateUtc="2022-10-07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21E270" w16cid:durableId="26EA6BFE"/>
  <w16cid:commentId w16cid:paraId="46F9FE25" w16cid:durableId="26EA6D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44483" w14:textId="77777777" w:rsidR="00230E9A" w:rsidRDefault="00230E9A" w:rsidP="000746FB">
      <w:pPr>
        <w:spacing w:after="0" w:line="240" w:lineRule="auto"/>
      </w:pPr>
      <w:r>
        <w:separator/>
      </w:r>
    </w:p>
  </w:endnote>
  <w:endnote w:type="continuationSeparator" w:id="0">
    <w:p w14:paraId="484FC403" w14:textId="77777777" w:rsidR="00230E9A" w:rsidRDefault="00230E9A" w:rsidP="000746FB">
      <w:pPr>
        <w:spacing w:after="0" w:line="240" w:lineRule="auto"/>
      </w:pPr>
      <w:r>
        <w:continuationSeparator/>
      </w:r>
    </w:p>
  </w:endnote>
  <w:endnote w:type="continuationNotice" w:id="1">
    <w:p w14:paraId="4E62BEFA" w14:textId="77777777" w:rsidR="00230E9A" w:rsidRDefault="00230E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79A6A" w14:textId="77777777" w:rsidR="00440524" w:rsidRPr="00440524" w:rsidRDefault="00440524" w:rsidP="00440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61FE8" w14:textId="6C8C78F8" w:rsidR="00105133" w:rsidRPr="00440524" w:rsidRDefault="00440524" w:rsidP="00440524">
    <w:pPr>
      <w:pStyle w:val="FooterCoverPage"/>
      <w:rPr>
        <w:rFonts w:ascii="Arial" w:hAnsi="Arial" w:cs="Arial"/>
        <w:b/>
        <w:sz w:val="48"/>
      </w:rPr>
    </w:pPr>
    <w:r w:rsidRPr="00440524">
      <w:rPr>
        <w:rFonts w:ascii="Arial" w:hAnsi="Arial" w:cs="Arial"/>
        <w:b/>
        <w:sz w:val="48"/>
      </w:rPr>
      <w:t>HR</w:t>
    </w:r>
    <w:r w:rsidRPr="00440524">
      <w:rPr>
        <w:rFonts w:ascii="Arial" w:hAnsi="Arial" w:cs="Arial"/>
        <w:b/>
        <w:sz w:val="48"/>
      </w:rPr>
      <w:tab/>
    </w:r>
    <w:r w:rsidRPr="00440524">
      <w:rPr>
        <w:rFonts w:ascii="Arial" w:hAnsi="Arial" w:cs="Arial"/>
        <w:b/>
        <w:sz w:val="48"/>
      </w:rPr>
      <w:tab/>
    </w:r>
    <w:r w:rsidRPr="00440524">
      <w:tab/>
    </w:r>
    <w:r w:rsidRPr="00440524">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3E69A" w14:textId="77777777" w:rsidR="00440524" w:rsidRPr="00440524" w:rsidRDefault="00440524" w:rsidP="0044052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875BF" w14:textId="77777777" w:rsidR="00180930" w:rsidRDefault="0018093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221891"/>
      <w:docPartObj>
        <w:docPartGallery w:val="Page Numbers (Bottom of Page)"/>
        <w:docPartUnique/>
      </w:docPartObj>
    </w:sdtPr>
    <w:sdtEndPr>
      <w:rPr>
        <w:noProof/>
      </w:rPr>
    </w:sdtEndPr>
    <w:sdtContent>
      <w:p w14:paraId="4B23B83C" w14:textId="0F3AD28F" w:rsidR="00180930" w:rsidRDefault="00180930">
        <w:pPr>
          <w:pStyle w:val="Footer"/>
          <w:jc w:val="center"/>
        </w:pPr>
        <w:r>
          <w:fldChar w:fldCharType="begin"/>
        </w:r>
        <w:r>
          <w:instrText xml:space="preserve"> PAGE   \* MERGEFORMAT </w:instrText>
        </w:r>
        <w:r>
          <w:fldChar w:fldCharType="separate"/>
        </w:r>
        <w:r w:rsidR="00440524">
          <w:rPr>
            <w:noProof/>
          </w:rPr>
          <w:t>1</w:t>
        </w:r>
        <w:r>
          <w:fldChar w:fldCharType="end"/>
        </w:r>
      </w:p>
    </w:sdtContent>
  </w:sdt>
  <w:p w14:paraId="345FAB5E" w14:textId="77777777" w:rsidR="00180930" w:rsidRDefault="0018093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D53BC" w14:textId="77777777" w:rsidR="00180930" w:rsidRDefault="00180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64D34" w14:textId="77777777" w:rsidR="00230E9A" w:rsidRDefault="00230E9A" w:rsidP="000746FB">
      <w:pPr>
        <w:spacing w:after="0" w:line="240" w:lineRule="auto"/>
      </w:pPr>
      <w:r>
        <w:separator/>
      </w:r>
    </w:p>
  </w:footnote>
  <w:footnote w:type="continuationSeparator" w:id="0">
    <w:p w14:paraId="3A3C8EA5" w14:textId="77777777" w:rsidR="00230E9A" w:rsidRDefault="00230E9A" w:rsidP="000746FB">
      <w:pPr>
        <w:spacing w:after="0" w:line="240" w:lineRule="auto"/>
      </w:pPr>
      <w:r>
        <w:continuationSeparator/>
      </w:r>
    </w:p>
  </w:footnote>
  <w:footnote w:type="continuationNotice" w:id="1">
    <w:p w14:paraId="6D57E011" w14:textId="77777777" w:rsidR="00230E9A" w:rsidRDefault="00230E9A">
      <w:pPr>
        <w:spacing w:after="0" w:line="240" w:lineRule="auto"/>
      </w:pPr>
    </w:p>
  </w:footnote>
  <w:footnote w:id="2">
    <w:p w14:paraId="63024207" w14:textId="77777777" w:rsidR="00180930" w:rsidRPr="0021674D" w:rsidRDefault="00180930" w:rsidP="00B823D5">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Izjava čelnika država i vlada iz Versaillesa (10. i 11. ožujka 2022.), str. 5., zaključci Europskog vijeća od 24. do 25. ožujka 2022., točka 15.</w:t>
      </w:r>
    </w:p>
  </w:footnote>
  <w:footnote w:id="3">
    <w:p w14:paraId="68AC0159" w14:textId="77777777" w:rsidR="00180930" w:rsidRPr="0021674D" w:rsidRDefault="00180930" w:rsidP="00B823D5">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Komunikacija „Plan REPowerEU” (COM(2022) 108 final – 8. ožujka 2022.), str. 2.</w:t>
      </w:r>
    </w:p>
  </w:footnote>
  <w:footnote w:id="4">
    <w:p w14:paraId="29BCA85F" w14:textId="77777777" w:rsidR="00180930" w:rsidRPr="00A66D42" w:rsidRDefault="00180930" w:rsidP="00FD0DB6">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COM(2022) 230 final.</w:t>
      </w:r>
    </w:p>
  </w:footnote>
  <w:footnote w:id="5">
    <w:p w14:paraId="459413B6" w14:textId="77777777" w:rsidR="00180930" w:rsidRPr="00427B59" w:rsidRDefault="00180930" w:rsidP="0054495B">
      <w:pPr>
        <w:pStyle w:val="FootnoteText"/>
      </w:pPr>
      <w:r>
        <w:rPr>
          <w:rStyle w:val="FootnoteReference"/>
        </w:rPr>
        <w:footnoteRef/>
      </w:r>
      <w:r>
        <w:t xml:space="preserve"> </w:t>
      </w:r>
      <w:r>
        <w:rPr>
          <w:rFonts w:ascii="Times New Roman" w:hAnsi="Times New Roman"/>
          <w:sz w:val="18"/>
        </w:rPr>
        <w:t>JOIN(2022) 23 final.</w:t>
      </w:r>
    </w:p>
  </w:footnote>
  <w:footnote w:id="6">
    <w:p w14:paraId="5CC506BB" w14:textId="77777777" w:rsidR="00180930" w:rsidRPr="00472B20" w:rsidRDefault="00180930" w:rsidP="0021674D">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COM(2022) 135 final.</w:t>
      </w:r>
    </w:p>
  </w:footnote>
  <w:footnote w:id="7">
    <w:p w14:paraId="0DA01711" w14:textId="77777777" w:rsidR="00180930" w:rsidRPr="00427B59" w:rsidRDefault="00180930" w:rsidP="0021674D">
      <w:pPr>
        <w:pStyle w:val="FootnoteText"/>
        <w:jc w:val="both"/>
        <w:rPr>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COM(2022) 360 final.</w:t>
      </w:r>
    </w:p>
  </w:footnote>
  <w:footnote w:id="8">
    <w:p w14:paraId="51A1A690" w14:textId="77777777" w:rsidR="00180930" w:rsidRPr="00743E1A" w:rsidRDefault="00180930" w:rsidP="00326D72">
      <w:pPr>
        <w:pStyle w:val="FootnoteText"/>
      </w:pPr>
      <w:r>
        <w:rPr>
          <w:rStyle w:val="FootnoteReference"/>
        </w:rPr>
        <w:footnoteRef/>
      </w:r>
      <w:r>
        <w:t xml:space="preserve"> </w:t>
      </w:r>
      <w:r>
        <w:rPr>
          <w:rFonts w:ascii="Times New Roman" w:hAnsi="Times New Roman"/>
          <w:sz w:val="18"/>
        </w:rPr>
        <w:t>COM(2022) 473 final.</w:t>
      </w:r>
    </w:p>
  </w:footnote>
  <w:footnote w:id="9">
    <w:p w14:paraId="417FD5C7" w14:textId="7337A13D" w:rsidR="00180930" w:rsidRPr="008A1404" w:rsidRDefault="00180930" w:rsidP="0084303C">
      <w:pPr>
        <w:pStyle w:val="FootnoteText"/>
        <w:rPr>
          <w:rFonts w:ascii="Times New Roman" w:hAnsi="Times New Roman" w:cs="Times New Roman"/>
          <w:sz w:val="18"/>
          <w:szCs w:val="18"/>
        </w:rPr>
      </w:pPr>
      <w:r>
        <w:rPr>
          <w:rStyle w:val="FootnoteReference"/>
          <w:sz w:val="18"/>
          <w:szCs w:val="18"/>
        </w:rPr>
        <w:footnoteRef/>
      </w:r>
      <w:r>
        <w:rPr>
          <w:sz w:val="18"/>
        </w:rPr>
        <w:t xml:space="preserve"> </w:t>
      </w:r>
      <w:r>
        <w:rPr>
          <w:rFonts w:ascii="Times New Roman" w:hAnsi="Times New Roman"/>
          <w:sz w:val="18"/>
        </w:rPr>
        <w:t>To ne uključuje troškove goriva za prijevoz.</w:t>
      </w:r>
    </w:p>
  </w:footnote>
  <w:footnote w:id="10">
    <w:p w14:paraId="6039099C" w14:textId="77777777" w:rsidR="00180930" w:rsidRPr="008A1404" w:rsidRDefault="00180930" w:rsidP="0084303C">
      <w:pPr>
        <w:pStyle w:val="FootnoteText"/>
        <w:rPr>
          <w:rFonts w:ascii="Times New Roman" w:hAnsi="Times New Roman" w:cs="Times New Roman"/>
          <w:sz w:val="18"/>
          <w:szCs w:val="18"/>
        </w:rPr>
      </w:pPr>
      <w:r>
        <w:rPr>
          <w:rStyle w:val="FootnoteReference"/>
        </w:rPr>
        <w:footnoteRef/>
      </w:r>
      <w:r>
        <w:t xml:space="preserve"> </w:t>
      </w:r>
      <w:r>
        <w:rPr>
          <w:rFonts w:ascii="Times New Roman" w:hAnsi="Times New Roman"/>
          <w:sz w:val="18"/>
        </w:rPr>
        <w:t>Europska komisija (u pripremi): Izvješće o cijenama i troškovima energije 2022.</w:t>
      </w:r>
    </w:p>
  </w:footnote>
  <w:footnote w:id="11">
    <w:p w14:paraId="0732891B" w14:textId="77777777" w:rsidR="00180930" w:rsidRPr="008A1404" w:rsidRDefault="00180930" w:rsidP="0084303C">
      <w:pPr>
        <w:pStyle w:val="FootnoteText"/>
        <w:rPr>
          <w:rFonts w:ascii="Times New Roman" w:hAnsi="Times New Roman" w:cs="Times New Roman"/>
          <w:sz w:val="18"/>
          <w:szCs w:val="18"/>
        </w:rPr>
      </w:pPr>
      <w:r>
        <w:rPr>
          <w:rStyle w:val="FootnoteReference"/>
        </w:rPr>
        <w:footnoteRef/>
      </w:r>
      <w:r>
        <w:t xml:space="preserve"> </w:t>
      </w:r>
      <w:r>
        <w:rPr>
          <w:rFonts w:ascii="Times New Roman" w:hAnsi="Times New Roman"/>
          <w:sz w:val="18"/>
        </w:rPr>
        <w:t>COM(2021) 660 final.</w:t>
      </w:r>
    </w:p>
  </w:footnote>
  <w:footnote w:id="12">
    <w:p w14:paraId="38C285B5" w14:textId="1291207E" w:rsidR="00180930" w:rsidRPr="008A1404" w:rsidRDefault="00180930" w:rsidP="00A3097E">
      <w:pPr>
        <w:pStyle w:val="FootnoteText"/>
        <w:rPr>
          <w:rFonts w:ascii="Times New Roman" w:hAnsi="Times New Roman" w:cs="Times New Roman"/>
          <w:sz w:val="18"/>
          <w:szCs w:val="18"/>
        </w:rPr>
      </w:pPr>
      <w:r>
        <w:rPr>
          <w:rStyle w:val="FootnoteReference"/>
        </w:rPr>
        <w:footnoteRef/>
      </w:r>
      <w:r>
        <w:t xml:space="preserve"> </w:t>
      </w:r>
      <w:r>
        <w:rPr>
          <w:rFonts w:ascii="Times New Roman" w:hAnsi="Times New Roman"/>
          <w:sz w:val="18"/>
        </w:rPr>
        <w:t>Korištenje zemljišta, prenamjena zemljišta i šumarstvo.</w:t>
      </w:r>
    </w:p>
  </w:footnote>
  <w:footnote w:id="13">
    <w:p w14:paraId="199053BD" w14:textId="77777777" w:rsidR="00180930" w:rsidRPr="008A1404" w:rsidRDefault="00180930" w:rsidP="00DA13E8">
      <w:pPr>
        <w:pStyle w:val="FootnoteText"/>
        <w:rPr>
          <w:rFonts w:ascii="Times New Roman" w:hAnsi="Times New Roman" w:cs="Times New Roman"/>
          <w:sz w:val="18"/>
          <w:szCs w:val="18"/>
        </w:rPr>
      </w:pPr>
      <w:r>
        <w:rPr>
          <w:rStyle w:val="FootnoteReference"/>
        </w:rPr>
        <w:footnoteRef/>
      </w:r>
      <w:r>
        <w:t xml:space="preserve"> </w:t>
      </w:r>
      <w:r>
        <w:rPr>
          <w:rFonts w:ascii="Times New Roman" w:hAnsi="Times New Roman"/>
          <w:sz w:val="18"/>
        </w:rPr>
        <w:t>BG, PL, DE, FI, DK, NL, IT, FR, AT, CZ, SK, LV – i Litva (LT), koja je sama odlučila prekinuti sav uvoz iz Rusije.</w:t>
      </w:r>
    </w:p>
  </w:footnote>
  <w:footnote w:id="14">
    <w:p w14:paraId="70ABDF03" w14:textId="77777777" w:rsidR="00F5646E" w:rsidRDefault="00F5646E" w:rsidP="00F5646E">
      <w:pPr>
        <w:pStyle w:val="CommentText"/>
        <w:spacing w:after="0"/>
      </w:pPr>
      <w:r>
        <w:rPr>
          <w:rStyle w:val="FootnoteReference"/>
          <w:rFonts w:ascii="Times New Roman" w:hAnsi="Times New Roman" w:cs="Times New Roman"/>
          <w:sz w:val="18"/>
          <w:szCs w:val="18"/>
        </w:rPr>
        <w:footnoteRef/>
      </w:r>
      <w:r>
        <w:rPr>
          <w:rFonts w:ascii="Times New Roman" w:hAnsi="Times New Roman"/>
          <w:sz w:val="18"/>
        </w:rPr>
        <w:t xml:space="preserve"> U okviru usluga praćenja klimatskih promjena (C3S) u sklopu programa Copernicus</w:t>
      </w:r>
      <w:r>
        <w:t xml:space="preserve"> </w:t>
      </w:r>
      <w:hyperlink w:anchor="!/search?type=dataset&amp;keywords=((%20%22Sector:%20Energy%22%20))" w:history="1">
        <w:r>
          <w:rPr>
            <w:rStyle w:val="Hyperlink"/>
            <w:rFonts w:ascii="Times New Roman" w:hAnsi="Times New Roman"/>
            <w:sz w:val="18"/>
          </w:rPr>
          <w:t>sektor energije iz obnovljivih izvora</w:t>
        </w:r>
      </w:hyperlink>
      <w:r>
        <w:rPr>
          <w:rFonts w:ascii="Times New Roman" w:hAnsi="Times New Roman"/>
          <w:sz w:val="18"/>
        </w:rPr>
        <w:t xml:space="preserve"> podupire se pružanjem proizvoda posebno namijenjenih za proizvodnju u solarnim fotonaponskim elektranama, vjetroelektranama i hidroelektranama u gotovo stvarnom vremenu (povijesne projekcije i </w:t>
      </w:r>
      <w:hyperlink w:anchor="!/software/app-energy-explorer-europe?tab=app" w:history="1">
        <w:r>
          <w:rPr>
            <w:rStyle w:val="Hyperlink"/>
            <w:rFonts w:ascii="Times New Roman" w:hAnsi="Times New Roman"/>
            <w:sz w:val="18"/>
          </w:rPr>
          <w:t>projekcije</w:t>
        </w:r>
      </w:hyperlink>
      <w:r>
        <w:rPr>
          <w:rFonts w:ascii="Times New Roman" w:hAnsi="Times New Roman"/>
          <w:sz w:val="18"/>
        </w:rPr>
        <w:t xml:space="preserve"> u gotovo stvarnom vremenu u različitim scenarijima).</w:t>
      </w:r>
    </w:p>
  </w:footnote>
  <w:footnote w:id="15">
    <w:p w14:paraId="50E92B1D" w14:textId="77777777" w:rsidR="00180930" w:rsidRPr="0068625F" w:rsidRDefault="00180930" w:rsidP="00326D72">
      <w:pPr>
        <w:pStyle w:val="FootnoteText"/>
        <w:jc w:val="both"/>
      </w:pPr>
      <w:r>
        <w:rPr>
          <w:rStyle w:val="FootnoteReference"/>
        </w:rPr>
        <w:footnoteRef/>
      </w:r>
      <w:r>
        <w:t xml:space="preserve"> </w:t>
      </w:r>
      <w:r>
        <w:rPr>
          <w:rFonts w:ascii="Times New Roman" w:hAnsi="Times New Roman"/>
          <w:sz w:val="18"/>
        </w:rPr>
        <w:t xml:space="preserve">Najnoviji podaci Eurostata: </w:t>
      </w:r>
      <w:hyperlink w:anchor="Nuclear_heat_and_gross_electricity_production" w:history="1">
        <w:r>
          <w:rPr>
            <w:rStyle w:val="Hyperlink"/>
            <w:rFonts w:ascii="Times New Roman" w:hAnsi="Times New Roman"/>
            <w:sz w:val="18"/>
          </w:rPr>
          <w:t>Statistika o nuklearnoj energiji – objašnjenje statističkih podataka (europa.eu)</w:t>
        </w:r>
      </w:hyperlink>
      <w:r>
        <w:t>.</w:t>
      </w:r>
    </w:p>
  </w:footnote>
  <w:footnote w:id="16">
    <w:p w14:paraId="1C27CCE2" w14:textId="77777777" w:rsidR="00180930" w:rsidRPr="0068625F" w:rsidRDefault="00180930" w:rsidP="005D35CB">
      <w:pPr>
        <w:pStyle w:val="FootnoteText"/>
        <w:jc w:val="both"/>
      </w:pPr>
      <w:r>
        <w:rPr>
          <w:rStyle w:val="FootnoteReference"/>
        </w:rPr>
        <w:footnoteRef/>
      </w:r>
      <w:r>
        <w:t xml:space="preserve"> </w:t>
      </w:r>
      <w:r>
        <w:rPr>
          <w:rFonts w:ascii="Times New Roman" w:hAnsi="Times New Roman"/>
          <w:sz w:val="18"/>
        </w:rPr>
        <w:t>Predviđa se da će udio nuklearne energije u bruto proizvodnji električne energije do 2030. iznositi 16 % (prema modelu primijenjenom u izradi paketa „Spremni za 55 %”), a u proizvodnji električne energije do 2050. 15 % (Komunikacija „Čist planet za sve” i plan za postizanje klimatskog cilja).</w:t>
      </w:r>
    </w:p>
  </w:footnote>
  <w:footnote w:id="17">
    <w:p w14:paraId="3DEBA94F" w14:textId="77777777" w:rsidR="00180930" w:rsidRPr="00427B59" w:rsidRDefault="00180930" w:rsidP="004028B3">
      <w:pPr>
        <w:pStyle w:val="FootnoteText"/>
      </w:pPr>
      <w:r>
        <w:rPr>
          <w:rStyle w:val="FootnoteReference"/>
        </w:rPr>
        <w:footnoteRef/>
      </w:r>
      <w:r>
        <w:t xml:space="preserve"> </w:t>
      </w:r>
      <w:hyperlink r:id="rId1" w:history="1">
        <w:r>
          <w:rPr>
            <w:rStyle w:val="Hyperlink"/>
            <w:rFonts w:ascii="Times New Roman" w:hAnsi="Times New Roman"/>
            <w:sz w:val="18"/>
          </w:rPr>
          <w:t>https://ec.europa.eu/transparency/expert-groups-register/screen/expert-groups/consult?lang=hr&amp;groupID=3865</w:t>
        </w:r>
      </w:hyperlink>
      <w:r>
        <w:rPr>
          <w:rFonts w:ascii="Times New Roman" w:hAnsi="Times New Roman"/>
          <w:sz w:val="18"/>
        </w:rPr>
        <w:t xml:space="preserve"> </w:t>
      </w:r>
      <w:r>
        <w:t xml:space="preserve"> </w:t>
      </w:r>
    </w:p>
  </w:footnote>
  <w:footnote w:id="18">
    <w:p w14:paraId="14CAFFD0" w14:textId="6263F05B" w:rsidR="00180930" w:rsidRPr="00427B59" w:rsidRDefault="00180930" w:rsidP="00173E78">
      <w:pPr>
        <w:pStyle w:val="FootnoteText"/>
        <w:jc w:val="both"/>
      </w:pPr>
      <w:r>
        <w:rPr>
          <w:rStyle w:val="FootnoteReference"/>
          <w:rFonts w:ascii="Times New Roman" w:hAnsi="Times New Roman" w:cs="Times New Roman"/>
          <w:sz w:val="18"/>
          <w:szCs w:val="18"/>
        </w:rPr>
        <w:footnoteRef/>
      </w:r>
      <w:hyperlink r:id="rId2" w:history="1">
        <w:r>
          <w:rPr>
            <w:rStyle w:val="Hyperlink"/>
            <w:rFonts w:ascii="Times New Roman" w:hAnsi="Times New Roman"/>
            <w:sz w:val="18"/>
          </w:rPr>
          <w:t>https://www.iea.org/news/renewable-power-is-set-to-break-another-global-record-in-2022-despite-headwinds-from-higher-costs-and-supply-chain-bottlenecks</w:t>
        </w:r>
      </w:hyperlink>
      <w:r>
        <w:rPr>
          <w:rFonts w:ascii="Times New Roman" w:hAnsi="Times New Roman"/>
          <w:sz w:val="18"/>
        </w:rPr>
        <w:t xml:space="preserve"> </w:t>
      </w:r>
    </w:p>
  </w:footnote>
  <w:footnote w:id="19">
    <w:p w14:paraId="4AC4864F" w14:textId="77777777" w:rsidR="00180930" w:rsidRPr="00427B59" w:rsidRDefault="00180930" w:rsidP="00680361">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 xml:space="preserve"> </w:t>
      </w:r>
      <w:r>
        <w:rPr>
          <w:rFonts w:ascii="Times New Roman" w:hAnsi="Times New Roman"/>
          <w:sz w:val="18"/>
        </w:rPr>
        <w:t>https://www.eurobserv-er.org/pdf/20th-annual-overview-barometer/</w:t>
      </w:r>
    </w:p>
  </w:footnote>
  <w:footnote w:id="20">
    <w:p w14:paraId="706163EE" w14:textId="77777777" w:rsidR="00180930" w:rsidRPr="006925C4" w:rsidRDefault="00180930" w:rsidP="00680361">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3" w:history="1">
        <w:r>
          <w:rPr>
            <w:rStyle w:val="Hyperlink1"/>
            <w:rFonts w:ascii="Times New Roman" w:hAnsi="Times New Roman"/>
            <w:i/>
            <w:sz w:val="18"/>
          </w:rPr>
          <w:t>Global Market Outlook For Solar Power 2022-2026 - SolarPower Europe</w:t>
        </w:r>
        <w:r>
          <w:rPr>
            <w:rStyle w:val="Hyperlink1"/>
            <w:rFonts w:ascii="Times New Roman" w:hAnsi="Times New Roman"/>
            <w:sz w:val="18"/>
          </w:rPr>
          <w:t xml:space="preserve"> (Izgledi za solarnu energiju na globalnom tržištu u razdoblju 2022.–2026. – SolarPower Europe)</w:t>
        </w:r>
      </w:hyperlink>
      <w:r>
        <w:t>.</w:t>
      </w:r>
    </w:p>
  </w:footnote>
  <w:footnote w:id="21">
    <w:p w14:paraId="63439C7E" w14:textId="77777777" w:rsidR="00180930" w:rsidRPr="006925C4" w:rsidRDefault="00180930" w:rsidP="00680361">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4" w:history="1">
        <w:r>
          <w:rPr>
            <w:rStyle w:val="Hyperlink1"/>
            <w:rFonts w:ascii="Times New Roman" w:hAnsi="Times New Roman"/>
            <w:i/>
            <w:sz w:val="18"/>
          </w:rPr>
          <w:t>European Electricity Review 2022</w:t>
        </w:r>
        <w:r>
          <w:rPr>
            <w:rStyle w:val="Hyperlink1"/>
            <w:rFonts w:ascii="Times New Roman" w:hAnsi="Times New Roman"/>
            <w:sz w:val="18"/>
          </w:rPr>
          <w:t xml:space="preserve"> (Pregled europskog elektroenergetskog sektora 2022.) |</w:t>
        </w:r>
      </w:hyperlink>
      <w:hyperlink r:id="rId5" w:history="1">
        <w:r>
          <w:rPr>
            <w:rStyle w:val="Hyperlink1"/>
            <w:rFonts w:ascii="Times New Roman" w:hAnsi="Times New Roman"/>
            <w:sz w:val="18"/>
          </w:rPr>
          <w:t xml:space="preserve"> Ember (ember-climate.org)</w:t>
        </w:r>
      </w:hyperlink>
      <w:r>
        <w:t>.</w:t>
      </w:r>
    </w:p>
  </w:footnote>
  <w:footnote w:id="22">
    <w:p w14:paraId="33D77181" w14:textId="77777777" w:rsidR="00180930" w:rsidRPr="00EC29F9" w:rsidRDefault="00180930" w:rsidP="00352340">
      <w:pPr>
        <w:pStyle w:val="FootnoteText"/>
        <w:jc w:val="both"/>
        <w:rPr>
          <w:rFonts w:ascii="Times New Roman" w:hAnsi="Times New Roman" w:cs="Times New Roman"/>
          <w:b/>
          <w:bCs/>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Od 13 država članica EU-a koje proizvode nuklearnu energiju njih četiri u potpunosti, a jedna djelomično ovise o opskrbi ruskim nuklearnim gorivom. Neke od tih zemalja posebno su ranjive jer nuklearna energija čini velik udio u njihovoj proizvodnji električne energije (do 53,8 %), a u velikoj su mjeri ovisne i o drugim ruskim izvorima energije (plin, nafta).</w:t>
      </w:r>
    </w:p>
  </w:footnote>
  <w:footnote w:id="23">
    <w:p w14:paraId="4CE569B6" w14:textId="43B25C07" w:rsidR="00180930" w:rsidRPr="003F59C7" w:rsidRDefault="00180930" w:rsidP="003F59C7">
      <w:pPr>
        <w:autoSpaceDE w:val="0"/>
        <w:autoSpaceDN w:val="0"/>
        <w:spacing w:after="0" w:line="240" w:lineRule="auto"/>
        <w:rPr>
          <w:rFonts w:ascii="Times New Roman" w:hAnsi="Times New Roman" w:cs="Times New Roman"/>
          <w:sz w:val="18"/>
          <w:szCs w:val="18"/>
        </w:rPr>
      </w:pPr>
      <w:r>
        <w:rPr>
          <w:rStyle w:val="FootnoteReference"/>
        </w:rPr>
        <w:footnoteRef/>
      </w:r>
      <w:r>
        <w:t xml:space="preserve"> </w:t>
      </w:r>
      <w:r>
        <w:rPr>
          <w:rFonts w:ascii="Times New Roman" w:hAnsi="Times New Roman"/>
          <w:sz w:val="18"/>
        </w:rPr>
        <w:t>Grafikoni za kućanstva i usluge ispravljeni su kako bi se u obzir uzeli klimatski uvjeti. Klimatski korekcijski faktor dobiva se dijeljenjem stupanj-dana grijanja (HDD) izmjerenih svake godine s prosječnim HDD-om u razdoblju 1980.–2004.</w:t>
      </w:r>
    </w:p>
  </w:footnote>
  <w:footnote w:id="24">
    <w:p w14:paraId="18154482" w14:textId="77777777" w:rsidR="00180930" w:rsidRDefault="00180930" w:rsidP="006D6287">
      <w:pPr>
        <w:pStyle w:val="FootnoteText"/>
      </w:pPr>
      <w:r>
        <w:rPr>
          <w:rStyle w:val="FootnoteReference"/>
        </w:rPr>
        <w:footnoteRef/>
      </w:r>
      <w:r>
        <w:t xml:space="preserve"> </w:t>
      </w:r>
      <w:r>
        <w:rPr>
          <w:rStyle w:val="Hyperlink1"/>
          <w:rFonts w:ascii="Times New Roman" w:hAnsi="Times New Roman"/>
          <w:sz w:val="18"/>
        </w:rPr>
        <w:t>https://www.consilium.europa.eu/hr/press/press-releases/2022/08/05/council-adopts-regulation-on-reducing-gas-demand-by-15-this-winter/</w:t>
      </w:r>
    </w:p>
  </w:footnote>
  <w:footnote w:id="25">
    <w:p w14:paraId="02F1FD75" w14:textId="77777777" w:rsidR="00180930" w:rsidRPr="003F2335" w:rsidRDefault="00180930" w:rsidP="007E7BF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6" w:history="1">
        <w:r>
          <w:rPr>
            <w:rStyle w:val="Hyperlink1"/>
            <w:rFonts w:ascii="Times New Roman" w:hAnsi="Times New Roman"/>
            <w:sz w:val="18"/>
          </w:rPr>
          <w:t>C/2022/2026, SL C 182, 4.5.2022., str. 1.–12.</w:t>
        </w:r>
      </w:hyperlink>
    </w:p>
  </w:footnote>
  <w:footnote w:id="26">
    <w:p w14:paraId="189516E5" w14:textId="77777777" w:rsidR="00180930" w:rsidRPr="003F2335" w:rsidRDefault="00180930" w:rsidP="007E7BF4">
      <w:pPr>
        <w:pStyle w:val="FootnoteText"/>
        <w:jc w:val="both"/>
        <w:rPr>
          <w:rStyle w:val="Hyperlink1"/>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7" w:history="1">
        <w:r>
          <w:rPr>
            <w:rStyle w:val="Hyperlink1"/>
            <w:rFonts w:ascii="Times New Roman" w:hAnsi="Times New Roman"/>
            <w:sz w:val="18"/>
          </w:rPr>
          <w:t>https://environment.ec.europa.eu/publications/proposal-ecodesign-sustainable-products-regulation_hr</w:t>
        </w:r>
      </w:hyperlink>
      <w:r>
        <w:rPr>
          <w:rStyle w:val="Hyperlink1"/>
          <w:rFonts w:ascii="Times New Roman" w:hAnsi="Times New Roman"/>
          <w:sz w:val="18"/>
        </w:rPr>
        <w:t xml:space="preserve"> </w:t>
      </w:r>
    </w:p>
  </w:footnote>
  <w:footnote w:id="27">
    <w:p w14:paraId="2A9C1B2C" w14:textId="578578C6" w:rsidR="00180930" w:rsidRPr="003F2335" w:rsidRDefault="00180930" w:rsidP="00D3371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To ne uključuje </w:t>
      </w:r>
      <w:r>
        <w:rPr>
          <w:rStyle w:val="normaltextrun"/>
          <w:rFonts w:ascii="Times New Roman" w:hAnsi="Times New Roman"/>
          <w:sz w:val="18"/>
          <w:shd w:val="clear" w:color="auto" w:fill="FFFFFF"/>
        </w:rPr>
        <w:t>troškove goriva za prijevoz.</w:t>
      </w:r>
    </w:p>
  </w:footnote>
  <w:footnote w:id="28">
    <w:p w14:paraId="41CB3882" w14:textId="5747023B" w:rsidR="00180930" w:rsidRPr="003F2335" w:rsidRDefault="00180930" w:rsidP="00D3371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Izvješće Europske komisije o cijenama i troškovima energije 2022. (u pripremi).</w:t>
      </w:r>
    </w:p>
  </w:footnote>
  <w:footnote w:id="29">
    <w:p w14:paraId="2C439EAE" w14:textId="77777777" w:rsidR="00180930" w:rsidRPr="00B67C3D" w:rsidRDefault="00180930" w:rsidP="004028B3">
      <w:pPr>
        <w:pStyle w:val="FootnoteText"/>
      </w:pPr>
      <w:r>
        <w:rPr>
          <w:rStyle w:val="FootnoteReference"/>
        </w:rPr>
        <w:footnoteRef/>
      </w:r>
      <w:r>
        <w:t xml:space="preserve"> </w:t>
      </w:r>
      <w:hyperlink r:id="rId8" w:history="1">
        <w:r>
          <w:rPr>
            <w:rStyle w:val="Hyperlink"/>
            <w:rFonts w:ascii="Times New Roman" w:hAnsi="Times New Roman"/>
            <w:sz w:val="18"/>
          </w:rPr>
          <w:t>https://ec.europa.eu/transparency/expert-groups-register/screen/expert-groups/consult?lang=hr&amp;groupID=3849</w:t>
        </w:r>
      </w:hyperlink>
      <w:r>
        <w:rPr>
          <w:rFonts w:ascii="Times New Roman" w:hAnsi="Times New Roman"/>
          <w:sz w:val="18"/>
        </w:rPr>
        <w:t xml:space="preserve"> </w:t>
      </w:r>
    </w:p>
  </w:footnote>
  <w:footnote w:id="30">
    <w:p w14:paraId="392B4FAE" w14:textId="77777777" w:rsidR="00180930" w:rsidRPr="003F2335" w:rsidRDefault="00180930" w:rsidP="002A160A">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COM(2022) 108 final.</w:t>
      </w:r>
    </w:p>
  </w:footnote>
  <w:footnote w:id="31">
    <w:p w14:paraId="4D9C9137" w14:textId="77777777" w:rsidR="00180930" w:rsidRPr="00F13B2A" w:rsidRDefault="00180930">
      <w:pPr>
        <w:pStyle w:val="FootnoteText"/>
      </w:pPr>
      <w:r>
        <w:rPr>
          <w:rStyle w:val="FootnoteReference"/>
        </w:rPr>
        <w:footnoteRef/>
      </w:r>
      <w:r>
        <w:t xml:space="preserve"> </w:t>
      </w:r>
      <w:r>
        <w:rPr>
          <w:rFonts w:ascii="Times New Roman" w:hAnsi="Times New Roman"/>
          <w:sz w:val="18"/>
        </w:rPr>
        <w:t>Treba biti doneseno do kraja 2022.</w:t>
      </w:r>
    </w:p>
  </w:footnote>
  <w:footnote w:id="32">
    <w:p w14:paraId="0A7BBE01" w14:textId="11A681D1" w:rsidR="00180930" w:rsidRPr="003F2335" w:rsidRDefault="00180930" w:rsidP="00912FDF">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9" w:history="1">
        <w:r>
          <w:rPr>
            <w:rStyle w:val="Hyperlink"/>
            <w:rFonts w:ascii="Times New Roman" w:hAnsi="Times New Roman"/>
            <w:sz w:val="18"/>
          </w:rPr>
          <w:t>https://unfccc.int/sites/default/files/resource/European%20Union-BR4_C_2019_8832_and_SWD_2019_432_2.pdf</w:t>
        </w:r>
      </w:hyperlink>
      <w:r>
        <w:rPr>
          <w:rFonts w:ascii="Times New Roman" w:hAnsi="Times New Roman"/>
          <w:sz w:val="18"/>
        </w:rPr>
        <w:t xml:space="preserve"> </w:t>
      </w:r>
    </w:p>
  </w:footnote>
  <w:footnote w:id="33">
    <w:p w14:paraId="1A8C1BDF" w14:textId="022656E8" w:rsidR="00F5646E" w:rsidRPr="00E50DC0" w:rsidRDefault="00F5646E" w:rsidP="00F5646E">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Usluga praćenja stanja atmosfere u okviru programa Copernicus pruža </w:t>
      </w:r>
      <w:hyperlink r:id="rId10" w:history="1">
        <w:r>
          <w:rPr>
            <w:rStyle w:val="Hyperlink"/>
            <w:rFonts w:ascii="Times New Roman" w:hAnsi="Times New Roman"/>
            <w:sz w:val="18"/>
          </w:rPr>
          <w:t>podatke</w:t>
        </w:r>
      </w:hyperlink>
      <w:r>
        <w:rPr>
          <w:rFonts w:ascii="Times New Roman" w:hAnsi="Times New Roman"/>
          <w:sz w:val="18"/>
        </w:rPr>
        <w:t xml:space="preserve"> i </w:t>
      </w:r>
      <w:hyperlink r:id="rId11" w:anchor="/product/urn:x-wmo:md:int.ecmwf::copernicus:cams:prod:an:co_nh3_nmvocs_nox_pm10_pm2.5_so2_warning_multiple_species:pid269" w:history="1">
        <w:r>
          <w:rPr>
            <w:rStyle w:val="Hyperlink"/>
            <w:rFonts w:ascii="Times New Roman" w:hAnsi="Times New Roman"/>
            <w:sz w:val="18"/>
          </w:rPr>
          <w:t>proizvode</w:t>
        </w:r>
      </w:hyperlink>
      <w:r>
        <w:rPr>
          <w:rFonts w:ascii="Times New Roman" w:hAnsi="Times New Roman"/>
          <w:sz w:val="18"/>
        </w:rPr>
        <w:t xml:space="preserve"> za praćenje emisija u gotovo stvarnom vremenu, što pomaže u procjeni smanjenja emisija i napretka u postizanju ciljeva utvrđenih u uredbama EU-a i međunarodnim pravno obvezujućim instrumentima politike (Pariški sporazum).</w:t>
      </w:r>
    </w:p>
  </w:footnote>
  <w:footnote w:id="34">
    <w:p w14:paraId="4834E9BB" w14:textId="77777777" w:rsidR="00180930" w:rsidRDefault="00180930" w:rsidP="00326D72">
      <w:pPr>
        <w:pStyle w:val="FootnoteText"/>
      </w:pPr>
      <w:r>
        <w:rPr>
          <w:rStyle w:val="FootnoteReference"/>
        </w:rPr>
        <w:footnoteRef/>
      </w:r>
      <w:r>
        <w:t xml:space="preserve"> </w:t>
      </w:r>
      <w:r>
        <w:rPr>
          <w:rFonts w:ascii="Times New Roman" w:hAnsi="Times New Roman"/>
          <w:sz w:val="18"/>
        </w:rPr>
        <w:t>EEA će krajem listopada 2022. objaviti približne procjene emisija stakleničkih plinova za 2021., o kojima će izvijestiti u izvješću EEA-e „Trendovi i projekcije u Europi 2022.” i izvješću o djelovanju u području klime.</w:t>
      </w:r>
    </w:p>
  </w:footnote>
  <w:footnote w:id="35">
    <w:p w14:paraId="30F77BB5" w14:textId="7C7B8C3A" w:rsidR="00180930" w:rsidRDefault="00180930">
      <w:pPr>
        <w:pStyle w:val="FootnoteText"/>
      </w:pPr>
      <w:r>
        <w:rPr>
          <w:rStyle w:val="FootnoteReference"/>
          <w:rFonts w:ascii="Times New Roman" w:hAnsi="Times New Roman" w:cs="Times New Roman"/>
          <w:sz w:val="18"/>
          <w:szCs w:val="18"/>
        </w:rPr>
        <w:footnoteRef/>
      </w:r>
      <w:r>
        <w:rPr>
          <w:rFonts w:ascii="Times New Roman" w:hAnsi="Times New Roman"/>
          <w:sz w:val="18"/>
        </w:rPr>
        <w:t xml:space="preserve"> Kako je utvrđeno u inventaru stakleničkih plinova za 2022., koji je EU dostavio UNFCCC-u. Privremeni podaci objavit će se uz Izvješće o djelovanju u području klime za 2022., koje će biti objavljeno do kraja listopada 2022.</w:t>
      </w:r>
    </w:p>
  </w:footnote>
  <w:footnote w:id="36">
    <w:p w14:paraId="2151A141" w14:textId="0E603A01" w:rsidR="00180930" w:rsidRPr="00C47B68" w:rsidRDefault="00180930" w:rsidP="00415BFA">
      <w:pPr>
        <w:pStyle w:val="FootnoteText"/>
      </w:pPr>
      <w:r>
        <w:rPr>
          <w:rStyle w:val="FootnoteReference"/>
        </w:rPr>
        <w:footnoteRef/>
      </w:r>
      <w:r>
        <w:t xml:space="preserve"> </w:t>
      </w:r>
      <w:r>
        <w:rPr>
          <w:rFonts w:ascii="Times New Roman" w:hAnsi="Times New Roman"/>
          <w:sz w:val="18"/>
        </w:rPr>
        <w:t>Na temelju Direktive 2009/28/EZ Europskog parlamenta i Vijeća od 23. travnja 2009. o promicanju uporabe energije iz obnovljivih izvora</w:t>
      </w:r>
      <w:r>
        <w:t>.</w:t>
      </w:r>
    </w:p>
  </w:footnote>
  <w:footnote w:id="37">
    <w:p w14:paraId="53A3ED90" w14:textId="77777777" w:rsidR="00180930" w:rsidRPr="001D431F" w:rsidRDefault="00180930">
      <w:pPr>
        <w:pStyle w:val="FootnoteText"/>
      </w:pPr>
      <w:r>
        <w:rPr>
          <w:rStyle w:val="FootnoteReference"/>
        </w:rPr>
        <w:footnoteRef/>
      </w:r>
      <w:r>
        <w:t xml:space="preserve"> </w:t>
      </w:r>
      <w:r>
        <w:rPr>
          <w:rFonts w:ascii="Times New Roman" w:hAnsi="Times New Roman"/>
          <w:sz w:val="18"/>
        </w:rPr>
        <w:t>Francuska je ostvarila udio od 19,1 % te joj je za postizanje cilja nedostajalo 3,9 postotnih bodova.</w:t>
      </w:r>
    </w:p>
  </w:footnote>
  <w:footnote w:id="38">
    <w:p w14:paraId="52DD9AEF" w14:textId="2C4B7A17" w:rsidR="00180930" w:rsidRPr="00D77C14" w:rsidRDefault="00180930" w:rsidP="00BE5592">
      <w:pPr>
        <w:pStyle w:val="FootnoteText"/>
        <w:jc w:val="both"/>
      </w:pPr>
      <w:r>
        <w:rPr>
          <w:rStyle w:val="FootnoteReference"/>
          <w:rFonts w:ascii="Times New Roman" w:hAnsi="Times New Roman" w:cs="Times New Roman"/>
          <w:sz w:val="18"/>
          <w:szCs w:val="18"/>
        </w:rPr>
        <w:footnoteRef/>
      </w:r>
      <w:r>
        <w:rPr>
          <w:rFonts w:ascii="Times New Roman" w:hAnsi="Times New Roman"/>
          <w:sz w:val="18"/>
        </w:rPr>
        <w:t xml:space="preserve"> Sirovine uvrštene u Prilog IX. Direktivi o energiji iz obnovljivih izvora</w:t>
      </w:r>
      <w:r>
        <w:rPr>
          <w:sz w:val="18"/>
        </w:rPr>
        <w:t>.</w:t>
      </w:r>
    </w:p>
  </w:footnote>
  <w:footnote w:id="39">
    <w:p w14:paraId="1A8D92B3" w14:textId="77777777" w:rsidR="00180930" w:rsidRDefault="00180930" w:rsidP="00235B3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Radi razmjene najboljih praksi među državama članicama Komisija je izradila Radni dokument službi Komisije (SWD) s analizom nacionalnih dugoročnih strategija obnove u državama članicama.</w:t>
      </w:r>
    </w:p>
    <w:p w14:paraId="4441A8A1" w14:textId="096A5A34" w:rsidR="00180930" w:rsidRPr="0021674D" w:rsidRDefault="00440524" w:rsidP="00235B34">
      <w:pPr>
        <w:pStyle w:val="FootnoteText"/>
        <w:jc w:val="both"/>
        <w:rPr>
          <w:rFonts w:ascii="Times New Roman" w:hAnsi="Times New Roman" w:cs="Times New Roman"/>
          <w:sz w:val="18"/>
          <w:szCs w:val="18"/>
        </w:rPr>
      </w:pPr>
      <w:hyperlink r:id="rId12" w:history="1">
        <w:r w:rsidR="00513D6E">
          <w:rPr>
            <w:rStyle w:val="Hyperlink"/>
            <w:rFonts w:ascii="Times New Roman" w:hAnsi="Times New Roman"/>
            <w:sz w:val="18"/>
          </w:rPr>
          <w:t>https://energy.ec.europa.eu/system/files/2021-12/swd-on-national-long-term-renovation-strategies.pdf</w:t>
        </w:r>
      </w:hyperlink>
      <w:r w:rsidR="00513D6E">
        <w:rPr>
          <w:rFonts w:ascii="Times New Roman" w:hAnsi="Times New Roman"/>
          <w:sz w:val="18"/>
        </w:rPr>
        <w:t xml:space="preserve"> </w:t>
      </w:r>
    </w:p>
  </w:footnote>
  <w:footnote w:id="40">
    <w:p w14:paraId="25EF0CE5" w14:textId="633F632C" w:rsidR="00180930" w:rsidRPr="00807991" w:rsidRDefault="00180930">
      <w:pPr>
        <w:pStyle w:val="FootnoteText"/>
      </w:pPr>
      <w:r>
        <w:rPr>
          <w:rStyle w:val="FootnoteReference"/>
        </w:rPr>
        <w:footnoteRef/>
      </w:r>
      <w:r>
        <w:t xml:space="preserve"> </w:t>
      </w:r>
      <w:hyperlink r:id="rId13" w:history="1">
        <w:r>
          <w:rPr>
            <w:rStyle w:val="Hyperlink"/>
            <w:rFonts w:ascii="Times New Roman" w:hAnsi="Times New Roman"/>
            <w:sz w:val="18"/>
          </w:rPr>
          <w:t>https://new-european-bauhaus.europa.eu/about/about-initiative_en</w:t>
        </w:r>
      </w:hyperlink>
      <w:r>
        <w:rPr>
          <w:rFonts w:ascii="Times New Roman" w:hAnsi="Times New Roman"/>
          <w:sz w:val="18"/>
        </w:rPr>
        <w:t xml:space="preserve"> </w:t>
      </w:r>
    </w:p>
  </w:footnote>
  <w:footnote w:id="41">
    <w:p w14:paraId="5ECE6FF3" w14:textId="77777777" w:rsidR="00180930" w:rsidRPr="0021674D" w:rsidRDefault="00180930" w:rsidP="0021674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4" w:history="1">
        <w:r>
          <w:rPr>
            <w:rStyle w:val="Hyperlink1"/>
            <w:rFonts w:ascii="Times New Roman" w:hAnsi="Times New Roman"/>
            <w:sz w:val="18"/>
          </w:rPr>
          <w:t>https://op.europa.eu/en/publication-detail/-/publication/568cac02-5191-11ec-91ac-01aa75ed71a1/language-hr</w:t>
        </w:r>
      </w:hyperlink>
      <w:r>
        <w:rPr>
          <w:rFonts w:ascii="Times New Roman" w:hAnsi="Times New Roman"/>
          <w:sz w:val="18"/>
        </w:rPr>
        <w:t xml:space="preserve"> </w:t>
      </w:r>
    </w:p>
  </w:footnote>
  <w:footnote w:id="42">
    <w:p w14:paraId="30A9B769" w14:textId="77777777" w:rsidR="00180930" w:rsidRPr="0021674D" w:rsidRDefault="00180930" w:rsidP="0021674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18"/>
        </w:rPr>
        <w:t xml:space="preserve">Vidjeti odjeljak 6. dokumenta </w:t>
      </w:r>
      <w:hyperlink r:id="rId15" w:anchor="Bilješka 20." w:history="1">
        <w:r>
          <w:rPr>
            <w:rStyle w:val="Hyperlink1"/>
            <w:rFonts w:ascii="Times New Roman" w:hAnsi="Times New Roman"/>
            <w:sz w:val="18"/>
          </w:rPr>
          <w:t>SWD/2022/0101 final</w:t>
        </w:r>
      </w:hyperlink>
      <w:r>
        <w:t>.</w:t>
      </w:r>
    </w:p>
  </w:footnote>
  <w:footnote w:id="43">
    <w:p w14:paraId="79EE13D4" w14:textId="77777777" w:rsidR="00180930" w:rsidRPr="0021674D" w:rsidRDefault="00180930" w:rsidP="0021674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6" w:history="1">
        <w:r>
          <w:rPr>
            <w:rStyle w:val="Hyperlink1"/>
            <w:rFonts w:ascii="Times New Roman" w:hAnsi="Times New Roman"/>
            <w:sz w:val="18"/>
          </w:rPr>
          <w:t>C/2022/2026, SL C 182, 4.5.2022., str. 1.–12.</w:t>
        </w:r>
      </w:hyperlink>
    </w:p>
  </w:footnote>
  <w:footnote w:id="44">
    <w:p w14:paraId="3D7BA04E" w14:textId="77777777" w:rsidR="00180930" w:rsidRPr="003D566B" w:rsidRDefault="00180930" w:rsidP="00B015B0">
      <w:pPr>
        <w:pStyle w:val="FootnoteText"/>
      </w:pPr>
      <w:r>
        <w:rPr>
          <w:rStyle w:val="FootnoteReference"/>
        </w:rPr>
        <w:footnoteRef/>
      </w:r>
      <w:r>
        <w:t xml:space="preserve"> </w:t>
      </w:r>
      <w:r>
        <w:rPr>
          <w:rFonts w:ascii="Times New Roman" w:hAnsi="Times New Roman"/>
          <w:sz w:val="18"/>
        </w:rPr>
        <w:t>Uredba (EU) 2017/1938 Europskog parlamenta i Vijeća od 25. listopada 2017. o mjerama zaštite sigurnosti opskrbe plinom i stavljanju izvan snage Uredbe (EU) br. 994/2010.</w:t>
      </w:r>
    </w:p>
  </w:footnote>
  <w:footnote w:id="45">
    <w:p w14:paraId="4AC1A694" w14:textId="77777777" w:rsidR="00180930" w:rsidRPr="003D566B" w:rsidRDefault="00180930" w:rsidP="00B015B0">
      <w:pPr>
        <w:pStyle w:val="FootnoteText"/>
      </w:pPr>
      <w:r>
        <w:rPr>
          <w:rStyle w:val="FootnoteReference"/>
        </w:rPr>
        <w:footnoteRef/>
      </w:r>
      <w:r>
        <w:t xml:space="preserve"> </w:t>
      </w:r>
      <w:r>
        <w:rPr>
          <w:rFonts w:ascii="Times New Roman" w:hAnsi="Times New Roman"/>
          <w:sz w:val="18"/>
        </w:rPr>
        <w:t>Uredba (EU) 2019/941 Europskog parlamenta i Vijeća od 5. lipnja 2019. o pripravnosti na rizike u elektroenergetskom sektoru.</w:t>
      </w:r>
    </w:p>
  </w:footnote>
  <w:footnote w:id="46">
    <w:p w14:paraId="0220583B" w14:textId="77777777" w:rsidR="00180930" w:rsidRDefault="00180930" w:rsidP="00B015B0">
      <w:pPr>
        <w:pStyle w:val="FootnoteText"/>
      </w:pPr>
      <w:r>
        <w:rPr>
          <w:rStyle w:val="FootnoteReference"/>
        </w:rPr>
        <w:footnoteRef/>
      </w:r>
      <w:r>
        <w:t xml:space="preserve"> </w:t>
      </w:r>
      <w:r>
        <w:rPr>
          <w:rFonts w:ascii="Times New Roman" w:hAnsi="Times New Roman"/>
          <w:sz w:val="18"/>
        </w:rPr>
        <w:t>Direktiva Vijeća 2009/119/EZ od 14. rujna 2009. o obvezi država članica da održavaju minimalne zalihe sirove nafte i/ili naftnih derivata.</w:t>
      </w:r>
    </w:p>
  </w:footnote>
  <w:footnote w:id="47">
    <w:p w14:paraId="2DE58875" w14:textId="77777777" w:rsidR="00180930" w:rsidRPr="00B2557E" w:rsidRDefault="00180930">
      <w:pPr>
        <w:pStyle w:val="FootnoteText"/>
      </w:pPr>
      <w:r>
        <w:rPr>
          <w:rStyle w:val="FootnoteReference"/>
        </w:rPr>
        <w:footnoteRef/>
      </w:r>
      <w:r>
        <w:t xml:space="preserve"> </w:t>
      </w:r>
      <w:r>
        <w:rPr>
          <w:rFonts w:ascii="Times New Roman" w:hAnsi="Times New Roman"/>
          <w:sz w:val="18"/>
        </w:rPr>
        <w:t>Preporuka Komisije (EU) 2022/867 od 1. lipnja 2022. o puštanju u promet zaliha nafte za slučaj nužde u državama članicama nakon invazije na Ukrajinu (SL L 151, str. 72.).</w:t>
      </w:r>
    </w:p>
  </w:footnote>
  <w:footnote w:id="48">
    <w:p w14:paraId="59B0ACBF" w14:textId="77777777" w:rsidR="00180930" w:rsidRPr="003D566B" w:rsidRDefault="00180930" w:rsidP="008B66FE">
      <w:pPr>
        <w:pStyle w:val="FootnoteText"/>
      </w:pPr>
      <w:r>
        <w:rPr>
          <w:rStyle w:val="FootnoteReference"/>
        </w:rPr>
        <w:footnoteRef/>
      </w:r>
      <w:r>
        <w:t xml:space="preserve"> </w:t>
      </w:r>
      <w:r>
        <w:rPr>
          <w:rFonts w:ascii="Times New Roman" w:hAnsi="Times New Roman"/>
          <w:i/>
          <w:sz w:val="18"/>
        </w:rPr>
        <w:t>Study on the resilience of critical supply chains for energy security and clean energy transition during and after the COVID-19 crisis</w:t>
      </w:r>
      <w:r>
        <w:rPr>
          <w:rFonts w:ascii="Times New Roman" w:hAnsi="Times New Roman"/>
          <w:sz w:val="18"/>
        </w:rPr>
        <w:t xml:space="preserve"> (Studija o otpornosti ključnih lanaca opskrbe za energetsku sigurnost i prelazak na čistu energiju tijekom i nakon krize uzrokovane bolešću COVID-19), ISBN 978-92-76-38453-3.</w:t>
      </w:r>
    </w:p>
  </w:footnote>
  <w:footnote w:id="49">
    <w:p w14:paraId="69E00DBA" w14:textId="77777777" w:rsidR="00180930" w:rsidRPr="00472B20" w:rsidRDefault="00180930">
      <w:pPr>
        <w:pStyle w:val="FootnoteText"/>
        <w:rPr>
          <w:rFonts w:ascii="Times New Roman" w:hAnsi="Times New Roman" w:cs="Times New Roman"/>
          <w:sz w:val="18"/>
          <w:szCs w:val="18"/>
        </w:rPr>
      </w:pPr>
      <w:r>
        <w:rPr>
          <w:rStyle w:val="FootnoteReference"/>
        </w:rPr>
        <w:footnoteRef/>
      </w:r>
      <w:r>
        <w:t xml:space="preserve"> </w:t>
      </w:r>
      <w:hyperlink r:id="rId17" w:history="1">
        <w:r>
          <w:rPr>
            <w:rStyle w:val="Hyperlink"/>
            <w:rFonts w:ascii="Times New Roman" w:hAnsi="Times New Roman"/>
            <w:sz w:val="18"/>
          </w:rPr>
          <w:t>https://www.acer.europa.eu/events-and-engagement/news/press-release-acer-publishes-its-final-assessment-eu-wholesale</w:t>
        </w:r>
      </w:hyperlink>
      <w:r>
        <w:rPr>
          <w:rFonts w:ascii="Times New Roman" w:hAnsi="Times New Roman"/>
          <w:sz w:val="18"/>
        </w:rPr>
        <w:t xml:space="preserve"> </w:t>
      </w:r>
    </w:p>
  </w:footnote>
  <w:footnote w:id="50">
    <w:p w14:paraId="537B7974" w14:textId="77777777" w:rsidR="00180930" w:rsidRPr="006F776D" w:rsidRDefault="00180930">
      <w:pPr>
        <w:pStyle w:val="FootnoteText"/>
      </w:pPr>
      <w:r>
        <w:rPr>
          <w:rStyle w:val="FootnoteReference"/>
        </w:rPr>
        <w:footnoteRef/>
      </w:r>
      <w:r>
        <w:t xml:space="preserve"> </w:t>
      </w:r>
      <w:r>
        <w:rPr>
          <w:rFonts w:ascii="Times New Roman" w:hAnsi="Times New Roman"/>
          <w:sz w:val="18"/>
        </w:rPr>
        <w:t>COM(2022) 236 final od 18. svibnja 2022.</w:t>
      </w:r>
    </w:p>
  </w:footnote>
  <w:footnote w:id="51">
    <w:p w14:paraId="42EF2BA9" w14:textId="77777777" w:rsidR="00180930" w:rsidRPr="002E4EEE" w:rsidRDefault="00180930" w:rsidP="00326D72">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Uredba (EU) br. 1227/2011 o cjelovitosti i transparentnosti veleprodajnog tržišta energije.</w:t>
      </w:r>
    </w:p>
  </w:footnote>
  <w:footnote w:id="52">
    <w:p w14:paraId="6C6AC809" w14:textId="77777777" w:rsidR="00180930" w:rsidRPr="002E4EEE" w:rsidRDefault="00180930">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Uredba (EU) 2019/943 i Direktiva (EU) 2019/944.</w:t>
      </w:r>
    </w:p>
  </w:footnote>
  <w:footnote w:id="53">
    <w:p w14:paraId="5788F2B6" w14:textId="44793FA3" w:rsidR="00180930" w:rsidRPr="002E4EEE" w:rsidRDefault="00180930">
      <w:pPr>
        <w:pStyle w:val="FootnoteText"/>
        <w:rPr>
          <w:rFonts w:ascii="Times New Roman" w:eastAsia="Calibri"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Cijene litija i kobalta više su se nego udvostručile 2021.</w:t>
      </w:r>
    </w:p>
  </w:footnote>
  <w:footnote w:id="54">
    <w:p w14:paraId="3BD40A42" w14:textId="05BD4880" w:rsidR="00180930" w:rsidRPr="002E4EEE" w:rsidRDefault="00180930" w:rsidP="00DC5331">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Kako je najavljeno u govoru o stanju Unije 2022. 14. rujna 2022.</w:t>
      </w:r>
    </w:p>
  </w:footnote>
  <w:footnote w:id="55">
    <w:p w14:paraId="509A4D28" w14:textId="77777777" w:rsidR="00180930" w:rsidRPr="00BA2FAD" w:rsidRDefault="00180930" w:rsidP="002E4EEE">
      <w:pPr>
        <w:pStyle w:val="FootnoteText"/>
        <w:rPr>
          <w:rStyle w:val="FootnoteReference"/>
        </w:rPr>
      </w:pPr>
      <w:r>
        <w:rPr>
          <w:rStyle w:val="FootnoteReference"/>
          <w:rFonts w:ascii="Times New Roman" w:hAnsi="Times New Roman" w:cs="Times New Roman"/>
          <w:sz w:val="18"/>
          <w:szCs w:val="18"/>
        </w:rPr>
        <w:footnoteRef/>
      </w:r>
      <w:r>
        <w:rPr>
          <w:rStyle w:val="FootnoteReference"/>
          <w:rFonts w:ascii="Times New Roman" w:hAnsi="Times New Roman"/>
          <w:sz w:val="18"/>
        </w:rPr>
        <w:t xml:space="preserve"> </w:t>
      </w:r>
      <w:r>
        <w:rPr>
          <w:rStyle w:val="FootnoteReference"/>
          <w:rFonts w:ascii="Times New Roman" w:hAnsi="Times New Roman"/>
          <w:sz w:val="18"/>
          <w:vertAlign w:val="baseline"/>
        </w:rPr>
        <w:t>Europska komisija, Glavna uprava za istraživanje i inovacije, Istraživanje i inovacije za ostvarivanje plana REPower u EU-u, Ured za publikacije Europske unije, 2022., https://data.europa.eu/doi/10.2777/74947</w:t>
      </w:r>
      <w:r>
        <w:rPr>
          <w:rFonts w:ascii="Times New Roman" w:hAnsi="Times New Roman"/>
          <w:sz w:val="18"/>
        </w:rPr>
        <w:t>.</w:t>
      </w:r>
    </w:p>
  </w:footnote>
  <w:footnote w:id="56">
    <w:p w14:paraId="4A8EE6CD" w14:textId="77777777" w:rsidR="00180930" w:rsidRPr="000C2B56" w:rsidRDefault="00180930" w:rsidP="00A40BFF">
      <w:pPr>
        <w:spacing w:after="120" w:line="240" w:lineRule="auto"/>
        <w:jc w:val="both"/>
        <w:textAlignment w:val="baseline"/>
      </w:pPr>
      <w:r>
        <w:rPr>
          <w:rStyle w:val="FootnoteReference"/>
          <w:rFonts w:ascii="Times New Roman" w:hAnsi="Times New Roman" w:cs="Times New Roman"/>
          <w:sz w:val="16"/>
          <w:szCs w:val="16"/>
        </w:rPr>
        <w:footnoteRef/>
      </w:r>
      <w:r>
        <w:rPr>
          <w:rFonts w:ascii="Times New Roman" w:hAnsi="Times New Roman"/>
          <w:sz w:val="16"/>
        </w:rPr>
        <w:t xml:space="preserve"> </w:t>
      </w:r>
      <w:r>
        <w:rPr>
          <w:rFonts w:ascii="Times New Roman" w:hAnsi="Times New Roman"/>
        </w:rPr>
        <w:t>Na primjer, Europski savez za baterije i važni projekti od zajedničkog europskog interesa.</w:t>
      </w:r>
    </w:p>
  </w:footnote>
  <w:footnote w:id="57">
    <w:p w14:paraId="67391632" w14:textId="77777777" w:rsidR="00180930" w:rsidRPr="004D71CC" w:rsidRDefault="00180930" w:rsidP="001E5705">
      <w:pPr>
        <w:pStyle w:val="FootnoteText1"/>
        <w:jc w:val="both"/>
        <w:rPr>
          <w:rFonts w:ascii="Times New Roman" w:eastAsia="Calibri" w:hAnsi="Times New Roman" w:cs="Times New Roman"/>
        </w:rPr>
      </w:pPr>
      <w:r>
        <w:rPr>
          <w:rStyle w:val="FootnoteReference"/>
          <w:rFonts w:ascii="Times New Roman" w:hAnsi="Times New Roman" w:cs="Times New Roman"/>
          <w:sz w:val="16"/>
          <w:szCs w:val="16"/>
        </w:rPr>
        <w:footnoteRef/>
      </w:r>
      <w:r>
        <w:rPr>
          <w:rFonts w:ascii="Times New Roman" w:hAnsi="Times New Roman"/>
          <w:sz w:val="16"/>
        </w:rPr>
        <w:t xml:space="preserve"> </w:t>
      </w:r>
      <w:r>
        <w:rPr>
          <w:rFonts w:ascii="Times New Roman" w:hAnsi="Times New Roman"/>
          <w:sz w:val="18"/>
        </w:rPr>
        <w:t>(SWD(2022) 230 final) od 18. svibnja 2022.</w:t>
      </w:r>
    </w:p>
  </w:footnote>
  <w:footnote w:id="58">
    <w:p w14:paraId="14156032" w14:textId="77777777" w:rsidR="00180930" w:rsidRDefault="00180930" w:rsidP="00221D76">
      <w:pPr>
        <w:pStyle w:val="FootnoteText"/>
      </w:pPr>
      <w:r>
        <w:rPr>
          <w:rStyle w:val="FootnoteReference"/>
          <w:rFonts w:ascii="Times New Roman" w:hAnsi="Times New Roman" w:cs="Times New Roman"/>
          <w:sz w:val="16"/>
          <w:szCs w:val="16"/>
        </w:rPr>
        <w:footnoteRef/>
      </w:r>
      <w:r>
        <w:rPr>
          <w:rFonts w:ascii="Times New Roman" w:hAnsi="Times New Roman"/>
          <w:sz w:val="16"/>
        </w:rPr>
        <w:t xml:space="preserve"> </w:t>
      </w:r>
      <w:r>
        <w:rPr>
          <w:rFonts w:ascii="Times New Roman" w:hAnsi="Times New Roman"/>
        </w:rPr>
        <w:t>Procijenjene vrijednosti dobivene analizom modela potreba za ulaganjima.</w:t>
      </w:r>
    </w:p>
  </w:footnote>
  <w:footnote w:id="59">
    <w:p w14:paraId="13182473" w14:textId="77777777" w:rsidR="00180930" w:rsidRPr="00427B59" w:rsidRDefault="00180930" w:rsidP="00724EA8">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AT, BG, BE, CY, CZ, DE, DK, EE, EL, ES, FI, FR, HR, IE, IT, LT, LU, LV, MT, NL, PL, PT, RO, SE, SI, SK.</w:t>
      </w:r>
    </w:p>
  </w:footnote>
  <w:footnote w:id="60">
    <w:p w14:paraId="203B11CB" w14:textId="77777777" w:rsidR="00180930" w:rsidRPr="00731D70" w:rsidRDefault="00180930" w:rsidP="00724EA8">
      <w:pPr>
        <w:pStyle w:val="FootnoteText"/>
        <w:jc w:val="both"/>
      </w:pPr>
      <w:r>
        <w:rPr>
          <w:rStyle w:val="FootnoteReference"/>
          <w:rFonts w:ascii="Times New Roman" w:hAnsi="Times New Roman" w:cs="Times New Roman"/>
          <w:sz w:val="18"/>
          <w:szCs w:val="18"/>
        </w:rPr>
        <w:footnoteRef/>
      </w:r>
      <w:r>
        <w:t xml:space="preserve"> </w:t>
      </w:r>
      <w:r>
        <w:rPr>
          <w:rFonts w:ascii="Times New Roman" w:hAnsi="Times New Roman"/>
          <w:sz w:val="18"/>
        </w:rPr>
        <w:t xml:space="preserve">Rashodi prijavljeni za Mehanizam za oporavak i otpornost procjene su koje je Komisija izdala na temelju informacija o praćenju klime objavljenih u okviru Komisijinih analiza planova za oporavak i otpornost. Prijavljeni podaci odnose se na 25 nacionalnih planova oporavka i otpornosti, koje je Komisija ocijenila i odobrila do 17. lipnja 2022. Vidjeti: </w:t>
      </w:r>
      <w:hyperlink r:id="rId18" w:history="1">
        <w:r>
          <w:rPr>
            <w:rStyle w:val="Hyperlink2"/>
            <w:rFonts w:ascii="Times New Roman" w:hAnsi="Times New Roman"/>
            <w:sz w:val="18"/>
          </w:rPr>
          <w:t>https://ec.europa.eu/info/business-economy-euro/recovery-coronavirus/recovery-and-resilience-facility/recovery-and-resilience-plans-assessments_hr</w:t>
        </w:r>
      </w:hyperlink>
      <w:r>
        <w:t>.</w:t>
      </w:r>
    </w:p>
  </w:footnote>
  <w:footnote w:id="61">
    <w:p w14:paraId="15264D33" w14:textId="77777777" w:rsidR="00180930" w:rsidRDefault="00180930" w:rsidP="00724EA8">
      <w:pPr>
        <w:pStyle w:val="FootnoteText1"/>
        <w:rPr>
          <w:rFonts w:ascii="Times New Roman" w:hAnsi="Times New Roman"/>
          <w:sz w:val="18"/>
          <w:szCs w:val="18"/>
        </w:rPr>
      </w:pPr>
      <w:r>
        <w:rPr>
          <w:rStyle w:val="FootnoteReference"/>
          <w:rFonts w:cs="Times New Roman"/>
        </w:rPr>
        <w:footnoteRef/>
      </w:r>
      <w:r>
        <w:t xml:space="preserve"> </w:t>
      </w:r>
      <w:r>
        <w:rPr>
          <w:rStyle w:val="footnotetextChar0"/>
          <w:rFonts w:ascii="Times New Roman" w:hAnsi="Times New Roman"/>
          <w:sz w:val="18"/>
        </w:rPr>
        <w:t>U skladu s uvjetima iz priloga provedbenim odlukama Vijeća o davanju odobrenja za nacionalne planove za oporavak i otpornost.</w:t>
      </w:r>
      <w:r>
        <w:rPr>
          <w:sz w:val="18"/>
        </w:rPr>
        <w:t xml:space="preserve"> </w:t>
      </w:r>
    </w:p>
  </w:footnote>
  <w:footnote w:id="62">
    <w:p w14:paraId="796C56B2" w14:textId="77777777" w:rsidR="00180930" w:rsidRPr="009F1D19" w:rsidRDefault="00180930" w:rsidP="00EC722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Na temelju Uredbe o upravljanju Komisija svake godine izvješćuje o razvoju subvencija za energiju, posebno subvencija za fosilna goriva u državama članicama, i o mjerama koje su zemlje poduzele kako bi predstavile plan o njihovu postupnom ukidanju.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4ED08" w14:textId="77777777" w:rsidR="00440524" w:rsidRPr="00440524" w:rsidRDefault="00440524" w:rsidP="004405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95A3F" w14:textId="77777777" w:rsidR="00440524" w:rsidRPr="00440524" w:rsidRDefault="00440524" w:rsidP="0044052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44B52" w14:textId="77777777" w:rsidR="00440524" w:rsidRPr="00440524" w:rsidRDefault="00440524" w:rsidP="0044052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6697B" w14:textId="77777777" w:rsidR="00180930" w:rsidRDefault="001809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36085" w14:textId="77777777" w:rsidR="00180930" w:rsidRDefault="0018093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03716" w14:textId="77777777" w:rsidR="00180930" w:rsidRDefault="00180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8B8E0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D0F1A"/>
    <w:multiLevelType w:val="hybridMultilevel"/>
    <w:tmpl w:val="0210979A"/>
    <w:lvl w:ilvl="0" w:tplc="04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3D38E8"/>
    <w:multiLevelType w:val="hybridMultilevel"/>
    <w:tmpl w:val="C804F2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4D64CC"/>
    <w:multiLevelType w:val="hybridMultilevel"/>
    <w:tmpl w:val="8A6243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B96CD1"/>
    <w:multiLevelType w:val="hybridMultilevel"/>
    <w:tmpl w:val="DAF816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82A61A5"/>
    <w:multiLevelType w:val="hybridMultilevel"/>
    <w:tmpl w:val="6C6CE8C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DD21D8"/>
    <w:multiLevelType w:val="hybridMultilevel"/>
    <w:tmpl w:val="DF78BBDC"/>
    <w:lvl w:ilvl="0" w:tplc="14904044">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CC440D"/>
    <w:multiLevelType w:val="hybridMultilevel"/>
    <w:tmpl w:val="EB781F38"/>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F847EF"/>
    <w:multiLevelType w:val="hybridMultilevel"/>
    <w:tmpl w:val="19E6E26E"/>
    <w:lvl w:ilvl="0" w:tplc="1D1E4E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925D4"/>
    <w:multiLevelType w:val="hybridMultilevel"/>
    <w:tmpl w:val="D6E24546"/>
    <w:lvl w:ilvl="0" w:tplc="33D87700">
      <w:start w:val="2022"/>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5FE03F8"/>
    <w:multiLevelType w:val="hybridMultilevel"/>
    <w:tmpl w:val="004E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F4511"/>
    <w:multiLevelType w:val="multilevel"/>
    <w:tmpl w:val="CB5E5E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176302"/>
    <w:multiLevelType w:val="hybridMultilevel"/>
    <w:tmpl w:val="1BA0360E"/>
    <w:lvl w:ilvl="0" w:tplc="FA3A26A2">
      <w:start w:val="3"/>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3D8017F"/>
    <w:multiLevelType w:val="hybridMultilevel"/>
    <w:tmpl w:val="0B344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59D4FF3"/>
    <w:multiLevelType w:val="multilevel"/>
    <w:tmpl w:val="48BE1DA0"/>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4E93BB7"/>
    <w:multiLevelType w:val="hybridMultilevel"/>
    <w:tmpl w:val="48A4331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59A9027F"/>
    <w:multiLevelType w:val="hybridMultilevel"/>
    <w:tmpl w:val="54B645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538635C"/>
    <w:multiLevelType w:val="hybridMultilevel"/>
    <w:tmpl w:val="3DC043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7BB3537"/>
    <w:multiLevelType w:val="hybridMultilevel"/>
    <w:tmpl w:val="6666BA80"/>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D79029C"/>
    <w:multiLevelType w:val="hybridMultilevel"/>
    <w:tmpl w:val="89923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DF222F4"/>
    <w:multiLevelType w:val="hybridMultilevel"/>
    <w:tmpl w:val="672EA9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548277D"/>
    <w:multiLevelType w:val="hybridMultilevel"/>
    <w:tmpl w:val="64A45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4F5415"/>
    <w:multiLevelType w:val="hybridMultilevel"/>
    <w:tmpl w:val="2806DDA2"/>
    <w:lvl w:ilvl="0" w:tplc="FA3A26A2">
      <w:start w:val="3"/>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15:restartNumberingAfterBreak="0">
    <w:nsid w:val="7B4B331F"/>
    <w:multiLevelType w:val="hybridMultilevel"/>
    <w:tmpl w:val="F26CB32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6"/>
  </w:num>
  <w:num w:numId="2">
    <w:abstractNumId w:val="12"/>
  </w:num>
  <w:num w:numId="3">
    <w:abstractNumId w:val="20"/>
  </w:num>
  <w:num w:numId="4">
    <w:abstractNumId w:val="11"/>
  </w:num>
  <w:num w:numId="5">
    <w:abstractNumId w:val="9"/>
  </w:num>
  <w:num w:numId="6">
    <w:abstractNumId w:val="10"/>
  </w:num>
  <w:num w:numId="7">
    <w:abstractNumId w:val="22"/>
  </w:num>
  <w:num w:numId="8">
    <w:abstractNumId w:val="14"/>
  </w:num>
  <w:num w:numId="9">
    <w:abstractNumId w:val="2"/>
  </w:num>
  <w:num w:numId="10">
    <w:abstractNumId w:val="21"/>
  </w:num>
  <w:num w:numId="11">
    <w:abstractNumId w:val="1"/>
  </w:num>
  <w:num w:numId="12">
    <w:abstractNumId w:val="18"/>
  </w:num>
  <w:num w:numId="13">
    <w:abstractNumId w:val="3"/>
  </w:num>
  <w:num w:numId="14">
    <w:abstractNumId w:val="19"/>
  </w:num>
  <w:num w:numId="15">
    <w:abstractNumId w:val="7"/>
  </w:num>
  <w:num w:numId="16">
    <w:abstractNumId w:val="16"/>
  </w:num>
  <w:num w:numId="17">
    <w:abstractNumId w:val="13"/>
  </w:num>
  <w:num w:numId="18">
    <w:abstractNumId w:val="15"/>
  </w:num>
  <w:num w:numId="19">
    <w:abstractNumId w:val="4"/>
  </w:num>
  <w:num w:numId="20">
    <w:abstractNumId w:val="8"/>
  </w:num>
  <w:num w:numId="21">
    <w:abstractNumId w:val="0"/>
  </w:num>
  <w:num w:numId="22">
    <w:abstractNumId w:val="5"/>
  </w:num>
  <w:num w:numId="23">
    <w:abstractNumId w:val="2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s-ES" w:vendorID="64" w:dllVersion="6" w:nlCheck="1" w:checkStyle="0"/>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pt-PT" w:vendorID="64" w:dllVersion="0" w:nlCheck="1" w:checkStyle="0"/>
  <w:activeWritingStyle w:appName="MSWord" w:lang="pl-PL" w:vendorID="64" w:dllVersion="0" w:nlCheck="1" w:checkStyle="0"/>
  <w:activeWritingStyle w:appName="MSWord" w:lang="pt-PT" w:vendorID="64" w:dllVersion="6" w:nlCheck="1" w:checkStyle="0"/>
  <w:activeWritingStyle w:appName="MSWord" w:lang="es-ES" w:vendorID="64" w:dllVersion="0" w:nlCheck="1" w:checkStyle="0"/>
  <w:activeWritingStyle w:appName="MSWord" w:lang="fr-BE" w:vendorID="64" w:dllVersion="0" w:nlCheck="1" w:checkStyle="0"/>
  <w:activeWritingStyle w:appName="MSWord" w:lang="en-AU" w:vendorID="64" w:dllVersion="0" w:nlCheck="1" w:checkStyle="0"/>
  <w:activeWritingStyle w:appName="MSWord" w:lang="en-AU" w:vendorID="64" w:dllVersion="6" w:nlCheck="1" w:checkStyle="1"/>
  <w:activeWritingStyle w:appName="MSWord" w:lang="da-DK" w:vendorID="64" w:dllVersion="6"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es-ES" w:vendorID="64" w:dllVersion="131078" w:nlCheck="1" w:checkStyle="0"/>
  <w:revisionView w:markup="0"/>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7C685B37-6A5E-4AB1-9E67-D7AF9C1FF7FC"/>
    <w:docVar w:name="LW_COVERPAGE_TYPE" w:val="1"/>
    <w:docVar w:name="LW_CROSSREFERENCE" w:val="&lt;UNUSED&gt;"/>
    <w:docVar w:name="LW_DocType" w:val="NORMAL"/>
    <w:docVar w:name="LW_EMISSION" w:val="18.10.2022."/>
    <w:docVar w:name="LW_EMISSION_ISODATE" w:val="2022-10-18"/>
    <w:docVar w:name="LW_EMISSION_LOCATION" w:val="BRX"/>
    <w:docVar w:name="LW_EMISSION_PREFIX" w:val="Bruxelles, "/>
    <w:docVar w:name="LW_EMISSION_SUFFIX" w:val="&lt;EMPTY&gt;"/>
    <w:docVar w:name="LW_ID_DOCTYPE_NONLW" w:val="CP-008"/>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2) 54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tanje energetske unije 2022._x000d__x000d__x000b__x000d__x000d__x000b__x000d__x000d__x000b__x000d__x000d__x000b_(u skladu s Uredbom (EU) 2018/1999 o upravljanju energetskom unijom i djelovanjem u području klime)"/>
    <w:docVar w:name="LW_TYPE.DOC.CP" w:val="IZVJEŠĆE KOMISIJE EUROPSKOM PARLAMENTU, VIJEĆU, EUROPSKOM GOSPODARSKOM I SOCIJALNOM ODBORU I ODBORU REGIJA"/>
    <w:docVar w:name="LwApiVersions" w:val="LW4CoDe 1.23.2.0; LW 8.0, Build 20211117"/>
  </w:docVars>
  <w:rsids>
    <w:rsidRoot w:val="000746FB"/>
    <w:rsid w:val="00002603"/>
    <w:rsid w:val="000031A5"/>
    <w:rsid w:val="0000386F"/>
    <w:rsid w:val="000049B9"/>
    <w:rsid w:val="00010269"/>
    <w:rsid w:val="00011049"/>
    <w:rsid w:val="00012313"/>
    <w:rsid w:val="000131AF"/>
    <w:rsid w:val="000148B1"/>
    <w:rsid w:val="00014BBD"/>
    <w:rsid w:val="000160F6"/>
    <w:rsid w:val="00017AD8"/>
    <w:rsid w:val="000201DA"/>
    <w:rsid w:val="00020E18"/>
    <w:rsid w:val="00022F32"/>
    <w:rsid w:val="000231C5"/>
    <w:rsid w:val="00024650"/>
    <w:rsid w:val="0002471B"/>
    <w:rsid w:val="00024AA0"/>
    <w:rsid w:val="0003059C"/>
    <w:rsid w:val="00033DB5"/>
    <w:rsid w:val="00033F0B"/>
    <w:rsid w:val="00043158"/>
    <w:rsid w:val="00051D76"/>
    <w:rsid w:val="00052468"/>
    <w:rsid w:val="00052900"/>
    <w:rsid w:val="00052A47"/>
    <w:rsid w:val="00060655"/>
    <w:rsid w:val="00060C4A"/>
    <w:rsid w:val="000615C3"/>
    <w:rsid w:val="000628FE"/>
    <w:rsid w:val="00064FDE"/>
    <w:rsid w:val="00066858"/>
    <w:rsid w:val="000679E8"/>
    <w:rsid w:val="000700CF"/>
    <w:rsid w:val="00070640"/>
    <w:rsid w:val="00073D8D"/>
    <w:rsid w:val="000744AB"/>
    <w:rsid w:val="000746FB"/>
    <w:rsid w:val="00075029"/>
    <w:rsid w:val="000769A4"/>
    <w:rsid w:val="00082CE2"/>
    <w:rsid w:val="00084220"/>
    <w:rsid w:val="00085180"/>
    <w:rsid w:val="000852DA"/>
    <w:rsid w:val="0008697A"/>
    <w:rsid w:val="00092CCB"/>
    <w:rsid w:val="000932B3"/>
    <w:rsid w:val="00094087"/>
    <w:rsid w:val="000959D8"/>
    <w:rsid w:val="000959E0"/>
    <w:rsid w:val="000A6C83"/>
    <w:rsid w:val="000A7CC5"/>
    <w:rsid w:val="000B1C41"/>
    <w:rsid w:val="000B3E8C"/>
    <w:rsid w:val="000B4204"/>
    <w:rsid w:val="000C0106"/>
    <w:rsid w:val="000C13EC"/>
    <w:rsid w:val="000C2B56"/>
    <w:rsid w:val="000C451C"/>
    <w:rsid w:val="000C7F8A"/>
    <w:rsid w:val="000D3289"/>
    <w:rsid w:val="000D6942"/>
    <w:rsid w:val="000E165B"/>
    <w:rsid w:val="000E1737"/>
    <w:rsid w:val="000E3346"/>
    <w:rsid w:val="000E33FB"/>
    <w:rsid w:val="000E5960"/>
    <w:rsid w:val="000E5BBF"/>
    <w:rsid w:val="000E6FF5"/>
    <w:rsid w:val="000F0DB5"/>
    <w:rsid w:val="000F316E"/>
    <w:rsid w:val="000F6822"/>
    <w:rsid w:val="00100144"/>
    <w:rsid w:val="001002E8"/>
    <w:rsid w:val="001010F5"/>
    <w:rsid w:val="00101EEB"/>
    <w:rsid w:val="001030C8"/>
    <w:rsid w:val="00103892"/>
    <w:rsid w:val="00104852"/>
    <w:rsid w:val="00105133"/>
    <w:rsid w:val="001102D5"/>
    <w:rsid w:val="001129A2"/>
    <w:rsid w:val="00112BA0"/>
    <w:rsid w:val="00113074"/>
    <w:rsid w:val="00113FD5"/>
    <w:rsid w:val="00115652"/>
    <w:rsid w:val="00115DF7"/>
    <w:rsid w:val="0011780A"/>
    <w:rsid w:val="00117D2C"/>
    <w:rsid w:val="00120CF1"/>
    <w:rsid w:val="001243D6"/>
    <w:rsid w:val="001258FA"/>
    <w:rsid w:val="00130458"/>
    <w:rsid w:val="00130E35"/>
    <w:rsid w:val="0013231F"/>
    <w:rsid w:val="00134698"/>
    <w:rsid w:val="00135ABD"/>
    <w:rsid w:val="001408D7"/>
    <w:rsid w:val="00142E51"/>
    <w:rsid w:val="00147183"/>
    <w:rsid w:val="00154F7F"/>
    <w:rsid w:val="00157F65"/>
    <w:rsid w:val="001615D4"/>
    <w:rsid w:val="00161FA4"/>
    <w:rsid w:val="001662AD"/>
    <w:rsid w:val="00166513"/>
    <w:rsid w:val="00167706"/>
    <w:rsid w:val="00172ED2"/>
    <w:rsid w:val="00173C34"/>
    <w:rsid w:val="00173E78"/>
    <w:rsid w:val="00180930"/>
    <w:rsid w:val="001825F6"/>
    <w:rsid w:val="00183486"/>
    <w:rsid w:val="0019026F"/>
    <w:rsid w:val="00191335"/>
    <w:rsid w:val="00194096"/>
    <w:rsid w:val="001952D1"/>
    <w:rsid w:val="00195C33"/>
    <w:rsid w:val="00196563"/>
    <w:rsid w:val="001A0A1D"/>
    <w:rsid w:val="001A2878"/>
    <w:rsid w:val="001A4BCE"/>
    <w:rsid w:val="001B0B09"/>
    <w:rsid w:val="001B2645"/>
    <w:rsid w:val="001B486F"/>
    <w:rsid w:val="001B59F6"/>
    <w:rsid w:val="001B668E"/>
    <w:rsid w:val="001B6C7F"/>
    <w:rsid w:val="001B7AA0"/>
    <w:rsid w:val="001C22D4"/>
    <w:rsid w:val="001C55E1"/>
    <w:rsid w:val="001C705E"/>
    <w:rsid w:val="001D107D"/>
    <w:rsid w:val="001D10B6"/>
    <w:rsid w:val="001D1369"/>
    <w:rsid w:val="001D1B8D"/>
    <w:rsid w:val="001D3066"/>
    <w:rsid w:val="001D431F"/>
    <w:rsid w:val="001D4F55"/>
    <w:rsid w:val="001D6BD0"/>
    <w:rsid w:val="001D6D1F"/>
    <w:rsid w:val="001E2295"/>
    <w:rsid w:val="001E5705"/>
    <w:rsid w:val="001E577D"/>
    <w:rsid w:val="001F2594"/>
    <w:rsid w:val="001F4A0A"/>
    <w:rsid w:val="00201982"/>
    <w:rsid w:val="002023C6"/>
    <w:rsid w:val="002048B0"/>
    <w:rsid w:val="00204CBB"/>
    <w:rsid w:val="002054C8"/>
    <w:rsid w:val="00206375"/>
    <w:rsid w:val="00211228"/>
    <w:rsid w:val="00212876"/>
    <w:rsid w:val="00213625"/>
    <w:rsid w:val="0021674D"/>
    <w:rsid w:val="00220212"/>
    <w:rsid w:val="00221D76"/>
    <w:rsid w:val="00222999"/>
    <w:rsid w:val="00223366"/>
    <w:rsid w:val="00230063"/>
    <w:rsid w:val="00230CAC"/>
    <w:rsid w:val="00230E9A"/>
    <w:rsid w:val="0023180E"/>
    <w:rsid w:val="00232FDA"/>
    <w:rsid w:val="00233CFE"/>
    <w:rsid w:val="00235B34"/>
    <w:rsid w:val="002365ED"/>
    <w:rsid w:val="00237E03"/>
    <w:rsid w:val="00241B18"/>
    <w:rsid w:val="00244A45"/>
    <w:rsid w:val="00245B54"/>
    <w:rsid w:val="002537FA"/>
    <w:rsid w:val="002565F4"/>
    <w:rsid w:val="002600E4"/>
    <w:rsid w:val="002630AD"/>
    <w:rsid w:val="002653FA"/>
    <w:rsid w:val="002656E0"/>
    <w:rsid w:val="00265FE0"/>
    <w:rsid w:val="00267AEA"/>
    <w:rsid w:val="00270290"/>
    <w:rsid w:val="00272EE1"/>
    <w:rsid w:val="00273A71"/>
    <w:rsid w:val="00280869"/>
    <w:rsid w:val="00287BDF"/>
    <w:rsid w:val="002905B9"/>
    <w:rsid w:val="0029376D"/>
    <w:rsid w:val="00293AE2"/>
    <w:rsid w:val="00293BCF"/>
    <w:rsid w:val="0029467B"/>
    <w:rsid w:val="00297AD1"/>
    <w:rsid w:val="00297DBC"/>
    <w:rsid w:val="002A160A"/>
    <w:rsid w:val="002A19B1"/>
    <w:rsid w:val="002A2D87"/>
    <w:rsid w:val="002A46FF"/>
    <w:rsid w:val="002A4BAA"/>
    <w:rsid w:val="002A63DC"/>
    <w:rsid w:val="002A7F4A"/>
    <w:rsid w:val="002B15FD"/>
    <w:rsid w:val="002B1F5D"/>
    <w:rsid w:val="002B3188"/>
    <w:rsid w:val="002B39C6"/>
    <w:rsid w:val="002B3B2A"/>
    <w:rsid w:val="002B649B"/>
    <w:rsid w:val="002B69FA"/>
    <w:rsid w:val="002C17FA"/>
    <w:rsid w:val="002D374D"/>
    <w:rsid w:val="002D3F91"/>
    <w:rsid w:val="002D4C82"/>
    <w:rsid w:val="002E0867"/>
    <w:rsid w:val="002E0E81"/>
    <w:rsid w:val="002E15BF"/>
    <w:rsid w:val="002E1CCB"/>
    <w:rsid w:val="002E24FC"/>
    <w:rsid w:val="002E358F"/>
    <w:rsid w:val="002E45C1"/>
    <w:rsid w:val="002E4EEE"/>
    <w:rsid w:val="002E54A6"/>
    <w:rsid w:val="002E6524"/>
    <w:rsid w:val="002E76C5"/>
    <w:rsid w:val="002E7DE9"/>
    <w:rsid w:val="002F081E"/>
    <w:rsid w:val="002F1B2B"/>
    <w:rsid w:val="002F2769"/>
    <w:rsid w:val="002F3A98"/>
    <w:rsid w:val="002F6AD5"/>
    <w:rsid w:val="00300A22"/>
    <w:rsid w:val="00300B2B"/>
    <w:rsid w:val="00307865"/>
    <w:rsid w:val="003103C4"/>
    <w:rsid w:val="003123E7"/>
    <w:rsid w:val="003127BD"/>
    <w:rsid w:val="0031487C"/>
    <w:rsid w:val="00314A2B"/>
    <w:rsid w:val="00315929"/>
    <w:rsid w:val="0032120C"/>
    <w:rsid w:val="00321E12"/>
    <w:rsid w:val="00322E08"/>
    <w:rsid w:val="00326D72"/>
    <w:rsid w:val="00330857"/>
    <w:rsid w:val="00334D92"/>
    <w:rsid w:val="00335099"/>
    <w:rsid w:val="00336E3B"/>
    <w:rsid w:val="0033788C"/>
    <w:rsid w:val="003427A6"/>
    <w:rsid w:val="003433D0"/>
    <w:rsid w:val="00343FFF"/>
    <w:rsid w:val="00346898"/>
    <w:rsid w:val="00347108"/>
    <w:rsid w:val="00347A18"/>
    <w:rsid w:val="00347E04"/>
    <w:rsid w:val="00347F65"/>
    <w:rsid w:val="00350F8A"/>
    <w:rsid w:val="003518DA"/>
    <w:rsid w:val="00352340"/>
    <w:rsid w:val="0035360A"/>
    <w:rsid w:val="00353AB7"/>
    <w:rsid w:val="0035444F"/>
    <w:rsid w:val="0035738A"/>
    <w:rsid w:val="00360655"/>
    <w:rsid w:val="00360F0F"/>
    <w:rsid w:val="00362838"/>
    <w:rsid w:val="00364607"/>
    <w:rsid w:val="00364BDA"/>
    <w:rsid w:val="0036539D"/>
    <w:rsid w:val="0037147C"/>
    <w:rsid w:val="003718D3"/>
    <w:rsid w:val="003721DC"/>
    <w:rsid w:val="00372295"/>
    <w:rsid w:val="00373733"/>
    <w:rsid w:val="00374759"/>
    <w:rsid w:val="00374F92"/>
    <w:rsid w:val="00376AF8"/>
    <w:rsid w:val="00376F85"/>
    <w:rsid w:val="00377FBD"/>
    <w:rsid w:val="003816A8"/>
    <w:rsid w:val="00381BF7"/>
    <w:rsid w:val="00382692"/>
    <w:rsid w:val="00382A58"/>
    <w:rsid w:val="00382F44"/>
    <w:rsid w:val="003843D8"/>
    <w:rsid w:val="00385813"/>
    <w:rsid w:val="003858C2"/>
    <w:rsid w:val="00385AAB"/>
    <w:rsid w:val="0038763F"/>
    <w:rsid w:val="00390631"/>
    <w:rsid w:val="003907C8"/>
    <w:rsid w:val="003911B2"/>
    <w:rsid w:val="00391E3D"/>
    <w:rsid w:val="00395EA6"/>
    <w:rsid w:val="003A1AB6"/>
    <w:rsid w:val="003A4A2E"/>
    <w:rsid w:val="003A4FC5"/>
    <w:rsid w:val="003A736A"/>
    <w:rsid w:val="003B0635"/>
    <w:rsid w:val="003B4879"/>
    <w:rsid w:val="003C0597"/>
    <w:rsid w:val="003C0A54"/>
    <w:rsid w:val="003C1649"/>
    <w:rsid w:val="003C25D1"/>
    <w:rsid w:val="003C2E5B"/>
    <w:rsid w:val="003C4768"/>
    <w:rsid w:val="003D1214"/>
    <w:rsid w:val="003D3982"/>
    <w:rsid w:val="003D520E"/>
    <w:rsid w:val="003D60CC"/>
    <w:rsid w:val="003D697A"/>
    <w:rsid w:val="003E4969"/>
    <w:rsid w:val="003E7F4F"/>
    <w:rsid w:val="003F2335"/>
    <w:rsid w:val="003F2849"/>
    <w:rsid w:val="003F29BA"/>
    <w:rsid w:val="003F499D"/>
    <w:rsid w:val="003F59C7"/>
    <w:rsid w:val="00401750"/>
    <w:rsid w:val="004028B3"/>
    <w:rsid w:val="00402FCC"/>
    <w:rsid w:val="00405A3F"/>
    <w:rsid w:val="00410F8F"/>
    <w:rsid w:val="004135E9"/>
    <w:rsid w:val="00413EB1"/>
    <w:rsid w:val="004140B2"/>
    <w:rsid w:val="004153D8"/>
    <w:rsid w:val="00415BFA"/>
    <w:rsid w:val="00420473"/>
    <w:rsid w:val="00420F81"/>
    <w:rsid w:val="004228D5"/>
    <w:rsid w:val="004235BB"/>
    <w:rsid w:val="004235C3"/>
    <w:rsid w:val="00426628"/>
    <w:rsid w:val="004266BE"/>
    <w:rsid w:val="00427B59"/>
    <w:rsid w:val="00432BB7"/>
    <w:rsid w:val="00433611"/>
    <w:rsid w:val="004340C3"/>
    <w:rsid w:val="00434935"/>
    <w:rsid w:val="0043584F"/>
    <w:rsid w:val="0043654C"/>
    <w:rsid w:val="004370FF"/>
    <w:rsid w:val="00440524"/>
    <w:rsid w:val="00440A36"/>
    <w:rsid w:val="00443F49"/>
    <w:rsid w:val="00444EE5"/>
    <w:rsid w:val="004452A0"/>
    <w:rsid w:val="004525BB"/>
    <w:rsid w:val="00453B1D"/>
    <w:rsid w:val="00454D9A"/>
    <w:rsid w:val="00455592"/>
    <w:rsid w:val="00455B41"/>
    <w:rsid w:val="00457761"/>
    <w:rsid w:val="00457EA0"/>
    <w:rsid w:val="00461F20"/>
    <w:rsid w:val="004627B7"/>
    <w:rsid w:val="00462FD8"/>
    <w:rsid w:val="0046401C"/>
    <w:rsid w:val="00465D54"/>
    <w:rsid w:val="00466F2C"/>
    <w:rsid w:val="0046787F"/>
    <w:rsid w:val="004710FE"/>
    <w:rsid w:val="00472AA1"/>
    <w:rsid w:val="00472B20"/>
    <w:rsid w:val="004744A1"/>
    <w:rsid w:val="00475184"/>
    <w:rsid w:val="00475D45"/>
    <w:rsid w:val="004760BD"/>
    <w:rsid w:val="00477D02"/>
    <w:rsid w:val="00477D2E"/>
    <w:rsid w:val="00480BF0"/>
    <w:rsid w:val="00482310"/>
    <w:rsid w:val="00482B63"/>
    <w:rsid w:val="00482D00"/>
    <w:rsid w:val="0048350E"/>
    <w:rsid w:val="00484303"/>
    <w:rsid w:val="00484B66"/>
    <w:rsid w:val="004878E2"/>
    <w:rsid w:val="004A1515"/>
    <w:rsid w:val="004A1FFC"/>
    <w:rsid w:val="004A2163"/>
    <w:rsid w:val="004A2498"/>
    <w:rsid w:val="004A2651"/>
    <w:rsid w:val="004A476B"/>
    <w:rsid w:val="004B0DBB"/>
    <w:rsid w:val="004B102B"/>
    <w:rsid w:val="004B2029"/>
    <w:rsid w:val="004B35C7"/>
    <w:rsid w:val="004B5306"/>
    <w:rsid w:val="004B601E"/>
    <w:rsid w:val="004B60D2"/>
    <w:rsid w:val="004B6BED"/>
    <w:rsid w:val="004B7196"/>
    <w:rsid w:val="004B7800"/>
    <w:rsid w:val="004C6182"/>
    <w:rsid w:val="004C7954"/>
    <w:rsid w:val="004D0ABF"/>
    <w:rsid w:val="004D0D6B"/>
    <w:rsid w:val="004D213C"/>
    <w:rsid w:val="004E2E55"/>
    <w:rsid w:val="004E32E7"/>
    <w:rsid w:val="004E37B2"/>
    <w:rsid w:val="004F1A96"/>
    <w:rsid w:val="004F5AC2"/>
    <w:rsid w:val="004F5FFF"/>
    <w:rsid w:val="004F6101"/>
    <w:rsid w:val="004F6A02"/>
    <w:rsid w:val="004F7F60"/>
    <w:rsid w:val="0050012B"/>
    <w:rsid w:val="00500FDD"/>
    <w:rsid w:val="005029D5"/>
    <w:rsid w:val="00511253"/>
    <w:rsid w:val="00512045"/>
    <w:rsid w:val="0051230A"/>
    <w:rsid w:val="00512B8F"/>
    <w:rsid w:val="00513D6E"/>
    <w:rsid w:val="005148EB"/>
    <w:rsid w:val="00515118"/>
    <w:rsid w:val="00516E75"/>
    <w:rsid w:val="00522018"/>
    <w:rsid w:val="00523C65"/>
    <w:rsid w:val="00523F69"/>
    <w:rsid w:val="00524632"/>
    <w:rsid w:val="00526634"/>
    <w:rsid w:val="00530464"/>
    <w:rsid w:val="00530EAF"/>
    <w:rsid w:val="005313A8"/>
    <w:rsid w:val="005331B3"/>
    <w:rsid w:val="00535508"/>
    <w:rsid w:val="00535953"/>
    <w:rsid w:val="00543057"/>
    <w:rsid w:val="005443CD"/>
    <w:rsid w:val="0054495B"/>
    <w:rsid w:val="005516DA"/>
    <w:rsid w:val="00551E73"/>
    <w:rsid w:val="00552527"/>
    <w:rsid w:val="005528F6"/>
    <w:rsid w:val="00553E42"/>
    <w:rsid w:val="0055418A"/>
    <w:rsid w:val="00554408"/>
    <w:rsid w:val="005566F9"/>
    <w:rsid w:val="00557B0D"/>
    <w:rsid w:val="00560E10"/>
    <w:rsid w:val="00561FBF"/>
    <w:rsid w:val="00566852"/>
    <w:rsid w:val="005721F2"/>
    <w:rsid w:val="005762BE"/>
    <w:rsid w:val="0057630E"/>
    <w:rsid w:val="00577846"/>
    <w:rsid w:val="00580172"/>
    <w:rsid w:val="005829E7"/>
    <w:rsid w:val="00584B49"/>
    <w:rsid w:val="00584C0C"/>
    <w:rsid w:val="00584DAF"/>
    <w:rsid w:val="00587194"/>
    <w:rsid w:val="00587BB0"/>
    <w:rsid w:val="0059031E"/>
    <w:rsid w:val="005909CA"/>
    <w:rsid w:val="00595646"/>
    <w:rsid w:val="00595A68"/>
    <w:rsid w:val="005A02C7"/>
    <w:rsid w:val="005A0949"/>
    <w:rsid w:val="005A0E8D"/>
    <w:rsid w:val="005A37FE"/>
    <w:rsid w:val="005A3FE9"/>
    <w:rsid w:val="005A4293"/>
    <w:rsid w:val="005A7F67"/>
    <w:rsid w:val="005B0A80"/>
    <w:rsid w:val="005B1FCE"/>
    <w:rsid w:val="005B345B"/>
    <w:rsid w:val="005B3BFC"/>
    <w:rsid w:val="005B4F5E"/>
    <w:rsid w:val="005B7A7C"/>
    <w:rsid w:val="005C0D89"/>
    <w:rsid w:val="005C0EDC"/>
    <w:rsid w:val="005C169D"/>
    <w:rsid w:val="005C2463"/>
    <w:rsid w:val="005C2704"/>
    <w:rsid w:val="005C3125"/>
    <w:rsid w:val="005C6BD9"/>
    <w:rsid w:val="005C6F8B"/>
    <w:rsid w:val="005C7140"/>
    <w:rsid w:val="005C78B2"/>
    <w:rsid w:val="005D1870"/>
    <w:rsid w:val="005D35CB"/>
    <w:rsid w:val="005D4542"/>
    <w:rsid w:val="005D76C1"/>
    <w:rsid w:val="005E1C09"/>
    <w:rsid w:val="005E218E"/>
    <w:rsid w:val="005E2476"/>
    <w:rsid w:val="005E666A"/>
    <w:rsid w:val="005E6A55"/>
    <w:rsid w:val="005E75C6"/>
    <w:rsid w:val="005F327C"/>
    <w:rsid w:val="005F336D"/>
    <w:rsid w:val="005F4E0F"/>
    <w:rsid w:val="005F62CB"/>
    <w:rsid w:val="005F6316"/>
    <w:rsid w:val="0060010D"/>
    <w:rsid w:val="00602C81"/>
    <w:rsid w:val="00603B37"/>
    <w:rsid w:val="00604E00"/>
    <w:rsid w:val="00605215"/>
    <w:rsid w:val="006058E4"/>
    <w:rsid w:val="00607208"/>
    <w:rsid w:val="00607CD0"/>
    <w:rsid w:val="00610627"/>
    <w:rsid w:val="00610E3F"/>
    <w:rsid w:val="006114F5"/>
    <w:rsid w:val="0061271F"/>
    <w:rsid w:val="00622209"/>
    <w:rsid w:val="00624132"/>
    <w:rsid w:val="006256D6"/>
    <w:rsid w:val="006265C8"/>
    <w:rsid w:val="00627315"/>
    <w:rsid w:val="00632124"/>
    <w:rsid w:val="006321ED"/>
    <w:rsid w:val="006327C1"/>
    <w:rsid w:val="00632FC9"/>
    <w:rsid w:val="006331C4"/>
    <w:rsid w:val="006340F1"/>
    <w:rsid w:val="0063556E"/>
    <w:rsid w:val="00637C93"/>
    <w:rsid w:val="00640536"/>
    <w:rsid w:val="00645C2A"/>
    <w:rsid w:val="00647659"/>
    <w:rsid w:val="00651F9E"/>
    <w:rsid w:val="00654B41"/>
    <w:rsid w:val="006612B9"/>
    <w:rsid w:val="00662951"/>
    <w:rsid w:val="006639B2"/>
    <w:rsid w:val="00663FAC"/>
    <w:rsid w:val="0066440E"/>
    <w:rsid w:val="006679D9"/>
    <w:rsid w:val="0067121F"/>
    <w:rsid w:val="00671A1F"/>
    <w:rsid w:val="00671B98"/>
    <w:rsid w:val="00675697"/>
    <w:rsid w:val="00680361"/>
    <w:rsid w:val="006816AC"/>
    <w:rsid w:val="00681B01"/>
    <w:rsid w:val="00682D38"/>
    <w:rsid w:val="00682DBF"/>
    <w:rsid w:val="00682F8C"/>
    <w:rsid w:val="00683419"/>
    <w:rsid w:val="006847D4"/>
    <w:rsid w:val="0068625F"/>
    <w:rsid w:val="00687C42"/>
    <w:rsid w:val="00690FC9"/>
    <w:rsid w:val="0069374C"/>
    <w:rsid w:val="006979DD"/>
    <w:rsid w:val="006A03A9"/>
    <w:rsid w:val="006A48AA"/>
    <w:rsid w:val="006B19FB"/>
    <w:rsid w:val="006B4E1D"/>
    <w:rsid w:val="006C0F66"/>
    <w:rsid w:val="006C29AE"/>
    <w:rsid w:val="006C386E"/>
    <w:rsid w:val="006C3A91"/>
    <w:rsid w:val="006C4B8C"/>
    <w:rsid w:val="006C5334"/>
    <w:rsid w:val="006C78DE"/>
    <w:rsid w:val="006D11C0"/>
    <w:rsid w:val="006D32A2"/>
    <w:rsid w:val="006D4062"/>
    <w:rsid w:val="006D4A61"/>
    <w:rsid w:val="006D6287"/>
    <w:rsid w:val="006E503F"/>
    <w:rsid w:val="006E50E7"/>
    <w:rsid w:val="006E5A88"/>
    <w:rsid w:val="006E5C69"/>
    <w:rsid w:val="006E771F"/>
    <w:rsid w:val="006F490D"/>
    <w:rsid w:val="006F5DFB"/>
    <w:rsid w:val="006F776D"/>
    <w:rsid w:val="0070323E"/>
    <w:rsid w:val="007108AE"/>
    <w:rsid w:val="007125F2"/>
    <w:rsid w:val="00715B50"/>
    <w:rsid w:val="00717117"/>
    <w:rsid w:val="007217CF"/>
    <w:rsid w:val="00722939"/>
    <w:rsid w:val="00723D5B"/>
    <w:rsid w:val="00724E37"/>
    <w:rsid w:val="00724EA8"/>
    <w:rsid w:val="00725A98"/>
    <w:rsid w:val="00726F7E"/>
    <w:rsid w:val="007274E7"/>
    <w:rsid w:val="007304DD"/>
    <w:rsid w:val="00731C05"/>
    <w:rsid w:val="00732825"/>
    <w:rsid w:val="00733148"/>
    <w:rsid w:val="00737AAB"/>
    <w:rsid w:val="007470B7"/>
    <w:rsid w:val="00753B80"/>
    <w:rsid w:val="00755825"/>
    <w:rsid w:val="0075587E"/>
    <w:rsid w:val="007565E6"/>
    <w:rsid w:val="00760876"/>
    <w:rsid w:val="00760F65"/>
    <w:rsid w:val="00762930"/>
    <w:rsid w:val="00765C32"/>
    <w:rsid w:val="00766056"/>
    <w:rsid w:val="007660B8"/>
    <w:rsid w:val="00766BFE"/>
    <w:rsid w:val="00770DD4"/>
    <w:rsid w:val="00772090"/>
    <w:rsid w:val="0077459B"/>
    <w:rsid w:val="00776DA2"/>
    <w:rsid w:val="007803E3"/>
    <w:rsid w:val="00781381"/>
    <w:rsid w:val="007829B1"/>
    <w:rsid w:val="00782AC5"/>
    <w:rsid w:val="0078386D"/>
    <w:rsid w:val="00786322"/>
    <w:rsid w:val="00790936"/>
    <w:rsid w:val="007910FE"/>
    <w:rsid w:val="00792FC1"/>
    <w:rsid w:val="007935A8"/>
    <w:rsid w:val="00793C09"/>
    <w:rsid w:val="00796680"/>
    <w:rsid w:val="00796FA7"/>
    <w:rsid w:val="007A2F34"/>
    <w:rsid w:val="007A3B9D"/>
    <w:rsid w:val="007A3BA3"/>
    <w:rsid w:val="007A3C69"/>
    <w:rsid w:val="007A4B77"/>
    <w:rsid w:val="007A5128"/>
    <w:rsid w:val="007A7BEB"/>
    <w:rsid w:val="007B048C"/>
    <w:rsid w:val="007B2047"/>
    <w:rsid w:val="007B5069"/>
    <w:rsid w:val="007C2EC7"/>
    <w:rsid w:val="007C4087"/>
    <w:rsid w:val="007C6320"/>
    <w:rsid w:val="007C6D7D"/>
    <w:rsid w:val="007D590E"/>
    <w:rsid w:val="007D7134"/>
    <w:rsid w:val="007D7D45"/>
    <w:rsid w:val="007E3BFF"/>
    <w:rsid w:val="007E3C42"/>
    <w:rsid w:val="007E483E"/>
    <w:rsid w:val="007E5AB7"/>
    <w:rsid w:val="007E5ABA"/>
    <w:rsid w:val="007E7BF4"/>
    <w:rsid w:val="007F13DF"/>
    <w:rsid w:val="007F29C3"/>
    <w:rsid w:val="007F2A20"/>
    <w:rsid w:val="007F2A21"/>
    <w:rsid w:val="007F2D2A"/>
    <w:rsid w:val="007F331F"/>
    <w:rsid w:val="007F39A7"/>
    <w:rsid w:val="007F4320"/>
    <w:rsid w:val="008024DC"/>
    <w:rsid w:val="0080274A"/>
    <w:rsid w:val="00807725"/>
    <w:rsid w:val="00807991"/>
    <w:rsid w:val="008121FE"/>
    <w:rsid w:val="008122EA"/>
    <w:rsid w:val="008127E2"/>
    <w:rsid w:val="008139CD"/>
    <w:rsid w:val="00816705"/>
    <w:rsid w:val="00817C1C"/>
    <w:rsid w:val="00823080"/>
    <w:rsid w:val="00823D96"/>
    <w:rsid w:val="008313FD"/>
    <w:rsid w:val="00836956"/>
    <w:rsid w:val="0084046F"/>
    <w:rsid w:val="00842714"/>
    <w:rsid w:val="0084303C"/>
    <w:rsid w:val="00843B03"/>
    <w:rsid w:val="0084603C"/>
    <w:rsid w:val="0084741F"/>
    <w:rsid w:val="008501CF"/>
    <w:rsid w:val="00853009"/>
    <w:rsid w:val="00856065"/>
    <w:rsid w:val="00856D71"/>
    <w:rsid w:val="00860567"/>
    <w:rsid w:val="00865D04"/>
    <w:rsid w:val="00867A54"/>
    <w:rsid w:val="008702DA"/>
    <w:rsid w:val="00874728"/>
    <w:rsid w:val="00883370"/>
    <w:rsid w:val="00883D43"/>
    <w:rsid w:val="00883F2C"/>
    <w:rsid w:val="00885257"/>
    <w:rsid w:val="008855F9"/>
    <w:rsid w:val="0088571F"/>
    <w:rsid w:val="00885F10"/>
    <w:rsid w:val="00886023"/>
    <w:rsid w:val="00887C3A"/>
    <w:rsid w:val="00892785"/>
    <w:rsid w:val="00893E78"/>
    <w:rsid w:val="00895EFE"/>
    <w:rsid w:val="00897861"/>
    <w:rsid w:val="008A104B"/>
    <w:rsid w:val="008A1404"/>
    <w:rsid w:val="008A2018"/>
    <w:rsid w:val="008A2BBC"/>
    <w:rsid w:val="008A2C44"/>
    <w:rsid w:val="008A3A0E"/>
    <w:rsid w:val="008A3A50"/>
    <w:rsid w:val="008A47AE"/>
    <w:rsid w:val="008A54AE"/>
    <w:rsid w:val="008A78F6"/>
    <w:rsid w:val="008B0297"/>
    <w:rsid w:val="008B0859"/>
    <w:rsid w:val="008B2E69"/>
    <w:rsid w:val="008B3AFC"/>
    <w:rsid w:val="008B4EF3"/>
    <w:rsid w:val="008B5709"/>
    <w:rsid w:val="008B6404"/>
    <w:rsid w:val="008B66FE"/>
    <w:rsid w:val="008C2A15"/>
    <w:rsid w:val="008C518C"/>
    <w:rsid w:val="008D00E6"/>
    <w:rsid w:val="008D132C"/>
    <w:rsid w:val="008D1E41"/>
    <w:rsid w:val="008D2F85"/>
    <w:rsid w:val="008D4669"/>
    <w:rsid w:val="008D530E"/>
    <w:rsid w:val="008D616A"/>
    <w:rsid w:val="008E2B25"/>
    <w:rsid w:val="008E445C"/>
    <w:rsid w:val="008E4D35"/>
    <w:rsid w:val="008E4F00"/>
    <w:rsid w:val="008F118B"/>
    <w:rsid w:val="008F27B5"/>
    <w:rsid w:val="008F3245"/>
    <w:rsid w:val="008F4305"/>
    <w:rsid w:val="008F48CE"/>
    <w:rsid w:val="008F5434"/>
    <w:rsid w:val="008F5A24"/>
    <w:rsid w:val="008F5B66"/>
    <w:rsid w:val="008F649E"/>
    <w:rsid w:val="008F7343"/>
    <w:rsid w:val="00900544"/>
    <w:rsid w:val="009006E4"/>
    <w:rsid w:val="00901E69"/>
    <w:rsid w:val="00903C42"/>
    <w:rsid w:val="009057C3"/>
    <w:rsid w:val="00910888"/>
    <w:rsid w:val="00910934"/>
    <w:rsid w:val="00910E31"/>
    <w:rsid w:val="00911DD0"/>
    <w:rsid w:val="00911ED8"/>
    <w:rsid w:val="00912BB4"/>
    <w:rsid w:val="00912FDF"/>
    <w:rsid w:val="009141B1"/>
    <w:rsid w:val="00915C7F"/>
    <w:rsid w:val="0091757E"/>
    <w:rsid w:val="00917F74"/>
    <w:rsid w:val="0092235C"/>
    <w:rsid w:val="0092506C"/>
    <w:rsid w:val="00926E4A"/>
    <w:rsid w:val="009337A4"/>
    <w:rsid w:val="00935E49"/>
    <w:rsid w:val="00936D97"/>
    <w:rsid w:val="009408ED"/>
    <w:rsid w:val="00943311"/>
    <w:rsid w:val="0094507F"/>
    <w:rsid w:val="009456D8"/>
    <w:rsid w:val="009469F8"/>
    <w:rsid w:val="0094757D"/>
    <w:rsid w:val="00950F29"/>
    <w:rsid w:val="009536C5"/>
    <w:rsid w:val="00955430"/>
    <w:rsid w:val="0095577F"/>
    <w:rsid w:val="009574CD"/>
    <w:rsid w:val="009576DF"/>
    <w:rsid w:val="00966196"/>
    <w:rsid w:val="00966FA7"/>
    <w:rsid w:val="009670F0"/>
    <w:rsid w:val="00967F39"/>
    <w:rsid w:val="0097196C"/>
    <w:rsid w:val="00971C2D"/>
    <w:rsid w:val="00973333"/>
    <w:rsid w:val="0097455A"/>
    <w:rsid w:val="00976FB6"/>
    <w:rsid w:val="0098178E"/>
    <w:rsid w:val="00986C87"/>
    <w:rsid w:val="00990D9A"/>
    <w:rsid w:val="00991823"/>
    <w:rsid w:val="009922CC"/>
    <w:rsid w:val="0099241E"/>
    <w:rsid w:val="00992CE8"/>
    <w:rsid w:val="00994B20"/>
    <w:rsid w:val="0099631C"/>
    <w:rsid w:val="00996976"/>
    <w:rsid w:val="00996E46"/>
    <w:rsid w:val="009A1409"/>
    <w:rsid w:val="009A2497"/>
    <w:rsid w:val="009A36F1"/>
    <w:rsid w:val="009A4DCD"/>
    <w:rsid w:val="009A686A"/>
    <w:rsid w:val="009A7183"/>
    <w:rsid w:val="009B2F06"/>
    <w:rsid w:val="009B3513"/>
    <w:rsid w:val="009B3BA0"/>
    <w:rsid w:val="009B6225"/>
    <w:rsid w:val="009C04FC"/>
    <w:rsid w:val="009C2952"/>
    <w:rsid w:val="009C2D26"/>
    <w:rsid w:val="009C53D6"/>
    <w:rsid w:val="009C6E25"/>
    <w:rsid w:val="009D00F9"/>
    <w:rsid w:val="009D01BC"/>
    <w:rsid w:val="009D078C"/>
    <w:rsid w:val="009D0CA0"/>
    <w:rsid w:val="009E3D83"/>
    <w:rsid w:val="009E431A"/>
    <w:rsid w:val="009E4F96"/>
    <w:rsid w:val="009E5FDD"/>
    <w:rsid w:val="009E724C"/>
    <w:rsid w:val="009E727E"/>
    <w:rsid w:val="009F1D19"/>
    <w:rsid w:val="009F2172"/>
    <w:rsid w:val="009F2773"/>
    <w:rsid w:val="009F353C"/>
    <w:rsid w:val="009F4654"/>
    <w:rsid w:val="009F692A"/>
    <w:rsid w:val="00A008AB"/>
    <w:rsid w:val="00A00C82"/>
    <w:rsid w:val="00A0103F"/>
    <w:rsid w:val="00A01936"/>
    <w:rsid w:val="00A01D50"/>
    <w:rsid w:val="00A03F4F"/>
    <w:rsid w:val="00A056F0"/>
    <w:rsid w:val="00A0653E"/>
    <w:rsid w:val="00A1076D"/>
    <w:rsid w:val="00A13A12"/>
    <w:rsid w:val="00A14785"/>
    <w:rsid w:val="00A15E24"/>
    <w:rsid w:val="00A15EE5"/>
    <w:rsid w:val="00A1643C"/>
    <w:rsid w:val="00A16FB0"/>
    <w:rsid w:val="00A17C7F"/>
    <w:rsid w:val="00A17FF7"/>
    <w:rsid w:val="00A23E9D"/>
    <w:rsid w:val="00A3097E"/>
    <w:rsid w:val="00A30F13"/>
    <w:rsid w:val="00A310BE"/>
    <w:rsid w:val="00A3464C"/>
    <w:rsid w:val="00A350EC"/>
    <w:rsid w:val="00A400A9"/>
    <w:rsid w:val="00A40BFF"/>
    <w:rsid w:val="00A43866"/>
    <w:rsid w:val="00A47F15"/>
    <w:rsid w:val="00A50EAD"/>
    <w:rsid w:val="00A5433D"/>
    <w:rsid w:val="00A570F6"/>
    <w:rsid w:val="00A62E79"/>
    <w:rsid w:val="00A64212"/>
    <w:rsid w:val="00A64390"/>
    <w:rsid w:val="00A70150"/>
    <w:rsid w:val="00A714DB"/>
    <w:rsid w:val="00A73B66"/>
    <w:rsid w:val="00A75239"/>
    <w:rsid w:val="00A76EDC"/>
    <w:rsid w:val="00A812CF"/>
    <w:rsid w:val="00A81FF4"/>
    <w:rsid w:val="00A830BC"/>
    <w:rsid w:val="00A84C34"/>
    <w:rsid w:val="00A85103"/>
    <w:rsid w:val="00A8694A"/>
    <w:rsid w:val="00A86E22"/>
    <w:rsid w:val="00A94582"/>
    <w:rsid w:val="00A94AC6"/>
    <w:rsid w:val="00A951BA"/>
    <w:rsid w:val="00A96E6D"/>
    <w:rsid w:val="00A97C8D"/>
    <w:rsid w:val="00AA0388"/>
    <w:rsid w:val="00AA130B"/>
    <w:rsid w:val="00AA31E9"/>
    <w:rsid w:val="00AA3B92"/>
    <w:rsid w:val="00AA499B"/>
    <w:rsid w:val="00AA587E"/>
    <w:rsid w:val="00AB15E0"/>
    <w:rsid w:val="00AB1C31"/>
    <w:rsid w:val="00AB1E88"/>
    <w:rsid w:val="00AB6225"/>
    <w:rsid w:val="00AB6466"/>
    <w:rsid w:val="00AB6B67"/>
    <w:rsid w:val="00AB7726"/>
    <w:rsid w:val="00AC0728"/>
    <w:rsid w:val="00AC1A66"/>
    <w:rsid w:val="00AC1F19"/>
    <w:rsid w:val="00AC1F46"/>
    <w:rsid w:val="00AC277D"/>
    <w:rsid w:val="00AC53F5"/>
    <w:rsid w:val="00AC7545"/>
    <w:rsid w:val="00AC7F4D"/>
    <w:rsid w:val="00AD2E5F"/>
    <w:rsid w:val="00AD5A4E"/>
    <w:rsid w:val="00AD7C04"/>
    <w:rsid w:val="00AE0A4B"/>
    <w:rsid w:val="00AE73A3"/>
    <w:rsid w:val="00AF0597"/>
    <w:rsid w:val="00AF14E4"/>
    <w:rsid w:val="00AF603D"/>
    <w:rsid w:val="00AF69D7"/>
    <w:rsid w:val="00B015B0"/>
    <w:rsid w:val="00B015EB"/>
    <w:rsid w:val="00B017CA"/>
    <w:rsid w:val="00B029AC"/>
    <w:rsid w:val="00B06472"/>
    <w:rsid w:val="00B06659"/>
    <w:rsid w:val="00B10A3B"/>
    <w:rsid w:val="00B1120A"/>
    <w:rsid w:val="00B11FFB"/>
    <w:rsid w:val="00B1337F"/>
    <w:rsid w:val="00B13B4C"/>
    <w:rsid w:val="00B162A3"/>
    <w:rsid w:val="00B17CE5"/>
    <w:rsid w:val="00B20228"/>
    <w:rsid w:val="00B20A5E"/>
    <w:rsid w:val="00B21573"/>
    <w:rsid w:val="00B245B8"/>
    <w:rsid w:val="00B252F8"/>
    <w:rsid w:val="00B254CA"/>
    <w:rsid w:val="00B2557E"/>
    <w:rsid w:val="00B30D63"/>
    <w:rsid w:val="00B31100"/>
    <w:rsid w:val="00B31E4A"/>
    <w:rsid w:val="00B32306"/>
    <w:rsid w:val="00B328F8"/>
    <w:rsid w:val="00B347D8"/>
    <w:rsid w:val="00B36514"/>
    <w:rsid w:val="00B36BB6"/>
    <w:rsid w:val="00B41883"/>
    <w:rsid w:val="00B41BB9"/>
    <w:rsid w:val="00B45522"/>
    <w:rsid w:val="00B45A03"/>
    <w:rsid w:val="00B45B56"/>
    <w:rsid w:val="00B46247"/>
    <w:rsid w:val="00B466EC"/>
    <w:rsid w:val="00B47429"/>
    <w:rsid w:val="00B475E2"/>
    <w:rsid w:val="00B50E3B"/>
    <w:rsid w:val="00B5171E"/>
    <w:rsid w:val="00B52505"/>
    <w:rsid w:val="00B53592"/>
    <w:rsid w:val="00B55A21"/>
    <w:rsid w:val="00B57569"/>
    <w:rsid w:val="00B61306"/>
    <w:rsid w:val="00B6612D"/>
    <w:rsid w:val="00B66CBD"/>
    <w:rsid w:val="00B670BE"/>
    <w:rsid w:val="00B67177"/>
    <w:rsid w:val="00B706D9"/>
    <w:rsid w:val="00B70A4C"/>
    <w:rsid w:val="00B7517D"/>
    <w:rsid w:val="00B75631"/>
    <w:rsid w:val="00B81336"/>
    <w:rsid w:val="00B81805"/>
    <w:rsid w:val="00B823D5"/>
    <w:rsid w:val="00B83310"/>
    <w:rsid w:val="00B83F89"/>
    <w:rsid w:val="00B87522"/>
    <w:rsid w:val="00B87CA1"/>
    <w:rsid w:val="00B90B1B"/>
    <w:rsid w:val="00B92ACB"/>
    <w:rsid w:val="00B948E1"/>
    <w:rsid w:val="00B9751B"/>
    <w:rsid w:val="00B97E5F"/>
    <w:rsid w:val="00BA19EE"/>
    <w:rsid w:val="00BA1C8C"/>
    <w:rsid w:val="00BA2642"/>
    <w:rsid w:val="00BA446E"/>
    <w:rsid w:val="00BA543C"/>
    <w:rsid w:val="00BA67F7"/>
    <w:rsid w:val="00BB1462"/>
    <w:rsid w:val="00BB1C94"/>
    <w:rsid w:val="00BB2349"/>
    <w:rsid w:val="00BB2970"/>
    <w:rsid w:val="00BB79DD"/>
    <w:rsid w:val="00BC061D"/>
    <w:rsid w:val="00BC0770"/>
    <w:rsid w:val="00BC25F8"/>
    <w:rsid w:val="00BC28C2"/>
    <w:rsid w:val="00BC3C39"/>
    <w:rsid w:val="00BC4517"/>
    <w:rsid w:val="00BC4603"/>
    <w:rsid w:val="00BC7A31"/>
    <w:rsid w:val="00BD47B5"/>
    <w:rsid w:val="00BD5F14"/>
    <w:rsid w:val="00BD5F25"/>
    <w:rsid w:val="00BD63DC"/>
    <w:rsid w:val="00BD7C3F"/>
    <w:rsid w:val="00BE05B5"/>
    <w:rsid w:val="00BE2A2F"/>
    <w:rsid w:val="00BE3329"/>
    <w:rsid w:val="00BE3703"/>
    <w:rsid w:val="00BE5592"/>
    <w:rsid w:val="00BE5A20"/>
    <w:rsid w:val="00BE62B8"/>
    <w:rsid w:val="00BE6D87"/>
    <w:rsid w:val="00BE6EAE"/>
    <w:rsid w:val="00BF1096"/>
    <w:rsid w:val="00BF1A5E"/>
    <w:rsid w:val="00BF1E8C"/>
    <w:rsid w:val="00BF313B"/>
    <w:rsid w:val="00BF4CB4"/>
    <w:rsid w:val="00BF515A"/>
    <w:rsid w:val="00C0183C"/>
    <w:rsid w:val="00C05446"/>
    <w:rsid w:val="00C0567C"/>
    <w:rsid w:val="00C06FCF"/>
    <w:rsid w:val="00C07046"/>
    <w:rsid w:val="00C07464"/>
    <w:rsid w:val="00C0762F"/>
    <w:rsid w:val="00C07CA6"/>
    <w:rsid w:val="00C1654F"/>
    <w:rsid w:val="00C16770"/>
    <w:rsid w:val="00C224E5"/>
    <w:rsid w:val="00C23D61"/>
    <w:rsid w:val="00C24623"/>
    <w:rsid w:val="00C254DA"/>
    <w:rsid w:val="00C374F1"/>
    <w:rsid w:val="00C40A3E"/>
    <w:rsid w:val="00C41A18"/>
    <w:rsid w:val="00C42869"/>
    <w:rsid w:val="00C42F69"/>
    <w:rsid w:val="00C42F8C"/>
    <w:rsid w:val="00C43D71"/>
    <w:rsid w:val="00C452E1"/>
    <w:rsid w:val="00C46341"/>
    <w:rsid w:val="00C46AA7"/>
    <w:rsid w:val="00C47B68"/>
    <w:rsid w:val="00C55538"/>
    <w:rsid w:val="00C62E93"/>
    <w:rsid w:val="00C6324C"/>
    <w:rsid w:val="00C639F7"/>
    <w:rsid w:val="00C65338"/>
    <w:rsid w:val="00C667B1"/>
    <w:rsid w:val="00C66F0F"/>
    <w:rsid w:val="00C77759"/>
    <w:rsid w:val="00C80D64"/>
    <w:rsid w:val="00C81884"/>
    <w:rsid w:val="00C82B80"/>
    <w:rsid w:val="00C83857"/>
    <w:rsid w:val="00C85AFD"/>
    <w:rsid w:val="00C87F8B"/>
    <w:rsid w:val="00C925E9"/>
    <w:rsid w:val="00C933CF"/>
    <w:rsid w:val="00CA0C10"/>
    <w:rsid w:val="00CA305E"/>
    <w:rsid w:val="00CA59B0"/>
    <w:rsid w:val="00CA6C2C"/>
    <w:rsid w:val="00CB0286"/>
    <w:rsid w:val="00CB16D6"/>
    <w:rsid w:val="00CB21FC"/>
    <w:rsid w:val="00CB50F4"/>
    <w:rsid w:val="00CB75B1"/>
    <w:rsid w:val="00CC04E8"/>
    <w:rsid w:val="00CC2760"/>
    <w:rsid w:val="00CC33AF"/>
    <w:rsid w:val="00CC47F1"/>
    <w:rsid w:val="00CC54EC"/>
    <w:rsid w:val="00CC5E19"/>
    <w:rsid w:val="00CC6968"/>
    <w:rsid w:val="00CC7DC0"/>
    <w:rsid w:val="00CD076A"/>
    <w:rsid w:val="00CD1394"/>
    <w:rsid w:val="00CD2475"/>
    <w:rsid w:val="00CD26A0"/>
    <w:rsid w:val="00CE060F"/>
    <w:rsid w:val="00CE4C93"/>
    <w:rsid w:val="00CE55F0"/>
    <w:rsid w:val="00CF14A9"/>
    <w:rsid w:val="00CF33C6"/>
    <w:rsid w:val="00CF7288"/>
    <w:rsid w:val="00CF7B01"/>
    <w:rsid w:val="00CF7E67"/>
    <w:rsid w:val="00D001E0"/>
    <w:rsid w:val="00D01C5A"/>
    <w:rsid w:val="00D05F4E"/>
    <w:rsid w:val="00D06DC7"/>
    <w:rsid w:val="00D1156B"/>
    <w:rsid w:val="00D14998"/>
    <w:rsid w:val="00D178B8"/>
    <w:rsid w:val="00D17E70"/>
    <w:rsid w:val="00D20612"/>
    <w:rsid w:val="00D2219D"/>
    <w:rsid w:val="00D25BF6"/>
    <w:rsid w:val="00D260E7"/>
    <w:rsid w:val="00D27472"/>
    <w:rsid w:val="00D30176"/>
    <w:rsid w:val="00D3154C"/>
    <w:rsid w:val="00D33716"/>
    <w:rsid w:val="00D33765"/>
    <w:rsid w:val="00D34791"/>
    <w:rsid w:val="00D36444"/>
    <w:rsid w:val="00D41F7B"/>
    <w:rsid w:val="00D468B8"/>
    <w:rsid w:val="00D46F9B"/>
    <w:rsid w:val="00D47ACE"/>
    <w:rsid w:val="00D51766"/>
    <w:rsid w:val="00D51B7F"/>
    <w:rsid w:val="00D543E6"/>
    <w:rsid w:val="00D57E98"/>
    <w:rsid w:val="00D627D2"/>
    <w:rsid w:val="00D63BDF"/>
    <w:rsid w:val="00D649A1"/>
    <w:rsid w:val="00D66F38"/>
    <w:rsid w:val="00D71F3C"/>
    <w:rsid w:val="00D726D8"/>
    <w:rsid w:val="00D80597"/>
    <w:rsid w:val="00D821C5"/>
    <w:rsid w:val="00D83744"/>
    <w:rsid w:val="00D84FAF"/>
    <w:rsid w:val="00D96C69"/>
    <w:rsid w:val="00DA13E8"/>
    <w:rsid w:val="00DA4DCE"/>
    <w:rsid w:val="00DA4F69"/>
    <w:rsid w:val="00DA5E42"/>
    <w:rsid w:val="00DA6D14"/>
    <w:rsid w:val="00DB0DBA"/>
    <w:rsid w:val="00DB0E02"/>
    <w:rsid w:val="00DB14CD"/>
    <w:rsid w:val="00DB323F"/>
    <w:rsid w:val="00DB56FE"/>
    <w:rsid w:val="00DB670C"/>
    <w:rsid w:val="00DB67E6"/>
    <w:rsid w:val="00DC27F7"/>
    <w:rsid w:val="00DC5331"/>
    <w:rsid w:val="00DC6737"/>
    <w:rsid w:val="00DD1F33"/>
    <w:rsid w:val="00DD48E6"/>
    <w:rsid w:val="00DD53B6"/>
    <w:rsid w:val="00DD6687"/>
    <w:rsid w:val="00DE0499"/>
    <w:rsid w:val="00DE28D3"/>
    <w:rsid w:val="00DE4334"/>
    <w:rsid w:val="00DE5E60"/>
    <w:rsid w:val="00DE7740"/>
    <w:rsid w:val="00DF2093"/>
    <w:rsid w:val="00DF5D73"/>
    <w:rsid w:val="00E018C3"/>
    <w:rsid w:val="00E01F3E"/>
    <w:rsid w:val="00E0325C"/>
    <w:rsid w:val="00E04F63"/>
    <w:rsid w:val="00E06F50"/>
    <w:rsid w:val="00E07ACB"/>
    <w:rsid w:val="00E07E7E"/>
    <w:rsid w:val="00E1007B"/>
    <w:rsid w:val="00E105AE"/>
    <w:rsid w:val="00E111CA"/>
    <w:rsid w:val="00E122E7"/>
    <w:rsid w:val="00E12960"/>
    <w:rsid w:val="00E1722E"/>
    <w:rsid w:val="00E20476"/>
    <w:rsid w:val="00E25793"/>
    <w:rsid w:val="00E257FA"/>
    <w:rsid w:val="00E26B3C"/>
    <w:rsid w:val="00E31D04"/>
    <w:rsid w:val="00E3237D"/>
    <w:rsid w:val="00E324EC"/>
    <w:rsid w:val="00E32A93"/>
    <w:rsid w:val="00E35333"/>
    <w:rsid w:val="00E355D2"/>
    <w:rsid w:val="00E35956"/>
    <w:rsid w:val="00E3699A"/>
    <w:rsid w:val="00E37391"/>
    <w:rsid w:val="00E40B34"/>
    <w:rsid w:val="00E429AF"/>
    <w:rsid w:val="00E43981"/>
    <w:rsid w:val="00E4690E"/>
    <w:rsid w:val="00E47B34"/>
    <w:rsid w:val="00E47EA2"/>
    <w:rsid w:val="00E50841"/>
    <w:rsid w:val="00E516D6"/>
    <w:rsid w:val="00E544C3"/>
    <w:rsid w:val="00E55216"/>
    <w:rsid w:val="00E56610"/>
    <w:rsid w:val="00E57B7A"/>
    <w:rsid w:val="00E604FD"/>
    <w:rsid w:val="00E616A6"/>
    <w:rsid w:val="00E61876"/>
    <w:rsid w:val="00E636DA"/>
    <w:rsid w:val="00E63E96"/>
    <w:rsid w:val="00E7199C"/>
    <w:rsid w:val="00E71BC4"/>
    <w:rsid w:val="00E72F27"/>
    <w:rsid w:val="00E73E93"/>
    <w:rsid w:val="00E7401F"/>
    <w:rsid w:val="00E80028"/>
    <w:rsid w:val="00E85DF1"/>
    <w:rsid w:val="00E85F32"/>
    <w:rsid w:val="00E87497"/>
    <w:rsid w:val="00E90F77"/>
    <w:rsid w:val="00E911C2"/>
    <w:rsid w:val="00E92DCA"/>
    <w:rsid w:val="00E92E8F"/>
    <w:rsid w:val="00E948A6"/>
    <w:rsid w:val="00E95165"/>
    <w:rsid w:val="00E95424"/>
    <w:rsid w:val="00EA32E0"/>
    <w:rsid w:val="00EA5686"/>
    <w:rsid w:val="00EB038B"/>
    <w:rsid w:val="00EB1873"/>
    <w:rsid w:val="00EB2CDD"/>
    <w:rsid w:val="00EB3DD7"/>
    <w:rsid w:val="00EB4A05"/>
    <w:rsid w:val="00EB5765"/>
    <w:rsid w:val="00EB58DA"/>
    <w:rsid w:val="00EB7FE2"/>
    <w:rsid w:val="00EC1808"/>
    <w:rsid w:val="00EC20FB"/>
    <w:rsid w:val="00EC2230"/>
    <w:rsid w:val="00EC29F9"/>
    <w:rsid w:val="00EC3F86"/>
    <w:rsid w:val="00EC722E"/>
    <w:rsid w:val="00EC7259"/>
    <w:rsid w:val="00ED3B58"/>
    <w:rsid w:val="00ED3E10"/>
    <w:rsid w:val="00ED5EF8"/>
    <w:rsid w:val="00ED75BA"/>
    <w:rsid w:val="00EE000E"/>
    <w:rsid w:val="00EE2F90"/>
    <w:rsid w:val="00EE3709"/>
    <w:rsid w:val="00EE60E0"/>
    <w:rsid w:val="00EE6335"/>
    <w:rsid w:val="00EF1FD7"/>
    <w:rsid w:val="00EF2C10"/>
    <w:rsid w:val="00EF2DD7"/>
    <w:rsid w:val="00EF446D"/>
    <w:rsid w:val="00EF5A18"/>
    <w:rsid w:val="00EF5D12"/>
    <w:rsid w:val="00EF62EB"/>
    <w:rsid w:val="00EF7AC7"/>
    <w:rsid w:val="00EF7C5A"/>
    <w:rsid w:val="00F027E0"/>
    <w:rsid w:val="00F05CEC"/>
    <w:rsid w:val="00F11D5D"/>
    <w:rsid w:val="00F12A33"/>
    <w:rsid w:val="00F130BF"/>
    <w:rsid w:val="00F13B2A"/>
    <w:rsid w:val="00F14C44"/>
    <w:rsid w:val="00F15E5F"/>
    <w:rsid w:val="00F22112"/>
    <w:rsid w:val="00F221B9"/>
    <w:rsid w:val="00F24032"/>
    <w:rsid w:val="00F25BDC"/>
    <w:rsid w:val="00F25C07"/>
    <w:rsid w:val="00F279C3"/>
    <w:rsid w:val="00F311F0"/>
    <w:rsid w:val="00F3145E"/>
    <w:rsid w:val="00F33FE9"/>
    <w:rsid w:val="00F360B6"/>
    <w:rsid w:val="00F36F5D"/>
    <w:rsid w:val="00F370E9"/>
    <w:rsid w:val="00F376F7"/>
    <w:rsid w:val="00F40DB8"/>
    <w:rsid w:val="00F410D6"/>
    <w:rsid w:val="00F4183C"/>
    <w:rsid w:val="00F46E2C"/>
    <w:rsid w:val="00F50346"/>
    <w:rsid w:val="00F505D4"/>
    <w:rsid w:val="00F55AB1"/>
    <w:rsid w:val="00F5615B"/>
    <w:rsid w:val="00F5646E"/>
    <w:rsid w:val="00F56B54"/>
    <w:rsid w:val="00F57F8A"/>
    <w:rsid w:val="00F6025B"/>
    <w:rsid w:val="00F6328D"/>
    <w:rsid w:val="00F64192"/>
    <w:rsid w:val="00F64491"/>
    <w:rsid w:val="00F64A12"/>
    <w:rsid w:val="00F65D26"/>
    <w:rsid w:val="00F66E8A"/>
    <w:rsid w:val="00F67A5C"/>
    <w:rsid w:val="00F70AFF"/>
    <w:rsid w:val="00F734D3"/>
    <w:rsid w:val="00F73BFB"/>
    <w:rsid w:val="00F744BF"/>
    <w:rsid w:val="00F745E5"/>
    <w:rsid w:val="00F747D2"/>
    <w:rsid w:val="00F766CD"/>
    <w:rsid w:val="00F809F9"/>
    <w:rsid w:val="00F83B99"/>
    <w:rsid w:val="00F83D06"/>
    <w:rsid w:val="00F83D5E"/>
    <w:rsid w:val="00F84C55"/>
    <w:rsid w:val="00F84D19"/>
    <w:rsid w:val="00F8635C"/>
    <w:rsid w:val="00F90414"/>
    <w:rsid w:val="00F942AB"/>
    <w:rsid w:val="00F949CD"/>
    <w:rsid w:val="00F95DB4"/>
    <w:rsid w:val="00F97CE7"/>
    <w:rsid w:val="00FA14F7"/>
    <w:rsid w:val="00FA1A49"/>
    <w:rsid w:val="00FA234F"/>
    <w:rsid w:val="00FA3068"/>
    <w:rsid w:val="00FA6B1B"/>
    <w:rsid w:val="00FA7945"/>
    <w:rsid w:val="00FB25FB"/>
    <w:rsid w:val="00FB334C"/>
    <w:rsid w:val="00FB47CA"/>
    <w:rsid w:val="00FB5673"/>
    <w:rsid w:val="00FB61E1"/>
    <w:rsid w:val="00FB62BB"/>
    <w:rsid w:val="00FC05B3"/>
    <w:rsid w:val="00FC2EEE"/>
    <w:rsid w:val="00FD0DB6"/>
    <w:rsid w:val="00FD2AA0"/>
    <w:rsid w:val="00FD5084"/>
    <w:rsid w:val="00FD51D7"/>
    <w:rsid w:val="00FD5982"/>
    <w:rsid w:val="00FE12FF"/>
    <w:rsid w:val="00FE36E4"/>
    <w:rsid w:val="00FE57F6"/>
    <w:rsid w:val="00FE70F0"/>
    <w:rsid w:val="00FF4A56"/>
    <w:rsid w:val="00FF549C"/>
    <w:rsid w:val="00FF5927"/>
    <w:rsid w:val="00FF6EFD"/>
    <w:rsid w:val="00FF7A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F1427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0746FB"/>
    <w:pPr>
      <w:keepNext/>
      <w:tabs>
        <w:tab w:val="num" w:pos="482"/>
      </w:tabs>
      <w:spacing w:before="240" w:after="240" w:line="240" w:lineRule="auto"/>
      <w:ind w:left="482" w:hanging="482"/>
      <w:jc w:val="both"/>
      <w:outlineLvl w:val="0"/>
    </w:pPr>
    <w:rPr>
      <w:rFonts w:ascii="Times New Roman" w:eastAsia="Times New Roman" w:hAnsi="Times New Roman" w:cs="Times New Roman"/>
      <w:b/>
      <w:smallCaps/>
      <w:sz w:val="24"/>
      <w:szCs w:val="20"/>
      <w:lang w:eastAsia="fr-BE"/>
    </w:rPr>
  </w:style>
  <w:style w:type="paragraph" w:styleId="Heading2">
    <w:name w:val="heading 2"/>
    <w:basedOn w:val="Normal"/>
    <w:next w:val="Normal"/>
    <w:link w:val="Heading2Char"/>
    <w:uiPriority w:val="9"/>
    <w:semiHidden/>
    <w:unhideWhenUsed/>
    <w:qFormat/>
    <w:rsid w:val="000746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746FB"/>
    <w:rPr>
      <w:rFonts w:ascii="Times New Roman" w:eastAsia="Times New Roman" w:hAnsi="Times New Roman" w:cs="Times New Roman"/>
      <w:b/>
      <w:smallCaps/>
      <w:sz w:val="24"/>
      <w:szCs w:val="20"/>
      <w:lang w:val="hr-HR" w:eastAsia="fr-BE"/>
    </w:rPr>
  </w:style>
  <w:style w:type="character" w:customStyle="1" w:styleId="Heading2Char">
    <w:name w:val="Heading 2 Char"/>
    <w:basedOn w:val="DefaultParagraphFont"/>
    <w:link w:val="Heading2"/>
    <w:uiPriority w:val="9"/>
    <w:semiHidden/>
    <w:rsid w:val="000746FB"/>
    <w:rPr>
      <w:rFonts w:asciiTheme="majorHAnsi" w:eastAsiaTheme="majorEastAsia" w:hAnsiTheme="majorHAnsi" w:cstheme="majorBidi"/>
      <w:color w:val="2F5496" w:themeColor="accent1" w:themeShade="BF"/>
      <w:sz w:val="26"/>
      <w:szCs w:val="26"/>
    </w:rPr>
  </w:style>
  <w:style w:type="paragraph" w:styleId="ListParagraph">
    <w:name w:val="List Paragraph"/>
    <w:aliases w:val="Lapis Bulleted List,List Paragraph (numbered (a)),List Paragraph12,CV text,Bullets,3,titulo 3,Párrafo de lista1,normal,Normal1,References,WB List Paragraph,Normal11,Bullet List,Dot pt,No Spacing1,List Paragraph Char Char Char,Bullet point"/>
    <w:basedOn w:val="Normal"/>
    <w:link w:val="ListParagraphChar"/>
    <w:uiPriority w:val="34"/>
    <w:qFormat/>
    <w:rsid w:val="000746FB"/>
    <w:pPr>
      <w:ind w:left="720"/>
      <w:contextualSpacing/>
    </w:pPr>
  </w:style>
  <w:style w:type="paragraph" w:styleId="CommentText">
    <w:name w:val="annotation text"/>
    <w:basedOn w:val="Normal"/>
    <w:link w:val="CommentTextChar"/>
    <w:uiPriority w:val="99"/>
    <w:unhideWhenUsed/>
    <w:rsid w:val="000746FB"/>
    <w:pPr>
      <w:spacing w:line="240" w:lineRule="auto"/>
    </w:pPr>
    <w:rPr>
      <w:sz w:val="20"/>
      <w:szCs w:val="20"/>
    </w:rPr>
  </w:style>
  <w:style w:type="character" w:customStyle="1" w:styleId="CommentTextChar">
    <w:name w:val="Comment Text Char"/>
    <w:basedOn w:val="DefaultParagraphFont"/>
    <w:link w:val="CommentText"/>
    <w:uiPriority w:val="99"/>
    <w:rsid w:val="000746FB"/>
    <w:rPr>
      <w:sz w:val="20"/>
      <w:szCs w:val="20"/>
    </w:rPr>
  </w:style>
  <w:style w:type="character" w:styleId="CommentReference">
    <w:name w:val="annotation reference"/>
    <w:basedOn w:val="DefaultParagraphFont"/>
    <w:uiPriority w:val="99"/>
    <w:semiHidden/>
    <w:unhideWhenUsed/>
    <w:rsid w:val="000746FB"/>
    <w:rPr>
      <w:sz w:val="16"/>
      <w:szCs w:val="16"/>
    </w:rPr>
  </w:style>
  <w:style w:type="character" w:styleId="FootnoteReference">
    <w:name w:val="footnote reference"/>
    <w:aliases w:val="SUPERS,Footnote symbol,Footnote,Voetnootverwijzing,Footnote number,fr,o,Footnotemark,FR,Footnotemark1,Footnotemark2,FR1,Footnotemark3,FR2,Footnotemark4,FR3,Footnotemark5,FR4,Footnotemark6,Footnotemark7,Footnotemark8,FR5,Footnotemark11"/>
    <w:basedOn w:val="DefaultParagraphFont"/>
    <w:link w:val="FootnotesymbolCarZchn"/>
    <w:uiPriority w:val="99"/>
    <w:unhideWhenUsed/>
    <w:qFormat/>
    <w:rsid w:val="000746FB"/>
    <w:rPr>
      <w:vertAlign w:val="superscript"/>
    </w:rPr>
  </w:style>
  <w:style w:type="character" w:customStyle="1" w:styleId="FootnoteTextChar">
    <w:name w:val="Footnote Text Char"/>
    <w:aliases w:val="-E Fußnotentext Char,Fußnotentext Ursprung Char,-E Fußnotentext1 Char,-E Fußnotentext2 Char,-E Fußnotentext3 Char,Schriftart: 9 pt Char,Schriftart: 10 pt Char,Schriftart: 8 pt Char,WB-Fußnotentext Char,fn Char,Footnotes Char,Char Char"/>
    <w:basedOn w:val="DefaultParagraphFont"/>
    <w:link w:val="FootnoteText"/>
    <w:qFormat/>
    <w:rsid w:val="000746FB"/>
    <w:rPr>
      <w:sz w:val="20"/>
      <w:szCs w:val="20"/>
    </w:rPr>
  </w:style>
  <w:style w:type="paragraph" w:styleId="FootnoteText">
    <w:name w:val="footnote text"/>
    <w:aliases w:val="-E Fußnotentext,Fußnotentext Ursprung,-E Fußnotentext1,-E Fußnotentext2,-E Fußnotentext3,Schriftart: 9 pt,Schriftart: 10 pt,Schriftart: 8 pt,WB-Fußnotentext,fn,Footnotes,Footnote ak,Char,Fußnote,Carattere,fn Char Char,f,~FootnoteText"/>
    <w:basedOn w:val="Normal"/>
    <w:link w:val="FootnoteTextChar"/>
    <w:unhideWhenUsed/>
    <w:qFormat/>
    <w:rsid w:val="000746FB"/>
    <w:pPr>
      <w:spacing w:after="0" w:line="240" w:lineRule="auto"/>
    </w:pPr>
    <w:rPr>
      <w:sz w:val="20"/>
      <w:szCs w:val="20"/>
    </w:rPr>
  </w:style>
  <w:style w:type="character" w:customStyle="1" w:styleId="FootnoteTextChar1">
    <w:name w:val="Footnote Text Char1"/>
    <w:basedOn w:val="DefaultParagraphFont"/>
    <w:uiPriority w:val="99"/>
    <w:semiHidden/>
    <w:rsid w:val="000746FB"/>
    <w:rPr>
      <w:sz w:val="20"/>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0746FB"/>
    <w:pPr>
      <w:spacing w:line="240" w:lineRule="exact"/>
      <w:jc w:val="both"/>
    </w:pPr>
    <w:rPr>
      <w:vertAlign w:val="superscript"/>
    </w:rPr>
  </w:style>
  <w:style w:type="table" w:styleId="TableGrid">
    <w:name w:val="Table Grid"/>
    <w:basedOn w:val="TableNormal"/>
    <w:uiPriority w:val="39"/>
    <w:rsid w:val="000746FB"/>
    <w:pPr>
      <w:spacing w:after="0" w:line="240" w:lineRule="auto"/>
    </w:pPr>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746FB"/>
  </w:style>
  <w:style w:type="character" w:customStyle="1" w:styleId="Hyperlink1">
    <w:name w:val="Hyperlink1"/>
    <w:basedOn w:val="DefaultParagraphFont"/>
    <w:uiPriority w:val="99"/>
    <w:unhideWhenUsed/>
    <w:rsid w:val="000746FB"/>
    <w:rPr>
      <w:color w:val="0563C1"/>
      <w:u w:val="single"/>
    </w:rPr>
  </w:style>
  <w:style w:type="character" w:styleId="Hyperlink">
    <w:name w:val="Hyperlink"/>
    <w:basedOn w:val="DefaultParagraphFont"/>
    <w:uiPriority w:val="99"/>
    <w:unhideWhenUsed/>
    <w:rsid w:val="000746FB"/>
    <w:rPr>
      <w:color w:val="0563C1" w:themeColor="hyperlink"/>
      <w:u w:val="single"/>
    </w:rPr>
  </w:style>
  <w:style w:type="table" w:customStyle="1" w:styleId="TableGrid1">
    <w:name w:val="Table Grid1"/>
    <w:basedOn w:val="TableNormal"/>
    <w:next w:val="TableGrid"/>
    <w:uiPriority w:val="39"/>
    <w:rsid w:val="000746FB"/>
    <w:pPr>
      <w:spacing w:after="0" w:line="240" w:lineRule="auto"/>
    </w:pPr>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4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6FB"/>
  </w:style>
  <w:style w:type="paragraph" w:styleId="Footer">
    <w:name w:val="footer"/>
    <w:basedOn w:val="Normal"/>
    <w:link w:val="FooterChar"/>
    <w:uiPriority w:val="99"/>
    <w:unhideWhenUsed/>
    <w:rsid w:val="00074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6FB"/>
  </w:style>
  <w:style w:type="paragraph" w:customStyle="1" w:styleId="FootnoteText1">
    <w:name w:val="Footnote Text1"/>
    <w:basedOn w:val="Normal"/>
    <w:next w:val="FootnoteText"/>
    <w:link w:val="footnotetextChar0"/>
    <w:uiPriority w:val="99"/>
    <w:unhideWhenUsed/>
    <w:qFormat/>
    <w:rsid w:val="000746FB"/>
    <w:pPr>
      <w:spacing w:after="0" w:line="240" w:lineRule="auto"/>
    </w:pPr>
    <w:rPr>
      <w:rFonts w:eastAsia="MS Mincho"/>
      <w:sz w:val="20"/>
      <w:szCs w:val="20"/>
    </w:rPr>
  </w:style>
  <w:style w:type="character" w:customStyle="1" w:styleId="footnotetextChar0">
    <w:name w:val="footnote text Char"/>
    <w:basedOn w:val="FootnoteTextChar"/>
    <w:link w:val="FootnoteText1"/>
    <w:uiPriority w:val="99"/>
    <w:rsid w:val="000746FB"/>
    <w:rPr>
      <w:rFonts w:eastAsia="MS Mincho"/>
      <w:sz w:val="20"/>
      <w:szCs w:val="20"/>
      <w:lang w:val="hr-HR"/>
    </w:rPr>
  </w:style>
  <w:style w:type="paragraph" w:customStyle="1" w:styleId="paragraph">
    <w:name w:val="paragraph"/>
    <w:basedOn w:val="Normal"/>
    <w:rsid w:val="000746F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0746FB"/>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746FB"/>
    <w:rPr>
      <w:b/>
      <w:bCs/>
    </w:rPr>
  </w:style>
  <w:style w:type="character" w:customStyle="1" w:styleId="CommentSubjectChar">
    <w:name w:val="Comment Subject Char"/>
    <w:basedOn w:val="CommentTextChar"/>
    <w:link w:val="CommentSubject"/>
    <w:uiPriority w:val="99"/>
    <w:semiHidden/>
    <w:rsid w:val="000746FB"/>
    <w:rPr>
      <w:b/>
      <w:bCs/>
      <w:sz w:val="20"/>
      <w:szCs w:val="20"/>
    </w:rPr>
  </w:style>
  <w:style w:type="character" w:customStyle="1" w:styleId="Hyperlink2">
    <w:name w:val="Hyperlink2"/>
    <w:basedOn w:val="DefaultParagraphFont"/>
    <w:uiPriority w:val="99"/>
    <w:unhideWhenUsed/>
    <w:rsid w:val="000746FB"/>
    <w:rPr>
      <w:color w:val="0563C1"/>
      <w:u w:val="single"/>
    </w:rPr>
  </w:style>
  <w:style w:type="paragraph" w:customStyle="1" w:styleId="paywall">
    <w:name w:val="paywall"/>
    <w:basedOn w:val="Normal"/>
    <w:rsid w:val="00B015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2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3D5"/>
    <w:rPr>
      <w:rFonts w:ascii="Segoe UI" w:hAnsi="Segoe UI" w:cs="Segoe UI"/>
      <w:sz w:val="18"/>
      <w:szCs w:val="18"/>
    </w:rPr>
  </w:style>
  <w:style w:type="paragraph" w:styleId="Revision">
    <w:name w:val="Revision"/>
    <w:hidden/>
    <w:uiPriority w:val="99"/>
    <w:semiHidden/>
    <w:rsid w:val="00F14C44"/>
    <w:pPr>
      <w:spacing w:after="0" w:line="240" w:lineRule="auto"/>
    </w:pPr>
  </w:style>
  <w:style w:type="character" w:customStyle="1" w:styleId="eop">
    <w:name w:val="eop"/>
    <w:basedOn w:val="DefaultParagraphFont"/>
    <w:rsid w:val="002656E0"/>
  </w:style>
  <w:style w:type="character" w:customStyle="1" w:styleId="superscript">
    <w:name w:val="superscript"/>
    <w:basedOn w:val="DefaultParagraphFont"/>
    <w:rsid w:val="002656E0"/>
  </w:style>
  <w:style w:type="paragraph" w:styleId="Caption">
    <w:name w:val="caption"/>
    <w:aliases w:val="caption for tables,figures,Beschriftung Char1 Cha...,Beschriftung Char2,Beschriftung Char1 Char1,Beschriftung Char Char Char1,Beschriftung Char1 Char Char,Beschriftung Char Char Char Char,Beschriftung Char Char1 Char,Tasks,Table/Figure Caption"/>
    <w:basedOn w:val="Normal"/>
    <w:next w:val="Normal"/>
    <w:link w:val="CaptionChar"/>
    <w:unhideWhenUsed/>
    <w:qFormat/>
    <w:rsid w:val="00B029AC"/>
    <w:pPr>
      <w:spacing w:after="200" w:line="276" w:lineRule="auto"/>
    </w:pPr>
    <w:rPr>
      <w:b/>
      <w:bCs/>
      <w:sz w:val="20"/>
      <w:szCs w:val="20"/>
    </w:rPr>
  </w:style>
  <w:style w:type="character" w:customStyle="1" w:styleId="CaptionChar">
    <w:name w:val="Caption Char"/>
    <w:aliases w:val="caption for tables Char,figures Char,Beschriftung Char1 Cha... Char,Beschriftung Char2 Char,Beschriftung Char1 Char1 Char,Beschriftung Char Char Char1 Char,Beschriftung Char1 Char Char Char,Beschriftung Char Char Char Char Char,Tasks Char"/>
    <w:link w:val="Caption"/>
    <w:locked/>
    <w:rsid w:val="00B029AC"/>
    <w:rPr>
      <w:b/>
      <w:bCs/>
      <w:sz w:val="20"/>
      <w:szCs w:val="20"/>
      <w:lang w:val="hr-HR"/>
    </w:rPr>
  </w:style>
  <w:style w:type="character" w:customStyle="1" w:styleId="ListParagraphChar">
    <w:name w:val="List Paragraph Char"/>
    <w:aliases w:val="Lapis Bulleted List Char,List Paragraph (numbered (a)) Char,List Paragraph12 Char,CV text Char,Bullets Char,3 Char,titulo 3 Char,Párrafo de lista1 Char,normal Char,Normal1 Char,References Char,WB List Paragraph Char,Normal11 Char"/>
    <w:basedOn w:val="DefaultParagraphFont"/>
    <w:link w:val="ListParagraph"/>
    <w:uiPriority w:val="34"/>
    <w:qFormat/>
    <w:locked/>
    <w:rsid w:val="0075587E"/>
  </w:style>
  <w:style w:type="character" w:styleId="SubtleEmphasis">
    <w:name w:val="Subtle Emphasis"/>
    <w:basedOn w:val="DefaultParagraphFont"/>
    <w:uiPriority w:val="19"/>
    <w:qFormat/>
    <w:rsid w:val="0075587E"/>
    <w:rPr>
      <w:i/>
      <w:iCs/>
      <w:color w:val="404040"/>
    </w:rPr>
  </w:style>
  <w:style w:type="character" w:styleId="FollowedHyperlink">
    <w:name w:val="FollowedHyperlink"/>
    <w:basedOn w:val="DefaultParagraphFont"/>
    <w:uiPriority w:val="99"/>
    <w:semiHidden/>
    <w:unhideWhenUsed/>
    <w:rsid w:val="0075587E"/>
    <w:rPr>
      <w:color w:val="954F72" w:themeColor="followedHyperlink"/>
      <w:u w:val="single"/>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rsid w:val="0075587E"/>
    <w:pPr>
      <w:spacing w:before="120" w:line="240" w:lineRule="exact"/>
    </w:pPr>
    <w:rPr>
      <w:vertAlign w:val="superscript"/>
    </w:rPr>
  </w:style>
  <w:style w:type="character" w:customStyle="1" w:styleId="Marker">
    <w:name w:val="Marker"/>
    <w:basedOn w:val="DefaultParagraphFont"/>
    <w:rsid w:val="005C6BD9"/>
    <w:rPr>
      <w:color w:val="0000FF"/>
      <w:shd w:val="clear" w:color="auto" w:fill="auto"/>
    </w:rPr>
  </w:style>
  <w:style w:type="paragraph" w:customStyle="1" w:styleId="Pagedecouverture">
    <w:name w:val="Page de couverture"/>
    <w:basedOn w:val="Normal"/>
    <w:next w:val="Normal"/>
    <w:rsid w:val="005C6BD9"/>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5C6BD9"/>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5C6BD9"/>
    <w:rPr>
      <w:rFonts w:ascii="Times New Roman" w:hAnsi="Times New Roman" w:cs="Times New Roman"/>
      <w:sz w:val="24"/>
    </w:rPr>
  </w:style>
  <w:style w:type="paragraph" w:customStyle="1" w:styleId="FooterSensitivity">
    <w:name w:val="Footer Sensitivity"/>
    <w:basedOn w:val="Normal"/>
    <w:link w:val="FooterSensitivityChar"/>
    <w:rsid w:val="005C6BD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C6BD9"/>
    <w:rPr>
      <w:rFonts w:ascii="Times New Roman" w:hAnsi="Times New Roman" w:cs="Times New Roman"/>
      <w:b/>
      <w:sz w:val="32"/>
    </w:rPr>
  </w:style>
  <w:style w:type="paragraph" w:customStyle="1" w:styleId="HeaderCoverPage">
    <w:name w:val="Header Cover Page"/>
    <w:basedOn w:val="Normal"/>
    <w:link w:val="HeaderCoverPageChar"/>
    <w:rsid w:val="005C6BD9"/>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5C6BD9"/>
    <w:rPr>
      <w:rFonts w:ascii="Times New Roman" w:hAnsi="Times New Roman" w:cs="Times New Roman"/>
      <w:sz w:val="24"/>
    </w:rPr>
  </w:style>
  <w:style w:type="paragraph" w:customStyle="1" w:styleId="HeaderSensitivity">
    <w:name w:val="Header Sensitivity"/>
    <w:basedOn w:val="Normal"/>
    <w:link w:val="HeaderSensitivityChar"/>
    <w:rsid w:val="005C6BD9"/>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C6BD9"/>
    <w:rPr>
      <w:rFonts w:ascii="Times New Roman" w:hAnsi="Times New Roman" w:cs="Times New Roman"/>
      <w:b/>
      <w:sz w:val="32"/>
    </w:rPr>
  </w:style>
  <w:style w:type="paragraph" w:customStyle="1" w:styleId="HeaderSensitivityRight">
    <w:name w:val="Header Sensitivity Right"/>
    <w:basedOn w:val="Normal"/>
    <w:link w:val="HeaderSensitivityRightChar"/>
    <w:rsid w:val="005E6A55"/>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C6BD9"/>
    <w:rPr>
      <w:rFonts w:ascii="Times New Roman" w:hAnsi="Times New Roman" w:cs="Times New Roman"/>
      <w:sz w:val="28"/>
    </w:rPr>
  </w:style>
  <w:style w:type="paragraph" w:styleId="ListBullet">
    <w:name w:val="List Bullet"/>
    <w:basedOn w:val="Normal"/>
    <w:uiPriority w:val="99"/>
    <w:unhideWhenUsed/>
    <w:rsid w:val="00F6328D"/>
    <w:pPr>
      <w:widowControl w:val="0"/>
      <w:numPr>
        <w:numId w:val="21"/>
      </w:numPr>
      <w:spacing w:after="0" w:line="240" w:lineRule="auto"/>
      <w:contextualSpacing/>
    </w:pPr>
    <w:rPr>
      <w:rFonts w:ascii="Times New Roman" w:eastAsia="Times New Roman" w:hAnsi="Times New Roman" w:cs="Times New Roman"/>
      <w:color w:val="000000"/>
      <w:sz w:val="24"/>
      <w:szCs w:val="24"/>
    </w:rPr>
  </w:style>
  <w:style w:type="paragraph" w:customStyle="1" w:styleId="Nota">
    <w:name w:val="Nota"/>
    <w:aliases w:val="Char1,(NECG) Footnote Reference,Appel note de bas de p,Style 6,Signature Ch, Char1"/>
    <w:basedOn w:val="Normal"/>
    <w:rsid w:val="00DC5331"/>
    <w:pPr>
      <w:tabs>
        <w:tab w:val="left" w:pos="425"/>
      </w:tabs>
      <w:spacing w:line="240" w:lineRule="exact"/>
      <w:jc w:val="both"/>
    </w:pPr>
    <w:rPr>
      <w:rFonts w:ascii="Times New Roman" w:eastAsia="Times New Roman" w:hAnsi="Times New Roman" w:cs="Times New Roman"/>
      <w:sz w:val="18"/>
      <w:szCs w:val="18"/>
      <w:vertAlign w:val="superscript"/>
      <w:lang w:eastAsia="fr-BE"/>
    </w:rPr>
  </w:style>
  <w:style w:type="paragraph" w:customStyle="1" w:styleId="Disclaimer">
    <w:name w:val="Disclaimer"/>
    <w:basedOn w:val="Normal"/>
    <w:rsid w:val="005E6A5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5E6A55"/>
    <w:pPr>
      <w:spacing w:after="0" w:line="276" w:lineRule="auto"/>
      <w:ind w:left="5103"/>
    </w:pPr>
    <w:rPr>
      <w:rFonts w:ascii="Times New Roman" w:hAnsi="Times New Roman" w:cs="Times New Roman"/>
      <w:sz w:val="28"/>
    </w:rPr>
  </w:style>
  <w:style w:type="paragraph" w:customStyle="1" w:styleId="DateMarking">
    <w:name w:val="DateMarking"/>
    <w:basedOn w:val="Normal"/>
    <w:rsid w:val="005E6A55"/>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5E6A55"/>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2956">
      <w:bodyDiv w:val="1"/>
      <w:marLeft w:val="0"/>
      <w:marRight w:val="0"/>
      <w:marTop w:val="0"/>
      <w:marBottom w:val="0"/>
      <w:divBdr>
        <w:top w:val="none" w:sz="0" w:space="0" w:color="auto"/>
        <w:left w:val="none" w:sz="0" w:space="0" w:color="auto"/>
        <w:bottom w:val="none" w:sz="0" w:space="0" w:color="auto"/>
        <w:right w:val="none" w:sz="0" w:space="0" w:color="auto"/>
      </w:divBdr>
    </w:div>
    <w:div w:id="279917406">
      <w:bodyDiv w:val="1"/>
      <w:marLeft w:val="0"/>
      <w:marRight w:val="0"/>
      <w:marTop w:val="0"/>
      <w:marBottom w:val="0"/>
      <w:divBdr>
        <w:top w:val="none" w:sz="0" w:space="0" w:color="auto"/>
        <w:left w:val="none" w:sz="0" w:space="0" w:color="auto"/>
        <w:bottom w:val="none" w:sz="0" w:space="0" w:color="auto"/>
        <w:right w:val="none" w:sz="0" w:space="0" w:color="auto"/>
      </w:divBdr>
    </w:div>
    <w:div w:id="316884715">
      <w:bodyDiv w:val="1"/>
      <w:marLeft w:val="0"/>
      <w:marRight w:val="0"/>
      <w:marTop w:val="0"/>
      <w:marBottom w:val="0"/>
      <w:divBdr>
        <w:top w:val="none" w:sz="0" w:space="0" w:color="auto"/>
        <w:left w:val="none" w:sz="0" w:space="0" w:color="auto"/>
        <w:bottom w:val="none" w:sz="0" w:space="0" w:color="auto"/>
        <w:right w:val="none" w:sz="0" w:space="0" w:color="auto"/>
      </w:divBdr>
    </w:div>
    <w:div w:id="332681210">
      <w:bodyDiv w:val="1"/>
      <w:marLeft w:val="0"/>
      <w:marRight w:val="0"/>
      <w:marTop w:val="0"/>
      <w:marBottom w:val="0"/>
      <w:divBdr>
        <w:top w:val="none" w:sz="0" w:space="0" w:color="auto"/>
        <w:left w:val="none" w:sz="0" w:space="0" w:color="auto"/>
        <w:bottom w:val="none" w:sz="0" w:space="0" w:color="auto"/>
        <w:right w:val="none" w:sz="0" w:space="0" w:color="auto"/>
      </w:divBdr>
    </w:div>
    <w:div w:id="402527695">
      <w:bodyDiv w:val="1"/>
      <w:marLeft w:val="0"/>
      <w:marRight w:val="0"/>
      <w:marTop w:val="0"/>
      <w:marBottom w:val="0"/>
      <w:divBdr>
        <w:top w:val="none" w:sz="0" w:space="0" w:color="auto"/>
        <w:left w:val="none" w:sz="0" w:space="0" w:color="auto"/>
        <w:bottom w:val="none" w:sz="0" w:space="0" w:color="auto"/>
        <w:right w:val="none" w:sz="0" w:space="0" w:color="auto"/>
      </w:divBdr>
    </w:div>
    <w:div w:id="403841357">
      <w:bodyDiv w:val="1"/>
      <w:marLeft w:val="0"/>
      <w:marRight w:val="0"/>
      <w:marTop w:val="0"/>
      <w:marBottom w:val="0"/>
      <w:divBdr>
        <w:top w:val="none" w:sz="0" w:space="0" w:color="auto"/>
        <w:left w:val="none" w:sz="0" w:space="0" w:color="auto"/>
        <w:bottom w:val="none" w:sz="0" w:space="0" w:color="auto"/>
        <w:right w:val="none" w:sz="0" w:space="0" w:color="auto"/>
      </w:divBdr>
    </w:div>
    <w:div w:id="450592566">
      <w:bodyDiv w:val="1"/>
      <w:marLeft w:val="0"/>
      <w:marRight w:val="0"/>
      <w:marTop w:val="0"/>
      <w:marBottom w:val="0"/>
      <w:divBdr>
        <w:top w:val="none" w:sz="0" w:space="0" w:color="auto"/>
        <w:left w:val="none" w:sz="0" w:space="0" w:color="auto"/>
        <w:bottom w:val="none" w:sz="0" w:space="0" w:color="auto"/>
        <w:right w:val="none" w:sz="0" w:space="0" w:color="auto"/>
      </w:divBdr>
    </w:div>
    <w:div w:id="504318422">
      <w:bodyDiv w:val="1"/>
      <w:marLeft w:val="0"/>
      <w:marRight w:val="0"/>
      <w:marTop w:val="0"/>
      <w:marBottom w:val="0"/>
      <w:divBdr>
        <w:top w:val="none" w:sz="0" w:space="0" w:color="auto"/>
        <w:left w:val="none" w:sz="0" w:space="0" w:color="auto"/>
        <w:bottom w:val="none" w:sz="0" w:space="0" w:color="auto"/>
        <w:right w:val="none" w:sz="0" w:space="0" w:color="auto"/>
      </w:divBdr>
    </w:div>
    <w:div w:id="506411314">
      <w:bodyDiv w:val="1"/>
      <w:marLeft w:val="0"/>
      <w:marRight w:val="0"/>
      <w:marTop w:val="0"/>
      <w:marBottom w:val="0"/>
      <w:divBdr>
        <w:top w:val="none" w:sz="0" w:space="0" w:color="auto"/>
        <w:left w:val="none" w:sz="0" w:space="0" w:color="auto"/>
        <w:bottom w:val="none" w:sz="0" w:space="0" w:color="auto"/>
        <w:right w:val="none" w:sz="0" w:space="0" w:color="auto"/>
      </w:divBdr>
    </w:div>
    <w:div w:id="544370704">
      <w:bodyDiv w:val="1"/>
      <w:marLeft w:val="0"/>
      <w:marRight w:val="0"/>
      <w:marTop w:val="0"/>
      <w:marBottom w:val="0"/>
      <w:divBdr>
        <w:top w:val="none" w:sz="0" w:space="0" w:color="auto"/>
        <w:left w:val="none" w:sz="0" w:space="0" w:color="auto"/>
        <w:bottom w:val="none" w:sz="0" w:space="0" w:color="auto"/>
        <w:right w:val="none" w:sz="0" w:space="0" w:color="auto"/>
      </w:divBdr>
      <w:divsChild>
        <w:div w:id="35400555">
          <w:marLeft w:val="0"/>
          <w:marRight w:val="0"/>
          <w:marTop w:val="0"/>
          <w:marBottom w:val="0"/>
          <w:divBdr>
            <w:top w:val="none" w:sz="0" w:space="0" w:color="auto"/>
            <w:left w:val="none" w:sz="0" w:space="0" w:color="auto"/>
            <w:bottom w:val="none" w:sz="0" w:space="0" w:color="auto"/>
            <w:right w:val="none" w:sz="0" w:space="0" w:color="auto"/>
          </w:divBdr>
        </w:div>
        <w:div w:id="1114209990">
          <w:marLeft w:val="0"/>
          <w:marRight w:val="0"/>
          <w:marTop w:val="0"/>
          <w:marBottom w:val="0"/>
          <w:divBdr>
            <w:top w:val="none" w:sz="0" w:space="0" w:color="auto"/>
            <w:left w:val="none" w:sz="0" w:space="0" w:color="auto"/>
            <w:bottom w:val="none" w:sz="0" w:space="0" w:color="auto"/>
            <w:right w:val="none" w:sz="0" w:space="0" w:color="auto"/>
          </w:divBdr>
        </w:div>
        <w:div w:id="1479227596">
          <w:marLeft w:val="0"/>
          <w:marRight w:val="0"/>
          <w:marTop w:val="0"/>
          <w:marBottom w:val="0"/>
          <w:divBdr>
            <w:top w:val="none" w:sz="0" w:space="0" w:color="auto"/>
            <w:left w:val="none" w:sz="0" w:space="0" w:color="auto"/>
            <w:bottom w:val="none" w:sz="0" w:space="0" w:color="auto"/>
            <w:right w:val="none" w:sz="0" w:space="0" w:color="auto"/>
          </w:divBdr>
        </w:div>
        <w:div w:id="1777675160">
          <w:marLeft w:val="0"/>
          <w:marRight w:val="0"/>
          <w:marTop w:val="0"/>
          <w:marBottom w:val="0"/>
          <w:divBdr>
            <w:top w:val="none" w:sz="0" w:space="0" w:color="auto"/>
            <w:left w:val="none" w:sz="0" w:space="0" w:color="auto"/>
            <w:bottom w:val="none" w:sz="0" w:space="0" w:color="auto"/>
            <w:right w:val="none" w:sz="0" w:space="0" w:color="auto"/>
          </w:divBdr>
        </w:div>
        <w:div w:id="2030060481">
          <w:marLeft w:val="0"/>
          <w:marRight w:val="0"/>
          <w:marTop w:val="0"/>
          <w:marBottom w:val="0"/>
          <w:divBdr>
            <w:top w:val="none" w:sz="0" w:space="0" w:color="auto"/>
            <w:left w:val="none" w:sz="0" w:space="0" w:color="auto"/>
            <w:bottom w:val="none" w:sz="0" w:space="0" w:color="auto"/>
            <w:right w:val="none" w:sz="0" w:space="0" w:color="auto"/>
          </w:divBdr>
        </w:div>
      </w:divsChild>
    </w:div>
    <w:div w:id="580876222">
      <w:bodyDiv w:val="1"/>
      <w:marLeft w:val="0"/>
      <w:marRight w:val="0"/>
      <w:marTop w:val="0"/>
      <w:marBottom w:val="0"/>
      <w:divBdr>
        <w:top w:val="none" w:sz="0" w:space="0" w:color="auto"/>
        <w:left w:val="none" w:sz="0" w:space="0" w:color="auto"/>
        <w:bottom w:val="none" w:sz="0" w:space="0" w:color="auto"/>
        <w:right w:val="none" w:sz="0" w:space="0" w:color="auto"/>
      </w:divBdr>
    </w:div>
    <w:div w:id="585726714">
      <w:bodyDiv w:val="1"/>
      <w:marLeft w:val="0"/>
      <w:marRight w:val="0"/>
      <w:marTop w:val="0"/>
      <w:marBottom w:val="0"/>
      <w:divBdr>
        <w:top w:val="none" w:sz="0" w:space="0" w:color="auto"/>
        <w:left w:val="none" w:sz="0" w:space="0" w:color="auto"/>
        <w:bottom w:val="none" w:sz="0" w:space="0" w:color="auto"/>
        <w:right w:val="none" w:sz="0" w:space="0" w:color="auto"/>
      </w:divBdr>
    </w:div>
    <w:div w:id="589586250">
      <w:bodyDiv w:val="1"/>
      <w:marLeft w:val="0"/>
      <w:marRight w:val="0"/>
      <w:marTop w:val="0"/>
      <w:marBottom w:val="0"/>
      <w:divBdr>
        <w:top w:val="none" w:sz="0" w:space="0" w:color="auto"/>
        <w:left w:val="none" w:sz="0" w:space="0" w:color="auto"/>
        <w:bottom w:val="none" w:sz="0" w:space="0" w:color="auto"/>
        <w:right w:val="none" w:sz="0" w:space="0" w:color="auto"/>
      </w:divBdr>
    </w:div>
    <w:div w:id="622230543">
      <w:bodyDiv w:val="1"/>
      <w:marLeft w:val="0"/>
      <w:marRight w:val="0"/>
      <w:marTop w:val="0"/>
      <w:marBottom w:val="0"/>
      <w:divBdr>
        <w:top w:val="none" w:sz="0" w:space="0" w:color="auto"/>
        <w:left w:val="none" w:sz="0" w:space="0" w:color="auto"/>
        <w:bottom w:val="none" w:sz="0" w:space="0" w:color="auto"/>
        <w:right w:val="none" w:sz="0" w:space="0" w:color="auto"/>
      </w:divBdr>
    </w:div>
    <w:div w:id="682317123">
      <w:bodyDiv w:val="1"/>
      <w:marLeft w:val="0"/>
      <w:marRight w:val="0"/>
      <w:marTop w:val="0"/>
      <w:marBottom w:val="0"/>
      <w:divBdr>
        <w:top w:val="none" w:sz="0" w:space="0" w:color="auto"/>
        <w:left w:val="none" w:sz="0" w:space="0" w:color="auto"/>
        <w:bottom w:val="none" w:sz="0" w:space="0" w:color="auto"/>
        <w:right w:val="none" w:sz="0" w:space="0" w:color="auto"/>
      </w:divBdr>
    </w:div>
    <w:div w:id="707994921">
      <w:bodyDiv w:val="1"/>
      <w:marLeft w:val="0"/>
      <w:marRight w:val="0"/>
      <w:marTop w:val="0"/>
      <w:marBottom w:val="0"/>
      <w:divBdr>
        <w:top w:val="none" w:sz="0" w:space="0" w:color="auto"/>
        <w:left w:val="none" w:sz="0" w:space="0" w:color="auto"/>
        <w:bottom w:val="none" w:sz="0" w:space="0" w:color="auto"/>
        <w:right w:val="none" w:sz="0" w:space="0" w:color="auto"/>
      </w:divBdr>
    </w:div>
    <w:div w:id="781152851">
      <w:bodyDiv w:val="1"/>
      <w:marLeft w:val="0"/>
      <w:marRight w:val="0"/>
      <w:marTop w:val="0"/>
      <w:marBottom w:val="0"/>
      <w:divBdr>
        <w:top w:val="none" w:sz="0" w:space="0" w:color="auto"/>
        <w:left w:val="none" w:sz="0" w:space="0" w:color="auto"/>
        <w:bottom w:val="none" w:sz="0" w:space="0" w:color="auto"/>
        <w:right w:val="none" w:sz="0" w:space="0" w:color="auto"/>
      </w:divBdr>
    </w:div>
    <w:div w:id="811796929">
      <w:bodyDiv w:val="1"/>
      <w:marLeft w:val="0"/>
      <w:marRight w:val="0"/>
      <w:marTop w:val="0"/>
      <w:marBottom w:val="0"/>
      <w:divBdr>
        <w:top w:val="none" w:sz="0" w:space="0" w:color="auto"/>
        <w:left w:val="none" w:sz="0" w:space="0" w:color="auto"/>
        <w:bottom w:val="none" w:sz="0" w:space="0" w:color="auto"/>
        <w:right w:val="none" w:sz="0" w:space="0" w:color="auto"/>
      </w:divBdr>
    </w:div>
    <w:div w:id="871572963">
      <w:bodyDiv w:val="1"/>
      <w:marLeft w:val="0"/>
      <w:marRight w:val="0"/>
      <w:marTop w:val="0"/>
      <w:marBottom w:val="0"/>
      <w:divBdr>
        <w:top w:val="none" w:sz="0" w:space="0" w:color="auto"/>
        <w:left w:val="none" w:sz="0" w:space="0" w:color="auto"/>
        <w:bottom w:val="none" w:sz="0" w:space="0" w:color="auto"/>
        <w:right w:val="none" w:sz="0" w:space="0" w:color="auto"/>
      </w:divBdr>
    </w:div>
    <w:div w:id="907879316">
      <w:bodyDiv w:val="1"/>
      <w:marLeft w:val="0"/>
      <w:marRight w:val="0"/>
      <w:marTop w:val="0"/>
      <w:marBottom w:val="0"/>
      <w:divBdr>
        <w:top w:val="none" w:sz="0" w:space="0" w:color="auto"/>
        <w:left w:val="none" w:sz="0" w:space="0" w:color="auto"/>
        <w:bottom w:val="none" w:sz="0" w:space="0" w:color="auto"/>
        <w:right w:val="none" w:sz="0" w:space="0" w:color="auto"/>
      </w:divBdr>
    </w:div>
    <w:div w:id="1017736413">
      <w:bodyDiv w:val="1"/>
      <w:marLeft w:val="0"/>
      <w:marRight w:val="0"/>
      <w:marTop w:val="0"/>
      <w:marBottom w:val="0"/>
      <w:divBdr>
        <w:top w:val="none" w:sz="0" w:space="0" w:color="auto"/>
        <w:left w:val="none" w:sz="0" w:space="0" w:color="auto"/>
        <w:bottom w:val="none" w:sz="0" w:space="0" w:color="auto"/>
        <w:right w:val="none" w:sz="0" w:space="0" w:color="auto"/>
      </w:divBdr>
    </w:div>
    <w:div w:id="1088499633">
      <w:bodyDiv w:val="1"/>
      <w:marLeft w:val="0"/>
      <w:marRight w:val="0"/>
      <w:marTop w:val="0"/>
      <w:marBottom w:val="0"/>
      <w:divBdr>
        <w:top w:val="none" w:sz="0" w:space="0" w:color="auto"/>
        <w:left w:val="none" w:sz="0" w:space="0" w:color="auto"/>
        <w:bottom w:val="none" w:sz="0" w:space="0" w:color="auto"/>
        <w:right w:val="none" w:sz="0" w:space="0" w:color="auto"/>
      </w:divBdr>
    </w:div>
    <w:div w:id="1236746755">
      <w:bodyDiv w:val="1"/>
      <w:marLeft w:val="0"/>
      <w:marRight w:val="0"/>
      <w:marTop w:val="0"/>
      <w:marBottom w:val="0"/>
      <w:divBdr>
        <w:top w:val="none" w:sz="0" w:space="0" w:color="auto"/>
        <w:left w:val="none" w:sz="0" w:space="0" w:color="auto"/>
        <w:bottom w:val="none" w:sz="0" w:space="0" w:color="auto"/>
        <w:right w:val="none" w:sz="0" w:space="0" w:color="auto"/>
      </w:divBdr>
    </w:div>
    <w:div w:id="1281182608">
      <w:bodyDiv w:val="1"/>
      <w:marLeft w:val="0"/>
      <w:marRight w:val="0"/>
      <w:marTop w:val="0"/>
      <w:marBottom w:val="0"/>
      <w:divBdr>
        <w:top w:val="none" w:sz="0" w:space="0" w:color="auto"/>
        <w:left w:val="none" w:sz="0" w:space="0" w:color="auto"/>
        <w:bottom w:val="none" w:sz="0" w:space="0" w:color="auto"/>
        <w:right w:val="none" w:sz="0" w:space="0" w:color="auto"/>
      </w:divBdr>
    </w:div>
    <w:div w:id="1388844647">
      <w:bodyDiv w:val="1"/>
      <w:marLeft w:val="0"/>
      <w:marRight w:val="0"/>
      <w:marTop w:val="0"/>
      <w:marBottom w:val="0"/>
      <w:divBdr>
        <w:top w:val="none" w:sz="0" w:space="0" w:color="auto"/>
        <w:left w:val="none" w:sz="0" w:space="0" w:color="auto"/>
        <w:bottom w:val="none" w:sz="0" w:space="0" w:color="auto"/>
        <w:right w:val="none" w:sz="0" w:space="0" w:color="auto"/>
      </w:divBdr>
    </w:div>
    <w:div w:id="1442259359">
      <w:bodyDiv w:val="1"/>
      <w:marLeft w:val="0"/>
      <w:marRight w:val="0"/>
      <w:marTop w:val="0"/>
      <w:marBottom w:val="0"/>
      <w:divBdr>
        <w:top w:val="none" w:sz="0" w:space="0" w:color="auto"/>
        <w:left w:val="none" w:sz="0" w:space="0" w:color="auto"/>
        <w:bottom w:val="none" w:sz="0" w:space="0" w:color="auto"/>
        <w:right w:val="none" w:sz="0" w:space="0" w:color="auto"/>
      </w:divBdr>
    </w:div>
    <w:div w:id="1529022248">
      <w:bodyDiv w:val="1"/>
      <w:marLeft w:val="0"/>
      <w:marRight w:val="0"/>
      <w:marTop w:val="0"/>
      <w:marBottom w:val="0"/>
      <w:divBdr>
        <w:top w:val="none" w:sz="0" w:space="0" w:color="auto"/>
        <w:left w:val="none" w:sz="0" w:space="0" w:color="auto"/>
        <w:bottom w:val="none" w:sz="0" w:space="0" w:color="auto"/>
        <w:right w:val="none" w:sz="0" w:space="0" w:color="auto"/>
      </w:divBdr>
    </w:div>
    <w:div w:id="1612281656">
      <w:bodyDiv w:val="1"/>
      <w:marLeft w:val="0"/>
      <w:marRight w:val="0"/>
      <w:marTop w:val="0"/>
      <w:marBottom w:val="0"/>
      <w:divBdr>
        <w:top w:val="none" w:sz="0" w:space="0" w:color="auto"/>
        <w:left w:val="none" w:sz="0" w:space="0" w:color="auto"/>
        <w:bottom w:val="none" w:sz="0" w:space="0" w:color="auto"/>
        <w:right w:val="none" w:sz="0" w:space="0" w:color="auto"/>
      </w:divBdr>
    </w:div>
    <w:div w:id="1806384172">
      <w:bodyDiv w:val="1"/>
      <w:marLeft w:val="0"/>
      <w:marRight w:val="0"/>
      <w:marTop w:val="0"/>
      <w:marBottom w:val="0"/>
      <w:divBdr>
        <w:top w:val="none" w:sz="0" w:space="0" w:color="auto"/>
        <w:left w:val="none" w:sz="0" w:space="0" w:color="auto"/>
        <w:bottom w:val="none" w:sz="0" w:space="0" w:color="auto"/>
        <w:right w:val="none" w:sz="0" w:space="0" w:color="auto"/>
      </w:divBdr>
    </w:div>
    <w:div w:id="1809858117">
      <w:bodyDiv w:val="1"/>
      <w:marLeft w:val="0"/>
      <w:marRight w:val="0"/>
      <w:marTop w:val="0"/>
      <w:marBottom w:val="0"/>
      <w:divBdr>
        <w:top w:val="none" w:sz="0" w:space="0" w:color="auto"/>
        <w:left w:val="none" w:sz="0" w:space="0" w:color="auto"/>
        <w:bottom w:val="none" w:sz="0" w:space="0" w:color="auto"/>
        <w:right w:val="none" w:sz="0" w:space="0" w:color="auto"/>
      </w:divBdr>
    </w:div>
    <w:div w:id="1819414185">
      <w:bodyDiv w:val="1"/>
      <w:marLeft w:val="0"/>
      <w:marRight w:val="0"/>
      <w:marTop w:val="0"/>
      <w:marBottom w:val="0"/>
      <w:divBdr>
        <w:top w:val="none" w:sz="0" w:space="0" w:color="auto"/>
        <w:left w:val="none" w:sz="0" w:space="0" w:color="auto"/>
        <w:bottom w:val="none" w:sz="0" w:space="0" w:color="auto"/>
        <w:right w:val="none" w:sz="0" w:space="0" w:color="auto"/>
      </w:divBdr>
      <w:divsChild>
        <w:div w:id="507713137">
          <w:marLeft w:val="1080"/>
          <w:marRight w:val="0"/>
          <w:marTop w:val="0"/>
          <w:marBottom w:val="120"/>
          <w:divBdr>
            <w:top w:val="none" w:sz="0" w:space="0" w:color="auto"/>
            <w:left w:val="none" w:sz="0" w:space="0" w:color="auto"/>
            <w:bottom w:val="none" w:sz="0" w:space="0" w:color="auto"/>
            <w:right w:val="none" w:sz="0" w:space="0" w:color="auto"/>
          </w:divBdr>
        </w:div>
        <w:div w:id="988635611">
          <w:marLeft w:val="418"/>
          <w:marRight w:val="0"/>
          <w:marTop w:val="0"/>
          <w:marBottom w:val="120"/>
          <w:divBdr>
            <w:top w:val="none" w:sz="0" w:space="0" w:color="auto"/>
            <w:left w:val="none" w:sz="0" w:space="0" w:color="auto"/>
            <w:bottom w:val="none" w:sz="0" w:space="0" w:color="auto"/>
            <w:right w:val="none" w:sz="0" w:space="0" w:color="auto"/>
          </w:divBdr>
        </w:div>
      </w:divsChild>
    </w:div>
    <w:div w:id="1893079005">
      <w:bodyDiv w:val="1"/>
      <w:marLeft w:val="0"/>
      <w:marRight w:val="0"/>
      <w:marTop w:val="0"/>
      <w:marBottom w:val="0"/>
      <w:divBdr>
        <w:top w:val="none" w:sz="0" w:space="0" w:color="auto"/>
        <w:left w:val="none" w:sz="0" w:space="0" w:color="auto"/>
        <w:bottom w:val="none" w:sz="0" w:space="0" w:color="auto"/>
        <w:right w:val="none" w:sz="0" w:space="0" w:color="auto"/>
      </w:divBdr>
    </w:div>
    <w:div w:id="1936590041">
      <w:bodyDiv w:val="1"/>
      <w:marLeft w:val="0"/>
      <w:marRight w:val="0"/>
      <w:marTop w:val="0"/>
      <w:marBottom w:val="0"/>
      <w:divBdr>
        <w:top w:val="none" w:sz="0" w:space="0" w:color="auto"/>
        <w:left w:val="none" w:sz="0" w:space="0" w:color="auto"/>
        <w:bottom w:val="none" w:sz="0" w:space="0" w:color="auto"/>
        <w:right w:val="none" w:sz="0" w:space="0" w:color="auto"/>
      </w:divBdr>
    </w:div>
    <w:div w:id="2050714536">
      <w:bodyDiv w:val="1"/>
      <w:marLeft w:val="0"/>
      <w:marRight w:val="0"/>
      <w:marTop w:val="0"/>
      <w:marBottom w:val="0"/>
      <w:divBdr>
        <w:top w:val="none" w:sz="0" w:space="0" w:color="auto"/>
        <w:left w:val="none" w:sz="0" w:space="0" w:color="auto"/>
        <w:bottom w:val="none" w:sz="0" w:space="0" w:color="auto"/>
        <w:right w:val="none" w:sz="0" w:space="0" w:color="auto"/>
      </w:divBdr>
    </w:div>
    <w:div w:id="2071347696">
      <w:bodyDiv w:val="1"/>
      <w:marLeft w:val="0"/>
      <w:marRight w:val="0"/>
      <w:marTop w:val="0"/>
      <w:marBottom w:val="0"/>
      <w:divBdr>
        <w:top w:val="none" w:sz="0" w:space="0" w:color="auto"/>
        <w:left w:val="none" w:sz="0" w:space="0" w:color="auto"/>
        <w:bottom w:val="none" w:sz="0" w:space="0" w:color="auto"/>
        <w:right w:val="none" w:sz="0" w:space="0" w:color="auto"/>
      </w:divBdr>
      <w:divsChild>
        <w:div w:id="219682388">
          <w:marLeft w:val="0"/>
          <w:marRight w:val="0"/>
          <w:marTop w:val="0"/>
          <w:marBottom w:val="0"/>
          <w:divBdr>
            <w:top w:val="none" w:sz="0" w:space="0" w:color="auto"/>
            <w:left w:val="none" w:sz="0" w:space="0" w:color="auto"/>
            <w:bottom w:val="none" w:sz="0" w:space="0" w:color="auto"/>
            <w:right w:val="none" w:sz="0" w:space="0" w:color="auto"/>
          </w:divBdr>
        </w:div>
        <w:div w:id="742944874">
          <w:marLeft w:val="0"/>
          <w:marRight w:val="0"/>
          <w:marTop w:val="0"/>
          <w:marBottom w:val="0"/>
          <w:divBdr>
            <w:top w:val="none" w:sz="0" w:space="0" w:color="auto"/>
            <w:left w:val="none" w:sz="0" w:space="0" w:color="auto"/>
            <w:bottom w:val="none" w:sz="0" w:space="0" w:color="auto"/>
            <w:right w:val="none" w:sz="0" w:space="0" w:color="auto"/>
          </w:divBdr>
        </w:div>
        <w:div w:id="1160543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hyperlink" Target="https://www.eib.org/en/products/advisory-services/elena/index.htm"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hyperlink" Target="https://energy.ec.europa.eu/topics/energy-efficiency/financing/capacity-building-and-technical-assistance_hr" TargetMode="External"/><Relationship Id="rId42"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nergy.ec.europa.eu/topics/markets-and-consumers/eu-energy-prices_hr" TargetMode="External"/><Relationship Id="rId25" Type="http://schemas.openxmlformats.org/officeDocument/2006/relationships/hyperlink" Target="https://investeu.europa.eu/what-investeu-programme/investeu-advisory-hub_hr" TargetMode="External"/><Relationship Id="rId33" Type="http://schemas.openxmlformats.org/officeDocument/2006/relationships/hyperlink" Target="https://modernisationfund.eu/" TargetMode="External"/><Relationship Id="rId38" Type="http://schemas.openxmlformats.org/officeDocument/2006/relationships/image" Target="media/image7.png"/><Relationship Id="rId46" Type="http://schemas.openxmlformats.org/officeDocument/2006/relationships/theme" Target="theme/theme1.xml"/><Relationship Id="rId59"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ec.europa.eu/eurostat/web/products-eurostat-news/-/ddn-20211105-1" TargetMode="External"/><Relationship Id="rId20" Type="http://schemas.openxmlformats.org/officeDocument/2006/relationships/image" Target="media/image4.png"/><Relationship Id="rId29" Type="http://schemas.openxmlformats.org/officeDocument/2006/relationships/hyperlink" Target="https://cinea.ec.europa.eu/programmes/connecting-europe-facility/energy-infrastructure-connecting-europe-facility-0_hr"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investeu.europa.eu/index_hr" TargetMode="External"/><Relationship Id="rId32" Type="http://schemas.openxmlformats.org/officeDocument/2006/relationships/hyperlink" Target="https://ec.europa.eu/clima/eu-action/funding-climate-action/innovation-fund_hr" TargetMode="External"/><Relationship Id="rId37" Type="http://schemas.openxmlformats.org/officeDocument/2006/relationships/image" Target="media/image6.png"/><Relationship Id="rId40" Type="http://schemas.openxmlformats.org/officeDocument/2006/relationships/header" Target="header5.xml"/><Relationship Id="rId45" Type="http://schemas.openxmlformats.org/officeDocument/2006/relationships/fontTable" Target="fontTable.xml"/><Relationship Id="rId58"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ec.europa.eu/info/strategy/priorities-2019-2024/european-green-deal/repowereu-affordable-secure-and-sustainable-energy-europe_hr" TargetMode="External"/><Relationship Id="rId23" Type="http://schemas.openxmlformats.org/officeDocument/2006/relationships/hyperlink" Target="https://ec.europa.eu/regional_policy/en/2021_2027/" TargetMode="External"/><Relationship Id="rId28" Type="http://schemas.openxmlformats.org/officeDocument/2006/relationships/hyperlink" Target="https://ec.europa.eu/info/research-and-innovation/funding/funding-opportunities/funding-programmes-and-open-calls/horizon-europe_hr" TargetMode="External"/><Relationship Id="rId36" Type="http://schemas.openxmlformats.org/officeDocument/2006/relationships/hyperlink" Target="https://energy.ec.europa.eu/topics/funding-and-financing/investors-dialogue-energy_hr" TargetMode="Externa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hyperlink" Target="https://energy.ec.europa.eu/topics/renewable-energy/financing/eu-renewable-energy-financing-mechanism_hr"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ec.europa.eu/info/verslas-ekonomika-euras/koronaviruso-krizes-paveiktos-ekonomikos-gaivinimas/ekonomikos-gaivinimo-ir-atsparumo-didinimo-priemone_hr" TargetMode="External"/><Relationship Id="rId27" Type="http://schemas.openxmlformats.org/officeDocument/2006/relationships/hyperlink" Target="https://advisory.eib.org/publications/attachments/commercial-power-purchase-agreements.pdf" TargetMode="External"/><Relationship Id="rId30" Type="http://schemas.openxmlformats.org/officeDocument/2006/relationships/hyperlink" Target="https://cinea.ec.europa.eu/programmes/life/clean-energy-transition_hr" TargetMode="External"/><Relationship Id="rId35" Type="http://schemas.openxmlformats.org/officeDocument/2006/relationships/hyperlink" Target="https://eefig.ec.europa.eu/index_hr" TargetMode="External"/><Relationship Id="rId43"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transparency/expert-groups-register/screen/expert-groups/consult?lang=hr&amp;groupID=3849" TargetMode="External"/><Relationship Id="rId13" Type="http://schemas.openxmlformats.org/officeDocument/2006/relationships/hyperlink" Target="https://new-european-bauhaus.europa.eu/about/about-initiative_en" TargetMode="External"/><Relationship Id="rId18" Type="http://schemas.openxmlformats.org/officeDocument/2006/relationships/hyperlink" Target="https://ec.europa.eu/info/business-economy-euro/recovery-coronavirus/recovery-and-resilience-facility/recovery-and-resilience-plans-assessments_hr" TargetMode="External"/><Relationship Id="rId3" Type="http://schemas.openxmlformats.org/officeDocument/2006/relationships/hyperlink" Target="https://www.solarpowereurope.org/insights/market-outlooks/global-market-outlook-for-solar-power-2022" TargetMode="External"/><Relationship Id="rId7" Type="http://schemas.openxmlformats.org/officeDocument/2006/relationships/hyperlink" Target="https://environment.ec.europa.eu/publications/proposal-ecodesign-sustainable-products-regulation_hr" TargetMode="External"/><Relationship Id="rId12" Type="http://schemas.openxmlformats.org/officeDocument/2006/relationships/hyperlink" Target="https://energy.ec.europa.eu/system/files/2021-12/swd-on-national-long-term-renovation-strategies.pdf" TargetMode="External"/><Relationship Id="rId17" Type="http://schemas.openxmlformats.org/officeDocument/2006/relationships/hyperlink" Target="https://www.acer.europa.eu/events-and-engagement/news/press-release-acer-publishes-its-final-assessment-eu-wholesale" TargetMode="External"/><Relationship Id="rId2" Type="http://schemas.openxmlformats.org/officeDocument/2006/relationships/hyperlink" Target="https://www.iea.org/news/renewable-power-is-set-to-break-another-global-record-in-2022-despite-headwinds-from-higher-costs-and-supply-chain-bottlenecks" TargetMode="External"/><Relationship Id="rId16" Type="http://schemas.openxmlformats.org/officeDocument/2006/relationships/hyperlink" Target="https://energy.ec.europa.eu/ecodesign-and-energy-labelling-working-plan-2022-2024_hr" TargetMode="External"/><Relationship Id="rId1" Type="http://schemas.openxmlformats.org/officeDocument/2006/relationships/hyperlink" Target="https://ec.europa.eu/transparency/expert-groups-register/screen/expert-groups/consult?lang=hr&amp;groupID=3865" TargetMode="External"/><Relationship Id="rId6" Type="http://schemas.openxmlformats.org/officeDocument/2006/relationships/hyperlink" Target="https://energy.ec.europa.eu/ecodesign-and-energy-labelling-working-plan-2022-2024_hr" TargetMode="External"/><Relationship Id="rId11" Type="http://schemas.openxmlformats.org/officeDocument/2006/relationships/hyperlink" Target="https://atmosphere.copernicus.eu/catalogue" TargetMode="External"/><Relationship Id="rId5" Type="http://schemas.openxmlformats.org/officeDocument/2006/relationships/hyperlink" Target="https://ember-climate.org/insights/research/european-electricity-review-2022/" TargetMode="External"/><Relationship Id="rId15" Type="http://schemas.openxmlformats.org/officeDocument/2006/relationships/hyperlink" Target="https://eur-lex.europa.eu/legal-content/HR/TXT/?uri=CELEX%3A52022SC0101&amp;qid=1649262685108" TargetMode="External"/><Relationship Id="rId10" Type="http://schemas.openxmlformats.org/officeDocument/2006/relationships/hyperlink" Target="https://atmosphere.copernicus.eu/air-quality" TargetMode="External"/><Relationship Id="rId4" Type="http://schemas.openxmlformats.org/officeDocument/2006/relationships/hyperlink" Target="https://ember-climate.org/insights/research/european-electricity-review-2022/" TargetMode="External"/><Relationship Id="rId9" Type="http://schemas.openxmlformats.org/officeDocument/2006/relationships/hyperlink" Target="https://unfccc.int/sites/default/files/resource/European%20Union-BR4_C_2019_8832_and_SWD_2019_432_2.pdf" TargetMode="External"/><Relationship Id="rId14" Type="http://schemas.openxmlformats.org/officeDocument/2006/relationships/hyperlink" Target="https://op.europa.eu/en/publication-detail/-/publication/568cac02-5191-11ec-91ac-01aa75ed71a1/languag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2A1BDDB-39BD-4B52-83B5-E9F531008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10877</Words>
  <Characters>64610</Characters>
  <Application>Microsoft Office Word</Application>
  <DocSecurity>0</DocSecurity>
  <Lines>978</Lines>
  <Paragraphs>244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2022-10-28T11:25:00Z</dcterms:created>
  <dcterms:modified xsi:type="dcterms:W3CDTF">2022-11-08T14:02:00Z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8.1, Build 20220902</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CP-008</vt:lpwstr>
  </property>
</Properties>
</file>