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40BCDB" w14:textId="326931DD" w:rsidR="00F33152" w:rsidRDefault="00E471B0" w:rsidP="00E471B0">
      <w:pPr>
        <w:pStyle w:val="Pagedecouverture"/>
        <w:rPr>
          <w:noProof/>
          <w:lang w:val="en-GB"/>
        </w:rPr>
      </w:pPr>
      <w:bookmarkStart w:id="0" w:name="LW_BM_COVERPAGE"/>
      <w:r>
        <w:rPr>
          <w:noProof/>
          <w:lang w:val="en-GB"/>
        </w:rPr>
        <w:pict w14:anchorId="0CD821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AB9A035F-3431-473F-8906-D06BA2BDB5E8" style="width:455.25pt;height:310.5pt">
            <v:imagedata r:id="rId11" o:title=""/>
          </v:shape>
        </w:pict>
      </w:r>
    </w:p>
    <w:bookmarkEnd w:id="0"/>
    <w:p w14:paraId="2C9A0BEF" w14:textId="77777777" w:rsidR="00F33152" w:rsidRDefault="00F33152" w:rsidP="00F33152">
      <w:pPr>
        <w:rPr>
          <w:noProof/>
          <w:lang w:val="en-GB"/>
        </w:rPr>
        <w:sectPr w:rsidR="00F33152" w:rsidSect="00E471B0">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14:paraId="2CC8894C" w14:textId="77777777" w:rsidR="00DB6357" w:rsidRPr="00FD6314" w:rsidRDefault="00DB6357" w:rsidP="00A20307">
      <w:pPr>
        <w:pStyle w:val="ListParagraph"/>
        <w:numPr>
          <w:ilvl w:val="0"/>
          <w:numId w:val="20"/>
        </w:numPr>
        <w:spacing w:after="240"/>
        <w:ind w:left="426" w:hanging="426"/>
        <w:jc w:val="both"/>
        <w:rPr>
          <w:rFonts w:ascii="Times New Roman" w:hAnsi="Times New Roman" w:cs="Times New Roman"/>
          <w:b/>
          <w:caps/>
          <w:noProof/>
          <w:u w:val="single"/>
          <w:lang w:val="en-GB"/>
        </w:rPr>
      </w:pPr>
      <w:bookmarkStart w:id="1" w:name="_GoBack"/>
      <w:bookmarkEnd w:id="1"/>
      <w:r w:rsidRPr="00FD6314">
        <w:rPr>
          <w:rFonts w:ascii="Times New Roman" w:hAnsi="Times New Roman" w:cs="Times New Roman"/>
          <w:b/>
          <w:caps/>
          <w:noProof/>
          <w:u w:val="single"/>
          <w:lang w:val="en-GB"/>
        </w:rPr>
        <w:lastRenderedPageBreak/>
        <w:t>Introduction</w:t>
      </w:r>
    </w:p>
    <w:p w14:paraId="2447E84D" w14:textId="77777777" w:rsidR="003A6CFE" w:rsidRPr="00566832" w:rsidRDefault="00BE1FBE" w:rsidP="00651A02">
      <w:pPr>
        <w:spacing w:after="240" w:line="240" w:lineRule="auto"/>
        <w:jc w:val="both"/>
        <w:rPr>
          <w:rFonts w:ascii="Times New Roman" w:hAnsi="Times New Roman" w:cs="Times New Roman"/>
          <w:noProof/>
          <w:lang w:val="en-GB"/>
        </w:rPr>
      </w:pPr>
      <w:r w:rsidRPr="00FD6314">
        <w:rPr>
          <w:rFonts w:ascii="Times New Roman" w:hAnsi="Times New Roman" w:cs="Times New Roman"/>
          <w:noProof/>
          <w:lang w:val="en-GB"/>
        </w:rPr>
        <w:t>The Strategic Compass</w:t>
      </w:r>
      <w:r w:rsidR="00884651" w:rsidRPr="00FD6314">
        <w:rPr>
          <w:rFonts w:ascii="Times New Roman" w:hAnsi="Times New Roman" w:cs="Times New Roman"/>
          <w:noProof/>
          <w:lang w:val="en-GB"/>
        </w:rPr>
        <w:t xml:space="preserve"> on Security and Defence</w:t>
      </w:r>
      <w:r w:rsidR="00E95BE9" w:rsidRPr="00FD6314">
        <w:rPr>
          <w:rStyle w:val="FootnoteReference"/>
          <w:rFonts w:ascii="Times New Roman" w:hAnsi="Times New Roman" w:cs="Times New Roman"/>
          <w:noProof/>
          <w:lang w:val="en-GB"/>
        </w:rPr>
        <w:footnoteReference w:id="2"/>
      </w:r>
      <w:r w:rsidRPr="00FD6314">
        <w:rPr>
          <w:rFonts w:ascii="Times New Roman" w:hAnsi="Times New Roman" w:cs="Times New Roman"/>
          <w:noProof/>
          <w:lang w:val="en-GB"/>
        </w:rPr>
        <w:t xml:space="preserve">, </w:t>
      </w:r>
      <w:r w:rsidR="00B14281" w:rsidRPr="00FD6314">
        <w:rPr>
          <w:rFonts w:ascii="Times New Roman" w:hAnsi="Times New Roman" w:cs="Times New Roman"/>
          <w:noProof/>
          <w:lang w:val="en-GB"/>
        </w:rPr>
        <w:t xml:space="preserve">which </w:t>
      </w:r>
      <w:r w:rsidRPr="00344F24">
        <w:rPr>
          <w:rFonts w:ascii="Times New Roman" w:hAnsi="Times New Roman" w:cs="Times New Roman"/>
          <w:noProof/>
          <w:lang w:val="en-GB"/>
        </w:rPr>
        <w:t xml:space="preserve">the </w:t>
      </w:r>
      <w:r w:rsidR="00B14281" w:rsidRPr="00060E79">
        <w:rPr>
          <w:rFonts w:ascii="Times New Roman" w:hAnsi="Times New Roman" w:cs="Times New Roman"/>
          <w:noProof/>
          <w:lang w:val="en-GB"/>
        </w:rPr>
        <w:t xml:space="preserve">European Council </w:t>
      </w:r>
      <w:r w:rsidR="00B14281" w:rsidRPr="00E6071F">
        <w:rPr>
          <w:rFonts w:ascii="Times New Roman" w:hAnsi="Times New Roman" w:cs="Times New Roman"/>
          <w:noProof/>
          <w:lang w:val="en-GB"/>
        </w:rPr>
        <w:t xml:space="preserve">endorsed </w:t>
      </w:r>
      <w:r w:rsidRPr="00E6071F">
        <w:rPr>
          <w:rFonts w:ascii="Times New Roman" w:hAnsi="Times New Roman" w:cs="Times New Roman"/>
          <w:noProof/>
          <w:lang w:val="en-GB"/>
        </w:rPr>
        <w:t>in March 2022</w:t>
      </w:r>
      <w:r w:rsidR="00E02E91" w:rsidRPr="00E6071F">
        <w:rPr>
          <w:rFonts w:ascii="Times New Roman" w:hAnsi="Times New Roman" w:cs="Times New Roman"/>
          <w:noProof/>
          <w:lang w:val="en-GB"/>
        </w:rPr>
        <w:t>,</w:t>
      </w:r>
      <w:r w:rsidRPr="00E6071F">
        <w:rPr>
          <w:rFonts w:ascii="Times New Roman" w:hAnsi="Times New Roman" w:cs="Times New Roman"/>
          <w:noProof/>
          <w:lang w:val="en-GB"/>
        </w:rPr>
        <w:t xml:space="preserve"> emphasise</w:t>
      </w:r>
      <w:r w:rsidR="00B62263" w:rsidRPr="00E6071F">
        <w:rPr>
          <w:rFonts w:ascii="Times New Roman" w:hAnsi="Times New Roman" w:cs="Times New Roman"/>
          <w:noProof/>
          <w:lang w:val="en-GB"/>
        </w:rPr>
        <w:t>d</w:t>
      </w:r>
      <w:r w:rsidRPr="00E6071F">
        <w:rPr>
          <w:rFonts w:ascii="Times New Roman" w:hAnsi="Times New Roman" w:cs="Times New Roman"/>
          <w:noProof/>
          <w:lang w:val="en-GB"/>
        </w:rPr>
        <w:t xml:space="preserve"> that: “</w:t>
      </w:r>
      <w:r w:rsidRPr="00026238">
        <w:rPr>
          <w:rFonts w:ascii="Times New Roman" w:hAnsi="Times New Roman" w:cs="Times New Roman"/>
          <w:noProof/>
          <w:lang w:val="en-GB"/>
        </w:rPr>
        <w:t xml:space="preserve">Russia’s military aggression against Ukraine has confirmed the urgent need to substantially enhance the </w:t>
      </w:r>
      <w:r w:rsidRPr="00026238">
        <w:rPr>
          <w:rFonts w:ascii="Times New Roman" w:hAnsi="Times New Roman" w:cs="Times New Roman"/>
          <w:bCs/>
          <w:noProof/>
          <w:lang w:val="en-GB"/>
        </w:rPr>
        <w:t>military mobility</w:t>
      </w:r>
      <w:r w:rsidRPr="00E6071F">
        <w:rPr>
          <w:rFonts w:ascii="Times New Roman" w:hAnsi="Times New Roman" w:cs="Times New Roman"/>
          <w:b/>
          <w:bCs/>
          <w:noProof/>
          <w:lang w:val="en-GB"/>
        </w:rPr>
        <w:t xml:space="preserve"> </w:t>
      </w:r>
      <w:r w:rsidRPr="00E6071F">
        <w:rPr>
          <w:rFonts w:ascii="Times New Roman" w:hAnsi="Times New Roman" w:cs="Times New Roman"/>
          <w:noProof/>
          <w:lang w:val="en-GB"/>
        </w:rPr>
        <w:t>of our armed forces within and beyond the Union.”</w:t>
      </w:r>
      <w:r w:rsidR="003A6CFE" w:rsidRPr="00E6071F">
        <w:rPr>
          <w:rFonts w:ascii="Times New Roman" w:hAnsi="Times New Roman" w:cs="Times New Roman"/>
          <w:noProof/>
          <w:lang w:val="en-GB"/>
        </w:rPr>
        <w:t xml:space="preserve"> In view of “new commitments with the aim to substantially enhance and invest in </w:t>
      </w:r>
      <w:r w:rsidR="00B62263" w:rsidRPr="00E6071F">
        <w:rPr>
          <w:rFonts w:ascii="Times New Roman" w:hAnsi="Times New Roman" w:cs="Times New Roman"/>
          <w:noProof/>
          <w:lang w:val="en-GB"/>
        </w:rPr>
        <w:t>military mobility</w:t>
      </w:r>
      <w:r w:rsidR="003A6CFE" w:rsidRPr="00E6071F">
        <w:rPr>
          <w:rFonts w:ascii="Times New Roman" w:hAnsi="Times New Roman" w:cs="Times New Roman"/>
          <w:noProof/>
          <w:lang w:val="en-GB"/>
        </w:rPr>
        <w:t xml:space="preserve">”, it called for an “ambitious, revised Action </w:t>
      </w:r>
      <w:r w:rsidR="003A6CFE" w:rsidRPr="00566832">
        <w:rPr>
          <w:rFonts w:ascii="Times New Roman" w:hAnsi="Times New Roman" w:cs="Times New Roman"/>
          <w:noProof/>
          <w:lang w:val="en-GB"/>
        </w:rPr>
        <w:t>Plan by the end of 2022”.</w:t>
      </w:r>
      <w:r w:rsidRPr="00566832">
        <w:rPr>
          <w:rFonts w:ascii="Times New Roman" w:hAnsi="Times New Roman" w:cs="Times New Roman"/>
          <w:noProof/>
          <w:lang w:val="en-GB"/>
        </w:rPr>
        <w:t xml:space="preserve"> </w:t>
      </w:r>
      <w:r w:rsidR="00B62263" w:rsidRPr="00566832">
        <w:rPr>
          <w:rFonts w:ascii="Times New Roman" w:hAnsi="Times New Roman" w:cs="Times New Roman"/>
          <w:noProof/>
          <w:lang w:val="en-GB"/>
        </w:rPr>
        <w:t>Th</w:t>
      </w:r>
      <w:r w:rsidR="00B14281" w:rsidRPr="00566832">
        <w:rPr>
          <w:rFonts w:ascii="Times New Roman" w:hAnsi="Times New Roman" w:cs="Times New Roman"/>
          <w:noProof/>
          <w:lang w:val="en-GB"/>
        </w:rPr>
        <w:t>is</w:t>
      </w:r>
      <w:r w:rsidR="00B62263" w:rsidRPr="00566832">
        <w:rPr>
          <w:rFonts w:ascii="Times New Roman" w:hAnsi="Times New Roman" w:cs="Times New Roman"/>
          <w:noProof/>
          <w:lang w:val="en-GB"/>
        </w:rPr>
        <w:t xml:space="preserve"> </w:t>
      </w:r>
      <w:r w:rsidR="00BF676E" w:rsidRPr="00566832">
        <w:rPr>
          <w:rFonts w:ascii="Times New Roman" w:hAnsi="Times New Roman" w:cs="Times New Roman"/>
          <w:noProof/>
          <w:lang w:val="en-GB"/>
        </w:rPr>
        <w:t xml:space="preserve">Action Plan on Military Mobility 2.0 responds to this call. </w:t>
      </w:r>
    </w:p>
    <w:p w14:paraId="75A79495" w14:textId="77777777" w:rsidR="00B14281" w:rsidRPr="00566832" w:rsidRDefault="00A66A5C" w:rsidP="00E6071F">
      <w:pPr>
        <w:spacing w:after="240" w:line="240" w:lineRule="auto"/>
        <w:jc w:val="both"/>
        <w:rPr>
          <w:rFonts w:ascii="Times New Roman" w:hAnsi="Times New Roman" w:cs="Times New Roman"/>
          <w:i/>
          <w:iCs/>
          <w:noProof/>
          <w:lang w:val="en-GB"/>
        </w:rPr>
      </w:pPr>
      <w:r w:rsidRPr="00566832">
        <w:rPr>
          <w:rFonts w:ascii="Times New Roman" w:hAnsi="Times New Roman" w:cs="Times New Roman"/>
          <w:noProof/>
          <w:lang w:val="en-GB"/>
        </w:rPr>
        <w:t xml:space="preserve">Military mobility is vital for our </w:t>
      </w:r>
      <w:r w:rsidR="00502EE2" w:rsidRPr="00566832">
        <w:rPr>
          <w:rFonts w:ascii="Times New Roman" w:hAnsi="Times New Roman" w:cs="Times New Roman"/>
          <w:noProof/>
          <w:lang w:val="en-GB"/>
        </w:rPr>
        <w:t xml:space="preserve">European </w:t>
      </w:r>
      <w:r w:rsidRPr="00566832">
        <w:rPr>
          <w:rFonts w:ascii="Times New Roman" w:hAnsi="Times New Roman" w:cs="Times New Roman"/>
          <w:noProof/>
          <w:lang w:val="en-GB"/>
        </w:rPr>
        <w:t xml:space="preserve">security and </w:t>
      </w:r>
      <w:r w:rsidR="00B14281" w:rsidRPr="00566832">
        <w:rPr>
          <w:rFonts w:ascii="Times New Roman" w:hAnsi="Times New Roman" w:cs="Times New Roman"/>
          <w:noProof/>
          <w:lang w:val="en-GB"/>
        </w:rPr>
        <w:t>defence.</w:t>
      </w:r>
      <w:r w:rsidR="00B62263" w:rsidRPr="00566832">
        <w:rPr>
          <w:rFonts w:ascii="Times New Roman" w:hAnsi="Times New Roman" w:cs="Times New Roman"/>
          <w:noProof/>
          <w:lang w:val="en-GB"/>
        </w:rPr>
        <w:t xml:space="preserve"> </w:t>
      </w:r>
      <w:r w:rsidR="000E5EBF">
        <w:rPr>
          <w:rFonts w:ascii="Times New Roman" w:hAnsi="Times New Roman" w:cs="Times New Roman"/>
          <w:noProof/>
          <w:lang w:val="en-GB"/>
        </w:rPr>
        <w:t>The EU Member States’</w:t>
      </w:r>
      <w:r w:rsidR="00B14281" w:rsidRPr="00566832">
        <w:rPr>
          <w:rFonts w:ascii="Times New Roman" w:hAnsi="Times New Roman" w:cs="Times New Roman"/>
          <w:noProof/>
          <w:lang w:val="en-GB"/>
        </w:rPr>
        <w:t xml:space="preserve"> forces need to be able to respond quickly and </w:t>
      </w:r>
      <w:r w:rsidR="000E5EBF">
        <w:rPr>
          <w:rFonts w:ascii="Times New Roman" w:hAnsi="Times New Roman" w:cs="Times New Roman"/>
          <w:noProof/>
          <w:lang w:val="en-GB"/>
        </w:rPr>
        <w:t xml:space="preserve">with </w:t>
      </w:r>
      <w:r w:rsidR="00B14281" w:rsidRPr="00566832">
        <w:rPr>
          <w:rFonts w:ascii="Times New Roman" w:hAnsi="Times New Roman" w:cs="Times New Roman"/>
          <w:noProof/>
          <w:lang w:val="en-GB"/>
        </w:rPr>
        <w:t xml:space="preserve">sufficient scale to crises erupting at the EU’s external borders and beyond. Moreover, in the context of </w:t>
      </w:r>
      <w:r w:rsidR="00132793">
        <w:rPr>
          <w:rFonts w:ascii="Times New Roman" w:hAnsi="Times New Roman" w:cs="Times New Roman"/>
          <w:noProof/>
          <w:lang w:val="en-GB"/>
        </w:rPr>
        <w:t xml:space="preserve">the Russian aggression </w:t>
      </w:r>
      <w:r w:rsidR="00BD6686">
        <w:rPr>
          <w:rFonts w:ascii="Times New Roman" w:hAnsi="Times New Roman" w:cs="Times New Roman"/>
          <w:noProof/>
          <w:lang w:val="en-GB"/>
        </w:rPr>
        <w:t xml:space="preserve">against </w:t>
      </w:r>
      <w:r w:rsidR="00B14281" w:rsidRPr="00566832">
        <w:rPr>
          <w:rFonts w:ascii="Times New Roman" w:hAnsi="Times New Roman" w:cs="Times New Roman"/>
          <w:noProof/>
          <w:lang w:val="en-GB"/>
        </w:rPr>
        <w:t xml:space="preserve">Ukraine we have learned how important </w:t>
      </w:r>
      <w:r w:rsidR="00190F34">
        <w:rPr>
          <w:rFonts w:ascii="Times New Roman" w:hAnsi="Times New Roman" w:cs="Times New Roman"/>
          <w:noProof/>
          <w:lang w:val="en-GB"/>
        </w:rPr>
        <w:t xml:space="preserve">it is </w:t>
      </w:r>
      <w:r w:rsidR="00B14281" w:rsidRPr="00566832">
        <w:rPr>
          <w:rFonts w:ascii="Times New Roman" w:hAnsi="Times New Roman" w:cs="Times New Roman"/>
          <w:noProof/>
          <w:lang w:val="en-GB"/>
        </w:rPr>
        <w:t>to move military aid as quic</w:t>
      </w:r>
      <w:r w:rsidR="00714D91" w:rsidRPr="00566832">
        <w:rPr>
          <w:rFonts w:ascii="Times New Roman" w:hAnsi="Times New Roman" w:cs="Times New Roman"/>
          <w:noProof/>
          <w:lang w:val="en-GB"/>
        </w:rPr>
        <w:t>kly and smoothly as possible.</w:t>
      </w:r>
    </w:p>
    <w:p w14:paraId="38FC0453" w14:textId="3DA12E23" w:rsidR="00714D91" w:rsidRPr="00566832" w:rsidRDefault="005C66BD" w:rsidP="00E6071F">
      <w:pPr>
        <w:spacing w:after="240" w:line="240" w:lineRule="auto"/>
        <w:jc w:val="both"/>
        <w:rPr>
          <w:rFonts w:ascii="Times New Roman" w:hAnsi="Times New Roman" w:cs="Times New Roman"/>
          <w:noProof/>
          <w:lang w:val="en-GB"/>
        </w:rPr>
      </w:pPr>
      <w:r w:rsidRPr="00566832">
        <w:rPr>
          <w:rFonts w:ascii="Times New Roman" w:hAnsi="Times New Roman" w:cs="Times New Roman"/>
          <w:noProof/>
          <w:lang w:val="en-GB"/>
        </w:rPr>
        <w:t>Member States</w:t>
      </w:r>
      <w:r>
        <w:rPr>
          <w:rFonts w:ascii="Times New Roman" w:hAnsi="Times New Roman" w:cs="Times New Roman"/>
          <w:noProof/>
          <w:lang w:val="en-GB"/>
        </w:rPr>
        <w:t>’</w:t>
      </w:r>
      <w:r w:rsidRPr="00566832">
        <w:rPr>
          <w:rFonts w:ascii="Times New Roman" w:hAnsi="Times New Roman" w:cs="Times New Roman"/>
          <w:noProof/>
          <w:lang w:val="en-GB"/>
        </w:rPr>
        <w:t xml:space="preserve"> </w:t>
      </w:r>
      <w:r>
        <w:rPr>
          <w:rFonts w:ascii="Times New Roman" w:hAnsi="Times New Roman" w:cs="Times New Roman"/>
          <w:noProof/>
          <w:lang w:val="en-GB"/>
        </w:rPr>
        <w:t>e</w:t>
      </w:r>
      <w:r w:rsidR="00714D91" w:rsidRPr="00566832">
        <w:rPr>
          <w:rFonts w:ascii="Times New Roman" w:hAnsi="Times New Roman" w:cs="Times New Roman"/>
          <w:noProof/>
          <w:lang w:val="en-GB"/>
        </w:rPr>
        <w:t>xperience</w:t>
      </w:r>
      <w:r>
        <w:rPr>
          <w:rFonts w:ascii="Times New Roman" w:hAnsi="Times New Roman" w:cs="Times New Roman"/>
          <w:noProof/>
          <w:lang w:val="en-GB"/>
        </w:rPr>
        <w:t xml:space="preserve"> in the Ukraine</w:t>
      </w:r>
      <w:r w:rsidR="00714D91" w:rsidRPr="00566832">
        <w:rPr>
          <w:rFonts w:ascii="Times New Roman" w:hAnsi="Times New Roman" w:cs="Times New Roman"/>
          <w:noProof/>
          <w:lang w:val="en-GB"/>
        </w:rPr>
        <w:t xml:space="preserve"> context show</w:t>
      </w:r>
      <w:r>
        <w:rPr>
          <w:rFonts w:ascii="Times New Roman" w:hAnsi="Times New Roman" w:cs="Times New Roman"/>
          <w:noProof/>
          <w:lang w:val="en-GB"/>
        </w:rPr>
        <w:t>s</w:t>
      </w:r>
      <w:r w:rsidR="00714D91" w:rsidRPr="00566832">
        <w:rPr>
          <w:rFonts w:ascii="Times New Roman" w:hAnsi="Times New Roman" w:cs="Times New Roman"/>
          <w:noProof/>
          <w:lang w:val="en-GB"/>
        </w:rPr>
        <w:t xml:space="preserve"> that the Union has taken steps forward</w:t>
      </w:r>
      <w:r>
        <w:rPr>
          <w:rFonts w:ascii="Times New Roman" w:hAnsi="Times New Roman" w:cs="Times New Roman"/>
          <w:noProof/>
          <w:lang w:val="en-GB"/>
        </w:rPr>
        <w:t xml:space="preserve"> on military mobility</w:t>
      </w:r>
      <w:r w:rsidR="00714D91" w:rsidRPr="00566832">
        <w:rPr>
          <w:rFonts w:ascii="Times New Roman" w:hAnsi="Times New Roman" w:cs="Times New Roman"/>
          <w:noProof/>
          <w:lang w:val="en-GB"/>
        </w:rPr>
        <w:t xml:space="preserve">. For example, </w:t>
      </w:r>
      <w:r w:rsidR="00190F34">
        <w:rPr>
          <w:rFonts w:ascii="Times New Roman" w:hAnsi="Times New Roman" w:cs="Times New Roman"/>
          <w:noProof/>
          <w:lang w:val="en-GB"/>
        </w:rPr>
        <w:t xml:space="preserve">relevant </w:t>
      </w:r>
      <w:r w:rsidR="00714D91" w:rsidRPr="00566832">
        <w:rPr>
          <w:rFonts w:ascii="Times New Roman" w:hAnsi="Times New Roman" w:cs="Times New Roman"/>
          <w:noProof/>
          <w:lang w:val="en-GB"/>
        </w:rPr>
        <w:t>arrangements developed by the European Defence Agency ha</w:t>
      </w:r>
      <w:r w:rsidR="00EB3916" w:rsidRPr="00566832">
        <w:rPr>
          <w:rFonts w:ascii="Times New Roman" w:hAnsi="Times New Roman" w:cs="Times New Roman"/>
          <w:noProof/>
          <w:lang w:val="en-GB"/>
        </w:rPr>
        <w:t>ve</w:t>
      </w:r>
      <w:r w:rsidR="00714D91" w:rsidRPr="00566832">
        <w:rPr>
          <w:rFonts w:ascii="Times New Roman" w:hAnsi="Times New Roman" w:cs="Times New Roman"/>
          <w:noProof/>
          <w:lang w:val="en-GB"/>
        </w:rPr>
        <w:t xml:space="preserve"> helped Member States</w:t>
      </w:r>
      <w:r w:rsidR="00190F34" w:rsidRPr="00190F34">
        <w:rPr>
          <w:noProof/>
        </w:rPr>
        <w:t xml:space="preserve"> </w:t>
      </w:r>
      <w:r w:rsidR="00C5155F">
        <w:rPr>
          <w:noProof/>
        </w:rPr>
        <w:t xml:space="preserve">to </w:t>
      </w:r>
      <w:r w:rsidR="00190F34" w:rsidRPr="00190F34">
        <w:rPr>
          <w:rFonts w:ascii="Times New Roman" w:hAnsi="Times New Roman" w:cs="Times New Roman"/>
          <w:noProof/>
          <w:lang w:val="en-GB"/>
        </w:rPr>
        <w:t>shorten times for cross-border movement</w:t>
      </w:r>
      <w:r w:rsidR="00714D91" w:rsidRPr="00566832">
        <w:rPr>
          <w:rFonts w:ascii="Times New Roman" w:hAnsi="Times New Roman" w:cs="Times New Roman"/>
          <w:noProof/>
          <w:lang w:val="en-GB"/>
        </w:rPr>
        <w:t xml:space="preserve">. </w:t>
      </w:r>
      <w:r>
        <w:rPr>
          <w:rFonts w:ascii="Times New Roman" w:hAnsi="Times New Roman" w:cs="Times New Roman"/>
          <w:noProof/>
          <w:lang w:val="en-GB"/>
        </w:rPr>
        <w:t>Given the</w:t>
      </w:r>
      <w:r w:rsidR="00714D91" w:rsidRPr="00566832">
        <w:rPr>
          <w:rFonts w:ascii="Times New Roman" w:hAnsi="Times New Roman" w:cs="Times New Roman"/>
          <w:noProof/>
          <w:lang w:val="en-GB"/>
        </w:rPr>
        <w:t xml:space="preserve"> exceptional circumstances, Member States have often been ready to make exemptions </w:t>
      </w:r>
      <w:r>
        <w:rPr>
          <w:rFonts w:ascii="Times New Roman" w:hAnsi="Times New Roman" w:cs="Times New Roman"/>
          <w:noProof/>
          <w:lang w:val="en-GB"/>
        </w:rPr>
        <w:t>to</w:t>
      </w:r>
      <w:r w:rsidRPr="00566832">
        <w:rPr>
          <w:rFonts w:ascii="Times New Roman" w:hAnsi="Times New Roman" w:cs="Times New Roman"/>
          <w:noProof/>
          <w:lang w:val="en-GB"/>
        </w:rPr>
        <w:t xml:space="preserve"> </w:t>
      </w:r>
      <w:r w:rsidR="00714D91" w:rsidRPr="00566832">
        <w:rPr>
          <w:rFonts w:ascii="Times New Roman" w:hAnsi="Times New Roman" w:cs="Times New Roman"/>
          <w:noProof/>
          <w:lang w:val="en-GB"/>
        </w:rPr>
        <w:t xml:space="preserve">solve issues on a case-by-case basis to overcome their national restrictions. </w:t>
      </w:r>
      <w:r w:rsidR="00707C94" w:rsidRPr="00707C94">
        <w:rPr>
          <w:rFonts w:ascii="Times New Roman" w:hAnsi="Times New Roman" w:cs="Times New Roman"/>
          <w:noProof/>
          <w:lang w:val="en-GB"/>
        </w:rPr>
        <w:t>It is time to move from a case-by-case approach towards structural solutions. At the same time</w:t>
      </w:r>
      <w:r w:rsidR="00707C94">
        <w:rPr>
          <w:rFonts w:ascii="Times New Roman" w:hAnsi="Times New Roman" w:cs="Times New Roman"/>
          <w:noProof/>
          <w:lang w:val="en-GB"/>
        </w:rPr>
        <w:t>,</w:t>
      </w:r>
      <w:r w:rsidR="00707C94" w:rsidRPr="00707C94">
        <w:rPr>
          <w:rFonts w:ascii="Times New Roman" w:hAnsi="Times New Roman" w:cs="Times New Roman"/>
          <w:noProof/>
          <w:lang w:val="en-GB"/>
        </w:rPr>
        <w:t xml:space="preserve"> we have also witnessed limitations</w:t>
      </w:r>
      <w:r w:rsidR="00241651">
        <w:rPr>
          <w:rFonts w:ascii="Times New Roman" w:hAnsi="Times New Roman" w:cs="Times New Roman"/>
          <w:noProof/>
          <w:lang w:val="en-GB"/>
        </w:rPr>
        <w:t xml:space="preserve"> </w:t>
      </w:r>
      <w:r w:rsidR="00707C94">
        <w:rPr>
          <w:rFonts w:ascii="Times New Roman" w:hAnsi="Times New Roman" w:cs="Times New Roman"/>
          <w:noProof/>
          <w:lang w:val="en-GB"/>
        </w:rPr>
        <w:t>-</w:t>
      </w:r>
      <w:r w:rsidR="00241651">
        <w:rPr>
          <w:rFonts w:ascii="Times New Roman" w:hAnsi="Times New Roman" w:cs="Times New Roman"/>
          <w:noProof/>
          <w:lang w:val="en-GB"/>
        </w:rPr>
        <w:t xml:space="preserve"> </w:t>
      </w:r>
      <w:r w:rsidR="00707C94">
        <w:rPr>
          <w:rFonts w:ascii="Times New Roman" w:hAnsi="Times New Roman" w:cs="Times New Roman"/>
          <w:noProof/>
          <w:lang w:val="en-GB"/>
        </w:rPr>
        <w:t xml:space="preserve">for example the different rail systems </w:t>
      </w:r>
      <w:r w:rsidR="00424963">
        <w:rPr>
          <w:rFonts w:ascii="Times New Roman" w:hAnsi="Times New Roman" w:cs="Times New Roman"/>
          <w:noProof/>
          <w:lang w:val="en-GB"/>
        </w:rPr>
        <w:t>between Ukraine and EU Member States as well as within the European Union</w:t>
      </w:r>
      <w:r w:rsidR="00707C94">
        <w:rPr>
          <w:rFonts w:ascii="Times New Roman" w:hAnsi="Times New Roman" w:cs="Times New Roman"/>
          <w:noProof/>
          <w:lang w:val="en-GB"/>
        </w:rPr>
        <w:t xml:space="preserve"> prevented </w:t>
      </w:r>
      <w:r w:rsidR="00AB68EB" w:rsidRPr="00566832">
        <w:rPr>
          <w:rFonts w:ascii="Times New Roman" w:hAnsi="Times New Roman" w:cs="Times New Roman"/>
          <w:noProof/>
          <w:lang w:val="en-GB"/>
        </w:rPr>
        <w:t>optimal mobility solutions</w:t>
      </w:r>
      <w:r w:rsidR="00707C94">
        <w:rPr>
          <w:rFonts w:ascii="Times New Roman" w:hAnsi="Times New Roman" w:cs="Times New Roman"/>
          <w:noProof/>
          <w:lang w:val="en-GB"/>
        </w:rPr>
        <w:t>. The strong dependence on contracted civilian transportation solutions also became apparent.</w:t>
      </w:r>
      <w:r w:rsidR="00AB68EB" w:rsidRPr="00566832">
        <w:rPr>
          <w:rFonts w:ascii="Times New Roman" w:hAnsi="Times New Roman" w:cs="Times New Roman"/>
          <w:noProof/>
          <w:lang w:val="en-GB"/>
        </w:rPr>
        <w:t xml:space="preserve">  </w:t>
      </w:r>
    </w:p>
    <w:p w14:paraId="373EC915" w14:textId="77777777" w:rsidR="007817FD" w:rsidRPr="00566832" w:rsidRDefault="00BF676E" w:rsidP="00A331F5">
      <w:pPr>
        <w:spacing w:after="240" w:line="240" w:lineRule="auto"/>
        <w:jc w:val="both"/>
        <w:rPr>
          <w:rFonts w:ascii="Times New Roman" w:hAnsi="Times New Roman" w:cs="Times New Roman"/>
          <w:noProof/>
        </w:rPr>
      </w:pPr>
      <w:r w:rsidRPr="00566832">
        <w:rPr>
          <w:rFonts w:ascii="Times New Roman" w:hAnsi="Times New Roman" w:cs="Times New Roman"/>
          <w:noProof/>
        </w:rPr>
        <w:t>Building on the progress made since the military mobility initiative was launched in 2017</w:t>
      </w:r>
      <w:r w:rsidRPr="00566832">
        <w:rPr>
          <w:rStyle w:val="FootnoteReference"/>
          <w:rFonts w:ascii="Times New Roman" w:hAnsi="Times New Roman" w:cs="Times New Roman"/>
          <w:noProof/>
        </w:rPr>
        <w:footnoteReference w:id="3"/>
      </w:r>
      <w:r w:rsidRPr="00566832">
        <w:rPr>
          <w:rFonts w:ascii="Times New Roman" w:hAnsi="Times New Roman" w:cs="Times New Roman"/>
          <w:noProof/>
        </w:rPr>
        <w:t xml:space="preserve">, </w:t>
      </w:r>
      <w:r w:rsidR="0038339F">
        <w:rPr>
          <w:rFonts w:ascii="Times New Roman" w:hAnsi="Times New Roman" w:cs="Times New Roman"/>
          <w:noProof/>
        </w:rPr>
        <w:t>this new Action Plan</w:t>
      </w:r>
      <w:r w:rsidR="00AB68EB" w:rsidRPr="00566832">
        <w:rPr>
          <w:rFonts w:ascii="Times New Roman" w:hAnsi="Times New Roman" w:cs="Times New Roman"/>
          <w:noProof/>
        </w:rPr>
        <w:t xml:space="preserve"> </w:t>
      </w:r>
      <w:r w:rsidR="007817FD" w:rsidRPr="00566832">
        <w:rPr>
          <w:rFonts w:ascii="Times New Roman" w:hAnsi="Times New Roman" w:cs="Times New Roman"/>
          <w:b/>
          <w:noProof/>
        </w:rPr>
        <w:t xml:space="preserve">opens </w:t>
      </w:r>
      <w:r w:rsidR="00651A02" w:rsidRPr="00566832">
        <w:rPr>
          <w:rFonts w:ascii="Times New Roman" w:hAnsi="Times New Roman" w:cs="Times New Roman"/>
          <w:b/>
          <w:noProof/>
        </w:rPr>
        <w:t>the next</w:t>
      </w:r>
      <w:r w:rsidR="007817FD" w:rsidRPr="00566832">
        <w:rPr>
          <w:rFonts w:ascii="Times New Roman" w:hAnsi="Times New Roman" w:cs="Times New Roman"/>
          <w:b/>
          <w:noProof/>
        </w:rPr>
        <w:t xml:space="preserve"> chapter </w:t>
      </w:r>
      <w:r w:rsidR="000B538E" w:rsidRPr="00566832">
        <w:rPr>
          <w:rFonts w:ascii="Times New Roman" w:hAnsi="Times New Roman" w:cs="Times New Roman"/>
          <w:b/>
          <w:noProof/>
        </w:rPr>
        <w:t xml:space="preserve">of </w:t>
      </w:r>
      <w:r w:rsidR="007817FD" w:rsidRPr="00566832">
        <w:rPr>
          <w:rFonts w:ascii="Times New Roman" w:hAnsi="Times New Roman" w:cs="Times New Roman"/>
          <w:b/>
          <w:noProof/>
        </w:rPr>
        <w:t xml:space="preserve">work on </w:t>
      </w:r>
      <w:r w:rsidR="00651A02" w:rsidRPr="00566832">
        <w:rPr>
          <w:rFonts w:ascii="Times New Roman" w:hAnsi="Times New Roman" w:cs="Times New Roman"/>
          <w:b/>
          <w:noProof/>
        </w:rPr>
        <w:t>military mobility</w:t>
      </w:r>
      <w:r w:rsidR="0038339F">
        <w:rPr>
          <w:rFonts w:ascii="Times New Roman" w:hAnsi="Times New Roman" w:cs="Times New Roman"/>
          <w:b/>
          <w:noProof/>
        </w:rPr>
        <w:t xml:space="preserve"> for the period 2022-2026</w:t>
      </w:r>
      <w:r w:rsidR="007817FD" w:rsidRPr="00566832">
        <w:rPr>
          <w:rFonts w:ascii="Times New Roman" w:hAnsi="Times New Roman" w:cs="Times New Roman"/>
          <w:noProof/>
        </w:rPr>
        <w:t xml:space="preserve">. </w:t>
      </w:r>
      <w:r w:rsidR="0038339F">
        <w:rPr>
          <w:rFonts w:ascii="Times New Roman" w:hAnsi="Times New Roman" w:cs="Times New Roman"/>
          <w:noProof/>
        </w:rPr>
        <w:t>E</w:t>
      </w:r>
      <w:r w:rsidR="003A6CFE" w:rsidRPr="00566832">
        <w:rPr>
          <w:rFonts w:ascii="Times New Roman" w:hAnsi="Times New Roman" w:cs="Times New Roman"/>
          <w:noProof/>
        </w:rPr>
        <w:t>nlarge</w:t>
      </w:r>
      <w:r w:rsidR="0038339F">
        <w:rPr>
          <w:rFonts w:ascii="Times New Roman" w:hAnsi="Times New Roman" w:cs="Times New Roman"/>
          <w:noProof/>
        </w:rPr>
        <w:t>d</w:t>
      </w:r>
      <w:r w:rsidR="003A6CFE" w:rsidRPr="00566832">
        <w:rPr>
          <w:rFonts w:ascii="Times New Roman" w:hAnsi="Times New Roman" w:cs="Times New Roman"/>
          <w:noProof/>
        </w:rPr>
        <w:t xml:space="preserve"> </w:t>
      </w:r>
      <w:r w:rsidR="0038339F">
        <w:rPr>
          <w:rFonts w:ascii="Times New Roman" w:hAnsi="Times New Roman" w:cs="Times New Roman"/>
          <w:noProof/>
        </w:rPr>
        <w:t>in</w:t>
      </w:r>
      <w:r w:rsidR="003A6CFE" w:rsidRPr="00566832">
        <w:rPr>
          <w:rFonts w:ascii="Times New Roman" w:hAnsi="Times New Roman" w:cs="Times New Roman"/>
          <w:noProof/>
        </w:rPr>
        <w:t xml:space="preserve"> scope</w:t>
      </w:r>
      <w:r w:rsidR="0038339F">
        <w:rPr>
          <w:rFonts w:ascii="Times New Roman" w:hAnsi="Times New Roman" w:cs="Times New Roman"/>
          <w:noProof/>
        </w:rPr>
        <w:t xml:space="preserve"> </w:t>
      </w:r>
      <w:r w:rsidR="003A6CFE" w:rsidRPr="00566832">
        <w:rPr>
          <w:rFonts w:ascii="Times New Roman" w:hAnsi="Times New Roman" w:cs="Times New Roman"/>
          <w:noProof/>
        </w:rPr>
        <w:t>and propos</w:t>
      </w:r>
      <w:r w:rsidR="00407DD6">
        <w:rPr>
          <w:rFonts w:ascii="Times New Roman" w:hAnsi="Times New Roman" w:cs="Times New Roman"/>
          <w:noProof/>
        </w:rPr>
        <w:t>ing</w:t>
      </w:r>
      <w:r w:rsidR="003A6CFE" w:rsidRPr="00566832">
        <w:rPr>
          <w:rFonts w:ascii="Times New Roman" w:hAnsi="Times New Roman" w:cs="Times New Roman"/>
          <w:noProof/>
        </w:rPr>
        <w:t xml:space="preserve"> </w:t>
      </w:r>
      <w:r w:rsidR="003A6CFE" w:rsidRPr="00566832">
        <w:rPr>
          <w:rFonts w:ascii="Times New Roman" w:hAnsi="Times New Roman" w:cs="Times New Roman"/>
          <w:b/>
          <w:noProof/>
        </w:rPr>
        <w:t>additional measures</w:t>
      </w:r>
      <w:r w:rsidR="00407DD6">
        <w:rPr>
          <w:rFonts w:ascii="Times New Roman" w:hAnsi="Times New Roman" w:cs="Times New Roman"/>
          <w:b/>
          <w:noProof/>
        </w:rPr>
        <w:t xml:space="preserve">, </w:t>
      </w:r>
      <w:r w:rsidR="00190F34">
        <w:rPr>
          <w:rFonts w:ascii="Times New Roman" w:hAnsi="Times New Roman" w:cs="Times New Roman"/>
          <w:bCs/>
          <w:noProof/>
        </w:rPr>
        <w:t>it will</w:t>
      </w:r>
      <w:r w:rsidR="003A6CFE" w:rsidRPr="00566832">
        <w:rPr>
          <w:rFonts w:ascii="Times New Roman" w:hAnsi="Times New Roman" w:cs="Times New Roman"/>
          <w:noProof/>
        </w:rPr>
        <w:t xml:space="preserve"> </w:t>
      </w:r>
      <w:r w:rsidR="00C724F1" w:rsidRPr="00566832">
        <w:rPr>
          <w:rFonts w:ascii="Times New Roman" w:hAnsi="Times New Roman" w:cs="Times New Roman"/>
          <w:noProof/>
        </w:rPr>
        <w:t xml:space="preserve">contribute to </w:t>
      </w:r>
      <w:r w:rsidR="007817FD" w:rsidRPr="00566832">
        <w:rPr>
          <w:rFonts w:ascii="Times New Roman" w:hAnsi="Times New Roman" w:cs="Times New Roman"/>
          <w:noProof/>
        </w:rPr>
        <w:t xml:space="preserve">a </w:t>
      </w:r>
      <w:r w:rsidR="007817FD" w:rsidRPr="00566832">
        <w:rPr>
          <w:rFonts w:ascii="Times New Roman" w:hAnsi="Times New Roman" w:cs="Times New Roman"/>
          <w:b/>
          <w:noProof/>
        </w:rPr>
        <w:t xml:space="preserve">well-connected </w:t>
      </w:r>
      <w:r w:rsidR="00651A02" w:rsidRPr="00566832">
        <w:rPr>
          <w:rFonts w:ascii="Times New Roman" w:hAnsi="Times New Roman" w:cs="Times New Roman"/>
          <w:b/>
          <w:noProof/>
        </w:rPr>
        <w:t xml:space="preserve">military mobility </w:t>
      </w:r>
      <w:r w:rsidR="007817FD" w:rsidRPr="00566832">
        <w:rPr>
          <w:rFonts w:ascii="Times New Roman" w:hAnsi="Times New Roman" w:cs="Times New Roman"/>
          <w:b/>
          <w:noProof/>
        </w:rPr>
        <w:t>network</w:t>
      </w:r>
      <w:r w:rsidR="007817FD" w:rsidRPr="00566832">
        <w:rPr>
          <w:rFonts w:ascii="Times New Roman" w:hAnsi="Times New Roman" w:cs="Times New Roman"/>
          <w:noProof/>
        </w:rPr>
        <w:t xml:space="preserve">, with </w:t>
      </w:r>
      <w:r w:rsidR="007817FD" w:rsidRPr="00566832">
        <w:rPr>
          <w:rFonts w:ascii="Times New Roman" w:hAnsi="Times New Roman" w:cs="Times New Roman"/>
          <w:b/>
          <w:noProof/>
        </w:rPr>
        <w:t>shorter reaction times</w:t>
      </w:r>
      <w:r w:rsidR="007817FD" w:rsidRPr="00566832">
        <w:rPr>
          <w:rFonts w:ascii="Times New Roman" w:hAnsi="Times New Roman" w:cs="Times New Roman"/>
          <w:noProof/>
        </w:rPr>
        <w:t xml:space="preserve"> and </w:t>
      </w:r>
      <w:r w:rsidR="007817FD" w:rsidRPr="00566832">
        <w:rPr>
          <w:rFonts w:ascii="Times New Roman" w:hAnsi="Times New Roman" w:cs="Times New Roman"/>
          <w:b/>
          <w:noProof/>
        </w:rPr>
        <w:t>capable, secure</w:t>
      </w:r>
      <w:r w:rsidR="0028681C">
        <w:rPr>
          <w:rFonts w:ascii="Times New Roman" w:hAnsi="Times New Roman" w:cs="Times New Roman"/>
          <w:b/>
          <w:noProof/>
        </w:rPr>
        <w:t>, sustainable</w:t>
      </w:r>
      <w:r w:rsidR="007817FD" w:rsidRPr="00566832">
        <w:rPr>
          <w:rFonts w:ascii="Times New Roman" w:hAnsi="Times New Roman" w:cs="Times New Roman"/>
          <w:b/>
          <w:noProof/>
        </w:rPr>
        <w:t xml:space="preserve"> and resilient transport infrastructure and capabilities</w:t>
      </w:r>
      <w:r w:rsidR="007817FD" w:rsidRPr="00566832">
        <w:rPr>
          <w:rFonts w:ascii="Times New Roman" w:hAnsi="Times New Roman" w:cs="Times New Roman"/>
          <w:noProof/>
        </w:rPr>
        <w:t xml:space="preserve">. </w:t>
      </w:r>
    </w:p>
    <w:p w14:paraId="7EB4F7CD" w14:textId="68509017" w:rsidR="007817FD" w:rsidRPr="00E6071F" w:rsidRDefault="00190F34" w:rsidP="007817FD">
      <w:pPr>
        <w:spacing w:after="0" w:line="240" w:lineRule="auto"/>
        <w:jc w:val="both"/>
        <w:rPr>
          <w:rFonts w:ascii="Times New Roman" w:hAnsi="Times New Roman" w:cs="Times New Roman"/>
          <w:noProof/>
          <w:lang w:val="en-GB"/>
        </w:rPr>
      </w:pPr>
      <w:r w:rsidRPr="00756DD8">
        <w:rPr>
          <w:rFonts w:ascii="Times New Roman" w:hAnsi="Times New Roman"/>
          <w:noProof/>
          <w:lang w:val="en-GB"/>
        </w:rPr>
        <w:t xml:space="preserve">The </w:t>
      </w:r>
      <w:r>
        <w:rPr>
          <w:rFonts w:ascii="Times New Roman" w:hAnsi="Times New Roman" w:cs="Times New Roman"/>
          <w:noProof/>
          <w:lang w:val="en-GB"/>
        </w:rPr>
        <w:t>Action Plan</w:t>
      </w:r>
      <w:r w:rsidR="00407DD6" w:rsidRPr="00407DD6">
        <w:rPr>
          <w:rFonts w:ascii="Times New Roman" w:hAnsi="Times New Roman" w:cs="Times New Roman"/>
          <w:noProof/>
          <w:lang w:val="en-GB"/>
        </w:rPr>
        <w:t xml:space="preserve"> addresses the</w:t>
      </w:r>
      <w:r w:rsidR="00407DD6" w:rsidRPr="00756DD8">
        <w:rPr>
          <w:rFonts w:ascii="Times New Roman" w:hAnsi="Times New Roman"/>
          <w:noProof/>
          <w:lang w:val="en-GB"/>
        </w:rPr>
        <w:t xml:space="preserve"> need to further improve the capacity of transport infrastructure to handle the weight, size and scale of military movement </w:t>
      </w:r>
      <w:r w:rsidR="007817FD" w:rsidRPr="00756DD8">
        <w:rPr>
          <w:rFonts w:ascii="Times New Roman" w:hAnsi="Times New Roman"/>
          <w:noProof/>
          <w:lang w:val="en-GB"/>
        </w:rPr>
        <w:t xml:space="preserve">with </w:t>
      </w:r>
      <w:r w:rsidR="00407DD6">
        <w:rPr>
          <w:rFonts w:ascii="Times New Roman" w:hAnsi="Times New Roman" w:cs="Times New Roman"/>
          <w:noProof/>
          <w:lang w:val="en-GB"/>
        </w:rPr>
        <w:t xml:space="preserve">new </w:t>
      </w:r>
      <w:r w:rsidR="007817FD" w:rsidRPr="00566832">
        <w:rPr>
          <w:rFonts w:ascii="Times New Roman" w:hAnsi="Times New Roman" w:cs="Times New Roman"/>
          <w:noProof/>
          <w:lang w:val="en-GB"/>
        </w:rPr>
        <w:t xml:space="preserve">measures to prioritise our </w:t>
      </w:r>
      <w:r w:rsidR="00407DD6">
        <w:rPr>
          <w:rFonts w:ascii="Times New Roman" w:hAnsi="Times New Roman" w:cs="Times New Roman"/>
          <w:noProof/>
          <w:lang w:val="en-GB"/>
        </w:rPr>
        <w:t>work</w:t>
      </w:r>
      <w:r w:rsidR="007817FD" w:rsidRPr="00566832">
        <w:rPr>
          <w:rFonts w:ascii="Times New Roman" w:hAnsi="Times New Roman" w:cs="Times New Roman"/>
          <w:noProof/>
          <w:lang w:val="en-GB"/>
        </w:rPr>
        <w:t xml:space="preserve"> and include the fuel supply chain requirements for military transports. </w:t>
      </w:r>
      <w:r w:rsidR="00407DD6" w:rsidRPr="00407DD6">
        <w:rPr>
          <w:rFonts w:ascii="Times New Roman" w:hAnsi="Times New Roman" w:cs="Times New Roman"/>
          <w:noProof/>
          <w:lang w:val="en-GB"/>
        </w:rPr>
        <w:t>It continues the effort to streamline and harmonise complex, lengthy and diverging national rules and procedures, including by introducing</w:t>
      </w:r>
      <w:r w:rsidR="00407DD6" w:rsidRPr="00756DD8">
        <w:rPr>
          <w:rFonts w:ascii="Times New Roman" w:hAnsi="Times New Roman"/>
          <w:noProof/>
          <w:lang w:val="en-GB"/>
        </w:rPr>
        <w:t xml:space="preserve"> </w:t>
      </w:r>
      <w:r w:rsidR="007817FD" w:rsidRPr="00566832">
        <w:rPr>
          <w:rFonts w:ascii="Times New Roman" w:eastAsia="MS PGothic" w:hAnsi="Times New Roman" w:cs="Times New Roman"/>
          <w:noProof/>
          <w:szCs w:val="28"/>
        </w:rPr>
        <w:t xml:space="preserve">new actions </w:t>
      </w:r>
      <w:r w:rsidR="00407DD6">
        <w:rPr>
          <w:rFonts w:ascii="Times New Roman" w:eastAsia="MS PGothic" w:hAnsi="Times New Roman" w:cs="Times New Roman"/>
          <w:noProof/>
          <w:szCs w:val="28"/>
        </w:rPr>
        <w:t>to support</w:t>
      </w:r>
      <w:r w:rsidR="007817FD" w:rsidRPr="00566832">
        <w:rPr>
          <w:rFonts w:ascii="Times New Roman" w:eastAsia="MS PGothic" w:hAnsi="Times New Roman" w:cs="Times New Roman"/>
          <w:noProof/>
          <w:szCs w:val="28"/>
        </w:rPr>
        <w:t xml:space="preserve"> the further digitalisation of the administrative processes</w:t>
      </w:r>
      <w:r w:rsidR="00407DD6">
        <w:rPr>
          <w:rFonts w:ascii="Times New Roman" w:eastAsia="MS PGothic" w:hAnsi="Times New Roman" w:cs="Times New Roman"/>
          <w:noProof/>
          <w:szCs w:val="28"/>
        </w:rPr>
        <w:t xml:space="preserve">. </w:t>
      </w:r>
      <w:r w:rsidR="00407DD6" w:rsidRPr="00407DD6">
        <w:rPr>
          <w:rFonts w:ascii="Times New Roman" w:eastAsia="MS PGothic" w:hAnsi="Times New Roman" w:cs="Times New Roman"/>
          <w:noProof/>
          <w:szCs w:val="28"/>
        </w:rPr>
        <w:t>It adds a new preparedness and resilience pillar that encompasses</w:t>
      </w:r>
      <w:r w:rsidR="00407DD6">
        <w:rPr>
          <w:rFonts w:ascii="Times New Roman" w:eastAsia="MS PGothic" w:hAnsi="Times New Roman" w:cs="Times New Roman"/>
          <w:noProof/>
          <w:szCs w:val="28"/>
        </w:rPr>
        <w:t xml:space="preserve"> </w:t>
      </w:r>
      <w:r w:rsidR="007817FD" w:rsidRPr="00566832">
        <w:rPr>
          <w:rFonts w:ascii="Times New Roman" w:eastAsia="MS PGothic" w:hAnsi="Times New Roman" w:cs="Times New Roman"/>
          <w:noProof/>
          <w:szCs w:val="28"/>
        </w:rPr>
        <w:t>the development of strategic lift capabilities</w:t>
      </w:r>
      <w:r w:rsidR="003852CC" w:rsidRPr="00566832">
        <w:rPr>
          <w:rFonts w:ascii="Times New Roman" w:eastAsia="MS PGothic" w:hAnsi="Times New Roman" w:cs="Times New Roman"/>
          <w:noProof/>
          <w:szCs w:val="28"/>
        </w:rPr>
        <w:t xml:space="preserve"> in line with the Coordinated Annual Report on Defence (CARD) Report of November 2020</w:t>
      </w:r>
      <w:r>
        <w:rPr>
          <w:rFonts w:ascii="Times New Roman" w:eastAsia="MS PGothic" w:hAnsi="Times New Roman" w:cs="Times New Roman"/>
          <w:noProof/>
          <w:szCs w:val="28"/>
        </w:rPr>
        <w:t xml:space="preserve">. It proposes </w:t>
      </w:r>
      <w:r w:rsidR="00657691">
        <w:rPr>
          <w:rFonts w:ascii="Times New Roman" w:eastAsia="MS PGothic" w:hAnsi="Times New Roman" w:cs="Times New Roman"/>
          <w:noProof/>
          <w:szCs w:val="28"/>
        </w:rPr>
        <w:t>measures to</w:t>
      </w:r>
      <w:r>
        <w:rPr>
          <w:rFonts w:ascii="Times New Roman" w:eastAsia="MS PGothic" w:hAnsi="Times New Roman" w:cs="Times New Roman"/>
          <w:noProof/>
          <w:szCs w:val="28"/>
        </w:rPr>
        <w:t xml:space="preserve"> </w:t>
      </w:r>
      <w:r w:rsidR="00407DD6">
        <w:rPr>
          <w:rFonts w:ascii="Times New Roman" w:eastAsia="MS PGothic" w:hAnsi="Times New Roman" w:cs="Times New Roman"/>
          <w:noProof/>
          <w:szCs w:val="28"/>
        </w:rPr>
        <w:t>enhance</w:t>
      </w:r>
      <w:r>
        <w:rPr>
          <w:rFonts w:ascii="Times New Roman" w:eastAsia="MS PGothic" w:hAnsi="Times New Roman" w:cs="Times New Roman"/>
          <w:noProof/>
          <w:szCs w:val="28"/>
        </w:rPr>
        <w:t xml:space="preserve"> the</w:t>
      </w:r>
      <w:r w:rsidR="007817FD" w:rsidRPr="00566832">
        <w:rPr>
          <w:rFonts w:ascii="Times New Roman" w:eastAsia="MS PGothic" w:hAnsi="Times New Roman" w:cs="Times New Roman"/>
          <w:noProof/>
          <w:szCs w:val="28"/>
        </w:rPr>
        <w:t xml:space="preserve"> protection </w:t>
      </w:r>
      <w:r w:rsidR="00407DD6">
        <w:rPr>
          <w:rFonts w:ascii="Times New Roman" w:eastAsia="MS PGothic" w:hAnsi="Times New Roman" w:cs="Times New Roman"/>
          <w:noProof/>
          <w:szCs w:val="28"/>
        </w:rPr>
        <w:t xml:space="preserve">of the transport sector </w:t>
      </w:r>
      <w:r w:rsidR="007817FD" w:rsidRPr="00566832">
        <w:rPr>
          <w:rFonts w:ascii="Times New Roman" w:eastAsia="MS PGothic" w:hAnsi="Times New Roman" w:cs="Times New Roman"/>
          <w:noProof/>
          <w:szCs w:val="28"/>
        </w:rPr>
        <w:t xml:space="preserve">against cyber-attacks and other hybrid threats, </w:t>
      </w:r>
      <w:r>
        <w:rPr>
          <w:rFonts w:ascii="Times New Roman" w:eastAsia="MS PGothic" w:hAnsi="Times New Roman" w:cs="Times New Roman"/>
          <w:noProof/>
          <w:szCs w:val="28"/>
        </w:rPr>
        <w:t xml:space="preserve">and to promote </w:t>
      </w:r>
      <w:r w:rsidR="00407DD6">
        <w:rPr>
          <w:rFonts w:ascii="Times New Roman" w:eastAsia="MS PGothic" w:hAnsi="Times New Roman" w:cs="Times New Roman"/>
          <w:noProof/>
          <w:szCs w:val="28"/>
        </w:rPr>
        <w:t xml:space="preserve">its </w:t>
      </w:r>
      <w:r w:rsidR="007817FD" w:rsidRPr="00566832">
        <w:rPr>
          <w:rFonts w:ascii="Times New Roman" w:eastAsia="MS PGothic" w:hAnsi="Times New Roman" w:cs="Times New Roman"/>
          <w:noProof/>
          <w:szCs w:val="28"/>
        </w:rPr>
        <w:t>climate</w:t>
      </w:r>
      <w:r w:rsidR="00D37B2F">
        <w:rPr>
          <w:rFonts w:ascii="Times New Roman" w:eastAsia="MS PGothic" w:hAnsi="Times New Roman" w:cs="Times New Roman"/>
          <w:noProof/>
          <w:szCs w:val="28"/>
        </w:rPr>
        <w:t xml:space="preserve"> </w:t>
      </w:r>
      <w:r w:rsidR="007817FD" w:rsidRPr="00566832">
        <w:rPr>
          <w:rFonts w:ascii="Times New Roman" w:eastAsia="MS PGothic" w:hAnsi="Times New Roman" w:cs="Times New Roman"/>
          <w:noProof/>
          <w:szCs w:val="28"/>
        </w:rPr>
        <w:t>resilience and energy security</w:t>
      </w:r>
      <w:r w:rsidR="00407DD6">
        <w:rPr>
          <w:rFonts w:ascii="Times New Roman" w:eastAsia="MS PGothic" w:hAnsi="Times New Roman" w:cs="Times New Roman"/>
          <w:noProof/>
          <w:szCs w:val="28"/>
        </w:rPr>
        <w:t>.</w:t>
      </w:r>
      <w:r w:rsidR="00407DD6" w:rsidRPr="00756DD8">
        <w:rPr>
          <w:rFonts w:ascii="Times New Roman" w:hAnsi="Times New Roman"/>
          <w:noProof/>
        </w:rPr>
        <w:t xml:space="preserve"> The </w:t>
      </w:r>
      <w:r w:rsidR="00407DD6" w:rsidRPr="00407DD6">
        <w:rPr>
          <w:rFonts w:ascii="Times New Roman" w:eastAsia="MS PGothic" w:hAnsi="Times New Roman" w:cs="Times New Roman"/>
          <w:noProof/>
          <w:szCs w:val="28"/>
        </w:rPr>
        <w:t>new partnership pillar outlines proposals to strengthen dialogue</w:t>
      </w:r>
      <w:r w:rsidR="00407DD6" w:rsidRPr="00756DD8">
        <w:rPr>
          <w:rFonts w:ascii="Times New Roman" w:hAnsi="Times New Roman"/>
          <w:noProof/>
        </w:rPr>
        <w:t xml:space="preserve">, cooperation and </w:t>
      </w:r>
      <w:r w:rsidR="00407DD6" w:rsidRPr="00407DD6">
        <w:rPr>
          <w:rFonts w:ascii="Times New Roman" w:eastAsia="MS PGothic" w:hAnsi="Times New Roman" w:cs="Times New Roman"/>
          <w:noProof/>
          <w:szCs w:val="28"/>
        </w:rPr>
        <w:t>connectivity</w:t>
      </w:r>
      <w:r w:rsidR="00407DD6" w:rsidRPr="00756DD8">
        <w:rPr>
          <w:rFonts w:ascii="Times New Roman" w:hAnsi="Times New Roman"/>
          <w:noProof/>
        </w:rPr>
        <w:t xml:space="preserve"> with </w:t>
      </w:r>
      <w:r w:rsidR="00407DD6" w:rsidRPr="00407DD6">
        <w:rPr>
          <w:rFonts w:ascii="Times New Roman" w:eastAsia="MS PGothic" w:hAnsi="Times New Roman" w:cs="Times New Roman"/>
          <w:noProof/>
          <w:szCs w:val="28"/>
        </w:rPr>
        <w:t xml:space="preserve">a range of external partners. </w:t>
      </w:r>
      <w:r w:rsidR="00407DD6" w:rsidRPr="00756DD8">
        <w:rPr>
          <w:rFonts w:ascii="Times New Roman" w:hAnsi="Times New Roman"/>
          <w:noProof/>
        </w:rPr>
        <w:t xml:space="preserve"> </w:t>
      </w:r>
    </w:p>
    <w:p w14:paraId="7F93771E" w14:textId="77777777" w:rsidR="00371537" w:rsidRPr="00E6071F" w:rsidRDefault="00371537" w:rsidP="007817FD">
      <w:pPr>
        <w:spacing w:after="0" w:line="240" w:lineRule="auto"/>
        <w:jc w:val="both"/>
        <w:rPr>
          <w:rFonts w:ascii="Times New Roman" w:hAnsi="Times New Roman" w:cs="Times New Roman"/>
          <w:noProof/>
          <w:lang w:val="en-GB"/>
        </w:rPr>
      </w:pPr>
    </w:p>
    <w:p w14:paraId="574DBFA5" w14:textId="77777777" w:rsidR="00A540DA" w:rsidRPr="00E6071F" w:rsidRDefault="00567339">
      <w:pPr>
        <w:spacing w:after="240" w:line="240" w:lineRule="auto"/>
        <w:jc w:val="both"/>
        <w:rPr>
          <w:rFonts w:ascii="Times New Roman" w:hAnsi="Times New Roman" w:cs="Times New Roman"/>
          <w:noProof/>
          <w:lang w:val="en-GB"/>
        </w:rPr>
      </w:pPr>
      <w:r w:rsidRPr="00E6071F">
        <w:rPr>
          <w:rFonts w:ascii="Times New Roman" w:hAnsi="Times New Roman" w:cs="Times New Roman"/>
          <w:noProof/>
          <w:lang w:val="en-GB"/>
        </w:rPr>
        <w:t xml:space="preserve">The </w:t>
      </w:r>
      <w:r w:rsidRPr="00E6071F">
        <w:rPr>
          <w:rFonts w:ascii="Times New Roman" w:hAnsi="Times New Roman" w:cs="Times New Roman"/>
          <w:b/>
          <w:noProof/>
          <w:lang w:val="en-GB"/>
        </w:rPr>
        <w:t xml:space="preserve">building blocks </w:t>
      </w:r>
      <w:r w:rsidR="003A009E">
        <w:rPr>
          <w:rFonts w:ascii="Times New Roman" w:hAnsi="Times New Roman" w:cs="Times New Roman"/>
          <w:b/>
          <w:noProof/>
          <w:lang w:val="en-GB"/>
        </w:rPr>
        <w:t xml:space="preserve">that have been </w:t>
      </w:r>
      <w:r w:rsidR="003969BE" w:rsidRPr="00E6071F">
        <w:rPr>
          <w:rFonts w:ascii="Times New Roman" w:hAnsi="Times New Roman" w:cs="Times New Roman"/>
          <w:b/>
          <w:noProof/>
          <w:lang w:val="en-GB"/>
        </w:rPr>
        <w:t>put in place</w:t>
      </w:r>
      <w:r w:rsidR="009F7A5D" w:rsidRPr="00E6071F">
        <w:rPr>
          <w:rFonts w:ascii="Times New Roman" w:hAnsi="Times New Roman" w:cs="Times New Roman"/>
          <w:b/>
          <w:noProof/>
          <w:lang w:val="en-GB"/>
        </w:rPr>
        <w:t xml:space="preserve"> since 2018</w:t>
      </w:r>
      <w:r w:rsidRPr="00E6071F">
        <w:rPr>
          <w:rFonts w:ascii="Times New Roman" w:hAnsi="Times New Roman" w:cs="Times New Roman"/>
          <w:b/>
          <w:noProof/>
          <w:lang w:val="en-GB"/>
        </w:rPr>
        <w:t xml:space="preserve"> provide a solid foundation</w:t>
      </w:r>
      <w:r w:rsidRPr="00E6071F">
        <w:rPr>
          <w:rFonts w:ascii="Times New Roman" w:hAnsi="Times New Roman" w:cs="Times New Roman"/>
          <w:noProof/>
          <w:lang w:val="en-GB"/>
        </w:rPr>
        <w:t xml:space="preserve"> for th</w:t>
      </w:r>
      <w:r w:rsidR="00407DD6">
        <w:rPr>
          <w:rFonts w:ascii="Times New Roman" w:hAnsi="Times New Roman" w:cs="Times New Roman"/>
          <w:noProof/>
          <w:lang w:val="en-GB"/>
        </w:rPr>
        <w:t>is</w:t>
      </w:r>
      <w:r w:rsidR="00413ACD" w:rsidRPr="00E6071F">
        <w:rPr>
          <w:rFonts w:ascii="Times New Roman" w:hAnsi="Times New Roman" w:cs="Times New Roman"/>
          <w:noProof/>
          <w:lang w:val="en-GB"/>
        </w:rPr>
        <w:t xml:space="preserve"> new</w:t>
      </w:r>
      <w:r w:rsidRPr="00E6071F">
        <w:rPr>
          <w:rFonts w:ascii="Times New Roman" w:hAnsi="Times New Roman" w:cs="Times New Roman"/>
          <w:noProof/>
          <w:lang w:val="en-GB"/>
        </w:rPr>
        <w:t xml:space="preserve"> Action Plan</w:t>
      </w:r>
      <w:r w:rsidR="009933F6" w:rsidRPr="00E6071F">
        <w:rPr>
          <w:rFonts w:ascii="Times New Roman" w:hAnsi="Times New Roman" w:cs="Times New Roman"/>
          <w:noProof/>
          <w:lang w:val="en-GB"/>
        </w:rPr>
        <w:t xml:space="preserve">:  </w:t>
      </w:r>
    </w:p>
    <w:p w14:paraId="5CBDFF9F" w14:textId="77777777" w:rsidR="00752385" w:rsidRPr="00FD6314" w:rsidRDefault="00752385" w:rsidP="00E6071F">
      <w:pPr>
        <w:pStyle w:val="ListParagraph"/>
        <w:numPr>
          <w:ilvl w:val="0"/>
          <w:numId w:val="51"/>
        </w:numPr>
        <w:jc w:val="both"/>
        <w:rPr>
          <w:noProof/>
        </w:rPr>
      </w:pPr>
      <w:r w:rsidRPr="00E6071F">
        <w:rPr>
          <w:rFonts w:ascii="Times New Roman" w:eastAsia="Calibri" w:hAnsi="Times New Roman" w:cs="Times New Roman"/>
          <w:noProof/>
        </w:rPr>
        <w:t>The Council has approved the Military Requirements for Military Mobility within and beyond the EU, including technical specifications and main military routes</w:t>
      </w:r>
      <w:r w:rsidRPr="00E6071F">
        <w:rPr>
          <w:rFonts w:ascii="Times New Roman" w:eastAsia="MS PGothic" w:hAnsi="Times New Roman" w:cs="Times New Roman"/>
          <w:noProof/>
          <w:szCs w:val="28"/>
        </w:rPr>
        <w:t>.</w:t>
      </w:r>
      <w:r w:rsidRPr="00FD6314">
        <w:rPr>
          <w:rStyle w:val="FootnoteReference"/>
          <w:rFonts w:ascii="Times New Roman" w:eastAsia="Calibri" w:hAnsi="Times New Roman" w:cs="Times New Roman"/>
          <w:noProof/>
        </w:rPr>
        <w:footnoteReference w:id="4"/>
      </w:r>
      <w:r w:rsidRPr="00FD6314">
        <w:rPr>
          <w:rFonts w:ascii="Times New Roman" w:eastAsia="Calibri" w:hAnsi="Times New Roman" w:cs="Times New Roman"/>
          <w:noProof/>
        </w:rPr>
        <w:t xml:space="preserve"> </w:t>
      </w:r>
    </w:p>
    <w:p w14:paraId="00045912" w14:textId="77777777" w:rsidR="00413ACD" w:rsidRPr="00FD6314" w:rsidRDefault="003969BE" w:rsidP="00E6071F">
      <w:pPr>
        <w:pStyle w:val="ListParagraph"/>
        <w:numPr>
          <w:ilvl w:val="0"/>
          <w:numId w:val="51"/>
        </w:numPr>
        <w:jc w:val="both"/>
        <w:rPr>
          <w:noProof/>
        </w:rPr>
      </w:pPr>
      <w:r w:rsidRPr="00344F24">
        <w:rPr>
          <w:rFonts w:ascii="Times New Roman" w:eastAsia="MS PGothic" w:hAnsi="Times New Roman" w:cs="Times New Roman"/>
          <w:noProof/>
          <w:szCs w:val="28"/>
        </w:rPr>
        <w:t xml:space="preserve">There is a </w:t>
      </w:r>
      <w:r w:rsidRPr="00060E79">
        <w:rPr>
          <w:rFonts w:ascii="Times New Roman" w:eastAsia="MS PGothic" w:hAnsi="Times New Roman" w:cs="Times New Roman"/>
          <w:noProof/>
          <w:szCs w:val="28"/>
        </w:rPr>
        <w:t xml:space="preserve">budget of </w:t>
      </w:r>
      <w:r w:rsidR="00193DD7" w:rsidRPr="009310E8">
        <w:rPr>
          <w:rFonts w:ascii="Times New Roman" w:eastAsia="MS PGothic" w:hAnsi="Times New Roman" w:cs="Times New Roman"/>
          <w:noProof/>
          <w:szCs w:val="28"/>
        </w:rPr>
        <w:t xml:space="preserve">EUR </w:t>
      </w:r>
      <w:r w:rsidRPr="00EC0C7C">
        <w:rPr>
          <w:rFonts w:ascii="Times New Roman" w:eastAsia="MS PGothic" w:hAnsi="Times New Roman" w:cs="Times New Roman"/>
          <w:noProof/>
          <w:szCs w:val="28"/>
        </w:rPr>
        <w:t>1.69 billion</w:t>
      </w:r>
      <w:r w:rsidRPr="00E6071F">
        <w:rPr>
          <w:rFonts w:ascii="Times New Roman" w:eastAsia="MS PGothic" w:hAnsi="Times New Roman" w:cs="Times New Roman"/>
          <w:noProof/>
          <w:szCs w:val="28"/>
        </w:rPr>
        <w:t xml:space="preserve"> for dual-use transport infrastructure projects under the Connecting Europe Facility</w:t>
      </w:r>
      <w:r w:rsidR="00413ACD" w:rsidRPr="00E6071F">
        <w:rPr>
          <w:rFonts w:ascii="Times New Roman" w:eastAsia="MS PGothic" w:hAnsi="Times New Roman" w:cs="Times New Roman"/>
          <w:noProof/>
          <w:szCs w:val="28"/>
        </w:rPr>
        <w:t xml:space="preserve"> (</w:t>
      </w:r>
      <w:r w:rsidRPr="00E6071F">
        <w:rPr>
          <w:rFonts w:ascii="Times New Roman" w:eastAsia="MS PGothic" w:hAnsi="Times New Roman" w:cs="Times New Roman"/>
          <w:noProof/>
          <w:szCs w:val="28"/>
        </w:rPr>
        <w:t>CEF</w:t>
      </w:r>
      <w:r w:rsidR="00413ACD" w:rsidRPr="00E6071F">
        <w:rPr>
          <w:rFonts w:ascii="Times New Roman" w:eastAsia="MS PGothic" w:hAnsi="Times New Roman" w:cs="Times New Roman"/>
          <w:noProof/>
          <w:szCs w:val="28"/>
        </w:rPr>
        <w:t>)</w:t>
      </w:r>
      <w:r w:rsidRPr="00E6071F">
        <w:rPr>
          <w:rFonts w:ascii="Times New Roman" w:eastAsia="MS PGothic" w:hAnsi="Times New Roman" w:cs="Times New Roman"/>
          <w:noProof/>
          <w:szCs w:val="28"/>
        </w:rPr>
        <w:t xml:space="preserve"> between 2021-2027.</w:t>
      </w:r>
      <w:r w:rsidR="005347E0" w:rsidRPr="00FD6314">
        <w:rPr>
          <w:noProof/>
          <w:vertAlign w:val="superscript"/>
        </w:rPr>
        <w:footnoteReference w:id="5"/>
      </w:r>
      <w:r w:rsidRPr="00FD6314">
        <w:rPr>
          <w:rFonts w:ascii="Times New Roman" w:eastAsia="MS PGothic" w:hAnsi="Times New Roman" w:cs="Times New Roman"/>
          <w:noProof/>
          <w:szCs w:val="28"/>
        </w:rPr>
        <w:t xml:space="preserve"> </w:t>
      </w:r>
    </w:p>
    <w:p w14:paraId="41D9C701" w14:textId="75B4AEB3" w:rsidR="00C40218" w:rsidRPr="00E6071F" w:rsidRDefault="003969BE" w:rsidP="00E6071F">
      <w:pPr>
        <w:pStyle w:val="ListParagraph"/>
        <w:numPr>
          <w:ilvl w:val="0"/>
          <w:numId w:val="51"/>
        </w:numPr>
        <w:jc w:val="both"/>
        <w:rPr>
          <w:noProof/>
        </w:rPr>
      </w:pPr>
      <w:r w:rsidRPr="00344F24">
        <w:rPr>
          <w:rFonts w:ascii="Times New Roman" w:eastAsia="MS PGothic" w:hAnsi="Times New Roman" w:cs="Times New Roman"/>
          <w:noProof/>
          <w:szCs w:val="28"/>
        </w:rPr>
        <w:t xml:space="preserve">The </w:t>
      </w:r>
      <w:r w:rsidRPr="00060E79">
        <w:rPr>
          <w:rFonts w:ascii="Times New Roman" w:eastAsia="MS PGothic" w:hAnsi="Times New Roman" w:cs="Times New Roman"/>
          <w:noProof/>
          <w:szCs w:val="28"/>
        </w:rPr>
        <w:t>first CEF Work Programme for 20</w:t>
      </w:r>
      <w:r w:rsidRPr="009310E8">
        <w:rPr>
          <w:rFonts w:ascii="Times New Roman" w:eastAsia="MS PGothic" w:hAnsi="Times New Roman" w:cs="Times New Roman"/>
          <w:noProof/>
          <w:szCs w:val="28"/>
        </w:rPr>
        <w:t>21-2023</w:t>
      </w:r>
      <w:r w:rsidRPr="00EC0C7C">
        <w:rPr>
          <w:rFonts w:ascii="Times New Roman" w:eastAsia="MS PGothic" w:hAnsi="Times New Roman" w:cs="Times New Roman"/>
          <w:noProof/>
          <w:szCs w:val="28"/>
        </w:rPr>
        <w:t xml:space="preserve"> and the </w:t>
      </w:r>
      <w:r w:rsidRPr="00E6071F">
        <w:rPr>
          <w:rFonts w:ascii="Times New Roman" w:eastAsia="MS PGothic" w:hAnsi="Times New Roman" w:cs="Times New Roman"/>
          <w:noProof/>
          <w:szCs w:val="28"/>
        </w:rPr>
        <w:t xml:space="preserve">Implementing Regulation on the dual-use requirements for these projects </w:t>
      </w:r>
      <w:r w:rsidR="00413ACD" w:rsidRPr="00E6071F">
        <w:rPr>
          <w:rFonts w:ascii="Times New Roman" w:eastAsia="MS PGothic" w:hAnsi="Times New Roman" w:cs="Times New Roman"/>
          <w:noProof/>
          <w:szCs w:val="28"/>
        </w:rPr>
        <w:t xml:space="preserve">were </w:t>
      </w:r>
      <w:r w:rsidRPr="00E6071F">
        <w:rPr>
          <w:rFonts w:ascii="Times New Roman" w:eastAsia="MS PGothic" w:hAnsi="Times New Roman" w:cs="Times New Roman"/>
          <w:noProof/>
          <w:szCs w:val="28"/>
        </w:rPr>
        <w:t>adopted in August 2021</w:t>
      </w:r>
      <w:r w:rsidR="00A044D5" w:rsidRPr="00E6071F">
        <w:rPr>
          <w:rFonts w:ascii="Times New Roman" w:eastAsia="MS PGothic" w:hAnsi="Times New Roman" w:cs="Times New Roman"/>
          <w:noProof/>
          <w:szCs w:val="28"/>
        </w:rPr>
        <w:t>.</w:t>
      </w:r>
      <w:r w:rsidR="005347E0" w:rsidRPr="00FD6314">
        <w:rPr>
          <w:rStyle w:val="FootnoteReference"/>
          <w:rFonts w:ascii="Times New Roman" w:eastAsia="Calibri" w:hAnsi="Times New Roman" w:cs="Times New Roman"/>
          <w:noProof/>
        </w:rPr>
        <w:footnoteReference w:id="6"/>
      </w:r>
      <w:r w:rsidR="00A044D5" w:rsidRPr="00FD6314">
        <w:rPr>
          <w:rFonts w:ascii="Times New Roman" w:eastAsia="MS PGothic" w:hAnsi="Times New Roman" w:cs="Times New Roman"/>
          <w:noProof/>
          <w:szCs w:val="28"/>
        </w:rPr>
        <w:t xml:space="preserve"> This paved </w:t>
      </w:r>
      <w:r w:rsidRPr="00FD6314">
        <w:rPr>
          <w:rFonts w:ascii="Times New Roman" w:eastAsia="MS PGothic" w:hAnsi="Times New Roman" w:cs="Times New Roman"/>
          <w:noProof/>
          <w:szCs w:val="28"/>
        </w:rPr>
        <w:t>the way for the adoption of the first wave of projects</w:t>
      </w:r>
      <w:r w:rsidRPr="00344F24">
        <w:rPr>
          <w:rFonts w:ascii="Times New Roman" w:eastAsia="MS PGothic" w:hAnsi="Times New Roman" w:cs="Times New Roman"/>
          <w:noProof/>
          <w:szCs w:val="28"/>
        </w:rPr>
        <w:t xml:space="preserve"> worth EUR 33</w:t>
      </w:r>
      <w:r w:rsidR="00824B95" w:rsidRPr="00060E79">
        <w:rPr>
          <w:rFonts w:ascii="Times New Roman" w:eastAsia="MS PGothic" w:hAnsi="Times New Roman" w:cs="Times New Roman"/>
          <w:noProof/>
          <w:szCs w:val="28"/>
        </w:rPr>
        <w:t>9</w:t>
      </w:r>
      <w:r w:rsidRPr="009310E8">
        <w:rPr>
          <w:rFonts w:ascii="Times New Roman" w:eastAsia="MS PGothic" w:hAnsi="Times New Roman" w:cs="Times New Roman"/>
          <w:noProof/>
          <w:szCs w:val="28"/>
        </w:rPr>
        <w:t xml:space="preserve"> million </w:t>
      </w:r>
      <w:r w:rsidR="00BA28F9" w:rsidRPr="00EC0C7C">
        <w:rPr>
          <w:rFonts w:ascii="Times New Roman" w:eastAsia="MS PGothic" w:hAnsi="Times New Roman" w:cs="Times New Roman"/>
          <w:noProof/>
          <w:szCs w:val="28"/>
        </w:rPr>
        <w:t>o</w:t>
      </w:r>
      <w:r w:rsidR="00C40218" w:rsidRPr="00E6071F">
        <w:rPr>
          <w:rFonts w:ascii="Times New Roman" w:eastAsia="MS PGothic" w:hAnsi="Times New Roman" w:cs="Times New Roman"/>
          <w:noProof/>
          <w:szCs w:val="28"/>
        </w:rPr>
        <w:t>n</w:t>
      </w:r>
      <w:r w:rsidR="005347E0" w:rsidRPr="00E6071F">
        <w:rPr>
          <w:rFonts w:ascii="Times New Roman" w:eastAsia="MS PGothic" w:hAnsi="Times New Roman" w:cs="Times New Roman"/>
          <w:noProof/>
          <w:szCs w:val="28"/>
        </w:rPr>
        <w:t xml:space="preserve"> </w:t>
      </w:r>
      <w:r w:rsidR="00BA28F9" w:rsidRPr="00E6071F">
        <w:rPr>
          <w:rFonts w:ascii="Times New Roman" w:eastAsia="MS PGothic" w:hAnsi="Times New Roman" w:cs="Times New Roman"/>
          <w:noProof/>
          <w:szCs w:val="28"/>
        </w:rPr>
        <w:t xml:space="preserve">24 </w:t>
      </w:r>
      <w:r w:rsidR="005347E0" w:rsidRPr="00E6071F">
        <w:rPr>
          <w:rFonts w:ascii="Times New Roman" w:eastAsia="MS PGothic" w:hAnsi="Times New Roman" w:cs="Times New Roman"/>
          <w:noProof/>
          <w:szCs w:val="28"/>
        </w:rPr>
        <w:t>May</w:t>
      </w:r>
      <w:r w:rsidRPr="00E6071F">
        <w:rPr>
          <w:rFonts w:ascii="Times New Roman" w:eastAsia="MS PGothic" w:hAnsi="Times New Roman" w:cs="Times New Roman"/>
          <w:noProof/>
          <w:szCs w:val="28"/>
        </w:rPr>
        <w:t xml:space="preserve"> 2022 while the second call</w:t>
      </w:r>
      <w:r w:rsidR="005347E0" w:rsidRPr="00E6071F">
        <w:rPr>
          <w:rFonts w:ascii="Times New Roman" w:eastAsia="MS PGothic" w:hAnsi="Times New Roman" w:cs="Times New Roman"/>
          <w:noProof/>
          <w:szCs w:val="28"/>
        </w:rPr>
        <w:t xml:space="preserve"> was</w:t>
      </w:r>
      <w:r w:rsidR="005347E0" w:rsidRPr="00E6071F">
        <w:rPr>
          <w:rFonts w:ascii="Times New Roman" w:hAnsi="Times New Roman" w:cs="Times New Roman"/>
          <w:noProof/>
          <w:lang w:val="en-GB"/>
        </w:rPr>
        <w:t xml:space="preserve"> launched </w:t>
      </w:r>
      <w:r w:rsidR="00C40218" w:rsidRPr="00E6071F">
        <w:rPr>
          <w:rFonts w:ascii="Times New Roman" w:hAnsi="Times New Roman" w:cs="Times New Roman"/>
          <w:noProof/>
          <w:lang w:val="en-GB"/>
        </w:rPr>
        <w:t>earlier in the same month</w:t>
      </w:r>
      <w:r w:rsidR="00A044D5" w:rsidRPr="00E6071F">
        <w:rPr>
          <w:rFonts w:ascii="Times New Roman" w:eastAsia="MS PGothic" w:hAnsi="Times New Roman" w:cs="Times New Roman"/>
          <w:noProof/>
          <w:szCs w:val="28"/>
        </w:rPr>
        <w:t xml:space="preserve">. </w:t>
      </w:r>
      <w:r w:rsidR="00BA28F9" w:rsidRPr="00E6071F">
        <w:rPr>
          <w:rFonts w:ascii="Times New Roman" w:eastAsia="MS PGothic" w:hAnsi="Times New Roman" w:cs="Times New Roman"/>
          <w:noProof/>
          <w:szCs w:val="28"/>
        </w:rPr>
        <w:t xml:space="preserve">These dates were accelerated compared to the </w:t>
      </w:r>
      <w:r w:rsidR="00A044D5" w:rsidRPr="00E6071F">
        <w:rPr>
          <w:rFonts w:ascii="Times New Roman" w:eastAsia="MS PGothic" w:hAnsi="Times New Roman" w:cs="Times New Roman"/>
          <w:noProof/>
          <w:szCs w:val="28"/>
        </w:rPr>
        <w:t xml:space="preserve">originally envisaged timelines </w:t>
      </w:r>
      <w:r w:rsidR="00BA28F9" w:rsidRPr="00E6071F">
        <w:rPr>
          <w:rFonts w:ascii="Times New Roman" w:eastAsia="MS PGothic" w:hAnsi="Times New Roman" w:cs="Times New Roman"/>
          <w:noProof/>
          <w:szCs w:val="28"/>
        </w:rPr>
        <w:t>in light of the war in Ukraine</w:t>
      </w:r>
      <w:r w:rsidR="00086D41">
        <w:rPr>
          <w:rFonts w:ascii="Times New Roman" w:eastAsia="MS PGothic" w:hAnsi="Times New Roman" w:cs="Times New Roman"/>
          <w:noProof/>
          <w:szCs w:val="28"/>
        </w:rPr>
        <w:t>,</w:t>
      </w:r>
      <w:r w:rsidR="00233954" w:rsidRPr="00E6071F">
        <w:rPr>
          <w:rFonts w:ascii="Times New Roman" w:eastAsia="MS PGothic" w:hAnsi="Times New Roman" w:cs="Times New Roman"/>
          <w:noProof/>
          <w:szCs w:val="28"/>
        </w:rPr>
        <w:t xml:space="preserve"> in order to accelerate the implementation of infrastructure projects </w:t>
      </w:r>
      <w:r w:rsidR="00D37B2F">
        <w:rPr>
          <w:rFonts w:ascii="Times New Roman" w:eastAsia="MS PGothic" w:hAnsi="Times New Roman" w:cs="Times New Roman"/>
          <w:noProof/>
          <w:szCs w:val="28"/>
        </w:rPr>
        <w:t>that</w:t>
      </w:r>
      <w:r w:rsidR="00D37B2F" w:rsidRPr="00E6071F">
        <w:rPr>
          <w:rFonts w:ascii="Times New Roman" w:eastAsia="MS PGothic" w:hAnsi="Times New Roman" w:cs="Times New Roman"/>
          <w:noProof/>
          <w:szCs w:val="28"/>
        </w:rPr>
        <w:t xml:space="preserve"> </w:t>
      </w:r>
      <w:r w:rsidR="00233954" w:rsidRPr="00E6071F">
        <w:rPr>
          <w:rFonts w:ascii="Times New Roman" w:eastAsia="MS PGothic" w:hAnsi="Times New Roman" w:cs="Times New Roman"/>
          <w:noProof/>
          <w:szCs w:val="28"/>
        </w:rPr>
        <w:t>will improve military mobilit</w:t>
      </w:r>
      <w:r w:rsidR="00233954" w:rsidRPr="00FD6314">
        <w:rPr>
          <w:rFonts w:ascii="Times New Roman" w:eastAsia="MS PGothic" w:hAnsi="Times New Roman" w:cs="Times New Roman"/>
          <w:noProof/>
          <w:szCs w:val="28"/>
        </w:rPr>
        <w:t>y</w:t>
      </w:r>
      <w:r w:rsidRPr="00E6071F">
        <w:rPr>
          <w:rFonts w:ascii="Times New Roman" w:eastAsia="MS PGothic" w:hAnsi="Times New Roman" w:cs="Times New Roman"/>
          <w:noProof/>
          <w:szCs w:val="28"/>
        </w:rPr>
        <w:t>.</w:t>
      </w:r>
      <w:r w:rsidR="00C40218" w:rsidRPr="00E6071F">
        <w:rPr>
          <w:rFonts w:ascii="Times New Roman" w:eastAsia="MS PGothic" w:hAnsi="Times New Roman" w:cs="Times New Roman"/>
          <w:noProof/>
          <w:szCs w:val="28"/>
        </w:rPr>
        <w:t xml:space="preserve"> </w:t>
      </w:r>
      <w:r w:rsidR="00117745" w:rsidRPr="00E6071F">
        <w:rPr>
          <w:rFonts w:ascii="Times New Roman" w:eastAsia="MS PGothic" w:hAnsi="Times New Roman" w:cs="Times New Roman"/>
          <w:noProof/>
          <w:szCs w:val="28"/>
        </w:rPr>
        <w:t xml:space="preserve"> </w:t>
      </w:r>
    </w:p>
    <w:p w14:paraId="5AB4456F" w14:textId="77777777" w:rsidR="003969BE" w:rsidRPr="00FD6314" w:rsidRDefault="00117745" w:rsidP="00E6071F">
      <w:pPr>
        <w:pStyle w:val="ListParagraph"/>
        <w:numPr>
          <w:ilvl w:val="0"/>
          <w:numId w:val="51"/>
        </w:numPr>
        <w:jc w:val="both"/>
        <w:rPr>
          <w:noProof/>
        </w:rPr>
      </w:pPr>
      <w:r w:rsidRPr="00E6071F">
        <w:rPr>
          <w:rFonts w:ascii="Times New Roman" w:eastAsia="Calibri" w:hAnsi="Times New Roman" w:cs="Times New Roman"/>
          <w:noProof/>
        </w:rPr>
        <w:t xml:space="preserve">The Commission has </w:t>
      </w:r>
      <w:r w:rsidR="003A009E">
        <w:rPr>
          <w:rFonts w:ascii="Times New Roman" w:eastAsia="Calibri" w:hAnsi="Times New Roman" w:cs="Times New Roman"/>
          <w:noProof/>
        </w:rPr>
        <w:t>put forward</w:t>
      </w:r>
      <w:r w:rsidRPr="00E6071F">
        <w:rPr>
          <w:rFonts w:ascii="Times New Roman" w:eastAsia="Calibri" w:hAnsi="Times New Roman" w:cs="Times New Roman"/>
          <w:noProof/>
        </w:rPr>
        <w:t xml:space="preserve"> a proposal for a revised trans-European transport network Regulation</w:t>
      </w:r>
      <w:r w:rsidRPr="00FD6314">
        <w:rPr>
          <w:noProof/>
          <w:vertAlign w:val="superscript"/>
        </w:rPr>
        <w:footnoteReference w:id="7"/>
      </w:r>
      <w:r w:rsidRPr="00FD6314">
        <w:rPr>
          <w:rFonts w:ascii="Times New Roman" w:eastAsia="Calibri" w:hAnsi="Times New Roman" w:cs="Times New Roman"/>
          <w:noProof/>
        </w:rPr>
        <w:t xml:space="preserve"> which reflects for the first time also military mobility in the trans-European transport network.</w:t>
      </w:r>
      <w:r w:rsidR="00233954" w:rsidRPr="00FD6314">
        <w:rPr>
          <w:rFonts w:ascii="Times New Roman" w:eastAsia="Calibri" w:hAnsi="Times New Roman" w:cs="Times New Roman"/>
          <w:noProof/>
        </w:rPr>
        <w:t xml:space="preserve"> </w:t>
      </w:r>
      <w:r w:rsidR="00233954" w:rsidRPr="00E6071F">
        <w:rPr>
          <w:rFonts w:ascii="Times New Roman" w:eastAsia="Calibri" w:hAnsi="Times New Roman" w:cs="Times New Roman"/>
          <w:noProof/>
        </w:rPr>
        <w:t xml:space="preserve">Coherence between the EU military network and the TEN-T networks has been improved and new infrastructure standards, that will directly </w:t>
      </w:r>
      <w:r w:rsidR="00132793">
        <w:rPr>
          <w:rFonts w:ascii="Times New Roman" w:eastAsia="Calibri" w:hAnsi="Times New Roman" w:cs="Times New Roman"/>
          <w:noProof/>
        </w:rPr>
        <w:t>improve</w:t>
      </w:r>
      <w:r w:rsidR="00132793" w:rsidRPr="00E6071F">
        <w:rPr>
          <w:rFonts w:ascii="Times New Roman" w:eastAsia="Calibri" w:hAnsi="Times New Roman" w:cs="Times New Roman"/>
          <w:noProof/>
        </w:rPr>
        <w:t xml:space="preserve"> </w:t>
      </w:r>
      <w:r w:rsidR="00233954" w:rsidRPr="00E6071F">
        <w:rPr>
          <w:rFonts w:ascii="Times New Roman" w:eastAsia="Calibri" w:hAnsi="Times New Roman" w:cs="Times New Roman"/>
          <w:noProof/>
        </w:rPr>
        <w:t>military mobility, have been proposed in all modes of transport</w:t>
      </w:r>
      <w:r w:rsidR="00233954" w:rsidRPr="00FD6314">
        <w:rPr>
          <w:rFonts w:ascii="Times New Roman" w:eastAsia="Calibri" w:hAnsi="Times New Roman" w:cs="Times New Roman"/>
          <w:noProof/>
        </w:rPr>
        <w:t xml:space="preserve">. </w:t>
      </w:r>
    </w:p>
    <w:p w14:paraId="50D89362" w14:textId="2940E851" w:rsidR="00371537" w:rsidRPr="00E6071F" w:rsidRDefault="0037705D" w:rsidP="00E6071F">
      <w:pPr>
        <w:pStyle w:val="ListParagraph"/>
        <w:numPr>
          <w:ilvl w:val="0"/>
          <w:numId w:val="51"/>
        </w:numPr>
        <w:jc w:val="both"/>
        <w:rPr>
          <w:rFonts w:ascii="Times New Roman" w:eastAsia="Calibri" w:hAnsi="Times New Roman" w:cs="Times New Roman"/>
          <w:noProof/>
        </w:rPr>
      </w:pPr>
      <w:r w:rsidRPr="00060E79">
        <w:rPr>
          <w:rFonts w:ascii="Times New Roman" w:eastAsia="MS PGothic" w:hAnsi="Times New Roman" w:cs="Times New Roman"/>
          <w:noProof/>
          <w:szCs w:val="28"/>
        </w:rPr>
        <w:t>Regulatory and procedural aspects</w:t>
      </w:r>
      <w:r w:rsidRPr="009310E8">
        <w:rPr>
          <w:rFonts w:ascii="Times New Roman" w:eastAsia="MS PGothic" w:hAnsi="Times New Roman" w:cs="Times New Roman"/>
          <w:noProof/>
          <w:szCs w:val="28"/>
        </w:rPr>
        <w:t xml:space="preserve"> </w:t>
      </w:r>
      <w:r w:rsidR="003A009E">
        <w:rPr>
          <w:rFonts w:ascii="Times New Roman" w:eastAsia="MS PGothic" w:hAnsi="Times New Roman" w:cs="Times New Roman"/>
          <w:noProof/>
          <w:szCs w:val="28"/>
        </w:rPr>
        <w:t>have been</w:t>
      </w:r>
      <w:r w:rsidR="003A009E" w:rsidRPr="009310E8">
        <w:rPr>
          <w:rFonts w:ascii="Times New Roman" w:eastAsia="MS PGothic" w:hAnsi="Times New Roman" w:cs="Times New Roman"/>
          <w:noProof/>
          <w:szCs w:val="28"/>
        </w:rPr>
        <w:t xml:space="preserve"> </w:t>
      </w:r>
      <w:r w:rsidRPr="009310E8">
        <w:rPr>
          <w:rFonts w:ascii="Times New Roman" w:eastAsia="MS PGothic" w:hAnsi="Times New Roman" w:cs="Times New Roman"/>
          <w:noProof/>
          <w:szCs w:val="28"/>
        </w:rPr>
        <w:t xml:space="preserve">addressed as well: </w:t>
      </w:r>
      <w:r w:rsidR="000C6274" w:rsidRPr="00EC0C7C">
        <w:rPr>
          <w:rFonts w:ascii="Times New Roman" w:eastAsia="MS PGothic" w:hAnsi="Times New Roman" w:cs="Times New Roman"/>
          <w:noProof/>
          <w:szCs w:val="28"/>
        </w:rPr>
        <w:t>the c</w:t>
      </w:r>
      <w:r w:rsidR="000C6274" w:rsidRPr="00E6071F">
        <w:rPr>
          <w:rFonts w:ascii="Times New Roman" w:eastAsia="Calibri" w:hAnsi="Times New Roman" w:cs="Times New Roman"/>
          <w:noProof/>
        </w:rPr>
        <w:t>ustoms formalities for cross-border military movements have been simplified</w:t>
      </w:r>
      <w:r w:rsidR="003A009E">
        <w:rPr>
          <w:rFonts w:ascii="Times New Roman" w:eastAsia="Calibri" w:hAnsi="Times New Roman" w:cs="Times New Roman"/>
          <w:noProof/>
        </w:rPr>
        <w:t>.</w:t>
      </w:r>
      <w:r w:rsidR="000C6274" w:rsidRPr="00E6071F">
        <w:rPr>
          <w:rFonts w:ascii="Times New Roman" w:eastAsia="Calibri" w:hAnsi="Times New Roman" w:cs="Times New Roman"/>
          <w:noProof/>
        </w:rPr>
        <w:t xml:space="preserve"> </w:t>
      </w:r>
      <w:r w:rsidR="003A009E">
        <w:rPr>
          <w:rFonts w:ascii="Times New Roman" w:eastAsia="Calibri" w:hAnsi="Times New Roman" w:cs="Times New Roman"/>
          <w:noProof/>
        </w:rPr>
        <w:t>T</w:t>
      </w:r>
      <w:r w:rsidR="00824B95" w:rsidRPr="00E6071F">
        <w:rPr>
          <w:rFonts w:ascii="Times New Roman" w:eastAsia="Calibri" w:hAnsi="Times New Roman" w:cs="Times New Roman"/>
          <w:noProof/>
        </w:rPr>
        <w:t>ransport of dangerous goods in the military domain ha</w:t>
      </w:r>
      <w:r w:rsidR="009B330B" w:rsidRPr="00E6071F">
        <w:rPr>
          <w:rFonts w:ascii="Times New Roman" w:eastAsia="Calibri" w:hAnsi="Times New Roman" w:cs="Times New Roman"/>
          <w:noProof/>
        </w:rPr>
        <w:t>s</w:t>
      </w:r>
      <w:r w:rsidR="00824B95" w:rsidRPr="00E6071F">
        <w:rPr>
          <w:rFonts w:ascii="Times New Roman" w:eastAsia="Calibri" w:hAnsi="Times New Roman" w:cs="Times New Roman"/>
          <w:noProof/>
        </w:rPr>
        <w:t xml:space="preserve"> been harmonised</w:t>
      </w:r>
      <w:r w:rsidR="003A009E">
        <w:rPr>
          <w:rFonts w:ascii="Times New Roman" w:eastAsia="Calibri" w:hAnsi="Times New Roman" w:cs="Times New Roman"/>
          <w:noProof/>
        </w:rPr>
        <w:t xml:space="preserve">. </w:t>
      </w:r>
      <w:r w:rsidR="00824B95" w:rsidRPr="00E6071F">
        <w:rPr>
          <w:rFonts w:ascii="Times New Roman" w:eastAsia="Calibri" w:hAnsi="Times New Roman" w:cs="Times New Roman"/>
          <w:noProof/>
        </w:rPr>
        <w:t xml:space="preserve"> </w:t>
      </w:r>
      <w:r w:rsidR="003A009E">
        <w:rPr>
          <w:rFonts w:ascii="Times New Roman" w:eastAsia="Calibri" w:hAnsi="Times New Roman" w:cs="Times New Roman"/>
          <w:noProof/>
        </w:rPr>
        <w:t>A</w:t>
      </w:r>
      <w:r w:rsidR="000C6274" w:rsidRPr="00E6071F">
        <w:rPr>
          <w:rFonts w:ascii="Times New Roman" w:eastAsia="Calibri" w:hAnsi="Times New Roman" w:cs="Times New Roman"/>
          <w:noProof/>
        </w:rPr>
        <w:t xml:space="preserve"> new directive (</w:t>
      </w:r>
      <w:r w:rsidR="000C6274" w:rsidRPr="00E6071F">
        <w:rPr>
          <w:rFonts w:ascii="Times New Roman" w:hAnsi="Times New Roman" w:cs="Times New Roman"/>
          <w:noProof/>
        </w:rPr>
        <w:t>2019/2235) provides for a</w:t>
      </w:r>
      <w:r w:rsidR="00797C44">
        <w:rPr>
          <w:rFonts w:ascii="Times New Roman" w:hAnsi="Times New Roman" w:cs="Times New Roman"/>
          <w:noProof/>
        </w:rPr>
        <w:t>n exemption of</w:t>
      </w:r>
      <w:r w:rsidR="000C6274" w:rsidRPr="00E6071F">
        <w:rPr>
          <w:rFonts w:ascii="Times New Roman" w:hAnsi="Times New Roman" w:cs="Times New Roman"/>
          <w:noProof/>
        </w:rPr>
        <w:t xml:space="preserve"> VAT </w:t>
      </w:r>
      <w:r w:rsidR="003A009E">
        <w:rPr>
          <w:rFonts w:ascii="Times New Roman" w:hAnsi="Times New Roman" w:cs="Times New Roman"/>
          <w:noProof/>
        </w:rPr>
        <w:t>and excise duty</w:t>
      </w:r>
      <w:r w:rsidR="000C6274" w:rsidRPr="00E6071F">
        <w:rPr>
          <w:rFonts w:ascii="Times New Roman" w:hAnsi="Times New Roman" w:cs="Times New Roman"/>
          <w:noProof/>
        </w:rPr>
        <w:t xml:space="preserve"> </w:t>
      </w:r>
      <w:r w:rsidR="00424B16" w:rsidRPr="00424B16">
        <w:rPr>
          <w:noProof/>
        </w:rPr>
        <w:t xml:space="preserve"> </w:t>
      </w:r>
      <w:r w:rsidR="00424B16" w:rsidRPr="00424B16">
        <w:rPr>
          <w:rFonts w:ascii="Times New Roman" w:hAnsi="Times New Roman" w:cs="Times New Roman"/>
          <w:noProof/>
        </w:rPr>
        <w:t xml:space="preserve">for goods or services used or acquired in the context of a defence effort carried out for the implementation of a Union activity under the </w:t>
      </w:r>
      <w:r w:rsidR="0027659B">
        <w:rPr>
          <w:rFonts w:ascii="Times New Roman" w:hAnsi="Times New Roman" w:cs="Times New Roman"/>
          <w:noProof/>
        </w:rPr>
        <w:t>C</w:t>
      </w:r>
      <w:r w:rsidR="00424B16" w:rsidRPr="00424B16">
        <w:rPr>
          <w:rFonts w:ascii="Times New Roman" w:hAnsi="Times New Roman" w:cs="Times New Roman"/>
          <w:noProof/>
        </w:rPr>
        <w:t xml:space="preserve">ommon </w:t>
      </w:r>
      <w:r w:rsidR="0027659B">
        <w:rPr>
          <w:rFonts w:ascii="Times New Roman" w:hAnsi="Times New Roman" w:cs="Times New Roman"/>
          <w:noProof/>
        </w:rPr>
        <w:t>S</w:t>
      </w:r>
      <w:r w:rsidR="00424B16" w:rsidRPr="00424B16">
        <w:rPr>
          <w:rFonts w:ascii="Times New Roman" w:hAnsi="Times New Roman" w:cs="Times New Roman"/>
          <w:noProof/>
        </w:rPr>
        <w:t xml:space="preserve">ecurity and </w:t>
      </w:r>
      <w:r w:rsidR="0027659B">
        <w:rPr>
          <w:rFonts w:ascii="Times New Roman" w:hAnsi="Times New Roman" w:cs="Times New Roman"/>
          <w:noProof/>
        </w:rPr>
        <w:t>D</w:t>
      </w:r>
      <w:r w:rsidR="00424B16" w:rsidRPr="00424B16">
        <w:rPr>
          <w:rFonts w:ascii="Times New Roman" w:hAnsi="Times New Roman" w:cs="Times New Roman"/>
          <w:noProof/>
        </w:rPr>
        <w:t xml:space="preserve">efence </w:t>
      </w:r>
      <w:r w:rsidR="0027659B">
        <w:rPr>
          <w:rFonts w:ascii="Times New Roman" w:hAnsi="Times New Roman" w:cs="Times New Roman"/>
          <w:noProof/>
        </w:rPr>
        <w:t>P</w:t>
      </w:r>
      <w:r w:rsidR="00424B16" w:rsidRPr="00424B16">
        <w:rPr>
          <w:rFonts w:ascii="Times New Roman" w:hAnsi="Times New Roman" w:cs="Times New Roman"/>
          <w:noProof/>
        </w:rPr>
        <w:t>olicy</w:t>
      </w:r>
      <w:r w:rsidR="00424B16">
        <w:rPr>
          <w:rFonts w:ascii="Times New Roman" w:hAnsi="Times New Roman" w:cs="Times New Roman"/>
          <w:noProof/>
        </w:rPr>
        <w:t xml:space="preserve"> .</w:t>
      </w:r>
      <w:r w:rsidR="000C6274" w:rsidRPr="00E6071F">
        <w:rPr>
          <w:rFonts w:ascii="Times New Roman" w:hAnsi="Times New Roman" w:cs="Times New Roman"/>
          <w:noProof/>
        </w:rPr>
        <w:t xml:space="preserve"> </w:t>
      </w:r>
      <w:r w:rsidR="003A009E">
        <w:rPr>
          <w:rFonts w:ascii="Times New Roman" w:hAnsi="Times New Roman" w:cs="Times New Roman"/>
          <w:noProof/>
        </w:rPr>
        <w:t>T</w:t>
      </w:r>
      <w:r w:rsidR="000C6274" w:rsidRPr="00E6071F">
        <w:rPr>
          <w:rFonts w:ascii="Times New Roman" w:eastAsia="Calibri" w:hAnsi="Times New Roman" w:cs="Times New Roman"/>
          <w:noProof/>
        </w:rPr>
        <w:t>wenty-</w:t>
      </w:r>
      <w:r w:rsidR="00AF01E6">
        <w:rPr>
          <w:rFonts w:ascii="Times New Roman" w:eastAsia="Calibri" w:hAnsi="Times New Roman" w:cs="Times New Roman"/>
          <w:noProof/>
        </w:rPr>
        <w:t>four</w:t>
      </w:r>
      <w:r w:rsidR="00AF01E6" w:rsidRPr="00E6071F">
        <w:rPr>
          <w:rFonts w:ascii="Times New Roman" w:eastAsia="Calibri" w:hAnsi="Times New Roman" w:cs="Times New Roman"/>
          <w:noProof/>
        </w:rPr>
        <w:t xml:space="preserve"> </w:t>
      </w:r>
      <w:r w:rsidR="003A009E">
        <w:rPr>
          <w:rFonts w:ascii="Times New Roman" w:eastAsia="Calibri" w:hAnsi="Times New Roman" w:cs="Times New Roman"/>
          <w:noProof/>
        </w:rPr>
        <w:t>EU</w:t>
      </w:r>
      <w:r w:rsidR="003A009E" w:rsidRPr="00E6071F">
        <w:rPr>
          <w:rFonts w:ascii="Times New Roman" w:eastAsia="Calibri" w:hAnsi="Times New Roman" w:cs="Times New Roman"/>
          <w:noProof/>
        </w:rPr>
        <w:t xml:space="preserve"> </w:t>
      </w:r>
      <w:r w:rsidR="000C6274" w:rsidRPr="00E6071F">
        <w:rPr>
          <w:rFonts w:ascii="Times New Roman" w:eastAsia="Calibri" w:hAnsi="Times New Roman" w:cs="Times New Roman"/>
          <w:noProof/>
        </w:rPr>
        <w:t>Member States</w:t>
      </w:r>
      <w:r w:rsidR="003A009E">
        <w:rPr>
          <w:rFonts w:ascii="Times New Roman" w:eastAsia="Calibri" w:hAnsi="Times New Roman" w:cs="Times New Roman"/>
          <w:noProof/>
        </w:rPr>
        <w:t xml:space="preserve"> and</w:t>
      </w:r>
      <w:r w:rsidR="000C6274" w:rsidRPr="00E6071F">
        <w:rPr>
          <w:rFonts w:ascii="Times New Roman" w:eastAsia="Calibri" w:hAnsi="Times New Roman" w:cs="Times New Roman"/>
          <w:noProof/>
        </w:rPr>
        <w:t xml:space="preserve"> Norway have joined the European Defence Agency Programme on “Optimising Cross-Border Movement Permission procedures in Europe”</w:t>
      </w:r>
      <w:r w:rsidR="00EE2E1D" w:rsidRPr="00E6071F">
        <w:rPr>
          <w:rFonts w:ascii="Times New Roman" w:eastAsia="Calibri" w:hAnsi="Times New Roman" w:cs="Times New Roman"/>
          <w:noProof/>
        </w:rPr>
        <w:t xml:space="preserve">. </w:t>
      </w:r>
    </w:p>
    <w:p w14:paraId="1F9AEB33" w14:textId="77777777" w:rsidR="002E1720" w:rsidRPr="00344F24" w:rsidRDefault="00BA28F9" w:rsidP="00E6071F">
      <w:pPr>
        <w:pStyle w:val="ListParagraph"/>
        <w:numPr>
          <w:ilvl w:val="0"/>
          <w:numId w:val="51"/>
        </w:numPr>
        <w:jc w:val="both"/>
        <w:rPr>
          <w:rFonts w:ascii="Times New Roman" w:eastAsia="Calibri" w:hAnsi="Times New Roman" w:cs="Times New Roman"/>
          <w:noProof/>
        </w:rPr>
      </w:pPr>
      <w:r w:rsidRPr="00FD6314">
        <w:rPr>
          <w:rFonts w:ascii="Times New Roman" w:eastAsia="Calibri" w:hAnsi="Times New Roman" w:cs="Times New Roman"/>
          <w:noProof/>
        </w:rPr>
        <w:t>In the framework of the Pe</w:t>
      </w:r>
      <w:r w:rsidRPr="00344F24">
        <w:rPr>
          <w:rFonts w:ascii="Times New Roman" w:eastAsia="Calibri" w:hAnsi="Times New Roman" w:cs="Times New Roman"/>
          <w:noProof/>
        </w:rPr>
        <w:t>rmanent Structured Cooperation</w:t>
      </w:r>
      <w:r w:rsidR="00E87A8B">
        <w:rPr>
          <w:rFonts w:ascii="Times New Roman" w:eastAsia="Calibri" w:hAnsi="Times New Roman" w:cs="Times New Roman"/>
          <w:noProof/>
        </w:rPr>
        <w:t xml:space="preserve"> (PESCO)</w:t>
      </w:r>
      <w:r w:rsidR="002E1720" w:rsidRPr="00060E79">
        <w:rPr>
          <w:rFonts w:ascii="Times New Roman" w:eastAsia="Calibri" w:hAnsi="Times New Roman" w:cs="Times New Roman"/>
          <w:noProof/>
        </w:rPr>
        <w:t xml:space="preserve">, Member States have launched different collaborative projects. The project on Military Mobility brings together twenty-five Member States and </w:t>
      </w:r>
      <w:r w:rsidR="00E87A8B" w:rsidRPr="00060E79">
        <w:rPr>
          <w:rFonts w:ascii="Times New Roman" w:eastAsia="Calibri" w:hAnsi="Times New Roman" w:cs="Times New Roman"/>
          <w:noProof/>
        </w:rPr>
        <w:t>th</w:t>
      </w:r>
      <w:r w:rsidR="00E87A8B">
        <w:rPr>
          <w:rFonts w:ascii="Times New Roman" w:eastAsia="Calibri" w:hAnsi="Times New Roman" w:cs="Times New Roman"/>
          <w:noProof/>
        </w:rPr>
        <w:t>ird countries</w:t>
      </w:r>
      <w:r w:rsidR="002E1720" w:rsidRPr="00FD6314">
        <w:rPr>
          <w:rStyle w:val="FootnoteReference"/>
          <w:rFonts w:ascii="Times New Roman" w:eastAsia="Calibri" w:hAnsi="Times New Roman" w:cs="Times New Roman"/>
          <w:noProof/>
        </w:rPr>
        <w:footnoteReference w:id="8"/>
      </w:r>
      <w:r w:rsidR="002E1720" w:rsidRPr="00FD6314">
        <w:rPr>
          <w:rFonts w:ascii="Times New Roman" w:eastAsia="Calibri" w:hAnsi="Times New Roman" w:cs="Times New Roman"/>
          <w:noProof/>
        </w:rPr>
        <w:t xml:space="preserve"> to </w:t>
      </w:r>
      <w:r w:rsidR="004264A1" w:rsidRPr="00FD6314">
        <w:rPr>
          <w:rFonts w:ascii="Times New Roman" w:hAnsi="Times New Roman" w:cs="Times New Roman"/>
          <w:noProof/>
        </w:rPr>
        <w:t xml:space="preserve">coordinate relevant national measures </w:t>
      </w:r>
      <w:r w:rsidR="004264A1" w:rsidRPr="00344F24">
        <w:rPr>
          <w:rFonts w:ascii="Times New Roman" w:hAnsi="Times New Roman" w:cs="Times New Roman"/>
          <w:noProof/>
        </w:rPr>
        <w:t>including those agreed</w:t>
      </w:r>
      <w:r w:rsidR="004264A1" w:rsidRPr="00060E79">
        <w:rPr>
          <w:rFonts w:ascii="Times New Roman" w:hAnsi="Times New Roman" w:cs="Times New Roman"/>
          <w:noProof/>
        </w:rPr>
        <w:t xml:space="preserve"> b</w:t>
      </w:r>
      <w:r w:rsidR="004264A1" w:rsidRPr="009310E8">
        <w:rPr>
          <w:rFonts w:ascii="Times New Roman" w:hAnsi="Times New Roman" w:cs="Times New Roman"/>
          <w:noProof/>
        </w:rPr>
        <w:t xml:space="preserve">y the Member States </w:t>
      </w:r>
      <w:r w:rsidR="004264A1" w:rsidRPr="00E6071F">
        <w:rPr>
          <w:rFonts w:ascii="Times New Roman" w:hAnsi="Times New Roman" w:cs="Times New Roman"/>
          <w:noProof/>
        </w:rPr>
        <w:t>in the so-called ‘military mobility pledge’ of 25 June 2018</w:t>
      </w:r>
      <w:r w:rsidR="004264A1" w:rsidRPr="00FD6314">
        <w:rPr>
          <w:rStyle w:val="FootnoteReference"/>
          <w:rFonts w:ascii="Times New Roman" w:hAnsi="Times New Roman" w:cs="Times New Roman"/>
          <w:noProof/>
        </w:rPr>
        <w:footnoteReference w:id="9"/>
      </w:r>
      <w:r w:rsidR="004264A1" w:rsidRPr="00FD6314">
        <w:rPr>
          <w:rFonts w:ascii="Times New Roman" w:hAnsi="Times New Roman" w:cs="Times New Roman"/>
          <w:noProof/>
        </w:rPr>
        <w:t xml:space="preserve">. </w:t>
      </w:r>
      <w:r w:rsidR="002E1720" w:rsidRPr="00FD6314">
        <w:rPr>
          <w:rFonts w:ascii="Times New Roman" w:eastAsia="Calibri" w:hAnsi="Times New Roman" w:cs="Times New Roman"/>
          <w:noProof/>
        </w:rPr>
        <w:t xml:space="preserve">The project on Logistical Hubs </w:t>
      </w:r>
      <w:r w:rsidR="00E87A8B">
        <w:rPr>
          <w:rFonts w:ascii="Times New Roman" w:eastAsia="Calibri" w:hAnsi="Times New Roman" w:cs="Times New Roman"/>
          <w:noProof/>
        </w:rPr>
        <w:t>involves</w:t>
      </w:r>
      <w:r w:rsidR="00132793">
        <w:rPr>
          <w:rFonts w:ascii="Times New Roman" w:eastAsia="Calibri" w:hAnsi="Times New Roman" w:cs="Times New Roman"/>
          <w:noProof/>
        </w:rPr>
        <w:t xml:space="preserve"> </w:t>
      </w:r>
      <w:r w:rsidR="002E1720" w:rsidRPr="00FD6314">
        <w:rPr>
          <w:rFonts w:ascii="Times New Roman" w:eastAsia="Calibri" w:hAnsi="Times New Roman" w:cs="Times New Roman"/>
          <w:noProof/>
        </w:rPr>
        <w:t xml:space="preserve">17 Member States working together </w:t>
      </w:r>
      <w:r w:rsidR="00132793">
        <w:rPr>
          <w:rFonts w:ascii="Times New Roman" w:eastAsia="Calibri" w:hAnsi="Times New Roman" w:cs="Times New Roman"/>
          <w:noProof/>
        </w:rPr>
        <w:t xml:space="preserve">to </w:t>
      </w:r>
      <w:r w:rsidR="002E1720" w:rsidRPr="00FD6314">
        <w:rPr>
          <w:rFonts w:ascii="Times New Roman" w:eastAsia="Calibri" w:hAnsi="Times New Roman" w:cs="Times New Roman"/>
          <w:noProof/>
        </w:rPr>
        <w:t>connect their logistical depots and capabilities to reduce reaction time and optimise the use o</w:t>
      </w:r>
      <w:r w:rsidR="002E1720" w:rsidRPr="00344F24">
        <w:rPr>
          <w:rFonts w:ascii="Times New Roman" w:eastAsia="Calibri" w:hAnsi="Times New Roman" w:cs="Times New Roman"/>
          <w:noProof/>
        </w:rPr>
        <w:t>f capacities.</w:t>
      </w:r>
    </w:p>
    <w:p w14:paraId="153DB9C7" w14:textId="77777777" w:rsidR="00AC08AE" w:rsidRPr="00D3293D" w:rsidRDefault="00AC08AE" w:rsidP="00D3293D">
      <w:pPr>
        <w:tabs>
          <w:tab w:val="left" w:pos="284"/>
        </w:tabs>
        <w:spacing w:after="120"/>
        <w:contextualSpacing/>
        <w:jc w:val="both"/>
        <w:rPr>
          <w:rFonts w:ascii="Times New Roman" w:eastAsia="Calibri" w:hAnsi="Times New Roman" w:cs="Times New Roman"/>
          <w:noProof/>
        </w:rPr>
      </w:pPr>
    </w:p>
    <w:p w14:paraId="7C0CCE3F" w14:textId="77777777" w:rsidR="003E6B3D" w:rsidRPr="00E6071F" w:rsidRDefault="003E6B3D" w:rsidP="00371537">
      <w:pPr>
        <w:pStyle w:val="ListParagraph"/>
        <w:tabs>
          <w:tab w:val="left" w:pos="284"/>
        </w:tabs>
        <w:spacing w:after="120"/>
        <w:ind w:left="420"/>
        <w:contextualSpacing/>
        <w:jc w:val="both"/>
        <w:rPr>
          <w:rFonts w:ascii="Times New Roman" w:eastAsia="Calibri" w:hAnsi="Times New Roman" w:cs="Times New Roman"/>
          <w:noProof/>
        </w:rPr>
      </w:pPr>
    </w:p>
    <w:p w14:paraId="1251479E" w14:textId="77777777" w:rsidR="00B91E85" w:rsidRPr="00E6071F" w:rsidRDefault="000D2280" w:rsidP="0029319B">
      <w:pPr>
        <w:pStyle w:val="ListParagraph"/>
        <w:numPr>
          <w:ilvl w:val="0"/>
          <w:numId w:val="20"/>
        </w:numPr>
        <w:spacing w:after="240"/>
        <w:ind w:left="426" w:hanging="426"/>
        <w:jc w:val="both"/>
        <w:rPr>
          <w:rFonts w:ascii="Times New Roman Bold" w:hAnsi="Times New Roman Bold" w:cs="Times New Roman"/>
          <w:b/>
          <w:caps/>
          <w:noProof/>
          <w:u w:val="single"/>
          <w:lang w:val="en-GB"/>
        </w:rPr>
      </w:pPr>
      <w:r w:rsidRPr="00E6071F">
        <w:rPr>
          <w:rFonts w:ascii="Times New Roman Bold" w:hAnsi="Times New Roman Bold" w:cs="Times New Roman"/>
          <w:b/>
          <w:caps/>
          <w:noProof/>
          <w:u w:val="single"/>
          <w:lang w:val="en-GB"/>
        </w:rPr>
        <w:t xml:space="preserve">strategic </w:t>
      </w:r>
      <w:r w:rsidR="00B91E85" w:rsidRPr="00E6071F">
        <w:rPr>
          <w:rFonts w:ascii="Times New Roman Bold" w:hAnsi="Times New Roman Bold" w:cs="Times New Roman"/>
          <w:b/>
          <w:caps/>
          <w:noProof/>
          <w:u w:val="single"/>
          <w:lang w:val="en-GB"/>
        </w:rPr>
        <w:t>Approach</w:t>
      </w:r>
    </w:p>
    <w:p w14:paraId="53352E45" w14:textId="77777777" w:rsidR="00065D83" w:rsidRPr="00FD6314" w:rsidRDefault="00B91E85" w:rsidP="00880526">
      <w:pPr>
        <w:spacing w:after="240" w:line="240" w:lineRule="auto"/>
        <w:jc w:val="both"/>
        <w:rPr>
          <w:rFonts w:ascii="Times New Roman" w:hAnsi="Times New Roman" w:cs="Times New Roman"/>
          <w:noProof/>
        </w:rPr>
      </w:pPr>
      <w:r w:rsidRPr="00E6071F">
        <w:rPr>
          <w:rFonts w:ascii="Times New Roman" w:hAnsi="Times New Roman" w:cs="Times New Roman"/>
          <w:noProof/>
        </w:rPr>
        <w:t xml:space="preserve">Following the </w:t>
      </w:r>
      <w:r w:rsidR="00155B3B" w:rsidRPr="00E6071F">
        <w:rPr>
          <w:rFonts w:ascii="Times New Roman" w:hAnsi="Times New Roman" w:cs="Times New Roman"/>
          <w:noProof/>
        </w:rPr>
        <w:t xml:space="preserve">direction set by </w:t>
      </w:r>
      <w:r w:rsidRPr="00E6071F">
        <w:rPr>
          <w:rFonts w:ascii="Times New Roman" w:hAnsi="Times New Roman" w:cs="Times New Roman"/>
          <w:noProof/>
        </w:rPr>
        <w:t xml:space="preserve">the Strategic </w:t>
      </w:r>
      <w:r w:rsidR="002B1175" w:rsidRPr="00E6071F">
        <w:rPr>
          <w:rFonts w:ascii="Times New Roman" w:hAnsi="Times New Roman" w:cs="Times New Roman"/>
          <w:noProof/>
        </w:rPr>
        <w:t>Compass and</w:t>
      </w:r>
      <w:r w:rsidR="00BE17F0" w:rsidRPr="00E6071F">
        <w:rPr>
          <w:rFonts w:ascii="Times New Roman" w:hAnsi="Times New Roman" w:cs="Times New Roman"/>
          <w:noProof/>
        </w:rPr>
        <w:t xml:space="preserve"> taking into account </w:t>
      </w:r>
      <w:r w:rsidR="00E87A8B">
        <w:rPr>
          <w:rFonts w:ascii="Times New Roman" w:hAnsi="Times New Roman" w:cs="Times New Roman"/>
          <w:noProof/>
        </w:rPr>
        <w:t xml:space="preserve">both the </w:t>
      </w:r>
      <w:r w:rsidR="00BE17F0" w:rsidRPr="00E6071F">
        <w:rPr>
          <w:rFonts w:ascii="Times New Roman" w:hAnsi="Times New Roman" w:cs="Times New Roman"/>
          <w:noProof/>
        </w:rPr>
        <w:t xml:space="preserve">guiding principles </w:t>
      </w:r>
      <w:r w:rsidR="00C320D2" w:rsidRPr="00E6071F">
        <w:rPr>
          <w:rFonts w:ascii="Times New Roman" w:hAnsi="Times New Roman" w:cs="Times New Roman"/>
          <w:noProof/>
        </w:rPr>
        <w:t>spelled out in the</w:t>
      </w:r>
      <w:r w:rsidR="00BE17F0" w:rsidRPr="00E6071F">
        <w:rPr>
          <w:rFonts w:ascii="Times New Roman" w:hAnsi="Times New Roman" w:cs="Times New Roman"/>
          <w:noProof/>
        </w:rPr>
        <w:t xml:space="preserve"> 2018</w:t>
      </w:r>
      <w:r w:rsidR="00C320D2" w:rsidRPr="00E6071F">
        <w:rPr>
          <w:rFonts w:ascii="Times New Roman" w:hAnsi="Times New Roman" w:cs="Times New Roman"/>
          <w:noProof/>
        </w:rPr>
        <w:t xml:space="preserve"> Action Plan</w:t>
      </w:r>
      <w:r w:rsidR="006B5C8C" w:rsidRPr="00FD6314">
        <w:rPr>
          <w:rStyle w:val="FootnoteReference"/>
          <w:rFonts w:ascii="Times New Roman" w:hAnsi="Times New Roman" w:cs="Times New Roman"/>
          <w:noProof/>
        </w:rPr>
        <w:footnoteReference w:id="10"/>
      </w:r>
      <w:r w:rsidR="00E87A8B">
        <w:rPr>
          <w:rFonts w:ascii="Times New Roman" w:hAnsi="Times New Roman" w:cs="Times New Roman"/>
          <w:noProof/>
        </w:rPr>
        <w:t xml:space="preserve"> and the changed strategic context</w:t>
      </w:r>
      <w:r w:rsidR="00BE17F0" w:rsidRPr="00FD6314">
        <w:rPr>
          <w:rFonts w:ascii="Times New Roman" w:hAnsi="Times New Roman" w:cs="Times New Roman"/>
          <w:noProof/>
        </w:rPr>
        <w:t xml:space="preserve">, </w:t>
      </w:r>
      <w:r w:rsidRPr="00FD6314">
        <w:rPr>
          <w:rFonts w:ascii="Times New Roman" w:hAnsi="Times New Roman" w:cs="Times New Roman"/>
          <w:noProof/>
        </w:rPr>
        <w:t>th</w:t>
      </w:r>
      <w:r w:rsidR="00E87A8B">
        <w:rPr>
          <w:rFonts w:ascii="Times New Roman" w:hAnsi="Times New Roman" w:cs="Times New Roman"/>
          <w:noProof/>
        </w:rPr>
        <w:t>is</w:t>
      </w:r>
      <w:r w:rsidR="00C320D2" w:rsidRPr="00060E79">
        <w:rPr>
          <w:rFonts w:ascii="Times New Roman" w:hAnsi="Times New Roman" w:cs="Times New Roman"/>
          <w:noProof/>
        </w:rPr>
        <w:t xml:space="preserve"> </w:t>
      </w:r>
      <w:r w:rsidRPr="009310E8">
        <w:rPr>
          <w:rFonts w:ascii="Times New Roman" w:hAnsi="Times New Roman" w:cs="Times New Roman"/>
          <w:noProof/>
        </w:rPr>
        <w:t xml:space="preserve">Action Plan </w:t>
      </w:r>
      <w:r w:rsidR="009B330B" w:rsidRPr="00EC0C7C">
        <w:rPr>
          <w:rFonts w:ascii="Times New Roman" w:hAnsi="Times New Roman" w:cs="Times New Roman"/>
          <w:noProof/>
        </w:rPr>
        <w:t xml:space="preserve">provides </w:t>
      </w:r>
      <w:r w:rsidR="00F93D42" w:rsidRPr="00E6071F">
        <w:rPr>
          <w:rFonts w:ascii="Times New Roman" w:hAnsi="Times New Roman" w:cs="Times New Roman"/>
          <w:noProof/>
        </w:rPr>
        <w:t>a</w:t>
      </w:r>
      <w:r w:rsidR="00880526" w:rsidRPr="00E6071F">
        <w:rPr>
          <w:rFonts w:ascii="Times New Roman" w:hAnsi="Times New Roman" w:cs="Times New Roman"/>
          <w:noProof/>
        </w:rPr>
        <w:t xml:space="preserve"> comprehensive</w:t>
      </w:r>
      <w:r w:rsidR="009B330B" w:rsidRPr="00E6071F">
        <w:rPr>
          <w:rFonts w:ascii="Times New Roman" w:hAnsi="Times New Roman" w:cs="Times New Roman"/>
          <w:noProof/>
        </w:rPr>
        <w:t xml:space="preserve"> </w:t>
      </w:r>
      <w:r w:rsidR="006F4C07" w:rsidRPr="00E6071F">
        <w:rPr>
          <w:rFonts w:ascii="Times New Roman" w:hAnsi="Times New Roman" w:cs="Times New Roman"/>
          <w:noProof/>
        </w:rPr>
        <w:t>framework</w:t>
      </w:r>
      <w:r w:rsidR="00101B7F" w:rsidRPr="00E6071F">
        <w:rPr>
          <w:rFonts w:ascii="Times New Roman" w:hAnsi="Times New Roman" w:cs="Times New Roman"/>
          <w:noProof/>
        </w:rPr>
        <w:t xml:space="preserve"> </w:t>
      </w:r>
      <w:r w:rsidR="00880526" w:rsidRPr="00E6071F">
        <w:rPr>
          <w:rFonts w:ascii="Times New Roman" w:hAnsi="Times New Roman" w:cs="Times New Roman"/>
          <w:noProof/>
        </w:rPr>
        <w:t>to enhance military mobility</w:t>
      </w:r>
      <w:r w:rsidR="00E87A8B">
        <w:rPr>
          <w:rFonts w:ascii="Times New Roman" w:hAnsi="Times New Roman" w:cs="Times New Roman"/>
          <w:noProof/>
        </w:rPr>
        <w:t>.</w:t>
      </w:r>
      <w:r w:rsidR="00880526" w:rsidRPr="00E6071F">
        <w:rPr>
          <w:rFonts w:ascii="Times New Roman" w:hAnsi="Times New Roman" w:cs="Times New Roman"/>
          <w:noProof/>
        </w:rPr>
        <w:t xml:space="preserve"> </w:t>
      </w:r>
      <w:r w:rsidR="00E87A8B">
        <w:rPr>
          <w:rFonts w:ascii="Times New Roman" w:hAnsi="Times New Roman" w:cs="Times New Roman"/>
          <w:noProof/>
        </w:rPr>
        <w:t>It proposes</w:t>
      </w:r>
      <w:r w:rsidR="00065D83" w:rsidRPr="00E6071F">
        <w:rPr>
          <w:rFonts w:ascii="Times New Roman" w:hAnsi="Times New Roman" w:cs="Times New Roman"/>
          <w:noProof/>
        </w:rPr>
        <w:t xml:space="preserve"> </w:t>
      </w:r>
      <w:r w:rsidR="00233954" w:rsidRPr="00E6071F">
        <w:rPr>
          <w:rFonts w:ascii="Times New Roman" w:hAnsi="Times New Roman" w:cs="Times New Roman"/>
          <w:noProof/>
        </w:rPr>
        <w:t xml:space="preserve">further actions to enable the </w:t>
      </w:r>
      <w:r w:rsidR="00233954" w:rsidRPr="00E6071F">
        <w:rPr>
          <w:rFonts w:ascii="Times New Roman" w:hAnsi="Times New Roman" w:cs="Times New Roman"/>
          <w:b/>
          <w:noProof/>
        </w:rPr>
        <w:t>swift, efficient and unimpeded movement of potentially large-scale forces</w:t>
      </w:r>
      <w:r w:rsidR="00233954" w:rsidRPr="00E6071F">
        <w:rPr>
          <w:rFonts w:ascii="Times New Roman" w:hAnsi="Times New Roman" w:cs="Times New Roman"/>
          <w:noProof/>
        </w:rPr>
        <w:t>, including military personnel and their equipment, both in the context of the EU Common Security and Defence Policy, as well as for national and multinational activities</w:t>
      </w:r>
      <w:r w:rsidR="00A57D25">
        <w:rPr>
          <w:rFonts w:ascii="Times New Roman" w:hAnsi="Times New Roman" w:cs="Times New Roman"/>
          <w:noProof/>
        </w:rPr>
        <w:t>,</w:t>
      </w:r>
      <w:r w:rsidR="00233954" w:rsidRPr="00E6071F">
        <w:rPr>
          <w:rFonts w:ascii="Times New Roman" w:hAnsi="Times New Roman" w:cs="Times New Roman"/>
          <w:noProof/>
        </w:rPr>
        <w:t xml:space="preserve"> notably in the framework of NATO</w:t>
      </w:r>
      <w:r w:rsidR="00065D83" w:rsidRPr="00FD6314">
        <w:rPr>
          <w:rFonts w:ascii="Times New Roman" w:hAnsi="Times New Roman" w:cs="Times New Roman"/>
          <w:noProof/>
        </w:rPr>
        <w:t xml:space="preserve">. </w:t>
      </w:r>
    </w:p>
    <w:p w14:paraId="3A3CFDE9" w14:textId="77777777" w:rsidR="00880526" w:rsidRPr="00E6071F" w:rsidRDefault="00065D83" w:rsidP="00880526">
      <w:pPr>
        <w:spacing w:after="240" w:line="240" w:lineRule="auto"/>
        <w:jc w:val="both"/>
        <w:rPr>
          <w:rFonts w:ascii="Times New Roman" w:hAnsi="Times New Roman" w:cs="Times New Roman"/>
          <w:noProof/>
        </w:rPr>
      </w:pPr>
      <w:r w:rsidRPr="00344F24">
        <w:rPr>
          <w:rFonts w:ascii="Times New Roman" w:hAnsi="Times New Roman" w:cs="Times New Roman"/>
          <w:noProof/>
        </w:rPr>
        <w:t xml:space="preserve">To ensure </w:t>
      </w:r>
      <w:r w:rsidRPr="00060E79">
        <w:rPr>
          <w:rFonts w:ascii="Times New Roman" w:hAnsi="Times New Roman" w:cs="Times New Roman"/>
          <w:noProof/>
        </w:rPr>
        <w:t xml:space="preserve">the coherence of these </w:t>
      </w:r>
      <w:r w:rsidRPr="009310E8">
        <w:rPr>
          <w:rFonts w:ascii="Times New Roman" w:hAnsi="Times New Roman" w:cs="Times New Roman"/>
          <w:noProof/>
        </w:rPr>
        <w:t>actions</w:t>
      </w:r>
      <w:r w:rsidR="005925EA" w:rsidRPr="00EC0C7C">
        <w:rPr>
          <w:rFonts w:ascii="Times New Roman" w:hAnsi="Times New Roman" w:cs="Times New Roman"/>
          <w:noProof/>
        </w:rPr>
        <w:t xml:space="preserve">, </w:t>
      </w:r>
      <w:r w:rsidR="005925EA" w:rsidRPr="00E6071F">
        <w:rPr>
          <w:rFonts w:ascii="Times New Roman" w:hAnsi="Times New Roman" w:cs="Times New Roman"/>
          <w:noProof/>
        </w:rPr>
        <w:t xml:space="preserve">reflect the enlarged scope of “military mobility 2.0” and facilitate an </w:t>
      </w:r>
      <w:r w:rsidR="005925EA" w:rsidRPr="00FD6314">
        <w:rPr>
          <w:rFonts w:ascii="Times New Roman" w:hAnsi="Times New Roman" w:cs="Times New Roman"/>
          <w:noProof/>
        </w:rPr>
        <w:t>effective</w:t>
      </w:r>
      <w:r w:rsidR="005925EA" w:rsidRPr="00E6071F">
        <w:rPr>
          <w:rFonts w:ascii="Times New Roman" w:hAnsi="Times New Roman" w:cs="Times New Roman"/>
          <w:noProof/>
        </w:rPr>
        <w:t xml:space="preserve"> involvement of a wide range of stakeholders,</w:t>
      </w:r>
      <w:r w:rsidR="005925EA" w:rsidRPr="00FD6314">
        <w:rPr>
          <w:rFonts w:ascii="Times New Roman" w:hAnsi="Times New Roman" w:cs="Times New Roman"/>
          <w:noProof/>
        </w:rPr>
        <w:t xml:space="preserve"> </w:t>
      </w:r>
      <w:r w:rsidRPr="00FD6314">
        <w:rPr>
          <w:rFonts w:ascii="Times New Roman" w:hAnsi="Times New Roman" w:cs="Times New Roman"/>
          <w:noProof/>
        </w:rPr>
        <w:t xml:space="preserve">a </w:t>
      </w:r>
      <w:r w:rsidRPr="00344F24">
        <w:rPr>
          <w:rFonts w:ascii="Times New Roman" w:hAnsi="Times New Roman" w:cs="Times New Roman"/>
          <w:noProof/>
        </w:rPr>
        <w:t>s</w:t>
      </w:r>
      <w:r w:rsidR="00880526" w:rsidRPr="00060E79">
        <w:rPr>
          <w:rFonts w:ascii="Times New Roman" w:hAnsi="Times New Roman" w:cs="Times New Roman"/>
          <w:noProof/>
        </w:rPr>
        <w:t xml:space="preserve">trategic approach </w:t>
      </w:r>
      <w:r w:rsidRPr="009310E8">
        <w:rPr>
          <w:rFonts w:ascii="Times New Roman" w:hAnsi="Times New Roman" w:cs="Times New Roman"/>
          <w:noProof/>
        </w:rPr>
        <w:t>is required</w:t>
      </w:r>
      <w:r w:rsidR="005925EA" w:rsidRPr="00EC0C7C">
        <w:rPr>
          <w:rFonts w:ascii="Times New Roman" w:hAnsi="Times New Roman" w:cs="Times New Roman"/>
          <w:noProof/>
        </w:rPr>
        <w:t xml:space="preserve">. </w:t>
      </w:r>
      <w:r w:rsidR="005925EA" w:rsidRPr="00E6071F">
        <w:rPr>
          <w:rFonts w:ascii="Times New Roman" w:hAnsi="Times New Roman" w:cs="Times New Roman"/>
          <w:noProof/>
        </w:rPr>
        <w:t xml:space="preserve"> </w:t>
      </w:r>
      <w:r w:rsidRPr="00E6071F">
        <w:rPr>
          <w:rFonts w:ascii="Times New Roman" w:hAnsi="Times New Roman" w:cs="Times New Roman"/>
          <w:noProof/>
        </w:rPr>
        <w:t xml:space="preserve">The strategic approach of </w:t>
      </w:r>
      <w:r w:rsidR="00880526" w:rsidRPr="00E6071F">
        <w:rPr>
          <w:rFonts w:ascii="Times New Roman" w:hAnsi="Times New Roman" w:cs="Times New Roman"/>
          <w:noProof/>
        </w:rPr>
        <w:t>this Action Plan is centred on the need to develop a</w:t>
      </w:r>
      <w:r w:rsidR="00880526" w:rsidRPr="00E6071F">
        <w:rPr>
          <w:rFonts w:ascii="Times New Roman" w:hAnsi="Times New Roman" w:cs="Times New Roman"/>
          <w:i/>
          <w:noProof/>
        </w:rPr>
        <w:t xml:space="preserve"> </w:t>
      </w:r>
      <w:r w:rsidR="00880526" w:rsidRPr="00E6071F">
        <w:rPr>
          <w:rFonts w:ascii="Times New Roman" w:hAnsi="Times New Roman" w:cs="Times New Roman"/>
          <w:b/>
          <w:i/>
          <w:noProof/>
        </w:rPr>
        <w:t>well-connected military mobility network</w:t>
      </w:r>
      <w:r w:rsidR="00880526" w:rsidRPr="00E6071F">
        <w:rPr>
          <w:rFonts w:ascii="Times New Roman" w:hAnsi="Times New Roman" w:cs="Times New Roman"/>
          <w:noProof/>
        </w:rPr>
        <w:t xml:space="preserve"> consisting of: </w:t>
      </w:r>
      <w:r w:rsidR="00880526" w:rsidRPr="00E6071F">
        <w:rPr>
          <w:rFonts w:ascii="Times New Roman" w:hAnsi="Times New Roman" w:cs="Times New Roman"/>
          <w:i/>
          <w:noProof/>
        </w:rPr>
        <w:t xml:space="preserve"> </w:t>
      </w:r>
    </w:p>
    <w:p w14:paraId="50E59C40" w14:textId="3A1D3408" w:rsidR="00880526" w:rsidRPr="00566832" w:rsidRDefault="00880526" w:rsidP="001A5F15">
      <w:pPr>
        <w:pStyle w:val="ListParagraph"/>
        <w:numPr>
          <w:ilvl w:val="0"/>
          <w:numId w:val="47"/>
        </w:numPr>
        <w:spacing w:after="240"/>
        <w:jc w:val="both"/>
        <w:rPr>
          <w:rFonts w:ascii="Times New Roman" w:hAnsi="Times New Roman" w:cs="Times New Roman"/>
          <w:noProof/>
        </w:rPr>
      </w:pPr>
      <w:r w:rsidRPr="00566832">
        <w:rPr>
          <w:rFonts w:ascii="Times New Roman" w:hAnsi="Times New Roman" w:cs="Times New Roman"/>
          <w:b/>
          <w:noProof/>
        </w:rPr>
        <w:t xml:space="preserve">multi-modal </w:t>
      </w:r>
      <w:r w:rsidR="001A5F15" w:rsidRPr="00566832">
        <w:rPr>
          <w:rFonts w:ascii="Times New Roman" w:hAnsi="Times New Roman" w:cs="Times New Roman"/>
          <w:b/>
          <w:noProof/>
        </w:rPr>
        <w:t xml:space="preserve">transport </w:t>
      </w:r>
      <w:r w:rsidRPr="00566832">
        <w:rPr>
          <w:rFonts w:ascii="Times New Roman" w:hAnsi="Times New Roman" w:cs="Times New Roman"/>
          <w:b/>
          <w:noProof/>
        </w:rPr>
        <w:t>corridors</w:t>
      </w:r>
      <w:r w:rsidRPr="00566832">
        <w:rPr>
          <w:rFonts w:ascii="Times New Roman" w:hAnsi="Times New Roman" w:cs="Times New Roman"/>
          <w:noProof/>
        </w:rPr>
        <w:t>, including roads, railways</w:t>
      </w:r>
      <w:r w:rsidR="005925EA" w:rsidRPr="00566832">
        <w:rPr>
          <w:rFonts w:ascii="Times New Roman" w:hAnsi="Times New Roman" w:cs="Times New Roman"/>
          <w:noProof/>
        </w:rPr>
        <w:t xml:space="preserve">, </w:t>
      </w:r>
      <w:r w:rsidR="001C3FBA" w:rsidRPr="00566832">
        <w:rPr>
          <w:rFonts w:ascii="Times New Roman" w:hAnsi="Times New Roman" w:cs="Times New Roman"/>
          <w:noProof/>
        </w:rPr>
        <w:t>air routes</w:t>
      </w:r>
      <w:r w:rsidR="005925EA" w:rsidRPr="00566832">
        <w:rPr>
          <w:rFonts w:ascii="Times New Roman" w:hAnsi="Times New Roman" w:cs="Times New Roman"/>
          <w:noProof/>
        </w:rPr>
        <w:t>,</w:t>
      </w:r>
      <w:r w:rsidRPr="00566832">
        <w:rPr>
          <w:rFonts w:ascii="Times New Roman" w:hAnsi="Times New Roman" w:cs="Times New Roman"/>
          <w:noProof/>
        </w:rPr>
        <w:t xml:space="preserve"> and inland waterways with dual</w:t>
      </w:r>
      <w:r w:rsidR="00A57D25">
        <w:rPr>
          <w:rFonts w:ascii="Times New Roman" w:hAnsi="Times New Roman" w:cs="Times New Roman"/>
          <w:noProof/>
        </w:rPr>
        <w:t>-</w:t>
      </w:r>
      <w:r w:rsidRPr="00566832">
        <w:rPr>
          <w:rFonts w:ascii="Times New Roman" w:hAnsi="Times New Roman" w:cs="Times New Roman"/>
          <w:noProof/>
        </w:rPr>
        <w:t>use transport infrastructure capable of handling military transports</w:t>
      </w:r>
      <w:r w:rsidR="005925EA" w:rsidRPr="00566832">
        <w:rPr>
          <w:rFonts w:ascii="Times New Roman" w:hAnsi="Times New Roman" w:cs="Times New Roman"/>
          <w:noProof/>
        </w:rPr>
        <w:t>;</w:t>
      </w:r>
      <w:r w:rsidRPr="00566832">
        <w:rPr>
          <w:rFonts w:ascii="Times New Roman" w:hAnsi="Times New Roman" w:cs="Times New Roman"/>
          <w:noProof/>
        </w:rPr>
        <w:t xml:space="preserve"> </w:t>
      </w:r>
    </w:p>
    <w:p w14:paraId="13A81D77" w14:textId="77777777" w:rsidR="00880526" w:rsidRPr="00E6071F" w:rsidRDefault="00880526" w:rsidP="00880526">
      <w:pPr>
        <w:pStyle w:val="ListParagraph"/>
        <w:numPr>
          <w:ilvl w:val="0"/>
          <w:numId w:val="47"/>
        </w:numPr>
        <w:spacing w:after="240"/>
        <w:jc w:val="both"/>
        <w:rPr>
          <w:rFonts w:ascii="Times New Roman" w:hAnsi="Times New Roman" w:cs="Times New Roman"/>
          <w:noProof/>
        </w:rPr>
      </w:pPr>
      <w:r w:rsidRPr="00566832">
        <w:rPr>
          <w:rFonts w:ascii="Times New Roman" w:hAnsi="Times New Roman" w:cs="Times New Roman"/>
          <w:b/>
          <w:noProof/>
        </w:rPr>
        <w:t>transport nodes and logistical centres</w:t>
      </w:r>
      <w:r w:rsidRPr="00566832">
        <w:rPr>
          <w:rFonts w:ascii="Times New Roman" w:hAnsi="Times New Roman" w:cs="Times New Roman"/>
          <w:noProof/>
        </w:rPr>
        <w:t xml:space="preserve"> that provide the required host- and transit nation support and sustainment to facilitate the deployment of troops and</w:t>
      </w:r>
      <w:r w:rsidRPr="00E6071F">
        <w:rPr>
          <w:rFonts w:ascii="Times New Roman" w:hAnsi="Times New Roman" w:cs="Times New Roman"/>
          <w:noProof/>
        </w:rPr>
        <w:t xml:space="preserve"> materiel</w:t>
      </w:r>
      <w:r w:rsidR="005925EA" w:rsidRPr="00E6071F">
        <w:rPr>
          <w:rFonts w:ascii="Times New Roman" w:hAnsi="Times New Roman" w:cs="Times New Roman"/>
          <w:noProof/>
        </w:rPr>
        <w:t>;</w:t>
      </w:r>
      <w:r w:rsidRPr="00E6071F">
        <w:rPr>
          <w:rFonts w:ascii="Times New Roman" w:hAnsi="Times New Roman" w:cs="Times New Roman"/>
          <w:noProof/>
        </w:rPr>
        <w:t xml:space="preserve"> </w:t>
      </w:r>
    </w:p>
    <w:p w14:paraId="337F2C62" w14:textId="77777777" w:rsidR="00880526" w:rsidRPr="00E6071F" w:rsidRDefault="00880526" w:rsidP="00880526">
      <w:pPr>
        <w:pStyle w:val="ListParagraph"/>
        <w:numPr>
          <w:ilvl w:val="0"/>
          <w:numId w:val="47"/>
        </w:numPr>
        <w:spacing w:after="240"/>
        <w:jc w:val="both"/>
        <w:rPr>
          <w:rFonts w:ascii="Times New Roman" w:hAnsi="Times New Roman" w:cs="Times New Roman"/>
          <w:iCs/>
          <w:noProof/>
        </w:rPr>
      </w:pPr>
      <w:r w:rsidRPr="00E6071F">
        <w:rPr>
          <w:rFonts w:ascii="Times New Roman" w:hAnsi="Times New Roman" w:cs="Times New Roman"/>
          <w:b/>
          <w:iCs/>
          <w:noProof/>
        </w:rPr>
        <w:t>harmonised rules, regulations, procedures</w:t>
      </w:r>
      <w:r w:rsidRPr="00E6071F">
        <w:rPr>
          <w:rFonts w:ascii="Times New Roman" w:hAnsi="Times New Roman" w:cs="Times New Roman"/>
          <w:iCs/>
          <w:noProof/>
        </w:rPr>
        <w:t xml:space="preserve">, and </w:t>
      </w:r>
      <w:r w:rsidRPr="00E6071F">
        <w:rPr>
          <w:rFonts w:ascii="Times New Roman" w:hAnsi="Times New Roman" w:cs="Times New Roman"/>
          <w:b/>
          <w:iCs/>
          <w:noProof/>
        </w:rPr>
        <w:t>digitalised administrative arrangements</w:t>
      </w:r>
      <w:r w:rsidR="005925EA" w:rsidRPr="00E6071F">
        <w:rPr>
          <w:rFonts w:ascii="Times New Roman" w:hAnsi="Times New Roman" w:cs="Times New Roman"/>
          <w:iCs/>
          <w:noProof/>
        </w:rPr>
        <w:t>;</w:t>
      </w:r>
      <w:r w:rsidRPr="00E6071F">
        <w:rPr>
          <w:rFonts w:ascii="Times New Roman" w:hAnsi="Times New Roman" w:cs="Times New Roman"/>
          <w:iCs/>
          <w:noProof/>
        </w:rPr>
        <w:t xml:space="preserve"> </w:t>
      </w:r>
    </w:p>
    <w:p w14:paraId="30D67063" w14:textId="77777777" w:rsidR="00880526" w:rsidRPr="00E6071F" w:rsidRDefault="00880526" w:rsidP="00880526">
      <w:pPr>
        <w:pStyle w:val="ListParagraph"/>
        <w:numPr>
          <w:ilvl w:val="0"/>
          <w:numId w:val="47"/>
        </w:numPr>
        <w:spacing w:after="240"/>
        <w:jc w:val="both"/>
        <w:rPr>
          <w:rFonts w:ascii="Times New Roman" w:hAnsi="Times New Roman" w:cs="Times New Roman"/>
          <w:iCs/>
          <w:noProof/>
        </w:rPr>
      </w:pPr>
      <w:r w:rsidRPr="00E6071F">
        <w:rPr>
          <w:rFonts w:ascii="Times New Roman" w:hAnsi="Times New Roman" w:cs="Times New Roman"/>
          <w:iCs/>
          <w:noProof/>
        </w:rPr>
        <w:t>enhance</w:t>
      </w:r>
      <w:r w:rsidR="005925EA" w:rsidRPr="00E6071F">
        <w:rPr>
          <w:rFonts w:ascii="Times New Roman" w:hAnsi="Times New Roman" w:cs="Times New Roman"/>
          <w:iCs/>
          <w:noProof/>
        </w:rPr>
        <w:t>d</w:t>
      </w:r>
      <w:r w:rsidRPr="00E6071F">
        <w:rPr>
          <w:rFonts w:ascii="Times New Roman" w:hAnsi="Times New Roman" w:cs="Times New Roman"/>
          <w:iCs/>
          <w:noProof/>
        </w:rPr>
        <w:t xml:space="preserve"> </w:t>
      </w:r>
      <w:r w:rsidR="0028681C" w:rsidRPr="0028681C">
        <w:rPr>
          <w:rFonts w:ascii="Times New Roman" w:hAnsi="Times New Roman" w:cs="Times New Roman"/>
          <w:b/>
          <w:bCs/>
          <w:iCs/>
          <w:noProof/>
        </w:rPr>
        <w:t>sustainability</w:t>
      </w:r>
      <w:r w:rsidR="0028681C">
        <w:rPr>
          <w:rFonts w:ascii="Times New Roman" w:hAnsi="Times New Roman" w:cs="Times New Roman"/>
          <w:iCs/>
          <w:noProof/>
        </w:rPr>
        <w:t xml:space="preserve">, </w:t>
      </w:r>
      <w:r w:rsidRPr="00E6071F">
        <w:rPr>
          <w:rFonts w:ascii="Times New Roman" w:hAnsi="Times New Roman" w:cs="Times New Roman"/>
          <w:b/>
          <w:iCs/>
          <w:noProof/>
        </w:rPr>
        <w:t>resilience and preparedness</w:t>
      </w:r>
      <w:r w:rsidRPr="00E6071F">
        <w:rPr>
          <w:rFonts w:ascii="Times New Roman" w:hAnsi="Times New Roman" w:cs="Times New Roman"/>
          <w:iCs/>
          <w:noProof/>
        </w:rPr>
        <w:t xml:space="preserve"> of civilian and military lift and logistical capabilities. </w:t>
      </w:r>
    </w:p>
    <w:p w14:paraId="2DA25611" w14:textId="77777777" w:rsidR="00451E53" w:rsidRPr="00FD6314" w:rsidRDefault="003E6B3D">
      <w:pPr>
        <w:spacing w:after="240" w:line="240" w:lineRule="auto"/>
        <w:jc w:val="both"/>
        <w:rPr>
          <w:rFonts w:ascii="Times New Roman" w:hAnsi="Times New Roman" w:cs="Times New Roman"/>
          <w:noProof/>
        </w:rPr>
      </w:pPr>
      <w:r w:rsidRPr="00E6071F">
        <w:rPr>
          <w:rFonts w:ascii="Times New Roman" w:hAnsi="Times New Roman" w:cs="Times New Roman"/>
          <w:noProof/>
        </w:rPr>
        <w:t xml:space="preserve">In line with </w:t>
      </w:r>
      <w:r w:rsidR="002B1175" w:rsidRPr="00E6071F">
        <w:rPr>
          <w:rFonts w:ascii="Times New Roman" w:hAnsi="Times New Roman" w:cs="Times New Roman"/>
          <w:noProof/>
        </w:rPr>
        <w:t>th</w:t>
      </w:r>
      <w:r w:rsidR="005925EA" w:rsidRPr="00E6071F">
        <w:rPr>
          <w:rFonts w:ascii="Times New Roman" w:hAnsi="Times New Roman" w:cs="Times New Roman"/>
          <w:noProof/>
        </w:rPr>
        <w:t>is approach</w:t>
      </w:r>
      <w:r w:rsidR="002B1175" w:rsidRPr="00E6071F">
        <w:rPr>
          <w:rFonts w:ascii="Times New Roman" w:hAnsi="Times New Roman" w:cs="Times New Roman"/>
          <w:noProof/>
        </w:rPr>
        <w:t xml:space="preserve"> and</w:t>
      </w:r>
      <w:r w:rsidRPr="00E6071F">
        <w:rPr>
          <w:rFonts w:ascii="Times New Roman" w:hAnsi="Times New Roman" w:cs="Times New Roman"/>
          <w:noProof/>
        </w:rPr>
        <w:t xml:space="preserve"> </w:t>
      </w:r>
      <w:r w:rsidRPr="00E6071F">
        <w:rPr>
          <w:rFonts w:ascii="Times New Roman" w:hAnsi="Times New Roman" w:cs="Times New Roman"/>
          <w:noProof/>
          <w:lang w:val="en-GB"/>
        </w:rPr>
        <w:t>r</w:t>
      </w:r>
      <w:r w:rsidR="002651FF" w:rsidRPr="00E6071F">
        <w:rPr>
          <w:rFonts w:ascii="Times New Roman" w:hAnsi="Times New Roman" w:cs="Times New Roman"/>
          <w:noProof/>
          <w:lang w:val="en-GB"/>
        </w:rPr>
        <w:t xml:space="preserve">eflecting </w:t>
      </w:r>
      <w:r w:rsidR="00E819E1" w:rsidRPr="00E6071F">
        <w:rPr>
          <w:rFonts w:ascii="Times New Roman" w:hAnsi="Times New Roman" w:cs="Times New Roman"/>
          <w:noProof/>
          <w:lang w:val="en-GB"/>
        </w:rPr>
        <w:t>the essential role of the Member States,</w:t>
      </w:r>
      <w:r w:rsidR="00E819E1" w:rsidRPr="00E6071F">
        <w:rPr>
          <w:rFonts w:ascii="Times New Roman" w:hAnsi="Times New Roman" w:cs="Times New Roman"/>
          <w:noProof/>
        </w:rPr>
        <w:t xml:space="preserve"> th</w:t>
      </w:r>
      <w:r w:rsidR="00E548DD" w:rsidRPr="00E6071F">
        <w:rPr>
          <w:rFonts w:ascii="Times New Roman" w:hAnsi="Times New Roman" w:cs="Times New Roman"/>
          <w:noProof/>
        </w:rPr>
        <w:t>e</w:t>
      </w:r>
      <w:r w:rsidR="00E819E1" w:rsidRPr="00E6071F">
        <w:rPr>
          <w:rFonts w:ascii="Times New Roman" w:hAnsi="Times New Roman" w:cs="Times New Roman"/>
          <w:noProof/>
        </w:rPr>
        <w:t xml:space="preserve"> Action Plan sets out </w:t>
      </w:r>
      <w:r w:rsidR="00E819E1" w:rsidRPr="00E6071F">
        <w:rPr>
          <w:rFonts w:ascii="Times New Roman" w:hAnsi="Times New Roman" w:cs="Times New Roman"/>
          <w:b/>
          <w:noProof/>
        </w:rPr>
        <w:t>recommended actions that the Member States are invited to take forward</w:t>
      </w:r>
      <w:r w:rsidR="00E819E1" w:rsidRPr="00E6071F">
        <w:rPr>
          <w:rFonts w:ascii="Times New Roman" w:hAnsi="Times New Roman" w:cs="Times New Roman"/>
          <w:noProof/>
        </w:rPr>
        <w:t xml:space="preserve"> in a complementary and coherent manner</w:t>
      </w:r>
      <w:r w:rsidR="00525649" w:rsidRPr="00E6071F">
        <w:rPr>
          <w:rFonts w:ascii="Times New Roman" w:hAnsi="Times New Roman" w:cs="Times New Roman"/>
          <w:noProof/>
        </w:rPr>
        <w:t xml:space="preserve">, and </w:t>
      </w:r>
      <w:r w:rsidR="00E819E1" w:rsidRPr="00E6071F">
        <w:rPr>
          <w:rFonts w:ascii="Times New Roman" w:hAnsi="Times New Roman" w:cs="Times New Roman"/>
          <w:noProof/>
        </w:rPr>
        <w:t xml:space="preserve">in full respect of the sovereignty of EU Member States over their national territory and national decision-making processes regarding military movements. </w:t>
      </w:r>
      <w:r w:rsidR="002651FF" w:rsidRPr="00E6071F">
        <w:rPr>
          <w:rFonts w:ascii="Times New Roman" w:hAnsi="Times New Roman" w:cs="Times New Roman"/>
          <w:noProof/>
        </w:rPr>
        <w:t xml:space="preserve">This includes Member States’ activities through projects in the </w:t>
      </w:r>
      <w:r w:rsidR="0037705D" w:rsidRPr="00E6071F">
        <w:rPr>
          <w:rFonts w:ascii="Times New Roman" w:hAnsi="Times New Roman" w:cs="Times New Roman"/>
          <w:noProof/>
        </w:rPr>
        <w:t xml:space="preserve">PESCO </w:t>
      </w:r>
      <w:r w:rsidR="002651FF" w:rsidRPr="00E6071F">
        <w:rPr>
          <w:rFonts w:ascii="Times New Roman" w:hAnsi="Times New Roman" w:cs="Times New Roman"/>
          <w:noProof/>
        </w:rPr>
        <w:t>framework</w:t>
      </w:r>
      <w:r w:rsidR="004264A1" w:rsidRPr="00E6071F">
        <w:rPr>
          <w:rFonts w:ascii="Times New Roman" w:hAnsi="Times New Roman" w:cs="Times New Roman"/>
          <w:noProof/>
        </w:rPr>
        <w:t xml:space="preserve">. </w:t>
      </w:r>
    </w:p>
    <w:p w14:paraId="47CC8452" w14:textId="0D61F120" w:rsidR="002005CB" w:rsidRPr="00E6071F" w:rsidRDefault="002005CB" w:rsidP="00371537">
      <w:pPr>
        <w:spacing w:after="0" w:line="240" w:lineRule="auto"/>
        <w:jc w:val="both"/>
        <w:rPr>
          <w:rFonts w:ascii="Times New Roman" w:hAnsi="Times New Roman" w:cs="Times New Roman"/>
          <w:noProof/>
        </w:rPr>
      </w:pPr>
      <w:r w:rsidRPr="00344F24">
        <w:rPr>
          <w:rFonts w:ascii="Times New Roman" w:hAnsi="Times New Roman" w:cs="Times New Roman"/>
          <w:noProof/>
        </w:rPr>
        <w:t xml:space="preserve">A coherent and coordinated approach to </w:t>
      </w:r>
      <w:r w:rsidR="00F104CA" w:rsidRPr="00060E79">
        <w:rPr>
          <w:rFonts w:ascii="Times New Roman" w:hAnsi="Times New Roman" w:cs="Times New Roman"/>
          <w:noProof/>
        </w:rPr>
        <w:t>m</w:t>
      </w:r>
      <w:r w:rsidRPr="009310E8">
        <w:rPr>
          <w:rFonts w:ascii="Times New Roman" w:hAnsi="Times New Roman" w:cs="Times New Roman"/>
          <w:noProof/>
        </w:rPr>
        <w:t xml:space="preserve">ilitary </w:t>
      </w:r>
      <w:r w:rsidR="00F104CA" w:rsidRPr="009310E8">
        <w:rPr>
          <w:rFonts w:ascii="Times New Roman" w:hAnsi="Times New Roman" w:cs="Times New Roman"/>
          <w:noProof/>
        </w:rPr>
        <w:t>m</w:t>
      </w:r>
      <w:r w:rsidRPr="00EC0C7C">
        <w:rPr>
          <w:rFonts w:ascii="Times New Roman" w:hAnsi="Times New Roman" w:cs="Times New Roman"/>
          <w:noProof/>
        </w:rPr>
        <w:t>obility is</w:t>
      </w:r>
      <w:r w:rsidRPr="00E6071F">
        <w:rPr>
          <w:rFonts w:ascii="Times New Roman" w:hAnsi="Times New Roman" w:cs="Times New Roman"/>
          <w:noProof/>
        </w:rPr>
        <w:t xml:space="preserve"> a shared interest with </w:t>
      </w:r>
      <w:r w:rsidR="000C6274" w:rsidRPr="00E6071F">
        <w:rPr>
          <w:rFonts w:ascii="Times New Roman" w:hAnsi="Times New Roman" w:cs="Times New Roman"/>
          <w:noProof/>
        </w:rPr>
        <w:t>NATO</w:t>
      </w:r>
      <w:r w:rsidRPr="00E6071F">
        <w:rPr>
          <w:rFonts w:ascii="Times New Roman" w:hAnsi="Times New Roman" w:cs="Times New Roman"/>
          <w:noProof/>
        </w:rPr>
        <w:t>. M</w:t>
      </w:r>
      <w:r w:rsidR="00451E53" w:rsidRPr="00E6071F">
        <w:rPr>
          <w:rFonts w:ascii="Times New Roman" w:hAnsi="Times New Roman" w:cs="Times New Roman"/>
          <w:noProof/>
        </w:rPr>
        <w:t xml:space="preserve">ilitary </w:t>
      </w:r>
      <w:r w:rsidR="00F104CA" w:rsidRPr="00E6071F">
        <w:rPr>
          <w:rFonts w:ascii="Times New Roman" w:hAnsi="Times New Roman" w:cs="Times New Roman"/>
          <w:noProof/>
        </w:rPr>
        <w:t>m</w:t>
      </w:r>
      <w:r w:rsidR="00451E53" w:rsidRPr="00E6071F">
        <w:rPr>
          <w:rFonts w:ascii="Times New Roman" w:hAnsi="Times New Roman" w:cs="Times New Roman"/>
          <w:noProof/>
        </w:rPr>
        <w:t xml:space="preserve">obility </w:t>
      </w:r>
      <w:r w:rsidR="00836777" w:rsidRPr="00E6071F">
        <w:rPr>
          <w:rFonts w:ascii="Times New Roman" w:hAnsi="Times New Roman" w:cs="Times New Roman"/>
          <w:noProof/>
        </w:rPr>
        <w:t>continues to be</w:t>
      </w:r>
      <w:r w:rsidR="00451E53" w:rsidRPr="00E6071F">
        <w:rPr>
          <w:rFonts w:ascii="Times New Roman" w:hAnsi="Times New Roman" w:cs="Times New Roman"/>
          <w:noProof/>
        </w:rPr>
        <w:t xml:space="preserve"> a </w:t>
      </w:r>
      <w:r w:rsidR="00451E53" w:rsidRPr="00E6071F">
        <w:rPr>
          <w:rFonts w:ascii="Times New Roman" w:hAnsi="Times New Roman" w:cs="Times New Roman"/>
          <w:b/>
          <w:noProof/>
        </w:rPr>
        <w:t xml:space="preserve">“flagship” for enhanced </w:t>
      </w:r>
      <w:r w:rsidR="0028681C">
        <w:rPr>
          <w:rFonts w:ascii="Times New Roman" w:hAnsi="Times New Roman" w:cs="Times New Roman"/>
          <w:b/>
          <w:noProof/>
        </w:rPr>
        <w:t xml:space="preserve">and intensified </w:t>
      </w:r>
      <w:r w:rsidR="00451E53" w:rsidRPr="00E6071F">
        <w:rPr>
          <w:rFonts w:ascii="Times New Roman" w:hAnsi="Times New Roman" w:cs="Times New Roman"/>
          <w:b/>
          <w:noProof/>
        </w:rPr>
        <w:t xml:space="preserve">cooperation between </w:t>
      </w:r>
      <w:r w:rsidR="005925EA" w:rsidRPr="00E6071F">
        <w:rPr>
          <w:rFonts w:ascii="Times New Roman" w:hAnsi="Times New Roman" w:cs="Times New Roman"/>
          <w:b/>
          <w:noProof/>
        </w:rPr>
        <w:t>both organisations</w:t>
      </w:r>
      <w:r w:rsidR="00451E53" w:rsidRPr="00E6071F">
        <w:rPr>
          <w:rFonts w:ascii="Times New Roman" w:hAnsi="Times New Roman" w:cs="Times New Roman"/>
          <w:noProof/>
        </w:rPr>
        <w:t xml:space="preserve">, </w:t>
      </w:r>
      <w:r w:rsidRPr="00E6071F">
        <w:rPr>
          <w:rFonts w:ascii="Times New Roman" w:hAnsi="Times New Roman" w:cs="Times New Roman"/>
          <w:noProof/>
        </w:rPr>
        <w:t xml:space="preserve">in line with EU-NATO </w:t>
      </w:r>
      <w:r w:rsidR="00657691">
        <w:rPr>
          <w:rFonts w:ascii="Times New Roman" w:hAnsi="Times New Roman" w:cs="Times New Roman"/>
          <w:noProof/>
        </w:rPr>
        <w:t>guiding principles</w:t>
      </w:r>
      <w:r w:rsidRPr="00E6071F">
        <w:rPr>
          <w:rFonts w:ascii="Times New Roman" w:hAnsi="Times New Roman" w:cs="Times New Roman"/>
          <w:noProof/>
        </w:rPr>
        <w:t xml:space="preserve">, </w:t>
      </w:r>
      <w:r w:rsidR="00451E53" w:rsidRPr="00E6071F">
        <w:rPr>
          <w:rFonts w:ascii="Times New Roman" w:hAnsi="Times New Roman" w:cs="Times New Roman"/>
          <w:noProof/>
        </w:rPr>
        <w:t xml:space="preserve">with efficient interaction </w:t>
      </w:r>
      <w:r w:rsidRPr="00E6071F">
        <w:rPr>
          <w:rFonts w:ascii="Times New Roman" w:hAnsi="Times New Roman" w:cs="Times New Roman"/>
          <w:noProof/>
        </w:rPr>
        <w:t xml:space="preserve">and information exchange </w:t>
      </w:r>
      <w:r w:rsidR="00451E53" w:rsidRPr="00E6071F">
        <w:rPr>
          <w:rFonts w:ascii="Times New Roman" w:hAnsi="Times New Roman" w:cs="Times New Roman"/>
          <w:noProof/>
        </w:rPr>
        <w:t xml:space="preserve">within the </w:t>
      </w:r>
      <w:r w:rsidR="00657691" w:rsidRPr="00657691">
        <w:rPr>
          <w:rFonts w:ascii="Times New Roman" w:hAnsi="Times New Roman" w:cs="Times New Roman"/>
          <w:noProof/>
        </w:rPr>
        <w:t xml:space="preserve">well established staff-to-staff </w:t>
      </w:r>
      <w:r w:rsidR="00451E53" w:rsidRPr="00E6071F">
        <w:rPr>
          <w:rFonts w:ascii="Times New Roman" w:hAnsi="Times New Roman" w:cs="Times New Roman"/>
          <w:noProof/>
        </w:rPr>
        <w:t>Structured Dialogue.</w:t>
      </w:r>
      <w:r w:rsidRPr="00E6071F">
        <w:rPr>
          <w:rFonts w:ascii="Times New Roman" w:hAnsi="Times New Roman" w:cs="Times New Roman"/>
          <w:noProof/>
        </w:rPr>
        <w:t xml:space="preserve"> </w:t>
      </w:r>
    </w:p>
    <w:p w14:paraId="0BFD15D5" w14:textId="77777777" w:rsidR="00371537" w:rsidRPr="00E6071F" w:rsidRDefault="00371537" w:rsidP="00371537">
      <w:pPr>
        <w:spacing w:after="0" w:line="240" w:lineRule="auto"/>
        <w:jc w:val="both"/>
        <w:rPr>
          <w:rFonts w:ascii="Times New Roman" w:hAnsi="Times New Roman" w:cs="Times New Roman"/>
          <w:noProof/>
        </w:rPr>
      </w:pPr>
    </w:p>
    <w:p w14:paraId="073B5045" w14:textId="77777777" w:rsidR="00371537" w:rsidRPr="00E6071F" w:rsidRDefault="00371537" w:rsidP="00371537">
      <w:pPr>
        <w:spacing w:after="0" w:line="240" w:lineRule="auto"/>
        <w:jc w:val="both"/>
        <w:rPr>
          <w:rFonts w:ascii="Times New Roman" w:hAnsi="Times New Roman" w:cs="Times New Roman"/>
          <w:noProof/>
          <w:lang w:val="en-GB"/>
        </w:rPr>
      </w:pPr>
    </w:p>
    <w:p w14:paraId="098309E9" w14:textId="77777777" w:rsidR="005B1080" w:rsidRPr="00E6071F" w:rsidRDefault="00F340FE" w:rsidP="005B1080">
      <w:pPr>
        <w:pStyle w:val="ListParagraph"/>
        <w:numPr>
          <w:ilvl w:val="0"/>
          <w:numId w:val="20"/>
        </w:numPr>
        <w:ind w:left="426" w:hanging="426"/>
        <w:rPr>
          <w:rFonts w:ascii="Times New Roman" w:hAnsi="Times New Roman" w:cs="Times New Roman"/>
          <w:b/>
          <w:noProof/>
          <w:u w:val="single"/>
          <w:lang w:val="en-GB"/>
        </w:rPr>
      </w:pPr>
      <w:r>
        <w:rPr>
          <w:rFonts w:ascii="Times New Roman" w:hAnsi="Times New Roman" w:cs="Times New Roman"/>
          <w:b/>
          <w:noProof/>
          <w:u w:val="single"/>
          <w:lang w:val="en-GB"/>
        </w:rPr>
        <w:t xml:space="preserve">IDENTIFIED </w:t>
      </w:r>
      <w:r w:rsidR="005B1080" w:rsidRPr="00E6071F">
        <w:rPr>
          <w:rFonts w:ascii="Times New Roman" w:hAnsi="Times New Roman" w:cs="Times New Roman"/>
          <w:b/>
          <w:noProof/>
          <w:u w:val="single"/>
          <w:lang w:val="en-GB"/>
        </w:rPr>
        <w:t>ACTIONS</w:t>
      </w:r>
    </w:p>
    <w:p w14:paraId="031FF4E2" w14:textId="77777777" w:rsidR="003E6B3D" w:rsidRPr="00E6071F" w:rsidRDefault="003E6B3D" w:rsidP="0029319B">
      <w:pPr>
        <w:spacing w:line="240" w:lineRule="auto"/>
        <w:jc w:val="both"/>
        <w:rPr>
          <w:rFonts w:ascii="Times New Roman Bold" w:hAnsi="Times New Roman Bold" w:cs="Times New Roman"/>
          <w:b/>
          <w:caps/>
          <w:noProof/>
          <w:u w:val="single"/>
          <w:lang w:val="en-GB"/>
        </w:rPr>
      </w:pPr>
    </w:p>
    <w:p w14:paraId="7C022F48" w14:textId="77777777" w:rsidR="0038604F" w:rsidRPr="00E6071F" w:rsidRDefault="00525649" w:rsidP="0029319B">
      <w:pPr>
        <w:spacing w:line="240" w:lineRule="auto"/>
        <w:jc w:val="both"/>
        <w:rPr>
          <w:rFonts w:ascii="Times New Roman" w:hAnsi="Times New Roman" w:cs="Times New Roman"/>
          <w:noProof/>
          <w:lang w:val="en-GB"/>
        </w:rPr>
      </w:pPr>
      <w:r w:rsidRPr="00E6071F">
        <w:rPr>
          <w:rFonts w:ascii="Times New Roman" w:hAnsi="Times New Roman" w:cs="Times New Roman"/>
          <w:noProof/>
        </w:rPr>
        <w:t xml:space="preserve">Following </w:t>
      </w:r>
      <w:r w:rsidR="003E6B3D" w:rsidRPr="00E6071F">
        <w:rPr>
          <w:rFonts w:ascii="Times New Roman" w:hAnsi="Times New Roman" w:cs="Times New Roman"/>
          <w:noProof/>
        </w:rPr>
        <w:t xml:space="preserve">the strategic approach, </w:t>
      </w:r>
      <w:r w:rsidR="003E6B3D" w:rsidRPr="00E6071F">
        <w:rPr>
          <w:rFonts w:ascii="Times New Roman" w:hAnsi="Times New Roman" w:cs="Times New Roman"/>
          <w:noProof/>
          <w:lang w:val="en-GB"/>
        </w:rPr>
        <w:t>t</w:t>
      </w:r>
      <w:r w:rsidR="00A63B11" w:rsidRPr="00E6071F">
        <w:rPr>
          <w:rFonts w:ascii="Times New Roman" w:hAnsi="Times New Roman" w:cs="Times New Roman"/>
          <w:noProof/>
          <w:lang w:val="en-GB"/>
        </w:rPr>
        <w:t xml:space="preserve">he </w:t>
      </w:r>
      <w:r w:rsidR="00884651" w:rsidRPr="00E6071F">
        <w:rPr>
          <w:rFonts w:ascii="Times New Roman" w:hAnsi="Times New Roman" w:cs="Times New Roman"/>
          <w:noProof/>
          <w:lang w:val="en-GB"/>
        </w:rPr>
        <w:t xml:space="preserve">identified </w:t>
      </w:r>
      <w:r w:rsidR="00A63B11" w:rsidRPr="00E6071F">
        <w:rPr>
          <w:rFonts w:ascii="Times New Roman" w:hAnsi="Times New Roman" w:cs="Times New Roman"/>
          <w:noProof/>
          <w:lang w:val="en-GB"/>
        </w:rPr>
        <w:t>actions are</w:t>
      </w:r>
      <w:r w:rsidR="0038604F" w:rsidRPr="00E6071F">
        <w:rPr>
          <w:rFonts w:ascii="Times New Roman" w:hAnsi="Times New Roman" w:cs="Times New Roman"/>
          <w:noProof/>
          <w:lang w:val="en-GB"/>
        </w:rPr>
        <w:t xml:space="preserve"> structured along </w:t>
      </w:r>
      <w:r w:rsidR="0038604F" w:rsidRPr="00E6071F">
        <w:rPr>
          <w:rFonts w:ascii="Times New Roman" w:hAnsi="Times New Roman" w:cs="Times New Roman"/>
          <w:b/>
          <w:noProof/>
          <w:lang w:val="en-GB"/>
        </w:rPr>
        <w:t>four main pillars</w:t>
      </w:r>
      <w:r w:rsidR="00886A4F" w:rsidRPr="00E6071F">
        <w:rPr>
          <w:rFonts w:ascii="Times New Roman" w:hAnsi="Times New Roman" w:cs="Times New Roman"/>
          <w:b/>
          <w:noProof/>
          <w:lang w:val="en-GB"/>
        </w:rPr>
        <w:t xml:space="preserve">: </w:t>
      </w:r>
      <w:r w:rsidR="0038604F" w:rsidRPr="00E6071F">
        <w:rPr>
          <w:rFonts w:ascii="Times New Roman" w:hAnsi="Times New Roman" w:cs="Times New Roman"/>
          <w:b/>
          <w:noProof/>
          <w:lang w:val="en-GB"/>
        </w:rPr>
        <w:t>the multi-model corridors and logistical hubs</w:t>
      </w:r>
      <w:r w:rsidR="00A63B11" w:rsidRPr="00E6071F">
        <w:rPr>
          <w:rFonts w:ascii="Times New Roman" w:hAnsi="Times New Roman" w:cs="Times New Roman"/>
          <w:b/>
          <w:noProof/>
          <w:lang w:val="en-GB"/>
        </w:rPr>
        <w:t>,</w:t>
      </w:r>
      <w:r w:rsidR="0038604F" w:rsidRPr="00E6071F">
        <w:rPr>
          <w:rFonts w:ascii="Times New Roman" w:hAnsi="Times New Roman" w:cs="Times New Roman"/>
          <w:b/>
          <w:noProof/>
          <w:lang w:val="en-GB"/>
        </w:rPr>
        <w:t xml:space="preserve"> regulatory support measures</w:t>
      </w:r>
      <w:r w:rsidR="00A63B11" w:rsidRPr="00E6071F">
        <w:rPr>
          <w:rFonts w:ascii="Times New Roman" w:hAnsi="Times New Roman" w:cs="Times New Roman"/>
          <w:b/>
          <w:noProof/>
          <w:lang w:val="en-GB"/>
        </w:rPr>
        <w:t>,</w:t>
      </w:r>
      <w:r w:rsidR="0038604F" w:rsidRPr="00E6071F">
        <w:rPr>
          <w:rFonts w:ascii="Times New Roman" w:hAnsi="Times New Roman" w:cs="Times New Roman"/>
          <w:b/>
          <w:noProof/>
          <w:lang w:val="en-GB"/>
        </w:rPr>
        <w:t xml:space="preserve"> resilience and preparedness</w:t>
      </w:r>
      <w:r w:rsidR="00A63B11" w:rsidRPr="00E6071F">
        <w:rPr>
          <w:rFonts w:ascii="Times New Roman" w:hAnsi="Times New Roman" w:cs="Times New Roman"/>
          <w:b/>
          <w:noProof/>
          <w:lang w:val="en-GB"/>
        </w:rPr>
        <w:t>,</w:t>
      </w:r>
      <w:r w:rsidR="0038604F" w:rsidRPr="00E6071F">
        <w:rPr>
          <w:rFonts w:ascii="Times New Roman" w:hAnsi="Times New Roman" w:cs="Times New Roman"/>
          <w:b/>
          <w:noProof/>
          <w:lang w:val="en-GB"/>
        </w:rPr>
        <w:t xml:space="preserve"> and</w:t>
      </w:r>
      <w:r w:rsidR="003D0F24" w:rsidRPr="00E6071F">
        <w:rPr>
          <w:rFonts w:ascii="Times New Roman" w:hAnsi="Times New Roman" w:cs="Times New Roman"/>
          <w:b/>
          <w:noProof/>
          <w:lang w:val="en-GB"/>
        </w:rPr>
        <w:t xml:space="preserve"> </w:t>
      </w:r>
      <w:r w:rsidR="0038604F" w:rsidRPr="00E6071F">
        <w:rPr>
          <w:rFonts w:ascii="Times New Roman" w:hAnsi="Times New Roman" w:cs="Times New Roman"/>
          <w:b/>
          <w:noProof/>
          <w:lang w:val="en-GB"/>
        </w:rPr>
        <w:t>partnerships.</w:t>
      </w:r>
      <w:r w:rsidR="0038604F" w:rsidRPr="00E6071F">
        <w:rPr>
          <w:rFonts w:ascii="Times New Roman" w:hAnsi="Times New Roman" w:cs="Times New Roman"/>
          <w:noProof/>
          <w:lang w:val="en-GB"/>
        </w:rPr>
        <w:t xml:space="preserve"> </w:t>
      </w:r>
    </w:p>
    <w:p w14:paraId="7ADCCB4D" w14:textId="77777777" w:rsidR="00FA0E91" w:rsidRPr="00E6071F" w:rsidRDefault="00FA0E91" w:rsidP="0029319B">
      <w:pPr>
        <w:spacing w:after="0" w:line="240" w:lineRule="auto"/>
        <w:rPr>
          <w:rFonts w:ascii="Times New Roman" w:hAnsi="Times New Roman" w:cs="Times New Roman"/>
          <w:b/>
          <w:i/>
          <w:noProof/>
        </w:rPr>
      </w:pPr>
    </w:p>
    <w:p w14:paraId="03703A58" w14:textId="016C006B" w:rsidR="003405AE" w:rsidRPr="00E6071F" w:rsidRDefault="00015166" w:rsidP="0029319B">
      <w:pPr>
        <w:tabs>
          <w:tab w:val="left" w:pos="426"/>
        </w:tabs>
        <w:spacing w:line="240" w:lineRule="auto"/>
        <w:rPr>
          <w:rFonts w:ascii="Times New Roman" w:hAnsi="Times New Roman" w:cs="Times New Roman"/>
          <w:b/>
          <w:noProof/>
          <w:u w:val="single"/>
          <w:lang w:val="en-GB"/>
        </w:rPr>
      </w:pPr>
      <w:r w:rsidRPr="00E6071F">
        <w:rPr>
          <w:rFonts w:ascii="Times New Roman" w:hAnsi="Times New Roman" w:cs="Times New Roman"/>
          <w:b/>
          <w:noProof/>
          <w:lang w:val="en-GB"/>
        </w:rPr>
        <w:t>3.1</w:t>
      </w:r>
      <w:r w:rsidR="004E3FC4" w:rsidRPr="00E6071F">
        <w:rPr>
          <w:rFonts w:ascii="Times New Roman" w:hAnsi="Times New Roman" w:cs="Times New Roman"/>
          <w:b/>
          <w:noProof/>
          <w:lang w:val="en-GB"/>
        </w:rPr>
        <w:tab/>
      </w:r>
      <w:r w:rsidR="00FA0E91" w:rsidRPr="00E6071F">
        <w:rPr>
          <w:rFonts w:ascii="Times New Roman" w:hAnsi="Times New Roman" w:cs="Times New Roman"/>
          <w:b/>
          <w:bCs/>
          <w:noProof/>
          <w:u w:val="single"/>
        </w:rPr>
        <w:t>Multimodal Corridors</w:t>
      </w:r>
      <w:r w:rsidR="0038604F" w:rsidRPr="00E6071F">
        <w:rPr>
          <w:rFonts w:ascii="Times New Roman" w:hAnsi="Times New Roman" w:cs="Times New Roman"/>
          <w:b/>
          <w:bCs/>
          <w:noProof/>
          <w:u w:val="single"/>
        </w:rPr>
        <w:t xml:space="preserve"> and Logistical Hubs</w:t>
      </w:r>
      <w:r w:rsidR="004264A1" w:rsidRPr="00E6071F">
        <w:rPr>
          <w:rFonts w:ascii="Times New Roman" w:hAnsi="Times New Roman" w:cs="Times New Roman"/>
          <w:b/>
          <w:bCs/>
          <w:noProof/>
          <w:u w:val="single"/>
        </w:rPr>
        <w:t>: investing in dual</w:t>
      </w:r>
      <w:r w:rsidR="007F3C1B">
        <w:rPr>
          <w:rFonts w:ascii="Times New Roman" w:hAnsi="Times New Roman" w:cs="Times New Roman"/>
          <w:b/>
          <w:bCs/>
          <w:noProof/>
          <w:u w:val="single"/>
        </w:rPr>
        <w:t>-</w:t>
      </w:r>
      <w:r w:rsidR="004264A1" w:rsidRPr="00E6071F">
        <w:rPr>
          <w:rFonts w:ascii="Times New Roman" w:hAnsi="Times New Roman" w:cs="Times New Roman"/>
          <w:b/>
          <w:bCs/>
          <w:noProof/>
          <w:u w:val="single"/>
        </w:rPr>
        <w:t>use transport infrastructure</w:t>
      </w:r>
    </w:p>
    <w:p w14:paraId="037AEEB4" w14:textId="0F16B859" w:rsidR="00525649" w:rsidRPr="00E6071F" w:rsidRDefault="00525649">
      <w:pPr>
        <w:spacing w:line="240" w:lineRule="auto"/>
        <w:jc w:val="both"/>
        <w:rPr>
          <w:rFonts w:ascii="Times New Roman" w:eastAsia="Calibri" w:hAnsi="Times New Roman" w:cs="Times New Roman"/>
          <w:noProof/>
        </w:rPr>
      </w:pPr>
      <w:r w:rsidRPr="00E6071F">
        <w:rPr>
          <w:rFonts w:ascii="Times New Roman" w:eastAsia="Calibri" w:hAnsi="Times New Roman" w:cs="Times New Roman"/>
          <w:noProof/>
        </w:rPr>
        <w:t>At the heart of military mobility is the need to upgrade the dual use transport infrastructure along the military mobility network – comprising multi-modal transport routes connected by logistical hubs – so that it is capable of handling potentially heavy and large</w:t>
      </w:r>
      <w:r w:rsidR="00A57D25">
        <w:rPr>
          <w:rFonts w:ascii="Times New Roman" w:eastAsia="Calibri" w:hAnsi="Times New Roman" w:cs="Times New Roman"/>
          <w:noProof/>
        </w:rPr>
        <w:t>-</w:t>
      </w:r>
      <w:r w:rsidRPr="00E6071F">
        <w:rPr>
          <w:rFonts w:ascii="Times New Roman" w:eastAsia="Calibri" w:hAnsi="Times New Roman" w:cs="Times New Roman"/>
          <w:noProof/>
        </w:rPr>
        <w:t xml:space="preserve">scale military transports at short notice. </w:t>
      </w:r>
      <w:r w:rsidR="004C5DDF">
        <w:rPr>
          <w:rFonts w:ascii="Times New Roman" w:eastAsia="Calibri" w:hAnsi="Times New Roman" w:cs="Times New Roman"/>
          <w:noProof/>
        </w:rPr>
        <w:t>T</w:t>
      </w:r>
      <w:r w:rsidRPr="00E6071F">
        <w:rPr>
          <w:rFonts w:ascii="Times New Roman" w:eastAsia="Calibri" w:hAnsi="Times New Roman" w:cs="Times New Roman"/>
          <w:noProof/>
        </w:rPr>
        <w:t>he EU Member States largely use the same transport infrastructure for both civilian and military movements and transportation</w:t>
      </w:r>
      <w:r w:rsidR="004C5DDF">
        <w:rPr>
          <w:rFonts w:ascii="Times New Roman" w:eastAsia="Calibri" w:hAnsi="Times New Roman" w:cs="Times New Roman"/>
          <w:noProof/>
        </w:rPr>
        <w:t>. A</w:t>
      </w:r>
      <w:r w:rsidRPr="00E6071F">
        <w:rPr>
          <w:rFonts w:ascii="Times New Roman" w:eastAsia="Calibri" w:hAnsi="Times New Roman" w:cs="Times New Roman"/>
          <w:noProof/>
        </w:rPr>
        <w:t xml:space="preserve"> strengthening of dual</w:t>
      </w:r>
      <w:r w:rsidR="00A57D25">
        <w:rPr>
          <w:rFonts w:ascii="Times New Roman" w:eastAsia="Calibri" w:hAnsi="Times New Roman" w:cs="Times New Roman"/>
          <w:noProof/>
        </w:rPr>
        <w:t>-</w:t>
      </w:r>
      <w:r w:rsidRPr="00E6071F">
        <w:rPr>
          <w:rFonts w:ascii="Times New Roman" w:eastAsia="Calibri" w:hAnsi="Times New Roman" w:cs="Times New Roman"/>
          <w:noProof/>
        </w:rPr>
        <w:t xml:space="preserve">use transport infrastructure across the </w:t>
      </w:r>
      <w:r w:rsidR="004C5DDF">
        <w:rPr>
          <w:rFonts w:ascii="Times New Roman" w:eastAsia="Calibri" w:hAnsi="Times New Roman" w:cs="Times New Roman"/>
          <w:noProof/>
        </w:rPr>
        <w:t>t</w:t>
      </w:r>
      <w:r w:rsidRPr="00E6071F">
        <w:rPr>
          <w:rFonts w:ascii="Times New Roman" w:eastAsia="Calibri" w:hAnsi="Times New Roman" w:cs="Times New Roman"/>
          <w:noProof/>
        </w:rPr>
        <w:t xml:space="preserve">rans-European </w:t>
      </w:r>
      <w:r w:rsidR="004C5DDF">
        <w:rPr>
          <w:rFonts w:ascii="Times New Roman" w:eastAsia="Calibri" w:hAnsi="Times New Roman" w:cs="Times New Roman"/>
          <w:noProof/>
        </w:rPr>
        <w:t>t</w:t>
      </w:r>
      <w:r w:rsidRPr="00E6071F">
        <w:rPr>
          <w:rFonts w:ascii="Times New Roman" w:eastAsia="Calibri" w:hAnsi="Times New Roman" w:cs="Times New Roman"/>
          <w:noProof/>
        </w:rPr>
        <w:t>ransport (TEN-T)</w:t>
      </w:r>
      <w:r w:rsidR="004C5DDF">
        <w:rPr>
          <w:rFonts w:ascii="Times New Roman" w:eastAsia="Calibri" w:hAnsi="Times New Roman" w:cs="Times New Roman"/>
          <w:noProof/>
        </w:rPr>
        <w:t xml:space="preserve"> therefore involves the development of </w:t>
      </w:r>
      <w:r w:rsidRPr="00E6071F">
        <w:rPr>
          <w:rFonts w:ascii="Times New Roman" w:eastAsia="Calibri" w:hAnsi="Times New Roman" w:cs="Times New Roman"/>
          <w:noProof/>
        </w:rPr>
        <w:t>multi-modal transport corridors and transport nodes</w:t>
      </w:r>
      <w:r w:rsidR="004C5DDF">
        <w:rPr>
          <w:rFonts w:ascii="Times New Roman" w:eastAsia="Calibri" w:hAnsi="Times New Roman" w:cs="Times New Roman"/>
          <w:noProof/>
        </w:rPr>
        <w:t xml:space="preserve">. As a result, </w:t>
      </w:r>
      <w:r w:rsidR="004C5DDF" w:rsidRPr="004C5DDF">
        <w:rPr>
          <w:rFonts w:ascii="Times New Roman" w:eastAsia="Calibri" w:hAnsi="Times New Roman" w:cs="Times New Roman"/>
          <w:noProof/>
        </w:rPr>
        <w:t xml:space="preserve">development of dual-use transport infrastructure through co-funding from </w:t>
      </w:r>
      <w:r w:rsidR="008A0EA2" w:rsidRPr="00E6071F">
        <w:rPr>
          <w:rFonts w:ascii="Times New Roman" w:eastAsia="Calibri" w:hAnsi="Times New Roman" w:cs="Times New Roman"/>
          <w:noProof/>
        </w:rPr>
        <w:t xml:space="preserve">the Connecting Europe Facility (CEF) funding instrument </w:t>
      </w:r>
      <w:r w:rsidRPr="00E6071F">
        <w:rPr>
          <w:rFonts w:ascii="Times New Roman" w:eastAsia="Calibri" w:hAnsi="Times New Roman" w:cs="Times New Roman"/>
          <w:noProof/>
        </w:rPr>
        <w:t>continue</w:t>
      </w:r>
      <w:r w:rsidR="004C5DDF">
        <w:rPr>
          <w:rFonts w:ascii="Times New Roman" w:eastAsia="Calibri" w:hAnsi="Times New Roman" w:cs="Times New Roman"/>
          <w:noProof/>
        </w:rPr>
        <w:t>s</w:t>
      </w:r>
      <w:r w:rsidRPr="00E6071F">
        <w:rPr>
          <w:rFonts w:ascii="Times New Roman" w:eastAsia="Calibri" w:hAnsi="Times New Roman" w:cs="Times New Roman"/>
          <w:noProof/>
        </w:rPr>
        <w:t xml:space="preserve"> to be an essential pillar of this Action Plan. </w:t>
      </w:r>
    </w:p>
    <w:p w14:paraId="1E2433BA" w14:textId="77777777" w:rsidR="00FD3C9F" w:rsidRDefault="00DF7ADA">
      <w:pPr>
        <w:spacing w:line="240" w:lineRule="auto"/>
        <w:jc w:val="both"/>
        <w:rPr>
          <w:rFonts w:ascii="Times New Roman" w:hAnsi="Times New Roman" w:cs="Times New Roman"/>
          <w:noProof/>
          <w:lang w:val="en-GB"/>
        </w:rPr>
      </w:pPr>
      <w:r w:rsidRPr="00E6071F">
        <w:rPr>
          <w:rFonts w:ascii="Times New Roman" w:hAnsi="Times New Roman" w:cs="Times New Roman"/>
          <w:noProof/>
          <w:lang w:val="en-GB"/>
        </w:rPr>
        <w:t xml:space="preserve">In accordance with the Strategic Compass, the EU will </w:t>
      </w:r>
      <w:r w:rsidR="00F265ED" w:rsidRPr="00E6071F">
        <w:rPr>
          <w:rFonts w:ascii="Times New Roman" w:hAnsi="Times New Roman" w:cs="Times New Roman"/>
          <w:noProof/>
          <w:lang w:val="en-GB"/>
        </w:rPr>
        <w:t xml:space="preserve">continue to </w:t>
      </w:r>
      <w:r w:rsidRPr="00E6071F">
        <w:rPr>
          <w:rFonts w:ascii="Times New Roman" w:hAnsi="Times New Roman" w:cs="Times New Roman"/>
          <w:noProof/>
          <w:lang w:val="en-GB"/>
        </w:rPr>
        <w:t xml:space="preserve">strengthen dual-use transport infrastructure across the trans-European transport network in order to promote rapid and seamless movement of military personnel, materiel and equipment for operational deployments and exercises, working in close cooperation with NATO and other partners. </w:t>
      </w:r>
    </w:p>
    <w:p w14:paraId="6DE13338" w14:textId="75AAF3FA" w:rsidR="004C5DDF" w:rsidRPr="004C5DDF" w:rsidRDefault="004C5DDF" w:rsidP="004C5DDF">
      <w:pPr>
        <w:spacing w:line="240" w:lineRule="auto"/>
        <w:jc w:val="both"/>
        <w:rPr>
          <w:rFonts w:ascii="Times New Roman" w:hAnsi="Times New Roman" w:cs="Times New Roman"/>
          <w:iCs/>
          <w:noProof/>
          <w:lang w:val="en-GB"/>
        </w:rPr>
      </w:pPr>
      <w:r w:rsidRPr="004C5DDF">
        <w:rPr>
          <w:rFonts w:ascii="Times New Roman" w:hAnsi="Times New Roman" w:cs="Times New Roman"/>
          <w:iCs/>
          <w:noProof/>
          <w:lang w:val="en-GB"/>
        </w:rPr>
        <w:t xml:space="preserve">One of the actions implemented under the first military mobility action plan was to co-fund dual-use transport infrastructure projects located on both the EU military network as well as the TEN-T network. The current TEN-T, which was adopted by the European Parliament and the European Council in 2013, includes notably roads, railways, ports and airports in the European Union. In 2019, the Commission services and the European External Action Service </w:t>
      </w:r>
      <w:r w:rsidR="00643D8C">
        <w:rPr>
          <w:rFonts w:ascii="Times New Roman" w:hAnsi="Times New Roman" w:cs="Times New Roman"/>
          <w:iCs/>
          <w:noProof/>
          <w:lang w:val="en-GB"/>
        </w:rPr>
        <w:t xml:space="preserve">(EEAS) </w:t>
      </w:r>
      <w:r w:rsidRPr="004C5DDF">
        <w:rPr>
          <w:rFonts w:ascii="Times New Roman" w:hAnsi="Times New Roman" w:cs="Times New Roman"/>
          <w:iCs/>
          <w:noProof/>
          <w:lang w:val="en-GB"/>
        </w:rPr>
        <w:t xml:space="preserve">conducted a gap analysis to compare the TEN-T and the EU military network. In addition, the gap analysis of 2019 compared the military requirements for transport infrastructure to the technical requirements for TEN-T transport infrastructure. For the comparison between the military network of the Member States and the </w:t>
      </w:r>
      <w:r w:rsidR="00B80EBC">
        <w:rPr>
          <w:rFonts w:ascii="Times New Roman" w:hAnsi="Times New Roman" w:cs="Times New Roman"/>
          <w:iCs/>
          <w:noProof/>
          <w:lang w:val="en-GB"/>
        </w:rPr>
        <w:t>TEN-T</w:t>
      </w:r>
      <w:r w:rsidRPr="004C5DDF">
        <w:rPr>
          <w:rFonts w:ascii="Times New Roman" w:hAnsi="Times New Roman" w:cs="Times New Roman"/>
          <w:iCs/>
          <w:noProof/>
          <w:lang w:val="en-GB"/>
        </w:rPr>
        <w:t xml:space="preserve">, there was an overlap of 93% between the two networks. This means that the transport infrastructure investments on the trans-European transport network directly improve military mobility. The objective is to realise the core network of the trans-European transport network by 2030. </w:t>
      </w:r>
    </w:p>
    <w:p w14:paraId="7376E493" w14:textId="669F8DF8" w:rsidR="00466B77" w:rsidRPr="00466B77" w:rsidRDefault="00466B77" w:rsidP="00466B77">
      <w:pPr>
        <w:spacing w:line="240" w:lineRule="auto"/>
        <w:jc w:val="both"/>
        <w:rPr>
          <w:rFonts w:ascii="Times New Roman" w:hAnsi="Times New Roman" w:cs="Times New Roman"/>
          <w:iCs/>
          <w:noProof/>
          <w:lang w:val="en-GB"/>
        </w:rPr>
      </w:pPr>
      <w:r w:rsidRPr="00466B77">
        <w:rPr>
          <w:rFonts w:ascii="Times New Roman" w:hAnsi="Times New Roman" w:cs="Times New Roman"/>
          <w:iCs/>
          <w:noProof/>
          <w:lang w:val="en-GB"/>
        </w:rPr>
        <w:t xml:space="preserve">On 14 December 2021, the Commission proposed to revise the TEN-T </w:t>
      </w:r>
      <w:r w:rsidR="00241651">
        <w:rPr>
          <w:rFonts w:ascii="Times New Roman" w:hAnsi="Times New Roman" w:cs="Times New Roman"/>
          <w:iCs/>
          <w:noProof/>
          <w:lang w:val="en-GB"/>
        </w:rPr>
        <w:t>R</w:t>
      </w:r>
      <w:r w:rsidRPr="00466B77">
        <w:rPr>
          <w:rFonts w:ascii="Times New Roman" w:hAnsi="Times New Roman" w:cs="Times New Roman"/>
          <w:iCs/>
          <w:noProof/>
          <w:lang w:val="en-GB"/>
        </w:rPr>
        <w:t xml:space="preserve">egulation of 2013. It proposed notably to extend the core network corridors to the Western Balkan partners. When revising the TEN-T </w:t>
      </w:r>
      <w:r w:rsidR="00241651">
        <w:rPr>
          <w:rFonts w:ascii="Times New Roman" w:hAnsi="Times New Roman" w:cs="Times New Roman"/>
          <w:iCs/>
          <w:noProof/>
          <w:lang w:val="en-GB"/>
        </w:rPr>
        <w:t>R</w:t>
      </w:r>
      <w:r w:rsidRPr="00466B77">
        <w:rPr>
          <w:rFonts w:ascii="Times New Roman" w:hAnsi="Times New Roman" w:cs="Times New Roman"/>
          <w:iCs/>
          <w:noProof/>
          <w:lang w:val="en-GB"/>
        </w:rPr>
        <w:t xml:space="preserve">egulation, the Commission included additional roads and railway sections in the existing geographical network to reduce the gaps with the military network. The aim was to enhance the synergies between the civilian and the military sectors’ use of the existing transport infrastructure. In addition, the Commission has proposed to </w:t>
      </w:r>
      <w:r w:rsidR="00424963">
        <w:rPr>
          <w:rFonts w:ascii="Times New Roman" w:hAnsi="Times New Roman" w:cs="Times New Roman"/>
          <w:iCs/>
          <w:noProof/>
          <w:lang w:val="en-GB"/>
        </w:rPr>
        <w:t xml:space="preserve">raise </w:t>
      </w:r>
      <w:r w:rsidRPr="00466B77">
        <w:rPr>
          <w:rFonts w:ascii="Times New Roman" w:hAnsi="Times New Roman" w:cs="Times New Roman"/>
          <w:iCs/>
          <w:noProof/>
          <w:lang w:val="en-GB"/>
        </w:rPr>
        <w:t>several technical standards for the TEN-T infrastructure. This will directly benefit the movements of military troops and materiel, and thus foster military mobility within and beyond the EU. On 27 July 2022, the Commission adopted an amended TEN-T proposal to reflect the new geopolitical context following Russia’s war of aggression against Ukraine. Four European Transport Corridors are proposed to be extended to Ukraine and the Republic of Moldova to improve connections between the Union and its neighbouring partner countries. The Commission proposal also addresses the issue of different rail track gauges used in Ukraine, Moldova and in certain Member States (Baltic States, Finland, Iberi</w:t>
      </w:r>
      <w:r w:rsidR="00241651">
        <w:rPr>
          <w:rFonts w:ascii="Times New Roman" w:hAnsi="Times New Roman" w:cs="Times New Roman"/>
          <w:iCs/>
          <w:noProof/>
          <w:lang w:val="en-GB"/>
        </w:rPr>
        <w:t>an</w:t>
      </w:r>
      <w:r w:rsidRPr="00466B77">
        <w:rPr>
          <w:rFonts w:ascii="Times New Roman" w:hAnsi="Times New Roman" w:cs="Times New Roman"/>
          <w:iCs/>
          <w:noProof/>
          <w:lang w:val="en-GB"/>
        </w:rPr>
        <w:t xml:space="preserve"> Peninsula), which hinders rail interoperability and, therefore, resilience of the network. The Commission proposed measures for a progressive migration of railway lines to the European standard track gauge.</w:t>
      </w:r>
      <w:r w:rsidRPr="00466B77">
        <w:rPr>
          <w:rFonts w:ascii="Times New Roman" w:hAnsi="Times New Roman" w:cs="Times New Roman"/>
          <w:iCs/>
          <w:noProof/>
          <w:vertAlign w:val="superscript"/>
          <w:lang w:val="en-GB"/>
        </w:rPr>
        <w:footnoteReference w:id="11"/>
      </w:r>
    </w:p>
    <w:p w14:paraId="332BD7B6" w14:textId="77777777" w:rsidR="003B2459" w:rsidRDefault="004C5DDF" w:rsidP="004C5DDF">
      <w:pPr>
        <w:spacing w:line="240" w:lineRule="auto"/>
        <w:jc w:val="both"/>
        <w:rPr>
          <w:rFonts w:ascii="Times New Roman" w:hAnsi="Times New Roman" w:cs="Times New Roman"/>
          <w:noProof/>
          <w:lang w:val="en-GB"/>
        </w:rPr>
      </w:pPr>
      <w:r w:rsidRPr="004C5DDF">
        <w:rPr>
          <w:rFonts w:ascii="Times New Roman" w:hAnsi="Times New Roman" w:cs="Times New Roman"/>
          <w:iCs/>
          <w:noProof/>
          <w:lang w:val="en-GB"/>
        </w:rPr>
        <w:t>The following maps illustrate the current TEN-T networks for roads, railways, ports and airports in the Union in the European Union (Regulation (EU) 1315/2013).</w:t>
      </w:r>
    </w:p>
    <w:p w14:paraId="33FF21C8" w14:textId="77777777" w:rsidR="00FD3C9F" w:rsidRDefault="00FD3C9F">
      <w:pPr>
        <w:rPr>
          <w:rFonts w:ascii="Times New Roman" w:hAnsi="Times New Roman" w:cs="Times New Roman"/>
          <w:noProof/>
          <w:lang w:val="en-GB"/>
        </w:rPr>
      </w:pPr>
      <w:r>
        <w:rPr>
          <w:rFonts w:ascii="Times New Roman" w:hAnsi="Times New Roman" w:cs="Times New Roman"/>
          <w:noProof/>
          <w:lang w:val="en-GB"/>
        </w:rPr>
        <w:br w:type="page"/>
      </w:r>
    </w:p>
    <w:p w14:paraId="5DBFC621" w14:textId="77777777" w:rsidR="00D82F69" w:rsidRDefault="00D82F69">
      <w:pPr>
        <w:spacing w:line="240" w:lineRule="auto"/>
        <w:jc w:val="both"/>
        <w:rPr>
          <w:rFonts w:ascii="Times New Roman" w:hAnsi="Times New Roman" w:cs="Times New Roman"/>
          <w:noProof/>
          <w:lang w:val="en-GB"/>
        </w:rPr>
      </w:pPr>
    </w:p>
    <w:p w14:paraId="2120BCFA" w14:textId="77777777" w:rsidR="004264A1" w:rsidRPr="00E6071F" w:rsidRDefault="00FD3C9F" w:rsidP="00FD3C9F">
      <w:pPr>
        <w:spacing w:line="240" w:lineRule="auto"/>
        <w:jc w:val="center"/>
        <w:rPr>
          <w:rFonts w:ascii="Times New Roman" w:eastAsia="Calibri" w:hAnsi="Times New Roman" w:cs="Times New Roman"/>
          <w:noProof/>
        </w:rPr>
      </w:pPr>
      <w:r>
        <w:rPr>
          <w:noProof/>
          <w:lang w:val="en-GB" w:eastAsia="en-GB"/>
        </w:rPr>
        <w:drawing>
          <wp:inline distT="0" distB="0" distL="0" distR="0" wp14:anchorId="2120FCCA" wp14:editId="098E9798">
            <wp:extent cx="4973381" cy="5200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r="937"/>
                    <a:stretch/>
                  </pic:blipFill>
                  <pic:spPr bwMode="auto">
                    <a:xfrm>
                      <a:off x="0" y="0"/>
                      <a:ext cx="5003305" cy="523194"/>
                    </a:xfrm>
                    <a:prstGeom prst="rect">
                      <a:avLst/>
                    </a:prstGeom>
                    <a:ln>
                      <a:noFill/>
                    </a:ln>
                    <a:extLst>
                      <a:ext uri="{53640926-AAD7-44D8-BBD7-CCE9431645EC}">
                        <a14:shadowObscured xmlns:a14="http://schemas.microsoft.com/office/drawing/2010/main"/>
                      </a:ext>
                    </a:extLst>
                  </pic:spPr>
                </pic:pic>
              </a:graphicData>
            </a:graphic>
          </wp:inline>
        </w:drawing>
      </w:r>
      <w:r w:rsidRPr="00FD3C9F">
        <w:rPr>
          <w:rFonts w:ascii="Times New Roman" w:eastAsia="Calibri" w:hAnsi="Times New Roman" w:cs="Times New Roman"/>
          <w:noProof/>
          <w:lang w:val="en-GB" w:eastAsia="en-GB"/>
        </w:rPr>
        <w:drawing>
          <wp:inline distT="0" distB="0" distL="0" distR="0" wp14:anchorId="3E5A5D43" wp14:editId="2BB8B247">
            <wp:extent cx="5075608" cy="6686429"/>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5075608" cy="6686429"/>
                    </a:xfrm>
                    <a:prstGeom prst="rect">
                      <a:avLst/>
                    </a:prstGeom>
                    <a:noFill/>
                    <a:ln>
                      <a:noFill/>
                    </a:ln>
                  </pic:spPr>
                </pic:pic>
              </a:graphicData>
            </a:graphic>
          </wp:inline>
        </w:drawing>
      </w:r>
    </w:p>
    <w:p w14:paraId="7FFE8641" w14:textId="77777777" w:rsidR="004264A1" w:rsidRDefault="00FD3C9F" w:rsidP="00AC08AE">
      <w:pPr>
        <w:spacing w:line="240" w:lineRule="auto"/>
        <w:jc w:val="center"/>
        <w:rPr>
          <w:rFonts w:ascii="Times New Roman" w:eastAsia="Calibri" w:hAnsi="Times New Roman" w:cs="Times New Roman"/>
          <w:noProof/>
        </w:rPr>
      </w:pPr>
      <w:r>
        <w:rPr>
          <w:noProof/>
          <w:lang w:val="en-GB" w:eastAsia="en-GB"/>
        </w:rPr>
        <w:drawing>
          <wp:inline distT="0" distB="0" distL="0" distR="0" wp14:anchorId="679C0696" wp14:editId="67B59C8E">
            <wp:extent cx="5007935" cy="842793"/>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007935" cy="842793"/>
                    </a:xfrm>
                    <a:prstGeom prst="rect">
                      <a:avLst/>
                    </a:prstGeom>
                  </pic:spPr>
                </pic:pic>
              </a:graphicData>
            </a:graphic>
          </wp:inline>
        </w:drawing>
      </w:r>
    </w:p>
    <w:p w14:paraId="627157BC" w14:textId="77777777" w:rsidR="00F93FA5" w:rsidRDefault="00F93FA5" w:rsidP="00B62C0A">
      <w:pPr>
        <w:spacing w:line="240" w:lineRule="auto"/>
        <w:jc w:val="center"/>
        <w:rPr>
          <w:rFonts w:ascii="Times New Roman" w:eastAsia="Calibri" w:hAnsi="Times New Roman" w:cs="Times New Roman"/>
          <w:noProof/>
        </w:rPr>
      </w:pPr>
    </w:p>
    <w:p w14:paraId="313FA555" w14:textId="77777777" w:rsidR="00FD3C9F" w:rsidRPr="009310E8" w:rsidRDefault="00FD3C9F" w:rsidP="00B62C0A">
      <w:pPr>
        <w:spacing w:line="240" w:lineRule="auto"/>
        <w:jc w:val="center"/>
        <w:rPr>
          <w:rFonts w:ascii="Times New Roman" w:eastAsia="Calibri" w:hAnsi="Times New Roman" w:cs="Times New Roman"/>
          <w:noProof/>
        </w:rPr>
      </w:pPr>
      <w:r>
        <w:rPr>
          <w:noProof/>
          <w:lang w:val="en-GB" w:eastAsia="en-GB"/>
        </w:rPr>
        <w:drawing>
          <wp:inline distT="0" distB="0" distL="0" distR="0" wp14:anchorId="3D43DB4A" wp14:editId="6F406857">
            <wp:extent cx="5263677" cy="548178"/>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349522" cy="557118"/>
                    </a:xfrm>
                    <a:prstGeom prst="rect">
                      <a:avLst/>
                    </a:prstGeom>
                  </pic:spPr>
                </pic:pic>
              </a:graphicData>
            </a:graphic>
          </wp:inline>
        </w:drawing>
      </w:r>
    </w:p>
    <w:p w14:paraId="71B68624" w14:textId="77777777" w:rsidR="00FD3C9F" w:rsidRDefault="00FD3C9F" w:rsidP="00FD3C9F">
      <w:pPr>
        <w:spacing w:before="240" w:after="240" w:line="240" w:lineRule="auto"/>
        <w:jc w:val="center"/>
        <w:rPr>
          <w:rFonts w:ascii="Times New Roman" w:hAnsi="Times New Roman" w:cs="Times New Roman"/>
          <w:iCs/>
          <w:noProof/>
          <w:lang w:val="en-GB"/>
        </w:rPr>
      </w:pPr>
      <w:r w:rsidRPr="00FD3C9F">
        <w:rPr>
          <w:rFonts w:ascii="Times New Roman" w:hAnsi="Times New Roman" w:cs="Times New Roman"/>
          <w:iCs/>
          <w:noProof/>
          <w:lang w:val="en-GB" w:eastAsia="en-GB"/>
        </w:rPr>
        <w:drawing>
          <wp:inline distT="0" distB="0" distL="0" distR="0" wp14:anchorId="14EFD63B" wp14:editId="4FFA5C64">
            <wp:extent cx="5295622" cy="6976268"/>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bwMode="auto">
                    <a:xfrm>
                      <a:off x="0" y="0"/>
                      <a:ext cx="5295622" cy="6976268"/>
                    </a:xfrm>
                    <a:prstGeom prst="rect">
                      <a:avLst/>
                    </a:prstGeom>
                    <a:noFill/>
                    <a:ln>
                      <a:noFill/>
                    </a:ln>
                  </pic:spPr>
                </pic:pic>
              </a:graphicData>
            </a:graphic>
          </wp:inline>
        </w:drawing>
      </w:r>
    </w:p>
    <w:p w14:paraId="0245123C" w14:textId="77777777" w:rsidR="00FD3C9F" w:rsidRDefault="00FD3C9F" w:rsidP="00FD3C9F">
      <w:pPr>
        <w:spacing w:before="240" w:after="240" w:line="240" w:lineRule="auto"/>
        <w:jc w:val="center"/>
        <w:rPr>
          <w:rFonts w:ascii="Times New Roman" w:hAnsi="Times New Roman" w:cs="Times New Roman"/>
          <w:iCs/>
          <w:noProof/>
          <w:lang w:val="en-GB"/>
        </w:rPr>
      </w:pPr>
      <w:r>
        <w:rPr>
          <w:noProof/>
          <w:lang w:val="en-GB" w:eastAsia="en-GB"/>
        </w:rPr>
        <w:drawing>
          <wp:inline distT="0" distB="0" distL="0" distR="0" wp14:anchorId="52B742B1" wp14:editId="5B865C63">
            <wp:extent cx="5306208" cy="90357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333939" cy="908294"/>
                    </a:xfrm>
                    <a:prstGeom prst="rect">
                      <a:avLst/>
                    </a:prstGeom>
                  </pic:spPr>
                </pic:pic>
              </a:graphicData>
            </a:graphic>
          </wp:inline>
        </w:drawing>
      </w:r>
    </w:p>
    <w:p w14:paraId="2ED944B7" w14:textId="1216469A" w:rsidR="00712C54" w:rsidRPr="00E6071F" w:rsidRDefault="00467DFF">
      <w:pPr>
        <w:spacing w:before="240" w:after="240" w:line="240" w:lineRule="auto"/>
        <w:jc w:val="both"/>
        <w:rPr>
          <w:rFonts w:ascii="Times New Roman" w:hAnsi="Times New Roman" w:cs="Times New Roman"/>
          <w:noProof/>
          <w:lang w:val="en-GB"/>
        </w:rPr>
      </w:pPr>
      <w:r w:rsidRPr="00566832">
        <w:rPr>
          <w:rFonts w:ascii="Times New Roman" w:hAnsi="Times New Roman" w:cs="Times New Roman"/>
          <w:iCs/>
          <w:noProof/>
          <w:lang w:val="en-GB"/>
        </w:rPr>
        <w:t>F</w:t>
      </w:r>
      <w:r w:rsidR="009A687C" w:rsidRPr="00566832">
        <w:rPr>
          <w:rFonts w:ascii="Times New Roman" w:hAnsi="Times New Roman" w:cs="Times New Roman"/>
          <w:iCs/>
          <w:noProof/>
          <w:lang w:val="en-GB"/>
        </w:rPr>
        <w:t>urther</w:t>
      </w:r>
      <w:r w:rsidR="00AD418A" w:rsidRPr="00566832">
        <w:rPr>
          <w:rFonts w:ascii="Times New Roman" w:hAnsi="Times New Roman" w:cs="Times New Roman"/>
          <w:iCs/>
          <w:noProof/>
          <w:lang w:val="en-GB"/>
        </w:rPr>
        <w:t xml:space="preserve"> efforts are </w:t>
      </w:r>
      <w:r w:rsidR="00321955" w:rsidRPr="00566832">
        <w:rPr>
          <w:rFonts w:ascii="Times New Roman" w:hAnsi="Times New Roman" w:cs="Times New Roman"/>
          <w:iCs/>
          <w:noProof/>
          <w:lang w:val="en-GB"/>
        </w:rPr>
        <w:t xml:space="preserve">also </w:t>
      </w:r>
      <w:r w:rsidR="00AD418A" w:rsidRPr="00566832">
        <w:rPr>
          <w:rFonts w:ascii="Times New Roman" w:hAnsi="Times New Roman" w:cs="Times New Roman"/>
          <w:iCs/>
          <w:noProof/>
          <w:lang w:val="en-GB"/>
        </w:rPr>
        <w:t xml:space="preserve">required to </w:t>
      </w:r>
      <w:r w:rsidR="00712C54" w:rsidRPr="00566832">
        <w:rPr>
          <w:rFonts w:ascii="Times New Roman" w:hAnsi="Times New Roman" w:cs="Times New Roman"/>
          <w:iCs/>
          <w:noProof/>
          <w:lang w:val="en-GB"/>
        </w:rPr>
        <w:t xml:space="preserve">identify </w:t>
      </w:r>
      <w:r w:rsidR="00652996" w:rsidRPr="00566832">
        <w:rPr>
          <w:rFonts w:ascii="Times New Roman" w:hAnsi="Times New Roman" w:cs="Times New Roman"/>
          <w:iCs/>
          <w:noProof/>
          <w:lang w:val="en-GB"/>
        </w:rPr>
        <w:t xml:space="preserve">the </w:t>
      </w:r>
      <w:r w:rsidR="00712C54" w:rsidRPr="00566832">
        <w:rPr>
          <w:rFonts w:ascii="Times New Roman" w:hAnsi="Times New Roman" w:cs="Times New Roman"/>
          <w:iCs/>
          <w:noProof/>
          <w:lang w:val="en-GB"/>
        </w:rPr>
        <w:t xml:space="preserve">gaps and bottlenecks in the </w:t>
      </w:r>
      <w:r w:rsidR="008B6A49" w:rsidRPr="00566832">
        <w:rPr>
          <w:rFonts w:ascii="Times New Roman" w:hAnsi="Times New Roman" w:cs="Times New Roman"/>
          <w:iCs/>
          <w:noProof/>
          <w:lang w:val="en-GB"/>
        </w:rPr>
        <w:t xml:space="preserve">physical </w:t>
      </w:r>
      <w:r w:rsidR="00712C54" w:rsidRPr="00566832">
        <w:rPr>
          <w:rFonts w:ascii="Times New Roman" w:hAnsi="Times New Roman" w:cs="Times New Roman"/>
          <w:iCs/>
          <w:noProof/>
          <w:lang w:val="en-GB"/>
        </w:rPr>
        <w:t>transport infrastructure</w:t>
      </w:r>
      <w:r w:rsidR="000E412C" w:rsidRPr="00566832">
        <w:rPr>
          <w:rFonts w:ascii="Times New Roman" w:hAnsi="Times New Roman" w:cs="Times New Roman"/>
          <w:iCs/>
          <w:noProof/>
          <w:lang w:val="en-GB"/>
        </w:rPr>
        <w:t xml:space="preserve"> in Member States</w:t>
      </w:r>
      <w:r w:rsidR="00321955" w:rsidRPr="00566832">
        <w:rPr>
          <w:rFonts w:ascii="Times New Roman" w:hAnsi="Times New Roman" w:cs="Times New Roman"/>
          <w:iCs/>
          <w:noProof/>
          <w:lang w:val="en-GB"/>
        </w:rPr>
        <w:t xml:space="preserve">. </w:t>
      </w:r>
      <w:r w:rsidR="00AD418A" w:rsidRPr="00566832">
        <w:rPr>
          <w:rFonts w:ascii="Times New Roman" w:hAnsi="Times New Roman" w:cs="Times New Roman"/>
          <w:iCs/>
          <w:noProof/>
          <w:lang w:val="en-GB"/>
        </w:rPr>
        <w:t xml:space="preserve">Thus far, </w:t>
      </w:r>
      <w:r w:rsidR="00AD418A" w:rsidRPr="00566832">
        <w:rPr>
          <w:rFonts w:ascii="Times New Roman" w:hAnsi="Times New Roman" w:cs="Times New Roman"/>
          <w:noProof/>
          <w:lang w:val="en-GB"/>
        </w:rPr>
        <w:t>the Commission</w:t>
      </w:r>
      <w:r w:rsidR="00E87A8B">
        <w:rPr>
          <w:rFonts w:ascii="Times New Roman" w:hAnsi="Times New Roman" w:cs="Times New Roman"/>
          <w:noProof/>
          <w:lang w:val="en-GB"/>
        </w:rPr>
        <w:t xml:space="preserve"> </w:t>
      </w:r>
      <w:r w:rsidR="00E87A8B" w:rsidRPr="00E87A8B">
        <w:rPr>
          <w:rFonts w:ascii="Times New Roman" w:hAnsi="Times New Roman" w:cs="Times New Roman"/>
          <w:noProof/>
          <w:lang w:val="en-GB"/>
        </w:rPr>
        <w:t>services</w:t>
      </w:r>
      <w:r w:rsidR="00AD418A" w:rsidRPr="00566832">
        <w:rPr>
          <w:rFonts w:ascii="Times New Roman" w:hAnsi="Times New Roman" w:cs="Times New Roman"/>
          <w:noProof/>
          <w:lang w:val="en-GB"/>
        </w:rPr>
        <w:t xml:space="preserve"> and the EEAS</w:t>
      </w:r>
      <w:r w:rsidR="004264A1" w:rsidRPr="00E6071F">
        <w:rPr>
          <w:rFonts w:ascii="Times New Roman" w:hAnsi="Times New Roman" w:cs="Times New Roman"/>
          <w:noProof/>
          <w:lang w:val="en-GB"/>
        </w:rPr>
        <w:t xml:space="preserve"> (including the EU Military Staff)</w:t>
      </w:r>
      <w:r w:rsidR="00AD418A" w:rsidRPr="00E6071F">
        <w:rPr>
          <w:rFonts w:ascii="Times New Roman" w:hAnsi="Times New Roman" w:cs="Times New Roman"/>
          <w:noProof/>
          <w:lang w:val="en-GB"/>
        </w:rPr>
        <w:t xml:space="preserve"> </w:t>
      </w:r>
      <w:r w:rsidR="00712C54" w:rsidRPr="00E6071F">
        <w:rPr>
          <w:rFonts w:ascii="Times New Roman" w:hAnsi="Times New Roman" w:cs="Times New Roman"/>
          <w:noProof/>
          <w:lang w:val="en-GB"/>
        </w:rPr>
        <w:t>have worked on reducing the gap between the TEN-T and the EU military networks in the TEN-T revision and by securing funds in</w:t>
      </w:r>
      <w:r w:rsidR="008B13D8" w:rsidRPr="00E6071F">
        <w:rPr>
          <w:rFonts w:ascii="Times New Roman" w:hAnsi="Times New Roman" w:cs="Times New Roman"/>
          <w:noProof/>
          <w:lang w:val="en-GB"/>
        </w:rPr>
        <w:t xml:space="preserve"> </w:t>
      </w:r>
      <w:r w:rsidR="00712C54" w:rsidRPr="00E6071F">
        <w:rPr>
          <w:rFonts w:ascii="Times New Roman" w:hAnsi="Times New Roman" w:cs="Times New Roman"/>
          <w:noProof/>
          <w:lang w:val="en-GB"/>
        </w:rPr>
        <w:t xml:space="preserve">CEF military mobility to support dual-use projects. Efforts should now </w:t>
      </w:r>
      <w:r w:rsidR="00F467D6" w:rsidRPr="00E6071F">
        <w:rPr>
          <w:rFonts w:ascii="Times New Roman" w:hAnsi="Times New Roman" w:cs="Times New Roman"/>
          <w:noProof/>
          <w:lang w:val="en-GB"/>
        </w:rPr>
        <w:t>focus</w:t>
      </w:r>
      <w:r w:rsidR="00712C54" w:rsidRPr="00E6071F">
        <w:rPr>
          <w:rFonts w:ascii="Times New Roman" w:hAnsi="Times New Roman" w:cs="Times New Roman"/>
          <w:noProof/>
          <w:lang w:val="en-GB"/>
        </w:rPr>
        <w:t xml:space="preserve"> on ensuring that the infrastructure can be used in the most </w:t>
      </w:r>
      <w:r w:rsidR="003D1D19" w:rsidRPr="00E6071F">
        <w:rPr>
          <w:rFonts w:ascii="Times New Roman" w:hAnsi="Times New Roman" w:cs="Times New Roman"/>
          <w:noProof/>
          <w:lang w:val="en-GB"/>
        </w:rPr>
        <w:t>effective</w:t>
      </w:r>
      <w:r w:rsidR="00712C54" w:rsidRPr="00E6071F">
        <w:rPr>
          <w:rFonts w:ascii="Times New Roman" w:hAnsi="Times New Roman" w:cs="Times New Roman"/>
          <w:noProof/>
          <w:lang w:val="en-GB"/>
        </w:rPr>
        <w:t xml:space="preserve"> way when military forces have to move. </w:t>
      </w:r>
      <w:r w:rsidR="00E66ED5" w:rsidRPr="00E6071F">
        <w:rPr>
          <w:rFonts w:ascii="Times New Roman" w:hAnsi="Times New Roman" w:cs="Times New Roman"/>
          <w:noProof/>
          <w:lang w:val="en-GB"/>
        </w:rPr>
        <w:t xml:space="preserve">The objective </w:t>
      </w:r>
      <w:r w:rsidR="00F46D94" w:rsidRPr="00E6071F">
        <w:rPr>
          <w:rFonts w:ascii="Times New Roman" w:hAnsi="Times New Roman" w:cs="Times New Roman"/>
          <w:noProof/>
          <w:lang w:val="en-GB"/>
        </w:rPr>
        <w:t>is</w:t>
      </w:r>
      <w:r w:rsidR="00E66ED5" w:rsidRPr="00E6071F">
        <w:rPr>
          <w:rFonts w:ascii="Times New Roman" w:hAnsi="Times New Roman" w:cs="Times New Roman"/>
          <w:noProof/>
          <w:lang w:val="en-GB"/>
        </w:rPr>
        <w:t xml:space="preserve"> to increase the capacity of the infrastructure and optimise its use, for both civilian and military purposes. </w:t>
      </w:r>
      <w:r w:rsidR="00712C54" w:rsidRPr="00E6071F">
        <w:rPr>
          <w:rFonts w:ascii="Times New Roman" w:hAnsi="Times New Roman" w:cs="Times New Roman"/>
          <w:noProof/>
          <w:lang w:val="en-GB"/>
        </w:rPr>
        <w:t>This requires high resilience of the infrastructure</w:t>
      </w:r>
      <w:r w:rsidR="00AF6E57" w:rsidRPr="00E6071F">
        <w:rPr>
          <w:rFonts w:ascii="Times New Roman" w:hAnsi="Times New Roman" w:cs="Times New Roman"/>
          <w:noProof/>
          <w:lang w:val="en-GB"/>
        </w:rPr>
        <w:t>, supporting technologies</w:t>
      </w:r>
      <w:r w:rsidR="00A635CF" w:rsidRPr="00E6071F">
        <w:rPr>
          <w:rFonts w:ascii="Times New Roman" w:hAnsi="Times New Roman" w:cs="Times New Roman"/>
          <w:noProof/>
          <w:lang w:val="en-GB"/>
        </w:rPr>
        <w:t xml:space="preserve"> and access to energy</w:t>
      </w:r>
      <w:r w:rsidR="00712C54" w:rsidRPr="00E6071F">
        <w:rPr>
          <w:rFonts w:ascii="Times New Roman" w:hAnsi="Times New Roman" w:cs="Times New Roman"/>
          <w:noProof/>
          <w:lang w:val="en-GB"/>
        </w:rPr>
        <w:t xml:space="preserve">, allowing military forces to </w:t>
      </w:r>
      <w:r w:rsidR="00517C0E" w:rsidRPr="00E6071F">
        <w:rPr>
          <w:rFonts w:ascii="Times New Roman" w:hAnsi="Times New Roman" w:cs="Times New Roman"/>
          <w:noProof/>
          <w:lang w:val="en-GB"/>
        </w:rPr>
        <w:t>move</w:t>
      </w:r>
      <w:r w:rsidR="00712C54" w:rsidRPr="00E6071F">
        <w:rPr>
          <w:rFonts w:ascii="Times New Roman" w:hAnsi="Times New Roman" w:cs="Times New Roman"/>
          <w:noProof/>
          <w:lang w:val="en-GB"/>
        </w:rPr>
        <w:t xml:space="preserve"> substantial capacity within very short notice. </w:t>
      </w:r>
    </w:p>
    <w:p w14:paraId="602DEDCF" w14:textId="7B9F3DCF" w:rsidR="005B1080" w:rsidRPr="00E6071F" w:rsidRDefault="00E87A8B" w:rsidP="00354072">
      <w:pPr>
        <w:spacing w:after="240" w:line="240" w:lineRule="auto"/>
        <w:jc w:val="both"/>
        <w:rPr>
          <w:rFonts w:ascii="Times New Roman" w:hAnsi="Times New Roman" w:cs="Times New Roman"/>
          <w:noProof/>
        </w:rPr>
      </w:pPr>
      <w:r>
        <w:rPr>
          <w:rFonts w:ascii="Times New Roman" w:eastAsia="Calibri" w:hAnsi="Times New Roman" w:cs="Times New Roman"/>
          <w:noProof/>
        </w:rPr>
        <w:t>Therefore</w:t>
      </w:r>
      <w:r w:rsidR="00C66669" w:rsidRPr="00E6071F">
        <w:rPr>
          <w:rFonts w:ascii="Times New Roman" w:eastAsia="Calibri" w:hAnsi="Times New Roman" w:cs="Times New Roman"/>
          <w:noProof/>
        </w:rPr>
        <w:t xml:space="preserve"> the Military Requirements within and beyond the EU</w:t>
      </w:r>
      <w:r w:rsidR="005B1080" w:rsidRPr="00E6071F">
        <w:rPr>
          <w:rFonts w:ascii="Times New Roman" w:eastAsia="Calibri" w:hAnsi="Times New Roman" w:cs="Times New Roman"/>
          <w:noProof/>
        </w:rPr>
        <w:t xml:space="preserve"> </w:t>
      </w:r>
      <w:r w:rsidR="00E45DFB" w:rsidRPr="00E6071F">
        <w:rPr>
          <w:rFonts w:ascii="Times New Roman" w:eastAsia="Calibri" w:hAnsi="Times New Roman" w:cs="Times New Roman"/>
          <w:noProof/>
        </w:rPr>
        <w:t xml:space="preserve">need to </w:t>
      </w:r>
      <w:r w:rsidR="005B1080" w:rsidRPr="00E6071F">
        <w:rPr>
          <w:rFonts w:ascii="Times New Roman" w:eastAsia="Calibri" w:hAnsi="Times New Roman" w:cs="Times New Roman"/>
          <w:noProof/>
        </w:rPr>
        <w:t>be updated</w:t>
      </w:r>
      <w:r w:rsidR="00C5155F">
        <w:rPr>
          <w:rFonts w:ascii="Times New Roman" w:eastAsia="Calibri" w:hAnsi="Times New Roman" w:cs="Times New Roman"/>
          <w:noProof/>
        </w:rPr>
        <w:t xml:space="preserve"> </w:t>
      </w:r>
      <w:r w:rsidR="00C66669" w:rsidRPr="00E6071F">
        <w:rPr>
          <w:rFonts w:ascii="Times New Roman" w:eastAsia="Calibri" w:hAnsi="Times New Roman" w:cs="Times New Roman"/>
          <w:noProof/>
        </w:rPr>
        <w:t xml:space="preserve">to enable  further alignment of the </w:t>
      </w:r>
      <w:r w:rsidR="002C11F0" w:rsidRPr="00E6071F">
        <w:rPr>
          <w:rFonts w:ascii="Times New Roman" w:eastAsia="Calibri" w:hAnsi="Times New Roman" w:cs="Times New Roman"/>
          <w:noProof/>
        </w:rPr>
        <w:t xml:space="preserve">standards for the </w:t>
      </w:r>
      <w:r w:rsidR="00C66669" w:rsidRPr="00E6071F">
        <w:rPr>
          <w:rFonts w:ascii="Times New Roman" w:eastAsia="Calibri" w:hAnsi="Times New Roman" w:cs="Times New Roman"/>
          <w:noProof/>
        </w:rPr>
        <w:t xml:space="preserve">trans-European transport network and the EU military transport network. </w:t>
      </w:r>
      <w:r w:rsidR="00C66669" w:rsidRPr="00E6071F">
        <w:rPr>
          <w:rFonts w:ascii="Times New Roman" w:hAnsi="Times New Roman" w:cs="Times New Roman"/>
          <w:noProof/>
        </w:rPr>
        <w:t xml:space="preserve">As part of this update, the </w:t>
      </w:r>
      <w:r w:rsidRPr="00E87A8B">
        <w:rPr>
          <w:rFonts w:ascii="Times New Roman" w:hAnsi="Times New Roman" w:cs="Times New Roman"/>
          <w:noProof/>
        </w:rPr>
        <w:t xml:space="preserve">scope of the </w:t>
      </w:r>
      <w:r w:rsidR="00C66669" w:rsidRPr="00E6071F">
        <w:rPr>
          <w:rFonts w:ascii="Times New Roman" w:hAnsi="Times New Roman" w:cs="Times New Roman"/>
          <w:noProof/>
        </w:rPr>
        <w:t xml:space="preserve">Military Requirements </w:t>
      </w:r>
      <w:r w:rsidRPr="00E87A8B">
        <w:rPr>
          <w:rFonts w:ascii="Times New Roman" w:hAnsi="Times New Roman" w:cs="Times New Roman"/>
          <w:noProof/>
        </w:rPr>
        <w:t xml:space="preserve">should be broadened to </w:t>
      </w:r>
      <w:r w:rsidR="001A7BAA" w:rsidRPr="00E87A8B">
        <w:rPr>
          <w:rFonts w:ascii="Times New Roman" w:hAnsi="Times New Roman" w:cs="Times New Roman"/>
          <w:noProof/>
        </w:rPr>
        <w:t xml:space="preserve">cover </w:t>
      </w:r>
      <w:r w:rsidR="00B80EBC">
        <w:rPr>
          <w:rFonts w:ascii="Times New Roman" w:hAnsi="Times New Roman" w:cs="Times New Roman"/>
          <w:noProof/>
        </w:rPr>
        <w:t xml:space="preserve">a </w:t>
      </w:r>
      <w:r w:rsidR="001A7BAA" w:rsidRPr="00E87A8B">
        <w:rPr>
          <w:rFonts w:ascii="Times New Roman" w:hAnsi="Times New Roman" w:cs="Times New Roman"/>
          <w:noProof/>
        </w:rPr>
        <w:t>Fuel</w:t>
      </w:r>
      <w:r w:rsidR="00C66669" w:rsidRPr="00E6071F">
        <w:rPr>
          <w:rFonts w:ascii="Times New Roman" w:hAnsi="Times New Roman" w:cs="Times New Roman"/>
          <w:noProof/>
        </w:rPr>
        <w:t xml:space="preserve"> Supply Chain Infrastructure</w:t>
      </w:r>
      <w:r w:rsidR="001A7BAA">
        <w:rPr>
          <w:rFonts w:ascii="Times New Roman" w:hAnsi="Times New Roman" w:cs="Times New Roman"/>
          <w:noProof/>
        </w:rPr>
        <w:t xml:space="preserve">. </w:t>
      </w:r>
      <w:r w:rsidR="004264A1" w:rsidRPr="00E6071F">
        <w:rPr>
          <w:rFonts w:ascii="Times New Roman" w:hAnsi="Times New Roman" w:cs="Times New Roman"/>
          <w:noProof/>
        </w:rPr>
        <w:t>When moving large-scale forces over a long distance</w:t>
      </w:r>
      <w:r w:rsidR="006B3D17">
        <w:rPr>
          <w:rFonts w:ascii="Times New Roman" w:hAnsi="Times New Roman" w:cs="Times New Roman"/>
          <w:noProof/>
        </w:rPr>
        <w:t xml:space="preserve"> in times of crisis</w:t>
      </w:r>
      <w:r w:rsidR="004264A1" w:rsidRPr="00E6071F">
        <w:rPr>
          <w:rFonts w:ascii="Times New Roman" w:hAnsi="Times New Roman" w:cs="Times New Roman"/>
          <w:noProof/>
        </w:rPr>
        <w:t xml:space="preserve">, it is essential to have a secure supply of fuel available along the </w:t>
      </w:r>
      <w:r w:rsidR="00D13BD1" w:rsidRPr="00E6071F">
        <w:rPr>
          <w:rFonts w:ascii="Times New Roman" w:hAnsi="Times New Roman" w:cs="Times New Roman"/>
          <w:noProof/>
        </w:rPr>
        <w:t>way</w:t>
      </w:r>
      <w:r w:rsidR="0028681C">
        <w:rPr>
          <w:rFonts w:ascii="Times New Roman" w:hAnsi="Times New Roman" w:cs="Times New Roman"/>
          <w:noProof/>
        </w:rPr>
        <w:t xml:space="preserve">. </w:t>
      </w:r>
      <w:r w:rsidR="008A0EA2" w:rsidRPr="00E6071F">
        <w:rPr>
          <w:rFonts w:ascii="Times New Roman" w:hAnsi="Times New Roman" w:cs="Times New Roman"/>
          <w:noProof/>
        </w:rPr>
        <w:t xml:space="preserve"> </w:t>
      </w:r>
      <w:r w:rsidR="0028681C" w:rsidRPr="0028681C">
        <w:rPr>
          <w:rFonts w:ascii="Times New Roman" w:hAnsi="Times New Roman" w:cs="Times New Roman"/>
          <w:noProof/>
        </w:rPr>
        <w:t>In addition, as the clean energy transition progresses, there is a geostrategic interest in ensuring that large-scale forces are less relia</w:t>
      </w:r>
      <w:r w:rsidR="00241651">
        <w:rPr>
          <w:rFonts w:ascii="Times New Roman" w:hAnsi="Times New Roman" w:cs="Times New Roman"/>
          <w:noProof/>
        </w:rPr>
        <w:t>nt</w:t>
      </w:r>
      <w:r w:rsidR="0028681C" w:rsidRPr="0028681C">
        <w:rPr>
          <w:rFonts w:ascii="Times New Roman" w:hAnsi="Times New Roman" w:cs="Times New Roman"/>
          <w:noProof/>
        </w:rPr>
        <w:t xml:space="preserve"> on fossil fuels</w:t>
      </w:r>
      <w:r w:rsidR="0028681C">
        <w:rPr>
          <w:rFonts w:ascii="Times New Roman" w:hAnsi="Times New Roman" w:cs="Times New Roman"/>
          <w:noProof/>
        </w:rPr>
        <w:t>. Furthermore, t</w:t>
      </w:r>
      <w:r w:rsidR="008A0EA2" w:rsidRPr="00E6071F">
        <w:rPr>
          <w:rFonts w:ascii="Times New Roman" w:hAnsi="Times New Roman" w:cs="Times New Roman"/>
          <w:noProof/>
        </w:rPr>
        <w:t xml:space="preserve">he Military Requirements should also </w:t>
      </w:r>
      <w:r w:rsidR="006B3D17">
        <w:rPr>
          <w:rFonts w:ascii="Times New Roman" w:hAnsi="Times New Roman" w:cs="Times New Roman"/>
          <w:noProof/>
        </w:rPr>
        <w:t>address</w:t>
      </w:r>
      <w:r w:rsidR="006B3D17" w:rsidRPr="00E6071F">
        <w:rPr>
          <w:rFonts w:ascii="Times New Roman" w:hAnsi="Times New Roman" w:cs="Times New Roman"/>
          <w:noProof/>
        </w:rPr>
        <w:t xml:space="preserve"> </w:t>
      </w:r>
      <w:r w:rsidR="008A0EA2" w:rsidRPr="00E6071F">
        <w:rPr>
          <w:rFonts w:ascii="Times New Roman" w:hAnsi="Times New Roman" w:cs="Times New Roman"/>
          <w:noProof/>
        </w:rPr>
        <w:t xml:space="preserve">the infrastructures and systems for an effective access to airspace and use of air navigation systems. </w:t>
      </w:r>
      <w:r w:rsidR="002C11F0" w:rsidRPr="00E6071F">
        <w:rPr>
          <w:rFonts w:ascii="Times New Roman" w:hAnsi="Times New Roman" w:cs="Times New Roman"/>
          <w:noProof/>
        </w:rPr>
        <w:t>Further increase of TEN-T capacity requires also exploring links to the development of logistic</w:t>
      </w:r>
      <w:r w:rsidR="00241651">
        <w:rPr>
          <w:rFonts w:ascii="Times New Roman" w:hAnsi="Times New Roman" w:cs="Times New Roman"/>
          <w:noProof/>
        </w:rPr>
        <w:t>s</w:t>
      </w:r>
      <w:r w:rsidR="002C11F0" w:rsidRPr="00E6071F">
        <w:rPr>
          <w:rFonts w:ascii="Times New Roman" w:hAnsi="Times New Roman" w:cs="Times New Roman"/>
          <w:noProof/>
        </w:rPr>
        <w:t xml:space="preserve"> hubs. </w:t>
      </w:r>
    </w:p>
    <w:p w14:paraId="5D08FA0F" w14:textId="2713336C" w:rsidR="00517C0E" w:rsidRPr="00E6071F" w:rsidRDefault="006B3D17" w:rsidP="00E6071F">
      <w:pPr>
        <w:spacing w:after="240" w:line="240" w:lineRule="auto"/>
        <w:jc w:val="both"/>
        <w:rPr>
          <w:rFonts w:ascii="Times New Roman" w:hAnsi="Times New Roman" w:cs="Times New Roman"/>
          <w:iCs/>
          <w:noProof/>
        </w:rPr>
      </w:pPr>
      <w:r>
        <w:rPr>
          <w:rFonts w:ascii="Times New Roman" w:hAnsi="Times New Roman" w:cs="Times New Roman"/>
          <w:noProof/>
          <w:lang w:val="en-GB"/>
        </w:rPr>
        <w:t>T</w:t>
      </w:r>
      <w:r w:rsidR="00D245F6" w:rsidRPr="00E6071F">
        <w:rPr>
          <w:rFonts w:ascii="Times New Roman" w:hAnsi="Times New Roman" w:cs="Times New Roman"/>
          <w:noProof/>
          <w:lang w:val="en-GB"/>
        </w:rPr>
        <w:t xml:space="preserve">here is a need to </w:t>
      </w:r>
      <w:r w:rsidR="002C11F0" w:rsidRPr="00E6071F">
        <w:rPr>
          <w:rFonts w:ascii="Times New Roman" w:hAnsi="Times New Roman" w:cs="Times New Roman"/>
          <w:noProof/>
          <w:lang w:val="en-GB"/>
        </w:rPr>
        <w:t>identify</w:t>
      </w:r>
      <w:r w:rsidR="00AD418A" w:rsidRPr="00E6071F">
        <w:rPr>
          <w:rFonts w:ascii="Times New Roman" w:hAnsi="Times New Roman" w:cs="Times New Roman"/>
          <w:noProof/>
          <w:lang w:val="en-GB"/>
        </w:rPr>
        <w:t xml:space="preserve"> to what extent the EU military transport network </w:t>
      </w:r>
      <w:r>
        <w:rPr>
          <w:rFonts w:ascii="Times New Roman" w:hAnsi="Times New Roman" w:cs="Times New Roman"/>
          <w:noProof/>
          <w:lang w:val="en-GB"/>
        </w:rPr>
        <w:t xml:space="preserve">practically </w:t>
      </w:r>
      <w:r w:rsidR="00AD418A" w:rsidRPr="00E6071F">
        <w:rPr>
          <w:rFonts w:ascii="Times New Roman" w:hAnsi="Times New Roman" w:cs="Times New Roman"/>
          <w:noProof/>
          <w:lang w:val="en-GB"/>
        </w:rPr>
        <w:t xml:space="preserve">meets the </w:t>
      </w:r>
      <w:r w:rsidR="003D1D19" w:rsidRPr="00E6071F">
        <w:rPr>
          <w:rFonts w:ascii="Times New Roman" w:eastAsia="Calibri" w:hAnsi="Times New Roman" w:cs="Times New Roman"/>
          <w:noProof/>
        </w:rPr>
        <w:t>Military Requirements</w:t>
      </w:r>
      <w:r w:rsidR="002C11F0" w:rsidRPr="00E6071F">
        <w:rPr>
          <w:rFonts w:ascii="Times New Roman" w:eastAsia="Calibri" w:hAnsi="Times New Roman" w:cs="Times New Roman"/>
          <w:noProof/>
        </w:rPr>
        <w:t xml:space="preserve"> for infrastructure</w:t>
      </w:r>
      <w:r w:rsidR="00AD418A" w:rsidRPr="00E6071F">
        <w:rPr>
          <w:rFonts w:ascii="Times New Roman" w:hAnsi="Times New Roman" w:cs="Times New Roman"/>
          <w:noProof/>
          <w:lang w:val="en-GB"/>
        </w:rPr>
        <w:t xml:space="preserve">. </w:t>
      </w:r>
      <w:r w:rsidRPr="00E6071F">
        <w:rPr>
          <w:rFonts w:ascii="Times New Roman" w:hAnsi="Times New Roman" w:cs="Times New Roman"/>
          <w:noProof/>
          <w:lang w:val="en-GB"/>
        </w:rPr>
        <w:t>B</w:t>
      </w:r>
      <w:r>
        <w:rPr>
          <w:rFonts w:ascii="Times New Roman" w:hAnsi="Times New Roman" w:cs="Times New Roman"/>
          <w:noProof/>
          <w:lang w:val="en-GB"/>
        </w:rPr>
        <w:t>uilding</w:t>
      </w:r>
      <w:r w:rsidRPr="00E6071F">
        <w:rPr>
          <w:rFonts w:ascii="Times New Roman" w:hAnsi="Times New Roman" w:cs="Times New Roman"/>
          <w:noProof/>
          <w:lang w:val="en-GB"/>
        </w:rPr>
        <w:t xml:space="preserve"> </w:t>
      </w:r>
      <w:r w:rsidR="002C11F0" w:rsidRPr="00E6071F">
        <w:rPr>
          <w:rFonts w:ascii="Times New Roman" w:hAnsi="Times New Roman" w:cs="Times New Roman"/>
          <w:noProof/>
          <w:lang w:val="en-GB"/>
        </w:rPr>
        <w:t>on the Gap Analysis between civilian and military requirements</w:t>
      </w:r>
      <w:r w:rsidR="001E5938" w:rsidRPr="00E6071F">
        <w:rPr>
          <w:rFonts w:ascii="Times New Roman" w:hAnsi="Times New Roman" w:cs="Times New Roman"/>
          <w:noProof/>
          <w:lang w:val="en-GB"/>
        </w:rPr>
        <w:t xml:space="preserve"> (first presented in 2019 and then updated in 2020)</w:t>
      </w:r>
      <w:r w:rsidR="002C11F0" w:rsidRPr="00E6071F">
        <w:rPr>
          <w:rFonts w:ascii="Times New Roman" w:hAnsi="Times New Roman" w:cs="Times New Roman"/>
          <w:noProof/>
          <w:lang w:val="en-GB"/>
        </w:rPr>
        <w:t xml:space="preserve">, </w:t>
      </w:r>
      <w:r w:rsidRPr="006B3D17">
        <w:rPr>
          <w:rFonts w:ascii="Times New Roman" w:hAnsi="Times New Roman" w:cs="Times New Roman"/>
          <w:noProof/>
          <w:lang w:val="en-GB"/>
        </w:rPr>
        <w:t xml:space="preserve">an assessment needs to be done </w:t>
      </w:r>
      <w:r w:rsidR="00AD418A" w:rsidRPr="00E6071F">
        <w:rPr>
          <w:rFonts w:ascii="Times New Roman" w:hAnsi="Times New Roman" w:cs="Times New Roman"/>
          <w:noProof/>
          <w:lang w:val="en-GB"/>
        </w:rPr>
        <w:t>to what extent the</w:t>
      </w:r>
      <w:r w:rsidR="000E412C" w:rsidRPr="00E6071F">
        <w:rPr>
          <w:rFonts w:ascii="Times New Roman" w:hAnsi="Times New Roman" w:cs="Times New Roman"/>
          <w:noProof/>
          <w:lang w:val="en-GB"/>
        </w:rPr>
        <w:t xml:space="preserve"> </w:t>
      </w:r>
      <w:r w:rsidR="008B6A49" w:rsidRPr="00E6071F">
        <w:rPr>
          <w:rFonts w:ascii="Times New Roman" w:hAnsi="Times New Roman" w:cs="Times New Roman"/>
          <w:noProof/>
          <w:lang w:val="en-GB"/>
        </w:rPr>
        <w:t>physical</w:t>
      </w:r>
      <w:r w:rsidR="00AD418A" w:rsidRPr="00E6071F">
        <w:rPr>
          <w:rFonts w:ascii="Times New Roman" w:hAnsi="Times New Roman" w:cs="Times New Roman"/>
          <w:noProof/>
          <w:lang w:val="en-GB"/>
        </w:rPr>
        <w:t xml:space="preserve"> </w:t>
      </w:r>
      <w:r w:rsidR="00AD418A" w:rsidRPr="00E6071F">
        <w:rPr>
          <w:rFonts w:ascii="Times New Roman" w:hAnsi="Times New Roman" w:cs="Times New Roman"/>
          <w:i/>
          <w:iCs/>
          <w:noProof/>
          <w:lang w:val="en-GB"/>
        </w:rPr>
        <w:t xml:space="preserve">infrastructure </w:t>
      </w:r>
      <w:r w:rsidR="00AD418A" w:rsidRPr="00E6071F">
        <w:rPr>
          <w:rFonts w:ascii="Times New Roman" w:hAnsi="Times New Roman" w:cs="Times New Roman"/>
          <w:noProof/>
          <w:lang w:val="en-GB"/>
        </w:rPr>
        <w:t xml:space="preserve">meets the </w:t>
      </w:r>
      <w:r w:rsidR="00AD418A" w:rsidRPr="00E6071F">
        <w:rPr>
          <w:rFonts w:ascii="Times New Roman" w:hAnsi="Times New Roman" w:cs="Times New Roman"/>
          <w:i/>
          <w:iCs/>
          <w:noProof/>
          <w:lang w:val="en-GB"/>
        </w:rPr>
        <w:t>military requirements</w:t>
      </w:r>
      <w:r w:rsidR="004C5DDF">
        <w:rPr>
          <w:rFonts w:ascii="Times New Roman" w:hAnsi="Times New Roman" w:cs="Times New Roman"/>
          <w:noProof/>
          <w:lang w:val="en-GB"/>
        </w:rPr>
        <w:t xml:space="preserve">. </w:t>
      </w:r>
      <w:r w:rsidR="004C5DDF" w:rsidRPr="004C5DDF">
        <w:rPr>
          <w:rFonts w:ascii="Times New Roman" w:hAnsi="Times New Roman" w:cs="Times New Roman"/>
          <w:noProof/>
          <w:lang w:val="en-GB"/>
        </w:rPr>
        <w:t xml:space="preserve">Such an assessment would allow identifying in which regions there are gaps, and what types of gaps, in consultation with NATO as appropriate. It would then be easier to </w:t>
      </w:r>
      <w:r w:rsidR="00AD418A" w:rsidRPr="00E6071F">
        <w:rPr>
          <w:rFonts w:ascii="Times New Roman" w:hAnsi="Times New Roman" w:cs="Times New Roman"/>
          <w:noProof/>
          <w:lang w:val="en-GB"/>
        </w:rPr>
        <w:t>prioritise infrastructure development and funding at the EU level</w:t>
      </w:r>
      <w:r w:rsidR="00354072" w:rsidRPr="00E6071F">
        <w:rPr>
          <w:rFonts w:ascii="Times New Roman" w:hAnsi="Times New Roman" w:cs="Times New Roman"/>
          <w:noProof/>
          <w:lang w:val="en-GB"/>
        </w:rPr>
        <w:t xml:space="preserve"> to accelerate the development of</w:t>
      </w:r>
      <w:r w:rsidR="00B43505" w:rsidRPr="00E6071F">
        <w:rPr>
          <w:rFonts w:ascii="Times New Roman" w:hAnsi="Times New Roman" w:cs="Times New Roman"/>
          <w:noProof/>
          <w:lang w:val="en-GB"/>
        </w:rPr>
        <w:t xml:space="preserve"> </w:t>
      </w:r>
      <w:r w:rsidR="00354072" w:rsidRPr="00E6071F">
        <w:rPr>
          <w:rFonts w:ascii="Times New Roman" w:hAnsi="Times New Roman" w:cs="Times New Roman"/>
          <w:noProof/>
          <w:lang w:val="en-GB"/>
        </w:rPr>
        <w:t xml:space="preserve">dual-use infrastructure and </w:t>
      </w:r>
      <w:r>
        <w:rPr>
          <w:rFonts w:ascii="Times New Roman" w:hAnsi="Times New Roman" w:cs="Times New Roman"/>
          <w:noProof/>
          <w:lang w:val="en-GB"/>
        </w:rPr>
        <w:t>to ensure</w:t>
      </w:r>
      <w:r w:rsidRPr="00E6071F">
        <w:rPr>
          <w:rFonts w:ascii="Times New Roman" w:hAnsi="Times New Roman" w:cs="Times New Roman"/>
          <w:noProof/>
          <w:lang w:val="en-GB"/>
        </w:rPr>
        <w:t xml:space="preserve"> </w:t>
      </w:r>
      <w:r w:rsidRPr="006B3D17">
        <w:rPr>
          <w:rFonts w:ascii="Times New Roman" w:hAnsi="Times New Roman" w:cs="Times New Roman"/>
          <w:noProof/>
          <w:lang w:val="en-GB"/>
        </w:rPr>
        <w:t xml:space="preserve">the resilience of </w:t>
      </w:r>
      <w:r w:rsidR="00354072" w:rsidRPr="00E6071F">
        <w:rPr>
          <w:rFonts w:ascii="Times New Roman" w:hAnsi="Times New Roman" w:cs="Times New Roman"/>
          <w:noProof/>
          <w:lang w:val="en-GB"/>
        </w:rPr>
        <w:t>transport network</w:t>
      </w:r>
      <w:r>
        <w:rPr>
          <w:rFonts w:ascii="Times New Roman" w:hAnsi="Times New Roman" w:cs="Times New Roman"/>
          <w:noProof/>
          <w:lang w:val="en-GB"/>
        </w:rPr>
        <w:t>.</w:t>
      </w:r>
      <w:r>
        <w:rPr>
          <w:rFonts w:ascii="Times New Roman" w:hAnsi="Times New Roman" w:cs="Times New Roman"/>
          <w:iCs/>
          <w:noProof/>
        </w:rPr>
        <w:t xml:space="preserve"> </w:t>
      </w:r>
      <w:r>
        <w:rPr>
          <w:rFonts w:ascii="Times New Roman" w:hAnsi="Times New Roman" w:cs="Times New Roman"/>
          <w:noProof/>
          <w:lang w:val="en-GB"/>
        </w:rPr>
        <w:t>Such measures</w:t>
      </w:r>
      <w:r w:rsidR="004264A1" w:rsidRPr="00E6071F">
        <w:rPr>
          <w:rFonts w:ascii="Times New Roman" w:hAnsi="Times New Roman" w:cs="Times New Roman"/>
          <w:iCs/>
          <w:noProof/>
        </w:rPr>
        <w:t xml:space="preserve"> </w:t>
      </w:r>
      <w:r w:rsidR="00657691">
        <w:rPr>
          <w:rFonts w:ascii="Times New Roman" w:hAnsi="Times New Roman" w:cs="Times New Roman"/>
          <w:iCs/>
          <w:noProof/>
        </w:rPr>
        <w:t xml:space="preserve">will </w:t>
      </w:r>
      <w:r w:rsidR="004264A1" w:rsidRPr="00E6071F">
        <w:rPr>
          <w:rFonts w:ascii="Times New Roman" w:hAnsi="Times New Roman" w:cs="Times New Roman"/>
          <w:iCs/>
          <w:noProof/>
        </w:rPr>
        <w:t xml:space="preserve">help to create a seamless </w:t>
      </w:r>
      <w:r w:rsidR="00FC54BD" w:rsidRPr="00E6071F">
        <w:rPr>
          <w:rFonts w:ascii="Times New Roman" w:hAnsi="Times New Roman" w:cs="Times New Roman"/>
          <w:iCs/>
          <w:noProof/>
        </w:rPr>
        <w:t xml:space="preserve">connection </w:t>
      </w:r>
      <w:r w:rsidR="00241651">
        <w:rPr>
          <w:rFonts w:ascii="Times New Roman" w:hAnsi="Times New Roman" w:cs="Times New Roman"/>
          <w:iCs/>
          <w:noProof/>
        </w:rPr>
        <w:t>of</w:t>
      </w:r>
      <w:r w:rsidR="00241651" w:rsidRPr="00E6071F">
        <w:rPr>
          <w:rFonts w:ascii="Times New Roman" w:hAnsi="Times New Roman" w:cs="Times New Roman"/>
          <w:iCs/>
          <w:noProof/>
        </w:rPr>
        <w:t xml:space="preserve"> </w:t>
      </w:r>
      <w:r w:rsidR="004264A1" w:rsidRPr="00E6071F">
        <w:rPr>
          <w:rFonts w:ascii="Times New Roman" w:hAnsi="Times New Roman" w:cs="Times New Roman"/>
          <w:iCs/>
          <w:noProof/>
        </w:rPr>
        <w:t xml:space="preserve">the military logistical depots and infrastructure </w:t>
      </w:r>
      <w:r w:rsidR="00FC54BD" w:rsidRPr="00E6071F">
        <w:rPr>
          <w:rFonts w:ascii="Times New Roman" w:hAnsi="Times New Roman" w:cs="Times New Roman"/>
          <w:iCs/>
          <w:noProof/>
        </w:rPr>
        <w:t xml:space="preserve">with </w:t>
      </w:r>
      <w:r w:rsidR="004264A1" w:rsidRPr="00E6071F">
        <w:rPr>
          <w:rFonts w:ascii="Times New Roman" w:hAnsi="Times New Roman" w:cs="Times New Roman"/>
          <w:iCs/>
          <w:noProof/>
        </w:rPr>
        <w:t xml:space="preserve">the </w:t>
      </w:r>
      <w:r w:rsidR="00D13BD1" w:rsidRPr="00E6071F">
        <w:rPr>
          <w:rFonts w:ascii="Times New Roman" w:hAnsi="Times New Roman" w:cs="Times New Roman"/>
          <w:iCs/>
          <w:noProof/>
        </w:rPr>
        <w:t xml:space="preserve">EU-wide </w:t>
      </w:r>
      <w:r w:rsidR="004264A1" w:rsidRPr="00E6071F">
        <w:rPr>
          <w:rFonts w:ascii="Times New Roman" w:hAnsi="Times New Roman" w:cs="Times New Roman"/>
          <w:iCs/>
          <w:noProof/>
        </w:rPr>
        <w:t xml:space="preserve">transport </w:t>
      </w:r>
      <w:r w:rsidR="00FC54BD" w:rsidRPr="00E6071F">
        <w:rPr>
          <w:rFonts w:ascii="Times New Roman" w:hAnsi="Times New Roman" w:cs="Times New Roman"/>
          <w:iCs/>
          <w:noProof/>
        </w:rPr>
        <w:t>network</w:t>
      </w:r>
      <w:r w:rsidR="004264A1" w:rsidRPr="00E6071F">
        <w:rPr>
          <w:rFonts w:ascii="Times New Roman" w:hAnsi="Times New Roman" w:cs="Times New Roman"/>
          <w:iCs/>
          <w:noProof/>
        </w:rPr>
        <w:t>.</w:t>
      </w:r>
      <w:r w:rsidR="00152604">
        <w:rPr>
          <w:rFonts w:ascii="Times New Roman" w:hAnsi="Times New Roman" w:cs="Times New Roman"/>
          <w:iCs/>
          <w:noProof/>
        </w:rPr>
        <w:t xml:space="preserve"> Infrastructure ensuring rapid deployment of military forces will also directly benefit civilian uses, for example new infrastructure capacity that could be used by Member States mutually assisting each other for urgent interventions to combat wildfires.</w:t>
      </w:r>
    </w:p>
    <w:p w14:paraId="3C6E05D0" w14:textId="77777777" w:rsidR="00CB465C" w:rsidRPr="009310E8" w:rsidRDefault="00CB465C" w:rsidP="00CB465C">
      <w:pPr>
        <w:spacing w:after="240" w:line="240" w:lineRule="auto"/>
        <w:jc w:val="both"/>
        <w:rPr>
          <w:rFonts w:ascii="Times New Roman" w:hAnsi="Times New Roman" w:cs="Times New Roman"/>
          <w:noProof/>
        </w:rPr>
      </w:pPr>
      <w:r w:rsidRPr="00FD6314">
        <w:rPr>
          <w:rFonts w:ascii="Times New Roman" w:hAnsi="Times New Roman" w:cs="Times New Roman"/>
          <w:noProof/>
        </w:rPr>
        <w:t>To facilitate the coherence and linkages</w:t>
      </w:r>
      <w:r w:rsidRPr="00344F24">
        <w:rPr>
          <w:rFonts w:ascii="Times New Roman" w:hAnsi="Times New Roman" w:cs="Times New Roman"/>
          <w:noProof/>
        </w:rPr>
        <w:t xml:space="preserve"> </w:t>
      </w:r>
      <w:r w:rsidRPr="00060E79">
        <w:rPr>
          <w:rFonts w:ascii="Times New Roman" w:hAnsi="Times New Roman" w:cs="Times New Roman"/>
          <w:noProof/>
        </w:rPr>
        <w:t>between Member States’ activities – including through the relevant different PESCO projects</w:t>
      </w:r>
      <w:r w:rsidR="00241651">
        <w:rPr>
          <w:rFonts w:ascii="Times New Roman" w:hAnsi="Times New Roman" w:cs="Times New Roman"/>
          <w:noProof/>
        </w:rPr>
        <w:t>,</w:t>
      </w:r>
      <w:r w:rsidRPr="00060E79">
        <w:rPr>
          <w:rFonts w:ascii="Times New Roman" w:hAnsi="Times New Roman" w:cs="Times New Roman"/>
          <w:noProof/>
        </w:rPr>
        <w:t xml:space="preserve"> notably on Military Mobility and Logistical Hubs – and EU-level work strands</w:t>
      </w:r>
      <w:r w:rsidR="00FC54BD" w:rsidRPr="009310E8">
        <w:rPr>
          <w:rFonts w:ascii="Times New Roman" w:hAnsi="Times New Roman" w:cs="Times New Roman"/>
          <w:noProof/>
        </w:rPr>
        <w:t xml:space="preserve"> across the full range of topics</w:t>
      </w:r>
      <w:r w:rsidRPr="009310E8">
        <w:rPr>
          <w:rFonts w:ascii="Times New Roman" w:hAnsi="Times New Roman" w:cs="Times New Roman"/>
          <w:noProof/>
        </w:rPr>
        <w:t xml:space="preserve">, an </w:t>
      </w:r>
      <w:r w:rsidRPr="00EC0C7C">
        <w:rPr>
          <w:rFonts w:ascii="Times New Roman" w:hAnsi="Times New Roman" w:cs="Times New Roman"/>
          <w:b/>
          <w:noProof/>
        </w:rPr>
        <w:t xml:space="preserve">annual </w:t>
      </w:r>
      <w:r w:rsidRPr="00E6071F">
        <w:rPr>
          <w:rFonts w:ascii="Times New Roman" w:hAnsi="Times New Roman" w:cs="Times New Roman"/>
          <w:b/>
          <w:noProof/>
        </w:rPr>
        <w:t xml:space="preserve">event could be established </w:t>
      </w:r>
      <w:r w:rsidRPr="00E6071F">
        <w:rPr>
          <w:rFonts w:ascii="Times New Roman" w:hAnsi="Times New Roman" w:cs="Times New Roman"/>
          <w:noProof/>
        </w:rPr>
        <w:t xml:space="preserve">to </w:t>
      </w:r>
      <w:r w:rsidRPr="00FD6314">
        <w:rPr>
          <w:rFonts w:ascii="Times New Roman" w:hAnsi="Times New Roman" w:cs="Times New Roman"/>
          <w:noProof/>
        </w:rPr>
        <w:t>bring together different stakeholders from EU institutions, relevant PESCO projects and partners such as NATO.</w:t>
      </w:r>
      <w:r w:rsidRPr="00344F24">
        <w:rPr>
          <w:rFonts w:ascii="Times New Roman" w:hAnsi="Times New Roman" w:cs="Times New Roman"/>
          <w:noProof/>
        </w:rPr>
        <w:t xml:space="preserve"> </w:t>
      </w:r>
      <w:r w:rsidR="00FC54BD" w:rsidRPr="00082B61">
        <w:rPr>
          <w:rFonts w:ascii="Times New Roman" w:hAnsi="Times New Roman" w:cs="Times New Roman"/>
          <w:noProof/>
        </w:rPr>
        <w:t>A first event could take place in the second half of 2023.</w:t>
      </w:r>
    </w:p>
    <w:p w14:paraId="63E1D9C5" w14:textId="77777777" w:rsidR="00CB465C" w:rsidRPr="00E6071F" w:rsidRDefault="00CB465C" w:rsidP="00717A88">
      <w:pPr>
        <w:pStyle w:val="CommentText"/>
        <w:jc w:val="both"/>
        <w:rPr>
          <w:rFonts w:ascii="Times New Roman" w:hAnsi="Times New Roman" w:cs="Times New Roman"/>
          <w:noProof/>
          <w:sz w:val="22"/>
          <w:szCs w:val="22"/>
          <w:lang w:val="en-GB"/>
        </w:rPr>
      </w:pPr>
    </w:p>
    <w:tbl>
      <w:tblPr>
        <w:tblStyle w:val="TableGrid"/>
        <w:tblW w:w="0" w:type="dxa"/>
        <w:tblLook w:val="04A0" w:firstRow="1" w:lastRow="0" w:firstColumn="1" w:lastColumn="0" w:noHBand="0" w:noVBand="1"/>
      </w:tblPr>
      <w:tblGrid>
        <w:gridCol w:w="9016"/>
      </w:tblGrid>
      <w:tr w:rsidR="00886D79" w:rsidRPr="00E6071F" w14:paraId="20E1F266" w14:textId="77777777" w:rsidTr="003308C6">
        <w:tc>
          <w:tcPr>
            <w:tcW w:w="9288" w:type="dxa"/>
            <w:shd w:val="clear" w:color="auto" w:fill="D9D9D9" w:themeFill="background1" w:themeFillShade="D9"/>
          </w:tcPr>
          <w:p w14:paraId="6A6C5945" w14:textId="77777777" w:rsidR="00447D98" w:rsidRPr="00E6071F" w:rsidRDefault="00DE1E24">
            <w:pPr>
              <w:tabs>
                <w:tab w:val="left" w:pos="284"/>
              </w:tabs>
              <w:spacing w:after="120"/>
              <w:jc w:val="both"/>
              <w:rPr>
                <w:rFonts w:ascii="Times New Roman" w:hAnsi="Times New Roman" w:cs="Times New Roman"/>
                <w:b/>
                <w:noProof/>
              </w:rPr>
            </w:pPr>
            <w:r w:rsidRPr="00E6071F">
              <w:rPr>
                <w:rFonts w:ascii="Times New Roman" w:hAnsi="Times New Roman" w:cs="Times New Roman"/>
                <w:b/>
                <w:noProof/>
              </w:rPr>
              <w:t>Key a</w:t>
            </w:r>
            <w:r w:rsidR="00447D98" w:rsidRPr="00E6071F">
              <w:rPr>
                <w:rFonts w:ascii="Times New Roman" w:hAnsi="Times New Roman" w:cs="Times New Roman"/>
                <w:b/>
                <w:noProof/>
              </w:rPr>
              <w:t>ctions</w:t>
            </w:r>
            <w:r w:rsidRPr="00E6071F">
              <w:rPr>
                <w:rFonts w:ascii="Times New Roman" w:hAnsi="Times New Roman" w:cs="Times New Roman"/>
                <w:b/>
                <w:noProof/>
              </w:rPr>
              <w:t xml:space="preserve"> at EU level:</w:t>
            </w:r>
          </w:p>
          <w:p w14:paraId="59A98BD3" w14:textId="77777777" w:rsidR="00AD418A" w:rsidRPr="00566832" w:rsidRDefault="003B468D" w:rsidP="00527056">
            <w:pPr>
              <w:pStyle w:val="ListParagraph"/>
              <w:numPr>
                <w:ilvl w:val="0"/>
                <w:numId w:val="28"/>
              </w:numPr>
              <w:tabs>
                <w:tab w:val="left" w:pos="284"/>
              </w:tabs>
              <w:spacing w:after="120"/>
              <w:jc w:val="both"/>
              <w:rPr>
                <w:rFonts w:ascii="Times New Roman" w:hAnsi="Times New Roman" w:cs="Times New Roman"/>
                <w:noProof/>
              </w:rPr>
            </w:pPr>
            <w:r>
              <w:rPr>
                <w:rFonts w:ascii="Times New Roman" w:hAnsi="Times New Roman" w:cs="Times New Roman"/>
                <w:noProof/>
              </w:rPr>
              <w:t>By the end of 2022</w:t>
            </w:r>
            <w:r w:rsidR="005B55F2">
              <w:rPr>
                <w:rFonts w:ascii="Times New Roman" w:hAnsi="Times New Roman" w:cs="Times New Roman"/>
                <w:noProof/>
              </w:rPr>
              <w:t>,</w:t>
            </w:r>
            <w:r w:rsidR="00DA7A2B" w:rsidRPr="00E6071F">
              <w:rPr>
                <w:rFonts w:ascii="Times New Roman" w:hAnsi="Times New Roman" w:cs="Times New Roman"/>
                <w:noProof/>
              </w:rPr>
              <w:t xml:space="preserve"> </w:t>
            </w:r>
            <w:r w:rsidR="005B55F2">
              <w:rPr>
                <w:rFonts w:ascii="Times New Roman" w:hAnsi="Times New Roman" w:cs="Times New Roman"/>
                <w:noProof/>
              </w:rPr>
              <w:t>t</w:t>
            </w:r>
            <w:r w:rsidR="00AD418A" w:rsidRPr="00E6071F">
              <w:rPr>
                <w:rFonts w:ascii="Times New Roman" w:hAnsi="Times New Roman" w:cs="Times New Roman"/>
                <w:noProof/>
              </w:rPr>
              <w:t>he EEAS</w:t>
            </w:r>
            <w:r w:rsidR="004264A1" w:rsidRPr="00E6071F">
              <w:rPr>
                <w:rFonts w:ascii="Times New Roman" w:hAnsi="Times New Roman" w:cs="Times New Roman"/>
                <w:noProof/>
              </w:rPr>
              <w:t xml:space="preserve"> (including EUMS)</w:t>
            </w:r>
            <w:r w:rsidR="006B3D17" w:rsidRPr="00756DD8">
              <w:rPr>
                <w:noProof/>
              </w:rPr>
              <w:t xml:space="preserve"> </w:t>
            </w:r>
            <w:r w:rsidR="006B3D17" w:rsidRPr="006B3D17">
              <w:rPr>
                <w:rFonts w:ascii="Times New Roman" w:hAnsi="Times New Roman" w:cs="Times New Roman"/>
                <w:noProof/>
              </w:rPr>
              <w:t>in coordination with Member States, Commission services and EDA,</w:t>
            </w:r>
            <w:r w:rsidR="00AD418A" w:rsidRPr="00E6071F">
              <w:rPr>
                <w:rFonts w:ascii="Times New Roman" w:hAnsi="Times New Roman" w:cs="Times New Roman"/>
                <w:noProof/>
              </w:rPr>
              <w:t xml:space="preserve"> will updat</w:t>
            </w:r>
            <w:r w:rsidR="005B55F2">
              <w:rPr>
                <w:rFonts w:ascii="Times New Roman" w:hAnsi="Times New Roman" w:cs="Times New Roman"/>
                <w:noProof/>
              </w:rPr>
              <w:t>e</w:t>
            </w:r>
            <w:r w:rsidR="00AD418A" w:rsidRPr="00E6071F">
              <w:rPr>
                <w:rFonts w:ascii="Times New Roman" w:hAnsi="Times New Roman" w:cs="Times New Roman"/>
                <w:noProof/>
              </w:rPr>
              <w:t xml:space="preserve"> </w:t>
            </w:r>
            <w:r w:rsidR="00657691">
              <w:rPr>
                <w:rFonts w:ascii="Times New Roman" w:hAnsi="Times New Roman" w:cs="Times New Roman"/>
                <w:noProof/>
              </w:rPr>
              <w:t xml:space="preserve">the </w:t>
            </w:r>
            <w:r w:rsidR="003D1D19" w:rsidRPr="00E6071F">
              <w:rPr>
                <w:rFonts w:ascii="Times New Roman" w:eastAsia="Calibri" w:hAnsi="Times New Roman" w:cs="Times New Roman"/>
                <w:noProof/>
              </w:rPr>
              <w:t>Military Requirements within and beyond the EU</w:t>
            </w:r>
            <w:r w:rsidR="00AD418A" w:rsidRPr="00E6071F">
              <w:rPr>
                <w:rFonts w:ascii="Times New Roman" w:hAnsi="Times New Roman" w:cs="Times New Roman"/>
                <w:noProof/>
              </w:rPr>
              <w:t xml:space="preserve">. </w:t>
            </w:r>
            <w:r w:rsidR="00657691">
              <w:rPr>
                <w:rFonts w:ascii="Times New Roman" w:hAnsi="Times New Roman" w:cs="Times New Roman"/>
                <w:noProof/>
              </w:rPr>
              <w:t xml:space="preserve">The </w:t>
            </w:r>
            <w:r w:rsidR="000E412C" w:rsidRPr="00E6071F">
              <w:rPr>
                <w:rFonts w:ascii="Times New Roman" w:hAnsi="Times New Roman" w:cs="Times New Roman"/>
                <w:noProof/>
              </w:rPr>
              <w:t xml:space="preserve">Military </w:t>
            </w:r>
            <w:r w:rsidR="000E412C" w:rsidRPr="00566832">
              <w:rPr>
                <w:rFonts w:ascii="Times New Roman" w:hAnsi="Times New Roman" w:cs="Times New Roman"/>
                <w:noProof/>
              </w:rPr>
              <w:t>Requirements</w:t>
            </w:r>
            <w:r w:rsidR="006B3D17">
              <w:rPr>
                <w:rFonts w:ascii="Times New Roman" w:hAnsi="Times New Roman" w:cs="Times New Roman"/>
                <w:noProof/>
              </w:rPr>
              <w:t xml:space="preserve"> will be expanded to cover</w:t>
            </w:r>
            <w:r w:rsidR="006B3D17" w:rsidRPr="00566832">
              <w:rPr>
                <w:rFonts w:ascii="Times New Roman" w:hAnsi="Times New Roman" w:cs="Times New Roman"/>
                <w:noProof/>
              </w:rPr>
              <w:t xml:space="preserve"> </w:t>
            </w:r>
            <w:r w:rsidR="000E412C" w:rsidRPr="00566832">
              <w:rPr>
                <w:rFonts w:ascii="Times New Roman" w:hAnsi="Times New Roman" w:cs="Times New Roman"/>
                <w:bCs/>
                <w:noProof/>
              </w:rPr>
              <w:t>Fuel Supply Chain Infrastructure</w:t>
            </w:r>
            <w:r w:rsidR="008A0EA2" w:rsidRPr="00566832">
              <w:rPr>
                <w:rFonts w:ascii="Times New Roman" w:hAnsi="Times New Roman" w:cs="Times New Roman"/>
                <w:noProof/>
              </w:rPr>
              <w:t xml:space="preserve"> and include the </w:t>
            </w:r>
            <w:r w:rsidR="001A7BAA" w:rsidRPr="00566832">
              <w:rPr>
                <w:rFonts w:ascii="Times New Roman" w:hAnsi="Times New Roman" w:cs="Times New Roman"/>
                <w:noProof/>
              </w:rPr>
              <w:t>dual use</w:t>
            </w:r>
            <w:r w:rsidR="008A0EA2" w:rsidRPr="00566832">
              <w:rPr>
                <w:rFonts w:ascii="Times New Roman" w:hAnsi="Times New Roman" w:cs="Times New Roman"/>
                <w:noProof/>
              </w:rPr>
              <w:t xml:space="preserve"> of the air traffic management communication, navigation and surveillance systems and infrastructures</w:t>
            </w:r>
            <w:r w:rsidR="00241651">
              <w:rPr>
                <w:rFonts w:ascii="Times New Roman" w:hAnsi="Times New Roman" w:cs="Times New Roman"/>
                <w:noProof/>
              </w:rPr>
              <w:t>,</w:t>
            </w:r>
            <w:r w:rsidR="008A0EA2" w:rsidRPr="00566832">
              <w:rPr>
                <w:rFonts w:ascii="Times New Roman" w:hAnsi="Times New Roman" w:cs="Times New Roman"/>
                <w:noProof/>
              </w:rPr>
              <w:t xml:space="preserve"> allowing effective access to airspace and use of air navigation services</w:t>
            </w:r>
            <w:r w:rsidR="008A0EA2" w:rsidRPr="00566832">
              <w:rPr>
                <w:rStyle w:val="FootnoteReference"/>
                <w:rFonts w:ascii="Times New Roman" w:hAnsi="Times New Roman" w:cs="Times New Roman"/>
                <w:noProof/>
              </w:rPr>
              <w:footnoteReference w:id="12"/>
            </w:r>
            <w:r w:rsidR="008A0EA2" w:rsidRPr="00566832">
              <w:rPr>
                <w:rFonts w:ascii="Times New Roman" w:hAnsi="Times New Roman" w:cs="Times New Roman"/>
                <w:noProof/>
              </w:rPr>
              <w:t xml:space="preserve">. </w:t>
            </w:r>
            <w:r w:rsidR="00F265ED" w:rsidRPr="00566832">
              <w:rPr>
                <w:rFonts w:ascii="Times New Roman" w:hAnsi="Times New Roman" w:cs="Times New Roman"/>
                <w:noProof/>
              </w:rPr>
              <w:t>Coherence with</w:t>
            </w:r>
            <w:r w:rsidR="00354072" w:rsidRPr="00566832">
              <w:rPr>
                <w:rFonts w:ascii="Times New Roman" w:hAnsi="Times New Roman" w:cs="Times New Roman"/>
                <w:noProof/>
              </w:rPr>
              <w:t xml:space="preserve"> NATO </w:t>
            </w:r>
            <w:r w:rsidR="00F265ED" w:rsidRPr="00566832">
              <w:rPr>
                <w:rFonts w:ascii="Times New Roman" w:hAnsi="Times New Roman" w:cs="Times New Roman"/>
                <w:noProof/>
              </w:rPr>
              <w:t xml:space="preserve">will continue to be ensured as </w:t>
            </w:r>
            <w:r w:rsidR="00354072" w:rsidRPr="00566832">
              <w:rPr>
                <w:rFonts w:ascii="Times New Roman" w:hAnsi="Times New Roman" w:cs="Times New Roman"/>
                <w:noProof/>
              </w:rPr>
              <w:t>appropriate</w:t>
            </w:r>
            <w:r w:rsidR="000E412C" w:rsidRPr="00566832">
              <w:rPr>
                <w:rFonts w:ascii="Times New Roman" w:hAnsi="Times New Roman" w:cs="Times New Roman"/>
                <w:noProof/>
              </w:rPr>
              <w:t>.</w:t>
            </w:r>
          </w:p>
          <w:p w14:paraId="5865FCBC" w14:textId="77777777" w:rsidR="000400D1" w:rsidRPr="003B2459" w:rsidRDefault="000400D1" w:rsidP="000400D1">
            <w:pPr>
              <w:pStyle w:val="ListParagraph"/>
              <w:numPr>
                <w:ilvl w:val="0"/>
                <w:numId w:val="28"/>
              </w:numPr>
              <w:tabs>
                <w:tab w:val="left" w:pos="284"/>
              </w:tabs>
              <w:spacing w:after="120"/>
              <w:jc w:val="both"/>
              <w:rPr>
                <w:rFonts w:ascii="Times New Roman" w:hAnsi="Times New Roman" w:cs="Times New Roman"/>
                <w:noProof/>
                <w:u w:val="single"/>
              </w:rPr>
            </w:pPr>
            <w:r w:rsidRPr="00566832">
              <w:rPr>
                <w:rFonts w:ascii="Times New Roman" w:hAnsi="Times New Roman" w:cs="Times New Roman"/>
                <w:noProof/>
              </w:rPr>
              <w:t>EDA and Commission services will continue their cooperation in ensuring access to airspace and air navigation services for civil and military aviation in the context of the Single European Sky (SES) and the related Air Traffic Management Research (SESAR).</w:t>
            </w:r>
          </w:p>
          <w:p w14:paraId="5B9DA564" w14:textId="26A88E94" w:rsidR="00AD418A" w:rsidRPr="00E6071F" w:rsidRDefault="00D570E0" w:rsidP="00E258DA">
            <w:pPr>
              <w:pStyle w:val="ListParagraph"/>
              <w:numPr>
                <w:ilvl w:val="0"/>
                <w:numId w:val="28"/>
              </w:numPr>
              <w:tabs>
                <w:tab w:val="left" w:pos="284"/>
              </w:tabs>
              <w:spacing w:after="120"/>
              <w:jc w:val="both"/>
              <w:rPr>
                <w:rFonts w:ascii="Times New Roman" w:hAnsi="Times New Roman" w:cs="Times New Roman"/>
                <w:noProof/>
              </w:rPr>
            </w:pPr>
            <w:r>
              <w:rPr>
                <w:rFonts w:ascii="Times New Roman" w:hAnsi="Times New Roman" w:cs="Times New Roman"/>
                <w:noProof/>
              </w:rPr>
              <w:t>By mid</w:t>
            </w:r>
            <w:r w:rsidR="00466B77">
              <w:rPr>
                <w:rFonts w:ascii="Times New Roman" w:hAnsi="Times New Roman" w:cs="Times New Roman"/>
                <w:noProof/>
              </w:rPr>
              <w:t>-</w:t>
            </w:r>
            <w:r w:rsidR="00BF7D39" w:rsidRPr="00566832">
              <w:rPr>
                <w:rFonts w:ascii="Times New Roman" w:hAnsi="Times New Roman" w:cs="Times New Roman"/>
                <w:noProof/>
              </w:rPr>
              <w:t>2023</w:t>
            </w:r>
            <w:r w:rsidR="00DA7A2B" w:rsidRPr="00566832">
              <w:rPr>
                <w:rFonts w:ascii="Times New Roman" w:hAnsi="Times New Roman" w:cs="Times New Roman"/>
                <w:noProof/>
              </w:rPr>
              <w:t xml:space="preserve">, </w:t>
            </w:r>
            <w:r w:rsidR="00B067ED" w:rsidRPr="00566832">
              <w:rPr>
                <w:rFonts w:ascii="Times New Roman" w:hAnsi="Times New Roman" w:cs="Times New Roman"/>
                <w:noProof/>
              </w:rPr>
              <w:t>Commission services</w:t>
            </w:r>
            <w:r w:rsidR="00B067ED" w:rsidRPr="00E6071F">
              <w:rPr>
                <w:rFonts w:ascii="Times New Roman" w:hAnsi="Times New Roman" w:cs="Times New Roman"/>
                <w:noProof/>
              </w:rPr>
              <w:t xml:space="preserve"> together with the EEAS will </w:t>
            </w:r>
            <w:r w:rsidR="00113F44">
              <w:rPr>
                <w:rFonts w:ascii="Times New Roman" w:hAnsi="Times New Roman" w:cs="Times New Roman"/>
                <w:noProof/>
              </w:rPr>
              <w:t xml:space="preserve">carry out </w:t>
            </w:r>
            <w:r w:rsidR="00B80EBC">
              <w:rPr>
                <w:rFonts w:ascii="Times New Roman" w:hAnsi="Times New Roman" w:cs="Times New Roman"/>
                <w:noProof/>
              </w:rPr>
              <w:t xml:space="preserve">a </w:t>
            </w:r>
            <w:r w:rsidR="00AD418A" w:rsidRPr="00E6071F">
              <w:rPr>
                <w:rFonts w:ascii="Times New Roman" w:hAnsi="Times New Roman" w:cs="Times New Roman"/>
                <w:bCs/>
                <w:noProof/>
              </w:rPr>
              <w:t>study to identify possibilities for short-notice</w:t>
            </w:r>
            <w:r w:rsidR="00E4183F" w:rsidRPr="00E6071F">
              <w:rPr>
                <w:rFonts w:ascii="Times New Roman" w:hAnsi="Times New Roman" w:cs="Times New Roman"/>
                <w:bCs/>
                <w:noProof/>
              </w:rPr>
              <w:t>,</w:t>
            </w:r>
            <w:r w:rsidR="00AD418A" w:rsidRPr="00E6071F">
              <w:rPr>
                <w:rFonts w:ascii="Times New Roman" w:hAnsi="Times New Roman" w:cs="Times New Roman"/>
                <w:bCs/>
                <w:noProof/>
              </w:rPr>
              <w:t xml:space="preserve"> large-scale movements to improve </w:t>
            </w:r>
            <w:r w:rsidR="0028681C">
              <w:rPr>
                <w:rFonts w:ascii="Times New Roman" w:hAnsi="Times New Roman" w:cs="Times New Roman"/>
                <w:bCs/>
                <w:noProof/>
              </w:rPr>
              <w:t>fuel</w:t>
            </w:r>
            <w:r w:rsidR="00AA5F99">
              <w:rPr>
                <w:rFonts w:ascii="Times New Roman" w:hAnsi="Times New Roman" w:cs="Times New Roman"/>
                <w:bCs/>
                <w:noProof/>
              </w:rPr>
              <w:t xml:space="preserve"> </w:t>
            </w:r>
            <w:r w:rsidR="0028681C">
              <w:rPr>
                <w:rFonts w:ascii="Times New Roman" w:hAnsi="Times New Roman" w:cs="Times New Roman"/>
                <w:bCs/>
                <w:noProof/>
              </w:rPr>
              <w:t xml:space="preserve">resilience, </w:t>
            </w:r>
            <w:r w:rsidR="00AD418A" w:rsidRPr="00E6071F">
              <w:rPr>
                <w:rFonts w:ascii="Times New Roman" w:hAnsi="Times New Roman" w:cs="Times New Roman"/>
                <w:bCs/>
                <w:noProof/>
              </w:rPr>
              <w:t>long-term infrastructure planning and optimal use of this infrastructure</w:t>
            </w:r>
            <w:r w:rsidR="00AD418A" w:rsidRPr="00FD6314">
              <w:rPr>
                <w:rFonts w:ascii="Times New Roman" w:hAnsi="Times New Roman" w:cs="Times New Roman"/>
                <w:noProof/>
              </w:rPr>
              <w:t>.</w:t>
            </w:r>
            <w:r w:rsidR="004C5DDF">
              <w:rPr>
                <w:rFonts w:ascii="Times New Roman" w:hAnsi="Times New Roman" w:cs="Times New Roman"/>
                <w:noProof/>
              </w:rPr>
              <w:t xml:space="preserve"> </w:t>
            </w:r>
            <w:r w:rsidR="004C5DDF" w:rsidRPr="004C5DDF">
              <w:rPr>
                <w:rFonts w:ascii="Times New Roman" w:hAnsi="Times New Roman" w:cs="Times New Roman"/>
                <w:noProof/>
              </w:rPr>
              <w:t>The study will include an analysis to what extent the physical EU military transport network meets the infrastructure requirements as identified in the Military Requirements, in consultation with NATO as appropriate. Based on input by national authorities, the Commission services and EEAS will analyse possible gaps and suggest actions to address them</w:t>
            </w:r>
            <w:r w:rsidR="004C5DDF">
              <w:rPr>
                <w:rFonts w:ascii="Times New Roman" w:hAnsi="Times New Roman" w:cs="Times New Roman"/>
                <w:noProof/>
              </w:rPr>
              <w:t>.</w:t>
            </w:r>
            <w:r w:rsidR="0019539A" w:rsidRPr="00FD6314">
              <w:rPr>
                <w:rFonts w:ascii="Times New Roman" w:hAnsi="Times New Roman" w:cs="Times New Roman"/>
                <w:noProof/>
              </w:rPr>
              <w:t xml:space="preserve"> </w:t>
            </w:r>
          </w:p>
          <w:p w14:paraId="49DED926" w14:textId="77777777" w:rsidR="00643D8C" w:rsidRPr="006538F4" w:rsidRDefault="00FC54BD" w:rsidP="00643D8C">
            <w:pPr>
              <w:pStyle w:val="ListParagraph"/>
              <w:numPr>
                <w:ilvl w:val="0"/>
                <w:numId w:val="28"/>
              </w:numPr>
              <w:tabs>
                <w:tab w:val="left" w:pos="284"/>
              </w:tabs>
              <w:spacing w:after="120"/>
              <w:jc w:val="both"/>
              <w:rPr>
                <w:rFonts w:ascii="Times New Roman" w:hAnsi="Times New Roman"/>
                <w:noProof/>
                <w:u w:val="single"/>
              </w:rPr>
            </w:pPr>
            <w:r w:rsidRPr="00E6071F">
              <w:rPr>
                <w:rFonts w:ascii="Times New Roman" w:hAnsi="Times New Roman"/>
                <w:noProof/>
              </w:rPr>
              <w:t>By summer 2023, the EEAS, in consultation with Commission services and the EDA, will liaise with a willing Member State to organise the first annual event on military mobility</w:t>
            </w:r>
            <w:r w:rsidR="00D921E2">
              <w:rPr>
                <w:noProof/>
              </w:rPr>
              <w:t xml:space="preserve"> </w:t>
            </w:r>
            <w:r w:rsidR="00D921E2" w:rsidRPr="00D921E2">
              <w:rPr>
                <w:rFonts w:ascii="Times New Roman" w:hAnsi="Times New Roman"/>
                <w:noProof/>
              </w:rPr>
              <w:t>bringing a whole of Government approach</w:t>
            </w:r>
            <w:r w:rsidRPr="00E6071F">
              <w:rPr>
                <w:rFonts w:ascii="Times New Roman" w:hAnsi="Times New Roman"/>
                <w:noProof/>
              </w:rPr>
              <w:t xml:space="preserve"> with relevant stakeholders.</w:t>
            </w:r>
          </w:p>
          <w:p w14:paraId="053D6F42" w14:textId="77777777" w:rsidR="006538F4" w:rsidRPr="00643D8C" w:rsidRDefault="006538F4" w:rsidP="00643D8C">
            <w:pPr>
              <w:pStyle w:val="ListParagraph"/>
              <w:numPr>
                <w:ilvl w:val="0"/>
                <w:numId w:val="28"/>
              </w:numPr>
              <w:tabs>
                <w:tab w:val="left" w:pos="284"/>
              </w:tabs>
              <w:spacing w:after="120"/>
              <w:jc w:val="both"/>
              <w:rPr>
                <w:rFonts w:ascii="Times New Roman" w:hAnsi="Times New Roman"/>
                <w:noProof/>
                <w:u w:val="single"/>
              </w:rPr>
            </w:pPr>
            <w:r w:rsidRPr="006538F4">
              <w:rPr>
                <w:rFonts w:ascii="Times New Roman" w:hAnsi="Times New Roman"/>
                <w:noProof/>
              </w:rPr>
              <w:t>As indicated in the Joint Communication on the Defence Investment Gaps Analysis and Way Forward, the Commission will, within the overall review of priorities in the mid-term review of the Multiannual Financial Framework (MFF), consider strengthening the military mobility budget through the Connecting Europe Facility to implement dual-use infrastructure projects within the constraints set by the MFF</w:t>
            </w:r>
            <w:r w:rsidR="00AA5F99">
              <w:rPr>
                <w:rFonts w:ascii="Times New Roman" w:hAnsi="Times New Roman"/>
                <w:noProof/>
              </w:rPr>
              <w:t>.</w:t>
            </w:r>
          </w:p>
        </w:tc>
      </w:tr>
    </w:tbl>
    <w:p w14:paraId="171CE81B" w14:textId="77777777" w:rsidR="00BF7D39" w:rsidRPr="00E6071F" w:rsidRDefault="00BF7D39">
      <w:pPr>
        <w:spacing w:line="240" w:lineRule="auto"/>
        <w:rPr>
          <w:rFonts w:ascii="Times New Roman" w:hAnsi="Times New Roman" w:cs="Times New Roman"/>
          <w:b/>
          <w:i/>
          <w:noProof/>
        </w:rPr>
      </w:pPr>
    </w:p>
    <w:tbl>
      <w:tblPr>
        <w:tblStyle w:val="TableGrid"/>
        <w:tblW w:w="0" w:type="dxa"/>
        <w:tblLook w:val="04A0" w:firstRow="1" w:lastRow="0" w:firstColumn="1" w:lastColumn="0" w:noHBand="0" w:noVBand="1"/>
      </w:tblPr>
      <w:tblGrid>
        <w:gridCol w:w="9016"/>
      </w:tblGrid>
      <w:tr w:rsidR="00886D79" w:rsidRPr="00E6071F" w14:paraId="5EBF1DD1" w14:textId="77777777" w:rsidTr="003308C6">
        <w:tc>
          <w:tcPr>
            <w:tcW w:w="9288" w:type="dxa"/>
            <w:shd w:val="clear" w:color="auto" w:fill="D9D9D9" w:themeFill="background1" w:themeFillShade="D9"/>
          </w:tcPr>
          <w:p w14:paraId="4B011E5D" w14:textId="77777777" w:rsidR="00DE1E24" w:rsidRPr="00E6071F" w:rsidRDefault="00DE1E24">
            <w:pPr>
              <w:tabs>
                <w:tab w:val="left" w:pos="284"/>
              </w:tabs>
              <w:spacing w:after="120"/>
              <w:jc w:val="both"/>
              <w:rPr>
                <w:rFonts w:ascii="Times New Roman" w:hAnsi="Times New Roman" w:cs="Times New Roman"/>
                <w:b/>
                <w:noProof/>
              </w:rPr>
            </w:pPr>
            <w:r w:rsidRPr="00E6071F">
              <w:rPr>
                <w:rFonts w:ascii="Times New Roman" w:hAnsi="Times New Roman" w:cs="Times New Roman"/>
                <w:b/>
                <w:noProof/>
              </w:rPr>
              <w:t>EU Member States are invited to:</w:t>
            </w:r>
          </w:p>
          <w:p w14:paraId="04F6A55D" w14:textId="2B727D2A" w:rsidR="003D1D19" w:rsidRPr="00E6071F" w:rsidRDefault="003D1D19" w:rsidP="003D1D19">
            <w:pPr>
              <w:pStyle w:val="ListParagraph"/>
              <w:numPr>
                <w:ilvl w:val="0"/>
                <w:numId w:val="28"/>
              </w:numPr>
              <w:tabs>
                <w:tab w:val="left" w:pos="284"/>
              </w:tabs>
              <w:spacing w:after="120"/>
              <w:jc w:val="both"/>
              <w:rPr>
                <w:rFonts w:ascii="Times New Roman" w:hAnsi="Times New Roman" w:cs="Times New Roman"/>
                <w:noProof/>
              </w:rPr>
            </w:pPr>
            <w:r w:rsidRPr="00E6071F">
              <w:rPr>
                <w:rFonts w:ascii="Times New Roman" w:hAnsi="Times New Roman" w:cs="Times New Roman"/>
                <w:noProof/>
              </w:rPr>
              <w:t xml:space="preserve">Maintain and develop the </w:t>
            </w:r>
            <w:r w:rsidR="00E4183F" w:rsidRPr="00E6071F">
              <w:rPr>
                <w:rFonts w:ascii="Times New Roman" w:hAnsi="Times New Roman" w:cs="Times New Roman"/>
                <w:noProof/>
              </w:rPr>
              <w:t xml:space="preserve">network of national points of contact </w:t>
            </w:r>
            <w:r w:rsidR="00945224" w:rsidRPr="00E6071F">
              <w:rPr>
                <w:rFonts w:ascii="Times New Roman" w:hAnsi="Times New Roman" w:cs="Times New Roman"/>
                <w:noProof/>
              </w:rPr>
              <w:t>for military mobility</w:t>
            </w:r>
            <w:r w:rsidR="00E45DFB" w:rsidRPr="00E6071F">
              <w:rPr>
                <w:rFonts w:ascii="Times New Roman" w:hAnsi="Times New Roman" w:cs="Times New Roman"/>
                <w:noProof/>
              </w:rPr>
              <w:t>.</w:t>
            </w:r>
          </w:p>
          <w:p w14:paraId="05329085" w14:textId="29B99FEB" w:rsidR="003D1D19" w:rsidRPr="00E6071F" w:rsidRDefault="003D1D19" w:rsidP="003D1D19">
            <w:pPr>
              <w:pStyle w:val="ListParagraph"/>
              <w:numPr>
                <w:ilvl w:val="0"/>
                <w:numId w:val="28"/>
              </w:numPr>
              <w:tabs>
                <w:tab w:val="left" w:pos="284"/>
              </w:tabs>
              <w:spacing w:after="120"/>
              <w:jc w:val="both"/>
              <w:rPr>
                <w:rFonts w:ascii="Times New Roman" w:hAnsi="Times New Roman" w:cs="Times New Roman"/>
                <w:noProof/>
              </w:rPr>
            </w:pPr>
            <w:r w:rsidRPr="00C0439D">
              <w:rPr>
                <w:rFonts w:ascii="Times New Roman" w:hAnsi="Times New Roman" w:cs="Times New Roman"/>
                <w:noProof/>
              </w:rPr>
              <w:t>Develop and submit  dual-use infrastructure project proposals in all transport</w:t>
            </w:r>
            <w:r w:rsidRPr="00E6071F">
              <w:rPr>
                <w:rFonts w:ascii="Times New Roman" w:hAnsi="Times New Roman" w:cs="Times New Roman"/>
                <w:noProof/>
              </w:rPr>
              <w:t xml:space="preserve"> domains</w:t>
            </w:r>
            <w:r w:rsidR="00E66ED5" w:rsidRPr="00E6071F">
              <w:rPr>
                <w:rFonts w:ascii="Times New Roman" w:hAnsi="Times New Roman" w:cs="Times New Roman"/>
                <w:noProof/>
              </w:rPr>
              <w:t xml:space="preserve"> that improve military mobility</w:t>
            </w:r>
            <w:r w:rsidR="008E6E89">
              <w:rPr>
                <w:rFonts w:ascii="Times New Roman" w:hAnsi="Times New Roman" w:cs="Times New Roman"/>
                <w:noProof/>
              </w:rPr>
              <w:t xml:space="preserve"> </w:t>
            </w:r>
            <w:r w:rsidR="008E6E89" w:rsidRPr="008E6E89">
              <w:rPr>
                <w:rFonts w:ascii="Times New Roman" w:hAnsi="Times New Roman" w:cs="Times New Roman"/>
                <w:noProof/>
              </w:rPr>
              <w:t>in line with the CEF and its stated priorities with a particular focus on transport actions that at the same time address climate actio</w:t>
            </w:r>
            <w:r w:rsidR="008E6E89">
              <w:rPr>
                <w:rFonts w:ascii="Times New Roman" w:hAnsi="Times New Roman" w:cs="Times New Roman"/>
                <w:noProof/>
              </w:rPr>
              <w:t>n</w:t>
            </w:r>
            <w:r w:rsidR="008F1E71" w:rsidRPr="00E6071F">
              <w:rPr>
                <w:rFonts w:ascii="Times New Roman" w:hAnsi="Times New Roman" w:cs="Times New Roman"/>
                <w:noProof/>
              </w:rPr>
              <w:t>, including projects to improve energy security</w:t>
            </w:r>
            <w:r w:rsidR="00E45DFB" w:rsidRPr="00E6071F">
              <w:rPr>
                <w:rFonts w:ascii="Times New Roman" w:hAnsi="Times New Roman" w:cs="Times New Roman"/>
                <w:noProof/>
              </w:rPr>
              <w:t>.</w:t>
            </w:r>
          </w:p>
          <w:p w14:paraId="7FDEE679" w14:textId="77777777" w:rsidR="00DE1E24" w:rsidRPr="00E6071F" w:rsidRDefault="003D1D19" w:rsidP="0086325E">
            <w:pPr>
              <w:pStyle w:val="ListParagraph"/>
              <w:numPr>
                <w:ilvl w:val="0"/>
                <w:numId w:val="28"/>
              </w:numPr>
              <w:tabs>
                <w:tab w:val="left" w:pos="284"/>
              </w:tabs>
              <w:spacing w:after="120"/>
              <w:jc w:val="both"/>
              <w:rPr>
                <w:rFonts w:ascii="Times New Roman" w:hAnsi="Times New Roman" w:cs="Times New Roman"/>
                <w:noProof/>
              </w:rPr>
            </w:pPr>
            <w:r w:rsidRPr="00E6071F">
              <w:rPr>
                <w:rFonts w:ascii="Times New Roman" w:hAnsi="Times New Roman" w:cs="Times New Roman"/>
                <w:noProof/>
              </w:rPr>
              <w:t>Contribute to the update of the Military Requirements for Military Mobility within and beyond the EU</w:t>
            </w:r>
            <w:r w:rsidR="0086325E" w:rsidRPr="00E6071F">
              <w:rPr>
                <w:rFonts w:ascii="Times New Roman" w:hAnsi="Times New Roman" w:cs="Times New Roman"/>
                <w:noProof/>
              </w:rPr>
              <w:t xml:space="preserve"> and s</w:t>
            </w:r>
            <w:r w:rsidR="00DA7A2B" w:rsidRPr="00E6071F">
              <w:rPr>
                <w:rFonts w:ascii="Times New Roman" w:hAnsi="Times New Roman" w:cs="Times New Roman"/>
                <w:noProof/>
              </w:rPr>
              <w:t>ubmit proposals for new areas</w:t>
            </w:r>
            <w:r w:rsidRPr="00E6071F">
              <w:rPr>
                <w:rFonts w:ascii="Times New Roman" w:hAnsi="Times New Roman" w:cs="Times New Roman"/>
                <w:noProof/>
              </w:rPr>
              <w:t xml:space="preserve"> to be included.</w:t>
            </w:r>
          </w:p>
          <w:p w14:paraId="253CBDF3" w14:textId="77777777" w:rsidR="00717A88" w:rsidRPr="00F5459C" w:rsidRDefault="00DA7A2B" w:rsidP="005C7B97">
            <w:pPr>
              <w:pStyle w:val="ListParagraph"/>
              <w:numPr>
                <w:ilvl w:val="0"/>
                <w:numId w:val="28"/>
              </w:numPr>
              <w:tabs>
                <w:tab w:val="left" w:pos="284"/>
              </w:tabs>
              <w:spacing w:after="120"/>
              <w:jc w:val="both"/>
              <w:rPr>
                <w:rFonts w:ascii="Times New Roman" w:hAnsi="Times New Roman" w:cs="Times New Roman"/>
                <w:noProof/>
                <w:u w:val="single"/>
              </w:rPr>
            </w:pPr>
            <w:r w:rsidRPr="00E6071F">
              <w:rPr>
                <w:rFonts w:ascii="Times New Roman" w:hAnsi="Times New Roman" w:cs="Times New Roman"/>
                <w:noProof/>
              </w:rPr>
              <w:t xml:space="preserve">By </w:t>
            </w:r>
            <w:r w:rsidR="00074F34" w:rsidRPr="00E6071F">
              <w:rPr>
                <w:rFonts w:ascii="Times New Roman" w:hAnsi="Times New Roman" w:cs="Times New Roman"/>
                <w:noProof/>
              </w:rPr>
              <w:t>mid-</w:t>
            </w:r>
            <w:r w:rsidR="00BF7D39" w:rsidRPr="00E6071F">
              <w:rPr>
                <w:rFonts w:ascii="Times New Roman" w:hAnsi="Times New Roman" w:cs="Times New Roman"/>
                <w:noProof/>
              </w:rPr>
              <w:t>2023</w:t>
            </w:r>
            <w:r w:rsidRPr="00E6071F">
              <w:rPr>
                <w:rFonts w:ascii="Times New Roman" w:hAnsi="Times New Roman" w:cs="Times New Roman"/>
                <w:noProof/>
              </w:rPr>
              <w:t xml:space="preserve">, </w:t>
            </w:r>
            <w:r w:rsidR="003C3041" w:rsidRPr="00E6071F">
              <w:rPr>
                <w:rFonts w:ascii="Times New Roman" w:hAnsi="Times New Roman" w:cs="Times New Roman"/>
                <w:noProof/>
              </w:rPr>
              <w:t>p</w:t>
            </w:r>
            <w:r w:rsidR="00717A88" w:rsidRPr="00E6071F">
              <w:rPr>
                <w:rFonts w:ascii="Times New Roman" w:hAnsi="Times New Roman" w:cs="Times New Roman"/>
                <w:noProof/>
              </w:rPr>
              <w:t>resent to the Commission</w:t>
            </w:r>
            <w:r w:rsidR="003C3041" w:rsidRPr="00E6071F">
              <w:rPr>
                <w:rFonts w:ascii="Times New Roman" w:hAnsi="Times New Roman" w:cs="Times New Roman"/>
                <w:noProof/>
              </w:rPr>
              <w:t xml:space="preserve"> services</w:t>
            </w:r>
            <w:r w:rsidR="00717A88" w:rsidRPr="00E6071F">
              <w:rPr>
                <w:rFonts w:ascii="Times New Roman" w:hAnsi="Times New Roman" w:cs="Times New Roman"/>
                <w:noProof/>
              </w:rPr>
              <w:t xml:space="preserve"> and EEAS their national assessments </w:t>
            </w:r>
            <w:r w:rsidR="005B55F2">
              <w:rPr>
                <w:rFonts w:ascii="Times New Roman" w:hAnsi="Times New Roman" w:cs="Times New Roman"/>
                <w:noProof/>
              </w:rPr>
              <w:t xml:space="preserve">of the </w:t>
            </w:r>
            <w:r w:rsidR="00717A88" w:rsidRPr="00E6071F">
              <w:rPr>
                <w:rFonts w:ascii="Times New Roman" w:hAnsi="Times New Roman" w:cs="Times New Roman"/>
                <w:noProof/>
              </w:rPr>
              <w:t>physical networks</w:t>
            </w:r>
            <w:r w:rsidR="001E5938" w:rsidRPr="00E6071F">
              <w:rPr>
                <w:rFonts w:ascii="Times New Roman" w:hAnsi="Times New Roman" w:cs="Times New Roman"/>
                <w:noProof/>
              </w:rPr>
              <w:t>’ ability to</w:t>
            </w:r>
            <w:r w:rsidR="00717A88" w:rsidRPr="00E6071F">
              <w:rPr>
                <w:rFonts w:ascii="Times New Roman" w:hAnsi="Times New Roman" w:cs="Times New Roman"/>
                <w:noProof/>
              </w:rPr>
              <w:t xml:space="preserve"> meet the infrastructure requirements identified in the Military Requirements</w:t>
            </w:r>
            <w:r w:rsidR="00AA5F99">
              <w:rPr>
                <w:rFonts w:ascii="Times New Roman" w:hAnsi="Times New Roman" w:cs="Times New Roman"/>
                <w:noProof/>
              </w:rPr>
              <w:t>,</w:t>
            </w:r>
            <w:r w:rsidR="003B468D">
              <w:rPr>
                <w:rFonts w:ascii="Times New Roman" w:hAnsi="Times New Roman" w:cs="Times New Roman"/>
                <w:noProof/>
              </w:rPr>
              <w:t xml:space="preserve"> to feed into the aforementioned study</w:t>
            </w:r>
            <w:r w:rsidR="00945224" w:rsidRPr="00E6071F">
              <w:rPr>
                <w:rFonts w:ascii="Times New Roman" w:hAnsi="Times New Roman" w:cs="Times New Roman"/>
                <w:noProof/>
              </w:rPr>
              <w:t>.</w:t>
            </w:r>
          </w:p>
          <w:p w14:paraId="264FCED9" w14:textId="77777777" w:rsidR="00F5459C" w:rsidRPr="00756DD8" w:rsidRDefault="00F5459C" w:rsidP="005C7B97">
            <w:pPr>
              <w:pStyle w:val="ListParagraph"/>
              <w:numPr>
                <w:ilvl w:val="0"/>
                <w:numId w:val="28"/>
              </w:numPr>
              <w:tabs>
                <w:tab w:val="left" w:pos="284"/>
              </w:tabs>
              <w:spacing w:after="120"/>
              <w:jc w:val="both"/>
              <w:rPr>
                <w:rFonts w:ascii="Times New Roman" w:hAnsi="Times New Roman"/>
                <w:noProof/>
              </w:rPr>
            </w:pPr>
            <w:r w:rsidRPr="00F5459C">
              <w:rPr>
                <w:rFonts w:ascii="Times New Roman" w:hAnsi="Times New Roman" w:cs="Times New Roman"/>
                <w:noProof/>
              </w:rPr>
              <w:t>Look for synergies on energy efficiency in their national strategies to prepare the armed forces for climate change before the end of 2023, as called for in the Strategic Compass.</w:t>
            </w:r>
          </w:p>
        </w:tc>
      </w:tr>
    </w:tbl>
    <w:p w14:paraId="64E7C399" w14:textId="77777777" w:rsidR="00DE1E24" w:rsidRPr="00E6071F" w:rsidRDefault="00DE1E24">
      <w:pPr>
        <w:spacing w:line="240" w:lineRule="auto"/>
        <w:rPr>
          <w:rFonts w:ascii="Times New Roman" w:hAnsi="Times New Roman" w:cs="Times New Roman"/>
          <w:b/>
          <w:i/>
          <w:noProof/>
        </w:rPr>
      </w:pPr>
    </w:p>
    <w:p w14:paraId="2A47BB45" w14:textId="77777777" w:rsidR="00AD418A" w:rsidRPr="00E6071F" w:rsidRDefault="00D83A6C" w:rsidP="0029319B">
      <w:pPr>
        <w:tabs>
          <w:tab w:val="left" w:pos="426"/>
        </w:tabs>
        <w:spacing w:after="240" w:line="240" w:lineRule="auto"/>
        <w:jc w:val="both"/>
        <w:rPr>
          <w:rFonts w:ascii="Times New Roman" w:hAnsi="Times New Roman" w:cs="Times New Roman"/>
          <w:b/>
          <w:noProof/>
          <w:u w:val="single"/>
          <w:lang w:val="en-GB"/>
        </w:rPr>
      </w:pPr>
      <w:r w:rsidRPr="00E6071F">
        <w:rPr>
          <w:rFonts w:ascii="Times New Roman" w:hAnsi="Times New Roman" w:cs="Times New Roman"/>
          <w:b/>
          <w:noProof/>
          <w:lang w:val="en-GB"/>
        </w:rPr>
        <w:t>3</w:t>
      </w:r>
      <w:r w:rsidR="004E3FC4" w:rsidRPr="00E6071F">
        <w:rPr>
          <w:rFonts w:ascii="Times New Roman" w:hAnsi="Times New Roman" w:cs="Times New Roman"/>
          <w:b/>
          <w:noProof/>
          <w:lang w:val="en-GB"/>
        </w:rPr>
        <w:t xml:space="preserve">.2 </w:t>
      </w:r>
      <w:r w:rsidR="004E3FC4" w:rsidRPr="00E6071F">
        <w:rPr>
          <w:rFonts w:ascii="Times New Roman" w:hAnsi="Times New Roman" w:cs="Times New Roman"/>
          <w:b/>
          <w:noProof/>
          <w:lang w:val="en-GB"/>
        </w:rPr>
        <w:tab/>
      </w:r>
      <w:r w:rsidR="00FA0E91" w:rsidRPr="00E6071F">
        <w:rPr>
          <w:rFonts w:ascii="Times New Roman" w:hAnsi="Times New Roman" w:cs="Times New Roman"/>
          <w:b/>
          <w:noProof/>
          <w:u w:val="single"/>
        </w:rPr>
        <w:t>Regulatory Support Measures</w:t>
      </w:r>
    </w:p>
    <w:p w14:paraId="1CE8151E" w14:textId="5138BFD4" w:rsidR="001E5938" w:rsidRPr="00344F24" w:rsidRDefault="003A009E" w:rsidP="0029319B">
      <w:pPr>
        <w:spacing w:after="240" w:line="240" w:lineRule="auto"/>
        <w:jc w:val="both"/>
        <w:rPr>
          <w:rFonts w:ascii="Times New Roman" w:hAnsi="Times New Roman" w:cs="Times New Roman"/>
          <w:noProof/>
          <w:lang w:val="en-GB"/>
        </w:rPr>
      </w:pPr>
      <w:r>
        <w:rPr>
          <w:rFonts w:ascii="Times New Roman" w:hAnsi="Times New Roman" w:cs="Times New Roman"/>
          <w:noProof/>
          <w:lang w:val="en-GB"/>
        </w:rPr>
        <w:t>H</w:t>
      </w:r>
      <w:r w:rsidR="00517C0E" w:rsidRPr="00E6071F">
        <w:rPr>
          <w:rFonts w:ascii="Times New Roman" w:hAnsi="Times New Roman" w:cs="Times New Roman"/>
          <w:noProof/>
          <w:lang w:val="en-GB"/>
        </w:rPr>
        <w:t>armonised procedures and remov</w:t>
      </w:r>
      <w:r w:rsidR="00AA5F99">
        <w:rPr>
          <w:rFonts w:ascii="Times New Roman" w:hAnsi="Times New Roman" w:cs="Times New Roman"/>
          <w:noProof/>
          <w:lang w:val="en-GB"/>
        </w:rPr>
        <w:t>al</w:t>
      </w:r>
      <w:r w:rsidR="00517C0E" w:rsidRPr="00E6071F">
        <w:rPr>
          <w:rFonts w:ascii="Times New Roman" w:hAnsi="Times New Roman" w:cs="Times New Roman"/>
          <w:noProof/>
          <w:lang w:val="en-GB"/>
        </w:rPr>
        <w:t xml:space="preserve"> of procedural barriers </w:t>
      </w:r>
      <w:r>
        <w:rPr>
          <w:rFonts w:ascii="Times New Roman" w:hAnsi="Times New Roman" w:cs="Times New Roman"/>
          <w:noProof/>
          <w:lang w:val="en-GB"/>
        </w:rPr>
        <w:t>will facilitate s</w:t>
      </w:r>
      <w:r w:rsidRPr="00E6071F">
        <w:rPr>
          <w:rFonts w:ascii="Times New Roman" w:hAnsi="Times New Roman" w:cs="Times New Roman"/>
          <w:noProof/>
          <w:lang w:val="en-GB"/>
        </w:rPr>
        <w:t>wift military movement</w:t>
      </w:r>
      <w:r>
        <w:rPr>
          <w:rFonts w:ascii="Times New Roman" w:hAnsi="Times New Roman" w:cs="Times New Roman"/>
          <w:noProof/>
          <w:lang w:val="en-GB"/>
        </w:rPr>
        <w:t>.</w:t>
      </w:r>
      <w:r w:rsidR="00517C0E" w:rsidRPr="00E6071F">
        <w:rPr>
          <w:rFonts w:ascii="Times New Roman" w:hAnsi="Times New Roman" w:cs="Times New Roman"/>
          <w:noProof/>
          <w:lang w:val="en-GB"/>
        </w:rPr>
        <w:t xml:space="preserve"> </w:t>
      </w:r>
      <w:r>
        <w:rPr>
          <w:rFonts w:ascii="Times New Roman" w:hAnsi="Times New Roman" w:cs="Times New Roman"/>
          <w:noProof/>
          <w:lang w:val="en-GB"/>
        </w:rPr>
        <w:t xml:space="preserve">Such measures should </w:t>
      </w:r>
      <w:r w:rsidR="00517C0E" w:rsidRPr="00E6071F">
        <w:rPr>
          <w:rFonts w:ascii="Times New Roman" w:hAnsi="Times New Roman" w:cs="Times New Roman"/>
          <w:noProof/>
          <w:lang w:val="en-GB"/>
        </w:rPr>
        <w:t xml:space="preserve">respect </w:t>
      </w:r>
      <w:r w:rsidR="00517C0E" w:rsidRPr="00E6071F">
        <w:rPr>
          <w:rFonts w:ascii="Times New Roman" w:hAnsi="Times New Roman" w:cs="Times New Roman"/>
          <w:noProof/>
        </w:rPr>
        <w:t xml:space="preserve">the sovereignty of EU Member States over their national territory and </w:t>
      </w:r>
      <w:r w:rsidR="008C450D" w:rsidRPr="00E6071F">
        <w:rPr>
          <w:rFonts w:ascii="Times New Roman" w:hAnsi="Times New Roman" w:cs="Times New Roman"/>
          <w:noProof/>
        </w:rPr>
        <w:t xml:space="preserve">of </w:t>
      </w:r>
      <w:r w:rsidR="00517C0E" w:rsidRPr="00E6071F">
        <w:rPr>
          <w:rFonts w:ascii="Times New Roman" w:hAnsi="Times New Roman" w:cs="Times New Roman"/>
          <w:noProof/>
        </w:rPr>
        <w:t>national decision-making processes</w:t>
      </w:r>
      <w:r>
        <w:rPr>
          <w:rFonts w:ascii="Times New Roman" w:hAnsi="Times New Roman" w:cs="Times New Roman"/>
          <w:noProof/>
        </w:rPr>
        <w:t xml:space="preserve">. </w:t>
      </w:r>
      <w:r w:rsidR="00517C0E" w:rsidRPr="00E6071F">
        <w:rPr>
          <w:rFonts w:ascii="Times New Roman" w:hAnsi="Times New Roman" w:cs="Times New Roman"/>
          <w:noProof/>
        </w:rPr>
        <w:t xml:space="preserve"> </w:t>
      </w:r>
      <w:r w:rsidR="002D3069" w:rsidRPr="00FD6314">
        <w:rPr>
          <w:rFonts w:ascii="Times New Roman" w:hAnsi="Times New Roman" w:cs="Times New Roman"/>
          <w:noProof/>
          <w:lang w:val="en-GB"/>
        </w:rPr>
        <w:t>T</w:t>
      </w:r>
      <w:r w:rsidR="00592B3B" w:rsidRPr="00FD6314">
        <w:rPr>
          <w:rFonts w:ascii="Times New Roman" w:hAnsi="Times New Roman" w:cs="Times New Roman"/>
          <w:noProof/>
          <w:lang w:val="en-GB"/>
        </w:rPr>
        <w:t xml:space="preserve">he </w:t>
      </w:r>
      <w:r w:rsidR="00104132" w:rsidRPr="00344F24">
        <w:rPr>
          <w:rFonts w:ascii="Times New Roman" w:hAnsi="Times New Roman" w:cs="Times New Roman"/>
          <w:noProof/>
          <w:lang w:val="en-GB"/>
        </w:rPr>
        <w:t xml:space="preserve">work ahead </w:t>
      </w:r>
      <w:r>
        <w:rPr>
          <w:rFonts w:ascii="Times New Roman" w:hAnsi="Times New Roman" w:cs="Times New Roman"/>
          <w:noProof/>
          <w:lang w:val="en-GB"/>
        </w:rPr>
        <w:t xml:space="preserve">should </w:t>
      </w:r>
      <w:r w:rsidR="00104132" w:rsidRPr="00344F24">
        <w:rPr>
          <w:rFonts w:ascii="Times New Roman" w:hAnsi="Times New Roman" w:cs="Times New Roman"/>
          <w:noProof/>
          <w:lang w:val="en-GB"/>
        </w:rPr>
        <w:t xml:space="preserve">focus on implementing </w:t>
      </w:r>
      <w:r>
        <w:rPr>
          <w:rFonts w:ascii="Times New Roman" w:hAnsi="Times New Roman" w:cs="Times New Roman"/>
          <w:noProof/>
          <w:lang w:val="en-GB"/>
        </w:rPr>
        <w:t xml:space="preserve">and complementing </w:t>
      </w:r>
      <w:r w:rsidR="00104132" w:rsidRPr="00344F24">
        <w:rPr>
          <w:rFonts w:ascii="Times New Roman" w:hAnsi="Times New Roman" w:cs="Times New Roman"/>
          <w:noProof/>
          <w:lang w:val="en-GB"/>
        </w:rPr>
        <w:t xml:space="preserve">the various </w:t>
      </w:r>
      <w:r w:rsidR="00A63360" w:rsidRPr="00060E79">
        <w:rPr>
          <w:rFonts w:ascii="Times New Roman" w:hAnsi="Times New Roman" w:cs="Times New Roman"/>
          <w:noProof/>
          <w:lang w:val="en-GB"/>
        </w:rPr>
        <w:t>work strands launched s</w:t>
      </w:r>
      <w:r w:rsidR="00693F5B" w:rsidRPr="00082B61">
        <w:rPr>
          <w:rFonts w:ascii="Times New Roman" w:hAnsi="Times New Roman" w:cs="Times New Roman"/>
          <w:noProof/>
          <w:lang w:val="en-GB"/>
        </w:rPr>
        <w:t xml:space="preserve">ince 2018 </w:t>
      </w:r>
      <w:r>
        <w:rPr>
          <w:rFonts w:ascii="Times New Roman" w:hAnsi="Times New Roman" w:cs="Times New Roman"/>
          <w:noProof/>
          <w:lang w:val="en-GB"/>
        </w:rPr>
        <w:t xml:space="preserve">with the objective of </w:t>
      </w:r>
      <w:r w:rsidR="001E5938" w:rsidRPr="00E6071F">
        <w:rPr>
          <w:rFonts w:ascii="Times New Roman" w:hAnsi="Times New Roman" w:cs="Times New Roman"/>
          <w:noProof/>
          <w:lang w:val="en-GB"/>
        </w:rPr>
        <w:t>help</w:t>
      </w:r>
      <w:r>
        <w:rPr>
          <w:rFonts w:ascii="Times New Roman" w:hAnsi="Times New Roman" w:cs="Times New Roman"/>
          <w:noProof/>
          <w:lang w:val="en-GB"/>
        </w:rPr>
        <w:t xml:space="preserve">ing </w:t>
      </w:r>
      <w:r w:rsidR="001E5938" w:rsidRPr="00E6071F">
        <w:rPr>
          <w:rFonts w:ascii="Times New Roman" w:hAnsi="Times New Roman" w:cs="Times New Roman"/>
          <w:noProof/>
          <w:lang w:val="en-GB"/>
        </w:rPr>
        <w:t xml:space="preserve">Member States </w:t>
      </w:r>
      <w:r>
        <w:rPr>
          <w:rFonts w:ascii="Times New Roman" w:hAnsi="Times New Roman" w:cs="Times New Roman"/>
          <w:noProof/>
          <w:lang w:val="en-GB"/>
        </w:rPr>
        <w:t>to fulfil</w:t>
      </w:r>
      <w:r w:rsidRPr="00E6071F">
        <w:rPr>
          <w:rFonts w:ascii="Times New Roman" w:hAnsi="Times New Roman" w:cs="Times New Roman"/>
          <w:noProof/>
          <w:lang w:val="en-GB"/>
        </w:rPr>
        <w:t xml:space="preserve"> </w:t>
      </w:r>
      <w:r w:rsidR="001E5938" w:rsidRPr="00E6071F">
        <w:rPr>
          <w:rFonts w:ascii="Times New Roman" w:hAnsi="Times New Roman" w:cs="Times New Roman"/>
          <w:noProof/>
          <w:lang w:val="en-GB"/>
        </w:rPr>
        <w:t>their “military mobility pledge” of 2018</w:t>
      </w:r>
      <w:r w:rsidR="00643D8C">
        <w:rPr>
          <w:rStyle w:val="FootnoteReference"/>
          <w:rFonts w:ascii="Times New Roman" w:hAnsi="Times New Roman" w:cs="Times New Roman"/>
          <w:noProof/>
          <w:lang w:val="en-GB"/>
        </w:rPr>
        <w:footnoteReference w:id="13"/>
      </w:r>
      <w:r w:rsidR="001E5938" w:rsidRPr="00E6071F">
        <w:rPr>
          <w:rFonts w:ascii="Times New Roman" w:hAnsi="Times New Roman" w:cs="Times New Roman"/>
          <w:noProof/>
          <w:lang w:val="en-GB"/>
        </w:rPr>
        <w:t xml:space="preserve">. </w:t>
      </w:r>
    </w:p>
    <w:p w14:paraId="0E7EEB94" w14:textId="77777777" w:rsidR="00455607" w:rsidRPr="009310E8" w:rsidRDefault="00D83A6C" w:rsidP="0029319B">
      <w:pPr>
        <w:tabs>
          <w:tab w:val="left" w:pos="567"/>
        </w:tabs>
        <w:spacing w:after="240" w:line="240" w:lineRule="auto"/>
        <w:jc w:val="both"/>
        <w:rPr>
          <w:rFonts w:ascii="Times New Roman" w:hAnsi="Times New Roman" w:cs="Times New Roman"/>
          <w:b/>
          <w:i/>
          <w:noProof/>
          <w:lang w:val="en-GB"/>
        </w:rPr>
      </w:pPr>
      <w:r w:rsidRPr="009310E8">
        <w:rPr>
          <w:rFonts w:ascii="Times New Roman" w:hAnsi="Times New Roman" w:cs="Times New Roman"/>
          <w:b/>
          <w:i/>
          <w:noProof/>
          <w:lang w:val="en-GB"/>
        </w:rPr>
        <w:t>3</w:t>
      </w:r>
      <w:r w:rsidR="00E71A7D" w:rsidRPr="009310E8">
        <w:rPr>
          <w:rFonts w:ascii="Times New Roman" w:hAnsi="Times New Roman" w:cs="Times New Roman"/>
          <w:b/>
          <w:i/>
          <w:noProof/>
          <w:lang w:val="en-GB"/>
        </w:rPr>
        <w:t>.2.1</w:t>
      </w:r>
      <w:r w:rsidR="00E71A7D" w:rsidRPr="009310E8">
        <w:rPr>
          <w:rFonts w:ascii="Times New Roman" w:hAnsi="Times New Roman" w:cs="Times New Roman"/>
          <w:b/>
          <w:i/>
          <w:noProof/>
          <w:lang w:val="en-GB"/>
        </w:rPr>
        <w:tab/>
        <w:t>Cross-border movement permissions</w:t>
      </w:r>
    </w:p>
    <w:p w14:paraId="362051C7" w14:textId="47988703" w:rsidR="00EB3916" w:rsidRPr="00566832" w:rsidRDefault="00EB3916" w:rsidP="00EB3916">
      <w:pPr>
        <w:spacing w:line="240" w:lineRule="auto"/>
        <w:jc w:val="both"/>
        <w:rPr>
          <w:rFonts w:ascii="Times New Roman" w:eastAsia="Calibri" w:hAnsi="Times New Roman" w:cs="Times New Roman"/>
          <w:noProof/>
        </w:rPr>
      </w:pPr>
      <w:r w:rsidRPr="00E6071F">
        <w:rPr>
          <w:rFonts w:ascii="Times New Roman" w:eastAsia="Calibri" w:hAnsi="Times New Roman" w:cs="Times New Roman"/>
          <w:noProof/>
        </w:rPr>
        <w:t xml:space="preserve">To assist movement of military personnel and assets, the EU has facilitated crossing borders by using different modes of transport. The EDA’s programme on </w:t>
      </w:r>
      <w:r w:rsidRPr="00E6071F">
        <w:rPr>
          <w:rFonts w:ascii="Times New Roman" w:eastAsia="Calibri" w:hAnsi="Times New Roman" w:cs="Times New Roman"/>
          <w:bCs/>
          <w:noProof/>
        </w:rPr>
        <w:t>“Optimising Cross-Border Movement Permission Procedures</w:t>
      </w:r>
      <w:r w:rsidRPr="00E6071F">
        <w:rPr>
          <w:rFonts w:ascii="Times New Roman" w:eastAsia="Calibri" w:hAnsi="Times New Roman" w:cs="Times New Roman"/>
          <w:noProof/>
        </w:rPr>
        <w:t xml:space="preserve"> in Europe” (CBMP) was established to harmonise and simplify cross</w:t>
      </w:r>
      <w:r w:rsidR="00AA5F99">
        <w:rPr>
          <w:rFonts w:ascii="Times New Roman" w:eastAsia="Calibri" w:hAnsi="Times New Roman" w:cs="Times New Roman"/>
          <w:noProof/>
        </w:rPr>
        <w:t>-</w:t>
      </w:r>
      <w:r w:rsidRPr="00E6071F">
        <w:rPr>
          <w:rFonts w:ascii="Times New Roman" w:eastAsia="Calibri" w:hAnsi="Times New Roman" w:cs="Times New Roman"/>
          <w:noProof/>
        </w:rPr>
        <w:t>border movement procedures, addressing both regulatory and procedural issues.</w:t>
      </w:r>
      <w:r w:rsidRPr="00FD6314">
        <w:rPr>
          <w:rFonts w:ascii="Times New Roman" w:eastAsia="Calibri" w:hAnsi="Times New Roman" w:cs="Times New Roman"/>
          <w:noProof/>
        </w:rPr>
        <w:t xml:space="preserve"> </w:t>
      </w:r>
      <w:r w:rsidR="0051562C" w:rsidRPr="00FD6314">
        <w:rPr>
          <w:rFonts w:ascii="Times New Roman" w:eastAsia="Calibri" w:hAnsi="Times New Roman" w:cs="Times New Roman"/>
          <w:noProof/>
        </w:rPr>
        <w:t xml:space="preserve">In November 2021, </w:t>
      </w:r>
      <w:r w:rsidR="0051562C" w:rsidRPr="00082B61">
        <w:rPr>
          <w:rFonts w:ascii="Times New Roman" w:eastAsia="Calibri" w:hAnsi="Times New Roman" w:cs="Times New Roman"/>
          <w:noProof/>
        </w:rPr>
        <w:t>two Technical Arrangements</w:t>
      </w:r>
      <w:r w:rsidR="00657691">
        <w:rPr>
          <w:rFonts w:ascii="Times New Roman" w:eastAsia="Calibri" w:hAnsi="Times New Roman" w:cs="Times New Roman"/>
          <w:noProof/>
        </w:rPr>
        <w:t xml:space="preserve"> were signed</w:t>
      </w:r>
      <w:r w:rsidR="0051562C" w:rsidRPr="00082B61">
        <w:rPr>
          <w:rFonts w:ascii="Times New Roman" w:eastAsia="Calibri" w:hAnsi="Times New Roman" w:cs="Times New Roman"/>
          <w:noProof/>
        </w:rPr>
        <w:t>, one for the surface</w:t>
      </w:r>
      <w:r w:rsidR="00D13BD1" w:rsidRPr="00FD6314">
        <w:rPr>
          <w:rStyle w:val="FootnoteReference"/>
          <w:rFonts w:ascii="Times New Roman" w:eastAsia="Calibri" w:hAnsi="Times New Roman" w:cs="Times New Roman"/>
          <w:noProof/>
        </w:rPr>
        <w:footnoteReference w:id="14"/>
      </w:r>
      <w:r w:rsidR="0051562C" w:rsidRPr="00FD6314">
        <w:rPr>
          <w:rFonts w:ascii="Times New Roman" w:eastAsia="Calibri" w:hAnsi="Times New Roman" w:cs="Times New Roman"/>
          <w:noProof/>
        </w:rPr>
        <w:t xml:space="preserve"> and one for the air domain</w:t>
      </w:r>
      <w:r w:rsidR="00D13BD1" w:rsidRPr="00566832">
        <w:rPr>
          <w:rStyle w:val="FootnoteReference"/>
          <w:rFonts w:ascii="Times New Roman" w:eastAsia="Calibri" w:hAnsi="Times New Roman" w:cs="Times New Roman"/>
          <w:noProof/>
        </w:rPr>
        <w:footnoteReference w:id="15"/>
      </w:r>
      <w:r w:rsidR="00D13BD1" w:rsidRPr="00566832">
        <w:rPr>
          <w:rFonts w:ascii="Times New Roman" w:eastAsia="Calibri" w:hAnsi="Times New Roman" w:cs="Times New Roman"/>
          <w:noProof/>
        </w:rPr>
        <w:t xml:space="preserve">. </w:t>
      </w:r>
      <w:r w:rsidRPr="00566832">
        <w:rPr>
          <w:rFonts w:ascii="Times New Roman" w:eastAsia="Calibri" w:hAnsi="Times New Roman" w:cs="Times New Roman"/>
          <w:noProof/>
        </w:rPr>
        <w:t xml:space="preserve">These arrangements specify the procedures that have to be followed for movement during crisis times, preparation for crises, training and day-to-day. </w:t>
      </w:r>
    </w:p>
    <w:p w14:paraId="10EDFDF0" w14:textId="41805981" w:rsidR="00EB3916" w:rsidRPr="00FD6314" w:rsidRDefault="00B35631" w:rsidP="00EB3916">
      <w:pPr>
        <w:spacing w:line="240" w:lineRule="auto"/>
        <w:jc w:val="both"/>
        <w:rPr>
          <w:rFonts w:ascii="Times New Roman" w:eastAsia="Calibri" w:hAnsi="Times New Roman" w:cs="Times New Roman"/>
          <w:noProof/>
        </w:rPr>
      </w:pPr>
      <w:r w:rsidRPr="00566832">
        <w:rPr>
          <w:rFonts w:ascii="Times New Roman" w:eastAsia="Calibri" w:hAnsi="Times New Roman" w:cs="Times New Roman"/>
          <w:noProof/>
        </w:rPr>
        <w:t xml:space="preserve">In certain cases, </w:t>
      </w:r>
      <w:r w:rsidR="00EB3916" w:rsidRPr="00566832">
        <w:rPr>
          <w:rFonts w:ascii="Times New Roman" w:eastAsia="Calibri" w:hAnsi="Times New Roman" w:cs="Times New Roman"/>
          <w:noProof/>
        </w:rPr>
        <w:t>Member States still need to integrate these arrangements into national processes. EDA is currently facilitating</w:t>
      </w:r>
      <w:r w:rsidR="00EB3916" w:rsidRPr="00E6071F">
        <w:rPr>
          <w:rFonts w:ascii="Times New Roman" w:eastAsia="Calibri" w:hAnsi="Times New Roman" w:cs="Times New Roman"/>
          <w:noProof/>
        </w:rPr>
        <w:t xml:space="preserve"> </w:t>
      </w:r>
      <w:r w:rsidR="00EB3916" w:rsidRPr="00FD6314">
        <w:rPr>
          <w:rFonts w:ascii="Times New Roman" w:eastAsia="Calibri" w:hAnsi="Times New Roman" w:cs="Times New Roman"/>
          <w:noProof/>
        </w:rPr>
        <w:t>their</w:t>
      </w:r>
      <w:r w:rsidR="00EB3916" w:rsidRPr="00E6071F">
        <w:rPr>
          <w:rFonts w:ascii="Times New Roman" w:eastAsia="Calibri" w:hAnsi="Times New Roman" w:cs="Times New Roman"/>
          <w:noProof/>
        </w:rPr>
        <w:t xml:space="preserve"> implementation</w:t>
      </w:r>
      <w:r w:rsidR="00EB3916" w:rsidRPr="00FD6314">
        <w:rPr>
          <w:rFonts w:ascii="Times New Roman" w:eastAsia="Calibri" w:hAnsi="Times New Roman" w:cs="Times New Roman"/>
          <w:noProof/>
        </w:rPr>
        <w:t xml:space="preserve">, </w:t>
      </w:r>
      <w:r w:rsidR="00EB3916" w:rsidRPr="00E6071F">
        <w:rPr>
          <w:rFonts w:ascii="Times New Roman" w:eastAsia="Calibri" w:hAnsi="Times New Roman" w:cs="Times New Roman"/>
          <w:noProof/>
        </w:rPr>
        <w:t>also through the National Point of Contact (NPOC) network established by the PESCO project Military Mobility. Th</w:t>
      </w:r>
      <w:r w:rsidR="00EB3916" w:rsidRPr="00FD6314">
        <w:rPr>
          <w:rFonts w:ascii="Times New Roman" w:eastAsia="Calibri" w:hAnsi="Times New Roman" w:cs="Times New Roman"/>
          <w:noProof/>
        </w:rPr>
        <w:t xml:space="preserve">is </w:t>
      </w:r>
      <w:r w:rsidR="00EB3916" w:rsidRPr="00E6071F">
        <w:rPr>
          <w:rFonts w:ascii="Times New Roman" w:eastAsia="Calibri" w:hAnsi="Times New Roman" w:cs="Times New Roman"/>
          <w:noProof/>
        </w:rPr>
        <w:t>will shorten the movement permission process</w:t>
      </w:r>
      <w:r w:rsidR="00EB3916" w:rsidRPr="00FD6314">
        <w:rPr>
          <w:rFonts w:ascii="Times New Roman" w:eastAsia="Calibri" w:hAnsi="Times New Roman" w:cs="Times New Roman"/>
          <w:noProof/>
        </w:rPr>
        <w:t>es</w:t>
      </w:r>
      <w:r w:rsidR="00EB3916" w:rsidRPr="00E6071F">
        <w:rPr>
          <w:rFonts w:ascii="Times New Roman" w:eastAsia="Calibri" w:hAnsi="Times New Roman" w:cs="Times New Roman"/>
          <w:noProof/>
        </w:rPr>
        <w:t xml:space="preserve"> and thus help the participating Member States to meet the </w:t>
      </w:r>
      <w:r w:rsidR="005C7B97" w:rsidRPr="00FD6314">
        <w:rPr>
          <w:rFonts w:ascii="Times New Roman" w:eastAsia="Calibri" w:hAnsi="Times New Roman" w:cs="Times New Roman"/>
          <w:noProof/>
        </w:rPr>
        <w:t xml:space="preserve">agreed goal of </w:t>
      </w:r>
      <w:r w:rsidR="00EB3916" w:rsidRPr="00E6071F">
        <w:rPr>
          <w:rFonts w:ascii="Times New Roman" w:eastAsia="Calibri" w:hAnsi="Times New Roman" w:cs="Times New Roman"/>
          <w:noProof/>
        </w:rPr>
        <w:t>respon</w:t>
      </w:r>
      <w:r w:rsidR="005C7B97" w:rsidRPr="00FD6314">
        <w:rPr>
          <w:rFonts w:ascii="Times New Roman" w:eastAsia="Calibri" w:hAnsi="Times New Roman" w:cs="Times New Roman"/>
          <w:noProof/>
        </w:rPr>
        <w:t xml:space="preserve">ding within </w:t>
      </w:r>
      <w:r w:rsidR="00EB3916" w:rsidRPr="00E6071F">
        <w:rPr>
          <w:rFonts w:ascii="Times New Roman" w:eastAsia="Calibri" w:hAnsi="Times New Roman" w:cs="Times New Roman"/>
          <w:noProof/>
        </w:rPr>
        <w:t>five working days</w:t>
      </w:r>
      <w:r w:rsidR="00420FE5">
        <w:rPr>
          <w:rFonts w:ascii="Times New Roman" w:eastAsia="Calibri" w:hAnsi="Times New Roman" w:cs="Times New Roman"/>
          <w:noProof/>
        </w:rPr>
        <w:t>.</w:t>
      </w:r>
      <w:r w:rsidR="00EB3916" w:rsidRPr="00E6071F">
        <w:rPr>
          <w:rFonts w:ascii="Times New Roman" w:eastAsia="Calibri" w:hAnsi="Times New Roman" w:cs="Times New Roman"/>
          <w:noProof/>
        </w:rPr>
        <w:t xml:space="preserve"> EDA also started </w:t>
      </w:r>
      <w:r w:rsidR="005C7B97" w:rsidRPr="00FD6314">
        <w:rPr>
          <w:rFonts w:ascii="Times New Roman" w:eastAsia="Calibri" w:hAnsi="Times New Roman" w:cs="Times New Roman"/>
          <w:noProof/>
        </w:rPr>
        <w:t xml:space="preserve">work to </w:t>
      </w:r>
      <w:r w:rsidR="00EB3916" w:rsidRPr="00E6071F">
        <w:rPr>
          <w:rFonts w:ascii="Times New Roman" w:eastAsia="Calibri" w:hAnsi="Times New Roman" w:cs="Times New Roman"/>
          <w:noProof/>
        </w:rPr>
        <w:t>develop a third cross</w:t>
      </w:r>
      <w:r w:rsidR="00AA5F99">
        <w:rPr>
          <w:rFonts w:ascii="Times New Roman" w:eastAsia="Calibri" w:hAnsi="Times New Roman" w:cs="Times New Roman"/>
          <w:noProof/>
        </w:rPr>
        <w:t>-</w:t>
      </w:r>
      <w:r w:rsidR="00EB3916" w:rsidRPr="00E6071F">
        <w:rPr>
          <w:rFonts w:ascii="Times New Roman" w:eastAsia="Calibri" w:hAnsi="Times New Roman" w:cs="Times New Roman"/>
          <w:noProof/>
        </w:rPr>
        <w:t>border movement permission arrangement in the maritime domain.</w:t>
      </w:r>
    </w:p>
    <w:p w14:paraId="15338DF9" w14:textId="77777777" w:rsidR="00A63360" w:rsidRPr="00E6071F" w:rsidRDefault="00A63360" w:rsidP="0029319B">
      <w:pPr>
        <w:spacing w:after="0"/>
        <w:jc w:val="both"/>
        <w:rPr>
          <w:rFonts w:ascii="Times New Roman" w:eastAsia="Calibri" w:hAnsi="Times New Roman" w:cs="Times New Roman"/>
          <w:noProof/>
        </w:rPr>
      </w:pPr>
    </w:p>
    <w:p w14:paraId="75DA3C41" w14:textId="77777777" w:rsidR="00E71A7D" w:rsidRPr="00E6071F" w:rsidRDefault="00D83A6C" w:rsidP="0029319B">
      <w:pPr>
        <w:tabs>
          <w:tab w:val="left" w:pos="567"/>
        </w:tabs>
        <w:spacing w:line="240" w:lineRule="auto"/>
        <w:jc w:val="both"/>
        <w:rPr>
          <w:rFonts w:ascii="Times New Roman" w:eastAsia="Calibri" w:hAnsi="Times New Roman" w:cs="Times New Roman"/>
          <w:b/>
          <w:i/>
          <w:noProof/>
        </w:rPr>
      </w:pPr>
      <w:r w:rsidRPr="00E6071F">
        <w:rPr>
          <w:rFonts w:ascii="Times New Roman" w:eastAsia="Calibri" w:hAnsi="Times New Roman" w:cs="Times New Roman"/>
          <w:b/>
          <w:i/>
          <w:noProof/>
        </w:rPr>
        <w:t>3</w:t>
      </w:r>
      <w:r w:rsidR="00E71A7D" w:rsidRPr="00E6071F">
        <w:rPr>
          <w:rFonts w:ascii="Times New Roman" w:eastAsia="Calibri" w:hAnsi="Times New Roman" w:cs="Times New Roman"/>
          <w:b/>
          <w:i/>
          <w:noProof/>
        </w:rPr>
        <w:t>.2.2</w:t>
      </w:r>
      <w:r w:rsidR="00E71A7D" w:rsidRPr="00E6071F">
        <w:rPr>
          <w:rFonts w:ascii="Times New Roman" w:eastAsia="Calibri" w:hAnsi="Times New Roman" w:cs="Times New Roman"/>
          <w:b/>
          <w:i/>
          <w:noProof/>
        </w:rPr>
        <w:tab/>
        <w:t>Customs</w:t>
      </w:r>
    </w:p>
    <w:p w14:paraId="50468FA9" w14:textId="77777777" w:rsidR="007827CE" w:rsidRPr="00060E79" w:rsidRDefault="007827CE" w:rsidP="007827CE">
      <w:pPr>
        <w:spacing w:line="240" w:lineRule="auto"/>
        <w:jc w:val="both"/>
        <w:rPr>
          <w:rFonts w:ascii="Times New Roman" w:eastAsia="Calibri" w:hAnsi="Times New Roman" w:cs="Times New Roman"/>
          <w:noProof/>
        </w:rPr>
      </w:pPr>
      <w:r w:rsidRPr="00E6071F">
        <w:rPr>
          <w:rFonts w:ascii="Times New Roman" w:eastAsia="Calibri" w:hAnsi="Times New Roman" w:cs="Times New Roman"/>
          <w:noProof/>
        </w:rPr>
        <w:t xml:space="preserve">In July 2020, </w:t>
      </w:r>
      <w:r w:rsidR="004B197D" w:rsidRPr="00E6071F">
        <w:rPr>
          <w:rFonts w:ascii="Times New Roman" w:eastAsia="Calibri" w:hAnsi="Times New Roman" w:cs="Times New Roman"/>
          <w:noProof/>
        </w:rPr>
        <w:t>legal amendments</w:t>
      </w:r>
      <w:r w:rsidR="004B197D" w:rsidRPr="00FD6314">
        <w:rPr>
          <w:rStyle w:val="FootnoteReference"/>
          <w:rFonts w:ascii="Times New Roman" w:eastAsia="Calibri" w:hAnsi="Times New Roman" w:cs="Times New Roman"/>
          <w:noProof/>
        </w:rPr>
        <w:footnoteReference w:id="16"/>
      </w:r>
      <w:r w:rsidR="004B197D" w:rsidRPr="00FD6314">
        <w:rPr>
          <w:rFonts w:ascii="Times New Roman" w:eastAsia="Calibri" w:hAnsi="Times New Roman" w:cs="Times New Roman"/>
          <w:noProof/>
        </w:rPr>
        <w:t xml:space="preserve"> came into force </w:t>
      </w:r>
      <w:r w:rsidRPr="00FD6314">
        <w:rPr>
          <w:rFonts w:ascii="Times New Roman" w:eastAsia="Calibri" w:hAnsi="Times New Roman" w:cs="Times New Roman"/>
          <w:noProof/>
        </w:rPr>
        <w:t>to simplify the customs formalities for military goods and to establish a legal framework for the EU Form 302</w:t>
      </w:r>
      <w:r w:rsidR="005D3C6B">
        <w:rPr>
          <w:rStyle w:val="FootnoteReference"/>
          <w:rFonts w:ascii="Times New Roman" w:eastAsia="Calibri" w:hAnsi="Times New Roman" w:cs="Times New Roman"/>
          <w:noProof/>
        </w:rPr>
        <w:footnoteReference w:id="17"/>
      </w:r>
      <w:r w:rsidRPr="00FD6314">
        <w:rPr>
          <w:rFonts w:ascii="Times New Roman" w:eastAsia="Calibri" w:hAnsi="Times New Roman" w:cs="Times New Roman"/>
          <w:noProof/>
        </w:rPr>
        <w:t xml:space="preserve">. </w:t>
      </w:r>
    </w:p>
    <w:p w14:paraId="3E021E96" w14:textId="4EBF6223" w:rsidR="00A85CA4" w:rsidRPr="009310E8" w:rsidRDefault="00693F5B" w:rsidP="00A85CA4">
      <w:pPr>
        <w:spacing w:line="240" w:lineRule="auto"/>
        <w:jc w:val="both"/>
        <w:rPr>
          <w:rFonts w:ascii="Times New Roman" w:eastAsia="Calibri" w:hAnsi="Times New Roman" w:cs="Times New Roman"/>
          <w:noProof/>
        </w:rPr>
      </w:pPr>
      <w:r w:rsidRPr="00060E79">
        <w:rPr>
          <w:rFonts w:ascii="Times New Roman" w:eastAsia="Calibri" w:hAnsi="Times New Roman" w:cs="Times New Roman"/>
          <w:noProof/>
        </w:rPr>
        <w:t xml:space="preserve">The </w:t>
      </w:r>
      <w:r w:rsidR="00A63360" w:rsidRPr="00060E79">
        <w:rPr>
          <w:rFonts w:ascii="Times New Roman" w:eastAsia="Calibri" w:hAnsi="Times New Roman" w:cs="Times New Roman"/>
          <w:noProof/>
        </w:rPr>
        <w:t xml:space="preserve">EDA </w:t>
      </w:r>
      <w:r w:rsidRPr="00060E79">
        <w:rPr>
          <w:rFonts w:ascii="Times New Roman" w:eastAsia="Calibri" w:hAnsi="Times New Roman" w:cs="Times New Roman"/>
          <w:bCs/>
          <w:noProof/>
        </w:rPr>
        <w:t>Category A Programme Arrangement “Harmonise Military Requirements Related to Customs”</w:t>
      </w:r>
      <w:r w:rsidRPr="00082B61">
        <w:rPr>
          <w:rFonts w:ascii="Times New Roman" w:eastAsia="Calibri" w:hAnsi="Times New Roman" w:cs="Times New Roman"/>
          <w:noProof/>
        </w:rPr>
        <w:t xml:space="preserve"> was signed in May 2021 by 2</w:t>
      </w:r>
      <w:r w:rsidR="00EE6492">
        <w:rPr>
          <w:rFonts w:ascii="Times New Roman" w:eastAsia="Calibri" w:hAnsi="Times New Roman" w:cs="Times New Roman"/>
          <w:noProof/>
        </w:rPr>
        <w:t>3</w:t>
      </w:r>
      <w:r w:rsidRPr="00082B61">
        <w:rPr>
          <w:rFonts w:ascii="Times New Roman" w:eastAsia="Calibri" w:hAnsi="Times New Roman" w:cs="Times New Roman"/>
          <w:noProof/>
        </w:rPr>
        <w:t xml:space="preserve"> contributing Member States </w:t>
      </w:r>
      <w:r w:rsidR="0027659B">
        <w:rPr>
          <w:rFonts w:ascii="Times New Roman" w:eastAsia="Calibri" w:hAnsi="Times New Roman" w:cs="Times New Roman"/>
          <w:noProof/>
        </w:rPr>
        <w:t xml:space="preserve">plus </w:t>
      </w:r>
      <w:r w:rsidRPr="00082B61">
        <w:rPr>
          <w:rFonts w:ascii="Times New Roman" w:eastAsia="Calibri" w:hAnsi="Times New Roman" w:cs="Times New Roman"/>
          <w:noProof/>
        </w:rPr>
        <w:t>Norway</w:t>
      </w:r>
      <w:r w:rsidR="008C450D" w:rsidRPr="009310E8">
        <w:rPr>
          <w:rFonts w:ascii="Times New Roman" w:eastAsia="Calibri" w:hAnsi="Times New Roman" w:cs="Times New Roman"/>
          <w:noProof/>
        </w:rPr>
        <w:t xml:space="preserve">. It </w:t>
      </w:r>
      <w:r w:rsidR="00A85CA4" w:rsidRPr="009310E8">
        <w:rPr>
          <w:rFonts w:ascii="Times New Roman" w:eastAsia="Calibri" w:hAnsi="Times New Roman" w:cs="Times New Roman"/>
          <w:noProof/>
        </w:rPr>
        <w:t>aims at the digitalis</w:t>
      </w:r>
      <w:r w:rsidR="00A85CA4" w:rsidRPr="00E6071F">
        <w:rPr>
          <w:rFonts w:ascii="Times New Roman" w:eastAsia="Calibri" w:hAnsi="Times New Roman" w:cs="Times New Roman"/>
          <w:noProof/>
        </w:rPr>
        <w:t>ation of military</w:t>
      </w:r>
      <w:r w:rsidR="000C3784">
        <w:rPr>
          <w:rFonts w:ascii="Times New Roman" w:eastAsia="Calibri" w:hAnsi="Times New Roman" w:cs="Times New Roman"/>
          <w:noProof/>
        </w:rPr>
        <w:t>-</w:t>
      </w:r>
      <w:r w:rsidR="00A85CA4" w:rsidRPr="00E6071F">
        <w:rPr>
          <w:rFonts w:ascii="Times New Roman" w:eastAsia="Calibri" w:hAnsi="Times New Roman" w:cs="Times New Roman"/>
          <w:noProof/>
        </w:rPr>
        <w:t>related</w:t>
      </w:r>
      <w:r w:rsidR="000C3784">
        <w:rPr>
          <w:rFonts w:ascii="Times New Roman" w:eastAsia="Calibri" w:hAnsi="Times New Roman" w:cs="Times New Roman"/>
          <w:noProof/>
        </w:rPr>
        <w:t xml:space="preserve"> </w:t>
      </w:r>
      <w:r w:rsidR="00A85CA4" w:rsidRPr="00E6071F">
        <w:rPr>
          <w:rFonts w:ascii="Times New Roman" w:eastAsia="Calibri" w:hAnsi="Times New Roman" w:cs="Times New Roman"/>
          <w:noProof/>
        </w:rPr>
        <w:t xml:space="preserve">customs activities and </w:t>
      </w:r>
      <w:r w:rsidR="000C3784">
        <w:rPr>
          <w:rFonts w:ascii="Times New Roman" w:eastAsia="Calibri" w:hAnsi="Times New Roman" w:cs="Times New Roman"/>
          <w:noProof/>
        </w:rPr>
        <w:t xml:space="preserve">at </w:t>
      </w:r>
      <w:r w:rsidR="00A85CA4" w:rsidRPr="00E6071F">
        <w:rPr>
          <w:rFonts w:ascii="Times New Roman" w:eastAsia="Calibri" w:hAnsi="Times New Roman" w:cs="Times New Roman"/>
          <w:noProof/>
        </w:rPr>
        <w:t>mak</w:t>
      </w:r>
      <w:r w:rsidR="000C3784">
        <w:rPr>
          <w:rFonts w:ascii="Times New Roman" w:eastAsia="Calibri" w:hAnsi="Times New Roman" w:cs="Times New Roman"/>
          <w:noProof/>
        </w:rPr>
        <w:t>ing</w:t>
      </w:r>
      <w:r w:rsidR="00A85CA4" w:rsidRPr="00E6071F">
        <w:rPr>
          <w:rFonts w:ascii="Times New Roman" w:eastAsia="Calibri" w:hAnsi="Times New Roman" w:cs="Times New Roman"/>
          <w:noProof/>
        </w:rPr>
        <w:t xml:space="preserve"> the resulting dataset available for exchange with civilian customs authorities</w:t>
      </w:r>
      <w:r w:rsidRPr="00E6071F">
        <w:rPr>
          <w:rFonts w:ascii="Times New Roman" w:eastAsia="Calibri" w:hAnsi="Times New Roman" w:cs="Times New Roman"/>
          <w:noProof/>
        </w:rPr>
        <w:t xml:space="preserve">. </w:t>
      </w:r>
      <w:r w:rsidR="00A85CA4" w:rsidRPr="00E6071F">
        <w:rPr>
          <w:rFonts w:ascii="Times New Roman" w:eastAsia="Calibri" w:hAnsi="Times New Roman" w:cs="Times New Roman"/>
          <w:noProof/>
        </w:rPr>
        <w:t xml:space="preserve">To date, </w:t>
      </w:r>
      <w:r w:rsidRPr="00E6071F">
        <w:rPr>
          <w:rFonts w:ascii="Times New Roman" w:eastAsia="Calibri" w:hAnsi="Times New Roman" w:cs="Times New Roman"/>
          <w:noProof/>
        </w:rPr>
        <w:t>the work has focused on</w:t>
      </w:r>
      <w:r w:rsidR="00A85CA4" w:rsidRPr="00E6071F">
        <w:rPr>
          <w:rFonts w:ascii="Times New Roman" w:eastAsia="Calibri" w:hAnsi="Times New Roman" w:cs="Times New Roman"/>
          <w:noProof/>
        </w:rPr>
        <w:t xml:space="preserve"> the first objective of the programme, which is </w:t>
      </w:r>
      <w:r w:rsidRPr="00E6071F">
        <w:rPr>
          <w:rFonts w:ascii="Times New Roman" w:eastAsia="Calibri" w:hAnsi="Times New Roman" w:cs="Times New Roman"/>
          <w:noProof/>
        </w:rPr>
        <w:t xml:space="preserve">an assessment of the needs, gains and risks for the development of </w:t>
      </w:r>
      <w:r w:rsidR="00A85CA4" w:rsidRPr="00E6071F">
        <w:rPr>
          <w:rFonts w:ascii="Times New Roman" w:eastAsia="Calibri" w:hAnsi="Times New Roman" w:cs="Times New Roman"/>
          <w:noProof/>
        </w:rPr>
        <w:t xml:space="preserve">a military customs system </w:t>
      </w:r>
      <w:r w:rsidRPr="00E6071F">
        <w:rPr>
          <w:rFonts w:ascii="Times New Roman" w:eastAsia="Calibri" w:hAnsi="Times New Roman" w:cs="Times New Roman"/>
          <w:noProof/>
        </w:rPr>
        <w:t>used by the contributing Member States</w:t>
      </w:r>
      <w:r w:rsidR="00A85CA4" w:rsidRPr="00E6071F">
        <w:rPr>
          <w:rFonts w:ascii="Times New Roman" w:eastAsia="Calibri" w:hAnsi="Times New Roman" w:cs="Times New Roman"/>
          <w:noProof/>
        </w:rPr>
        <w:t xml:space="preserve">. </w:t>
      </w:r>
      <w:r w:rsidR="00E4183F" w:rsidRPr="00E6071F">
        <w:rPr>
          <w:rFonts w:ascii="Times New Roman" w:eastAsia="Calibri" w:hAnsi="Times New Roman" w:cs="Times New Roman"/>
          <w:noProof/>
        </w:rPr>
        <w:t>The latter</w:t>
      </w:r>
      <w:r w:rsidRPr="00E6071F">
        <w:rPr>
          <w:rFonts w:ascii="Times New Roman" w:eastAsia="Calibri" w:hAnsi="Times New Roman" w:cs="Times New Roman"/>
          <w:noProof/>
        </w:rPr>
        <w:t xml:space="preserve">, supported by EDA, are working in close coordination with </w:t>
      </w:r>
      <w:r w:rsidR="00FE3ECA" w:rsidRPr="00E6071F">
        <w:rPr>
          <w:rFonts w:ascii="Times New Roman" w:eastAsia="Calibri" w:hAnsi="Times New Roman" w:cs="Times New Roman"/>
          <w:noProof/>
        </w:rPr>
        <w:t>Commission services</w:t>
      </w:r>
      <w:r w:rsidR="00CE644B" w:rsidRPr="00E6071F">
        <w:rPr>
          <w:rFonts w:ascii="Times New Roman" w:eastAsia="Calibri" w:hAnsi="Times New Roman" w:cs="Times New Roman"/>
          <w:noProof/>
        </w:rPr>
        <w:t xml:space="preserve"> </w:t>
      </w:r>
      <w:r w:rsidRPr="00E6071F">
        <w:rPr>
          <w:rFonts w:ascii="Times New Roman" w:eastAsia="Calibri" w:hAnsi="Times New Roman" w:cs="Times New Roman"/>
          <w:noProof/>
        </w:rPr>
        <w:t xml:space="preserve">to ensure </w:t>
      </w:r>
      <w:r w:rsidR="00A85CA4" w:rsidRPr="00E6071F">
        <w:rPr>
          <w:rFonts w:ascii="Times New Roman" w:eastAsia="Calibri" w:hAnsi="Times New Roman" w:cs="Times New Roman"/>
          <w:noProof/>
        </w:rPr>
        <w:t>compliance</w:t>
      </w:r>
      <w:r w:rsidRPr="00E6071F">
        <w:rPr>
          <w:rFonts w:ascii="Times New Roman" w:eastAsia="Calibri" w:hAnsi="Times New Roman" w:cs="Times New Roman"/>
          <w:noProof/>
        </w:rPr>
        <w:t xml:space="preserve"> with the customs procedures as described in the Union Customs Code (UCC). </w:t>
      </w:r>
      <w:r w:rsidR="004B4502" w:rsidRPr="00E6071F">
        <w:rPr>
          <w:rFonts w:ascii="Times New Roman" w:eastAsia="Calibri" w:hAnsi="Times New Roman" w:cs="Times New Roman"/>
          <w:noProof/>
        </w:rPr>
        <w:t>The results of this assessment will provide the foundation for next steps</w:t>
      </w:r>
      <w:r w:rsidR="004B4502" w:rsidRPr="00FD6314">
        <w:rPr>
          <w:rFonts w:ascii="Times New Roman" w:eastAsia="Calibri" w:hAnsi="Times New Roman" w:cs="Times New Roman"/>
          <w:noProof/>
        </w:rPr>
        <w:t xml:space="preserve">, particularly </w:t>
      </w:r>
      <w:r w:rsidR="00A85CA4" w:rsidRPr="00FD6314">
        <w:rPr>
          <w:rFonts w:ascii="Times New Roman" w:eastAsia="Calibri" w:hAnsi="Times New Roman" w:cs="Times New Roman"/>
          <w:noProof/>
        </w:rPr>
        <w:t>to define specifications and requirements for the digitalisation of</w:t>
      </w:r>
      <w:r w:rsidR="00A85CA4" w:rsidRPr="00344F24">
        <w:rPr>
          <w:rFonts w:ascii="Times New Roman" w:eastAsia="Calibri" w:hAnsi="Times New Roman" w:cs="Times New Roman"/>
          <w:noProof/>
        </w:rPr>
        <w:t xml:space="preserve"> </w:t>
      </w:r>
      <w:r w:rsidR="00A85CA4" w:rsidRPr="00060E79">
        <w:rPr>
          <w:rFonts w:ascii="Times New Roman" w:eastAsia="Calibri" w:hAnsi="Times New Roman" w:cs="Times New Roman"/>
          <w:noProof/>
        </w:rPr>
        <w:t>military customs,</w:t>
      </w:r>
      <w:r w:rsidR="00A85CA4" w:rsidRPr="00060E79">
        <w:rPr>
          <w:noProof/>
        </w:rPr>
        <w:t xml:space="preserve"> </w:t>
      </w:r>
      <w:r w:rsidR="00A85CA4" w:rsidRPr="00060E79">
        <w:rPr>
          <w:rFonts w:ascii="Times New Roman" w:eastAsia="Calibri" w:hAnsi="Times New Roman" w:cs="Times New Roman"/>
          <w:noProof/>
        </w:rPr>
        <w:t xml:space="preserve">including </w:t>
      </w:r>
      <w:r w:rsidR="004B4502" w:rsidRPr="00060E79">
        <w:rPr>
          <w:rFonts w:ascii="Times New Roman" w:eastAsia="Calibri" w:hAnsi="Times New Roman" w:cs="Times New Roman"/>
          <w:noProof/>
        </w:rPr>
        <w:t>notably</w:t>
      </w:r>
      <w:r w:rsidR="00A85CA4" w:rsidRPr="00060E79">
        <w:rPr>
          <w:rFonts w:ascii="Times New Roman" w:eastAsia="Calibri" w:hAnsi="Times New Roman" w:cs="Times New Roman"/>
          <w:noProof/>
        </w:rPr>
        <w:t xml:space="preserve"> electronic data</w:t>
      </w:r>
      <w:r w:rsidR="00A85CA4" w:rsidRPr="00082B61">
        <w:rPr>
          <w:rFonts w:ascii="Times New Roman" w:eastAsia="Calibri" w:hAnsi="Times New Roman" w:cs="Times New Roman"/>
          <w:noProof/>
        </w:rPr>
        <w:t xml:space="preserve"> </w:t>
      </w:r>
      <w:r w:rsidR="00A85CA4" w:rsidRPr="009310E8">
        <w:rPr>
          <w:rFonts w:ascii="Times New Roman" w:eastAsia="Calibri" w:hAnsi="Times New Roman" w:cs="Times New Roman"/>
          <w:noProof/>
        </w:rPr>
        <w:t>processing techniques for the exchange of information between customs and military forces.</w:t>
      </w:r>
    </w:p>
    <w:p w14:paraId="725C3250" w14:textId="77777777" w:rsidR="007827CE" w:rsidRPr="00E6071F" w:rsidRDefault="00DA7A2B" w:rsidP="00A85CA4">
      <w:pPr>
        <w:spacing w:line="240" w:lineRule="auto"/>
        <w:jc w:val="both"/>
        <w:rPr>
          <w:rFonts w:ascii="Times New Roman" w:eastAsia="Calibri" w:hAnsi="Times New Roman" w:cs="Times New Roman"/>
          <w:noProof/>
        </w:rPr>
      </w:pPr>
      <w:bookmarkStart w:id="2" w:name="_Hlk113559775"/>
      <w:r w:rsidRPr="00E6071F">
        <w:rPr>
          <w:rFonts w:ascii="Times New Roman" w:eastAsia="Calibri" w:hAnsi="Times New Roman" w:cs="Times New Roman"/>
          <w:noProof/>
        </w:rPr>
        <w:t xml:space="preserve">The </w:t>
      </w:r>
      <w:r w:rsidR="007827CE" w:rsidRPr="00E6071F">
        <w:rPr>
          <w:rFonts w:ascii="Times New Roman" w:eastAsia="Calibri" w:hAnsi="Times New Roman" w:cs="Times New Roman"/>
          <w:noProof/>
        </w:rPr>
        <w:t>C</w:t>
      </w:r>
      <w:r w:rsidR="00A2654B" w:rsidRPr="00E6071F">
        <w:rPr>
          <w:rFonts w:ascii="Times New Roman" w:eastAsia="Calibri" w:hAnsi="Times New Roman" w:cs="Times New Roman"/>
          <w:noProof/>
        </w:rPr>
        <w:t xml:space="preserve">ommission </w:t>
      </w:r>
      <w:r w:rsidR="007827CE" w:rsidRPr="00E6071F">
        <w:rPr>
          <w:rFonts w:ascii="Times New Roman" w:eastAsia="Calibri" w:hAnsi="Times New Roman" w:cs="Times New Roman"/>
          <w:noProof/>
        </w:rPr>
        <w:t xml:space="preserve">would work, if needed, on the legal amendments and on the monitoring of the development of the </w:t>
      </w:r>
      <w:r w:rsidR="002B1175" w:rsidRPr="00E6071F">
        <w:rPr>
          <w:rFonts w:ascii="Times New Roman" w:eastAsia="Calibri" w:hAnsi="Times New Roman" w:cs="Times New Roman"/>
          <w:noProof/>
        </w:rPr>
        <w:t>digital s</w:t>
      </w:r>
      <w:r w:rsidR="007827CE" w:rsidRPr="00E6071F">
        <w:rPr>
          <w:rFonts w:ascii="Times New Roman" w:eastAsia="Calibri" w:hAnsi="Times New Roman" w:cs="Times New Roman"/>
          <w:noProof/>
        </w:rPr>
        <w:t xml:space="preserve">ystem </w:t>
      </w:r>
      <w:r w:rsidR="002B1175" w:rsidRPr="00E6071F">
        <w:rPr>
          <w:rFonts w:ascii="Times New Roman" w:eastAsia="Calibri" w:hAnsi="Times New Roman" w:cs="Times New Roman"/>
          <w:noProof/>
        </w:rPr>
        <w:t xml:space="preserve">for the secure and quick exchange of information related to </w:t>
      </w:r>
      <w:r w:rsidR="00CE644B" w:rsidRPr="00E6071F">
        <w:rPr>
          <w:rFonts w:ascii="Times New Roman" w:eastAsia="Calibri" w:hAnsi="Times New Roman" w:cs="Times New Roman"/>
          <w:noProof/>
        </w:rPr>
        <w:t>m</w:t>
      </w:r>
      <w:r w:rsidR="002B1175" w:rsidRPr="00E6071F">
        <w:rPr>
          <w:rFonts w:ascii="Times New Roman" w:eastAsia="Calibri" w:hAnsi="Times New Roman" w:cs="Times New Roman"/>
          <w:noProof/>
        </w:rPr>
        <w:t xml:space="preserve">ilitary </w:t>
      </w:r>
      <w:r w:rsidR="00CE644B" w:rsidRPr="00E6071F">
        <w:rPr>
          <w:rFonts w:ascii="Times New Roman" w:eastAsia="Calibri" w:hAnsi="Times New Roman" w:cs="Times New Roman"/>
          <w:noProof/>
        </w:rPr>
        <w:t>m</w:t>
      </w:r>
      <w:r w:rsidR="002B1175" w:rsidRPr="00E6071F">
        <w:rPr>
          <w:rFonts w:ascii="Times New Roman" w:eastAsia="Calibri" w:hAnsi="Times New Roman" w:cs="Times New Roman"/>
          <w:noProof/>
        </w:rPr>
        <w:t xml:space="preserve">obility </w:t>
      </w:r>
      <w:r w:rsidR="007827CE" w:rsidRPr="00E6071F">
        <w:rPr>
          <w:rFonts w:ascii="Times New Roman" w:eastAsia="Calibri" w:hAnsi="Times New Roman" w:cs="Times New Roman"/>
          <w:noProof/>
        </w:rPr>
        <w:t>to ensure that there is a legal framework covering the use of the System by the Member States and that the</w:t>
      </w:r>
      <w:r w:rsidR="00657691">
        <w:rPr>
          <w:rFonts w:ascii="Times New Roman" w:eastAsia="Calibri" w:hAnsi="Times New Roman" w:cs="Times New Roman"/>
          <w:noProof/>
        </w:rPr>
        <w:t xml:space="preserve"> </w:t>
      </w:r>
      <w:r w:rsidR="007827CE" w:rsidRPr="00E6071F">
        <w:rPr>
          <w:rFonts w:ascii="Times New Roman" w:eastAsia="Calibri" w:hAnsi="Times New Roman" w:cs="Times New Roman"/>
          <w:noProof/>
        </w:rPr>
        <w:t>System is aligned with the customs procedures as established in the EU Customs Legislation.</w:t>
      </w:r>
      <w:bookmarkEnd w:id="2"/>
      <w:r w:rsidR="002F728A" w:rsidRPr="00E6071F">
        <w:rPr>
          <w:rFonts w:ascii="Times New Roman" w:hAnsi="Times New Roman" w:cs="Times New Roman"/>
          <w:noProof/>
          <w:lang w:val="en-GB"/>
        </w:rPr>
        <w:t xml:space="preserve"> </w:t>
      </w:r>
    </w:p>
    <w:p w14:paraId="56030E63" w14:textId="77777777" w:rsidR="0051562C" w:rsidRPr="00E6071F" w:rsidRDefault="00D83A6C" w:rsidP="0029319B">
      <w:pPr>
        <w:tabs>
          <w:tab w:val="left" w:pos="567"/>
        </w:tabs>
        <w:spacing w:line="240" w:lineRule="auto"/>
        <w:jc w:val="both"/>
        <w:rPr>
          <w:rFonts w:ascii="Times New Roman" w:hAnsi="Times New Roman" w:cs="Times New Roman"/>
          <w:b/>
          <w:i/>
          <w:noProof/>
        </w:rPr>
      </w:pPr>
      <w:r w:rsidRPr="00E6071F">
        <w:rPr>
          <w:rFonts w:ascii="Times New Roman" w:hAnsi="Times New Roman" w:cs="Times New Roman"/>
          <w:b/>
          <w:i/>
          <w:noProof/>
        </w:rPr>
        <w:t>3</w:t>
      </w:r>
      <w:r w:rsidR="00E71A7D" w:rsidRPr="00E6071F">
        <w:rPr>
          <w:rFonts w:ascii="Times New Roman" w:hAnsi="Times New Roman" w:cs="Times New Roman"/>
          <w:b/>
          <w:i/>
          <w:noProof/>
        </w:rPr>
        <w:t>.2.3</w:t>
      </w:r>
      <w:r w:rsidR="00E71A7D" w:rsidRPr="00E6071F">
        <w:rPr>
          <w:rFonts w:ascii="Times New Roman" w:hAnsi="Times New Roman" w:cs="Times New Roman"/>
          <w:b/>
          <w:i/>
          <w:noProof/>
        </w:rPr>
        <w:tab/>
        <w:t>Digitalisation</w:t>
      </w:r>
      <w:r w:rsidR="00FE3ECA" w:rsidRPr="00E6071F">
        <w:rPr>
          <w:rFonts w:ascii="Times New Roman" w:hAnsi="Times New Roman" w:cs="Times New Roman"/>
          <w:b/>
          <w:i/>
          <w:noProof/>
        </w:rPr>
        <w:t xml:space="preserve"> of administrative processes</w:t>
      </w:r>
    </w:p>
    <w:p w14:paraId="4E4BD863" w14:textId="77777777" w:rsidR="00F121E4" w:rsidRPr="009310E8" w:rsidRDefault="00D13BD1" w:rsidP="00CE644B">
      <w:pPr>
        <w:spacing w:after="240"/>
        <w:jc w:val="both"/>
        <w:rPr>
          <w:rFonts w:ascii="Times New Roman" w:hAnsi="Times New Roman" w:cs="Times New Roman"/>
          <w:noProof/>
          <w:lang w:val="en-GB"/>
        </w:rPr>
      </w:pPr>
      <w:r w:rsidRPr="00E6071F">
        <w:rPr>
          <w:rFonts w:ascii="Times New Roman" w:hAnsi="Times New Roman" w:cs="Times New Roman"/>
          <w:noProof/>
          <w:lang w:val="en-GB"/>
        </w:rPr>
        <w:t xml:space="preserve">As set out above, under </w:t>
      </w:r>
      <w:r w:rsidR="00F121E4" w:rsidRPr="00E6071F">
        <w:rPr>
          <w:rFonts w:ascii="Times New Roman" w:hAnsi="Times New Roman" w:cs="Times New Roman"/>
          <w:noProof/>
          <w:lang w:val="en-GB"/>
        </w:rPr>
        <w:t>the 2021 annual work programme</w:t>
      </w:r>
      <w:r w:rsidR="007817FD" w:rsidRPr="00E6071F">
        <w:rPr>
          <w:rFonts w:ascii="Times New Roman" w:hAnsi="Times New Roman" w:cs="Times New Roman"/>
          <w:noProof/>
          <w:lang w:val="en-GB"/>
        </w:rPr>
        <w:t>, t</w:t>
      </w:r>
      <w:r w:rsidR="00F121E4" w:rsidRPr="00E6071F">
        <w:rPr>
          <w:rFonts w:ascii="Times New Roman" w:hAnsi="Times New Roman" w:cs="Times New Roman"/>
          <w:noProof/>
          <w:lang w:val="en-GB"/>
        </w:rPr>
        <w:t>he European Defence Fund</w:t>
      </w:r>
      <w:r w:rsidR="00B74F92" w:rsidRPr="00E6071F">
        <w:rPr>
          <w:rFonts w:ascii="Times New Roman" w:hAnsi="Times New Roman" w:cs="Times New Roman"/>
          <w:noProof/>
          <w:lang w:val="en-GB"/>
        </w:rPr>
        <w:t xml:space="preserve"> (EDF)</w:t>
      </w:r>
      <w:r w:rsidR="00F121E4" w:rsidRPr="00E6071F">
        <w:rPr>
          <w:rFonts w:ascii="Times New Roman" w:hAnsi="Times New Roman" w:cs="Times New Roman"/>
          <w:noProof/>
          <w:lang w:val="en-GB"/>
        </w:rPr>
        <w:t xml:space="preserve"> included a proposal for the development of a digital system for the quick and secure exchange of information related </w:t>
      </w:r>
      <w:r w:rsidR="00EC13C9">
        <w:rPr>
          <w:rFonts w:ascii="Times New Roman" w:hAnsi="Times New Roman" w:cs="Times New Roman"/>
          <w:noProof/>
          <w:lang w:val="en-GB"/>
        </w:rPr>
        <w:t xml:space="preserve">to </w:t>
      </w:r>
      <w:r w:rsidR="002F728A" w:rsidRPr="00E6071F">
        <w:rPr>
          <w:rFonts w:ascii="Times New Roman" w:eastAsia="Calibri" w:hAnsi="Times New Roman" w:cs="Times New Roman"/>
          <w:noProof/>
        </w:rPr>
        <w:t xml:space="preserve">military </w:t>
      </w:r>
      <w:r w:rsidR="00EC13C9">
        <w:rPr>
          <w:rFonts w:ascii="Times New Roman" w:eastAsia="Calibri" w:hAnsi="Times New Roman" w:cs="Times New Roman"/>
          <w:noProof/>
        </w:rPr>
        <w:t xml:space="preserve">mobility. </w:t>
      </w:r>
      <w:r w:rsidR="00B74F92" w:rsidRPr="00FD6314">
        <w:rPr>
          <w:rFonts w:ascii="Times New Roman" w:hAnsi="Times New Roman" w:cs="Times New Roman"/>
          <w:noProof/>
          <w:lang w:val="en-GB"/>
        </w:rPr>
        <w:t>A</w:t>
      </w:r>
      <w:r w:rsidR="00F121E4" w:rsidRPr="00FD6314">
        <w:rPr>
          <w:rFonts w:ascii="Times New Roman" w:hAnsi="Times New Roman" w:cs="Times New Roman"/>
          <w:noProof/>
          <w:lang w:val="en-GB"/>
        </w:rPr>
        <w:t xml:space="preserve"> consortium consisting of companies from </w:t>
      </w:r>
      <w:r w:rsidRPr="00344F24">
        <w:rPr>
          <w:rFonts w:ascii="Times New Roman" w:hAnsi="Times New Roman" w:cs="Times New Roman"/>
          <w:noProof/>
          <w:lang w:val="en-GB"/>
        </w:rPr>
        <w:t>nine</w:t>
      </w:r>
      <w:r w:rsidR="00F121E4" w:rsidRPr="00060E79">
        <w:rPr>
          <w:rFonts w:ascii="Times New Roman" w:hAnsi="Times New Roman" w:cs="Times New Roman"/>
          <w:noProof/>
          <w:lang w:val="en-GB"/>
        </w:rPr>
        <w:t xml:space="preserve"> Member States </w:t>
      </w:r>
      <w:r w:rsidR="00F41776" w:rsidRPr="00060E79">
        <w:rPr>
          <w:rFonts w:ascii="Times New Roman" w:hAnsi="Times New Roman" w:cs="Times New Roman"/>
          <w:noProof/>
          <w:lang w:val="en-GB"/>
        </w:rPr>
        <w:t xml:space="preserve">plus </w:t>
      </w:r>
      <w:r w:rsidR="002B170F" w:rsidRPr="00060E79">
        <w:rPr>
          <w:rFonts w:ascii="Times New Roman" w:hAnsi="Times New Roman" w:cs="Times New Roman"/>
          <w:noProof/>
          <w:lang w:val="en-GB"/>
        </w:rPr>
        <w:t xml:space="preserve">one partner </w:t>
      </w:r>
      <w:r w:rsidR="002B1175" w:rsidRPr="00060E79">
        <w:rPr>
          <w:rFonts w:ascii="Times New Roman" w:hAnsi="Times New Roman" w:cs="Times New Roman"/>
          <w:noProof/>
          <w:lang w:val="en-GB"/>
        </w:rPr>
        <w:t>country</w:t>
      </w:r>
      <w:r w:rsidR="006B576A">
        <w:rPr>
          <w:rStyle w:val="FootnoteReference"/>
          <w:rFonts w:ascii="Times New Roman" w:hAnsi="Times New Roman" w:cs="Times New Roman"/>
          <w:noProof/>
          <w:lang w:val="en-GB"/>
        </w:rPr>
        <w:footnoteReference w:id="18"/>
      </w:r>
      <w:r w:rsidR="002B1175" w:rsidRPr="00060E79">
        <w:rPr>
          <w:rFonts w:ascii="Times New Roman" w:hAnsi="Times New Roman" w:cs="Times New Roman"/>
          <w:noProof/>
          <w:lang w:val="en-GB"/>
        </w:rPr>
        <w:t xml:space="preserve"> </w:t>
      </w:r>
      <w:r w:rsidRPr="00060E79">
        <w:rPr>
          <w:rFonts w:ascii="Times New Roman" w:hAnsi="Times New Roman" w:cs="Times New Roman"/>
          <w:noProof/>
          <w:lang w:val="en-GB"/>
        </w:rPr>
        <w:t xml:space="preserve">has been </w:t>
      </w:r>
      <w:r w:rsidR="00490BB6">
        <w:rPr>
          <w:rFonts w:ascii="Times New Roman" w:hAnsi="Times New Roman" w:cs="Times New Roman"/>
          <w:noProof/>
          <w:lang w:val="en-GB"/>
        </w:rPr>
        <w:t>pre-</w:t>
      </w:r>
      <w:r w:rsidRPr="00060E79">
        <w:rPr>
          <w:rFonts w:ascii="Times New Roman" w:hAnsi="Times New Roman" w:cs="Times New Roman"/>
          <w:noProof/>
          <w:lang w:val="en-GB"/>
        </w:rPr>
        <w:t xml:space="preserve">selected </w:t>
      </w:r>
      <w:r w:rsidR="00EA3EEF" w:rsidRPr="00344F24">
        <w:rPr>
          <w:rFonts w:ascii="Times New Roman" w:hAnsi="Times New Roman" w:cs="Times New Roman"/>
          <w:noProof/>
          <w:lang w:val="en-GB"/>
        </w:rPr>
        <w:t xml:space="preserve">to </w:t>
      </w:r>
      <w:r w:rsidR="00F121E4" w:rsidRPr="00060E79">
        <w:rPr>
          <w:rFonts w:ascii="Times New Roman" w:hAnsi="Times New Roman" w:cs="Times New Roman"/>
          <w:noProof/>
          <w:lang w:val="en-GB"/>
        </w:rPr>
        <w:t>receive funding for the development of th</w:t>
      </w:r>
      <w:r w:rsidRPr="00060E79">
        <w:rPr>
          <w:rFonts w:ascii="Times New Roman" w:hAnsi="Times New Roman" w:cs="Times New Roman"/>
          <w:noProof/>
          <w:lang w:val="en-GB"/>
        </w:rPr>
        <w:t>is</w:t>
      </w:r>
      <w:r w:rsidR="00F121E4" w:rsidRPr="00060E79">
        <w:rPr>
          <w:rFonts w:ascii="Times New Roman" w:hAnsi="Times New Roman" w:cs="Times New Roman"/>
          <w:noProof/>
          <w:lang w:val="en-GB"/>
        </w:rPr>
        <w:t xml:space="preserve"> digital system</w:t>
      </w:r>
      <w:r w:rsidRPr="00060E79">
        <w:rPr>
          <w:rFonts w:ascii="Times New Roman" w:hAnsi="Times New Roman" w:cs="Times New Roman"/>
          <w:noProof/>
          <w:lang w:val="en-GB"/>
        </w:rPr>
        <w:t xml:space="preserve">, which </w:t>
      </w:r>
      <w:r w:rsidR="002B1175" w:rsidRPr="009310E8">
        <w:rPr>
          <w:rFonts w:ascii="Times New Roman" w:hAnsi="Times New Roman" w:cs="Times New Roman"/>
          <w:noProof/>
          <w:lang w:val="en-GB"/>
        </w:rPr>
        <w:t>could</w:t>
      </w:r>
      <w:r w:rsidR="00223356" w:rsidRPr="009310E8">
        <w:rPr>
          <w:rFonts w:ascii="Times New Roman" w:hAnsi="Times New Roman" w:cs="Times New Roman"/>
          <w:noProof/>
          <w:lang w:val="en-GB"/>
        </w:rPr>
        <w:t xml:space="preserve"> </w:t>
      </w:r>
      <w:r w:rsidR="00F121E4" w:rsidRPr="009310E8">
        <w:rPr>
          <w:rFonts w:ascii="Times New Roman" w:hAnsi="Times New Roman" w:cs="Times New Roman"/>
          <w:noProof/>
          <w:lang w:val="en-GB"/>
        </w:rPr>
        <w:t xml:space="preserve">be available </w:t>
      </w:r>
      <w:r w:rsidR="001B39CE" w:rsidRPr="009310E8">
        <w:rPr>
          <w:rFonts w:ascii="Times New Roman" w:hAnsi="Times New Roman" w:cs="Times New Roman"/>
          <w:noProof/>
          <w:lang w:val="en-GB"/>
        </w:rPr>
        <w:t>in</w:t>
      </w:r>
      <w:r w:rsidR="00F121E4" w:rsidRPr="009310E8">
        <w:rPr>
          <w:rFonts w:ascii="Times New Roman" w:hAnsi="Times New Roman" w:cs="Times New Roman"/>
          <w:noProof/>
          <w:lang w:val="en-GB"/>
        </w:rPr>
        <w:t xml:space="preserve"> </w:t>
      </w:r>
      <w:r w:rsidR="00F41776" w:rsidRPr="009310E8">
        <w:rPr>
          <w:rFonts w:ascii="Times New Roman" w:hAnsi="Times New Roman" w:cs="Times New Roman"/>
          <w:noProof/>
          <w:lang w:val="en-GB"/>
        </w:rPr>
        <w:t>mid</w:t>
      </w:r>
      <w:r w:rsidR="001B39CE" w:rsidRPr="009310E8">
        <w:rPr>
          <w:rFonts w:ascii="Times New Roman" w:hAnsi="Times New Roman" w:cs="Times New Roman"/>
          <w:noProof/>
          <w:lang w:val="en-GB"/>
        </w:rPr>
        <w:t>-</w:t>
      </w:r>
      <w:r w:rsidR="00F121E4" w:rsidRPr="009310E8">
        <w:rPr>
          <w:rFonts w:ascii="Times New Roman" w:hAnsi="Times New Roman" w:cs="Times New Roman"/>
          <w:noProof/>
          <w:lang w:val="en-GB"/>
        </w:rPr>
        <w:t>202</w:t>
      </w:r>
      <w:r w:rsidR="00F41776" w:rsidRPr="009310E8">
        <w:rPr>
          <w:rFonts w:ascii="Times New Roman" w:hAnsi="Times New Roman" w:cs="Times New Roman"/>
          <w:noProof/>
          <w:lang w:val="en-GB"/>
        </w:rPr>
        <w:t>5</w:t>
      </w:r>
      <w:r w:rsidR="007827CE" w:rsidRPr="009310E8">
        <w:rPr>
          <w:rFonts w:ascii="Times New Roman" w:hAnsi="Times New Roman" w:cs="Times New Roman"/>
          <w:noProof/>
          <w:lang w:val="en-GB"/>
        </w:rPr>
        <w:t>.</w:t>
      </w:r>
    </w:p>
    <w:p w14:paraId="4EB9216F" w14:textId="77777777" w:rsidR="00AC08AE" w:rsidRPr="00756DD8" w:rsidRDefault="006B576A" w:rsidP="005C7B97">
      <w:pPr>
        <w:tabs>
          <w:tab w:val="left" w:pos="567"/>
        </w:tabs>
        <w:spacing w:line="240" w:lineRule="auto"/>
        <w:jc w:val="both"/>
        <w:rPr>
          <w:rFonts w:ascii="Times New Roman" w:hAnsi="Times New Roman"/>
          <w:noProof/>
        </w:rPr>
      </w:pPr>
      <w:r>
        <w:rPr>
          <w:rFonts w:ascii="Times New Roman" w:hAnsi="Times New Roman" w:cs="Times New Roman"/>
          <w:noProof/>
          <w:lang w:val="en-GB"/>
        </w:rPr>
        <w:t>The Commission would assist the contractor developing the system and would ensure its use by all the Member States</w:t>
      </w:r>
      <w:r w:rsidR="00941FA4">
        <w:rPr>
          <w:rFonts w:ascii="Times New Roman" w:hAnsi="Times New Roman" w:cs="Times New Roman"/>
          <w:noProof/>
          <w:lang w:val="en-GB"/>
        </w:rPr>
        <w:t>.</w:t>
      </w:r>
    </w:p>
    <w:p w14:paraId="2F448680" w14:textId="77777777" w:rsidR="005C7B97" w:rsidRPr="00FD6314" w:rsidRDefault="005C7B97" w:rsidP="005C7B97">
      <w:pPr>
        <w:tabs>
          <w:tab w:val="left" w:pos="567"/>
        </w:tabs>
        <w:spacing w:line="240" w:lineRule="auto"/>
        <w:jc w:val="both"/>
        <w:rPr>
          <w:rFonts w:ascii="Times New Roman" w:hAnsi="Times New Roman" w:cs="Times New Roman"/>
          <w:b/>
          <w:i/>
          <w:noProof/>
        </w:rPr>
      </w:pPr>
      <w:r w:rsidRPr="00E6071F">
        <w:rPr>
          <w:rFonts w:ascii="Times New Roman" w:hAnsi="Times New Roman" w:cs="Times New Roman"/>
          <w:b/>
          <w:i/>
          <w:noProof/>
        </w:rPr>
        <w:t>3.2.4</w:t>
      </w:r>
      <w:r w:rsidRPr="00E6071F">
        <w:rPr>
          <w:rFonts w:ascii="Times New Roman" w:hAnsi="Times New Roman" w:cs="Times New Roman"/>
          <w:b/>
          <w:i/>
          <w:noProof/>
        </w:rPr>
        <w:tab/>
        <w:t>Enhanced logistics</w:t>
      </w:r>
    </w:p>
    <w:p w14:paraId="72E8BAE8" w14:textId="5E1C40AB" w:rsidR="005C7B97" w:rsidRPr="00E6071F" w:rsidRDefault="005C7B97" w:rsidP="005C7B97">
      <w:pPr>
        <w:spacing w:after="240"/>
        <w:jc w:val="both"/>
        <w:rPr>
          <w:rFonts w:ascii="Times New Roman" w:hAnsi="Times New Roman" w:cs="Times New Roman"/>
          <w:noProof/>
          <w:lang w:val="en-GB"/>
        </w:rPr>
      </w:pPr>
      <w:r w:rsidRPr="00E6071F">
        <w:rPr>
          <w:rFonts w:ascii="Times New Roman" w:eastAsia="Calibri" w:hAnsi="Times New Roman" w:cs="Times New Roman"/>
          <w:noProof/>
        </w:rPr>
        <w:t>Enhanced logistics is a critical enabler in all operational domains of Member States’ Armed Forces. Heterogenous national logistic</w:t>
      </w:r>
      <w:r w:rsidR="000C3784">
        <w:rPr>
          <w:rFonts w:ascii="Times New Roman" w:eastAsia="Calibri" w:hAnsi="Times New Roman" w:cs="Times New Roman"/>
          <w:noProof/>
        </w:rPr>
        <w:t>s</w:t>
      </w:r>
      <w:r w:rsidRPr="00E6071F">
        <w:rPr>
          <w:rFonts w:ascii="Times New Roman" w:eastAsia="Calibri" w:hAnsi="Times New Roman" w:cs="Times New Roman"/>
          <w:noProof/>
        </w:rPr>
        <w:t xml:space="preserve"> systems and processes tailored to individual needs are</w:t>
      </w:r>
      <w:r w:rsidR="000C3784">
        <w:rPr>
          <w:rFonts w:ascii="Times New Roman" w:eastAsia="Calibri" w:hAnsi="Times New Roman" w:cs="Times New Roman"/>
          <w:noProof/>
        </w:rPr>
        <w:t xml:space="preserve"> </w:t>
      </w:r>
      <w:r w:rsidRPr="00E6071F">
        <w:rPr>
          <w:rFonts w:ascii="Times New Roman" w:eastAsia="Calibri" w:hAnsi="Times New Roman" w:cs="Times New Roman"/>
          <w:noProof/>
        </w:rPr>
        <w:t xml:space="preserve">a major challenge </w:t>
      </w:r>
      <w:r w:rsidR="006B3D17">
        <w:rPr>
          <w:rFonts w:ascii="Times New Roman" w:eastAsia="Calibri" w:hAnsi="Times New Roman" w:cs="Times New Roman"/>
          <w:noProof/>
        </w:rPr>
        <w:t>for the</w:t>
      </w:r>
      <w:r w:rsidRPr="00E6071F">
        <w:rPr>
          <w:rFonts w:ascii="Times New Roman" w:eastAsia="Calibri" w:hAnsi="Times New Roman" w:cs="Times New Roman"/>
          <w:noProof/>
        </w:rPr>
        <w:t xml:space="preserve"> coherence of the European capability landscape. Therefore,</w:t>
      </w:r>
      <w:r w:rsidRPr="00E6071F">
        <w:rPr>
          <w:rFonts w:ascii="Times New Roman" w:hAnsi="Times New Roman" w:cs="Times New Roman"/>
          <w:noProof/>
          <w:lang w:val="en-GB"/>
        </w:rPr>
        <w:t xml:space="preserve"> EDA is supporting the development of common standards for an EU-wide logistics IT network,</w:t>
      </w:r>
      <w:r w:rsidRPr="00E6071F">
        <w:rPr>
          <w:rStyle w:val="FootnoteReference"/>
          <w:rFonts w:ascii="Times New Roman" w:hAnsi="Times New Roman" w:cs="Times New Roman"/>
          <w:noProof/>
          <w:lang w:val="en-GB"/>
        </w:rPr>
        <w:footnoteReference w:id="19"/>
      </w:r>
      <w:r w:rsidRPr="00E6071F">
        <w:rPr>
          <w:rFonts w:ascii="Times New Roman" w:hAnsi="Times New Roman" w:cs="Times New Roman"/>
          <w:noProof/>
          <w:lang w:val="en-GB"/>
        </w:rPr>
        <w:t xml:space="preserve"> in line with the </w:t>
      </w:r>
      <w:r w:rsidR="0074329E">
        <w:rPr>
          <w:rFonts w:ascii="Times New Roman" w:hAnsi="Times New Roman" w:cs="Times New Roman"/>
          <w:noProof/>
          <w:lang w:val="en-GB"/>
        </w:rPr>
        <w:t xml:space="preserve">respective </w:t>
      </w:r>
      <w:r w:rsidRPr="00E6071F">
        <w:rPr>
          <w:rFonts w:ascii="Times New Roman" w:hAnsi="Times New Roman" w:cs="Times New Roman"/>
          <w:noProof/>
          <w:lang w:val="en-GB"/>
        </w:rPr>
        <w:t xml:space="preserve">EU Capability Development </w:t>
      </w:r>
      <w:r w:rsidRPr="00F06B9C">
        <w:rPr>
          <w:rFonts w:ascii="Times New Roman" w:hAnsi="Times New Roman" w:cs="Times New Roman"/>
          <w:noProof/>
          <w:lang w:val="en-GB"/>
        </w:rPr>
        <w:t>Priority</w:t>
      </w:r>
      <w:r w:rsidRPr="00E6071F">
        <w:rPr>
          <w:rFonts w:ascii="Times New Roman" w:hAnsi="Times New Roman" w:cs="Times New Roman"/>
          <w:noProof/>
          <w:lang w:val="en-GB"/>
        </w:rPr>
        <w:t xml:space="preserve"> and a specific work st</w:t>
      </w:r>
      <w:r w:rsidR="00B80EBC">
        <w:rPr>
          <w:rFonts w:ascii="Times New Roman" w:hAnsi="Times New Roman" w:cs="Times New Roman"/>
          <w:noProof/>
          <w:lang w:val="en-GB"/>
        </w:rPr>
        <w:t>r</w:t>
      </w:r>
      <w:r w:rsidRPr="00E6071F">
        <w:rPr>
          <w:rFonts w:ascii="Times New Roman" w:hAnsi="Times New Roman" w:cs="Times New Roman"/>
          <w:noProof/>
          <w:lang w:val="en-GB"/>
        </w:rPr>
        <w:t>and of the CARD focus area Enhanced Military Mobility. Such an IT network would enable an effective management of stocks and supplies, including a cooperat</w:t>
      </w:r>
      <w:r w:rsidR="00F2735D">
        <w:rPr>
          <w:rFonts w:ascii="Times New Roman" w:hAnsi="Times New Roman" w:cs="Times New Roman"/>
          <w:noProof/>
          <w:lang w:val="en-GB"/>
        </w:rPr>
        <w:t xml:space="preserve">ive </w:t>
      </w:r>
      <w:r w:rsidRPr="00E6071F">
        <w:rPr>
          <w:rFonts w:ascii="Times New Roman" w:hAnsi="Times New Roman" w:cs="Times New Roman"/>
          <w:noProof/>
          <w:lang w:val="en-GB"/>
        </w:rPr>
        <w:t xml:space="preserve">warehouse management and Track &amp; Trace capability to improve awareness of the logistic supply chain. </w:t>
      </w:r>
    </w:p>
    <w:p w14:paraId="65575163" w14:textId="7CE9DA2D" w:rsidR="00FA0E91" w:rsidRPr="00E521E2" w:rsidRDefault="005C7B97" w:rsidP="00E521E2">
      <w:pPr>
        <w:tabs>
          <w:tab w:val="left" w:pos="567"/>
        </w:tabs>
        <w:spacing w:after="240" w:line="240" w:lineRule="auto"/>
        <w:jc w:val="both"/>
        <w:rPr>
          <w:rFonts w:ascii="Times New Roman" w:hAnsi="Times New Roman" w:cs="Times New Roman"/>
          <w:noProof/>
        </w:rPr>
      </w:pPr>
      <w:r w:rsidRPr="00E6071F">
        <w:rPr>
          <w:rFonts w:ascii="Times New Roman" w:hAnsi="Times New Roman" w:cs="Times New Roman"/>
          <w:noProof/>
          <w:lang w:val="en-GB"/>
        </w:rPr>
        <w:t xml:space="preserve">Furthermore, common standards for military Additive Manufacturing (AM) solutions should be </w:t>
      </w:r>
      <w:r w:rsidR="00FF6757">
        <w:rPr>
          <w:rFonts w:ascii="Times New Roman" w:hAnsi="Times New Roman" w:cs="Times New Roman"/>
          <w:noProof/>
          <w:lang w:val="en-GB"/>
        </w:rPr>
        <w:t>developed</w:t>
      </w:r>
      <w:r w:rsidRPr="00E6071F">
        <w:rPr>
          <w:rFonts w:ascii="Times New Roman" w:hAnsi="Times New Roman" w:cs="Times New Roman"/>
          <w:noProof/>
          <w:lang w:val="en-GB"/>
        </w:rPr>
        <w:t>, to take advantage of the technology, which can potentially ensure rapid military movements by speeding up the provision of spare parts within the logistic supply chain. Additionally, AM as a key technology contributes to both sustainability and industrial competitiveness.</w:t>
      </w:r>
      <w:r w:rsidR="00050D29">
        <w:rPr>
          <w:rFonts w:ascii="Times New Roman" w:hAnsi="Times New Roman" w:cs="Times New Roman"/>
          <w:noProof/>
          <w:lang w:val="en-GB"/>
        </w:rPr>
        <w:t xml:space="preserve"> </w:t>
      </w:r>
      <w:r w:rsidR="00A331F5" w:rsidRPr="00344F24">
        <w:rPr>
          <w:rFonts w:ascii="Times New Roman" w:hAnsi="Times New Roman" w:cs="Times New Roman"/>
          <w:noProof/>
        </w:rPr>
        <w:t>Fina</w:t>
      </w:r>
      <w:r w:rsidR="00A331F5" w:rsidRPr="00060E79">
        <w:rPr>
          <w:rFonts w:ascii="Times New Roman" w:hAnsi="Times New Roman" w:cs="Times New Roman"/>
          <w:noProof/>
        </w:rPr>
        <w:t xml:space="preserve">lly, reducing the logistical footprint – such as the required (re)-supply, maintenance, and other logistics required </w:t>
      </w:r>
      <w:r w:rsidR="00A331F5" w:rsidRPr="009310E8">
        <w:rPr>
          <w:rFonts w:ascii="Times New Roman" w:hAnsi="Times New Roman" w:cs="Times New Roman"/>
          <w:noProof/>
        </w:rPr>
        <w:t>when moving a military unit and/or materiel – would free up capacities and resources, and thus mak</w:t>
      </w:r>
      <w:r w:rsidR="000C3784">
        <w:rPr>
          <w:rFonts w:ascii="Times New Roman" w:hAnsi="Times New Roman" w:cs="Times New Roman"/>
          <w:noProof/>
        </w:rPr>
        <w:t>e</w:t>
      </w:r>
      <w:r w:rsidR="00A331F5" w:rsidRPr="00E6071F">
        <w:rPr>
          <w:rFonts w:ascii="Times New Roman" w:hAnsi="Times New Roman" w:cs="Times New Roman"/>
          <w:noProof/>
        </w:rPr>
        <w:t xml:space="preserve"> military movements more efficient and faster. For example, the inspection and maintenance of mutually used equipment and certification of military equipment, such as ammunition, could be done in a collaborative manner either </w:t>
      </w:r>
      <w:r w:rsidR="0022229A" w:rsidRPr="00E6071F">
        <w:rPr>
          <w:rFonts w:ascii="Times New Roman" w:hAnsi="Times New Roman" w:cs="Times New Roman"/>
          <w:noProof/>
        </w:rPr>
        <w:t xml:space="preserve">on </w:t>
      </w:r>
      <w:r w:rsidR="00A331F5" w:rsidRPr="00E6071F">
        <w:rPr>
          <w:rFonts w:ascii="Times New Roman" w:hAnsi="Times New Roman" w:cs="Times New Roman"/>
          <w:noProof/>
        </w:rPr>
        <w:t xml:space="preserve">site or at logistical hubs, using existing standards. Enhanced Host Nation Support or other forms of multinational cooperation could help reduce the logistical footprint in this regard. </w:t>
      </w:r>
      <w:bookmarkStart w:id="3" w:name="_Hlk113013304"/>
    </w:p>
    <w:tbl>
      <w:tblPr>
        <w:tblStyle w:val="TableGrid"/>
        <w:tblW w:w="0" w:type="dxa"/>
        <w:tblLook w:val="04A0" w:firstRow="1" w:lastRow="0" w:firstColumn="1" w:lastColumn="0" w:noHBand="0" w:noVBand="1"/>
      </w:tblPr>
      <w:tblGrid>
        <w:gridCol w:w="9016"/>
      </w:tblGrid>
      <w:tr w:rsidR="00886D79" w:rsidRPr="00E6071F" w14:paraId="13067720" w14:textId="77777777" w:rsidTr="00C15CAF">
        <w:tc>
          <w:tcPr>
            <w:tcW w:w="9016" w:type="dxa"/>
            <w:shd w:val="clear" w:color="auto" w:fill="D9D9D9" w:themeFill="background1" w:themeFillShade="D9"/>
          </w:tcPr>
          <w:bookmarkEnd w:id="3"/>
          <w:p w14:paraId="61DA2D96" w14:textId="77777777" w:rsidR="00447D98" w:rsidRPr="00E6071F" w:rsidRDefault="00DE1E24">
            <w:pPr>
              <w:tabs>
                <w:tab w:val="left" w:pos="284"/>
              </w:tabs>
              <w:spacing w:after="120"/>
              <w:jc w:val="both"/>
              <w:rPr>
                <w:rFonts w:ascii="Times New Roman" w:hAnsi="Times New Roman" w:cs="Times New Roman"/>
                <w:b/>
                <w:noProof/>
              </w:rPr>
            </w:pPr>
            <w:r w:rsidRPr="00E6071F">
              <w:rPr>
                <w:rFonts w:ascii="Times New Roman" w:hAnsi="Times New Roman" w:cs="Times New Roman"/>
                <w:b/>
                <w:noProof/>
              </w:rPr>
              <w:t>Key actions at EU level:</w:t>
            </w:r>
          </w:p>
          <w:p w14:paraId="0A13BF8B" w14:textId="3263EC6E" w:rsidR="00C2651F" w:rsidRPr="00E6071F" w:rsidRDefault="00FC551F" w:rsidP="002F728A">
            <w:pPr>
              <w:pStyle w:val="ListParagraph"/>
              <w:numPr>
                <w:ilvl w:val="0"/>
                <w:numId w:val="43"/>
              </w:numPr>
              <w:tabs>
                <w:tab w:val="left" w:pos="284"/>
              </w:tabs>
              <w:spacing w:after="120"/>
              <w:jc w:val="both"/>
              <w:rPr>
                <w:rFonts w:ascii="Times New Roman" w:hAnsi="Times New Roman" w:cs="Times New Roman"/>
                <w:noProof/>
              </w:rPr>
            </w:pPr>
            <w:r w:rsidRPr="00E6071F">
              <w:rPr>
                <w:rFonts w:ascii="Times New Roman" w:hAnsi="Times New Roman" w:cs="Times New Roman"/>
                <w:noProof/>
              </w:rPr>
              <w:t>By 2024, EDA will support participating Member States to fully implement the technical arrangements for cross</w:t>
            </w:r>
            <w:r w:rsidR="000C3784">
              <w:rPr>
                <w:rFonts w:ascii="Times New Roman" w:hAnsi="Times New Roman" w:cs="Times New Roman"/>
                <w:noProof/>
              </w:rPr>
              <w:t>-</w:t>
            </w:r>
            <w:r w:rsidRPr="00E6071F">
              <w:rPr>
                <w:rFonts w:ascii="Times New Roman" w:hAnsi="Times New Roman" w:cs="Times New Roman"/>
                <w:noProof/>
              </w:rPr>
              <w:t>border movement permissions procedures for surface and air by monitoring their usage as well as by identifying and resolving bottlenecks and obstacles</w:t>
            </w:r>
            <w:r w:rsidR="002F728A" w:rsidRPr="00E6071F">
              <w:rPr>
                <w:rFonts w:ascii="Times New Roman" w:hAnsi="Times New Roman" w:cs="Times New Roman"/>
                <w:noProof/>
              </w:rPr>
              <w:t xml:space="preserve">; </w:t>
            </w:r>
            <w:r w:rsidRPr="00E6071F">
              <w:rPr>
                <w:rFonts w:ascii="Times New Roman" w:hAnsi="Times New Roman" w:cs="Times New Roman"/>
                <w:noProof/>
              </w:rPr>
              <w:t xml:space="preserve">identify fields not covered in the signed </w:t>
            </w:r>
            <w:r w:rsidR="00CE644B" w:rsidRPr="00E6071F">
              <w:rPr>
                <w:rFonts w:ascii="Times New Roman" w:hAnsi="Times New Roman" w:cs="Times New Roman"/>
                <w:noProof/>
              </w:rPr>
              <w:t xml:space="preserve">Technical Arrangements </w:t>
            </w:r>
            <w:r w:rsidRPr="00E6071F">
              <w:rPr>
                <w:rFonts w:ascii="Times New Roman" w:hAnsi="Times New Roman" w:cs="Times New Roman"/>
                <w:noProof/>
              </w:rPr>
              <w:t>and improve their content</w:t>
            </w:r>
            <w:r w:rsidR="002F728A" w:rsidRPr="00E6071F">
              <w:rPr>
                <w:rFonts w:ascii="Times New Roman" w:hAnsi="Times New Roman" w:cs="Times New Roman"/>
                <w:noProof/>
              </w:rPr>
              <w:t xml:space="preserve">; and </w:t>
            </w:r>
            <w:r w:rsidRPr="00E6071F">
              <w:rPr>
                <w:rFonts w:ascii="Times New Roman" w:hAnsi="Times New Roman" w:cs="Times New Roman"/>
                <w:noProof/>
              </w:rPr>
              <w:t xml:space="preserve">develop a </w:t>
            </w:r>
            <w:r w:rsidR="00CE644B" w:rsidRPr="00E6071F">
              <w:rPr>
                <w:rFonts w:ascii="Times New Roman" w:hAnsi="Times New Roman" w:cs="Times New Roman"/>
                <w:noProof/>
              </w:rPr>
              <w:t xml:space="preserve">Technical Arrangement </w:t>
            </w:r>
            <w:r w:rsidRPr="00E6071F">
              <w:rPr>
                <w:rFonts w:ascii="Times New Roman" w:hAnsi="Times New Roman" w:cs="Times New Roman"/>
                <w:noProof/>
              </w:rPr>
              <w:t>for the maritime domain.</w:t>
            </w:r>
          </w:p>
          <w:p w14:paraId="32A7E820" w14:textId="77777777" w:rsidR="00F121E4" w:rsidRPr="00E6071F" w:rsidRDefault="00B500F4" w:rsidP="00A85CA4">
            <w:pPr>
              <w:pStyle w:val="ListParagraph"/>
              <w:numPr>
                <w:ilvl w:val="0"/>
                <w:numId w:val="43"/>
              </w:numPr>
              <w:tabs>
                <w:tab w:val="left" w:pos="284"/>
              </w:tabs>
              <w:spacing w:after="120"/>
              <w:jc w:val="both"/>
              <w:rPr>
                <w:rFonts w:ascii="Times New Roman" w:hAnsi="Times New Roman" w:cs="Times New Roman"/>
                <w:b/>
                <w:noProof/>
              </w:rPr>
            </w:pPr>
            <w:r w:rsidRPr="00E6071F">
              <w:rPr>
                <w:rFonts w:ascii="Times New Roman" w:hAnsi="Times New Roman" w:cs="Times New Roman"/>
                <w:noProof/>
              </w:rPr>
              <w:t xml:space="preserve">By </w:t>
            </w:r>
            <w:r w:rsidR="00E8788A" w:rsidRPr="00E6071F">
              <w:rPr>
                <w:rFonts w:ascii="Times New Roman" w:hAnsi="Times New Roman" w:cs="Times New Roman"/>
                <w:noProof/>
              </w:rPr>
              <w:t xml:space="preserve">the end of </w:t>
            </w:r>
            <w:r w:rsidR="0040684D" w:rsidRPr="00E6071F">
              <w:rPr>
                <w:rFonts w:ascii="Times New Roman" w:hAnsi="Times New Roman" w:cs="Times New Roman"/>
                <w:noProof/>
              </w:rPr>
              <w:t>202</w:t>
            </w:r>
            <w:r w:rsidR="00E8788A" w:rsidRPr="00E6071F">
              <w:rPr>
                <w:rFonts w:ascii="Times New Roman" w:hAnsi="Times New Roman" w:cs="Times New Roman"/>
                <w:noProof/>
              </w:rPr>
              <w:t>4</w:t>
            </w:r>
            <w:r w:rsidR="00CE644B" w:rsidRPr="00E6071F">
              <w:rPr>
                <w:rFonts w:ascii="Times New Roman" w:hAnsi="Times New Roman" w:cs="Times New Roman"/>
                <w:noProof/>
              </w:rPr>
              <w:t>,</w:t>
            </w:r>
            <w:r w:rsidRPr="00E6071F">
              <w:rPr>
                <w:rFonts w:ascii="Times New Roman" w:hAnsi="Times New Roman" w:cs="Times New Roman"/>
                <w:noProof/>
              </w:rPr>
              <w:t xml:space="preserve"> </w:t>
            </w:r>
            <w:r w:rsidR="00FC551F" w:rsidRPr="00E6071F">
              <w:rPr>
                <w:rFonts w:ascii="Times New Roman" w:hAnsi="Times New Roman" w:cs="Times New Roman"/>
                <w:noProof/>
              </w:rPr>
              <w:t xml:space="preserve">EDA </w:t>
            </w:r>
            <w:r w:rsidRPr="00E6071F">
              <w:rPr>
                <w:rFonts w:ascii="Times New Roman" w:hAnsi="Times New Roman" w:cs="Times New Roman"/>
                <w:noProof/>
              </w:rPr>
              <w:t>will</w:t>
            </w:r>
            <w:r w:rsidR="00FC551F" w:rsidRPr="00E6071F">
              <w:rPr>
                <w:rFonts w:ascii="Times New Roman" w:hAnsi="Times New Roman" w:cs="Times New Roman"/>
                <w:noProof/>
              </w:rPr>
              <w:t xml:space="preserve"> assess how to increase synergies between the work done by the PESCO project “Military Mobility” and the PESCO project “Network of LogHubs in Europe and Support to Operations</w:t>
            </w:r>
            <w:r w:rsidR="000C3784">
              <w:rPr>
                <w:rFonts w:ascii="Times New Roman" w:hAnsi="Times New Roman" w:cs="Times New Roman"/>
                <w:noProof/>
              </w:rPr>
              <w:t>”</w:t>
            </w:r>
            <w:r w:rsidR="00F23D29" w:rsidRPr="00E6071F">
              <w:rPr>
                <w:rFonts w:ascii="Times New Roman" w:hAnsi="Times New Roman" w:cs="Times New Roman"/>
                <w:noProof/>
              </w:rPr>
              <w:t>.</w:t>
            </w:r>
          </w:p>
          <w:p w14:paraId="6E80E90A" w14:textId="77777777" w:rsidR="0034413F" w:rsidRDefault="002F728A" w:rsidP="006538F4">
            <w:pPr>
              <w:pStyle w:val="ListParagraph"/>
              <w:numPr>
                <w:ilvl w:val="0"/>
                <w:numId w:val="43"/>
              </w:numPr>
              <w:jc w:val="both"/>
              <w:rPr>
                <w:rFonts w:ascii="Times New Roman" w:hAnsi="Times New Roman" w:cs="Times New Roman"/>
                <w:noProof/>
              </w:rPr>
            </w:pPr>
            <w:r w:rsidRPr="00E6071F">
              <w:rPr>
                <w:rFonts w:ascii="Times New Roman" w:hAnsi="Times New Roman" w:cs="Times New Roman"/>
                <w:noProof/>
              </w:rPr>
              <w:t>The Commission will identify topics under the European Defence Fund in future annual work programmes that will enhance Military Mobility where they are in line with the objectives and criteria of the EDF.</w:t>
            </w:r>
          </w:p>
          <w:p w14:paraId="62792788" w14:textId="77777777" w:rsidR="006538F4" w:rsidRPr="006538F4" w:rsidRDefault="006538F4" w:rsidP="006538F4">
            <w:pPr>
              <w:pStyle w:val="ListParagraph"/>
              <w:jc w:val="both"/>
              <w:rPr>
                <w:rFonts w:ascii="Times New Roman" w:hAnsi="Times New Roman" w:cs="Times New Roman"/>
                <w:noProof/>
              </w:rPr>
            </w:pPr>
          </w:p>
          <w:p w14:paraId="5CEE72D5" w14:textId="77777777" w:rsidR="00060E79" w:rsidRPr="0034413F" w:rsidRDefault="00060E79" w:rsidP="002F728A">
            <w:pPr>
              <w:pStyle w:val="ListParagraph"/>
              <w:numPr>
                <w:ilvl w:val="0"/>
                <w:numId w:val="43"/>
              </w:numPr>
              <w:jc w:val="both"/>
              <w:rPr>
                <w:rFonts w:ascii="Times New Roman" w:hAnsi="Times New Roman" w:cs="Times New Roman"/>
                <w:b/>
                <w:noProof/>
              </w:rPr>
            </w:pPr>
            <w:r w:rsidRPr="002F4C88">
              <w:rPr>
                <w:rFonts w:ascii="Times New Roman" w:hAnsi="Times New Roman" w:cs="Times New Roman"/>
                <w:noProof/>
              </w:rPr>
              <w:t xml:space="preserve">The Commission </w:t>
            </w:r>
            <w:r>
              <w:rPr>
                <w:rFonts w:ascii="Times New Roman" w:hAnsi="Times New Roman" w:cs="Times New Roman"/>
                <w:noProof/>
              </w:rPr>
              <w:t xml:space="preserve">will monitor the development </w:t>
            </w:r>
            <w:r w:rsidRPr="00F86ABE">
              <w:rPr>
                <w:rFonts w:ascii="Times New Roman" w:hAnsi="Times New Roman" w:cs="Times New Roman"/>
                <w:noProof/>
              </w:rPr>
              <w:t xml:space="preserve">of the digital system for the secure and quick exchange of information </w:t>
            </w:r>
            <w:r>
              <w:rPr>
                <w:rFonts w:ascii="Times New Roman" w:hAnsi="Times New Roman" w:cs="Times New Roman"/>
                <w:noProof/>
              </w:rPr>
              <w:t xml:space="preserve">on </w:t>
            </w:r>
            <w:r w:rsidRPr="00F86ABE">
              <w:rPr>
                <w:rFonts w:ascii="Times New Roman" w:hAnsi="Times New Roman" w:cs="Times New Roman"/>
                <w:noProof/>
              </w:rPr>
              <w:t>military mobility</w:t>
            </w:r>
            <w:r w:rsidRPr="00D60C52">
              <w:rPr>
                <w:rFonts w:ascii="Times New Roman" w:hAnsi="Times New Roman" w:cs="Times New Roman"/>
                <w:noProof/>
              </w:rPr>
              <w:t xml:space="preserve"> </w:t>
            </w:r>
            <w:r>
              <w:rPr>
                <w:rFonts w:ascii="Times New Roman" w:hAnsi="Times New Roman" w:cs="Times New Roman"/>
                <w:noProof/>
              </w:rPr>
              <w:t>and, if needed, will prepare</w:t>
            </w:r>
            <w:r w:rsidRPr="002F4C88">
              <w:rPr>
                <w:rFonts w:ascii="Times New Roman" w:hAnsi="Times New Roman" w:cs="Times New Roman"/>
                <w:noProof/>
              </w:rPr>
              <w:t xml:space="preserve"> legal amendments to </w:t>
            </w:r>
            <w:r>
              <w:rPr>
                <w:rFonts w:ascii="Times New Roman" w:hAnsi="Times New Roman" w:cs="Times New Roman"/>
                <w:noProof/>
              </w:rPr>
              <w:t xml:space="preserve">the EU Customs Legislation to </w:t>
            </w:r>
            <w:r w:rsidRPr="002F4C88">
              <w:rPr>
                <w:rFonts w:ascii="Times New Roman" w:hAnsi="Times New Roman" w:cs="Times New Roman"/>
                <w:noProof/>
              </w:rPr>
              <w:t xml:space="preserve">ensure that there is a legal framework </w:t>
            </w:r>
            <w:r>
              <w:rPr>
                <w:rFonts w:ascii="Times New Roman" w:hAnsi="Times New Roman" w:cs="Times New Roman"/>
                <w:noProof/>
              </w:rPr>
              <w:t xml:space="preserve">for </w:t>
            </w:r>
            <w:r w:rsidRPr="002F4C88">
              <w:rPr>
                <w:rFonts w:ascii="Times New Roman" w:hAnsi="Times New Roman" w:cs="Times New Roman"/>
                <w:noProof/>
              </w:rPr>
              <w:t>the use of the System by the Member States and that the System is aligned with the customs procedures as established in the EU Customs Legislation.</w:t>
            </w:r>
          </w:p>
          <w:p w14:paraId="42B83AD5" w14:textId="77777777" w:rsidR="0034413F" w:rsidRPr="0034413F" w:rsidRDefault="0034413F" w:rsidP="0034413F">
            <w:pPr>
              <w:jc w:val="both"/>
              <w:rPr>
                <w:rFonts w:ascii="Times New Roman" w:hAnsi="Times New Roman" w:cs="Times New Roman"/>
                <w:b/>
                <w:noProof/>
              </w:rPr>
            </w:pPr>
          </w:p>
          <w:p w14:paraId="30B5D4F9" w14:textId="3E720A02" w:rsidR="00A331F5" w:rsidRPr="00E6071F" w:rsidRDefault="00A331F5" w:rsidP="00A331F5">
            <w:pPr>
              <w:pStyle w:val="ListParagraph"/>
              <w:numPr>
                <w:ilvl w:val="0"/>
                <w:numId w:val="43"/>
              </w:numPr>
              <w:tabs>
                <w:tab w:val="left" w:pos="284"/>
              </w:tabs>
              <w:spacing w:after="120"/>
              <w:jc w:val="both"/>
              <w:rPr>
                <w:rFonts w:ascii="Times New Roman" w:hAnsi="Times New Roman" w:cs="Times New Roman"/>
                <w:noProof/>
              </w:rPr>
            </w:pPr>
            <w:r w:rsidRPr="009310E8">
              <w:rPr>
                <w:rFonts w:ascii="Times New Roman" w:hAnsi="Times New Roman" w:cs="Times New Roman"/>
                <w:noProof/>
              </w:rPr>
              <w:t xml:space="preserve">By 2024, EDA will elaborate a concept for an EU-wide logistics IT network to enable the exchange of logistic data amongst various participants. </w:t>
            </w:r>
            <w:r w:rsidR="00FF6757">
              <w:rPr>
                <w:rFonts w:ascii="Times New Roman" w:hAnsi="Times New Roman" w:cs="Times New Roman"/>
                <w:noProof/>
              </w:rPr>
              <w:t>By</w:t>
            </w:r>
            <w:r w:rsidRPr="00E6071F">
              <w:rPr>
                <w:rFonts w:ascii="Times New Roman" w:hAnsi="Times New Roman" w:cs="Times New Roman"/>
                <w:noProof/>
              </w:rPr>
              <w:t xml:space="preserve"> 2023</w:t>
            </w:r>
            <w:r w:rsidR="00657691">
              <w:rPr>
                <w:rFonts w:ascii="Times New Roman" w:hAnsi="Times New Roman" w:cs="Times New Roman"/>
                <w:noProof/>
              </w:rPr>
              <w:t>,</w:t>
            </w:r>
            <w:r w:rsidRPr="00E6071F">
              <w:rPr>
                <w:rFonts w:ascii="Times New Roman" w:hAnsi="Times New Roman" w:cs="Times New Roman"/>
                <w:noProof/>
              </w:rPr>
              <w:t xml:space="preserve"> EDA will present the findings of a study on mapping of national and commercial logistic</w:t>
            </w:r>
            <w:r w:rsidR="000C3784">
              <w:rPr>
                <w:rFonts w:ascii="Times New Roman" w:hAnsi="Times New Roman" w:cs="Times New Roman"/>
                <w:noProof/>
              </w:rPr>
              <w:t>s</w:t>
            </w:r>
            <w:r w:rsidRPr="00E6071F">
              <w:rPr>
                <w:rFonts w:ascii="Times New Roman" w:hAnsi="Times New Roman" w:cs="Times New Roman"/>
                <w:noProof/>
              </w:rPr>
              <w:t xml:space="preserve"> IT</w:t>
            </w:r>
            <w:r w:rsidR="000C3784">
              <w:rPr>
                <w:rFonts w:ascii="Times New Roman" w:hAnsi="Times New Roman" w:cs="Times New Roman"/>
                <w:noProof/>
              </w:rPr>
              <w:t xml:space="preserve"> </w:t>
            </w:r>
            <w:r w:rsidRPr="00E6071F">
              <w:rPr>
                <w:rFonts w:ascii="Times New Roman" w:hAnsi="Times New Roman" w:cs="Times New Roman"/>
                <w:noProof/>
              </w:rPr>
              <w:t>systems</w:t>
            </w:r>
            <w:r w:rsidR="000C3784">
              <w:rPr>
                <w:rFonts w:ascii="Times New Roman" w:hAnsi="Times New Roman" w:cs="Times New Roman"/>
                <w:noProof/>
              </w:rPr>
              <w:t>,</w:t>
            </w:r>
            <w:r w:rsidRPr="00E6071F">
              <w:rPr>
                <w:rFonts w:ascii="Times New Roman" w:hAnsi="Times New Roman" w:cs="Times New Roman"/>
                <w:noProof/>
              </w:rPr>
              <w:t xml:space="preserve"> </w:t>
            </w:r>
            <w:r w:rsidR="00FF6757">
              <w:rPr>
                <w:rFonts w:ascii="Times New Roman" w:hAnsi="Times New Roman" w:cs="Times New Roman"/>
                <w:noProof/>
              </w:rPr>
              <w:t>including the</w:t>
            </w:r>
            <w:r w:rsidRPr="00E6071F">
              <w:rPr>
                <w:rFonts w:ascii="Times New Roman" w:hAnsi="Times New Roman" w:cs="Times New Roman"/>
                <w:noProof/>
              </w:rPr>
              <w:t xml:space="preserve"> Track &amp; Trace and Enterprise Resource Planning (ERP) software, which will serve as a basis </w:t>
            </w:r>
            <w:r w:rsidR="00FF6757">
              <w:rPr>
                <w:rFonts w:ascii="Times New Roman" w:hAnsi="Times New Roman" w:cs="Times New Roman"/>
                <w:noProof/>
              </w:rPr>
              <w:t>for</w:t>
            </w:r>
            <w:r w:rsidR="00FF6757" w:rsidRPr="00E6071F">
              <w:rPr>
                <w:rFonts w:ascii="Times New Roman" w:hAnsi="Times New Roman" w:cs="Times New Roman"/>
                <w:noProof/>
              </w:rPr>
              <w:t xml:space="preserve"> </w:t>
            </w:r>
            <w:r w:rsidRPr="00E6071F">
              <w:rPr>
                <w:rFonts w:ascii="Times New Roman" w:hAnsi="Times New Roman" w:cs="Times New Roman"/>
                <w:noProof/>
              </w:rPr>
              <w:t>initiat</w:t>
            </w:r>
            <w:r w:rsidR="00FF6757">
              <w:rPr>
                <w:rFonts w:ascii="Times New Roman" w:hAnsi="Times New Roman" w:cs="Times New Roman"/>
                <w:noProof/>
              </w:rPr>
              <w:t>ing</w:t>
            </w:r>
            <w:r w:rsidRPr="00E6071F">
              <w:rPr>
                <w:rFonts w:ascii="Times New Roman" w:hAnsi="Times New Roman" w:cs="Times New Roman"/>
                <w:noProof/>
              </w:rPr>
              <w:t xml:space="preserve"> further actions. </w:t>
            </w:r>
          </w:p>
          <w:p w14:paraId="4AB814E5" w14:textId="77777777" w:rsidR="002F728A" w:rsidRPr="003B2459" w:rsidRDefault="00A85CA4" w:rsidP="003B2459">
            <w:pPr>
              <w:pStyle w:val="ListParagraph"/>
              <w:numPr>
                <w:ilvl w:val="0"/>
                <w:numId w:val="43"/>
              </w:numPr>
              <w:tabs>
                <w:tab w:val="left" w:pos="284"/>
              </w:tabs>
              <w:spacing w:after="120"/>
              <w:jc w:val="both"/>
              <w:rPr>
                <w:rFonts w:ascii="Times New Roman" w:hAnsi="Times New Roman" w:cs="Times New Roman"/>
                <w:noProof/>
              </w:rPr>
            </w:pPr>
            <w:r w:rsidRPr="00E6071F">
              <w:rPr>
                <w:rFonts w:ascii="Times New Roman" w:hAnsi="Times New Roman" w:cs="Times New Roman"/>
                <w:noProof/>
              </w:rPr>
              <w:t>By 2024, EDA will de</w:t>
            </w:r>
            <w:r w:rsidR="002D27AF" w:rsidRPr="00E6071F">
              <w:rPr>
                <w:rFonts w:ascii="Times New Roman" w:hAnsi="Times New Roman" w:cs="Times New Roman"/>
                <w:noProof/>
              </w:rPr>
              <w:t>fine</w:t>
            </w:r>
            <w:r w:rsidRPr="00E6071F">
              <w:rPr>
                <w:rFonts w:ascii="Times New Roman" w:hAnsi="Times New Roman" w:cs="Times New Roman"/>
                <w:noProof/>
              </w:rPr>
              <w:t xml:space="preserve"> a first package of common standards to </w:t>
            </w:r>
            <w:r w:rsidR="002D27AF" w:rsidRPr="00E6071F">
              <w:rPr>
                <w:rFonts w:ascii="Times New Roman" w:hAnsi="Times New Roman" w:cs="Times New Roman"/>
                <w:noProof/>
              </w:rPr>
              <w:t>promote</w:t>
            </w:r>
            <w:r w:rsidRPr="00E6071F">
              <w:rPr>
                <w:rFonts w:ascii="Times New Roman" w:hAnsi="Times New Roman" w:cs="Times New Roman"/>
                <w:noProof/>
              </w:rPr>
              <w:t xml:space="preserve"> military use of Additive Manufacturing solutions in an interoperable manner. </w:t>
            </w:r>
          </w:p>
        </w:tc>
      </w:tr>
    </w:tbl>
    <w:p w14:paraId="7A14C99C" w14:textId="77777777" w:rsidR="00447D98" w:rsidRPr="00E6071F" w:rsidRDefault="00447D98">
      <w:pPr>
        <w:spacing w:line="240" w:lineRule="auto"/>
        <w:rPr>
          <w:rFonts w:ascii="Times New Roman" w:hAnsi="Times New Roman" w:cs="Times New Roman"/>
          <w:b/>
          <w:i/>
          <w:noProof/>
        </w:rPr>
      </w:pPr>
    </w:p>
    <w:tbl>
      <w:tblPr>
        <w:tblStyle w:val="TableGrid"/>
        <w:tblW w:w="0" w:type="dxa"/>
        <w:tblLook w:val="04A0" w:firstRow="1" w:lastRow="0" w:firstColumn="1" w:lastColumn="0" w:noHBand="0" w:noVBand="1"/>
      </w:tblPr>
      <w:tblGrid>
        <w:gridCol w:w="9016"/>
      </w:tblGrid>
      <w:tr w:rsidR="00886D79" w:rsidRPr="00E6071F" w14:paraId="40DFC0E9" w14:textId="77777777" w:rsidTr="003308C6">
        <w:tc>
          <w:tcPr>
            <w:tcW w:w="9288" w:type="dxa"/>
            <w:shd w:val="clear" w:color="auto" w:fill="D9D9D9" w:themeFill="background1" w:themeFillShade="D9"/>
          </w:tcPr>
          <w:p w14:paraId="0A874E5A" w14:textId="77777777" w:rsidR="00DE1E24" w:rsidRPr="00E6071F" w:rsidRDefault="00DE1E24">
            <w:pPr>
              <w:tabs>
                <w:tab w:val="left" w:pos="284"/>
              </w:tabs>
              <w:spacing w:after="120"/>
              <w:jc w:val="both"/>
              <w:rPr>
                <w:rFonts w:ascii="Times New Roman" w:hAnsi="Times New Roman" w:cs="Times New Roman"/>
                <w:b/>
                <w:noProof/>
              </w:rPr>
            </w:pPr>
            <w:r w:rsidRPr="00E6071F">
              <w:rPr>
                <w:rFonts w:ascii="Times New Roman" w:hAnsi="Times New Roman" w:cs="Times New Roman"/>
                <w:b/>
                <w:noProof/>
              </w:rPr>
              <w:t>EU Member States are invited to:</w:t>
            </w:r>
          </w:p>
          <w:p w14:paraId="03D57CBC" w14:textId="77777777" w:rsidR="00DE1E24" w:rsidRPr="00E6071F" w:rsidRDefault="005C34F1" w:rsidP="005454B0">
            <w:pPr>
              <w:pStyle w:val="ListParagraph"/>
              <w:numPr>
                <w:ilvl w:val="0"/>
                <w:numId w:val="28"/>
              </w:numPr>
              <w:tabs>
                <w:tab w:val="left" w:pos="284"/>
              </w:tabs>
              <w:spacing w:after="120"/>
              <w:jc w:val="both"/>
              <w:rPr>
                <w:rFonts w:ascii="Times New Roman" w:hAnsi="Times New Roman" w:cs="Times New Roman"/>
                <w:noProof/>
                <w:u w:val="single"/>
              </w:rPr>
            </w:pPr>
            <w:r>
              <w:rPr>
                <w:rFonts w:ascii="Times New Roman" w:hAnsi="Times New Roman" w:cs="Times New Roman"/>
                <w:noProof/>
              </w:rPr>
              <w:t>M</w:t>
            </w:r>
            <w:r w:rsidR="005D5DC6" w:rsidRPr="00E6071F">
              <w:rPr>
                <w:rFonts w:ascii="Times New Roman" w:hAnsi="Times New Roman" w:cs="Times New Roman"/>
                <w:noProof/>
              </w:rPr>
              <w:t>eet</w:t>
            </w:r>
            <w:r w:rsidR="00DA7A2B" w:rsidRPr="00E6071F">
              <w:rPr>
                <w:rFonts w:ascii="Times New Roman" w:hAnsi="Times New Roman" w:cs="Times New Roman"/>
                <w:noProof/>
              </w:rPr>
              <w:t>, by the end of 2023,</w:t>
            </w:r>
            <w:r w:rsidR="005D5DC6" w:rsidRPr="00E6071F">
              <w:rPr>
                <w:rFonts w:ascii="Times New Roman" w:hAnsi="Times New Roman" w:cs="Times New Roman"/>
                <w:noProof/>
              </w:rPr>
              <w:t xml:space="preserve"> the </w:t>
            </w:r>
            <w:r w:rsidR="00945224" w:rsidRPr="00E6071F">
              <w:rPr>
                <w:rFonts w:ascii="Times New Roman" w:hAnsi="Times New Roman" w:cs="Times New Roman"/>
                <w:noProof/>
              </w:rPr>
              <w:t xml:space="preserve">maximum </w:t>
            </w:r>
            <w:r w:rsidR="005D5DC6" w:rsidRPr="00E6071F">
              <w:rPr>
                <w:rFonts w:ascii="Times New Roman" w:hAnsi="Times New Roman" w:cs="Times New Roman"/>
                <w:noProof/>
              </w:rPr>
              <w:t>5 working days objective</w:t>
            </w:r>
            <w:r w:rsidR="00945224" w:rsidRPr="00E6071F">
              <w:rPr>
                <w:rFonts w:ascii="Times New Roman" w:hAnsi="Times New Roman" w:cs="Times New Roman"/>
                <w:noProof/>
              </w:rPr>
              <w:t xml:space="preserve"> for border crossing procedures</w:t>
            </w:r>
            <w:r w:rsidR="005D5DC6" w:rsidRPr="00E6071F">
              <w:rPr>
                <w:rFonts w:ascii="Times New Roman" w:hAnsi="Times New Roman" w:cs="Times New Roman"/>
                <w:noProof/>
              </w:rPr>
              <w:t xml:space="preserve"> as </w:t>
            </w:r>
            <w:r w:rsidR="0034470B" w:rsidRPr="00E6071F">
              <w:rPr>
                <w:rFonts w:ascii="Times New Roman" w:hAnsi="Times New Roman" w:cs="Times New Roman"/>
                <w:noProof/>
              </w:rPr>
              <w:t xml:space="preserve">part of the military mobility “pledge” </w:t>
            </w:r>
            <w:r w:rsidR="00131294" w:rsidRPr="00E6071F">
              <w:rPr>
                <w:rFonts w:ascii="Times New Roman" w:hAnsi="Times New Roman" w:cs="Times New Roman"/>
                <w:noProof/>
              </w:rPr>
              <w:t>agreed by the Council in</w:t>
            </w:r>
            <w:r w:rsidR="005D5DC6" w:rsidRPr="00E6071F">
              <w:rPr>
                <w:rFonts w:ascii="Times New Roman" w:hAnsi="Times New Roman" w:cs="Times New Roman"/>
                <w:noProof/>
              </w:rPr>
              <w:t xml:space="preserve"> </w:t>
            </w:r>
            <w:r w:rsidR="00DC4FB7" w:rsidRPr="00E6071F">
              <w:rPr>
                <w:rFonts w:ascii="Times New Roman" w:hAnsi="Times New Roman" w:cs="Times New Roman"/>
                <w:noProof/>
              </w:rPr>
              <w:t>June 2018 and</w:t>
            </w:r>
            <w:r w:rsidR="005D5DC6" w:rsidRPr="00E6071F">
              <w:rPr>
                <w:rFonts w:ascii="Times New Roman" w:hAnsi="Times New Roman" w:cs="Times New Roman"/>
                <w:noProof/>
              </w:rPr>
              <w:t xml:space="preserve"> explore the possibility of reducing the time </w:t>
            </w:r>
            <w:r w:rsidR="005454B0" w:rsidRPr="00E6071F">
              <w:rPr>
                <w:rFonts w:ascii="Times New Roman" w:hAnsi="Times New Roman" w:cs="Times New Roman"/>
                <w:noProof/>
              </w:rPr>
              <w:t xml:space="preserve">to 3 working days for rapid reaction units, </w:t>
            </w:r>
            <w:r w:rsidR="00FD0DBD" w:rsidRPr="00E6071F">
              <w:rPr>
                <w:rFonts w:ascii="Times New Roman" w:hAnsi="Times New Roman" w:cs="Times New Roman"/>
                <w:noProof/>
              </w:rPr>
              <w:t>with a view to a possible update of the “pledge”</w:t>
            </w:r>
            <w:r w:rsidR="005D5DC6" w:rsidRPr="00E6071F">
              <w:rPr>
                <w:rFonts w:ascii="Times New Roman" w:hAnsi="Times New Roman" w:cs="Times New Roman"/>
                <w:noProof/>
              </w:rPr>
              <w:t>.</w:t>
            </w:r>
          </w:p>
          <w:p w14:paraId="301EE7F4" w14:textId="37F6C498" w:rsidR="005454B0" w:rsidRPr="00E6071F" w:rsidRDefault="005454B0" w:rsidP="005454B0">
            <w:pPr>
              <w:pStyle w:val="ListParagraph"/>
              <w:numPr>
                <w:ilvl w:val="0"/>
                <w:numId w:val="28"/>
              </w:numPr>
              <w:tabs>
                <w:tab w:val="left" w:pos="284"/>
              </w:tabs>
              <w:spacing w:after="120"/>
              <w:jc w:val="both"/>
              <w:rPr>
                <w:rFonts w:ascii="Times New Roman" w:hAnsi="Times New Roman" w:cs="Times New Roman"/>
                <w:noProof/>
              </w:rPr>
            </w:pPr>
            <w:r w:rsidRPr="00E6071F">
              <w:rPr>
                <w:rFonts w:ascii="Times New Roman" w:hAnsi="Times New Roman" w:cs="Times New Roman"/>
                <w:noProof/>
              </w:rPr>
              <w:t>Participate</w:t>
            </w:r>
            <w:r w:rsidR="000C3784">
              <w:rPr>
                <w:rFonts w:ascii="Times New Roman" w:hAnsi="Times New Roman" w:cs="Times New Roman"/>
                <w:noProof/>
              </w:rPr>
              <w:t xml:space="preserve"> in</w:t>
            </w:r>
            <w:r w:rsidRPr="00E6071F">
              <w:rPr>
                <w:rFonts w:ascii="Times New Roman" w:hAnsi="Times New Roman" w:cs="Times New Roman"/>
                <w:noProof/>
              </w:rPr>
              <w:t xml:space="preserve"> and provide the necessary data </w:t>
            </w:r>
            <w:r w:rsidR="000C3784">
              <w:rPr>
                <w:rFonts w:ascii="Times New Roman" w:hAnsi="Times New Roman" w:cs="Times New Roman"/>
                <w:noProof/>
              </w:rPr>
              <w:t>for</w:t>
            </w:r>
            <w:r w:rsidR="000C3784" w:rsidRPr="00E6071F">
              <w:rPr>
                <w:rFonts w:ascii="Times New Roman" w:hAnsi="Times New Roman" w:cs="Times New Roman"/>
                <w:noProof/>
              </w:rPr>
              <w:t xml:space="preserve"> </w:t>
            </w:r>
            <w:r w:rsidRPr="00E6071F">
              <w:rPr>
                <w:rFonts w:ascii="Times New Roman" w:hAnsi="Times New Roman" w:cs="Times New Roman"/>
                <w:noProof/>
              </w:rPr>
              <w:t>relevant studies undertaken at EU level.</w:t>
            </w:r>
          </w:p>
          <w:p w14:paraId="2CB54333" w14:textId="77777777" w:rsidR="00E4183F" w:rsidRPr="005C27F3" w:rsidRDefault="005454B0" w:rsidP="005C27F3">
            <w:pPr>
              <w:pStyle w:val="ListParagraph"/>
              <w:numPr>
                <w:ilvl w:val="0"/>
                <w:numId w:val="28"/>
              </w:numPr>
              <w:tabs>
                <w:tab w:val="left" w:pos="284"/>
              </w:tabs>
              <w:spacing w:after="120"/>
              <w:jc w:val="both"/>
              <w:rPr>
                <w:rFonts w:ascii="Times New Roman" w:hAnsi="Times New Roman" w:cs="Times New Roman"/>
                <w:noProof/>
                <w:u w:val="single"/>
              </w:rPr>
            </w:pPr>
            <w:r w:rsidRPr="00E6071F">
              <w:rPr>
                <w:rFonts w:ascii="Times New Roman" w:hAnsi="Times New Roman" w:cs="Times New Roman"/>
                <w:noProof/>
              </w:rPr>
              <w:t xml:space="preserve">Actively support the development of </w:t>
            </w:r>
            <w:r w:rsidR="000C3784">
              <w:rPr>
                <w:rFonts w:ascii="Times New Roman" w:hAnsi="Times New Roman" w:cs="Times New Roman"/>
                <w:noProof/>
              </w:rPr>
              <w:t xml:space="preserve">a </w:t>
            </w:r>
            <w:r w:rsidRPr="00E6071F">
              <w:rPr>
                <w:rFonts w:ascii="Times New Roman" w:hAnsi="Times New Roman" w:cs="Times New Roman"/>
                <w:noProof/>
              </w:rPr>
              <w:t>Technical Arrangement for Cross Border Movement Permissions for the maritime domain</w:t>
            </w:r>
            <w:r w:rsidR="00FD0DBD" w:rsidRPr="00E6071F">
              <w:rPr>
                <w:rFonts w:ascii="Times New Roman" w:hAnsi="Times New Roman" w:cs="Times New Roman"/>
                <w:noProof/>
              </w:rPr>
              <w:t>.</w:t>
            </w:r>
          </w:p>
        </w:tc>
      </w:tr>
    </w:tbl>
    <w:p w14:paraId="62F88C20" w14:textId="77777777" w:rsidR="00C15CAF" w:rsidRPr="00E6071F" w:rsidRDefault="00C15CAF" w:rsidP="005454B0">
      <w:pPr>
        <w:pStyle w:val="ListParagraph"/>
        <w:spacing w:after="240"/>
        <w:ind w:left="0"/>
        <w:jc w:val="both"/>
        <w:rPr>
          <w:rFonts w:ascii="Times New Roman" w:hAnsi="Times New Roman" w:cs="Times New Roman"/>
          <w:b/>
          <w:noProof/>
          <w:lang w:val="en-GB"/>
        </w:rPr>
      </w:pPr>
    </w:p>
    <w:p w14:paraId="74248D86" w14:textId="77777777" w:rsidR="00FA0E91" w:rsidRPr="00E6071F" w:rsidRDefault="00D83A6C" w:rsidP="005454B0">
      <w:pPr>
        <w:pStyle w:val="ListParagraph"/>
        <w:tabs>
          <w:tab w:val="left" w:pos="567"/>
        </w:tabs>
        <w:spacing w:after="240"/>
        <w:ind w:left="0"/>
        <w:jc w:val="both"/>
        <w:rPr>
          <w:rFonts w:ascii="Times New Roman" w:hAnsi="Times New Roman" w:cs="Times New Roman"/>
          <w:b/>
          <w:noProof/>
          <w:lang w:val="en-GB"/>
        </w:rPr>
      </w:pPr>
      <w:r w:rsidRPr="00E6071F">
        <w:rPr>
          <w:rFonts w:ascii="Times New Roman" w:hAnsi="Times New Roman" w:cs="Times New Roman"/>
          <w:b/>
          <w:noProof/>
          <w:lang w:val="en-GB"/>
        </w:rPr>
        <w:t>3</w:t>
      </w:r>
      <w:r w:rsidR="004E3FC4" w:rsidRPr="00E6071F">
        <w:rPr>
          <w:rFonts w:ascii="Times New Roman" w:hAnsi="Times New Roman" w:cs="Times New Roman"/>
          <w:b/>
          <w:noProof/>
          <w:lang w:val="en-GB"/>
        </w:rPr>
        <w:t>.</w:t>
      </w:r>
      <w:r w:rsidR="00C15CAF" w:rsidRPr="00E6071F">
        <w:rPr>
          <w:rFonts w:ascii="Times New Roman" w:hAnsi="Times New Roman" w:cs="Times New Roman"/>
          <w:b/>
          <w:noProof/>
          <w:lang w:val="en-GB"/>
        </w:rPr>
        <w:t>3</w:t>
      </w:r>
      <w:r w:rsidR="004E3FC4" w:rsidRPr="00E6071F">
        <w:rPr>
          <w:rFonts w:ascii="Times New Roman" w:hAnsi="Times New Roman" w:cs="Times New Roman"/>
          <w:b/>
          <w:noProof/>
          <w:lang w:val="en-GB"/>
        </w:rPr>
        <w:tab/>
      </w:r>
      <w:r w:rsidR="00FA0E91" w:rsidRPr="00E6071F">
        <w:rPr>
          <w:rFonts w:ascii="Times New Roman" w:hAnsi="Times New Roman" w:cs="Times New Roman"/>
          <w:b/>
          <w:noProof/>
          <w:u w:val="single"/>
          <w:lang w:val="en-GB"/>
        </w:rPr>
        <w:t>Resilience and Preparedness</w:t>
      </w:r>
    </w:p>
    <w:p w14:paraId="39564F15" w14:textId="1D462785" w:rsidR="00C15CAF" w:rsidRDefault="00C15CAF" w:rsidP="005454B0">
      <w:pPr>
        <w:spacing w:after="240" w:line="240" w:lineRule="auto"/>
        <w:jc w:val="both"/>
        <w:rPr>
          <w:rFonts w:ascii="Times New Roman" w:hAnsi="Times New Roman" w:cs="Times New Roman"/>
          <w:noProof/>
          <w:lang w:val="en-GB"/>
        </w:rPr>
      </w:pPr>
      <w:r w:rsidRPr="00E6071F">
        <w:rPr>
          <w:rFonts w:ascii="Times New Roman" w:hAnsi="Times New Roman" w:cs="Times New Roman"/>
          <w:noProof/>
          <w:lang w:val="en-GB"/>
        </w:rPr>
        <w:t xml:space="preserve">A well-functioning </w:t>
      </w:r>
      <w:r w:rsidR="00B001C2" w:rsidRPr="00E6071F">
        <w:rPr>
          <w:rFonts w:ascii="Times New Roman" w:hAnsi="Times New Roman" w:cs="Times New Roman"/>
          <w:noProof/>
          <w:lang w:val="en-GB"/>
        </w:rPr>
        <w:t xml:space="preserve">military mobility </w:t>
      </w:r>
      <w:r w:rsidRPr="00E6071F">
        <w:rPr>
          <w:rFonts w:ascii="Times New Roman" w:hAnsi="Times New Roman" w:cs="Times New Roman"/>
          <w:noProof/>
          <w:lang w:val="en-GB"/>
        </w:rPr>
        <w:t>network needs to be resilient, including in the context of cyber</w:t>
      </w:r>
      <w:r w:rsidR="009E7FEE" w:rsidRPr="00E6071F">
        <w:rPr>
          <w:rFonts w:ascii="Times New Roman" w:hAnsi="Times New Roman" w:cs="Times New Roman"/>
          <w:noProof/>
          <w:lang w:val="en-GB"/>
        </w:rPr>
        <w:t>, climate change</w:t>
      </w:r>
      <w:r w:rsidRPr="00E6071F">
        <w:rPr>
          <w:rFonts w:ascii="Times New Roman" w:hAnsi="Times New Roman" w:cs="Times New Roman"/>
          <w:noProof/>
          <w:lang w:val="en-GB"/>
        </w:rPr>
        <w:t xml:space="preserve"> and other hybrid threats that may target critical nodes in the transport system used by the military. </w:t>
      </w:r>
      <w:r w:rsidR="00C26CE7" w:rsidRPr="00E6071F">
        <w:rPr>
          <w:rFonts w:ascii="Times New Roman" w:hAnsi="Times New Roman" w:cs="Times New Roman"/>
          <w:noProof/>
          <w:lang w:val="en-GB"/>
        </w:rPr>
        <w:t xml:space="preserve">For example, a </w:t>
      </w:r>
      <w:r w:rsidR="00C66669" w:rsidRPr="00E6071F">
        <w:rPr>
          <w:rFonts w:ascii="Times New Roman" w:hAnsi="Times New Roman" w:cs="Times New Roman"/>
          <w:noProof/>
          <w:lang w:val="en-GB"/>
        </w:rPr>
        <w:t>cyber-</w:t>
      </w:r>
      <w:r w:rsidR="009B5045">
        <w:rPr>
          <w:rFonts w:ascii="Times New Roman" w:hAnsi="Times New Roman" w:cs="Times New Roman"/>
          <w:noProof/>
          <w:lang w:val="en-GB"/>
        </w:rPr>
        <w:t xml:space="preserve">attack on </w:t>
      </w:r>
      <w:r w:rsidR="00C26CE7" w:rsidRPr="00E6071F">
        <w:rPr>
          <w:rFonts w:ascii="Times New Roman" w:hAnsi="Times New Roman" w:cs="Times New Roman"/>
          <w:noProof/>
          <w:lang w:val="en-GB"/>
        </w:rPr>
        <w:t xml:space="preserve">systems </w:t>
      </w:r>
      <w:r w:rsidR="00060E79">
        <w:rPr>
          <w:rFonts w:ascii="Times New Roman" w:hAnsi="Times New Roman" w:cs="Times New Roman"/>
          <w:noProof/>
          <w:lang w:val="en-GB"/>
        </w:rPr>
        <w:t xml:space="preserve">used </w:t>
      </w:r>
      <w:r w:rsidR="00C26CE7" w:rsidRPr="00060E79">
        <w:rPr>
          <w:rFonts w:ascii="Times New Roman" w:hAnsi="Times New Roman" w:cs="Times New Roman"/>
          <w:noProof/>
          <w:lang w:val="en-GB"/>
        </w:rPr>
        <w:t xml:space="preserve">in airports, harbours or railroads </w:t>
      </w:r>
      <w:r w:rsidR="00B80EBC" w:rsidRPr="00B80EBC">
        <w:rPr>
          <w:rFonts w:ascii="Times New Roman" w:hAnsi="Times New Roman" w:cs="Times New Roman"/>
          <w:noProof/>
          <w:lang w:val="en-GB"/>
        </w:rPr>
        <w:t>or a cyber-attack on military assets</w:t>
      </w:r>
      <w:r w:rsidR="00B80EBC">
        <w:rPr>
          <w:rFonts w:ascii="Times New Roman" w:hAnsi="Times New Roman" w:cs="Times New Roman"/>
          <w:noProof/>
          <w:lang w:val="en-GB"/>
        </w:rPr>
        <w:t xml:space="preserve"> </w:t>
      </w:r>
      <w:r w:rsidR="00C26CE7" w:rsidRPr="00060E79">
        <w:rPr>
          <w:rFonts w:ascii="Times New Roman" w:hAnsi="Times New Roman" w:cs="Times New Roman"/>
          <w:noProof/>
          <w:lang w:val="en-GB"/>
        </w:rPr>
        <w:t>could have major consequences</w:t>
      </w:r>
      <w:r w:rsidR="00C26CE7" w:rsidRPr="00566832">
        <w:rPr>
          <w:rFonts w:ascii="Times New Roman" w:hAnsi="Times New Roman" w:cs="Times New Roman"/>
          <w:noProof/>
          <w:lang w:val="en-GB"/>
        </w:rPr>
        <w:t xml:space="preserve">. </w:t>
      </w:r>
      <w:r w:rsidR="006D04DB" w:rsidRPr="006D04DB">
        <w:rPr>
          <w:rFonts w:ascii="Times New Roman" w:hAnsi="Times New Roman" w:cs="Times New Roman"/>
          <w:noProof/>
          <w:lang w:val="en-GB"/>
        </w:rPr>
        <w:t xml:space="preserve">Thus, digitalising processes and procedures, including for the necessary civilian and military cooperation, will require to harden the CIS/IT systems against cyber threats. </w:t>
      </w:r>
      <w:r w:rsidR="006D04DB" w:rsidRPr="00756DD8">
        <w:rPr>
          <w:rFonts w:ascii="Times New Roman" w:hAnsi="Times New Roman"/>
          <w:noProof/>
          <w:lang w:val="en-GB"/>
        </w:rPr>
        <w:t>Member States will need to take action in that respect, building on the EDA’s work.</w:t>
      </w:r>
      <w:r w:rsidR="006D04DB" w:rsidRPr="006D04DB">
        <w:rPr>
          <w:rFonts w:ascii="Times New Roman" w:hAnsi="Times New Roman" w:cs="Times New Roman"/>
          <w:noProof/>
          <w:lang w:val="en-GB"/>
        </w:rPr>
        <w:t xml:space="preserve"> Furthermore</w:t>
      </w:r>
      <w:r w:rsidR="006D04DB">
        <w:rPr>
          <w:rFonts w:ascii="Times New Roman" w:hAnsi="Times New Roman" w:cs="Times New Roman"/>
          <w:noProof/>
          <w:lang w:val="en-GB"/>
        </w:rPr>
        <w:t>, b</w:t>
      </w:r>
      <w:r w:rsidRPr="00566832">
        <w:rPr>
          <w:rFonts w:ascii="Times New Roman" w:hAnsi="Times New Roman" w:cs="Times New Roman"/>
          <w:noProof/>
          <w:lang w:val="en-GB"/>
        </w:rPr>
        <w:t xml:space="preserve">eyond ensuring the prerequisites for military mobility, Member States </w:t>
      </w:r>
      <w:r w:rsidR="00A331F5" w:rsidRPr="00566832">
        <w:rPr>
          <w:rFonts w:ascii="Times New Roman" w:hAnsi="Times New Roman" w:cs="Times New Roman"/>
          <w:noProof/>
          <w:lang w:val="en-GB"/>
        </w:rPr>
        <w:t xml:space="preserve">should </w:t>
      </w:r>
      <w:r w:rsidR="00B001C2" w:rsidRPr="00566832">
        <w:rPr>
          <w:rFonts w:ascii="Times New Roman" w:hAnsi="Times New Roman" w:cs="Times New Roman"/>
          <w:noProof/>
          <w:lang w:val="en-GB"/>
        </w:rPr>
        <w:t xml:space="preserve">enhance the mobility and deployability of their armed </w:t>
      </w:r>
      <w:r w:rsidRPr="00566832">
        <w:rPr>
          <w:rFonts w:ascii="Times New Roman" w:hAnsi="Times New Roman" w:cs="Times New Roman"/>
          <w:noProof/>
          <w:lang w:val="en-GB"/>
        </w:rPr>
        <w:t>forces</w:t>
      </w:r>
      <w:r w:rsidR="00AF7B85">
        <w:rPr>
          <w:rFonts w:ascii="Times New Roman" w:hAnsi="Times New Roman" w:cs="Times New Roman"/>
          <w:noProof/>
          <w:lang w:val="en-GB"/>
        </w:rPr>
        <w:t>,</w:t>
      </w:r>
      <w:r w:rsidR="00B001C2" w:rsidRPr="00566832">
        <w:rPr>
          <w:rFonts w:ascii="Times New Roman" w:hAnsi="Times New Roman" w:cs="Times New Roman"/>
          <w:noProof/>
          <w:lang w:val="en-GB"/>
        </w:rPr>
        <w:t xml:space="preserve"> </w:t>
      </w:r>
      <w:r w:rsidR="00C66669" w:rsidRPr="00566832">
        <w:rPr>
          <w:rFonts w:ascii="Times New Roman" w:hAnsi="Times New Roman" w:cs="Times New Roman"/>
          <w:noProof/>
          <w:lang w:val="en-GB"/>
        </w:rPr>
        <w:t xml:space="preserve">to ensure </w:t>
      </w:r>
      <w:r w:rsidRPr="00566832">
        <w:rPr>
          <w:rFonts w:ascii="Times New Roman" w:hAnsi="Times New Roman" w:cs="Times New Roman"/>
          <w:noProof/>
          <w:lang w:val="en-GB"/>
        </w:rPr>
        <w:t xml:space="preserve">that </w:t>
      </w:r>
      <w:r w:rsidR="00B001C2" w:rsidRPr="00566832">
        <w:rPr>
          <w:rFonts w:ascii="Times New Roman" w:hAnsi="Times New Roman" w:cs="Times New Roman"/>
          <w:noProof/>
          <w:lang w:val="en-GB"/>
        </w:rPr>
        <w:t xml:space="preserve">they </w:t>
      </w:r>
      <w:r w:rsidRPr="00566832">
        <w:rPr>
          <w:rFonts w:ascii="Times New Roman" w:hAnsi="Times New Roman" w:cs="Times New Roman"/>
          <w:noProof/>
          <w:lang w:val="en-GB"/>
        </w:rPr>
        <w:t>can rely on both civilian and military transport infrastructure and capabilities in times of cris</w:t>
      </w:r>
      <w:r w:rsidR="00B001C2" w:rsidRPr="00566832">
        <w:rPr>
          <w:rFonts w:ascii="Times New Roman" w:hAnsi="Times New Roman" w:cs="Times New Roman"/>
          <w:noProof/>
          <w:lang w:val="en-GB"/>
        </w:rPr>
        <w:t>i</w:t>
      </w:r>
      <w:r w:rsidRPr="00566832">
        <w:rPr>
          <w:rFonts w:ascii="Times New Roman" w:hAnsi="Times New Roman" w:cs="Times New Roman"/>
          <w:noProof/>
          <w:lang w:val="en-GB"/>
        </w:rPr>
        <w:t xml:space="preserve">s. </w:t>
      </w:r>
    </w:p>
    <w:p w14:paraId="3F24A6C8" w14:textId="77777777" w:rsidR="003405AE" w:rsidRPr="00566832" w:rsidRDefault="00D83A6C" w:rsidP="0029319B">
      <w:pPr>
        <w:tabs>
          <w:tab w:val="left" w:pos="567"/>
        </w:tabs>
        <w:spacing w:after="240" w:line="240" w:lineRule="auto"/>
        <w:jc w:val="both"/>
        <w:rPr>
          <w:rFonts w:ascii="Times New Roman" w:hAnsi="Times New Roman" w:cs="Times New Roman"/>
          <w:b/>
          <w:i/>
          <w:noProof/>
          <w:lang w:val="en-GB"/>
        </w:rPr>
      </w:pPr>
      <w:r w:rsidRPr="00566832">
        <w:rPr>
          <w:rFonts w:ascii="Times New Roman" w:hAnsi="Times New Roman" w:cs="Times New Roman"/>
          <w:b/>
          <w:i/>
          <w:noProof/>
          <w:lang w:val="en-GB"/>
        </w:rPr>
        <w:t>3</w:t>
      </w:r>
      <w:r w:rsidR="00CC05AF" w:rsidRPr="00566832">
        <w:rPr>
          <w:rFonts w:ascii="Times New Roman" w:hAnsi="Times New Roman" w:cs="Times New Roman"/>
          <w:b/>
          <w:i/>
          <w:noProof/>
          <w:lang w:val="en-GB"/>
        </w:rPr>
        <w:t>.3.1</w:t>
      </w:r>
      <w:r w:rsidR="00CC05AF" w:rsidRPr="00566832">
        <w:rPr>
          <w:rFonts w:ascii="Times New Roman" w:hAnsi="Times New Roman" w:cs="Times New Roman"/>
          <w:b/>
          <w:i/>
          <w:noProof/>
          <w:lang w:val="en-GB"/>
        </w:rPr>
        <w:tab/>
      </w:r>
      <w:r w:rsidR="00095697" w:rsidRPr="00566832">
        <w:rPr>
          <w:rFonts w:ascii="Times New Roman" w:hAnsi="Times New Roman" w:cs="Times New Roman"/>
          <w:b/>
          <w:i/>
          <w:noProof/>
          <w:lang w:val="en-GB"/>
        </w:rPr>
        <w:t xml:space="preserve">Strategic </w:t>
      </w:r>
      <w:r w:rsidR="00E71A7D" w:rsidRPr="00566832">
        <w:rPr>
          <w:rFonts w:ascii="Times New Roman" w:hAnsi="Times New Roman" w:cs="Times New Roman"/>
          <w:b/>
          <w:i/>
          <w:noProof/>
          <w:lang w:val="en-GB"/>
        </w:rPr>
        <w:t>l</w:t>
      </w:r>
      <w:r w:rsidR="00560D37" w:rsidRPr="00566832">
        <w:rPr>
          <w:rFonts w:ascii="Times New Roman" w:hAnsi="Times New Roman" w:cs="Times New Roman"/>
          <w:b/>
          <w:i/>
          <w:noProof/>
          <w:lang w:val="en-GB"/>
        </w:rPr>
        <w:t>ift</w:t>
      </w:r>
      <w:r w:rsidR="003405AE" w:rsidRPr="00566832">
        <w:rPr>
          <w:rFonts w:ascii="Times New Roman" w:hAnsi="Times New Roman" w:cs="Times New Roman"/>
          <w:b/>
          <w:i/>
          <w:noProof/>
          <w:lang w:val="en-GB"/>
        </w:rPr>
        <w:t xml:space="preserve"> capabilities </w:t>
      </w:r>
    </w:p>
    <w:p w14:paraId="7C1F0B70" w14:textId="77777777" w:rsidR="00320E82" w:rsidRPr="00566832" w:rsidRDefault="00FD6314">
      <w:pPr>
        <w:spacing w:line="240" w:lineRule="auto"/>
        <w:jc w:val="both"/>
        <w:rPr>
          <w:rFonts w:ascii="Times New Roman" w:eastAsia="Calibri" w:hAnsi="Times New Roman" w:cs="Times New Roman"/>
          <w:noProof/>
        </w:rPr>
      </w:pPr>
      <w:r w:rsidRPr="00566832">
        <w:rPr>
          <w:rFonts w:ascii="Times New Roman" w:eastAsia="Calibri" w:hAnsi="Times New Roman" w:cs="Times New Roman"/>
          <w:noProof/>
        </w:rPr>
        <w:t xml:space="preserve">Strategic </w:t>
      </w:r>
      <w:r w:rsidR="00E9441D">
        <w:rPr>
          <w:rFonts w:ascii="Times New Roman" w:eastAsia="Calibri" w:hAnsi="Times New Roman" w:cs="Times New Roman"/>
          <w:noProof/>
        </w:rPr>
        <w:t>l</w:t>
      </w:r>
      <w:r w:rsidRPr="00566832">
        <w:rPr>
          <w:rFonts w:ascii="Times New Roman" w:eastAsia="Calibri" w:hAnsi="Times New Roman" w:cs="Times New Roman"/>
          <w:noProof/>
        </w:rPr>
        <w:t>ift capabilities are critical to ensure that Member States can deploy the</w:t>
      </w:r>
      <w:r w:rsidR="00B30EB2" w:rsidRPr="00566832">
        <w:rPr>
          <w:rFonts w:ascii="Times New Roman" w:eastAsia="Calibri" w:hAnsi="Times New Roman" w:cs="Times New Roman"/>
          <w:noProof/>
        </w:rPr>
        <w:t>i</w:t>
      </w:r>
      <w:r w:rsidRPr="00566832">
        <w:rPr>
          <w:rFonts w:ascii="Times New Roman" w:eastAsia="Calibri" w:hAnsi="Times New Roman" w:cs="Times New Roman"/>
          <w:noProof/>
        </w:rPr>
        <w:t>r forces and equipment swiftly withi</w:t>
      </w:r>
      <w:r w:rsidR="00182191" w:rsidRPr="00566832">
        <w:rPr>
          <w:rFonts w:ascii="Times New Roman" w:eastAsia="Calibri" w:hAnsi="Times New Roman" w:cs="Times New Roman"/>
          <w:noProof/>
        </w:rPr>
        <w:t>n</w:t>
      </w:r>
      <w:r w:rsidRPr="00566832">
        <w:rPr>
          <w:rFonts w:ascii="Times New Roman" w:eastAsia="Calibri" w:hAnsi="Times New Roman" w:cs="Times New Roman"/>
          <w:noProof/>
        </w:rPr>
        <w:t xml:space="preserve"> and beyond the EU. </w:t>
      </w:r>
      <w:r w:rsidR="00320E82" w:rsidRPr="00566832">
        <w:rPr>
          <w:rFonts w:ascii="Times New Roman" w:eastAsia="Calibri" w:hAnsi="Times New Roman" w:cs="Times New Roman"/>
          <w:noProof/>
        </w:rPr>
        <w:t xml:space="preserve">The first Coordinated Annual Review on Defence Report, approved by </w:t>
      </w:r>
      <w:r w:rsidR="00131294" w:rsidRPr="00566832">
        <w:rPr>
          <w:rFonts w:ascii="Times New Roman" w:eastAsia="Calibri" w:hAnsi="Times New Roman" w:cs="Times New Roman"/>
          <w:noProof/>
        </w:rPr>
        <w:t>EU</w:t>
      </w:r>
      <w:r w:rsidR="00320E82" w:rsidRPr="00566832">
        <w:rPr>
          <w:rFonts w:ascii="Times New Roman" w:eastAsia="Calibri" w:hAnsi="Times New Roman" w:cs="Times New Roman"/>
          <w:noProof/>
        </w:rPr>
        <w:t xml:space="preserve"> Ministers of Defence </w:t>
      </w:r>
      <w:r w:rsidR="00163FDF" w:rsidRPr="00566832">
        <w:rPr>
          <w:rFonts w:ascii="Times New Roman" w:eastAsia="Calibri" w:hAnsi="Times New Roman" w:cs="Times New Roman"/>
          <w:noProof/>
        </w:rPr>
        <w:t>in November 2020</w:t>
      </w:r>
      <w:r w:rsidR="00B067ED" w:rsidRPr="00566832">
        <w:rPr>
          <w:rFonts w:ascii="Times New Roman" w:eastAsia="Calibri" w:hAnsi="Times New Roman" w:cs="Times New Roman"/>
          <w:noProof/>
          <w:vertAlign w:val="superscript"/>
        </w:rPr>
        <w:footnoteReference w:id="20"/>
      </w:r>
      <w:r w:rsidR="00B067ED" w:rsidRPr="00566832">
        <w:rPr>
          <w:rFonts w:ascii="Times New Roman" w:eastAsia="Calibri" w:hAnsi="Times New Roman" w:cs="Times New Roman"/>
          <w:noProof/>
        </w:rPr>
        <w:t xml:space="preserve">, includes </w:t>
      </w:r>
      <w:r w:rsidR="00320E82" w:rsidRPr="00566832">
        <w:rPr>
          <w:rFonts w:ascii="Times New Roman" w:eastAsia="Calibri" w:hAnsi="Times New Roman" w:cs="Times New Roman"/>
          <w:noProof/>
        </w:rPr>
        <w:t>“Enhanced Military Mobility”</w:t>
      </w:r>
      <w:r w:rsidR="00B067ED" w:rsidRPr="00566832">
        <w:rPr>
          <w:rFonts w:ascii="Times New Roman" w:eastAsia="Calibri" w:hAnsi="Times New Roman" w:cs="Times New Roman"/>
          <w:noProof/>
        </w:rPr>
        <w:t xml:space="preserve"> as one of its focus areas. It </w:t>
      </w:r>
      <w:r w:rsidR="005C34F1">
        <w:rPr>
          <w:rFonts w:ascii="Times New Roman" w:eastAsia="Calibri" w:hAnsi="Times New Roman" w:cs="Times New Roman"/>
          <w:noProof/>
        </w:rPr>
        <w:t>highlights</w:t>
      </w:r>
      <w:r w:rsidR="00320E82" w:rsidRPr="00566832">
        <w:rPr>
          <w:rFonts w:ascii="Times New Roman" w:eastAsia="Calibri" w:hAnsi="Times New Roman" w:cs="Times New Roman"/>
          <w:noProof/>
        </w:rPr>
        <w:t xml:space="preserve"> the need for improved resilience, </w:t>
      </w:r>
      <w:r w:rsidR="00B6468A">
        <w:rPr>
          <w:rFonts w:ascii="Times New Roman" w:eastAsia="Calibri" w:hAnsi="Times New Roman" w:cs="Times New Roman"/>
          <w:noProof/>
        </w:rPr>
        <w:t xml:space="preserve">strategic lift </w:t>
      </w:r>
      <w:r w:rsidR="00320E82" w:rsidRPr="00566832">
        <w:rPr>
          <w:rFonts w:ascii="Times New Roman" w:eastAsia="Calibri" w:hAnsi="Times New Roman" w:cs="Times New Roman"/>
          <w:noProof/>
        </w:rPr>
        <w:t>capabilities and logistics, taking into account hybrid threats to military movements</w:t>
      </w:r>
      <w:r w:rsidR="00AF7B85">
        <w:rPr>
          <w:rFonts w:ascii="Times New Roman" w:eastAsia="Calibri" w:hAnsi="Times New Roman" w:cs="Times New Roman"/>
          <w:noProof/>
        </w:rPr>
        <w:t>,</w:t>
      </w:r>
      <w:r w:rsidR="00320E82" w:rsidRPr="00566832">
        <w:rPr>
          <w:rFonts w:ascii="Times New Roman" w:eastAsia="Calibri" w:hAnsi="Times New Roman" w:cs="Times New Roman"/>
          <w:noProof/>
        </w:rPr>
        <w:t xml:space="preserve"> and put forward suggestions to address such threats in a holistic manner. </w:t>
      </w:r>
    </w:p>
    <w:p w14:paraId="4E06BE26" w14:textId="77777777" w:rsidR="009B2560" w:rsidRPr="009B2560" w:rsidRDefault="007E1861">
      <w:pPr>
        <w:spacing w:after="240" w:line="240" w:lineRule="auto"/>
        <w:jc w:val="both"/>
        <w:rPr>
          <w:rFonts w:ascii="Times New Roman" w:hAnsi="Times New Roman" w:cs="Times New Roman"/>
          <w:noProof/>
          <w:lang w:val="en-GB"/>
        </w:rPr>
      </w:pPr>
      <w:r w:rsidRPr="00566832">
        <w:rPr>
          <w:rFonts w:ascii="Times New Roman" w:hAnsi="Times New Roman" w:cs="Times New Roman"/>
          <w:noProof/>
          <w:lang w:val="en-GB"/>
        </w:rPr>
        <w:t>In line with the Enhanced Military Mobility focus area,</w:t>
      </w:r>
      <w:r w:rsidR="00560D37" w:rsidRPr="00566832">
        <w:rPr>
          <w:rFonts w:ascii="Times New Roman" w:hAnsi="Times New Roman" w:cs="Times New Roman"/>
          <w:noProof/>
          <w:lang w:val="en-GB"/>
        </w:rPr>
        <w:t xml:space="preserve"> </w:t>
      </w:r>
      <w:r w:rsidR="0016056F" w:rsidRPr="00566832">
        <w:rPr>
          <w:rFonts w:ascii="Times New Roman" w:hAnsi="Times New Roman" w:cs="Times New Roman"/>
          <w:noProof/>
          <w:lang w:val="en-GB"/>
        </w:rPr>
        <w:t xml:space="preserve">the EU needs to </w:t>
      </w:r>
      <w:r w:rsidR="00196F07" w:rsidRPr="00566832">
        <w:rPr>
          <w:rFonts w:ascii="Times New Roman" w:hAnsi="Times New Roman" w:cs="Times New Roman"/>
          <w:noProof/>
          <w:lang w:val="en-GB"/>
        </w:rPr>
        <w:t xml:space="preserve">identify and </w:t>
      </w:r>
      <w:r w:rsidR="00560D37" w:rsidRPr="00566832">
        <w:rPr>
          <w:rFonts w:ascii="Times New Roman" w:hAnsi="Times New Roman" w:cs="Times New Roman"/>
          <w:noProof/>
          <w:lang w:val="en-GB"/>
        </w:rPr>
        <w:t>address gaps and deficits in our logistical capacity, including land</w:t>
      </w:r>
      <w:r w:rsidR="00D96646" w:rsidRPr="00566832">
        <w:rPr>
          <w:rFonts w:ascii="Times New Roman" w:hAnsi="Times New Roman" w:cs="Times New Roman"/>
          <w:noProof/>
          <w:lang w:val="en-GB"/>
        </w:rPr>
        <w:t xml:space="preserve"> (</w:t>
      </w:r>
      <w:r w:rsidR="0069486C" w:rsidRPr="00566832">
        <w:rPr>
          <w:rFonts w:ascii="Times New Roman" w:hAnsi="Times New Roman" w:cs="Times New Roman"/>
          <w:noProof/>
          <w:lang w:val="en-GB"/>
        </w:rPr>
        <w:t>also</w:t>
      </w:r>
      <w:r w:rsidR="00D96646" w:rsidRPr="00566832">
        <w:rPr>
          <w:rFonts w:ascii="Times New Roman" w:hAnsi="Times New Roman" w:cs="Times New Roman"/>
          <w:noProof/>
          <w:lang w:val="en-GB"/>
        </w:rPr>
        <w:t xml:space="preserve"> inland waterways)</w:t>
      </w:r>
      <w:r w:rsidR="00560D37" w:rsidRPr="00566832">
        <w:rPr>
          <w:rFonts w:ascii="Times New Roman" w:hAnsi="Times New Roman" w:cs="Times New Roman"/>
          <w:noProof/>
          <w:lang w:val="en-GB"/>
        </w:rPr>
        <w:t>, sea</w:t>
      </w:r>
      <w:r w:rsidR="00D96646" w:rsidRPr="00566832">
        <w:rPr>
          <w:rFonts w:ascii="Times New Roman" w:hAnsi="Times New Roman" w:cs="Times New Roman"/>
          <w:noProof/>
          <w:lang w:val="en-GB"/>
        </w:rPr>
        <w:t>,</w:t>
      </w:r>
      <w:r w:rsidR="00560D37" w:rsidRPr="00566832">
        <w:rPr>
          <w:rFonts w:ascii="Times New Roman" w:hAnsi="Times New Roman" w:cs="Times New Roman"/>
          <w:noProof/>
          <w:lang w:val="en-GB"/>
        </w:rPr>
        <w:t xml:space="preserve"> and </w:t>
      </w:r>
      <w:r w:rsidR="00855D00" w:rsidRPr="00566832">
        <w:rPr>
          <w:rFonts w:ascii="Times New Roman" w:hAnsi="Times New Roman" w:cs="Times New Roman"/>
          <w:noProof/>
          <w:lang w:val="en-GB"/>
        </w:rPr>
        <w:t>airlift</w:t>
      </w:r>
      <w:r w:rsidR="00560D37" w:rsidRPr="00566832">
        <w:rPr>
          <w:rFonts w:ascii="Times New Roman" w:hAnsi="Times New Roman" w:cs="Times New Roman"/>
          <w:noProof/>
          <w:lang w:val="en-GB"/>
        </w:rPr>
        <w:t xml:space="preserve"> </w:t>
      </w:r>
      <w:r w:rsidR="00327436" w:rsidRPr="00566832">
        <w:rPr>
          <w:rFonts w:ascii="Times New Roman" w:hAnsi="Times New Roman" w:cs="Times New Roman"/>
          <w:noProof/>
          <w:lang w:val="en-GB"/>
        </w:rPr>
        <w:t>capabilities</w:t>
      </w:r>
      <w:r w:rsidR="00855D00" w:rsidRPr="00566832">
        <w:rPr>
          <w:rFonts w:ascii="Times New Roman" w:hAnsi="Times New Roman" w:cs="Times New Roman"/>
          <w:noProof/>
          <w:lang w:val="en-GB"/>
        </w:rPr>
        <w:t xml:space="preserve">, </w:t>
      </w:r>
      <w:r w:rsidR="00560D37" w:rsidRPr="00566832">
        <w:rPr>
          <w:rFonts w:ascii="Times New Roman" w:hAnsi="Times New Roman" w:cs="Times New Roman"/>
          <w:noProof/>
          <w:lang w:val="en-GB"/>
        </w:rPr>
        <w:t xml:space="preserve">required for an </w:t>
      </w:r>
      <w:r w:rsidR="0049177F" w:rsidRPr="00566832">
        <w:rPr>
          <w:rFonts w:ascii="Times New Roman" w:hAnsi="Times New Roman" w:cs="Times New Roman"/>
          <w:noProof/>
          <w:lang w:val="en-GB"/>
        </w:rPr>
        <w:t xml:space="preserve">effective and </w:t>
      </w:r>
      <w:r w:rsidR="00560D37" w:rsidRPr="00566832">
        <w:rPr>
          <w:rFonts w:ascii="Times New Roman" w:hAnsi="Times New Roman" w:cs="Times New Roman"/>
          <w:noProof/>
          <w:lang w:val="en-GB"/>
        </w:rPr>
        <w:t xml:space="preserve">efficient movement of </w:t>
      </w:r>
      <w:r w:rsidR="00855D00" w:rsidRPr="00566832">
        <w:rPr>
          <w:rFonts w:ascii="Times New Roman" w:hAnsi="Times New Roman" w:cs="Times New Roman"/>
          <w:noProof/>
          <w:lang w:val="en-GB"/>
        </w:rPr>
        <w:t>large-scale</w:t>
      </w:r>
      <w:r w:rsidR="00560D37" w:rsidRPr="00566832">
        <w:rPr>
          <w:rFonts w:ascii="Times New Roman" w:hAnsi="Times New Roman" w:cs="Times New Roman"/>
          <w:noProof/>
          <w:lang w:val="en-GB"/>
        </w:rPr>
        <w:t xml:space="preserve"> forces. </w:t>
      </w:r>
      <w:r w:rsidR="0066071D" w:rsidRPr="00566832">
        <w:rPr>
          <w:rFonts w:ascii="Times New Roman" w:hAnsi="Times New Roman" w:cs="Times New Roman"/>
          <w:noProof/>
          <w:lang w:val="en-GB"/>
        </w:rPr>
        <w:t xml:space="preserve">In this respect, </w:t>
      </w:r>
      <w:r w:rsidR="00BF39D9" w:rsidRPr="00566832">
        <w:rPr>
          <w:rFonts w:ascii="Times New Roman" w:hAnsi="Times New Roman" w:cs="Times New Roman"/>
          <w:noProof/>
          <w:lang w:val="en-GB"/>
        </w:rPr>
        <w:t xml:space="preserve">improved </w:t>
      </w:r>
      <w:r w:rsidR="007E32EC" w:rsidRPr="00566832">
        <w:rPr>
          <w:rFonts w:ascii="Times New Roman" w:hAnsi="Times New Roman" w:cs="Times New Roman"/>
          <w:noProof/>
          <w:lang w:val="en-GB"/>
        </w:rPr>
        <w:t>European strategic</w:t>
      </w:r>
      <w:r w:rsidR="007E32EC" w:rsidRPr="00E6071F">
        <w:rPr>
          <w:rFonts w:ascii="Times New Roman" w:hAnsi="Times New Roman" w:cs="Times New Roman"/>
          <w:noProof/>
          <w:lang w:val="en-GB"/>
        </w:rPr>
        <w:t xml:space="preserve"> </w:t>
      </w:r>
      <w:r w:rsidR="00DD08F0" w:rsidRPr="00E6071F">
        <w:rPr>
          <w:rFonts w:ascii="Times New Roman" w:hAnsi="Times New Roman" w:cs="Times New Roman"/>
          <w:noProof/>
          <w:lang w:val="en-GB"/>
        </w:rPr>
        <w:t>airlift</w:t>
      </w:r>
      <w:r w:rsidR="00C23006" w:rsidRPr="00E6071F">
        <w:rPr>
          <w:rFonts w:ascii="Times New Roman" w:hAnsi="Times New Roman" w:cs="Times New Roman"/>
          <w:noProof/>
          <w:lang w:val="en-GB"/>
        </w:rPr>
        <w:t xml:space="preserve"> </w:t>
      </w:r>
      <w:r w:rsidR="007E32EC" w:rsidRPr="00E6071F">
        <w:rPr>
          <w:rFonts w:ascii="Times New Roman" w:hAnsi="Times New Roman" w:cs="Times New Roman"/>
          <w:noProof/>
          <w:lang w:val="en-GB"/>
        </w:rPr>
        <w:t xml:space="preserve">capacities in the critical area of outsized </w:t>
      </w:r>
      <w:r w:rsidR="003752B7" w:rsidRPr="00E6071F">
        <w:rPr>
          <w:rFonts w:ascii="Times New Roman" w:hAnsi="Times New Roman" w:cs="Times New Roman"/>
          <w:noProof/>
          <w:lang w:val="en-GB"/>
        </w:rPr>
        <w:t xml:space="preserve">or specialised </w:t>
      </w:r>
      <w:r w:rsidR="007E32EC" w:rsidRPr="00E6071F">
        <w:rPr>
          <w:rFonts w:ascii="Times New Roman" w:hAnsi="Times New Roman" w:cs="Times New Roman"/>
          <w:noProof/>
          <w:lang w:val="en-GB"/>
        </w:rPr>
        <w:t>cargo</w:t>
      </w:r>
      <w:r w:rsidR="0049177F" w:rsidRPr="00E6071F">
        <w:rPr>
          <w:rFonts w:ascii="Times New Roman" w:hAnsi="Times New Roman" w:cs="Times New Roman"/>
          <w:noProof/>
          <w:lang w:val="en-GB"/>
        </w:rPr>
        <w:t xml:space="preserve"> (e.g. </w:t>
      </w:r>
      <w:r w:rsidR="000454F5" w:rsidRPr="00E6071F">
        <w:rPr>
          <w:rFonts w:ascii="Times New Roman" w:hAnsi="Times New Roman" w:cs="Times New Roman"/>
          <w:noProof/>
          <w:lang w:val="en-GB"/>
        </w:rPr>
        <w:t xml:space="preserve">transporting </w:t>
      </w:r>
      <w:r w:rsidR="0049177F" w:rsidRPr="00E6071F">
        <w:rPr>
          <w:rFonts w:ascii="Times New Roman" w:hAnsi="Times New Roman" w:cs="Times New Roman"/>
          <w:noProof/>
          <w:lang w:val="en-GB"/>
        </w:rPr>
        <w:t>ammunition)</w:t>
      </w:r>
      <w:r w:rsidR="007E32EC" w:rsidRPr="00E6071F">
        <w:rPr>
          <w:rFonts w:ascii="Times New Roman" w:hAnsi="Times New Roman" w:cs="Times New Roman"/>
          <w:noProof/>
          <w:lang w:val="en-GB"/>
        </w:rPr>
        <w:t xml:space="preserve"> </w:t>
      </w:r>
      <w:r w:rsidR="00A331F5" w:rsidRPr="00E6071F">
        <w:rPr>
          <w:rFonts w:ascii="Times New Roman" w:hAnsi="Times New Roman" w:cs="Times New Roman"/>
          <w:noProof/>
          <w:lang w:val="en-GB"/>
        </w:rPr>
        <w:t>are</w:t>
      </w:r>
      <w:r w:rsidR="007E32EC" w:rsidRPr="00E6071F">
        <w:rPr>
          <w:rFonts w:ascii="Times New Roman" w:hAnsi="Times New Roman" w:cs="Times New Roman"/>
          <w:noProof/>
          <w:lang w:val="en-GB"/>
        </w:rPr>
        <w:t xml:space="preserve"> needed.</w:t>
      </w:r>
      <w:r w:rsidR="00BF39D9" w:rsidRPr="00E6071F">
        <w:rPr>
          <w:rFonts w:ascii="Times New Roman" w:hAnsi="Times New Roman" w:cs="Times New Roman"/>
          <w:noProof/>
          <w:lang w:val="en-GB"/>
        </w:rPr>
        <w:t xml:space="preserve"> </w:t>
      </w:r>
      <w:r w:rsidR="005454B0" w:rsidRPr="00E6071F">
        <w:rPr>
          <w:rFonts w:ascii="Times New Roman" w:hAnsi="Times New Roman" w:cs="Times New Roman"/>
          <w:noProof/>
          <w:lang w:val="en-GB"/>
        </w:rPr>
        <w:t>The EDA framework</w:t>
      </w:r>
      <w:r w:rsidR="007B04E7" w:rsidRPr="00E6071F">
        <w:rPr>
          <w:rFonts w:ascii="Times New Roman" w:hAnsi="Times New Roman" w:cs="Times New Roman"/>
          <w:noProof/>
          <w:lang w:val="en-GB"/>
        </w:rPr>
        <w:t xml:space="preserve"> could support in the adaptation of civil outsized cargo assets for military purpose, thereby maximising civil-military synergies </w:t>
      </w:r>
      <w:r w:rsidR="005454B0" w:rsidRPr="00E6071F">
        <w:rPr>
          <w:rFonts w:ascii="Times New Roman" w:hAnsi="Times New Roman" w:cs="Times New Roman"/>
          <w:noProof/>
          <w:lang w:val="en-GB"/>
        </w:rPr>
        <w:t>and taking into account activities of the PESCO Project “Strategic Air Transport for Outsized Cargo (SATOC)”.</w:t>
      </w:r>
      <w:r w:rsidR="002D27AF" w:rsidRPr="00FD6314">
        <w:rPr>
          <w:rStyle w:val="FootnoteReference"/>
          <w:rFonts w:ascii="Times New Roman" w:hAnsi="Times New Roman" w:cs="Times New Roman"/>
          <w:noProof/>
          <w:lang w:val="en-GB"/>
        </w:rPr>
        <w:footnoteReference w:id="21"/>
      </w:r>
      <w:r w:rsidR="005454B0" w:rsidRPr="00FD6314">
        <w:rPr>
          <w:rFonts w:ascii="Times New Roman" w:hAnsi="Times New Roman" w:cs="Times New Roman"/>
          <w:noProof/>
          <w:lang w:val="en-GB"/>
        </w:rPr>
        <w:t xml:space="preserve"> </w:t>
      </w:r>
      <w:r w:rsidR="00CF3B6D" w:rsidRPr="00344F24">
        <w:rPr>
          <w:rFonts w:ascii="Times New Roman" w:hAnsi="Times New Roman" w:cs="Times New Roman"/>
          <w:noProof/>
          <w:lang w:val="en-GB"/>
        </w:rPr>
        <w:t>Furthermore,</w:t>
      </w:r>
      <w:r w:rsidR="00C2328A" w:rsidRPr="00060E79">
        <w:rPr>
          <w:rFonts w:ascii="Times New Roman" w:hAnsi="Times New Roman" w:cs="Times New Roman"/>
          <w:noProof/>
          <w:lang w:val="en-GB"/>
        </w:rPr>
        <w:t xml:space="preserve"> possible requirements for </w:t>
      </w:r>
      <w:r w:rsidR="00C23006" w:rsidRPr="00060E79">
        <w:rPr>
          <w:rFonts w:ascii="Times New Roman" w:hAnsi="Times New Roman" w:cs="Times New Roman"/>
          <w:noProof/>
          <w:lang w:val="en-GB"/>
        </w:rPr>
        <w:t xml:space="preserve">sealift and </w:t>
      </w:r>
      <w:r w:rsidR="00C2328A" w:rsidRPr="00060E79">
        <w:rPr>
          <w:rFonts w:ascii="Times New Roman" w:hAnsi="Times New Roman" w:cs="Times New Roman"/>
          <w:noProof/>
          <w:lang w:val="en-GB"/>
        </w:rPr>
        <w:t>specialised rail transport assets</w:t>
      </w:r>
      <w:r w:rsidR="00CF3B6D" w:rsidRPr="00060E79">
        <w:rPr>
          <w:rFonts w:ascii="Times New Roman" w:hAnsi="Times New Roman" w:cs="Times New Roman"/>
          <w:noProof/>
          <w:lang w:val="en-GB"/>
        </w:rPr>
        <w:t xml:space="preserve"> should be identified</w:t>
      </w:r>
      <w:r w:rsidR="00C2328A" w:rsidRPr="00060E79">
        <w:rPr>
          <w:rFonts w:ascii="Times New Roman" w:hAnsi="Times New Roman" w:cs="Times New Roman"/>
          <w:noProof/>
          <w:lang w:val="en-GB"/>
        </w:rPr>
        <w:t>.</w:t>
      </w:r>
      <w:r w:rsidR="00CD176B" w:rsidRPr="00060E79">
        <w:rPr>
          <w:rFonts w:ascii="Times New Roman" w:hAnsi="Times New Roman" w:cs="Times New Roman"/>
          <w:noProof/>
          <w:lang w:val="en-GB"/>
        </w:rPr>
        <w:t xml:space="preserve"> </w:t>
      </w:r>
    </w:p>
    <w:p w14:paraId="73B99862" w14:textId="2ED3CD85" w:rsidR="002D27AF" w:rsidRPr="00060E79" w:rsidRDefault="003D7DF2">
      <w:pPr>
        <w:spacing w:after="240" w:line="240" w:lineRule="auto"/>
        <w:jc w:val="both"/>
        <w:rPr>
          <w:rFonts w:ascii="Times New Roman" w:hAnsi="Times New Roman" w:cs="Times New Roman"/>
          <w:noProof/>
        </w:rPr>
      </w:pPr>
      <w:r w:rsidRPr="009310E8">
        <w:rPr>
          <w:rFonts w:ascii="Times New Roman" w:hAnsi="Times New Roman" w:cs="Times New Roman"/>
          <w:noProof/>
          <w:lang w:val="en-GB"/>
        </w:rPr>
        <w:t xml:space="preserve">To </w:t>
      </w:r>
      <w:r w:rsidR="0034470B" w:rsidRPr="009310E8">
        <w:rPr>
          <w:rFonts w:ascii="Times New Roman" w:hAnsi="Times New Roman" w:cs="Times New Roman"/>
          <w:noProof/>
          <w:lang w:val="en-GB"/>
        </w:rPr>
        <w:t>make optimal use o</w:t>
      </w:r>
      <w:r w:rsidR="00B355D2" w:rsidRPr="009310E8">
        <w:rPr>
          <w:rFonts w:ascii="Times New Roman" w:hAnsi="Times New Roman" w:cs="Times New Roman"/>
          <w:noProof/>
          <w:lang w:val="en-GB"/>
        </w:rPr>
        <w:t>f</w:t>
      </w:r>
      <w:r w:rsidR="0034470B" w:rsidRPr="009310E8">
        <w:rPr>
          <w:rFonts w:ascii="Times New Roman" w:hAnsi="Times New Roman" w:cs="Times New Roman"/>
          <w:noProof/>
          <w:lang w:val="en-GB"/>
        </w:rPr>
        <w:t xml:space="preserve"> </w:t>
      </w:r>
      <w:r w:rsidR="005C34F1">
        <w:rPr>
          <w:rFonts w:ascii="Times New Roman" w:hAnsi="Times New Roman" w:cs="Times New Roman"/>
          <w:noProof/>
          <w:lang w:val="en-GB"/>
        </w:rPr>
        <w:t xml:space="preserve">airlift </w:t>
      </w:r>
      <w:r w:rsidR="001C16F4" w:rsidRPr="009310E8">
        <w:rPr>
          <w:rFonts w:ascii="Times New Roman" w:hAnsi="Times New Roman" w:cs="Times New Roman"/>
          <w:noProof/>
          <w:lang w:val="en-GB"/>
        </w:rPr>
        <w:t>capa</w:t>
      </w:r>
      <w:r w:rsidR="00A331F5" w:rsidRPr="00E6071F">
        <w:rPr>
          <w:rFonts w:ascii="Times New Roman" w:hAnsi="Times New Roman" w:cs="Times New Roman"/>
          <w:noProof/>
          <w:lang w:val="en-GB"/>
        </w:rPr>
        <w:t>bilities</w:t>
      </w:r>
      <w:r w:rsidR="001C16F4" w:rsidRPr="00E6071F">
        <w:rPr>
          <w:rFonts w:ascii="Times New Roman" w:hAnsi="Times New Roman" w:cs="Times New Roman"/>
          <w:noProof/>
          <w:lang w:val="en-GB"/>
        </w:rPr>
        <w:t xml:space="preserve">, the EU should </w:t>
      </w:r>
      <w:r w:rsidR="008A1F35" w:rsidRPr="00E6071F">
        <w:rPr>
          <w:rFonts w:ascii="Times New Roman" w:hAnsi="Times New Roman" w:cs="Times New Roman"/>
          <w:noProof/>
          <w:lang w:val="en-GB"/>
        </w:rPr>
        <w:t xml:space="preserve">enhance the </w:t>
      </w:r>
      <w:r w:rsidR="001C16F4" w:rsidRPr="00E6071F">
        <w:rPr>
          <w:rFonts w:ascii="Times New Roman" w:hAnsi="Times New Roman" w:cs="Times New Roman"/>
          <w:noProof/>
          <w:lang w:val="en-GB"/>
        </w:rPr>
        <w:t>coordination of movement capacity</w:t>
      </w:r>
      <w:r w:rsidR="008A1F35" w:rsidRPr="00E6071F">
        <w:rPr>
          <w:rFonts w:ascii="Times New Roman" w:hAnsi="Times New Roman" w:cs="Times New Roman"/>
          <w:noProof/>
          <w:lang w:val="en-GB"/>
        </w:rPr>
        <w:t xml:space="preserve">, </w:t>
      </w:r>
      <w:r w:rsidR="00347C3C" w:rsidRPr="00E6071F">
        <w:rPr>
          <w:rFonts w:ascii="Times New Roman" w:hAnsi="Times New Roman" w:cs="Times New Roman"/>
          <w:noProof/>
          <w:lang w:val="en-GB"/>
        </w:rPr>
        <w:t xml:space="preserve">including by liaising with </w:t>
      </w:r>
      <w:r w:rsidR="008A1F35" w:rsidRPr="00E6071F">
        <w:rPr>
          <w:rFonts w:ascii="Times New Roman" w:hAnsi="Times New Roman" w:cs="Times New Roman"/>
          <w:noProof/>
          <w:lang w:val="en-GB"/>
        </w:rPr>
        <w:t>the</w:t>
      </w:r>
      <w:r w:rsidR="0049177F" w:rsidRPr="00E6071F">
        <w:rPr>
          <w:rFonts w:ascii="Times New Roman" w:hAnsi="Times New Roman" w:cs="Times New Roman"/>
          <w:noProof/>
        </w:rPr>
        <w:t xml:space="preserve"> </w:t>
      </w:r>
      <w:r w:rsidR="00FD2D29" w:rsidRPr="00E6071F">
        <w:rPr>
          <w:rFonts w:ascii="Times New Roman" w:hAnsi="Times New Roman" w:cs="Times New Roman"/>
          <w:noProof/>
        </w:rPr>
        <w:t>different multi-national movement coordination structures in Europe</w:t>
      </w:r>
      <w:r w:rsidR="00FD2D29" w:rsidRPr="00FD6314">
        <w:rPr>
          <w:rStyle w:val="FootnoteReference"/>
          <w:rFonts w:ascii="Times New Roman" w:hAnsi="Times New Roman" w:cs="Times New Roman"/>
          <w:noProof/>
        </w:rPr>
        <w:footnoteReference w:id="22"/>
      </w:r>
      <w:r w:rsidR="00FD2D29" w:rsidRPr="00FD6314">
        <w:rPr>
          <w:rFonts w:ascii="Times New Roman" w:hAnsi="Times New Roman" w:cs="Times New Roman"/>
          <w:noProof/>
        </w:rPr>
        <w:t>.</w:t>
      </w:r>
      <w:r w:rsidR="00424B16" w:rsidRPr="00424B16">
        <w:rPr>
          <w:noProof/>
        </w:rPr>
        <w:t xml:space="preserve"> </w:t>
      </w:r>
      <w:r w:rsidR="002D27AF" w:rsidRPr="00FD6314">
        <w:rPr>
          <w:rFonts w:ascii="Times New Roman" w:hAnsi="Times New Roman" w:cs="Times New Roman"/>
          <w:noProof/>
        </w:rPr>
        <w:t>This includes developing links between the</w:t>
      </w:r>
      <w:r w:rsidR="002D27AF" w:rsidRPr="00344F24">
        <w:rPr>
          <w:rFonts w:ascii="Times New Roman" w:hAnsi="Times New Roman" w:cs="Times New Roman"/>
          <w:noProof/>
        </w:rPr>
        <w:t xml:space="preserve"> EEAS and </w:t>
      </w:r>
      <w:r w:rsidR="00AF7B85">
        <w:rPr>
          <w:rFonts w:ascii="Times New Roman" w:hAnsi="Times New Roman" w:cs="Times New Roman"/>
          <w:noProof/>
        </w:rPr>
        <w:t>EDA</w:t>
      </w:r>
      <w:r w:rsidR="002D27AF" w:rsidRPr="00344F24">
        <w:rPr>
          <w:rFonts w:ascii="Times New Roman" w:hAnsi="Times New Roman" w:cs="Times New Roman"/>
          <w:noProof/>
        </w:rPr>
        <w:t xml:space="preserve"> </w:t>
      </w:r>
      <w:r w:rsidR="00AF7B85">
        <w:rPr>
          <w:rFonts w:ascii="Times New Roman" w:hAnsi="Times New Roman" w:cs="Times New Roman"/>
          <w:noProof/>
        </w:rPr>
        <w:t>and</w:t>
      </w:r>
      <w:r w:rsidR="00AF7B85" w:rsidRPr="00344F24">
        <w:rPr>
          <w:rFonts w:ascii="Times New Roman" w:hAnsi="Times New Roman" w:cs="Times New Roman"/>
          <w:noProof/>
        </w:rPr>
        <w:t xml:space="preserve"> </w:t>
      </w:r>
      <w:r w:rsidR="002D27AF" w:rsidRPr="00344F24">
        <w:rPr>
          <w:rFonts w:ascii="Times New Roman" w:hAnsi="Times New Roman" w:cs="Times New Roman"/>
          <w:noProof/>
        </w:rPr>
        <w:t>such structures</w:t>
      </w:r>
      <w:r w:rsidR="00AF7B85">
        <w:rPr>
          <w:rFonts w:ascii="Times New Roman" w:hAnsi="Times New Roman" w:cs="Times New Roman"/>
          <w:noProof/>
        </w:rPr>
        <w:t>,</w:t>
      </w:r>
      <w:r w:rsidR="002D27AF" w:rsidRPr="00344F24">
        <w:rPr>
          <w:rFonts w:ascii="Times New Roman" w:hAnsi="Times New Roman" w:cs="Times New Roman"/>
          <w:noProof/>
        </w:rPr>
        <w:t xml:space="preserve"> to address concrete requests and coordinate broader logistical challenges</w:t>
      </w:r>
      <w:r w:rsidR="002D27AF" w:rsidRPr="00060E79">
        <w:rPr>
          <w:rFonts w:ascii="Times New Roman" w:hAnsi="Times New Roman" w:cs="Times New Roman"/>
          <w:noProof/>
        </w:rPr>
        <w:t>.</w:t>
      </w:r>
      <w:r w:rsidR="00FD2D29" w:rsidRPr="00060E79">
        <w:rPr>
          <w:rFonts w:ascii="Times New Roman" w:hAnsi="Times New Roman" w:cs="Times New Roman"/>
          <w:noProof/>
        </w:rPr>
        <w:t xml:space="preserve"> </w:t>
      </w:r>
    </w:p>
    <w:p w14:paraId="3217ECFA" w14:textId="763B7639" w:rsidR="00E521E2" w:rsidRDefault="009A66C9" w:rsidP="00E521E2">
      <w:pPr>
        <w:spacing w:after="240" w:line="240" w:lineRule="auto"/>
        <w:jc w:val="both"/>
        <w:rPr>
          <w:rFonts w:ascii="Times New Roman" w:hAnsi="Times New Roman" w:cs="Times New Roman"/>
          <w:noProof/>
          <w:lang w:val="en-GB"/>
        </w:rPr>
      </w:pPr>
      <w:r w:rsidRPr="009A66C9">
        <w:rPr>
          <w:rFonts w:ascii="Times New Roman" w:hAnsi="Times New Roman" w:cs="Times New Roman"/>
          <w:noProof/>
        </w:rPr>
        <w:t xml:space="preserve">Finally, lessons drawn from Russia’s war in Ukraine show the limited capacity of the civilian sector to meet the urgent and possibly large-scale demand of the military in times of crisis. To overcome the “first-come, first-served” principle, emergency measures need to be put in place to ensure that, when a security crisis is recognised at EU level, the military can be provided with priority access to transport infrastructure, capacities or routes – for example building on framework contracts and other practical steps to prepare for such situations and in full respect of the sovereignty of EU Member States over their national territory and decision making processes regarding military </w:t>
      </w:r>
      <w:r w:rsidRPr="003936E4">
        <w:rPr>
          <w:rFonts w:ascii="Times New Roman" w:hAnsi="Times New Roman" w:cs="Times New Roman"/>
          <w:noProof/>
        </w:rPr>
        <w:t>movements</w:t>
      </w:r>
      <w:r w:rsidRPr="009A66C9">
        <w:rPr>
          <w:rFonts w:ascii="Times New Roman" w:hAnsi="Times New Roman" w:cs="Times New Roman"/>
          <w:noProof/>
        </w:rPr>
        <w:t xml:space="preserve">. Also in this context, dependency on fossil fuel should be reduced where possible. Following this rationale, </w:t>
      </w:r>
      <w:r w:rsidR="002717B4" w:rsidRPr="00E6071F">
        <w:rPr>
          <w:rFonts w:ascii="Times New Roman" w:hAnsi="Times New Roman" w:cs="Times New Roman"/>
          <w:noProof/>
          <w:lang w:val="en-GB"/>
        </w:rPr>
        <w:t>T</w:t>
      </w:r>
      <w:r w:rsidR="005454B0" w:rsidRPr="00E6071F">
        <w:rPr>
          <w:rFonts w:ascii="Times New Roman" w:hAnsi="Times New Roman" w:cs="Times New Roman"/>
          <w:noProof/>
          <w:lang w:val="en-GB"/>
        </w:rPr>
        <w:t>he EU could</w:t>
      </w:r>
      <w:r w:rsidR="00FD0DBD" w:rsidRPr="00E6071F">
        <w:rPr>
          <w:rFonts w:ascii="Times New Roman" w:hAnsi="Times New Roman" w:cs="Times New Roman"/>
          <w:noProof/>
          <w:lang w:val="en-GB"/>
        </w:rPr>
        <w:t xml:space="preserve"> assess possibilities to </w:t>
      </w:r>
      <w:r w:rsidR="005454B0" w:rsidRPr="00E6071F">
        <w:rPr>
          <w:rFonts w:ascii="Times New Roman" w:hAnsi="Times New Roman" w:cs="Times New Roman"/>
          <w:noProof/>
          <w:lang w:val="en-GB"/>
        </w:rPr>
        <w:t>secur</w:t>
      </w:r>
      <w:r w:rsidR="00FD0DBD" w:rsidRPr="00E6071F">
        <w:rPr>
          <w:rFonts w:ascii="Times New Roman" w:hAnsi="Times New Roman" w:cs="Times New Roman"/>
          <w:noProof/>
          <w:lang w:val="en-GB"/>
        </w:rPr>
        <w:t>e</w:t>
      </w:r>
      <w:r w:rsidR="005454B0" w:rsidRPr="00E6071F">
        <w:rPr>
          <w:rFonts w:ascii="Times New Roman" w:hAnsi="Times New Roman" w:cs="Times New Roman"/>
          <w:noProof/>
          <w:lang w:val="en-GB"/>
        </w:rPr>
        <w:t xml:space="preserve"> access to strategic lift capacities</w:t>
      </w:r>
      <w:r w:rsidR="00AF7B85">
        <w:rPr>
          <w:rFonts w:ascii="Times New Roman" w:hAnsi="Times New Roman" w:cs="Times New Roman"/>
          <w:noProof/>
          <w:lang w:val="en-GB"/>
        </w:rPr>
        <w:t>,</w:t>
      </w:r>
      <w:r w:rsidR="005454B0" w:rsidRPr="00E6071F">
        <w:rPr>
          <w:rFonts w:ascii="Times New Roman" w:hAnsi="Times New Roman" w:cs="Times New Roman"/>
          <w:noProof/>
          <w:lang w:val="en-GB"/>
        </w:rPr>
        <w:t xml:space="preserve"> </w:t>
      </w:r>
      <w:r w:rsidR="002717B4" w:rsidRPr="00E6071F">
        <w:rPr>
          <w:rFonts w:ascii="Times New Roman" w:hAnsi="Times New Roman" w:cs="Times New Roman"/>
          <w:noProof/>
          <w:lang w:val="en-GB"/>
        </w:rPr>
        <w:t xml:space="preserve">for example through framework contracts with civilian providers, including </w:t>
      </w:r>
      <w:r w:rsidR="005454B0" w:rsidRPr="00E6071F">
        <w:rPr>
          <w:rFonts w:ascii="Times New Roman" w:hAnsi="Times New Roman" w:cs="Times New Roman"/>
          <w:noProof/>
          <w:lang w:val="en-GB"/>
        </w:rPr>
        <w:t>for dual</w:t>
      </w:r>
      <w:r w:rsidR="00AF7B85">
        <w:rPr>
          <w:rFonts w:ascii="Times New Roman" w:hAnsi="Times New Roman" w:cs="Times New Roman"/>
          <w:noProof/>
          <w:lang w:val="en-GB"/>
        </w:rPr>
        <w:t xml:space="preserve"> </w:t>
      </w:r>
      <w:r w:rsidR="005454B0" w:rsidRPr="00E6071F">
        <w:rPr>
          <w:rFonts w:ascii="Times New Roman" w:hAnsi="Times New Roman" w:cs="Times New Roman"/>
          <w:noProof/>
          <w:lang w:val="en-GB"/>
        </w:rPr>
        <w:t xml:space="preserve">use in disaster relief scenarios </w:t>
      </w:r>
      <w:r w:rsidR="005454B0" w:rsidRPr="00E6071F" w:rsidDel="00ED5EC7">
        <w:rPr>
          <w:rFonts w:ascii="Times New Roman" w:hAnsi="Times New Roman" w:cs="Times New Roman"/>
          <w:noProof/>
          <w:lang w:val="en-GB"/>
        </w:rPr>
        <w:t>(</w:t>
      </w:r>
      <w:r w:rsidR="005454B0" w:rsidRPr="00E6071F">
        <w:rPr>
          <w:rFonts w:ascii="Times New Roman" w:hAnsi="Times New Roman" w:cs="Times New Roman"/>
          <w:noProof/>
          <w:lang w:val="en-GB"/>
        </w:rPr>
        <w:t>e.g.</w:t>
      </w:r>
      <w:r w:rsidR="00524370">
        <w:rPr>
          <w:rFonts w:ascii="Times New Roman" w:hAnsi="Times New Roman" w:cs="Times New Roman"/>
          <w:noProof/>
          <w:lang w:val="en-GB"/>
        </w:rPr>
        <w:t xml:space="preserve"> </w:t>
      </w:r>
      <w:r w:rsidR="005454B0" w:rsidRPr="00E6071F">
        <w:rPr>
          <w:rFonts w:ascii="Times New Roman" w:hAnsi="Times New Roman" w:cs="Times New Roman"/>
          <w:noProof/>
          <w:lang w:val="en-GB"/>
        </w:rPr>
        <w:t>to ship medical and CBRN-decontamination infrastructure</w:t>
      </w:r>
      <w:r w:rsidR="00D32F4B" w:rsidRPr="00E6071F">
        <w:rPr>
          <w:rFonts w:ascii="Times New Roman" w:hAnsi="Times New Roman" w:cs="Times New Roman"/>
          <w:noProof/>
          <w:lang w:val="en-GB"/>
        </w:rPr>
        <w:t>)</w:t>
      </w:r>
      <w:r w:rsidR="005454B0" w:rsidRPr="00E6071F">
        <w:rPr>
          <w:rFonts w:ascii="Times New Roman" w:hAnsi="Times New Roman" w:cs="Times New Roman"/>
          <w:noProof/>
          <w:lang w:val="en-GB"/>
        </w:rPr>
        <w:t>.</w:t>
      </w:r>
      <w:r w:rsidR="00D32F4B" w:rsidRPr="00E6071F">
        <w:rPr>
          <w:rFonts w:ascii="Times New Roman" w:hAnsi="Times New Roman" w:cs="Times New Roman"/>
          <w:noProof/>
          <w:lang w:val="en-GB"/>
        </w:rPr>
        <w:t xml:space="preserve"> To ensure sufficient lift capabilities</w:t>
      </w:r>
      <w:r w:rsidR="00197781" w:rsidRPr="00E6071F">
        <w:rPr>
          <w:rFonts w:ascii="Times New Roman" w:hAnsi="Times New Roman" w:cs="Times New Roman"/>
          <w:noProof/>
          <w:lang w:val="en-GB"/>
        </w:rPr>
        <w:t>,</w:t>
      </w:r>
      <w:r w:rsidR="00D32F4B" w:rsidRPr="00E6071F">
        <w:rPr>
          <w:rFonts w:ascii="Times New Roman" w:hAnsi="Times New Roman" w:cs="Times New Roman"/>
          <w:noProof/>
          <w:lang w:val="en-GB"/>
        </w:rPr>
        <w:t xml:space="preserve"> </w:t>
      </w:r>
      <w:r w:rsidR="00CC79B0">
        <w:rPr>
          <w:rFonts w:ascii="Times New Roman" w:hAnsi="Times New Roman" w:cs="Times New Roman"/>
          <w:noProof/>
          <w:lang w:val="en-GB"/>
        </w:rPr>
        <w:t>alignment</w:t>
      </w:r>
      <w:r w:rsidR="00D32F4B" w:rsidRPr="00E6071F">
        <w:rPr>
          <w:rFonts w:ascii="Times New Roman" w:hAnsi="Times New Roman" w:cs="Times New Roman"/>
          <w:noProof/>
          <w:lang w:val="en-GB"/>
        </w:rPr>
        <w:t xml:space="preserve"> with civilian partners is key, starting with a mapping of all relevant civilian actors per transport mode.</w:t>
      </w:r>
    </w:p>
    <w:p w14:paraId="5AEAF295" w14:textId="77777777" w:rsidR="00FA0E91" w:rsidRPr="00E521E2" w:rsidRDefault="00D83A6C" w:rsidP="00E521E2">
      <w:pPr>
        <w:spacing w:after="240" w:line="240" w:lineRule="auto"/>
        <w:jc w:val="both"/>
        <w:rPr>
          <w:rFonts w:ascii="Times New Roman" w:hAnsi="Times New Roman" w:cs="Times New Roman"/>
          <w:noProof/>
          <w:lang w:val="en-GB"/>
        </w:rPr>
      </w:pPr>
      <w:r w:rsidRPr="00E6071F">
        <w:rPr>
          <w:rFonts w:ascii="Times New Roman" w:hAnsi="Times New Roman" w:cs="Times New Roman"/>
          <w:b/>
          <w:i/>
          <w:noProof/>
          <w:lang w:val="en-GB"/>
        </w:rPr>
        <w:t>3</w:t>
      </w:r>
      <w:r w:rsidR="00E71A7D" w:rsidRPr="00E6071F">
        <w:rPr>
          <w:rFonts w:ascii="Times New Roman" w:hAnsi="Times New Roman" w:cs="Times New Roman"/>
          <w:b/>
          <w:i/>
          <w:noProof/>
          <w:lang w:val="en-GB"/>
        </w:rPr>
        <w:t>.3.</w:t>
      </w:r>
      <w:r w:rsidR="006D04DB">
        <w:rPr>
          <w:rFonts w:ascii="Times New Roman" w:hAnsi="Times New Roman" w:cs="Times New Roman"/>
          <w:b/>
          <w:i/>
          <w:noProof/>
          <w:lang w:val="en-GB"/>
        </w:rPr>
        <w:t>2</w:t>
      </w:r>
      <w:r w:rsidR="00E71A7D" w:rsidRPr="00E6071F">
        <w:rPr>
          <w:rFonts w:ascii="Times New Roman" w:hAnsi="Times New Roman" w:cs="Times New Roman"/>
          <w:b/>
          <w:i/>
          <w:noProof/>
          <w:lang w:val="en-GB"/>
        </w:rPr>
        <w:tab/>
      </w:r>
      <w:r w:rsidR="00FA0E91" w:rsidRPr="00E6071F">
        <w:rPr>
          <w:rFonts w:ascii="Times New Roman" w:hAnsi="Times New Roman" w:cs="Times New Roman"/>
          <w:b/>
          <w:i/>
          <w:noProof/>
          <w:lang w:val="en-GB"/>
        </w:rPr>
        <w:t>Exercises</w:t>
      </w:r>
    </w:p>
    <w:p w14:paraId="02692E13" w14:textId="77777777" w:rsidR="00FA0E91" w:rsidRPr="00060E79" w:rsidRDefault="00FA0E91" w:rsidP="002454C0">
      <w:pPr>
        <w:spacing w:line="240" w:lineRule="auto"/>
        <w:jc w:val="both"/>
        <w:rPr>
          <w:rFonts w:ascii="Times New Roman" w:hAnsi="Times New Roman" w:cs="Times New Roman"/>
          <w:noProof/>
          <w:lang w:val="en-GB"/>
        </w:rPr>
      </w:pPr>
      <w:r w:rsidRPr="00E6071F">
        <w:rPr>
          <w:rFonts w:ascii="Times New Roman" w:hAnsi="Times New Roman" w:cs="Times New Roman"/>
          <w:noProof/>
          <w:lang w:val="en-GB"/>
        </w:rPr>
        <w:t xml:space="preserve">Exercises in different formats </w:t>
      </w:r>
      <w:r w:rsidR="00C23006" w:rsidRPr="00E6071F">
        <w:rPr>
          <w:rFonts w:ascii="Times New Roman" w:hAnsi="Times New Roman" w:cs="Times New Roman"/>
          <w:noProof/>
          <w:lang w:val="en-GB"/>
        </w:rPr>
        <w:t>are indispensable</w:t>
      </w:r>
      <w:r w:rsidRPr="00E6071F">
        <w:rPr>
          <w:rFonts w:ascii="Times New Roman" w:hAnsi="Times New Roman" w:cs="Times New Roman"/>
          <w:noProof/>
          <w:lang w:val="en-GB"/>
        </w:rPr>
        <w:t xml:space="preserve"> to test our infrastructural and procedural improvements, while identifying remaining hurdles and bottlenecks. </w:t>
      </w:r>
      <w:r w:rsidR="00652996" w:rsidRPr="00E6071F">
        <w:rPr>
          <w:rFonts w:ascii="Times New Roman" w:eastAsia="Calibri" w:hAnsi="Times New Roman" w:cs="Times New Roman"/>
          <w:noProof/>
        </w:rPr>
        <w:t>A scenario-based discussion on military mobility was held in January 2021 as a side event to the EU Crisis Management Exercise Integrated Resolve 2020.</w:t>
      </w:r>
      <w:r w:rsidR="00B001C2" w:rsidRPr="00FD6314">
        <w:rPr>
          <w:rStyle w:val="FootnoteReference"/>
          <w:rFonts w:ascii="Times New Roman" w:eastAsia="Calibri" w:hAnsi="Times New Roman" w:cs="Times New Roman"/>
          <w:noProof/>
        </w:rPr>
        <w:footnoteReference w:id="23"/>
      </w:r>
      <w:r w:rsidR="00B001C2" w:rsidRPr="00FD6314">
        <w:rPr>
          <w:rFonts w:ascii="Times New Roman" w:eastAsia="Calibri" w:hAnsi="Times New Roman" w:cs="Times New Roman"/>
          <w:noProof/>
        </w:rPr>
        <w:t xml:space="preserve"> </w:t>
      </w:r>
      <w:r w:rsidR="00C23006" w:rsidRPr="00FD6314">
        <w:rPr>
          <w:rFonts w:ascii="Times New Roman" w:hAnsi="Times New Roman" w:cs="Times New Roman"/>
          <w:noProof/>
          <w:lang w:val="en-GB"/>
        </w:rPr>
        <w:t xml:space="preserve">We should continue </w:t>
      </w:r>
      <w:r w:rsidR="00060E79">
        <w:rPr>
          <w:rFonts w:ascii="Times New Roman" w:hAnsi="Times New Roman" w:cs="Times New Roman"/>
          <w:noProof/>
          <w:lang w:val="en-GB"/>
        </w:rPr>
        <w:t>these</w:t>
      </w:r>
      <w:r w:rsidR="0034470B" w:rsidRPr="00FD6314">
        <w:rPr>
          <w:rFonts w:ascii="Times New Roman" w:hAnsi="Times New Roman" w:cs="Times New Roman"/>
          <w:noProof/>
          <w:lang w:val="en-GB"/>
        </w:rPr>
        <w:t xml:space="preserve"> </w:t>
      </w:r>
      <w:r w:rsidRPr="00FD6314">
        <w:rPr>
          <w:rFonts w:ascii="Times New Roman" w:hAnsi="Times New Roman" w:cs="Times New Roman"/>
          <w:noProof/>
          <w:lang w:val="en-GB"/>
        </w:rPr>
        <w:t>table-top exercises</w:t>
      </w:r>
      <w:r w:rsidR="00113AD9" w:rsidRPr="00FD6314">
        <w:rPr>
          <w:rFonts w:ascii="Times New Roman" w:hAnsi="Times New Roman" w:cs="Times New Roman"/>
          <w:noProof/>
          <w:lang w:val="en-GB"/>
        </w:rPr>
        <w:t xml:space="preserve"> </w:t>
      </w:r>
      <w:r w:rsidR="00C23006" w:rsidRPr="00FD6314">
        <w:rPr>
          <w:rFonts w:ascii="Times New Roman" w:hAnsi="Times New Roman" w:cs="Times New Roman"/>
          <w:noProof/>
          <w:lang w:val="en-GB"/>
        </w:rPr>
        <w:t xml:space="preserve">and </w:t>
      </w:r>
      <w:r w:rsidRPr="00FD6314">
        <w:rPr>
          <w:rFonts w:ascii="Times New Roman" w:hAnsi="Times New Roman" w:cs="Times New Roman"/>
          <w:noProof/>
          <w:lang w:val="en-GB"/>
        </w:rPr>
        <w:t>inject military mobility objectives in ‘live exercises’ including those proposed in the context of the Rapid Deployment Capacity put forward in the Strategic Compass</w:t>
      </w:r>
      <w:r w:rsidR="00C23006" w:rsidRPr="00344F24">
        <w:rPr>
          <w:rFonts w:ascii="Times New Roman" w:hAnsi="Times New Roman" w:cs="Times New Roman"/>
          <w:noProof/>
          <w:lang w:val="en-GB"/>
        </w:rPr>
        <w:t xml:space="preserve"> or </w:t>
      </w:r>
      <w:r w:rsidR="008C450D" w:rsidRPr="00060E79">
        <w:rPr>
          <w:rFonts w:ascii="Times New Roman" w:hAnsi="Times New Roman" w:cs="Times New Roman"/>
          <w:noProof/>
          <w:lang w:val="en-GB"/>
        </w:rPr>
        <w:t xml:space="preserve">by participating in other multinational exercises including </w:t>
      </w:r>
      <w:r w:rsidR="00C23006" w:rsidRPr="00060E79">
        <w:rPr>
          <w:rFonts w:ascii="Times New Roman" w:hAnsi="Times New Roman" w:cs="Times New Roman"/>
          <w:noProof/>
          <w:lang w:val="en-GB"/>
        </w:rPr>
        <w:t>in the NATO context</w:t>
      </w:r>
      <w:r w:rsidR="009046EC" w:rsidRPr="00060E79">
        <w:rPr>
          <w:rFonts w:ascii="Times New Roman" w:hAnsi="Times New Roman" w:cs="Times New Roman"/>
          <w:noProof/>
          <w:lang w:val="en-GB"/>
        </w:rPr>
        <w:t xml:space="preserve"> as appropriate</w:t>
      </w:r>
      <w:r w:rsidRPr="00060E79">
        <w:rPr>
          <w:rFonts w:ascii="Times New Roman" w:hAnsi="Times New Roman" w:cs="Times New Roman"/>
          <w:noProof/>
          <w:lang w:val="en-GB"/>
        </w:rPr>
        <w:t>.</w:t>
      </w:r>
    </w:p>
    <w:p w14:paraId="1819509E" w14:textId="77777777" w:rsidR="00FA0E91" w:rsidRPr="00E6071F" w:rsidRDefault="00D83A6C" w:rsidP="0029319B">
      <w:pPr>
        <w:tabs>
          <w:tab w:val="left" w:pos="567"/>
        </w:tabs>
        <w:spacing w:after="240" w:line="240" w:lineRule="auto"/>
        <w:jc w:val="both"/>
        <w:rPr>
          <w:rFonts w:ascii="Times New Roman" w:hAnsi="Times New Roman" w:cs="Times New Roman"/>
          <w:b/>
          <w:i/>
          <w:noProof/>
          <w:lang w:val="en-GB"/>
        </w:rPr>
      </w:pPr>
      <w:r w:rsidRPr="00060E79">
        <w:rPr>
          <w:rFonts w:ascii="Times New Roman" w:hAnsi="Times New Roman" w:cs="Times New Roman"/>
          <w:b/>
          <w:i/>
          <w:noProof/>
          <w:lang w:val="en-GB"/>
        </w:rPr>
        <w:t>3</w:t>
      </w:r>
      <w:r w:rsidR="00E71A7D" w:rsidRPr="00060E79">
        <w:rPr>
          <w:rFonts w:ascii="Times New Roman" w:hAnsi="Times New Roman" w:cs="Times New Roman"/>
          <w:b/>
          <w:i/>
          <w:noProof/>
          <w:lang w:val="en-GB"/>
        </w:rPr>
        <w:t>.3.</w:t>
      </w:r>
      <w:r w:rsidR="006D04DB">
        <w:rPr>
          <w:rFonts w:ascii="Times New Roman" w:hAnsi="Times New Roman" w:cs="Times New Roman"/>
          <w:b/>
          <w:i/>
          <w:noProof/>
          <w:lang w:val="en-GB"/>
        </w:rPr>
        <w:t>3</w:t>
      </w:r>
      <w:r w:rsidR="00E71A7D" w:rsidRPr="00E6071F">
        <w:rPr>
          <w:rFonts w:ascii="Times New Roman" w:hAnsi="Times New Roman" w:cs="Times New Roman"/>
          <w:b/>
          <w:i/>
          <w:noProof/>
          <w:lang w:val="en-GB"/>
        </w:rPr>
        <w:tab/>
      </w:r>
      <w:r w:rsidR="00294077" w:rsidRPr="00E6071F">
        <w:rPr>
          <w:rFonts w:ascii="Times New Roman" w:hAnsi="Times New Roman" w:cs="Times New Roman"/>
          <w:b/>
          <w:i/>
          <w:noProof/>
          <w:lang w:val="en-GB"/>
        </w:rPr>
        <w:t>Protection against security risks</w:t>
      </w:r>
      <w:r w:rsidR="00DC45FF" w:rsidRPr="00E6071F">
        <w:rPr>
          <w:rFonts w:ascii="Times New Roman" w:hAnsi="Times New Roman" w:cs="Times New Roman"/>
          <w:b/>
          <w:i/>
          <w:noProof/>
          <w:lang w:val="en-GB"/>
        </w:rPr>
        <w:t xml:space="preserve"> in the transport sector</w:t>
      </w:r>
    </w:p>
    <w:p w14:paraId="1E367C58" w14:textId="6233678F" w:rsidR="00FA0E91" w:rsidRPr="00FD6314" w:rsidRDefault="00060E79">
      <w:pPr>
        <w:spacing w:line="240" w:lineRule="auto"/>
        <w:jc w:val="both"/>
        <w:rPr>
          <w:rFonts w:ascii="Times New Roman" w:eastAsia="Calibri" w:hAnsi="Times New Roman" w:cs="Times New Roman"/>
          <w:noProof/>
        </w:rPr>
      </w:pPr>
      <w:r w:rsidRPr="00B4132B">
        <w:rPr>
          <w:rFonts w:ascii="Times New Roman" w:hAnsi="Times New Roman" w:cs="Times New Roman"/>
          <w:noProof/>
        </w:rPr>
        <w:t>Increasing</w:t>
      </w:r>
      <w:r w:rsidR="00FA0E91" w:rsidRPr="00B4132B">
        <w:rPr>
          <w:rFonts w:ascii="Times New Roman" w:hAnsi="Times New Roman" w:cs="Times New Roman"/>
          <w:noProof/>
        </w:rPr>
        <w:t xml:space="preserve"> vulnerabilities in our military transport system may be exploited to disrupt </w:t>
      </w:r>
      <w:r w:rsidR="00B355D2" w:rsidRPr="00B4132B">
        <w:rPr>
          <w:rFonts w:ascii="Times New Roman" w:hAnsi="Times New Roman" w:cs="Times New Roman"/>
          <w:noProof/>
        </w:rPr>
        <w:t>m</w:t>
      </w:r>
      <w:r w:rsidR="00FA0E91" w:rsidRPr="00B4132B">
        <w:rPr>
          <w:rFonts w:ascii="Times New Roman" w:hAnsi="Times New Roman" w:cs="Times New Roman"/>
          <w:noProof/>
        </w:rPr>
        <w:t xml:space="preserve">ilitary </w:t>
      </w:r>
      <w:r w:rsidR="00B355D2" w:rsidRPr="00B4132B">
        <w:rPr>
          <w:rFonts w:ascii="Times New Roman" w:hAnsi="Times New Roman" w:cs="Times New Roman"/>
          <w:noProof/>
        </w:rPr>
        <w:t>m</w:t>
      </w:r>
      <w:r w:rsidR="00FA0E91" w:rsidRPr="00B4132B">
        <w:rPr>
          <w:rFonts w:ascii="Times New Roman" w:hAnsi="Times New Roman" w:cs="Times New Roman"/>
          <w:noProof/>
        </w:rPr>
        <w:t>obility</w:t>
      </w:r>
      <w:r w:rsidR="00652996" w:rsidRPr="00B4132B">
        <w:rPr>
          <w:rFonts w:ascii="Times New Roman" w:hAnsi="Times New Roman" w:cs="Times New Roman"/>
          <w:noProof/>
        </w:rPr>
        <w:t>.</w:t>
      </w:r>
      <w:r w:rsidR="00652996" w:rsidRPr="00060E79">
        <w:rPr>
          <w:rFonts w:ascii="Times New Roman" w:hAnsi="Times New Roman" w:cs="Times New Roman"/>
          <w:noProof/>
        </w:rPr>
        <w:t xml:space="preserve"> T</w:t>
      </w:r>
      <w:r w:rsidR="00FA0E91" w:rsidRPr="00060E79">
        <w:rPr>
          <w:rFonts w:ascii="Times New Roman" w:hAnsi="Times New Roman" w:cs="Times New Roman"/>
          <w:noProof/>
        </w:rPr>
        <w:t>here is a</w:t>
      </w:r>
      <w:r w:rsidR="00B001C2" w:rsidRPr="00060E79">
        <w:rPr>
          <w:rFonts w:ascii="Times New Roman" w:hAnsi="Times New Roman" w:cs="Times New Roman"/>
          <w:noProof/>
        </w:rPr>
        <w:t>n</w:t>
      </w:r>
      <w:r w:rsidR="00FA0E91" w:rsidRPr="00060E79">
        <w:rPr>
          <w:rFonts w:ascii="Times New Roman" w:hAnsi="Times New Roman" w:cs="Times New Roman"/>
          <w:noProof/>
        </w:rPr>
        <w:t xml:space="preserve"> urgent need </w:t>
      </w:r>
      <w:r w:rsidR="00652996" w:rsidRPr="00060E79">
        <w:rPr>
          <w:rFonts w:ascii="Times New Roman" w:hAnsi="Times New Roman" w:cs="Times New Roman"/>
          <w:noProof/>
        </w:rPr>
        <w:t xml:space="preserve">therefore </w:t>
      </w:r>
      <w:r w:rsidR="00FA0E91" w:rsidRPr="00060E79">
        <w:rPr>
          <w:rFonts w:ascii="Times New Roman" w:hAnsi="Times New Roman" w:cs="Times New Roman"/>
          <w:noProof/>
        </w:rPr>
        <w:t xml:space="preserve">to address the resilience of the </w:t>
      </w:r>
      <w:r w:rsidR="00FA0E91" w:rsidRPr="009310E8">
        <w:rPr>
          <w:rFonts w:ascii="Times New Roman" w:hAnsi="Times New Roman" w:cs="Times New Roman"/>
          <w:noProof/>
          <w:lang w:val="en-GB"/>
        </w:rPr>
        <w:t>network that we are putting in place</w:t>
      </w:r>
      <w:r w:rsidR="00652996" w:rsidRPr="009310E8">
        <w:rPr>
          <w:rFonts w:ascii="Times New Roman" w:hAnsi="Times New Roman" w:cs="Times New Roman"/>
          <w:noProof/>
          <w:lang w:val="en-GB"/>
        </w:rPr>
        <w:t xml:space="preserve">, to protect it against </w:t>
      </w:r>
      <w:r w:rsidR="00FA0E91" w:rsidRPr="009310E8">
        <w:rPr>
          <w:rFonts w:ascii="Times New Roman" w:hAnsi="Times New Roman" w:cs="Times New Roman"/>
          <w:noProof/>
        </w:rPr>
        <w:t xml:space="preserve">hybrid </w:t>
      </w:r>
      <w:r w:rsidR="0086325E" w:rsidRPr="009310E8">
        <w:rPr>
          <w:rFonts w:ascii="Times New Roman" w:hAnsi="Times New Roman" w:cs="Times New Roman"/>
          <w:noProof/>
        </w:rPr>
        <w:t xml:space="preserve">and other </w:t>
      </w:r>
      <w:r w:rsidR="00FA0E91" w:rsidRPr="009310E8">
        <w:rPr>
          <w:rFonts w:ascii="Times New Roman" w:hAnsi="Times New Roman" w:cs="Times New Roman"/>
          <w:noProof/>
        </w:rPr>
        <w:t>threats</w:t>
      </w:r>
      <w:r w:rsidR="00FA0E91" w:rsidRPr="009310E8">
        <w:rPr>
          <w:rFonts w:ascii="Times New Roman" w:hAnsi="Times New Roman" w:cs="Times New Roman"/>
          <w:noProof/>
          <w:lang w:val="en-GB"/>
        </w:rPr>
        <w:t>, including</w:t>
      </w:r>
      <w:r w:rsidR="00FA0E91" w:rsidRPr="009310E8">
        <w:rPr>
          <w:rFonts w:ascii="Times New Roman" w:hAnsi="Times New Roman" w:cs="Times New Roman"/>
          <w:noProof/>
        </w:rPr>
        <w:t xml:space="preserve"> with regard to </w:t>
      </w:r>
      <w:r w:rsidR="00AF7B85">
        <w:rPr>
          <w:rFonts w:ascii="Times New Roman" w:hAnsi="Times New Roman" w:cs="Times New Roman"/>
          <w:noProof/>
        </w:rPr>
        <w:t xml:space="preserve">the </w:t>
      </w:r>
      <w:r w:rsidR="00FA0E91" w:rsidRPr="00E6071F">
        <w:rPr>
          <w:rFonts w:ascii="Times New Roman" w:hAnsi="Times New Roman" w:cs="Times New Roman"/>
          <w:noProof/>
        </w:rPr>
        <w:t xml:space="preserve">civilian and commercial transport sector. </w:t>
      </w:r>
      <w:r w:rsidR="00F04504" w:rsidRPr="00E6071F">
        <w:rPr>
          <w:rFonts w:ascii="Times New Roman" w:hAnsi="Times New Roman" w:cs="Times New Roman"/>
          <w:noProof/>
        </w:rPr>
        <w:t>Further work in this area will benefit from the ongoing actions to counter hybrid threats</w:t>
      </w:r>
      <w:r w:rsidR="0074329E">
        <w:rPr>
          <w:rStyle w:val="FootnoteReference"/>
          <w:rFonts w:ascii="Times New Roman" w:hAnsi="Times New Roman" w:cs="Times New Roman"/>
          <w:noProof/>
        </w:rPr>
        <w:footnoteReference w:id="24"/>
      </w:r>
      <w:r w:rsidR="0086325E" w:rsidRPr="00E6071F">
        <w:rPr>
          <w:rFonts w:ascii="Times New Roman" w:hAnsi="Times New Roman" w:cs="Times New Roman"/>
          <w:noProof/>
        </w:rPr>
        <w:t xml:space="preserve"> and on critical infrastructure protection</w:t>
      </w:r>
      <w:r w:rsidR="00E9441D">
        <w:rPr>
          <w:rFonts w:ascii="Times New Roman" w:hAnsi="Times New Roman" w:cs="Times New Roman"/>
          <w:noProof/>
        </w:rPr>
        <w:t xml:space="preserve">, including </w:t>
      </w:r>
      <w:r w:rsidR="00952CD5">
        <w:rPr>
          <w:rFonts w:ascii="Times New Roman" w:hAnsi="Times New Roman" w:cs="Times New Roman"/>
          <w:noProof/>
        </w:rPr>
        <w:t xml:space="preserve">in the light of the recent </w:t>
      </w:r>
      <w:r w:rsidR="005C34F1">
        <w:rPr>
          <w:rFonts w:ascii="Times New Roman" w:hAnsi="Times New Roman" w:cs="Times New Roman"/>
          <w:noProof/>
        </w:rPr>
        <w:t xml:space="preserve">Proposal for a </w:t>
      </w:r>
      <w:r w:rsidR="00952CD5">
        <w:rPr>
          <w:rFonts w:ascii="Times New Roman" w:hAnsi="Times New Roman" w:cs="Times New Roman"/>
          <w:noProof/>
        </w:rPr>
        <w:t xml:space="preserve">Council </w:t>
      </w:r>
      <w:r w:rsidR="005C34F1">
        <w:rPr>
          <w:rFonts w:ascii="Times New Roman" w:hAnsi="Times New Roman" w:cs="Times New Roman"/>
          <w:noProof/>
        </w:rPr>
        <w:t>R</w:t>
      </w:r>
      <w:r w:rsidR="00952CD5">
        <w:rPr>
          <w:rFonts w:ascii="Times New Roman" w:hAnsi="Times New Roman" w:cs="Times New Roman"/>
          <w:noProof/>
        </w:rPr>
        <w:t xml:space="preserve">ecommendation on a coordinated approach by the Union to strengthen the resilience of critical infrastructure </w:t>
      </w:r>
      <w:r w:rsidR="00952CD5" w:rsidRPr="00952CD5">
        <w:rPr>
          <w:rFonts w:ascii="Times New Roman" w:hAnsi="Times New Roman" w:cs="Times New Roman"/>
          <w:noProof/>
        </w:rPr>
        <w:t>(2022/0338 (NLE))</w:t>
      </w:r>
      <w:r w:rsidR="00952CD5">
        <w:rPr>
          <w:rFonts w:ascii="Times New Roman" w:hAnsi="Times New Roman" w:cs="Times New Roman"/>
          <w:noProof/>
        </w:rPr>
        <w:t>.</w:t>
      </w:r>
      <w:r w:rsidR="00FA0E91" w:rsidRPr="00FD6314">
        <w:rPr>
          <w:rStyle w:val="FootnoteReference"/>
          <w:rFonts w:ascii="Times New Roman" w:eastAsia="Calibri" w:hAnsi="Times New Roman" w:cs="Times New Roman"/>
          <w:noProof/>
        </w:rPr>
        <w:footnoteReference w:id="25"/>
      </w:r>
    </w:p>
    <w:p w14:paraId="2B4CF644" w14:textId="77777777" w:rsidR="00FA0E91" w:rsidRPr="00756DD8" w:rsidRDefault="00F04504">
      <w:pPr>
        <w:spacing w:after="240" w:line="240" w:lineRule="auto"/>
        <w:jc w:val="both"/>
        <w:rPr>
          <w:rFonts w:ascii="Times New Roman" w:hAnsi="Times New Roman"/>
          <w:noProof/>
        </w:rPr>
      </w:pPr>
      <w:r w:rsidRPr="00344F24">
        <w:rPr>
          <w:rFonts w:ascii="Times New Roman" w:hAnsi="Times New Roman" w:cs="Times New Roman"/>
          <w:noProof/>
        </w:rPr>
        <w:t xml:space="preserve">In particular, the EU </w:t>
      </w:r>
      <w:r w:rsidR="00CC1991" w:rsidRPr="00060E79">
        <w:rPr>
          <w:rFonts w:ascii="Times New Roman" w:hAnsi="Times New Roman" w:cs="Times New Roman"/>
          <w:noProof/>
        </w:rPr>
        <w:t>should</w:t>
      </w:r>
      <w:r w:rsidRPr="00060E79">
        <w:rPr>
          <w:rFonts w:ascii="Times New Roman" w:hAnsi="Times New Roman" w:cs="Times New Roman"/>
          <w:noProof/>
        </w:rPr>
        <w:t xml:space="preserve"> enhance cooperation to address</w:t>
      </w:r>
      <w:r w:rsidR="00060E79">
        <w:rPr>
          <w:rFonts w:ascii="Times New Roman" w:hAnsi="Times New Roman" w:cs="Times New Roman"/>
          <w:noProof/>
        </w:rPr>
        <w:t xml:space="preserve"> the following issues</w:t>
      </w:r>
      <w:r w:rsidRPr="00060E79">
        <w:rPr>
          <w:rFonts w:ascii="Times New Roman" w:hAnsi="Times New Roman" w:cs="Times New Roman"/>
          <w:noProof/>
        </w:rPr>
        <w:t xml:space="preserve">: </w:t>
      </w:r>
      <w:r w:rsidR="00FA0E91" w:rsidRPr="00060E79">
        <w:rPr>
          <w:rFonts w:ascii="Times New Roman" w:hAnsi="Times New Roman" w:cs="Times New Roman"/>
          <w:noProof/>
        </w:rPr>
        <w:t xml:space="preserve"> </w:t>
      </w:r>
    </w:p>
    <w:p w14:paraId="42904E51" w14:textId="6918C6B8" w:rsidR="004161EE" w:rsidRPr="00665632" w:rsidRDefault="004161EE" w:rsidP="00665632">
      <w:pPr>
        <w:pStyle w:val="ListParagraph"/>
        <w:numPr>
          <w:ilvl w:val="0"/>
          <w:numId w:val="56"/>
        </w:numPr>
        <w:spacing w:after="240"/>
        <w:jc w:val="both"/>
        <w:rPr>
          <w:rFonts w:ascii="Times New Roman" w:hAnsi="Times New Roman" w:cs="Times New Roman"/>
          <w:noProof/>
          <w:lang w:val="en-GB"/>
        </w:rPr>
      </w:pPr>
      <w:r w:rsidRPr="00665632">
        <w:rPr>
          <w:rFonts w:ascii="Times New Roman" w:hAnsi="Times New Roman" w:cs="Times New Roman"/>
          <w:noProof/>
          <w:lang w:val="en-GB"/>
        </w:rPr>
        <w:t xml:space="preserve">To strengthen the physical resilience against natural and man-made threats of those entities that provide essential services in </w:t>
      </w:r>
      <w:r w:rsidR="00AF7B85">
        <w:rPr>
          <w:rFonts w:ascii="Times New Roman" w:hAnsi="Times New Roman" w:cs="Times New Roman"/>
          <w:noProof/>
          <w:lang w:val="en-GB"/>
        </w:rPr>
        <w:t xml:space="preserve">the </w:t>
      </w:r>
      <w:r w:rsidRPr="00665632">
        <w:rPr>
          <w:rFonts w:ascii="Times New Roman" w:hAnsi="Times New Roman" w:cs="Times New Roman"/>
          <w:noProof/>
          <w:lang w:val="en-GB"/>
        </w:rPr>
        <w:t>transport sector. This includes implementing the Directive on the resilience of critical entities</w:t>
      </w:r>
      <w:r w:rsidRPr="00444046">
        <w:rPr>
          <w:rStyle w:val="FootnoteReference"/>
          <w:rFonts w:ascii="Times New Roman" w:eastAsia="Calibri" w:hAnsi="Times New Roman" w:cs="Times New Roman"/>
          <w:noProof/>
        </w:rPr>
        <w:footnoteReference w:id="26"/>
      </w:r>
      <w:r w:rsidRPr="00665632">
        <w:rPr>
          <w:rFonts w:ascii="Times New Roman" w:hAnsi="Times New Roman" w:cs="Times New Roman"/>
          <w:noProof/>
          <w:lang w:val="en-GB"/>
        </w:rPr>
        <w:t xml:space="preserve"> (CER Directive) in the transport sector as well as </w:t>
      </w:r>
      <w:r w:rsidR="005C34F1" w:rsidRPr="00665632">
        <w:rPr>
          <w:rFonts w:ascii="Times New Roman" w:hAnsi="Times New Roman" w:cs="Times New Roman"/>
          <w:noProof/>
          <w:lang w:val="en-GB"/>
        </w:rPr>
        <w:t xml:space="preserve">facilitating the swift adoption and subsequent implementation of the </w:t>
      </w:r>
      <w:r w:rsidRPr="00665632">
        <w:rPr>
          <w:rFonts w:ascii="Times New Roman" w:hAnsi="Times New Roman" w:cs="Times New Roman"/>
          <w:noProof/>
          <w:lang w:val="en-GB"/>
        </w:rPr>
        <w:t>Proposal for a Council Recommendation on a coordinated approach by Union to strengthen the resilience of the critical infrastructure</w:t>
      </w:r>
      <w:r w:rsidR="00AF7B85">
        <w:rPr>
          <w:rFonts w:ascii="Times New Roman" w:hAnsi="Times New Roman" w:cs="Times New Roman"/>
          <w:noProof/>
          <w:lang w:val="en-GB"/>
        </w:rPr>
        <w:t>,</w:t>
      </w:r>
      <w:r w:rsidRPr="00665632">
        <w:rPr>
          <w:rFonts w:ascii="Times New Roman" w:hAnsi="Times New Roman" w:cs="Times New Roman"/>
          <w:noProof/>
          <w:lang w:val="en-GB"/>
        </w:rPr>
        <w:t xml:space="preserve"> where transport is one of the key sector</w:t>
      </w:r>
      <w:r w:rsidR="00190F34" w:rsidRPr="00665632">
        <w:rPr>
          <w:rFonts w:ascii="Times New Roman" w:hAnsi="Times New Roman" w:cs="Times New Roman"/>
          <w:noProof/>
          <w:lang w:val="en-GB"/>
        </w:rPr>
        <w:t>s</w:t>
      </w:r>
      <w:r w:rsidRPr="00444046">
        <w:rPr>
          <w:rStyle w:val="FootnoteReference"/>
          <w:rFonts w:ascii="Times New Roman" w:eastAsia="Calibri" w:hAnsi="Times New Roman" w:cs="Times New Roman"/>
          <w:noProof/>
        </w:rPr>
        <w:footnoteReference w:id="27"/>
      </w:r>
      <w:r w:rsidRPr="00444046">
        <w:rPr>
          <w:rStyle w:val="FootnoteReference"/>
          <w:rFonts w:eastAsia="Calibri"/>
          <w:noProof/>
        </w:rPr>
        <w:t>.</w:t>
      </w:r>
    </w:p>
    <w:p w14:paraId="35195B6F" w14:textId="6EBB7088" w:rsidR="003E7B29" w:rsidRPr="003E7B29" w:rsidRDefault="003F05EF" w:rsidP="00756DD8">
      <w:pPr>
        <w:pStyle w:val="ListParagraph"/>
        <w:numPr>
          <w:ilvl w:val="1"/>
          <w:numId w:val="10"/>
        </w:numPr>
        <w:spacing w:after="240"/>
        <w:jc w:val="both"/>
        <w:rPr>
          <w:rFonts w:ascii="Times New Roman" w:hAnsi="Times New Roman" w:cs="Times New Roman"/>
          <w:noProof/>
          <w:lang w:val="en-GB"/>
        </w:rPr>
      </w:pPr>
      <w:r>
        <w:rPr>
          <w:rFonts w:ascii="Times New Roman" w:hAnsi="Times New Roman" w:cs="Times New Roman"/>
          <w:noProof/>
          <w:lang w:val="en-GB"/>
        </w:rPr>
        <w:t>T</w:t>
      </w:r>
      <w:r w:rsidR="00FA0E91" w:rsidRPr="009310E8">
        <w:rPr>
          <w:rFonts w:ascii="Times New Roman" w:hAnsi="Times New Roman" w:cs="Times New Roman"/>
          <w:noProof/>
          <w:lang w:val="en-GB"/>
        </w:rPr>
        <w:t>he cybersecurity of the civilian transport sector and its support systems, including traffic control systems (air, rail, sealift), container terminal management systems, control systems for locks, bridges, tunnels etc</w:t>
      </w:r>
      <w:r w:rsidR="002B1175" w:rsidRPr="009310E8">
        <w:rPr>
          <w:rFonts w:ascii="Times New Roman" w:hAnsi="Times New Roman" w:cs="Times New Roman"/>
          <w:noProof/>
          <w:lang w:val="en-GB"/>
        </w:rPr>
        <w:t>.</w:t>
      </w:r>
      <w:r w:rsidR="00FA0E91" w:rsidRPr="009310E8">
        <w:rPr>
          <w:rFonts w:ascii="Times New Roman" w:hAnsi="Times New Roman" w:cs="Times New Roman"/>
          <w:noProof/>
          <w:lang w:val="en-GB"/>
        </w:rPr>
        <w:t xml:space="preserve"> </w:t>
      </w:r>
      <w:bookmarkStart w:id="4" w:name="_Hlk117847091"/>
      <w:r w:rsidR="0080580D" w:rsidRPr="0080580D">
        <w:rPr>
          <w:rFonts w:ascii="Times New Roman" w:hAnsi="Times New Roman" w:cs="Times New Roman"/>
          <w:noProof/>
          <w:lang w:val="en-GB"/>
        </w:rPr>
        <w:t xml:space="preserve">This includes </w:t>
      </w:r>
      <w:r w:rsidR="0080580D" w:rsidRPr="00815493">
        <w:rPr>
          <w:rFonts w:ascii="Times New Roman" w:hAnsi="Times New Roman" w:cs="Times New Roman"/>
          <w:noProof/>
          <w:lang w:val="en-GB"/>
        </w:rPr>
        <w:t xml:space="preserve">accelerating the transposition and </w:t>
      </w:r>
      <w:r w:rsidR="00482A87" w:rsidRPr="0080580D">
        <w:rPr>
          <w:rFonts w:ascii="Times New Roman" w:hAnsi="Times New Roman" w:cs="Times New Roman"/>
          <w:noProof/>
          <w:lang w:val="en-GB"/>
        </w:rPr>
        <w:t>implementation of</w:t>
      </w:r>
      <w:r w:rsidR="0080580D" w:rsidRPr="0080580D">
        <w:rPr>
          <w:rFonts w:ascii="Times New Roman" w:hAnsi="Times New Roman" w:cs="Times New Roman"/>
          <w:noProof/>
          <w:lang w:val="en-GB"/>
        </w:rPr>
        <w:t xml:space="preserve"> the</w:t>
      </w:r>
      <w:r w:rsidR="004A7145">
        <w:rPr>
          <w:rFonts w:ascii="Times New Roman" w:hAnsi="Times New Roman" w:cs="Times New Roman"/>
          <w:noProof/>
          <w:lang w:val="en-GB"/>
        </w:rPr>
        <w:t xml:space="preserve"> recently adopted revised</w:t>
      </w:r>
      <w:r w:rsidR="0080580D" w:rsidRPr="0080580D">
        <w:rPr>
          <w:rFonts w:ascii="Times New Roman" w:hAnsi="Times New Roman" w:cs="Times New Roman"/>
          <w:noProof/>
          <w:lang w:val="en-GB"/>
        </w:rPr>
        <w:t xml:space="preserve"> Directive on Measures</w:t>
      </w:r>
      <w:r w:rsidR="00060E79">
        <w:rPr>
          <w:rFonts w:ascii="Times New Roman" w:hAnsi="Times New Roman" w:cs="Times New Roman"/>
          <w:noProof/>
          <w:lang w:val="en-GB"/>
        </w:rPr>
        <w:t xml:space="preserve"> </w:t>
      </w:r>
      <w:r w:rsidR="005454B0" w:rsidRPr="00060E79">
        <w:rPr>
          <w:rFonts w:ascii="Times New Roman" w:hAnsi="Times New Roman" w:cs="Times New Roman"/>
          <w:noProof/>
          <w:lang w:val="en-GB"/>
        </w:rPr>
        <w:t>implement</w:t>
      </w:r>
      <w:r w:rsidR="00060E79">
        <w:rPr>
          <w:rFonts w:ascii="Times New Roman" w:hAnsi="Times New Roman" w:cs="Times New Roman"/>
          <w:noProof/>
          <w:lang w:val="en-GB"/>
        </w:rPr>
        <w:t>ing</w:t>
      </w:r>
      <w:r w:rsidR="005454B0" w:rsidRPr="00060E79">
        <w:rPr>
          <w:rFonts w:ascii="Times New Roman" w:hAnsi="Times New Roman" w:cs="Times New Roman"/>
          <w:noProof/>
          <w:lang w:val="en-GB"/>
        </w:rPr>
        <w:t xml:space="preserve"> of the Network and Information Security Directive (NIS</w:t>
      </w:r>
      <w:r w:rsidR="004A7145">
        <w:rPr>
          <w:rFonts w:ascii="Times New Roman" w:hAnsi="Times New Roman" w:cs="Times New Roman"/>
          <w:noProof/>
          <w:lang w:val="en-GB"/>
        </w:rPr>
        <w:t>2</w:t>
      </w:r>
      <w:r w:rsidR="005454B0" w:rsidRPr="00060E79">
        <w:rPr>
          <w:rFonts w:ascii="Times New Roman" w:hAnsi="Times New Roman" w:cs="Times New Roman"/>
          <w:noProof/>
          <w:lang w:val="en-GB"/>
        </w:rPr>
        <w:t xml:space="preserve"> Directive)</w:t>
      </w:r>
      <w:r w:rsidR="00A2654B" w:rsidRPr="00FD6314">
        <w:rPr>
          <w:rStyle w:val="FootnoteReference"/>
          <w:rFonts w:ascii="Times New Roman" w:hAnsi="Times New Roman" w:cs="Times New Roman"/>
          <w:noProof/>
          <w:lang w:val="en-GB"/>
        </w:rPr>
        <w:footnoteReference w:id="28"/>
      </w:r>
      <w:r w:rsidR="005454B0" w:rsidRPr="00FD6314">
        <w:rPr>
          <w:rFonts w:ascii="Times New Roman" w:hAnsi="Times New Roman" w:cs="Times New Roman"/>
          <w:noProof/>
          <w:lang w:val="en-GB"/>
        </w:rPr>
        <w:t xml:space="preserve"> in the transport sector and </w:t>
      </w:r>
      <w:r w:rsidR="00FA0E91" w:rsidRPr="00FD6314">
        <w:rPr>
          <w:rFonts w:ascii="Times New Roman" w:hAnsi="Times New Roman" w:cs="Times New Roman"/>
          <w:noProof/>
          <w:lang w:val="en-GB"/>
        </w:rPr>
        <w:t>the work done on resilience baselines in the context of countering hybrid threats</w:t>
      </w:r>
      <w:bookmarkEnd w:id="4"/>
      <w:r w:rsidR="00FA0E91" w:rsidRPr="00FD6314">
        <w:rPr>
          <w:rFonts w:ascii="Times New Roman" w:hAnsi="Times New Roman" w:cs="Times New Roman"/>
          <w:noProof/>
          <w:lang w:val="en-GB"/>
        </w:rPr>
        <w:t>.</w:t>
      </w:r>
      <w:r w:rsidR="003E7B29" w:rsidRPr="003E7B29">
        <w:rPr>
          <w:rFonts w:ascii="Times New Roman" w:hAnsi="Times New Roman" w:cs="Times New Roman"/>
          <w:noProof/>
          <w:lang w:val="en-GB"/>
        </w:rPr>
        <w:t xml:space="preserve"> In case of </w:t>
      </w:r>
      <w:r w:rsidR="007F3C1B">
        <w:rPr>
          <w:rFonts w:ascii="Times New Roman" w:hAnsi="Times New Roman" w:cs="Times New Roman"/>
          <w:noProof/>
          <w:lang w:val="en-GB"/>
        </w:rPr>
        <w:t xml:space="preserve">a </w:t>
      </w:r>
      <w:r w:rsidR="003E7B29" w:rsidRPr="003E7B29">
        <w:rPr>
          <w:rFonts w:ascii="Times New Roman" w:hAnsi="Times New Roman" w:cs="Times New Roman"/>
          <w:noProof/>
          <w:lang w:val="en-GB"/>
        </w:rPr>
        <w:t xml:space="preserve">cybersecurity crisis, it is essential to ensure a proper exchange of necessary information to ensure </w:t>
      </w:r>
      <w:r w:rsidR="007F3C1B">
        <w:rPr>
          <w:rFonts w:ascii="Times New Roman" w:hAnsi="Times New Roman" w:cs="Times New Roman"/>
          <w:noProof/>
          <w:lang w:val="en-GB"/>
        </w:rPr>
        <w:t xml:space="preserve">the </w:t>
      </w:r>
      <w:r w:rsidR="003E7B29" w:rsidRPr="003E7B29">
        <w:rPr>
          <w:rFonts w:ascii="Times New Roman" w:hAnsi="Times New Roman" w:cs="Times New Roman"/>
          <w:noProof/>
          <w:lang w:val="en-GB"/>
        </w:rPr>
        <w:t>fullest possible situational awareness among the military and civilian transport sectors. This should also include cooperation between relevant sectoral authorities responsible for transport, competent cybersecurity authorities and CSIRTS, and, in line with its tasks as envisaged in the Directive NIS2, through the European Cyber Crises Liaison Organisation Network (EU – CyCLONe). Synergies with TEN-T should be explored</w:t>
      </w:r>
      <w:r w:rsidR="0080580D">
        <w:rPr>
          <w:rStyle w:val="FootnoteReference"/>
          <w:rFonts w:ascii="Times New Roman" w:hAnsi="Times New Roman" w:cs="Times New Roman"/>
          <w:noProof/>
          <w:lang w:val="en-GB"/>
        </w:rPr>
        <w:footnoteReference w:id="29"/>
      </w:r>
      <w:r w:rsidR="003E7B29">
        <w:rPr>
          <w:rFonts w:ascii="Times New Roman" w:hAnsi="Times New Roman" w:cs="Times New Roman"/>
          <w:noProof/>
          <w:lang w:val="en-GB"/>
        </w:rPr>
        <w:t>.</w:t>
      </w:r>
      <w:r w:rsidR="003E7B29" w:rsidRPr="003E7B29">
        <w:rPr>
          <w:rFonts w:ascii="Times New Roman" w:hAnsi="Times New Roman" w:cs="Times New Roman"/>
          <w:noProof/>
          <w:lang w:val="en-GB"/>
        </w:rPr>
        <w:t xml:space="preserve"> Member States are also invited to make use of the Commission short-term support programme implemented with ENISA to step up preparedness of essential entities in the transport sector</w:t>
      </w:r>
      <w:r w:rsidR="007F3C1B">
        <w:rPr>
          <w:rFonts w:ascii="Times New Roman" w:hAnsi="Times New Roman" w:cs="Times New Roman"/>
          <w:noProof/>
          <w:lang w:val="en-GB"/>
        </w:rPr>
        <w:t>,</w:t>
      </w:r>
      <w:r w:rsidR="003E7B29" w:rsidRPr="003E7B29">
        <w:rPr>
          <w:rFonts w:ascii="Times New Roman" w:hAnsi="Times New Roman" w:cs="Times New Roman"/>
          <w:noProof/>
          <w:lang w:val="en-GB"/>
        </w:rPr>
        <w:t xml:space="preserve"> for instance through penetration testing. </w:t>
      </w:r>
    </w:p>
    <w:p w14:paraId="28D57B48" w14:textId="61317DB6" w:rsidR="00FA0E91" w:rsidRPr="00665632" w:rsidRDefault="00FA0E91" w:rsidP="00756DD8">
      <w:pPr>
        <w:pStyle w:val="ListParagraph"/>
        <w:numPr>
          <w:ilvl w:val="1"/>
          <w:numId w:val="10"/>
        </w:numPr>
        <w:spacing w:after="240"/>
        <w:jc w:val="both"/>
        <w:rPr>
          <w:rFonts w:ascii="Times New Roman" w:hAnsi="Times New Roman" w:cs="Times New Roman"/>
          <w:noProof/>
          <w:lang w:val="en-GB"/>
        </w:rPr>
      </w:pPr>
      <w:r w:rsidRPr="00665632">
        <w:rPr>
          <w:rFonts w:ascii="Times New Roman" w:hAnsi="Times New Roman" w:cs="Times New Roman"/>
          <w:noProof/>
          <w:lang w:val="en-GB"/>
        </w:rPr>
        <w:t>Foreign Direct Investments by non-EU entities into infrastructure</w:t>
      </w:r>
      <w:r w:rsidR="007F3C1B">
        <w:rPr>
          <w:rFonts w:ascii="Times New Roman" w:hAnsi="Times New Roman" w:cs="Times New Roman"/>
          <w:noProof/>
          <w:lang w:val="en-GB"/>
        </w:rPr>
        <w:t>s</w:t>
      </w:r>
      <w:r w:rsidRPr="00665632">
        <w:rPr>
          <w:rFonts w:ascii="Times New Roman" w:hAnsi="Times New Roman" w:cs="Times New Roman"/>
          <w:noProof/>
          <w:lang w:val="en-GB"/>
        </w:rPr>
        <w:t xml:space="preserve"> and transport operations within the EU that </w:t>
      </w:r>
      <w:r w:rsidR="007F3C1B">
        <w:rPr>
          <w:rFonts w:ascii="Times New Roman" w:hAnsi="Times New Roman" w:cs="Times New Roman"/>
          <w:noProof/>
          <w:lang w:val="en-GB"/>
        </w:rPr>
        <w:t>are</w:t>
      </w:r>
      <w:r w:rsidR="007F3C1B" w:rsidRPr="00665632">
        <w:rPr>
          <w:rFonts w:ascii="Times New Roman" w:hAnsi="Times New Roman" w:cs="Times New Roman"/>
          <w:noProof/>
          <w:lang w:val="en-GB"/>
        </w:rPr>
        <w:t xml:space="preserve"> </w:t>
      </w:r>
      <w:r w:rsidRPr="00665632">
        <w:rPr>
          <w:rFonts w:ascii="Times New Roman" w:hAnsi="Times New Roman" w:cs="Times New Roman"/>
          <w:noProof/>
          <w:lang w:val="en-GB"/>
        </w:rPr>
        <w:t>also critical for military transport may represent a security risk for the EU and its Member States</w:t>
      </w:r>
      <w:r w:rsidR="00F04504" w:rsidRPr="00665632">
        <w:rPr>
          <w:rFonts w:ascii="Times New Roman" w:hAnsi="Times New Roman" w:cs="Times New Roman"/>
          <w:noProof/>
          <w:lang w:val="en-GB"/>
        </w:rPr>
        <w:t xml:space="preserve">. </w:t>
      </w:r>
      <w:r w:rsidR="00320591" w:rsidRPr="00665632">
        <w:rPr>
          <w:rFonts w:ascii="Times New Roman" w:hAnsi="Times New Roman" w:cs="Times New Roman"/>
          <w:noProof/>
          <w:lang w:val="en-GB"/>
        </w:rPr>
        <w:t>Foreign Direct Investment by third countries in dual-use infrastructure within the EU could pose risks to</w:t>
      </w:r>
      <w:r w:rsidR="00B811DB" w:rsidRPr="00665632">
        <w:rPr>
          <w:rFonts w:ascii="Times New Roman" w:hAnsi="Times New Roman" w:cs="Times New Roman"/>
          <w:noProof/>
          <w:lang w:val="en-GB"/>
        </w:rPr>
        <w:t xml:space="preserve"> its security and </w:t>
      </w:r>
      <w:r w:rsidR="00320591" w:rsidRPr="00665632">
        <w:rPr>
          <w:rFonts w:ascii="Times New Roman" w:hAnsi="Times New Roman" w:cs="Times New Roman"/>
          <w:noProof/>
          <w:lang w:val="en-GB"/>
        </w:rPr>
        <w:t xml:space="preserve">public order. </w:t>
      </w:r>
      <w:r w:rsidR="007F3C1B">
        <w:rPr>
          <w:rFonts w:ascii="Times New Roman" w:hAnsi="Times New Roman" w:cs="Times New Roman"/>
          <w:noProof/>
          <w:lang w:val="en-GB"/>
        </w:rPr>
        <w:t>This is e</w:t>
      </w:r>
      <w:r w:rsidR="00320591" w:rsidRPr="00665632">
        <w:rPr>
          <w:rFonts w:ascii="Times New Roman" w:hAnsi="Times New Roman" w:cs="Times New Roman"/>
          <w:noProof/>
          <w:lang w:val="en-GB"/>
        </w:rPr>
        <w:t>specially</w:t>
      </w:r>
      <w:r w:rsidR="007F3C1B">
        <w:rPr>
          <w:rFonts w:ascii="Times New Roman" w:hAnsi="Times New Roman" w:cs="Times New Roman"/>
          <w:noProof/>
          <w:lang w:val="en-GB"/>
        </w:rPr>
        <w:t xml:space="preserve"> the case</w:t>
      </w:r>
      <w:r w:rsidR="00320591" w:rsidRPr="00665632">
        <w:rPr>
          <w:rFonts w:ascii="Times New Roman" w:hAnsi="Times New Roman" w:cs="Times New Roman"/>
          <w:noProof/>
          <w:lang w:val="en-GB"/>
        </w:rPr>
        <w:t xml:space="preserve"> when third countries </w:t>
      </w:r>
      <w:r w:rsidR="00B811DB" w:rsidRPr="00665632">
        <w:rPr>
          <w:rFonts w:ascii="Times New Roman" w:hAnsi="Times New Roman" w:cs="Times New Roman"/>
          <w:noProof/>
          <w:lang w:val="en-GB"/>
        </w:rPr>
        <w:t>use</w:t>
      </w:r>
      <w:r w:rsidR="00320591" w:rsidRPr="00665632">
        <w:rPr>
          <w:rFonts w:ascii="Times New Roman" w:hAnsi="Times New Roman" w:cs="Times New Roman"/>
          <w:noProof/>
          <w:lang w:val="en-GB"/>
        </w:rPr>
        <w:t xml:space="preserve"> financial measures to negatively impact connectivity, or when sensitive intelligence becomes available for third</w:t>
      </w:r>
      <w:r w:rsidR="00571ACA" w:rsidRPr="00665632">
        <w:rPr>
          <w:rFonts w:ascii="Times New Roman" w:hAnsi="Times New Roman" w:cs="Times New Roman"/>
          <w:noProof/>
          <w:lang w:val="en-GB"/>
        </w:rPr>
        <w:t>-</w:t>
      </w:r>
      <w:r w:rsidR="00320591" w:rsidRPr="00665632">
        <w:rPr>
          <w:rFonts w:ascii="Times New Roman" w:hAnsi="Times New Roman" w:cs="Times New Roman"/>
          <w:noProof/>
          <w:lang w:val="en-GB"/>
        </w:rPr>
        <w:t xml:space="preserve">country investors. A strong overlap between civilian and military infrastructure means additional vulnerability in the context of FDI. </w:t>
      </w:r>
      <w:r w:rsidR="00F04504" w:rsidRPr="00665632">
        <w:rPr>
          <w:rFonts w:ascii="Times New Roman" w:hAnsi="Times New Roman" w:cs="Times New Roman"/>
          <w:noProof/>
          <w:lang w:val="en-GB"/>
        </w:rPr>
        <w:t>S</w:t>
      </w:r>
      <w:r w:rsidRPr="00665632">
        <w:rPr>
          <w:rFonts w:ascii="Times New Roman" w:hAnsi="Times New Roman" w:cs="Times New Roman"/>
          <w:noProof/>
          <w:lang w:val="en-GB"/>
        </w:rPr>
        <w:t xml:space="preserve">uch investments </w:t>
      </w:r>
      <w:r w:rsidR="00DC30C9" w:rsidRPr="00665632">
        <w:rPr>
          <w:rFonts w:ascii="Times New Roman" w:hAnsi="Times New Roman" w:cs="Times New Roman"/>
          <w:noProof/>
          <w:lang w:val="en-GB"/>
        </w:rPr>
        <w:t xml:space="preserve">will </w:t>
      </w:r>
      <w:r w:rsidRPr="00665632">
        <w:rPr>
          <w:rFonts w:ascii="Times New Roman" w:hAnsi="Times New Roman" w:cs="Times New Roman"/>
          <w:noProof/>
          <w:lang w:val="en-GB"/>
        </w:rPr>
        <w:t>be carefully screened in the framework of the FDI Screening Regulation</w:t>
      </w:r>
      <w:r w:rsidRPr="00FD6314">
        <w:rPr>
          <w:rStyle w:val="FootnoteReference"/>
          <w:rFonts w:ascii="Times New Roman" w:hAnsi="Times New Roman" w:cs="Times New Roman"/>
          <w:noProof/>
          <w:lang w:val="en-GB"/>
        </w:rPr>
        <w:footnoteReference w:id="30"/>
      </w:r>
      <w:r w:rsidRPr="00665632">
        <w:rPr>
          <w:rFonts w:ascii="Times New Roman" w:hAnsi="Times New Roman" w:cs="Times New Roman"/>
          <w:noProof/>
          <w:lang w:val="en-GB"/>
        </w:rPr>
        <w:t xml:space="preserve"> and TEN-T</w:t>
      </w:r>
      <w:r w:rsidRPr="00FD6314">
        <w:rPr>
          <w:rStyle w:val="FootnoteReference"/>
          <w:rFonts w:ascii="Times New Roman" w:hAnsi="Times New Roman" w:cs="Times New Roman"/>
          <w:noProof/>
          <w:lang w:val="en-GB"/>
        </w:rPr>
        <w:footnoteReference w:id="31"/>
      </w:r>
      <w:r w:rsidRPr="00665632">
        <w:rPr>
          <w:rFonts w:ascii="Times New Roman" w:hAnsi="Times New Roman" w:cs="Times New Roman"/>
          <w:noProof/>
          <w:lang w:val="en-GB"/>
        </w:rPr>
        <w:t>.</w:t>
      </w:r>
    </w:p>
    <w:p w14:paraId="20E73759" w14:textId="42B09073" w:rsidR="00A32A33" w:rsidRPr="00665632" w:rsidRDefault="003F05EF" w:rsidP="00756DD8">
      <w:pPr>
        <w:pStyle w:val="ListParagraph"/>
        <w:numPr>
          <w:ilvl w:val="1"/>
          <w:numId w:val="10"/>
        </w:numPr>
        <w:spacing w:after="240"/>
        <w:jc w:val="both"/>
        <w:rPr>
          <w:rFonts w:ascii="Times New Roman" w:hAnsi="Times New Roman" w:cs="Times New Roman"/>
          <w:noProof/>
          <w:lang w:val="en-GB"/>
        </w:rPr>
      </w:pPr>
      <w:r>
        <w:rPr>
          <w:rFonts w:ascii="Times New Roman" w:hAnsi="Times New Roman" w:cs="Times New Roman"/>
          <w:noProof/>
          <w:lang w:val="en-GB"/>
        </w:rPr>
        <w:t>T</w:t>
      </w:r>
      <w:r w:rsidR="009E7FEE" w:rsidRPr="00665632">
        <w:rPr>
          <w:rFonts w:ascii="Times New Roman" w:hAnsi="Times New Roman" w:cs="Times New Roman"/>
          <w:noProof/>
          <w:lang w:val="en-GB"/>
        </w:rPr>
        <w:t xml:space="preserve">he impact of climate change </w:t>
      </w:r>
      <w:r w:rsidR="00945224" w:rsidRPr="00665632">
        <w:rPr>
          <w:rFonts w:ascii="Times New Roman" w:hAnsi="Times New Roman" w:cs="Times New Roman"/>
          <w:noProof/>
          <w:lang w:val="en-GB"/>
        </w:rPr>
        <w:t xml:space="preserve">and green energy transition </w:t>
      </w:r>
      <w:r w:rsidR="009E7FEE" w:rsidRPr="00665632">
        <w:rPr>
          <w:rFonts w:ascii="Times New Roman" w:hAnsi="Times New Roman" w:cs="Times New Roman"/>
          <w:noProof/>
          <w:lang w:val="en-GB"/>
        </w:rPr>
        <w:t xml:space="preserve">on </w:t>
      </w:r>
      <w:r w:rsidR="005C34F1" w:rsidRPr="00665632">
        <w:rPr>
          <w:rFonts w:ascii="Times New Roman" w:hAnsi="Times New Roman" w:cs="Times New Roman"/>
          <w:noProof/>
          <w:lang w:val="en-GB"/>
        </w:rPr>
        <w:t xml:space="preserve">the </w:t>
      </w:r>
      <w:r w:rsidR="00A32A33" w:rsidRPr="00665632">
        <w:rPr>
          <w:rFonts w:ascii="Times New Roman" w:hAnsi="Times New Roman" w:cs="Times New Roman"/>
          <w:noProof/>
          <w:lang w:val="en-GB"/>
        </w:rPr>
        <w:t xml:space="preserve">resilience and energy security of </w:t>
      </w:r>
      <w:r w:rsidR="005C34F1" w:rsidRPr="00665632">
        <w:rPr>
          <w:rFonts w:ascii="Times New Roman" w:hAnsi="Times New Roman" w:cs="Times New Roman"/>
          <w:noProof/>
          <w:lang w:val="en-GB"/>
        </w:rPr>
        <w:t xml:space="preserve">EU Member States’ </w:t>
      </w:r>
      <w:r w:rsidR="00A32A33" w:rsidRPr="00665632">
        <w:rPr>
          <w:rFonts w:ascii="Times New Roman" w:hAnsi="Times New Roman" w:cs="Times New Roman"/>
          <w:noProof/>
          <w:lang w:val="en-GB"/>
        </w:rPr>
        <w:t>military transport infrastructure and capabilitie</w:t>
      </w:r>
      <w:r w:rsidR="005C34F1" w:rsidRPr="00665632">
        <w:rPr>
          <w:rFonts w:ascii="Times New Roman" w:hAnsi="Times New Roman" w:cs="Times New Roman"/>
          <w:noProof/>
          <w:lang w:val="en-GB"/>
        </w:rPr>
        <w:t>s</w:t>
      </w:r>
      <w:r w:rsidR="00A32A33" w:rsidRPr="00665632">
        <w:rPr>
          <w:rFonts w:ascii="Times New Roman" w:hAnsi="Times New Roman" w:cs="Times New Roman"/>
          <w:noProof/>
          <w:lang w:val="en-GB"/>
        </w:rPr>
        <w:t>. Rising sea levels and more extreme weather events add new requirements to military installations while reducing dependency on fossil fuels in military transport also has implications for the security and availability of renewable energy sources and related technologies</w:t>
      </w:r>
      <w:r w:rsidR="00873DAD" w:rsidRPr="00FD6314">
        <w:rPr>
          <w:rStyle w:val="FootnoteReference"/>
          <w:rFonts w:ascii="Times New Roman" w:hAnsi="Times New Roman" w:cs="Times New Roman"/>
          <w:noProof/>
          <w:lang w:val="en-GB"/>
        </w:rPr>
        <w:footnoteReference w:id="32"/>
      </w:r>
      <w:r w:rsidR="00A32A33" w:rsidRPr="00665632">
        <w:rPr>
          <w:rFonts w:ascii="Times New Roman" w:hAnsi="Times New Roman" w:cs="Times New Roman"/>
          <w:noProof/>
          <w:lang w:val="en-GB"/>
        </w:rPr>
        <w:t>.</w:t>
      </w:r>
      <w:r w:rsidR="00DC30C9" w:rsidRPr="00665632">
        <w:rPr>
          <w:rFonts w:ascii="Times New Roman" w:hAnsi="Times New Roman" w:cs="Times New Roman"/>
          <w:noProof/>
          <w:lang w:val="en-GB"/>
        </w:rPr>
        <w:t xml:space="preserve"> </w:t>
      </w:r>
      <w:r w:rsidR="00DC30C9" w:rsidRPr="00665632">
        <w:rPr>
          <w:rFonts w:ascii="Times New Roman" w:hAnsi="Times New Roman" w:cs="Times New Roman"/>
          <w:noProof/>
        </w:rPr>
        <w:t>This work will draw on relevant results of the Consultation Forum for Sustainable Energy in the Defence and Security Sector (CF SEDSS), including research studies on climate change adaptability and hybrid threats</w:t>
      </w:r>
      <w:r w:rsidR="007F3C1B">
        <w:rPr>
          <w:rFonts w:ascii="Times New Roman" w:hAnsi="Times New Roman" w:cs="Times New Roman"/>
          <w:noProof/>
        </w:rPr>
        <w:t>’</w:t>
      </w:r>
      <w:r w:rsidR="00DC30C9" w:rsidRPr="00665632">
        <w:rPr>
          <w:rFonts w:ascii="Times New Roman" w:hAnsi="Times New Roman" w:cs="Times New Roman"/>
          <w:noProof/>
        </w:rPr>
        <w:t xml:space="preserve"> impact on defence, and </w:t>
      </w:r>
      <w:r w:rsidR="007F3C1B">
        <w:rPr>
          <w:rFonts w:ascii="Times New Roman" w:hAnsi="Times New Roman" w:cs="Times New Roman"/>
          <w:noProof/>
        </w:rPr>
        <w:t xml:space="preserve">will </w:t>
      </w:r>
      <w:r w:rsidR="00DC30C9" w:rsidRPr="00665632">
        <w:rPr>
          <w:rFonts w:ascii="Times New Roman" w:hAnsi="Times New Roman" w:cs="Times New Roman"/>
          <w:noProof/>
        </w:rPr>
        <w:t>identify opportunities for using renewables in military transport, e.g. hydrogen.</w:t>
      </w:r>
    </w:p>
    <w:p w14:paraId="61432207" w14:textId="52D6CE77" w:rsidR="009B5045" w:rsidRPr="00E6071F" w:rsidRDefault="00FA0E91" w:rsidP="009B5045">
      <w:pPr>
        <w:spacing w:after="240" w:line="240" w:lineRule="auto"/>
        <w:jc w:val="both"/>
        <w:rPr>
          <w:rFonts w:ascii="Times New Roman" w:eastAsia="Times New Roman" w:hAnsi="Times New Roman" w:cs="Times New Roman"/>
          <w:noProof/>
          <w:lang w:val="en-GB"/>
        </w:rPr>
      </w:pPr>
      <w:r w:rsidRPr="00344F24">
        <w:rPr>
          <w:rFonts w:ascii="Times New Roman" w:hAnsi="Times New Roman" w:cs="Times New Roman"/>
          <w:noProof/>
          <w:lang w:val="en-GB"/>
        </w:rPr>
        <w:t xml:space="preserve">Resilience can also be enhanced by exploring the possibilities </w:t>
      </w:r>
      <w:r w:rsidRPr="00060E79">
        <w:rPr>
          <w:rFonts w:ascii="Times New Roman" w:eastAsia="Times New Roman" w:hAnsi="Times New Roman" w:cs="Times New Roman"/>
          <w:noProof/>
          <w:lang w:val="en-GB"/>
        </w:rPr>
        <w:t xml:space="preserve">for civil and military configurations of aircraft models to mutually recognise their spare parts. Currently, </w:t>
      </w:r>
      <w:r w:rsidR="005C34F1">
        <w:rPr>
          <w:rFonts w:ascii="Times New Roman" w:eastAsia="Times New Roman" w:hAnsi="Times New Roman" w:cs="Times New Roman"/>
          <w:noProof/>
          <w:lang w:val="en-GB"/>
        </w:rPr>
        <w:t xml:space="preserve">the </w:t>
      </w:r>
      <w:r w:rsidRPr="00060E79">
        <w:rPr>
          <w:rFonts w:ascii="Times New Roman" w:eastAsia="Times New Roman" w:hAnsi="Times New Roman" w:cs="Times New Roman"/>
          <w:noProof/>
          <w:lang w:val="en-GB"/>
        </w:rPr>
        <w:t>E</w:t>
      </w:r>
      <w:r w:rsidR="00B3046A">
        <w:rPr>
          <w:rFonts w:ascii="Times New Roman" w:eastAsia="Times New Roman" w:hAnsi="Times New Roman" w:cs="Times New Roman"/>
          <w:noProof/>
          <w:lang w:val="en-GB"/>
        </w:rPr>
        <w:t xml:space="preserve">uropean Union </w:t>
      </w:r>
      <w:r w:rsidRPr="00060E79">
        <w:rPr>
          <w:rFonts w:ascii="Times New Roman" w:eastAsia="Times New Roman" w:hAnsi="Times New Roman" w:cs="Times New Roman"/>
          <w:noProof/>
          <w:lang w:val="en-GB"/>
        </w:rPr>
        <w:t>A</w:t>
      </w:r>
      <w:r w:rsidR="00B3046A">
        <w:rPr>
          <w:rFonts w:ascii="Times New Roman" w:eastAsia="Times New Roman" w:hAnsi="Times New Roman" w:cs="Times New Roman"/>
          <w:noProof/>
          <w:lang w:val="en-GB"/>
        </w:rPr>
        <w:t xml:space="preserve">viation </w:t>
      </w:r>
      <w:r w:rsidRPr="00060E79">
        <w:rPr>
          <w:rFonts w:ascii="Times New Roman" w:eastAsia="Times New Roman" w:hAnsi="Times New Roman" w:cs="Times New Roman"/>
          <w:noProof/>
          <w:lang w:val="en-GB"/>
        </w:rPr>
        <w:t>S</w:t>
      </w:r>
      <w:r w:rsidR="00B3046A">
        <w:rPr>
          <w:rFonts w:ascii="Times New Roman" w:eastAsia="Times New Roman" w:hAnsi="Times New Roman" w:cs="Times New Roman"/>
          <w:noProof/>
          <w:lang w:val="en-GB"/>
        </w:rPr>
        <w:t xml:space="preserve">afety </w:t>
      </w:r>
      <w:r w:rsidRPr="00060E79">
        <w:rPr>
          <w:rFonts w:ascii="Times New Roman" w:eastAsia="Times New Roman" w:hAnsi="Times New Roman" w:cs="Times New Roman"/>
          <w:noProof/>
          <w:lang w:val="en-GB"/>
        </w:rPr>
        <w:t>A</w:t>
      </w:r>
      <w:r w:rsidR="00B3046A">
        <w:rPr>
          <w:rFonts w:ascii="Times New Roman" w:eastAsia="Times New Roman" w:hAnsi="Times New Roman" w:cs="Times New Roman"/>
          <w:noProof/>
          <w:lang w:val="en-GB"/>
        </w:rPr>
        <w:t>gency</w:t>
      </w:r>
      <w:r w:rsidRPr="00060E79">
        <w:rPr>
          <w:rFonts w:ascii="Times New Roman" w:eastAsia="Times New Roman" w:hAnsi="Times New Roman" w:cs="Times New Roman"/>
          <w:noProof/>
          <w:lang w:val="en-GB"/>
        </w:rPr>
        <w:t xml:space="preserve"> </w:t>
      </w:r>
      <w:r w:rsidR="005C34F1">
        <w:rPr>
          <w:rFonts w:ascii="Times New Roman" w:eastAsia="Times New Roman" w:hAnsi="Times New Roman" w:cs="Times New Roman"/>
          <w:noProof/>
          <w:lang w:val="en-GB"/>
        </w:rPr>
        <w:t xml:space="preserve">(EASA) </w:t>
      </w:r>
      <w:r w:rsidRPr="00060E79">
        <w:rPr>
          <w:rFonts w:ascii="Times New Roman" w:eastAsia="Times New Roman" w:hAnsi="Times New Roman" w:cs="Times New Roman"/>
          <w:noProof/>
          <w:lang w:val="en-GB"/>
        </w:rPr>
        <w:t>certifies civilian aircraft and their components used for maintenance and repairs</w:t>
      </w:r>
      <w:r w:rsidR="007F3C1B">
        <w:rPr>
          <w:rFonts w:ascii="Times New Roman" w:eastAsia="Times New Roman" w:hAnsi="Times New Roman" w:cs="Times New Roman"/>
          <w:noProof/>
          <w:lang w:val="en-GB"/>
        </w:rPr>
        <w:t>,</w:t>
      </w:r>
      <w:r w:rsidRPr="00060E79">
        <w:rPr>
          <w:rFonts w:ascii="Times New Roman" w:eastAsia="Times New Roman" w:hAnsi="Times New Roman" w:cs="Times New Roman"/>
          <w:noProof/>
          <w:lang w:val="en-GB"/>
        </w:rPr>
        <w:t xml:space="preserve"> while military aircraft and components are certified by the Member States for national security reasons. </w:t>
      </w:r>
      <w:r w:rsidR="005C34F1">
        <w:rPr>
          <w:rFonts w:ascii="Times New Roman" w:eastAsia="Times New Roman" w:hAnsi="Times New Roman" w:cs="Times New Roman"/>
          <w:noProof/>
          <w:lang w:val="en-GB"/>
        </w:rPr>
        <w:t>This</w:t>
      </w:r>
      <w:r w:rsidR="00B001C2" w:rsidRPr="00060E79">
        <w:rPr>
          <w:rFonts w:ascii="Times New Roman" w:eastAsia="Times New Roman" w:hAnsi="Times New Roman" w:cs="Times New Roman"/>
          <w:noProof/>
          <w:lang w:val="en-GB"/>
        </w:rPr>
        <w:t xml:space="preserve"> </w:t>
      </w:r>
      <w:r w:rsidRPr="00060E79">
        <w:rPr>
          <w:rFonts w:ascii="Times New Roman" w:eastAsia="Times New Roman" w:hAnsi="Times New Roman" w:cs="Times New Roman"/>
          <w:noProof/>
          <w:lang w:val="en-GB"/>
        </w:rPr>
        <w:t xml:space="preserve">approach causes duplication:  military aircraft </w:t>
      </w:r>
      <w:r w:rsidR="00012863" w:rsidRPr="009310E8">
        <w:rPr>
          <w:rFonts w:ascii="Times New Roman" w:eastAsia="Times New Roman" w:hAnsi="Times New Roman" w:cs="Times New Roman"/>
          <w:noProof/>
          <w:lang w:val="en-GB"/>
        </w:rPr>
        <w:t xml:space="preserve">should be able to </w:t>
      </w:r>
      <w:r w:rsidR="007A0283" w:rsidRPr="009310E8">
        <w:rPr>
          <w:rFonts w:ascii="Times New Roman" w:eastAsia="Times New Roman" w:hAnsi="Times New Roman" w:cs="Times New Roman"/>
          <w:noProof/>
          <w:lang w:val="en-GB"/>
        </w:rPr>
        <w:t xml:space="preserve">exchange their </w:t>
      </w:r>
      <w:r w:rsidRPr="009310E8">
        <w:rPr>
          <w:rFonts w:ascii="Times New Roman" w:eastAsia="Times New Roman" w:hAnsi="Times New Roman" w:cs="Times New Roman"/>
          <w:noProof/>
          <w:lang w:val="en-GB"/>
        </w:rPr>
        <w:t xml:space="preserve">spare parts </w:t>
      </w:r>
      <w:r w:rsidR="007A0283" w:rsidRPr="009310E8">
        <w:rPr>
          <w:rFonts w:ascii="Times New Roman" w:eastAsia="Times New Roman" w:hAnsi="Times New Roman" w:cs="Times New Roman"/>
          <w:noProof/>
          <w:lang w:val="en-GB"/>
        </w:rPr>
        <w:t xml:space="preserve">with those </w:t>
      </w:r>
      <w:r w:rsidRPr="009310E8">
        <w:rPr>
          <w:rFonts w:ascii="Times New Roman" w:eastAsia="Times New Roman" w:hAnsi="Times New Roman" w:cs="Times New Roman"/>
          <w:noProof/>
          <w:lang w:val="en-GB"/>
        </w:rPr>
        <w:t xml:space="preserve">certified for civilian use if </w:t>
      </w:r>
      <w:r w:rsidR="007A0283" w:rsidRPr="00E6071F">
        <w:rPr>
          <w:rFonts w:ascii="Times New Roman" w:eastAsia="Times New Roman" w:hAnsi="Times New Roman" w:cs="Times New Roman"/>
          <w:noProof/>
          <w:lang w:val="en-GB"/>
        </w:rPr>
        <w:t xml:space="preserve">they </w:t>
      </w:r>
      <w:r w:rsidRPr="00E6071F">
        <w:rPr>
          <w:rFonts w:ascii="Times New Roman" w:eastAsia="Times New Roman" w:hAnsi="Times New Roman" w:cs="Times New Roman"/>
          <w:noProof/>
          <w:lang w:val="en-GB"/>
        </w:rPr>
        <w:t xml:space="preserve">are identical. Without changing the competences of EASA or the Member States, a new mechanism could be envisaged to simplify the procedures of aircraft certification and maintenance by allowing components and parts certified by EASA </w:t>
      </w:r>
      <w:r w:rsidR="0022229A" w:rsidRPr="00E6071F">
        <w:rPr>
          <w:rFonts w:ascii="Times New Roman" w:eastAsia="Times New Roman" w:hAnsi="Times New Roman" w:cs="Times New Roman"/>
          <w:noProof/>
          <w:lang w:val="en-GB"/>
        </w:rPr>
        <w:t>to be pooled for joint usage by military and civilian operators</w:t>
      </w:r>
      <w:r w:rsidR="0022229A" w:rsidRPr="00FD6314">
        <w:rPr>
          <w:rFonts w:ascii="Times New Roman" w:eastAsia="Times New Roman" w:hAnsi="Times New Roman" w:cs="Times New Roman"/>
          <w:noProof/>
          <w:lang w:val="en-GB"/>
        </w:rPr>
        <w:t xml:space="preserve">, </w:t>
      </w:r>
      <w:r w:rsidRPr="00060E79">
        <w:rPr>
          <w:rFonts w:ascii="Times New Roman" w:eastAsia="Times New Roman" w:hAnsi="Times New Roman" w:cs="Times New Roman"/>
          <w:noProof/>
          <w:lang w:val="en-GB"/>
        </w:rPr>
        <w:t>thus significantly reducing the costs of military aircraft maintenance while simultaneously increasing flight safety.</w:t>
      </w:r>
      <w:r w:rsidR="00B811DB" w:rsidRPr="00E6071F">
        <w:rPr>
          <w:rFonts w:ascii="Times New Roman" w:eastAsia="Times New Roman" w:hAnsi="Times New Roman" w:cs="Times New Roman"/>
          <w:noProof/>
          <w:lang w:val="en-GB"/>
        </w:rPr>
        <w:t xml:space="preserve"> </w:t>
      </w:r>
      <w:r w:rsidR="00A72FCA">
        <w:rPr>
          <w:rFonts w:ascii="Times New Roman" w:eastAsia="Times New Roman" w:hAnsi="Times New Roman" w:cs="Times New Roman"/>
          <w:noProof/>
          <w:lang w:val="en-GB"/>
        </w:rPr>
        <w:t>A</w:t>
      </w:r>
      <w:r w:rsidR="00B811DB" w:rsidRPr="00E6071F">
        <w:rPr>
          <w:rFonts w:ascii="Times New Roman" w:eastAsia="Times New Roman" w:hAnsi="Times New Roman" w:cs="Times New Roman"/>
          <w:noProof/>
          <w:lang w:val="en-GB"/>
        </w:rPr>
        <w:t xml:space="preserve"> pilot study</w:t>
      </w:r>
      <w:r w:rsidR="005C34F1">
        <w:rPr>
          <w:rFonts w:ascii="Times New Roman" w:eastAsia="Times New Roman" w:hAnsi="Times New Roman" w:cs="Times New Roman"/>
          <w:noProof/>
          <w:lang w:val="en-GB"/>
        </w:rPr>
        <w:t xml:space="preserve"> </w:t>
      </w:r>
      <w:r w:rsidR="00A72FCA">
        <w:rPr>
          <w:rFonts w:ascii="Times New Roman" w:eastAsia="Times New Roman" w:hAnsi="Times New Roman" w:cs="Times New Roman"/>
          <w:noProof/>
          <w:lang w:val="en-GB"/>
        </w:rPr>
        <w:t xml:space="preserve">should be launched to </w:t>
      </w:r>
      <w:r w:rsidR="005C34F1">
        <w:rPr>
          <w:rFonts w:ascii="Times New Roman" w:eastAsia="Times New Roman" w:hAnsi="Times New Roman" w:cs="Times New Roman"/>
          <w:noProof/>
          <w:lang w:val="en-GB"/>
        </w:rPr>
        <w:t>identif</w:t>
      </w:r>
      <w:r w:rsidR="00A72FCA">
        <w:rPr>
          <w:rFonts w:ascii="Times New Roman" w:eastAsia="Times New Roman" w:hAnsi="Times New Roman" w:cs="Times New Roman"/>
          <w:noProof/>
          <w:lang w:val="en-GB"/>
        </w:rPr>
        <w:t>y</w:t>
      </w:r>
      <w:r w:rsidR="00B811DB" w:rsidRPr="00E6071F">
        <w:rPr>
          <w:rFonts w:ascii="Times New Roman" w:eastAsia="Times New Roman" w:hAnsi="Times New Roman" w:cs="Times New Roman"/>
          <w:noProof/>
          <w:lang w:val="en-GB"/>
        </w:rPr>
        <w:t xml:space="preserve"> synergies</w:t>
      </w:r>
      <w:r w:rsidR="00A72FCA">
        <w:rPr>
          <w:rFonts w:ascii="Times New Roman" w:eastAsia="Times New Roman" w:hAnsi="Times New Roman" w:cs="Times New Roman"/>
          <w:noProof/>
          <w:lang w:val="en-GB"/>
        </w:rPr>
        <w:t xml:space="preserve"> between the two certification mechanisms</w:t>
      </w:r>
      <w:r w:rsidR="003E7B29">
        <w:rPr>
          <w:rFonts w:ascii="Times New Roman" w:eastAsia="Times New Roman" w:hAnsi="Times New Roman" w:cs="Times New Roman"/>
          <w:noProof/>
          <w:lang w:val="en-GB"/>
        </w:rPr>
        <w:t>.</w:t>
      </w:r>
      <w:r w:rsidR="000C5C88" w:rsidRPr="00FD6314">
        <w:rPr>
          <w:rFonts w:ascii="Times New Roman" w:eastAsia="Times New Roman" w:hAnsi="Times New Roman" w:cs="Times New Roman"/>
          <w:noProof/>
          <w:lang w:val="en-GB"/>
        </w:rPr>
        <w:t xml:space="preserve"> </w:t>
      </w:r>
      <w:r w:rsidR="0022229A" w:rsidRPr="00E6071F">
        <w:rPr>
          <w:rFonts w:ascii="Times New Roman" w:eastAsia="Times New Roman" w:hAnsi="Times New Roman" w:cs="Times New Roman"/>
          <w:noProof/>
          <w:lang w:val="en-GB"/>
        </w:rPr>
        <w:t xml:space="preserve">In addition, operations in the air domain heavily rely on the effective exchange and sharing of digital data among relevant civil and military stakeholders and operators. </w:t>
      </w:r>
    </w:p>
    <w:p w14:paraId="677D586F" w14:textId="77777777" w:rsidR="0078122B" w:rsidRDefault="009B5045" w:rsidP="007A0283">
      <w:pPr>
        <w:spacing w:after="240" w:line="240" w:lineRule="auto"/>
        <w:jc w:val="both"/>
        <w:rPr>
          <w:rFonts w:ascii="Times New Roman" w:eastAsia="Times New Roman" w:hAnsi="Times New Roman" w:cs="Times New Roman"/>
          <w:noProof/>
          <w:lang w:val="en-GB"/>
        </w:rPr>
      </w:pPr>
      <w:r w:rsidRPr="003E7B29">
        <w:rPr>
          <w:rFonts w:ascii="Times New Roman" w:eastAsia="Times New Roman" w:hAnsi="Times New Roman" w:cs="Times New Roman"/>
          <w:noProof/>
          <w:lang w:val="en-GB"/>
        </w:rPr>
        <w:t>This calls for a joint civil-military endeavour to ensure a resilient and robust data sharing network with a high level of cybersecurity</w:t>
      </w:r>
      <w:r w:rsidR="0078122B" w:rsidRPr="003E7B29">
        <w:rPr>
          <w:rFonts w:ascii="Times New Roman" w:eastAsia="Times New Roman" w:hAnsi="Times New Roman" w:cs="Times New Roman"/>
          <w:noProof/>
          <w:lang w:val="en-GB"/>
        </w:rPr>
        <w:t>.</w:t>
      </w:r>
    </w:p>
    <w:p w14:paraId="491D3AB9" w14:textId="77777777" w:rsidR="00294077" w:rsidRPr="00060E79" w:rsidRDefault="004D32BB" w:rsidP="00A725CE">
      <w:pPr>
        <w:spacing w:after="240" w:line="240" w:lineRule="auto"/>
        <w:jc w:val="both"/>
        <w:rPr>
          <w:rFonts w:ascii="Times New Roman" w:hAnsi="Times New Roman" w:cs="Times New Roman"/>
          <w:b/>
          <w:i/>
          <w:noProof/>
          <w:lang w:val="en-GB"/>
        </w:rPr>
      </w:pPr>
      <w:r>
        <w:rPr>
          <w:rFonts w:ascii="Times New Roman" w:hAnsi="Times New Roman" w:cs="Times New Roman"/>
          <w:b/>
          <w:i/>
          <w:noProof/>
          <w:lang w:val="en-GB"/>
        </w:rPr>
        <w:t>3.3.</w:t>
      </w:r>
      <w:r w:rsidR="00294077" w:rsidRPr="00344F24">
        <w:rPr>
          <w:rFonts w:ascii="Times New Roman" w:hAnsi="Times New Roman" w:cs="Times New Roman"/>
          <w:b/>
          <w:i/>
          <w:noProof/>
          <w:lang w:val="en-GB"/>
        </w:rPr>
        <w:t xml:space="preserve">4. </w:t>
      </w:r>
      <w:r>
        <w:rPr>
          <w:rFonts w:ascii="Times New Roman" w:hAnsi="Times New Roman" w:cs="Times New Roman"/>
          <w:b/>
          <w:i/>
          <w:noProof/>
          <w:lang w:val="en-GB"/>
        </w:rPr>
        <w:t xml:space="preserve">Space-based solutions </w:t>
      </w:r>
      <w:r w:rsidR="00294077" w:rsidRPr="00344F24">
        <w:rPr>
          <w:rFonts w:ascii="Times New Roman" w:hAnsi="Times New Roman" w:cs="Times New Roman"/>
          <w:b/>
          <w:i/>
          <w:noProof/>
          <w:lang w:val="en-GB"/>
        </w:rPr>
        <w:t xml:space="preserve">for </w:t>
      </w:r>
      <w:r w:rsidR="007B04E7" w:rsidRPr="00060E79">
        <w:rPr>
          <w:rFonts w:ascii="Times New Roman" w:hAnsi="Times New Roman" w:cs="Times New Roman"/>
          <w:b/>
          <w:i/>
          <w:noProof/>
          <w:lang w:val="en-GB"/>
        </w:rPr>
        <w:t>m</w:t>
      </w:r>
      <w:r w:rsidR="00294077" w:rsidRPr="00060E79">
        <w:rPr>
          <w:rFonts w:ascii="Times New Roman" w:hAnsi="Times New Roman" w:cs="Times New Roman"/>
          <w:b/>
          <w:i/>
          <w:noProof/>
          <w:lang w:val="en-GB"/>
        </w:rPr>
        <w:t xml:space="preserve">ilitary </w:t>
      </w:r>
      <w:r w:rsidR="007B04E7" w:rsidRPr="00060E79">
        <w:rPr>
          <w:rFonts w:ascii="Times New Roman" w:hAnsi="Times New Roman" w:cs="Times New Roman"/>
          <w:b/>
          <w:i/>
          <w:noProof/>
          <w:lang w:val="en-GB"/>
        </w:rPr>
        <w:t>m</w:t>
      </w:r>
      <w:r w:rsidR="00294077" w:rsidRPr="00060E79">
        <w:rPr>
          <w:rFonts w:ascii="Times New Roman" w:hAnsi="Times New Roman" w:cs="Times New Roman"/>
          <w:b/>
          <w:i/>
          <w:noProof/>
          <w:lang w:val="en-GB"/>
        </w:rPr>
        <w:t>obility</w:t>
      </w:r>
    </w:p>
    <w:p w14:paraId="01629E9B" w14:textId="77777777" w:rsidR="00BB1754" w:rsidRPr="009310E8" w:rsidRDefault="00524370" w:rsidP="00BB1754">
      <w:pPr>
        <w:spacing w:after="240" w:line="240" w:lineRule="auto"/>
        <w:jc w:val="both"/>
        <w:rPr>
          <w:rFonts w:ascii="Times New Roman" w:hAnsi="Times New Roman" w:cs="Times New Roman"/>
          <w:noProof/>
          <w:lang w:val="en-GB"/>
        </w:rPr>
      </w:pPr>
      <w:r>
        <w:rPr>
          <w:rFonts w:ascii="Times New Roman" w:hAnsi="Times New Roman" w:cs="Times New Roman"/>
          <w:noProof/>
          <w:lang w:val="en-GB"/>
        </w:rPr>
        <w:t>The current and future space-based navigation (Galileo/EGNOS)</w:t>
      </w:r>
      <w:r w:rsidR="00B3046A">
        <w:rPr>
          <w:rFonts w:ascii="Times New Roman" w:hAnsi="Times New Roman" w:cs="Times New Roman"/>
          <w:noProof/>
          <w:lang w:val="en-GB"/>
        </w:rPr>
        <w:t xml:space="preserve"> secured communication and Earth Observation (Copernicus) have the </w:t>
      </w:r>
      <w:r w:rsidR="00BB1754">
        <w:rPr>
          <w:rFonts w:ascii="Times New Roman" w:hAnsi="Times New Roman" w:cs="Times New Roman"/>
          <w:noProof/>
          <w:lang w:val="en-GB"/>
        </w:rPr>
        <w:t>potential</w:t>
      </w:r>
      <w:r w:rsidR="00B3046A">
        <w:rPr>
          <w:rFonts w:ascii="Times New Roman" w:hAnsi="Times New Roman" w:cs="Times New Roman"/>
          <w:noProof/>
          <w:lang w:val="en-GB"/>
        </w:rPr>
        <w:t xml:space="preserve"> to significantly benefit military mobility.</w:t>
      </w:r>
      <w:r w:rsidR="001A7BAA">
        <w:rPr>
          <w:rFonts w:ascii="Times New Roman" w:hAnsi="Times New Roman" w:cs="Times New Roman"/>
          <w:noProof/>
          <w:lang w:val="en-GB"/>
        </w:rPr>
        <w:t xml:space="preserve"> </w:t>
      </w:r>
      <w:r w:rsidR="00BB1754">
        <w:rPr>
          <w:rFonts w:ascii="Times New Roman" w:hAnsi="Times New Roman" w:cs="Times New Roman"/>
          <w:noProof/>
          <w:lang w:val="en-GB"/>
        </w:rPr>
        <w:t>We should</w:t>
      </w:r>
      <w:r w:rsidR="00BB1754" w:rsidRPr="00060E79">
        <w:rPr>
          <w:rFonts w:ascii="Times New Roman" w:hAnsi="Times New Roman" w:cs="Times New Roman"/>
          <w:noProof/>
          <w:lang w:val="en-GB"/>
        </w:rPr>
        <w:t xml:space="preserve"> assess how</w:t>
      </w:r>
      <w:r w:rsidR="00BB1754">
        <w:rPr>
          <w:rFonts w:ascii="Times New Roman" w:hAnsi="Times New Roman" w:cs="Times New Roman"/>
          <w:noProof/>
          <w:lang w:val="en-GB"/>
        </w:rPr>
        <w:t xml:space="preserve"> to harness this potential. </w:t>
      </w:r>
      <w:r w:rsidR="00BB1754" w:rsidRPr="00060E79">
        <w:rPr>
          <w:rFonts w:ascii="Times New Roman" w:hAnsi="Times New Roman" w:cs="Times New Roman"/>
          <w:noProof/>
          <w:lang w:val="en-GB"/>
        </w:rPr>
        <w:t xml:space="preserve"> </w:t>
      </w:r>
    </w:p>
    <w:p w14:paraId="3F6B5A27" w14:textId="77777777" w:rsidR="00A725CE" w:rsidRPr="009310E8" w:rsidRDefault="00A725CE" w:rsidP="003B2459">
      <w:pPr>
        <w:spacing w:after="240" w:line="240" w:lineRule="auto"/>
        <w:jc w:val="both"/>
        <w:rPr>
          <w:rFonts w:ascii="Times New Roman" w:hAnsi="Times New Roman" w:cs="Times New Roman"/>
          <w:noProof/>
          <w:lang w:val="en-GB"/>
        </w:rPr>
      </w:pPr>
      <w:r w:rsidRPr="009310E8">
        <w:rPr>
          <w:rFonts w:ascii="Times New Roman" w:hAnsi="Times New Roman" w:cs="Times New Roman"/>
          <w:noProof/>
          <w:lang w:val="en-GB"/>
        </w:rPr>
        <w:t xml:space="preserve">The Public Regulated Service </w:t>
      </w:r>
      <w:r w:rsidR="005454B0" w:rsidRPr="009310E8">
        <w:rPr>
          <w:rFonts w:ascii="Times New Roman" w:hAnsi="Times New Roman" w:cs="Times New Roman"/>
          <w:noProof/>
          <w:lang w:val="en-GB"/>
        </w:rPr>
        <w:t xml:space="preserve">(PRS) </w:t>
      </w:r>
      <w:r w:rsidRPr="009310E8">
        <w:rPr>
          <w:rFonts w:ascii="Times New Roman" w:hAnsi="Times New Roman" w:cs="Times New Roman"/>
          <w:noProof/>
          <w:lang w:val="en-GB"/>
        </w:rPr>
        <w:t xml:space="preserve">is the most secure Galileo navigation service suitable for governmental applications </w:t>
      </w:r>
      <w:r w:rsidR="00060E79">
        <w:rPr>
          <w:rFonts w:ascii="Times New Roman" w:hAnsi="Times New Roman" w:cs="Times New Roman"/>
          <w:noProof/>
          <w:lang w:val="en-GB"/>
        </w:rPr>
        <w:t>that must be</w:t>
      </w:r>
      <w:r w:rsidRPr="00060E79">
        <w:rPr>
          <w:rFonts w:ascii="Times New Roman" w:hAnsi="Times New Roman" w:cs="Times New Roman"/>
          <w:noProof/>
          <w:lang w:val="en-GB"/>
        </w:rPr>
        <w:t xml:space="preserve"> reliab</w:t>
      </w:r>
      <w:r w:rsidR="00060E79">
        <w:rPr>
          <w:rFonts w:ascii="Times New Roman" w:hAnsi="Times New Roman" w:cs="Times New Roman"/>
          <w:noProof/>
          <w:lang w:val="en-GB"/>
        </w:rPr>
        <w:t xml:space="preserve">le </w:t>
      </w:r>
      <w:r w:rsidRPr="00060E79">
        <w:rPr>
          <w:rFonts w:ascii="Times New Roman" w:hAnsi="Times New Roman" w:cs="Times New Roman"/>
          <w:noProof/>
          <w:lang w:val="en-GB"/>
        </w:rPr>
        <w:t>even under crisis situations</w:t>
      </w:r>
      <w:r w:rsidR="007F3C1B">
        <w:rPr>
          <w:rFonts w:ascii="Times New Roman" w:hAnsi="Times New Roman" w:cs="Times New Roman"/>
          <w:noProof/>
          <w:lang w:val="en-GB"/>
        </w:rPr>
        <w:t>,</w:t>
      </w:r>
      <w:r w:rsidRPr="00060E79">
        <w:rPr>
          <w:rFonts w:ascii="Times New Roman" w:hAnsi="Times New Roman" w:cs="Times New Roman"/>
          <w:noProof/>
          <w:lang w:val="en-GB"/>
        </w:rPr>
        <w:t xml:space="preserve"> equivalent to the GPS M-Code. Galileo PRS could bring direct benefits </w:t>
      </w:r>
      <w:r w:rsidR="0022229A" w:rsidRPr="00060E79">
        <w:rPr>
          <w:rFonts w:ascii="Times New Roman" w:hAnsi="Times New Roman" w:cs="Times New Roman"/>
          <w:noProof/>
          <w:lang w:val="en-GB"/>
        </w:rPr>
        <w:t xml:space="preserve">to </w:t>
      </w:r>
      <w:r w:rsidRPr="00060E79">
        <w:rPr>
          <w:rFonts w:ascii="Times New Roman" w:hAnsi="Times New Roman" w:cs="Times New Roman"/>
          <w:noProof/>
          <w:lang w:val="en-GB"/>
        </w:rPr>
        <w:t>military mobility by providing uninterrupted secure and accurate Position Navigation and Timing information in contested environments</w:t>
      </w:r>
      <w:r w:rsidR="0022229A" w:rsidRPr="00060E79">
        <w:rPr>
          <w:rFonts w:ascii="Times New Roman" w:hAnsi="Times New Roman" w:cs="Times New Roman"/>
          <w:noProof/>
          <w:lang w:val="en-GB"/>
        </w:rPr>
        <w:t>,</w:t>
      </w:r>
      <w:r w:rsidRPr="00060E79">
        <w:rPr>
          <w:rFonts w:ascii="Times New Roman" w:hAnsi="Times New Roman" w:cs="Times New Roman"/>
          <w:noProof/>
          <w:lang w:val="en-GB"/>
        </w:rPr>
        <w:t xml:space="preserve"> fulfilling critical operational needs in the theatre of operations, </w:t>
      </w:r>
      <w:r w:rsidR="0022229A" w:rsidRPr="00060E79">
        <w:rPr>
          <w:rFonts w:ascii="Times New Roman" w:hAnsi="Times New Roman" w:cs="Times New Roman"/>
          <w:noProof/>
          <w:lang w:val="en-GB"/>
        </w:rPr>
        <w:t xml:space="preserve">and contributing to </w:t>
      </w:r>
      <w:r w:rsidRPr="009310E8">
        <w:rPr>
          <w:rFonts w:ascii="Times New Roman" w:hAnsi="Times New Roman" w:cs="Times New Roman"/>
          <w:noProof/>
          <w:lang w:val="en-GB"/>
        </w:rPr>
        <w:t>informed decision</w:t>
      </w:r>
      <w:r w:rsidR="00FE7615" w:rsidRPr="009310E8">
        <w:rPr>
          <w:rFonts w:ascii="Times New Roman" w:hAnsi="Times New Roman" w:cs="Times New Roman"/>
          <w:noProof/>
          <w:lang w:val="en-GB"/>
        </w:rPr>
        <w:t>-</w:t>
      </w:r>
      <w:r w:rsidRPr="009310E8">
        <w:rPr>
          <w:rFonts w:ascii="Times New Roman" w:hAnsi="Times New Roman" w:cs="Times New Roman"/>
          <w:noProof/>
          <w:lang w:val="en-GB"/>
        </w:rPr>
        <w:t>making and command and control</w:t>
      </w:r>
      <w:r w:rsidR="00EA3EEF" w:rsidRPr="009310E8">
        <w:rPr>
          <w:rFonts w:ascii="Times New Roman" w:hAnsi="Times New Roman" w:cs="Times New Roman"/>
          <w:noProof/>
          <w:lang w:val="en-GB"/>
        </w:rPr>
        <w:t>.</w:t>
      </w:r>
    </w:p>
    <w:p w14:paraId="146E6CB4" w14:textId="77777777" w:rsidR="00A725CE" w:rsidRPr="00060E79" w:rsidRDefault="004D1E2B" w:rsidP="00F13899">
      <w:pPr>
        <w:spacing w:after="240"/>
        <w:jc w:val="both"/>
        <w:rPr>
          <w:rFonts w:ascii="Times New Roman" w:hAnsi="Times New Roman" w:cs="Times New Roman"/>
          <w:noProof/>
          <w:lang w:val="en-GB"/>
        </w:rPr>
      </w:pPr>
      <w:r>
        <w:rPr>
          <w:rFonts w:ascii="Times New Roman" w:hAnsi="Times New Roman" w:cs="Times New Roman"/>
          <w:noProof/>
          <w:lang w:val="en-GB"/>
        </w:rPr>
        <w:t xml:space="preserve">The </w:t>
      </w:r>
      <w:r w:rsidR="00A725CE" w:rsidRPr="00E6071F">
        <w:rPr>
          <w:rFonts w:ascii="Times New Roman" w:hAnsi="Times New Roman" w:cs="Times New Roman"/>
          <w:noProof/>
          <w:lang w:val="en-GB"/>
        </w:rPr>
        <w:t>E</w:t>
      </w:r>
      <w:r>
        <w:rPr>
          <w:rFonts w:ascii="Times New Roman" w:hAnsi="Times New Roman" w:cs="Times New Roman"/>
          <w:noProof/>
          <w:lang w:val="en-GB"/>
        </w:rPr>
        <w:t xml:space="preserve">uropean </w:t>
      </w:r>
      <w:r w:rsidR="00A725CE" w:rsidRPr="00E6071F">
        <w:rPr>
          <w:rFonts w:ascii="Times New Roman" w:hAnsi="Times New Roman" w:cs="Times New Roman"/>
          <w:noProof/>
          <w:lang w:val="en-GB"/>
        </w:rPr>
        <w:t>G</w:t>
      </w:r>
      <w:r>
        <w:rPr>
          <w:rFonts w:ascii="Times New Roman" w:hAnsi="Times New Roman" w:cs="Times New Roman"/>
          <w:noProof/>
          <w:lang w:val="en-GB"/>
        </w:rPr>
        <w:t xml:space="preserve">eostationary </w:t>
      </w:r>
      <w:r w:rsidR="00A725CE" w:rsidRPr="00E6071F">
        <w:rPr>
          <w:rFonts w:ascii="Times New Roman" w:hAnsi="Times New Roman" w:cs="Times New Roman"/>
          <w:noProof/>
          <w:lang w:val="en-GB"/>
        </w:rPr>
        <w:t>N</w:t>
      </w:r>
      <w:r>
        <w:rPr>
          <w:rFonts w:ascii="Times New Roman" w:hAnsi="Times New Roman" w:cs="Times New Roman"/>
          <w:noProof/>
          <w:lang w:val="en-GB"/>
        </w:rPr>
        <w:t xml:space="preserve">avigation </w:t>
      </w:r>
      <w:r w:rsidR="00A725CE" w:rsidRPr="00E6071F">
        <w:rPr>
          <w:rFonts w:ascii="Times New Roman" w:hAnsi="Times New Roman" w:cs="Times New Roman"/>
          <w:noProof/>
          <w:lang w:val="en-GB"/>
        </w:rPr>
        <w:t>O</w:t>
      </w:r>
      <w:r>
        <w:rPr>
          <w:rFonts w:ascii="Times New Roman" w:hAnsi="Times New Roman" w:cs="Times New Roman"/>
          <w:noProof/>
          <w:lang w:val="en-GB"/>
        </w:rPr>
        <w:t xml:space="preserve">verlay </w:t>
      </w:r>
      <w:r w:rsidR="00A725CE" w:rsidRPr="00E6071F">
        <w:rPr>
          <w:rFonts w:ascii="Times New Roman" w:hAnsi="Times New Roman" w:cs="Times New Roman"/>
          <w:noProof/>
          <w:lang w:val="en-GB"/>
        </w:rPr>
        <w:t>S</w:t>
      </w:r>
      <w:r>
        <w:rPr>
          <w:rFonts w:ascii="Times New Roman" w:hAnsi="Times New Roman" w:cs="Times New Roman"/>
          <w:noProof/>
          <w:lang w:val="en-GB"/>
        </w:rPr>
        <w:t>ervice</w:t>
      </w:r>
      <w:r w:rsidR="00BB1754">
        <w:rPr>
          <w:rFonts w:ascii="Times New Roman" w:hAnsi="Times New Roman" w:cs="Times New Roman"/>
          <w:noProof/>
          <w:lang w:val="en-GB"/>
        </w:rPr>
        <w:t xml:space="preserve"> (EGNOS)</w:t>
      </w:r>
      <w:r w:rsidR="00A725CE" w:rsidRPr="00E6071F">
        <w:rPr>
          <w:rFonts w:ascii="Times New Roman" w:hAnsi="Times New Roman" w:cs="Times New Roman"/>
          <w:noProof/>
          <w:lang w:val="en-GB"/>
        </w:rPr>
        <w:t xml:space="preserve">, even though not designed to operate in a conflict zone, </w:t>
      </w:r>
      <w:r w:rsidR="005C34F1">
        <w:rPr>
          <w:rFonts w:ascii="Times New Roman" w:hAnsi="Times New Roman" w:cs="Times New Roman"/>
          <w:noProof/>
          <w:lang w:val="en-GB"/>
        </w:rPr>
        <w:t>can</w:t>
      </w:r>
      <w:r w:rsidR="00A725CE" w:rsidRPr="00E6071F">
        <w:rPr>
          <w:rFonts w:ascii="Times New Roman" w:hAnsi="Times New Roman" w:cs="Times New Roman"/>
          <w:noProof/>
          <w:lang w:val="en-GB"/>
        </w:rPr>
        <w:t xml:space="preserve"> offer important operational benefits </w:t>
      </w:r>
      <w:r w:rsidR="00060E79">
        <w:rPr>
          <w:rFonts w:ascii="Times New Roman" w:hAnsi="Times New Roman" w:cs="Times New Roman"/>
          <w:noProof/>
          <w:lang w:val="en-GB"/>
        </w:rPr>
        <w:t>for</w:t>
      </w:r>
      <w:r w:rsidR="00A725CE" w:rsidRPr="00060E79">
        <w:rPr>
          <w:rFonts w:ascii="Times New Roman" w:hAnsi="Times New Roman" w:cs="Times New Roman"/>
          <w:noProof/>
          <w:lang w:val="en-GB"/>
        </w:rPr>
        <w:t xml:space="preserve"> logistics and transport operations. </w:t>
      </w:r>
      <w:r w:rsidR="00060E79">
        <w:rPr>
          <w:rFonts w:ascii="Times New Roman" w:hAnsi="Times New Roman" w:cs="Times New Roman"/>
          <w:noProof/>
          <w:lang w:val="en-GB"/>
        </w:rPr>
        <w:t>I</w:t>
      </w:r>
      <w:r w:rsidR="00060E79" w:rsidRPr="009C4AFF">
        <w:rPr>
          <w:rFonts w:ascii="Times New Roman" w:hAnsi="Times New Roman" w:cs="Times New Roman"/>
          <w:noProof/>
          <w:lang w:val="en-GB"/>
        </w:rPr>
        <w:t>n adverse weather conditions</w:t>
      </w:r>
      <w:r w:rsidR="00060E79">
        <w:rPr>
          <w:rFonts w:ascii="Times New Roman" w:hAnsi="Times New Roman" w:cs="Times New Roman"/>
          <w:noProof/>
          <w:lang w:val="en-GB"/>
        </w:rPr>
        <w:t xml:space="preserve">, it </w:t>
      </w:r>
      <w:r w:rsidR="00A725CE" w:rsidRPr="00060E79">
        <w:rPr>
          <w:rFonts w:ascii="Times New Roman" w:hAnsi="Times New Roman" w:cs="Times New Roman"/>
          <w:noProof/>
          <w:lang w:val="en-GB"/>
        </w:rPr>
        <w:t xml:space="preserve">can </w:t>
      </w:r>
      <w:r w:rsidR="00FE7615" w:rsidRPr="00060E79">
        <w:rPr>
          <w:rFonts w:ascii="Times New Roman" w:hAnsi="Times New Roman" w:cs="Times New Roman"/>
          <w:noProof/>
          <w:lang w:val="en-GB"/>
        </w:rPr>
        <w:t>enable</w:t>
      </w:r>
      <w:r w:rsidR="00A725CE" w:rsidRPr="00060E79">
        <w:rPr>
          <w:rFonts w:ascii="Times New Roman" w:hAnsi="Times New Roman" w:cs="Times New Roman"/>
          <w:noProof/>
          <w:lang w:val="en-GB"/>
        </w:rPr>
        <w:t xml:space="preserve"> secure access to air bases and regional airports not having other means. </w:t>
      </w:r>
    </w:p>
    <w:p w14:paraId="6B4CEEDC" w14:textId="0FD5FF6E" w:rsidR="00A725CE" w:rsidRPr="009310E8" w:rsidRDefault="004D1E2B" w:rsidP="00F13899">
      <w:pPr>
        <w:spacing w:after="240"/>
        <w:jc w:val="both"/>
        <w:rPr>
          <w:rFonts w:ascii="Times New Roman" w:hAnsi="Times New Roman" w:cs="Times New Roman"/>
          <w:noProof/>
          <w:lang w:val="en-GB"/>
        </w:rPr>
      </w:pPr>
      <w:r>
        <w:rPr>
          <w:rFonts w:ascii="Times New Roman" w:hAnsi="Times New Roman" w:cs="Times New Roman"/>
          <w:noProof/>
          <w:lang w:val="en-GB"/>
        </w:rPr>
        <w:t>T</w:t>
      </w:r>
      <w:r w:rsidR="00A725CE" w:rsidRPr="00060E79">
        <w:rPr>
          <w:rFonts w:ascii="Times New Roman" w:hAnsi="Times New Roman" w:cs="Times New Roman"/>
          <w:noProof/>
          <w:lang w:val="en-GB"/>
        </w:rPr>
        <w:t xml:space="preserve">he </w:t>
      </w:r>
      <w:r>
        <w:rPr>
          <w:rFonts w:ascii="Times New Roman" w:hAnsi="Times New Roman" w:cs="Times New Roman"/>
          <w:noProof/>
          <w:lang w:val="en-GB"/>
        </w:rPr>
        <w:t xml:space="preserve">new </w:t>
      </w:r>
      <w:r w:rsidR="00A725CE" w:rsidRPr="00060E79">
        <w:rPr>
          <w:rFonts w:ascii="Times New Roman" w:hAnsi="Times New Roman" w:cs="Times New Roman"/>
          <w:noProof/>
          <w:lang w:val="en-GB"/>
        </w:rPr>
        <w:t>Union Secure Connectivity Programme</w:t>
      </w:r>
      <w:r>
        <w:rPr>
          <w:rFonts w:ascii="Times New Roman" w:hAnsi="Times New Roman" w:cs="Times New Roman"/>
          <w:noProof/>
          <w:lang w:val="en-GB"/>
        </w:rPr>
        <w:t>, for which</w:t>
      </w:r>
      <w:r w:rsidR="00060E79" w:rsidRPr="00060E79">
        <w:rPr>
          <w:rFonts w:ascii="Times New Roman" w:hAnsi="Times New Roman" w:cs="Times New Roman"/>
          <w:noProof/>
          <w:lang w:val="en-GB"/>
        </w:rPr>
        <w:t xml:space="preserve"> </w:t>
      </w:r>
      <w:r>
        <w:rPr>
          <w:rFonts w:ascii="Times New Roman" w:hAnsi="Times New Roman" w:cs="Times New Roman"/>
          <w:noProof/>
          <w:lang w:val="en-GB"/>
        </w:rPr>
        <w:t>t</w:t>
      </w:r>
      <w:r w:rsidRPr="00060E79">
        <w:rPr>
          <w:rFonts w:ascii="Times New Roman" w:hAnsi="Times New Roman" w:cs="Times New Roman"/>
          <w:noProof/>
          <w:lang w:val="en-GB"/>
        </w:rPr>
        <w:t xml:space="preserve">he Commission proposed a Regulation </w:t>
      </w:r>
      <w:r w:rsidR="00060E79" w:rsidRPr="0000441A">
        <w:rPr>
          <w:rFonts w:ascii="Times New Roman" w:hAnsi="Times New Roman" w:cs="Times New Roman"/>
          <w:noProof/>
          <w:lang w:val="en-GB"/>
        </w:rPr>
        <w:t>on 15 February 2022</w:t>
      </w:r>
      <w:r w:rsidR="00FE7615" w:rsidRPr="00060E79">
        <w:rPr>
          <w:rFonts w:ascii="Times New Roman" w:hAnsi="Times New Roman" w:cs="Times New Roman"/>
          <w:noProof/>
          <w:lang w:val="en-GB"/>
        </w:rPr>
        <w:t>,</w:t>
      </w:r>
      <w:r w:rsidR="00A725CE" w:rsidRPr="00060E79">
        <w:rPr>
          <w:rFonts w:ascii="Times New Roman" w:hAnsi="Times New Roman" w:cs="Times New Roman"/>
          <w:noProof/>
          <w:lang w:val="en-GB"/>
        </w:rPr>
        <w:t xml:space="preserve"> aims at ensuring worldwide access to secure governmental satellite communication services. A range of use cases have been studied in this context, including </w:t>
      </w:r>
      <w:r w:rsidR="00060E79">
        <w:rPr>
          <w:rFonts w:ascii="Times New Roman" w:hAnsi="Times New Roman" w:cs="Times New Roman"/>
          <w:noProof/>
          <w:lang w:val="en-GB"/>
        </w:rPr>
        <w:t>on</w:t>
      </w:r>
      <w:r w:rsidR="00A725CE" w:rsidRPr="00060E79">
        <w:rPr>
          <w:rFonts w:ascii="Times New Roman" w:hAnsi="Times New Roman" w:cs="Times New Roman"/>
          <w:noProof/>
          <w:lang w:val="en-GB"/>
        </w:rPr>
        <w:t xml:space="preserve"> traffic management and military missions. From this analysis</w:t>
      </w:r>
      <w:r w:rsidR="00FE7615" w:rsidRPr="00060E79">
        <w:rPr>
          <w:rFonts w:ascii="Times New Roman" w:hAnsi="Times New Roman" w:cs="Times New Roman"/>
          <w:noProof/>
          <w:lang w:val="en-GB"/>
        </w:rPr>
        <w:t>,</w:t>
      </w:r>
      <w:r w:rsidR="00A725CE" w:rsidRPr="00060E79">
        <w:rPr>
          <w:rFonts w:ascii="Times New Roman" w:hAnsi="Times New Roman" w:cs="Times New Roman"/>
          <w:noProof/>
          <w:lang w:val="en-GB"/>
        </w:rPr>
        <w:t xml:space="preserve"> it is clear that secure connectivity is </w:t>
      </w:r>
      <w:r w:rsidR="00275E1D" w:rsidRPr="00060E79">
        <w:rPr>
          <w:rFonts w:ascii="Times New Roman" w:hAnsi="Times New Roman" w:cs="Times New Roman"/>
          <w:noProof/>
          <w:lang w:val="en-GB"/>
        </w:rPr>
        <w:t xml:space="preserve">increasingly </w:t>
      </w:r>
      <w:r w:rsidR="00A725CE" w:rsidRPr="00060E79">
        <w:rPr>
          <w:rFonts w:ascii="Times New Roman" w:hAnsi="Times New Roman" w:cs="Times New Roman"/>
          <w:noProof/>
          <w:lang w:val="en-GB"/>
        </w:rPr>
        <w:t>a strategic asset for the use of a</w:t>
      </w:r>
      <w:r w:rsidR="00787596">
        <w:rPr>
          <w:rFonts w:ascii="Times New Roman" w:hAnsi="Times New Roman" w:cs="Times New Roman"/>
          <w:noProof/>
          <w:lang w:val="en-GB"/>
        </w:rPr>
        <w:t>utonomous vehicles and aircraft</w:t>
      </w:r>
      <w:r w:rsidR="00A725CE" w:rsidRPr="00060E79">
        <w:rPr>
          <w:rFonts w:ascii="Times New Roman" w:hAnsi="Times New Roman" w:cs="Times New Roman"/>
          <w:noProof/>
          <w:lang w:val="en-GB"/>
        </w:rPr>
        <w:t xml:space="preserve">. </w:t>
      </w:r>
      <w:r w:rsidR="009C5063">
        <w:rPr>
          <w:rFonts w:ascii="Times New Roman" w:hAnsi="Times New Roman" w:cs="Times New Roman"/>
          <w:noProof/>
          <w:lang w:val="en-GB"/>
        </w:rPr>
        <w:t>M</w:t>
      </w:r>
      <w:r w:rsidR="0022229A" w:rsidRPr="00060E79">
        <w:rPr>
          <w:rFonts w:ascii="Times New Roman" w:hAnsi="Times New Roman" w:cs="Times New Roman"/>
          <w:noProof/>
          <w:lang w:val="en-GB"/>
        </w:rPr>
        <w:t xml:space="preserve">ilitary mobility needs </w:t>
      </w:r>
      <w:r w:rsidR="009C5063">
        <w:rPr>
          <w:rFonts w:ascii="Times New Roman" w:hAnsi="Times New Roman" w:cs="Times New Roman"/>
          <w:noProof/>
          <w:lang w:val="en-GB"/>
        </w:rPr>
        <w:t>need to be</w:t>
      </w:r>
      <w:r w:rsidR="009C5063" w:rsidRPr="009310E8">
        <w:rPr>
          <w:rFonts w:ascii="Times New Roman" w:hAnsi="Times New Roman" w:cs="Times New Roman"/>
          <w:noProof/>
          <w:lang w:val="en-GB"/>
        </w:rPr>
        <w:t xml:space="preserve"> </w:t>
      </w:r>
      <w:r w:rsidR="0022229A" w:rsidRPr="009310E8">
        <w:rPr>
          <w:rFonts w:ascii="Times New Roman" w:hAnsi="Times New Roman" w:cs="Times New Roman"/>
          <w:noProof/>
          <w:lang w:val="en-GB"/>
        </w:rPr>
        <w:t xml:space="preserve">duly taken into account </w:t>
      </w:r>
      <w:r w:rsidR="00A725CE" w:rsidRPr="009310E8">
        <w:rPr>
          <w:rFonts w:ascii="Times New Roman" w:hAnsi="Times New Roman" w:cs="Times New Roman"/>
          <w:noProof/>
          <w:lang w:val="en-GB"/>
        </w:rPr>
        <w:t>in the definition of the service portfolio of the secure connectivity system</w:t>
      </w:r>
      <w:r w:rsidR="0022229A" w:rsidRPr="009310E8">
        <w:rPr>
          <w:rFonts w:ascii="Times New Roman" w:hAnsi="Times New Roman" w:cs="Times New Roman"/>
          <w:noProof/>
          <w:lang w:val="en-GB"/>
        </w:rPr>
        <w:t>.</w:t>
      </w:r>
    </w:p>
    <w:p w14:paraId="017453FA" w14:textId="1FB4E3AC" w:rsidR="000C5C88" w:rsidRDefault="009C5063" w:rsidP="00F13899">
      <w:pPr>
        <w:spacing w:after="240"/>
        <w:jc w:val="both"/>
        <w:rPr>
          <w:rFonts w:ascii="Times New Roman" w:hAnsi="Times New Roman" w:cs="Times New Roman"/>
          <w:noProof/>
          <w:lang w:val="en-GB"/>
        </w:rPr>
      </w:pPr>
      <w:r>
        <w:rPr>
          <w:rFonts w:ascii="Times New Roman" w:hAnsi="Times New Roman" w:cs="Times New Roman"/>
          <w:noProof/>
          <w:lang w:val="en-GB"/>
        </w:rPr>
        <w:t>T</w:t>
      </w:r>
      <w:r w:rsidR="00A725CE" w:rsidRPr="00E6071F">
        <w:rPr>
          <w:rFonts w:ascii="Times New Roman" w:hAnsi="Times New Roman" w:cs="Times New Roman"/>
          <w:noProof/>
          <w:lang w:val="en-GB"/>
        </w:rPr>
        <w:t>he E</w:t>
      </w:r>
      <w:r w:rsidR="009D3372" w:rsidRPr="00E6071F">
        <w:rPr>
          <w:rFonts w:ascii="Times New Roman" w:hAnsi="Times New Roman" w:cs="Times New Roman"/>
          <w:noProof/>
          <w:lang w:val="en-GB"/>
        </w:rPr>
        <w:t>U</w:t>
      </w:r>
      <w:r w:rsidR="00A725CE" w:rsidRPr="00E6071F">
        <w:rPr>
          <w:rFonts w:ascii="Times New Roman" w:hAnsi="Times New Roman" w:cs="Times New Roman"/>
          <w:noProof/>
          <w:lang w:val="en-GB"/>
        </w:rPr>
        <w:t xml:space="preserve">'s Earth observation programme Copernicus offers information services that draw from satellite-based Earth Observation (from the Copernicus Sentinel satellites or commercial satellites) and in-situ (non-space) data in three main areas: 1) environmental monitoring (land: land cover and use, Digital Elevation Model, EU river network and water bodies reference data; marine; atmosphere; climate change), 2) emergency management (in case of natural or man-made disasters, e.g. flood, earthquakes, forest fires), and 3) security (border and maritime surveillance, and support to EU external action). Possible links to </w:t>
      </w:r>
      <w:r w:rsidR="00D83A6C" w:rsidRPr="00E6071F">
        <w:rPr>
          <w:rFonts w:ascii="Times New Roman" w:hAnsi="Times New Roman" w:cs="Times New Roman"/>
          <w:noProof/>
          <w:lang w:val="en-GB"/>
        </w:rPr>
        <w:t>m</w:t>
      </w:r>
      <w:r w:rsidR="00A725CE" w:rsidRPr="00E6071F">
        <w:rPr>
          <w:rFonts w:ascii="Times New Roman" w:hAnsi="Times New Roman" w:cs="Times New Roman"/>
          <w:noProof/>
          <w:lang w:val="en-GB"/>
        </w:rPr>
        <w:t xml:space="preserve">ilitary </w:t>
      </w:r>
      <w:r w:rsidR="00D83A6C" w:rsidRPr="00E6071F">
        <w:rPr>
          <w:rFonts w:ascii="Times New Roman" w:hAnsi="Times New Roman" w:cs="Times New Roman"/>
          <w:noProof/>
          <w:lang w:val="en-GB"/>
        </w:rPr>
        <w:t>m</w:t>
      </w:r>
      <w:r w:rsidR="00A725CE" w:rsidRPr="00E6071F">
        <w:rPr>
          <w:rFonts w:ascii="Times New Roman" w:hAnsi="Times New Roman" w:cs="Times New Roman"/>
          <w:noProof/>
          <w:lang w:val="en-GB"/>
        </w:rPr>
        <w:t xml:space="preserve">obility could be further explored.  </w:t>
      </w:r>
    </w:p>
    <w:p w14:paraId="66C66094" w14:textId="7EFD99A9" w:rsidR="00B53D62" w:rsidRPr="00756DD8" w:rsidRDefault="004D1E2B" w:rsidP="00F13899">
      <w:pPr>
        <w:spacing w:after="240"/>
        <w:jc w:val="both"/>
        <w:rPr>
          <w:rFonts w:ascii="Times New Roman" w:hAnsi="Times New Roman"/>
          <w:noProof/>
        </w:rPr>
      </w:pPr>
      <w:r>
        <w:rPr>
          <w:rFonts w:ascii="Times New Roman" w:hAnsi="Times New Roman" w:cs="Times New Roman"/>
          <w:noProof/>
        </w:rPr>
        <w:t>CASSINI- t</w:t>
      </w:r>
      <w:r w:rsidR="00B53D62">
        <w:rPr>
          <w:rFonts w:ascii="Times New Roman" w:hAnsi="Times New Roman" w:cs="Times New Roman"/>
          <w:noProof/>
        </w:rPr>
        <w:t xml:space="preserve">he Commission’s initiative </w:t>
      </w:r>
      <w:r w:rsidR="00F2735D">
        <w:rPr>
          <w:rFonts w:ascii="Times New Roman" w:hAnsi="Times New Roman" w:cs="Times New Roman"/>
          <w:noProof/>
        </w:rPr>
        <w:t xml:space="preserve">to </w:t>
      </w:r>
      <w:r>
        <w:rPr>
          <w:rFonts w:ascii="Times New Roman" w:hAnsi="Times New Roman" w:cs="Times New Roman"/>
          <w:noProof/>
        </w:rPr>
        <w:t>foster</w:t>
      </w:r>
      <w:r w:rsidR="00B53D62">
        <w:rPr>
          <w:rFonts w:ascii="Times New Roman" w:hAnsi="Times New Roman" w:cs="Times New Roman"/>
          <w:noProof/>
        </w:rPr>
        <w:t xml:space="preserve"> space entrepreneurship in the EU </w:t>
      </w:r>
      <w:r w:rsidR="00F2735D">
        <w:rPr>
          <w:rFonts w:ascii="Times New Roman" w:hAnsi="Times New Roman" w:cs="Times New Roman"/>
          <w:noProof/>
        </w:rPr>
        <w:t xml:space="preserve">will </w:t>
      </w:r>
      <w:r w:rsidR="00B53D62">
        <w:rPr>
          <w:rFonts w:ascii="Times New Roman" w:hAnsi="Times New Roman" w:cs="Times New Roman"/>
          <w:noProof/>
        </w:rPr>
        <w:t xml:space="preserve">stimulate the development of disruptive technologies, industrial processes and services. The emergence of new commercial players will expand the range of space-enabled solutions, including for military mobility. </w:t>
      </w:r>
    </w:p>
    <w:p w14:paraId="637407E6" w14:textId="77777777" w:rsidR="00A62CCD" w:rsidRPr="005325BF" w:rsidRDefault="00A62CCD" w:rsidP="00F13899">
      <w:pPr>
        <w:spacing w:after="240"/>
        <w:jc w:val="both"/>
        <w:rPr>
          <w:rFonts w:ascii="Times New Roman" w:hAnsi="Times New Roman" w:cs="Times New Roman"/>
          <w:noProof/>
          <w:lang w:val="en-GB"/>
        </w:rPr>
      </w:pPr>
    </w:p>
    <w:tbl>
      <w:tblPr>
        <w:tblStyle w:val="TableGrid"/>
        <w:tblW w:w="0" w:type="dxa"/>
        <w:tblLook w:val="04A0" w:firstRow="1" w:lastRow="0" w:firstColumn="1" w:lastColumn="0" w:noHBand="0" w:noVBand="1"/>
      </w:tblPr>
      <w:tblGrid>
        <w:gridCol w:w="9016"/>
      </w:tblGrid>
      <w:tr w:rsidR="00886D79" w:rsidRPr="00E6071F" w14:paraId="25147A08" w14:textId="77777777" w:rsidTr="00C26CE7">
        <w:tc>
          <w:tcPr>
            <w:tcW w:w="9016" w:type="dxa"/>
            <w:shd w:val="clear" w:color="auto" w:fill="D9D9D9" w:themeFill="background1" w:themeFillShade="D9"/>
          </w:tcPr>
          <w:p w14:paraId="755FEAB4" w14:textId="77777777" w:rsidR="00447D98" w:rsidRPr="00E6071F" w:rsidRDefault="00DE1E24">
            <w:pPr>
              <w:tabs>
                <w:tab w:val="left" w:pos="284"/>
              </w:tabs>
              <w:spacing w:after="120"/>
              <w:jc w:val="both"/>
              <w:rPr>
                <w:rFonts w:ascii="Times New Roman" w:hAnsi="Times New Roman" w:cs="Times New Roman"/>
                <w:b/>
                <w:noProof/>
              </w:rPr>
            </w:pPr>
            <w:r w:rsidRPr="00E6071F">
              <w:rPr>
                <w:rFonts w:ascii="Times New Roman" w:hAnsi="Times New Roman" w:cs="Times New Roman"/>
                <w:b/>
                <w:noProof/>
              </w:rPr>
              <w:t>Key actions at EU level:</w:t>
            </w:r>
          </w:p>
          <w:p w14:paraId="7BBBE7A9" w14:textId="77777777" w:rsidR="00447D98" w:rsidRPr="00FD6314" w:rsidRDefault="00996D10" w:rsidP="005454B0">
            <w:pPr>
              <w:pStyle w:val="ListParagraph"/>
              <w:numPr>
                <w:ilvl w:val="0"/>
                <w:numId w:val="28"/>
              </w:numPr>
              <w:tabs>
                <w:tab w:val="left" w:pos="284"/>
              </w:tabs>
              <w:spacing w:after="120"/>
              <w:jc w:val="both"/>
              <w:rPr>
                <w:rFonts w:ascii="Times New Roman" w:hAnsi="Times New Roman" w:cs="Times New Roman"/>
                <w:noProof/>
              </w:rPr>
            </w:pPr>
            <w:r w:rsidRPr="00E6071F">
              <w:rPr>
                <w:rFonts w:ascii="Times New Roman" w:hAnsi="Times New Roman" w:cs="Times New Roman"/>
                <w:noProof/>
              </w:rPr>
              <w:t>ED</w:t>
            </w:r>
            <w:r w:rsidR="00787596">
              <w:rPr>
                <w:rFonts w:ascii="Times New Roman" w:hAnsi="Times New Roman" w:cs="Times New Roman"/>
                <w:noProof/>
              </w:rPr>
              <w:t>A, in close consultation with Member States</w:t>
            </w:r>
            <w:r w:rsidRPr="00E6071F">
              <w:rPr>
                <w:rFonts w:ascii="Times New Roman" w:hAnsi="Times New Roman" w:cs="Times New Roman"/>
                <w:noProof/>
              </w:rPr>
              <w:t>,</w:t>
            </w:r>
            <w:r w:rsidR="00A65752" w:rsidRPr="00E6071F">
              <w:rPr>
                <w:rFonts w:ascii="Times New Roman" w:hAnsi="Times New Roman" w:cs="Times New Roman"/>
                <w:noProof/>
              </w:rPr>
              <w:t xml:space="preserve"> EEAS and</w:t>
            </w:r>
            <w:r w:rsidRPr="00E6071F">
              <w:rPr>
                <w:rFonts w:ascii="Times New Roman" w:hAnsi="Times New Roman" w:cs="Times New Roman"/>
                <w:noProof/>
              </w:rPr>
              <w:t xml:space="preserve"> C</w:t>
            </w:r>
            <w:r w:rsidR="00FE7615" w:rsidRPr="00E6071F">
              <w:rPr>
                <w:rFonts w:ascii="Times New Roman" w:hAnsi="Times New Roman" w:cs="Times New Roman"/>
                <w:noProof/>
              </w:rPr>
              <w:t>ommission</w:t>
            </w:r>
            <w:r w:rsidRPr="00E6071F">
              <w:rPr>
                <w:rFonts w:ascii="Times New Roman" w:hAnsi="Times New Roman" w:cs="Times New Roman"/>
                <w:noProof/>
              </w:rPr>
              <w:t xml:space="preserve"> services, will follow-up on the CARD focus area Enhanced Military Mobility, to addres</w:t>
            </w:r>
            <w:r w:rsidR="00060E79">
              <w:rPr>
                <w:rFonts w:ascii="Times New Roman" w:hAnsi="Times New Roman" w:cs="Times New Roman"/>
                <w:noProof/>
              </w:rPr>
              <w:t>s</w:t>
            </w:r>
            <w:r w:rsidRPr="00060E79">
              <w:rPr>
                <w:rFonts w:ascii="Times New Roman" w:hAnsi="Times New Roman" w:cs="Times New Roman"/>
                <w:noProof/>
              </w:rPr>
              <w:t xml:space="preserve"> the gaps and deficits with regard to </w:t>
            </w:r>
            <w:r w:rsidR="00A24D23" w:rsidRPr="00060E79">
              <w:rPr>
                <w:rFonts w:ascii="Times New Roman" w:hAnsi="Times New Roman" w:cs="Times New Roman"/>
                <w:noProof/>
              </w:rPr>
              <w:t>the resilience</w:t>
            </w:r>
            <w:r w:rsidR="00113AD9" w:rsidRPr="00060E79">
              <w:rPr>
                <w:rFonts w:ascii="Times New Roman" w:hAnsi="Times New Roman" w:cs="Times New Roman"/>
                <w:noProof/>
              </w:rPr>
              <w:t xml:space="preserve"> as well as</w:t>
            </w:r>
            <w:r w:rsidR="003F0595" w:rsidRPr="00060E79">
              <w:rPr>
                <w:rFonts w:ascii="Times New Roman" w:hAnsi="Times New Roman" w:cs="Times New Roman"/>
                <w:noProof/>
              </w:rPr>
              <w:t xml:space="preserve"> </w:t>
            </w:r>
            <w:r w:rsidR="003640C7" w:rsidRPr="00060E79">
              <w:rPr>
                <w:rFonts w:ascii="Times New Roman" w:hAnsi="Times New Roman" w:cs="Times New Roman"/>
                <w:noProof/>
              </w:rPr>
              <w:t>the</w:t>
            </w:r>
            <w:r w:rsidRPr="00060E79">
              <w:rPr>
                <w:rFonts w:ascii="Times New Roman" w:hAnsi="Times New Roman" w:cs="Times New Roman"/>
                <w:noProof/>
              </w:rPr>
              <w:t xml:space="preserve"> logistical and lift capacity required for the movement of large</w:t>
            </w:r>
            <w:r w:rsidR="00113AD9" w:rsidRPr="00060E79">
              <w:rPr>
                <w:rFonts w:ascii="Times New Roman" w:hAnsi="Times New Roman" w:cs="Times New Roman"/>
                <w:noProof/>
              </w:rPr>
              <w:t>-</w:t>
            </w:r>
            <w:r w:rsidRPr="00060E79">
              <w:rPr>
                <w:rFonts w:ascii="Times New Roman" w:hAnsi="Times New Roman" w:cs="Times New Roman"/>
                <w:noProof/>
              </w:rPr>
              <w:t>scale forces, including notably outsized or specialised cargo</w:t>
            </w:r>
            <w:r w:rsidR="005454B0" w:rsidRPr="00060E79">
              <w:rPr>
                <w:rFonts w:ascii="Times New Roman" w:hAnsi="Times New Roman" w:cs="Times New Roman"/>
                <w:noProof/>
              </w:rPr>
              <w:t xml:space="preserve"> (e.g. dangerous goods</w:t>
            </w:r>
            <w:r w:rsidR="000C5C88" w:rsidRPr="009310E8">
              <w:rPr>
                <w:rFonts w:ascii="Times New Roman" w:hAnsi="Times New Roman" w:cs="Times New Roman"/>
                <w:noProof/>
              </w:rPr>
              <w:t xml:space="preserve"> requiring specific measures</w:t>
            </w:r>
            <w:r w:rsidR="005454B0" w:rsidRPr="00FD6314">
              <w:rPr>
                <w:rFonts w:ascii="Times New Roman" w:hAnsi="Times New Roman" w:cs="Times New Roman"/>
                <w:noProof/>
              </w:rPr>
              <w:t>)</w:t>
            </w:r>
            <w:r w:rsidR="007C64BA" w:rsidRPr="00FD6314">
              <w:rPr>
                <w:rFonts w:ascii="Times New Roman" w:hAnsi="Times New Roman" w:cs="Times New Roman"/>
                <w:noProof/>
              </w:rPr>
              <w:t>.</w:t>
            </w:r>
          </w:p>
          <w:p w14:paraId="72B32A5D" w14:textId="77777777" w:rsidR="00DC45FF" w:rsidRPr="00FD6314" w:rsidRDefault="00DC45FF" w:rsidP="005454B0">
            <w:pPr>
              <w:pStyle w:val="ListParagraph"/>
              <w:numPr>
                <w:ilvl w:val="0"/>
                <w:numId w:val="28"/>
              </w:numPr>
              <w:tabs>
                <w:tab w:val="left" w:pos="284"/>
              </w:tabs>
              <w:spacing w:after="120"/>
              <w:jc w:val="both"/>
              <w:rPr>
                <w:rFonts w:ascii="Times New Roman" w:hAnsi="Times New Roman" w:cs="Times New Roman"/>
                <w:noProof/>
              </w:rPr>
            </w:pPr>
            <w:r w:rsidRPr="00FD6314">
              <w:rPr>
                <w:rFonts w:ascii="Times New Roman" w:hAnsi="Times New Roman" w:cs="Times New Roman"/>
                <w:noProof/>
              </w:rPr>
              <w:t>By 2023, the EEAS will assess the logistical footprint for CSDP missions and operations, notably with regard to certificati</w:t>
            </w:r>
            <w:r w:rsidRPr="00344F24">
              <w:rPr>
                <w:rFonts w:ascii="Times New Roman" w:hAnsi="Times New Roman" w:cs="Times New Roman"/>
                <w:noProof/>
              </w:rPr>
              <w:t xml:space="preserve">ons and inspections, </w:t>
            </w:r>
            <w:r w:rsidR="00135169" w:rsidRPr="00060E79">
              <w:rPr>
                <w:rFonts w:ascii="Times New Roman" w:hAnsi="Times New Roman" w:cs="Times New Roman"/>
                <w:noProof/>
              </w:rPr>
              <w:t xml:space="preserve">as well as identify possible gaps in the lift capacity, </w:t>
            </w:r>
            <w:r w:rsidR="00272424" w:rsidRPr="00060E79">
              <w:rPr>
                <w:rFonts w:ascii="Times New Roman" w:hAnsi="Times New Roman" w:cs="Times New Roman"/>
                <w:noProof/>
              </w:rPr>
              <w:t xml:space="preserve">and </w:t>
            </w:r>
            <w:r w:rsidRPr="00060E79">
              <w:rPr>
                <w:rFonts w:ascii="Times New Roman" w:hAnsi="Times New Roman" w:cs="Times New Roman"/>
                <w:noProof/>
              </w:rPr>
              <w:t>provid</w:t>
            </w:r>
            <w:r w:rsidR="00272424" w:rsidRPr="00060E79">
              <w:rPr>
                <w:rFonts w:ascii="Times New Roman" w:hAnsi="Times New Roman" w:cs="Times New Roman"/>
                <w:noProof/>
              </w:rPr>
              <w:t>e</w:t>
            </w:r>
            <w:r w:rsidRPr="00060E79">
              <w:rPr>
                <w:rFonts w:ascii="Times New Roman" w:hAnsi="Times New Roman" w:cs="Times New Roman"/>
                <w:noProof/>
              </w:rPr>
              <w:t xml:space="preserve"> recommendations </w:t>
            </w:r>
            <w:r w:rsidR="00272424" w:rsidRPr="00060E79">
              <w:rPr>
                <w:rFonts w:ascii="Times New Roman" w:hAnsi="Times New Roman" w:cs="Times New Roman"/>
                <w:noProof/>
              </w:rPr>
              <w:t>on collaborative opportunities</w:t>
            </w:r>
            <w:r w:rsidRPr="00060E79">
              <w:rPr>
                <w:rFonts w:ascii="Times New Roman" w:hAnsi="Times New Roman" w:cs="Times New Roman"/>
                <w:noProof/>
              </w:rPr>
              <w:t xml:space="preserve">.  </w:t>
            </w:r>
          </w:p>
          <w:p w14:paraId="5E6D283F" w14:textId="77777777" w:rsidR="00D17066" w:rsidRPr="00060E79" w:rsidRDefault="00700290" w:rsidP="005454B0">
            <w:pPr>
              <w:pStyle w:val="ListParagraph"/>
              <w:numPr>
                <w:ilvl w:val="0"/>
                <w:numId w:val="28"/>
              </w:numPr>
              <w:tabs>
                <w:tab w:val="left" w:pos="284"/>
              </w:tabs>
              <w:spacing w:after="120"/>
              <w:jc w:val="both"/>
              <w:rPr>
                <w:rFonts w:ascii="Times New Roman" w:hAnsi="Times New Roman" w:cs="Times New Roman"/>
                <w:noProof/>
              </w:rPr>
            </w:pPr>
            <w:r w:rsidRPr="00FD6314">
              <w:rPr>
                <w:rFonts w:ascii="Times New Roman" w:hAnsi="Times New Roman" w:cs="Times New Roman"/>
                <w:noProof/>
              </w:rPr>
              <w:t>By 202</w:t>
            </w:r>
            <w:r w:rsidR="005454B0" w:rsidRPr="00FD6314">
              <w:rPr>
                <w:rFonts w:ascii="Times New Roman" w:hAnsi="Times New Roman" w:cs="Times New Roman"/>
                <w:noProof/>
              </w:rPr>
              <w:t>3</w:t>
            </w:r>
            <w:r w:rsidRPr="00FD6314">
              <w:rPr>
                <w:rFonts w:ascii="Times New Roman" w:hAnsi="Times New Roman" w:cs="Times New Roman"/>
                <w:noProof/>
              </w:rPr>
              <w:t xml:space="preserve">, EDA will </w:t>
            </w:r>
            <w:r w:rsidR="00A52039" w:rsidRPr="00FD6314">
              <w:rPr>
                <w:rFonts w:ascii="Times New Roman" w:hAnsi="Times New Roman" w:cs="Times New Roman"/>
                <w:noProof/>
              </w:rPr>
              <w:t xml:space="preserve">explore </w:t>
            </w:r>
            <w:r w:rsidR="005454B0" w:rsidRPr="00FD6314">
              <w:rPr>
                <w:rFonts w:ascii="Times New Roman" w:hAnsi="Times New Roman" w:cs="Times New Roman"/>
                <w:noProof/>
              </w:rPr>
              <w:t xml:space="preserve">the </w:t>
            </w:r>
            <w:r w:rsidR="00A52039" w:rsidRPr="00FD6314">
              <w:rPr>
                <w:rFonts w:ascii="Times New Roman" w:hAnsi="Times New Roman" w:cs="Times New Roman"/>
                <w:noProof/>
              </w:rPr>
              <w:t>adaption of civil outsized cargo assets for military purpose</w:t>
            </w:r>
            <w:r w:rsidR="009C5063">
              <w:rPr>
                <w:rFonts w:ascii="Times New Roman" w:hAnsi="Times New Roman" w:cs="Times New Roman"/>
                <w:noProof/>
              </w:rPr>
              <w:t>s,</w:t>
            </w:r>
            <w:r w:rsidR="005454B0" w:rsidRPr="00FD6314">
              <w:rPr>
                <w:rFonts w:ascii="Times New Roman" w:hAnsi="Times New Roman" w:cs="Times New Roman"/>
                <w:noProof/>
              </w:rPr>
              <w:t xml:space="preserve"> taking into acc</w:t>
            </w:r>
            <w:r w:rsidR="005454B0" w:rsidRPr="00344F24">
              <w:rPr>
                <w:rFonts w:ascii="Times New Roman" w:hAnsi="Times New Roman" w:cs="Times New Roman"/>
                <w:noProof/>
              </w:rPr>
              <w:t>ount activities of the PESCO Project “Strategic Air Transport for Outsized Cargo (SATOC)”.</w:t>
            </w:r>
          </w:p>
          <w:p w14:paraId="1CADD979" w14:textId="77777777" w:rsidR="00F10404" w:rsidRPr="00060E79" w:rsidRDefault="00A52039">
            <w:pPr>
              <w:pStyle w:val="ListParagraph"/>
              <w:numPr>
                <w:ilvl w:val="0"/>
                <w:numId w:val="28"/>
              </w:numPr>
              <w:tabs>
                <w:tab w:val="left" w:pos="284"/>
              </w:tabs>
              <w:spacing w:after="120"/>
              <w:jc w:val="both"/>
              <w:rPr>
                <w:noProof/>
              </w:rPr>
            </w:pPr>
            <w:r w:rsidRPr="00060E79">
              <w:rPr>
                <w:rFonts w:ascii="Times New Roman" w:hAnsi="Times New Roman" w:cs="Times New Roman"/>
                <w:noProof/>
              </w:rPr>
              <w:t>By 2024, EDA will identify possible requirements for specialised rail transport assets</w:t>
            </w:r>
            <w:r w:rsidR="00FE7615" w:rsidRPr="00060E79">
              <w:rPr>
                <w:rFonts w:ascii="Times New Roman" w:hAnsi="Times New Roman" w:cs="Times New Roman"/>
                <w:noProof/>
              </w:rPr>
              <w:t xml:space="preserve"> and strategic sealift capabilities</w:t>
            </w:r>
            <w:r w:rsidRPr="00060E79">
              <w:rPr>
                <w:rFonts w:ascii="Times New Roman" w:hAnsi="Times New Roman" w:cs="Times New Roman"/>
                <w:noProof/>
              </w:rPr>
              <w:t>.</w:t>
            </w:r>
          </w:p>
          <w:p w14:paraId="547CAF9A" w14:textId="77777777" w:rsidR="00996D10" w:rsidRPr="00566832" w:rsidRDefault="00EC7839">
            <w:pPr>
              <w:pStyle w:val="ListParagraph"/>
              <w:numPr>
                <w:ilvl w:val="0"/>
                <w:numId w:val="28"/>
              </w:numPr>
              <w:tabs>
                <w:tab w:val="left" w:pos="284"/>
              </w:tabs>
              <w:spacing w:after="120"/>
              <w:jc w:val="both"/>
              <w:rPr>
                <w:rFonts w:ascii="Times New Roman" w:hAnsi="Times New Roman" w:cs="Times New Roman"/>
                <w:noProof/>
              </w:rPr>
            </w:pPr>
            <w:r w:rsidRPr="00060E79">
              <w:rPr>
                <w:rFonts w:ascii="Times New Roman" w:hAnsi="Times New Roman" w:cs="Times New Roman"/>
                <w:noProof/>
              </w:rPr>
              <w:t>EEAS, EDA and C</w:t>
            </w:r>
            <w:r w:rsidR="00FE7615" w:rsidRPr="00060E79">
              <w:rPr>
                <w:rFonts w:ascii="Times New Roman" w:hAnsi="Times New Roman" w:cs="Times New Roman"/>
                <w:noProof/>
              </w:rPr>
              <w:t>ommission</w:t>
            </w:r>
            <w:r w:rsidRPr="00060E79">
              <w:rPr>
                <w:rFonts w:ascii="Times New Roman" w:hAnsi="Times New Roman" w:cs="Times New Roman"/>
                <w:noProof/>
              </w:rPr>
              <w:t xml:space="preserve"> services will explore </w:t>
            </w:r>
            <w:r w:rsidR="00060E79">
              <w:rPr>
                <w:rFonts w:ascii="Times New Roman" w:hAnsi="Times New Roman" w:cs="Times New Roman"/>
                <w:noProof/>
              </w:rPr>
              <w:t xml:space="preserve">how to </w:t>
            </w:r>
            <w:r w:rsidRPr="00060E79">
              <w:rPr>
                <w:rFonts w:ascii="Times New Roman" w:hAnsi="Times New Roman" w:cs="Times New Roman"/>
                <w:noProof/>
              </w:rPr>
              <w:t xml:space="preserve">strengthen the coordination </w:t>
            </w:r>
            <w:r w:rsidR="00C2651F" w:rsidRPr="00060E79">
              <w:rPr>
                <w:rFonts w:ascii="Times New Roman" w:hAnsi="Times New Roman" w:cs="Times New Roman"/>
                <w:noProof/>
              </w:rPr>
              <w:t>of movement</w:t>
            </w:r>
            <w:r w:rsidRPr="00060E79">
              <w:rPr>
                <w:rFonts w:ascii="Times New Roman" w:hAnsi="Times New Roman" w:cs="Times New Roman"/>
                <w:noProof/>
              </w:rPr>
              <w:t xml:space="preserve"> capacity, including by seeking synergies with multi-national movement coordination </w:t>
            </w:r>
            <w:r w:rsidRPr="00566832">
              <w:rPr>
                <w:rFonts w:ascii="Times New Roman" w:hAnsi="Times New Roman" w:cs="Times New Roman"/>
                <w:noProof/>
              </w:rPr>
              <w:t>centres</w:t>
            </w:r>
            <w:r w:rsidR="00A82A8E" w:rsidRPr="00566832">
              <w:rPr>
                <w:rFonts w:ascii="Times New Roman" w:hAnsi="Times New Roman" w:cs="Times New Roman"/>
                <w:noProof/>
              </w:rPr>
              <w:t>.</w:t>
            </w:r>
          </w:p>
          <w:p w14:paraId="4E698D12" w14:textId="77777777" w:rsidR="00135169" w:rsidRPr="00566832" w:rsidRDefault="00135169" w:rsidP="00135169">
            <w:pPr>
              <w:pStyle w:val="ListParagraph"/>
              <w:numPr>
                <w:ilvl w:val="0"/>
                <w:numId w:val="28"/>
              </w:numPr>
              <w:tabs>
                <w:tab w:val="left" w:pos="284"/>
              </w:tabs>
              <w:spacing w:after="120"/>
              <w:jc w:val="both"/>
              <w:rPr>
                <w:rFonts w:ascii="Times New Roman" w:hAnsi="Times New Roman" w:cs="Times New Roman"/>
                <w:noProof/>
              </w:rPr>
            </w:pPr>
            <w:r w:rsidRPr="00566832">
              <w:rPr>
                <w:rFonts w:ascii="Times New Roman" w:hAnsi="Times New Roman" w:cs="Times New Roman"/>
                <w:noProof/>
              </w:rPr>
              <w:t>By the end of 2024, Commission services will provide an overview per transport mode of all key actors in the civilian domain for emergency and crisis planning and coordination purposes</w:t>
            </w:r>
            <w:r w:rsidR="00A82A8E" w:rsidRPr="00566832">
              <w:rPr>
                <w:rFonts w:ascii="Times New Roman" w:hAnsi="Times New Roman" w:cs="Times New Roman"/>
                <w:noProof/>
              </w:rPr>
              <w:t>.</w:t>
            </w:r>
          </w:p>
          <w:p w14:paraId="4255DB7B" w14:textId="77777777" w:rsidR="00FA0E91" w:rsidRPr="009310E8" w:rsidRDefault="005454B0" w:rsidP="00BF7D39">
            <w:pPr>
              <w:pStyle w:val="ListParagraph"/>
              <w:numPr>
                <w:ilvl w:val="0"/>
                <w:numId w:val="28"/>
              </w:numPr>
              <w:tabs>
                <w:tab w:val="left" w:pos="284"/>
              </w:tabs>
              <w:spacing w:after="120"/>
              <w:jc w:val="both"/>
              <w:rPr>
                <w:rFonts w:ascii="Times New Roman" w:hAnsi="Times New Roman"/>
                <w:noProof/>
              </w:rPr>
            </w:pPr>
            <w:r w:rsidRPr="00566832">
              <w:rPr>
                <w:rFonts w:ascii="Times New Roman" w:hAnsi="Times New Roman"/>
                <w:noProof/>
              </w:rPr>
              <w:t>By 2024, EDA</w:t>
            </w:r>
            <w:r w:rsidR="00BC3AED" w:rsidRPr="00566832">
              <w:rPr>
                <w:rFonts w:ascii="Times New Roman" w:hAnsi="Times New Roman"/>
                <w:noProof/>
              </w:rPr>
              <w:t>, together</w:t>
            </w:r>
            <w:r w:rsidR="00001D46" w:rsidRPr="00566832">
              <w:rPr>
                <w:rFonts w:ascii="Times New Roman" w:hAnsi="Times New Roman"/>
                <w:noProof/>
              </w:rPr>
              <w:t xml:space="preserve"> with</w:t>
            </w:r>
            <w:r w:rsidR="00BC3AED" w:rsidRPr="00566832">
              <w:rPr>
                <w:rFonts w:ascii="Times New Roman" w:hAnsi="Times New Roman"/>
                <w:noProof/>
              </w:rPr>
              <w:t xml:space="preserve"> Commission services and EEAS (including EUMS),</w:t>
            </w:r>
            <w:r w:rsidRPr="00566832">
              <w:rPr>
                <w:rFonts w:ascii="Times New Roman" w:hAnsi="Times New Roman"/>
                <w:noProof/>
              </w:rPr>
              <w:t xml:space="preserve"> will </w:t>
            </w:r>
            <w:r w:rsidR="008B638F">
              <w:rPr>
                <w:rFonts w:ascii="Times New Roman" w:hAnsi="Times New Roman"/>
                <w:noProof/>
              </w:rPr>
              <w:t>assess</w:t>
            </w:r>
            <w:r w:rsidRPr="00566832">
              <w:rPr>
                <w:rFonts w:ascii="Times New Roman" w:hAnsi="Times New Roman"/>
                <w:noProof/>
              </w:rPr>
              <w:t xml:space="preserve"> the benefit</w:t>
            </w:r>
            <w:r w:rsidRPr="00060E79">
              <w:rPr>
                <w:rFonts w:ascii="Times New Roman" w:hAnsi="Times New Roman"/>
                <w:noProof/>
              </w:rPr>
              <w:t xml:space="preserve"> of strategic lift capacities for </w:t>
            </w:r>
            <w:r w:rsidR="00A82A8E" w:rsidRPr="00060E79">
              <w:rPr>
                <w:rFonts w:ascii="Times New Roman" w:hAnsi="Times New Roman"/>
                <w:noProof/>
              </w:rPr>
              <w:t>dual use</w:t>
            </w:r>
            <w:r w:rsidRPr="00060E79">
              <w:rPr>
                <w:rFonts w:ascii="Times New Roman" w:hAnsi="Times New Roman"/>
                <w:noProof/>
              </w:rPr>
              <w:t>, such as disaster relief.</w:t>
            </w:r>
          </w:p>
          <w:p w14:paraId="72D1E5C2" w14:textId="77777777" w:rsidR="00FA0E91" w:rsidRPr="00E6071F" w:rsidRDefault="00FA0E91">
            <w:pPr>
              <w:pStyle w:val="ListParagraph"/>
              <w:numPr>
                <w:ilvl w:val="0"/>
                <w:numId w:val="28"/>
              </w:numPr>
              <w:tabs>
                <w:tab w:val="left" w:pos="284"/>
              </w:tabs>
              <w:spacing w:after="120"/>
              <w:jc w:val="both"/>
              <w:rPr>
                <w:rFonts w:ascii="Times New Roman" w:hAnsi="Times New Roman" w:cs="Times New Roman"/>
                <w:noProof/>
                <w:u w:val="single"/>
              </w:rPr>
            </w:pPr>
            <w:r w:rsidRPr="009310E8">
              <w:rPr>
                <w:rFonts w:ascii="Times New Roman" w:hAnsi="Times New Roman" w:cs="Times New Roman"/>
                <w:noProof/>
              </w:rPr>
              <w:t xml:space="preserve">The EEAS, Commission services and EDA will exploit multinational exercises to mainstream </w:t>
            </w:r>
            <w:r w:rsidR="002C0812" w:rsidRPr="009310E8">
              <w:rPr>
                <w:rFonts w:ascii="Times New Roman" w:hAnsi="Times New Roman" w:cs="Times New Roman"/>
                <w:noProof/>
              </w:rPr>
              <w:t>m</w:t>
            </w:r>
            <w:r w:rsidR="002C0812" w:rsidRPr="00851B40">
              <w:rPr>
                <w:rFonts w:ascii="Times New Roman" w:hAnsi="Times New Roman" w:cs="Times New Roman"/>
                <w:noProof/>
              </w:rPr>
              <w:t xml:space="preserve">ilitary </w:t>
            </w:r>
            <w:r w:rsidR="002C0812" w:rsidRPr="00E6071F">
              <w:rPr>
                <w:rFonts w:ascii="Times New Roman" w:hAnsi="Times New Roman" w:cs="Times New Roman"/>
                <w:noProof/>
              </w:rPr>
              <w:t xml:space="preserve">mobility </w:t>
            </w:r>
            <w:r w:rsidRPr="00E6071F">
              <w:rPr>
                <w:rFonts w:ascii="Times New Roman" w:hAnsi="Times New Roman" w:cs="Times New Roman"/>
                <w:noProof/>
              </w:rPr>
              <w:t xml:space="preserve">activities (deployment, sustainment and redeployment of the forces), including </w:t>
            </w:r>
            <w:r w:rsidR="007C7DFC" w:rsidRPr="00E6071F">
              <w:rPr>
                <w:rFonts w:ascii="Times New Roman" w:hAnsi="Times New Roman" w:cs="Times New Roman"/>
                <w:noProof/>
              </w:rPr>
              <w:t xml:space="preserve">EU live exercises and </w:t>
            </w:r>
            <w:r w:rsidRPr="00E6071F">
              <w:rPr>
                <w:rFonts w:ascii="Times New Roman" w:hAnsi="Times New Roman" w:cs="Times New Roman"/>
                <w:noProof/>
              </w:rPr>
              <w:t>Parallel and Coordinated Exercises</w:t>
            </w:r>
            <w:r w:rsidR="00A40C6A" w:rsidRPr="00E6071F">
              <w:rPr>
                <w:rFonts w:ascii="Times New Roman" w:hAnsi="Times New Roman" w:cs="Times New Roman"/>
                <w:noProof/>
              </w:rPr>
              <w:t xml:space="preserve"> with NATO, as well as </w:t>
            </w:r>
            <w:r w:rsidR="0040684D" w:rsidRPr="00E6071F">
              <w:rPr>
                <w:rFonts w:ascii="Times New Roman" w:hAnsi="Times New Roman" w:cs="Times New Roman"/>
                <w:noProof/>
              </w:rPr>
              <w:t xml:space="preserve">through EU participation </w:t>
            </w:r>
            <w:r w:rsidRPr="00E6071F">
              <w:rPr>
                <w:rFonts w:ascii="Times New Roman" w:hAnsi="Times New Roman" w:cs="Times New Roman"/>
                <w:noProof/>
              </w:rPr>
              <w:t xml:space="preserve">in NATO </w:t>
            </w:r>
            <w:r w:rsidR="0040684D" w:rsidRPr="00E6071F">
              <w:rPr>
                <w:rFonts w:ascii="Times New Roman" w:hAnsi="Times New Roman" w:cs="Times New Roman"/>
                <w:noProof/>
              </w:rPr>
              <w:t xml:space="preserve">exercises, </w:t>
            </w:r>
            <w:r w:rsidRPr="00E6071F">
              <w:rPr>
                <w:rFonts w:ascii="Times New Roman" w:hAnsi="Times New Roman" w:cs="Times New Roman"/>
                <w:noProof/>
              </w:rPr>
              <w:t>as appropriate.</w:t>
            </w:r>
          </w:p>
          <w:p w14:paraId="796828C7" w14:textId="77777777" w:rsidR="00EC7839" w:rsidRPr="00566832" w:rsidRDefault="00FA0E91">
            <w:pPr>
              <w:pStyle w:val="ListParagraph"/>
              <w:numPr>
                <w:ilvl w:val="0"/>
                <w:numId w:val="28"/>
              </w:numPr>
              <w:tabs>
                <w:tab w:val="left" w:pos="284"/>
              </w:tabs>
              <w:spacing w:after="120"/>
              <w:jc w:val="both"/>
              <w:rPr>
                <w:rFonts w:ascii="Times New Roman" w:hAnsi="Times New Roman" w:cs="Times New Roman"/>
                <w:noProof/>
              </w:rPr>
            </w:pPr>
            <w:r w:rsidRPr="00E6071F">
              <w:rPr>
                <w:rFonts w:ascii="Times New Roman" w:hAnsi="Times New Roman" w:cs="Times New Roman"/>
                <w:noProof/>
              </w:rPr>
              <w:t xml:space="preserve">The EEAS, </w:t>
            </w:r>
            <w:r w:rsidRPr="00566832">
              <w:rPr>
                <w:rFonts w:ascii="Times New Roman" w:hAnsi="Times New Roman" w:cs="Times New Roman"/>
                <w:noProof/>
              </w:rPr>
              <w:t xml:space="preserve">together with Commission services and the EDA, will </w:t>
            </w:r>
            <w:r w:rsidR="0034470B" w:rsidRPr="00566832">
              <w:rPr>
                <w:rFonts w:ascii="Times New Roman" w:hAnsi="Times New Roman" w:cs="Times New Roman"/>
                <w:noProof/>
              </w:rPr>
              <w:t>organise</w:t>
            </w:r>
            <w:r w:rsidR="00113AD9" w:rsidRPr="00566832">
              <w:rPr>
                <w:rFonts w:ascii="Times New Roman" w:hAnsi="Times New Roman" w:cs="Times New Roman"/>
                <w:noProof/>
              </w:rPr>
              <w:t xml:space="preserve"> </w:t>
            </w:r>
            <w:r w:rsidRPr="00566832">
              <w:rPr>
                <w:rFonts w:ascii="Times New Roman" w:hAnsi="Times New Roman" w:cs="Times New Roman"/>
                <w:noProof/>
              </w:rPr>
              <w:t xml:space="preserve">scenario-based exercises </w:t>
            </w:r>
            <w:r w:rsidR="00FD6314" w:rsidRPr="00566832">
              <w:rPr>
                <w:rFonts w:ascii="Times New Roman" w:hAnsi="Times New Roman" w:cs="Times New Roman"/>
                <w:noProof/>
              </w:rPr>
              <w:t xml:space="preserve">involving </w:t>
            </w:r>
            <w:r w:rsidRPr="00566832">
              <w:rPr>
                <w:rFonts w:ascii="Times New Roman" w:hAnsi="Times New Roman" w:cs="Times New Roman"/>
                <w:noProof/>
              </w:rPr>
              <w:t>Member States’ experts.</w:t>
            </w:r>
          </w:p>
          <w:p w14:paraId="2BF14A50" w14:textId="3E238AF3" w:rsidR="007D7A31" w:rsidRPr="003B2459" w:rsidRDefault="007D7A31" w:rsidP="007D7A31">
            <w:pPr>
              <w:pStyle w:val="ListParagraph"/>
              <w:numPr>
                <w:ilvl w:val="0"/>
                <w:numId w:val="28"/>
              </w:numPr>
              <w:tabs>
                <w:tab w:val="left" w:pos="284"/>
              </w:tabs>
              <w:spacing w:after="120"/>
              <w:jc w:val="both"/>
              <w:rPr>
                <w:rFonts w:ascii="Times New Roman" w:hAnsi="Times New Roman" w:cs="Times New Roman"/>
                <w:noProof/>
              </w:rPr>
            </w:pPr>
            <w:r w:rsidRPr="00566832">
              <w:rPr>
                <w:rFonts w:ascii="Times New Roman" w:hAnsi="Times New Roman" w:cs="Times New Roman"/>
                <w:noProof/>
              </w:rPr>
              <w:t xml:space="preserve">EDA and Commission services will continue their efforts </w:t>
            </w:r>
            <w:r w:rsidR="009C5063">
              <w:rPr>
                <w:rFonts w:ascii="Times New Roman" w:hAnsi="Times New Roman" w:cs="Times New Roman"/>
                <w:noProof/>
              </w:rPr>
              <w:t>to</w:t>
            </w:r>
            <w:r w:rsidR="009C5063" w:rsidRPr="00566832">
              <w:rPr>
                <w:rFonts w:ascii="Times New Roman" w:hAnsi="Times New Roman" w:cs="Times New Roman"/>
                <w:noProof/>
              </w:rPr>
              <w:t xml:space="preserve"> ensur</w:t>
            </w:r>
            <w:r w:rsidR="009C5063">
              <w:rPr>
                <w:rFonts w:ascii="Times New Roman" w:hAnsi="Times New Roman" w:cs="Times New Roman"/>
                <w:noProof/>
              </w:rPr>
              <w:t>e</w:t>
            </w:r>
            <w:r w:rsidR="009C5063" w:rsidRPr="00566832">
              <w:rPr>
                <w:rFonts w:ascii="Times New Roman" w:hAnsi="Times New Roman" w:cs="Times New Roman"/>
                <w:noProof/>
              </w:rPr>
              <w:t xml:space="preserve"> </w:t>
            </w:r>
            <w:r w:rsidRPr="00566832">
              <w:rPr>
                <w:rFonts w:ascii="Times New Roman" w:hAnsi="Times New Roman" w:cs="Times New Roman"/>
                <w:noProof/>
              </w:rPr>
              <w:t xml:space="preserve">reliable and effective exchange and sharing of digital data between relevant civil and military aviation stakeholders. </w:t>
            </w:r>
          </w:p>
          <w:p w14:paraId="62BCA7D1" w14:textId="77777777" w:rsidR="00F5459C" w:rsidRDefault="00380766" w:rsidP="005C0FEB">
            <w:pPr>
              <w:pStyle w:val="ListParagraph"/>
              <w:numPr>
                <w:ilvl w:val="0"/>
                <w:numId w:val="28"/>
              </w:numPr>
              <w:tabs>
                <w:tab w:val="left" w:pos="284"/>
              </w:tabs>
              <w:spacing w:after="120"/>
              <w:jc w:val="both"/>
              <w:rPr>
                <w:rFonts w:ascii="Times New Roman" w:hAnsi="Times New Roman" w:cs="Times New Roman"/>
                <w:noProof/>
              </w:rPr>
            </w:pPr>
            <w:r w:rsidRPr="00380766">
              <w:rPr>
                <w:rFonts w:ascii="Times New Roman" w:hAnsi="Times New Roman" w:cs="Times New Roman"/>
                <w:noProof/>
              </w:rPr>
              <w:t>The Commission</w:t>
            </w:r>
            <w:r w:rsidR="008B638F">
              <w:rPr>
                <w:rFonts w:ascii="Times New Roman" w:hAnsi="Times New Roman" w:cs="Times New Roman"/>
                <w:noProof/>
              </w:rPr>
              <w:t xml:space="preserve"> services</w:t>
            </w:r>
            <w:r w:rsidRPr="00380766">
              <w:rPr>
                <w:rFonts w:ascii="Times New Roman" w:hAnsi="Times New Roman" w:cs="Times New Roman"/>
                <w:noProof/>
              </w:rPr>
              <w:t>, the EEAS and the NIS cooperation group, in coordination with relevant civilian and military bodies and agencies and established networks will conduct on a regular basis risk evaluation and risk scenarios from a cybersecurity perspective, focusing on priority critical sectors</w:t>
            </w:r>
            <w:r w:rsidR="00DD2569">
              <w:rPr>
                <w:rFonts w:ascii="Times New Roman" w:hAnsi="Times New Roman" w:cs="Times New Roman"/>
                <w:noProof/>
              </w:rPr>
              <w:t>.</w:t>
            </w:r>
            <w:r w:rsidRPr="00380766">
              <w:rPr>
                <w:rFonts w:ascii="Times New Roman" w:hAnsi="Times New Roman" w:cs="Times New Roman"/>
                <w:noProof/>
              </w:rPr>
              <w:t xml:space="preserve"> </w:t>
            </w:r>
            <w:r w:rsidR="00DD2569" w:rsidRPr="00DD2569">
              <w:rPr>
                <w:rFonts w:ascii="Times New Roman" w:hAnsi="Times New Roman" w:cs="Times New Roman"/>
                <w:noProof/>
              </w:rPr>
              <w:t>This will be carried out to ensure complementarity with the stress testing of critical infrastructures</w:t>
            </w:r>
            <w:r w:rsidR="00D5055D">
              <w:rPr>
                <w:rFonts w:ascii="Times New Roman" w:hAnsi="Times New Roman" w:cs="Times New Roman"/>
                <w:noProof/>
              </w:rPr>
              <w:t>,</w:t>
            </w:r>
            <w:r w:rsidR="00DD2569" w:rsidRPr="00DD2569">
              <w:rPr>
                <w:rFonts w:ascii="Times New Roman" w:hAnsi="Times New Roman" w:cs="Times New Roman"/>
                <w:noProof/>
              </w:rPr>
              <w:t xml:space="preserve"> as set out in the presidential 5</w:t>
            </w:r>
            <w:r w:rsidR="00D5055D">
              <w:rPr>
                <w:rFonts w:ascii="Times New Roman" w:hAnsi="Times New Roman" w:cs="Times New Roman"/>
                <w:noProof/>
              </w:rPr>
              <w:t>-</w:t>
            </w:r>
            <w:r w:rsidR="00DD2569" w:rsidRPr="00DD2569">
              <w:rPr>
                <w:rFonts w:ascii="Times New Roman" w:hAnsi="Times New Roman" w:cs="Times New Roman"/>
                <w:noProof/>
              </w:rPr>
              <w:t>point plan and the subsequent proposal for a Council recommendation on critical infrastructure resilience</w:t>
            </w:r>
            <w:r w:rsidR="00DD2569">
              <w:rPr>
                <w:rFonts w:ascii="Times New Roman" w:hAnsi="Times New Roman" w:cs="Times New Roman"/>
                <w:noProof/>
              </w:rPr>
              <w:t xml:space="preserve">. </w:t>
            </w:r>
          </w:p>
          <w:p w14:paraId="7A7EE513" w14:textId="74966CEF" w:rsidR="005C0FEB" w:rsidRDefault="005C0FEB" w:rsidP="005C0FEB">
            <w:pPr>
              <w:pStyle w:val="ListParagraph"/>
              <w:numPr>
                <w:ilvl w:val="0"/>
                <w:numId w:val="28"/>
              </w:numPr>
              <w:tabs>
                <w:tab w:val="left" w:pos="284"/>
              </w:tabs>
              <w:spacing w:after="120"/>
              <w:jc w:val="both"/>
              <w:rPr>
                <w:rFonts w:ascii="Times New Roman" w:hAnsi="Times New Roman" w:cs="Times New Roman"/>
                <w:noProof/>
              </w:rPr>
            </w:pPr>
            <w:r w:rsidRPr="00344F24">
              <w:rPr>
                <w:rFonts w:ascii="Times New Roman" w:hAnsi="Times New Roman" w:cs="Times New Roman"/>
                <w:noProof/>
              </w:rPr>
              <w:t xml:space="preserve">EDA, together with EEAS and Commission services, </w:t>
            </w:r>
            <w:r w:rsidR="00113AD9" w:rsidRPr="00060E79">
              <w:rPr>
                <w:rFonts w:ascii="Times New Roman" w:hAnsi="Times New Roman" w:cs="Times New Roman"/>
                <w:noProof/>
              </w:rPr>
              <w:t xml:space="preserve">will </w:t>
            </w:r>
            <w:r w:rsidRPr="00060E79">
              <w:rPr>
                <w:rFonts w:ascii="Times New Roman" w:hAnsi="Times New Roman" w:cs="Times New Roman"/>
                <w:noProof/>
              </w:rPr>
              <w:t>build on ongoing initiatives</w:t>
            </w:r>
            <w:r w:rsidR="00113AD9" w:rsidRPr="00060E79">
              <w:rPr>
                <w:rFonts w:ascii="Times New Roman" w:hAnsi="Times New Roman" w:cs="Times New Roman"/>
                <w:noProof/>
              </w:rPr>
              <w:t xml:space="preserve"> </w:t>
            </w:r>
            <w:r w:rsidRPr="00060E79">
              <w:rPr>
                <w:rFonts w:ascii="Times New Roman" w:hAnsi="Times New Roman" w:cs="Times New Roman"/>
                <w:noProof/>
              </w:rPr>
              <w:t>to enhance the climate resilience and energy security of military installations and transport capabilities that are necessary for military mobility, and put forward recommendations to Member States as part of the work on climate and defence.</w:t>
            </w:r>
            <w:r w:rsidR="00424B16">
              <w:rPr>
                <w:rFonts w:ascii="Times New Roman" w:hAnsi="Times New Roman" w:cs="Times New Roman"/>
                <w:noProof/>
              </w:rPr>
              <w:t xml:space="preserve"> Synergies with TEN-T will also be explored.</w:t>
            </w:r>
          </w:p>
          <w:p w14:paraId="7EBEE1F4" w14:textId="77777777" w:rsidR="00FA0E91" w:rsidRPr="00E6071F" w:rsidRDefault="00135169" w:rsidP="00BC24CF">
            <w:pPr>
              <w:pStyle w:val="ListParagraph"/>
              <w:numPr>
                <w:ilvl w:val="0"/>
                <w:numId w:val="28"/>
              </w:numPr>
              <w:tabs>
                <w:tab w:val="left" w:pos="284"/>
              </w:tabs>
              <w:spacing w:after="120"/>
              <w:jc w:val="both"/>
              <w:rPr>
                <w:rFonts w:ascii="Times New Roman" w:hAnsi="Times New Roman" w:cs="Times New Roman"/>
                <w:noProof/>
                <w:u w:val="single"/>
              </w:rPr>
            </w:pPr>
            <w:r w:rsidRPr="00E6071F">
              <w:rPr>
                <w:rFonts w:ascii="Times New Roman" w:eastAsia="Times New Roman" w:hAnsi="Times New Roman" w:cs="Times New Roman"/>
                <w:noProof/>
              </w:rPr>
              <w:t xml:space="preserve">By the end of 2023, </w:t>
            </w:r>
            <w:r w:rsidR="00113AD9" w:rsidRPr="00E6071F">
              <w:rPr>
                <w:rFonts w:ascii="Times New Roman" w:eastAsia="Times New Roman" w:hAnsi="Times New Roman" w:cs="Times New Roman"/>
                <w:noProof/>
              </w:rPr>
              <w:t>Commission services</w:t>
            </w:r>
            <w:r w:rsidRPr="00E6071F">
              <w:rPr>
                <w:rFonts w:ascii="Times New Roman" w:eastAsia="Times New Roman" w:hAnsi="Times New Roman" w:cs="Times New Roman"/>
                <w:noProof/>
              </w:rPr>
              <w:t xml:space="preserve"> together with </w:t>
            </w:r>
            <w:r w:rsidR="00BC24CF" w:rsidRPr="00E6071F">
              <w:rPr>
                <w:rFonts w:ascii="Times New Roman" w:eastAsia="Times New Roman" w:hAnsi="Times New Roman" w:cs="Times New Roman"/>
                <w:noProof/>
              </w:rPr>
              <w:t>EASA</w:t>
            </w:r>
            <w:r w:rsidRPr="00E6071F">
              <w:rPr>
                <w:rFonts w:ascii="Times New Roman" w:eastAsia="Times New Roman" w:hAnsi="Times New Roman" w:cs="Times New Roman"/>
                <w:noProof/>
              </w:rPr>
              <w:t xml:space="preserve">, and in collaboration with the military aviation authorities and industry, </w:t>
            </w:r>
            <w:r w:rsidR="00113AD9" w:rsidRPr="00E6071F">
              <w:rPr>
                <w:rFonts w:ascii="Times New Roman" w:eastAsia="Times New Roman" w:hAnsi="Times New Roman" w:cs="Times New Roman"/>
                <w:noProof/>
              </w:rPr>
              <w:t xml:space="preserve">will </w:t>
            </w:r>
            <w:r w:rsidRPr="00E6071F">
              <w:rPr>
                <w:rFonts w:ascii="Times New Roman" w:eastAsia="Times New Roman" w:hAnsi="Times New Roman" w:cs="Times New Roman"/>
                <w:noProof/>
              </w:rPr>
              <w:t xml:space="preserve">launch </w:t>
            </w:r>
            <w:r w:rsidR="00113AD9" w:rsidRPr="00E6071F">
              <w:rPr>
                <w:rFonts w:ascii="Times New Roman" w:eastAsia="Times New Roman" w:hAnsi="Times New Roman" w:cs="Times New Roman"/>
                <w:noProof/>
              </w:rPr>
              <w:t>a</w:t>
            </w:r>
            <w:r w:rsidR="00FA0E91" w:rsidRPr="00E6071F">
              <w:rPr>
                <w:rFonts w:ascii="Times New Roman" w:eastAsia="Times New Roman" w:hAnsi="Times New Roman" w:cs="Times New Roman"/>
                <w:noProof/>
              </w:rPr>
              <w:t xml:space="preserve"> pilot project establishing a mechanism of mutual recognition of parts used by civil and military configurations of aircraft models</w:t>
            </w:r>
            <w:r w:rsidRPr="00E6071F">
              <w:rPr>
                <w:rFonts w:ascii="Times New Roman" w:eastAsia="Times New Roman" w:hAnsi="Times New Roman" w:cs="Times New Roman"/>
                <w:noProof/>
              </w:rPr>
              <w:t>.</w:t>
            </w:r>
            <w:r w:rsidR="007A0283" w:rsidRPr="00E6071F">
              <w:rPr>
                <w:rFonts w:ascii="Times New Roman" w:eastAsia="Times New Roman" w:hAnsi="Times New Roman" w:cs="Times New Roman"/>
                <w:noProof/>
              </w:rPr>
              <w:t xml:space="preserve"> The project should include the elaboration of a civilian-military interface agreement to define the responsibilities of the different parties. The pilot project should be finalized no later than two years after the adoption of the Action Plan. </w:t>
            </w:r>
          </w:p>
          <w:p w14:paraId="7BEF4419" w14:textId="5BC20C82" w:rsidR="00FA0E91" w:rsidRPr="00FD6314" w:rsidRDefault="00113AD9" w:rsidP="000C1618">
            <w:pPr>
              <w:pStyle w:val="ListParagraph"/>
              <w:numPr>
                <w:ilvl w:val="0"/>
                <w:numId w:val="28"/>
              </w:numPr>
              <w:tabs>
                <w:tab w:val="left" w:pos="284"/>
              </w:tabs>
              <w:spacing w:after="120"/>
              <w:jc w:val="both"/>
              <w:rPr>
                <w:rFonts w:ascii="Times New Roman" w:hAnsi="Times New Roman" w:cs="Times New Roman"/>
                <w:noProof/>
              </w:rPr>
            </w:pPr>
            <w:r w:rsidRPr="00E6071F">
              <w:rPr>
                <w:rFonts w:ascii="Times New Roman" w:hAnsi="Times New Roman" w:cs="Times New Roman"/>
                <w:noProof/>
              </w:rPr>
              <w:t>Commission services, EDA and EEAS will e</w:t>
            </w:r>
            <w:r w:rsidR="001C7A1A" w:rsidRPr="00E6071F">
              <w:rPr>
                <w:rFonts w:ascii="Times New Roman" w:hAnsi="Times New Roman" w:cs="Times New Roman"/>
                <w:noProof/>
              </w:rPr>
              <w:t xml:space="preserve">xplore </w:t>
            </w:r>
            <w:r w:rsidR="00A12B3E" w:rsidRPr="00E6071F">
              <w:rPr>
                <w:rFonts w:ascii="Times New Roman" w:hAnsi="Times New Roman" w:cs="Times New Roman"/>
                <w:noProof/>
              </w:rPr>
              <w:t xml:space="preserve">a set of emergency measures that would </w:t>
            </w:r>
            <w:r w:rsidR="009C00BE" w:rsidRPr="00E6071F">
              <w:rPr>
                <w:rFonts w:ascii="Times New Roman" w:hAnsi="Times New Roman" w:cs="Times New Roman"/>
                <w:noProof/>
              </w:rPr>
              <w:t xml:space="preserve">provide the military with prioritised access to </w:t>
            </w:r>
            <w:r w:rsidR="001C7A1A" w:rsidRPr="00E6071F">
              <w:rPr>
                <w:rFonts w:ascii="Times New Roman" w:hAnsi="Times New Roman" w:cs="Times New Roman"/>
                <w:noProof/>
              </w:rPr>
              <w:t xml:space="preserve">transport infrastructure, capabilities and routes, when </w:t>
            </w:r>
            <w:r w:rsidR="00DC4FB7" w:rsidRPr="00E6071F">
              <w:rPr>
                <w:rFonts w:ascii="Times New Roman" w:hAnsi="Times New Roman" w:cs="Times New Roman"/>
                <w:noProof/>
              </w:rPr>
              <w:t>necessary,</w:t>
            </w:r>
            <w:r w:rsidR="001C7A1A" w:rsidRPr="00E6071F">
              <w:rPr>
                <w:rFonts w:ascii="Times New Roman" w:hAnsi="Times New Roman" w:cs="Times New Roman"/>
                <w:noProof/>
              </w:rPr>
              <w:t xml:space="preserve"> in times of crisis</w:t>
            </w:r>
            <w:r w:rsidR="00A12B3E" w:rsidRPr="00E6071F">
              <w:rPr>
                <w:rFonts w:ascii="Times New Roman" w:hAnsi="Times New Roman" w:cs="Times New Roman"/>
                <w:noProof/>
              </w:rPr>
              <w:t xml:space="preserve"> recognised at EU</w:t>
            </w:r>
            <w:r w:rsidR="009C5063">
              <w:rPr>
                <w:rFonts w:ascii="Times New Roman" w:hAnsi="Times New Roman" w:cs="Times New Roman"/>
                <w:noProof/>
              </w:rPr>
              <w:t xml:space="preserve"> </w:t>
            </w:r>
            <w:r w:rsidR="00A12B3E" w:rsidRPr="00E6071F">
              <w:rPr>
                <w:rFonts w:ascii="Times New Roman" w:hAnsi="Times New Roman" w:cs="Times New Roman"/>
                <w:noProof/>
              </w:rPr>
              <w:t>level</w:t>
            </w:r>
            <w:r w:rsidR="009C00BE" w:rsidRPr="00E6071F">
              <w:rPr>
                <w:rFonts w:ascii="Times New Roman" w:hAnsi="Times New Roman" w:cs="Times New Roman"/>
                <w:noProof/>
              </w:rPr>
              <w:t xml:space="preserve"> </w:t>
            </w:r>
            <w:r w:rsidRPr="00E6071F">
              <w:rPr>
                <w:rFonts w:ascii="Times New Roman" w:hAnsi="Times New Roman" w:cs="Times New Roman"/>
                <w:noProof/>
              </w:rPr>
              <w:t>T</w:t>
            </w:r>
            <w:r w:rsidR="00E340B1" w:rsidRPr="00E6071F">
              <w:rPr>
                <w:rFonts w:ascii="Times New Roman" w:hAnsi="Times New Roman" w:cs="Times New Roman"/>
                <w:noProof/>
              </w:rPr>
              <w:t xml:space="preserve">o enhance civil/military synergies, </w:t>
            </w:r>
            <w:r w:rsidRPr="00E6071F">
              <w:rPr>
                <w:rFonts w:ascii="Times New Roman" w:hAnsi="Times New Roman" w:cs="Times New Roman"/>
                <w:noProof/>
              </w:rPr>
              <w:t xml:space="preserve">they will assess possibilities to secure access to strategic lift capacities, </w:t>
            </w:r>
            <w:r w:rsidRPr="00FD6314">
              <w:rPr>
                <w:rFonts w:ascii="Times New Roman" w:hAnsi="Times New Roman" w:cs="Times New Roman"/>
                <w:noProof/>
              </w:rPr>
              <w:t>for example through framework contracts with civilian providers</w:t>
            </w:r>
            <w:r w:rsidR="00D83A6C" w:rsidRPr="00FD6314">
              <w:rPr>
                <w:rFonts w:ascii="Times New Roman" w:hAnsi="Times New Roman" w:cs="Times New Roman"/>
                <w:noProof/>
              </w:rPr>
              <w:t>.</w:t>
            </w:r>
          </w:p>
        </w:tc>
      </w:tr>
    </w:tbl>
    <w:p w14:paraId="1D9A3DA1" w14:textId="77777777" w:rsidR="006D04DB" w:rsidRDefault="006D04DB" w:rsidP="006D04DB">
      <w:pPr>
        <w:tabs>
          <w:tab w:val="left" w:pos="284"/>
        </w:tabs>
        <w:spacing w:after="120" w:line="240" w:lineRule="auto"/>
        <w:jc w:val="both"/>
        <w:rPr>
          <w:rFonts w:ascii="Times New Roman" w:hAnsi="Times New Roman" w:cs="Times New Roman"/>
          <w:b/>
          <w:noProof/>
          <w:lang w:val="en-GB"/>
        </w:rPr>
      </w:pPr>
    </w:p>
    <w:tbl>
      <w:tblPr>
        <w:tblStyle w:val="TableGrid"/>
        <w:tblW w:w="0" w:type="dxa"/>
        <w:tblLook w:val="04A0" w:firstRow="1" w:lastRow="0" w:firstColumn="1" w:lastColumn="0" w:noHBand="0" w:noVBand="1"/>
      </w:tblPr>
      <w:tblGrid>
        <w:gridCol w:w="9016"/>
      </w:tblGrid>
      <w:tr w:rsidR="005C27F3" w:rsidRPr="00E6071F" w14:paraId="5DE0D3B5" w14:textId="77777777" w:rsidTr="00A97335">
        <w:tc>
          <w:tcPr>
            <w:tcW w:w="9288" w:type="dxa"/>
            <w:shd w:val="clear" w:color="auto" w:fill="D9D9D9" w:themeFill="background1" w:themeFillShade="D9"/>
          </w:tcPr>
          <w:p w14:paraId="413B1039" w14:textId="77777777" w:rsidR="005C27F3" w:rsidRPr="00E6071F" w:rsidRDefault="005C27F3" w:rsidP="00A97335">
            <w:pPr>
              <w:tabs>
                <w:tab w:val="left" w:pos="284"/>
              </w:tabs>
              <w:spacing w:after="120"/>
              <w:jc w:val="both"/>
              <w:rPr>
                <w:rFonts w:ascii="Times New Roman" w:hAnsi="Times New Roman" w:cs="Times New Roman"/>
                <w:b/>
                <w:noProof/>
              </w:rPr>
            </w:pPr>
            <w:r w:rsidRPr="00E6071F">
              <w:rPr>
                <w:rFonts w:ascii="Times New Roman" w:hAnsi="Times New Roman" w:cs="Times New Roman"/>
                <w:b/>
                <w:noProof/>
              </w:rPr>
              <w:t>EU Member States are invited to:</w:t>
            </w:r>
          </w:p>
          <w:p w14:paraId="11EA202B" w14:textId="77777777" w:rsidR="005C27F3" w:rsidRPr="005C27F3" w:rsidRDefault="005C27F3" w:rsidP="005C27F3">
            <w:pPr>
              <w:pStyle w:val="ListParagraph"/>
              <w:numPr>
                <w:ilvl w:val="0"/>
                <w:numId w:val="28"/>
              </w:numPr>
              <w:tabs>
                <w:tab w:val="left" w:pos="284"/>
              </w:tabs>
              <w:spacing w:after="120"/>
              <w:jc w:val="both"/>
              <w:rPr>
                <w:rFonts w:ascii="Times New Roman" w:hAnsi="Times New Roman" w:cs="Times New Roman"/>
                <w:noProof/>
                <w:u w:val="single"/>
              </w:rPr>
            </w:pPr>
            <w:r w:rsidRPr="005C27F3">
              <w:rPr>
                <w:rFonts w:ascii="Times New Roman" w:hAnsi="Times New Roman" w:cs="Times New Roman"/>
                <w:noProof/>
              </w:rPr>
              <w:t>Ensure the cyber-resilience of the future digital processes and procedures, building on the EDA’s work and exploring the possibility of developing functional requirements related to security</w:t>
            </w:r>
          </w:p>
        </w:tc>
      </w:tr>
    </w:tbl>
    <w:p w14:paraId="1526A88A" w14:textId="77777777" w:rsidR="006D04DB" w:rsidRPr="006D04DB" w:rsidRDefault="006D04DB" w:rsidP="0029319B">
      <w:pPr>
        <w:tabs>
          <w:tab w:val="left" w:pos="426"/>
        </w:tabs>
        <w:spacing w:after="240" w:line="240" w:lineRule="auto"/>
        <w:jc w:val="both"/>
        <w:rPr>
          <w:rFonts w:ascii="Times New Roman" w:hAnsi="Times New Roman" w:cs="Times New Roman"/>
          <w:b/>
          <w:noProof/>
          <w:lang w:val="en-US"/>
        </w:rPr>
      </w:pPr>
    </w:p>
    <w:p w14:paraId="071C6B30" w14:textId="77777777" w:rsidR="00982B16" w:rsidRPr="00E6071F" w:rsidRDefault="004D32BB" w:rsidP="0029319B">
      <w:pPr>
        <w:tabs>
          <w:tab w:val="left" w:pos="426"/>
        </w:tabs>
        <w:spacing w:after="240" w:line="240" w:lineRule="auto"/>
        <w:jc w:val="both"/>
        <w:rPr>
          <w:rFonts w:ascii="Times New Roman" w:hAnsi="Times New Roman" w:cs="Times New Roman"/>
          <w:b/>
          <w:noProof/>
          <w:u w:val="single"/>
          <w:lang w:val="en-GB"/>
        </w:rPr>
      </w:pPr>
      <w:r>
        <w:rPr>
          <w:rFonts w:ascii="Times New Roman" w:hAnsi="Times New Roman" w:cs="Times New Roman"/>
          <w:b/>
          <w:noProof/>
          <w:lang w:val="en-GB"/>
        </w:rPr>
        <w:t>4.</w:t>
      </w:r>
      <w:r w:rsidR="004E3FC4" w:rsidRPr="00E6071F">
        <w:rPr>
          <w:rFonts w:ascii="Times New Roman" w:hAnsi="Times New Roman" w:cs="Times New Roman"/>
          <w:b/>
          <w:noProof/>
          <w:lang w:val="en-GB"/>
        </w:rPr>
        <w:tab/>
      </w:r>
      <w:r>
        <w:rPr>
          <w:rFonts w:ascii="Times New Roman" w:hAnsi="Times New Roman" w:cs="Times New Roman"/>
          <w:b/>
          <w:noProof/>
          <w:u w:val="single"/>
          <w:lang w:val="en-GB"/>
        </w:rPr>
        <w:t>PARTNERSHIP DIMENSION</w:t>
      </w:r>
    </w:p>
    <w:p w14:paraId="6848B4A0" w14:textId="77777777" w:rsidR="00C26CE7" w:rsidRPr="009310E8" w:rsidRDefault="00EA3EEF">
      <w:pPr>
        <w:spacing w:after="240" w:line="240" w:lineRule="auto"/>
        <w:jc w:val="both"/>
        <w:rPr>
          <w:rFonts w:ascii="Times New Roman" w:hAnsi="Times New Roman" w:cs="Times New Roman"/>
          <w:iCs/>
          <w:noProof/>
        </w:rPr>
      </w:pPr>
      <w:r w:rsidRPr="00E6071F">
        <w:rPr>
          <w:rFonts w:ascii="Times New Roman" w:hAnsi="Times New Roman" w:cs="Times New Roman"/>
          <w:iCs/>
          <w:noProof/>
        </w:rPr>
        <w:t xml:space="preserve">The </w:t>
      </w:r>
      <w:r w:rsidR="00C26CE7" w:rsidRPr="00E6071F">
        <w:rPr>
          <w:rFonts w:ascii="Times New Roman" w:hAnsi="Times New Roman" w:cs="Times New Roman"/>
          <w:iCs/>
          <w:noProof/>
        </w:rPr>
        <w:t xml:space="preserve">EU and NATO have a shared interest in ensuring the swift movement of military personnel and their equipment for </w:t>
      </w:r>
      <w:r w:rsidR="00FD6314">
        <w:rPr>
          <w:rFonts w:ascii="Times New Roman" w:hAnsi="Times New Roman" w:cs="Times New Roman"/>
          <w:iCs/>
          <w:noProof/>
        </w:rPr>
        <w:t xml:space="preserve">both </w:t>
      </w:r>
      <w:r w:rsidR="00C26CE7" w:rsidRPr="00FD6314">
        <w:rPr>
          <w:rFonts w:ascii="Times New Roman" w:hAnsi="Times New Roman" w:cs="Times New Roman"/>
          <w:iCs/>
          <w:noProof/>
        </w:rPr>
        <w:t xml:space="preserve">routine </w:t>
      </w:r>
      <w:r w:rsidR="004D1E2B">
        <w:rPr>
          <w:rFonts w:ascii="Times New Roman" w:hAnsi="Times New Roman" w:cs="Times New Roman"/>
          <w:iCs/>
          <w:noProof/>
        </w:rPr>
        <w:t xml:space="preserve">peacetime </w:t>
      </w:r>
      <w:r w:rsidR="00C26CE7" w:rsidRPr="00FD6314">
        <w:rPr>
          <w:rFonts w:ascii="Times New Roman" w:hAnsi="Times New Roman" w:cs="Times New Roman"/>
          <w:iCs/>
          <w:noProof/>
        </w:rPr>
        <w:t xml:space="preserve">activities </w:t>
      </w:r>
      <w:r w:rsidR="00FD6314">
        <w:rPr>
          <w:rFonts w:ascii="Times New Roman" w:hAnsi="Times New Roman" w:cs="Times New Roman"/>
          <w:iCs/>
          <w:noProof/>
        </w:rPr>
        <w:t xml:space="preserve">and </w:t>
      </w:r>
      <w:r w:rsidR="00C26CE7" w:rsidRPr="00FD6314">
        <w:rPr>
          <w:rFonts w:ascii="Times New Roman" w:hAnsi="Times New Roman" w:cs="Times New Roman"/>
          <w:iCs/>
          <w:noProof/>
        </w:rPr>
        <w:t xml:space="preserve">in </w:t>
      </w:r>
      <w:r w:rsidR="00FD6314">
        <w:rPr>
          <w:rFonts w:ascii="Times New Roman" w:hAnsi="Times New Roman" w:cs="Times New Roman"/>
          <w:iCs/>
          <w:noProof/>
        </w:rPr>
        <w:t xml:space="preserve">times of </w:t>
      </w:r>
      <w:r w:rsidR="00C26CE7" w:rsidRPr="00FD6314">
        <w:rPr>
          <w:rFonts w:ascii="Times New Roman" w:hAnsi="Times New Roman" w:cs="Times New Roman"/>
          <w:iCs/>
          <w:noProof/>
        </w:rPr>
        <w:t>crisis. Ensuring coherence and mutual reinforce</w:t>
      </w:r>
      <w:r w:rsidR="00BB0B59" w:rsidRPr="00FD6314">
        <w:rPr>
          <w:rFonts w:ascii="Times New Roman" w:hAnsi="Times New Roman" w:cs="Times New Roman"/>
          <w:iCs/>
          <w:noProof/>
        </w:rPr>
        <w:t>ment</w:t>
      </w:r>
      <w:r w:rsidR="00C26CE7" w:rsidRPr="00FD6314">
        <w:rPr>
          <w:rFonts w:ascii="Times New Roman" w:hAnsi="Times New Roman" w:cs="Times New Roman"/>
          <w:iCs/>
          <w:noProof/>
        </w:rPr>
        <w:t xml:space="preserve"> with regard to respective strands of work </w:t>
      </w:r>
      <w:r w:rsidR="00BB0B59" w:rsidRPr="00FD6314">
        <w:rPr>
          <w:rFonts w:ascii="Times New Roman" w:hAnsi="Times New Roman" w:cs="Times New Roman"/>
          <w:iCs/>
          <w:noProof/>
        </w:rPr>
        <w:t xml:space="preserve">has </w:t>
      </w:r>
      <w:r w:rsidR="00C26CE7" w:rsidRPr="00FD6314">
        <w:rPr>
          <w:rFonts w:ascii="Times New Roman" w:hAnsi="Times New Roman" w:cs="Times New Roman"/>
          <w:iCs/>
          <w:noProof/>
        </w:rPr>
        <w:t xml:space="preserve">therefore </w:t>
      </w:r>
      <w:r w:rsidR="00BB0B59" w:rsidRPr="00060E79">
        <w:rPr>
          <w:rFonts w:ascii="Times New Roman" w:hAnsi="Times New Roman" w:cs="Times New Roman"/>
          <w:iCs/>
          <w:noProof/>
        </w:rPr>
        <w:t xml:space="preserve">been </w:t>
      </w:r>
      <w:r w:rsidR="00092EE7" w:rsidRPr="00060E79">
        <w:rPr>
          <w:rFonts w:ascii="Times New Roman" w:hAnsi="Times New Roman" w:cs="Times New Roman"/>
          <w:iCs/>
          <w:noProof/>
        </w:rPr>
        <w:t xml:space="preserve">an integral part of </w:t>
      </w:r>
      <w:r w:rsidR="00C26CE7" w:rsidRPr="00060E79">
        <w:rPr>
          <w:rFonts w:ascii="Times New Roman" w:hAnsi="Times New Roman" w:cs="Times New Roman"/>
          <w:iCs/>
          <w:noProof/>
        </w:rPr>
        <w:t xml:space="preserve">the </w:t>
      </w:r>
      <w:r w:rsidR="00F13899" w:rsidRPr="00060E79">
        <w:rPr>
          <w:rFonts w:ascii="Times New Roman" w:hAnsi="Times New Roman" w:cs="Times New Roman"/>
          <w:iCs/>
          <w:noProof/>
        </w:rPr>
        <w:t xml:space="preserve">military mobility </w:t>
      </w:r>
      <w:r w:rsidR="00C26CE7" w:rsidRPr="00060E79">
        <w:rPr>
          <w:rFonts w:ascii="Times New Roman" w:hAnsi="Times New Roman" w:cs="Times New Roman"/>
          <w:iCs/>
          <w:noProof/>
        </w:rPr>
        <w:t>initiative</w:t>
      </w:r>
      <w:r w:rsidR="00092EE7" w:rsidRPr="00060E79">
        <w:rPr>
          <w:rFonts w:ascii="Times New Roman" w:hAnsi="Times New Roman" w:cs="Times New Roman"/>
          <w:iCs/>
          <w:noProof/>
        </w:rPr>
        <w:t xml:space="preserve"> since it</w:t>
      </w:r>
      <w:r w:rsidR="004D1E2B">
        <w:rPr>
          <w:rFonts w:ascii="Times New Roman" w:hAnsi="Times New Roman" w:cs="Times New Roman"/>
          <w:iCs/>
          <w:noProof/>
        </w:rPr>
        <w:t>s</w:t>
      </w:r>
      <w:r w:rsidR="001A7BAA">
        <w:rPr>
          <w:rFonts w:ascii="Times New Roman" w:hAnsi="Times New Roman" w:cs="Times New Roman"/>
          <w:iCs/>
          <w:noProof/>
        </w:rPr>
        <w:t xml:space="preserve"> </w:t>
      </w:r>
      <w:r w:rsidR="00092EE7" w:rsidRPr="00060E79">
        <w:rPr>
          <w:rFonts w:ascii="Times New Roman" w:hAnsi="Times New Roman" w:cs="Times New Roman"/>
          <w:iCs/>
          <w:noProof/>
        </w:rPr>
        <w:t>launch</w:t>
      </w:r>
      <w:r w:rsidR="00C26CE7" w:rsidRPr="00060E79">
        <w:rPr>
          <w:rFonts w:ascii="Times New Roman" w:hAnsi="Times New Roman" w:cs="Times New Roman"/>
          <w:iCs/>
          <w:noProof/>
        </w:rPr>
        <w:t xml:space="preserve">. In light of the war in Ukraine, new questions have </w:t>
      </w:r>
      <w:r w:rsidR="00092EE7" w:rsidRPr="00060E79">
        <w:rPr>
          <w:rFonts w:ascii="Times New Roman" w:hAnsi="Times New Roman" w:cs="Times New Roman"/>
          <w:iCs/>
          <w:noProof/>
        </w:rPr>
        <w:t>arisen regard</w:t>
      </w:r>
      <w:r w:rsidR="00BB0B59" w:rsidRPr="00060E79">
        <w:rPr>
          <w:rFonts w:ascii="Times New Roman" w:hAnsi="Times New Roman" w:cs="Times New Roman"/>
          <w:iCs/>
          <w:noProof/>
        </w:rPr>
        <w:t>ing</w:t>
      </w:r>
      <w:r w:rsidR="00092EE7" w:rsidRPr="00060E79">
        <w:rPr>
          <w:rFonts w:ascii="Times New Roman" w:hAnsi="Times New Roman" w:cs="Times New Roman"/>
          <w:iCs/>
          <w:noProof/>
        </w:rPr>
        <w:t xml:space="preserve"> </w:t>
      </w:r>
      <w:r w:rsidR="00092EE7" w:rsidRPr="009310E8">
        <w:rPr>
          <w:rFonts w:ascii="Times New Roman" w:hAnsi="Times New Roman" w:cs="Times New Roman"/>
          <w:iCs/>
          <w:noProof/>
        </w:rPr>
        <w:t xml:space="preserve">the need to connect transport routes to neighbouring countries and regions, including Ukraine.  </w:t>
      </w:r>
    </w:p>
    <w:p w14:paraId="48465410" w14:textId="77777777" w:rsidR="00C26CE7" w:rsidRPr="009310E8" w:rsidRDefault="004D32BB" w:rsidP="0029319B">
      <w:pPr>
        <w:tabs>
          <w:tab w:val="left" w:pos="567"/>
        </w:tabs>
        <w:spacing w:after="240" w:line="240" w:lineRule="auto"/>
        <w:jc w:val="both"/>
        <w:rPr>
          <w:rFonts w:ascii="Times New Roman" w:hAnsi="Times New Roman" w:cs="Times New Roman"/>
          <w:b/>
          <w:i/>
          <w:iCs/>
          <w:noProof/>
        </w:rPr>
      </w:pPr>
      <w:r>
        <w:rPr>
          <w:rFonts w:ascii="Times New Roman" w:hAnsi="Times New Roman" w:cs="Times New Roman"/>
          <w:b/>
          <w:i/>
          <w:iCs/>
          <w:noProof/>
        </w:rPr>
        <w:t>4</w:t>
      </w:r>
      <w:r w:rsidR="00E71A7D" w:rsidRPr="009310E8">
        <w:rPr>
          <w:rFonts w:ascii="Times New Roman" w:hAnsi="Times New Roman" w:cs="Times New Roman"/>
          <w:b/>
          <w:i/>
          <w:iCs/>
          <w:noProof/>
        </w:rPr>
        <w:t>.1</w:t>
      </w:r>
      <w:r w:rsidR="00E71A7D" w:rsidRPr="009310E8">
        <w:rPr>
          <w:rFonts w:ascii="Times New Roman" w:hAnsi="Times New Roman" w:cs="Times New Roman"/>
          <w:b/>
          <w:i/>
          <w:iCs/>
          <w:noProof/>
        </w:rPr>
        <w:tab/>
      </w:r>
      <w:r w:rsidR="00C26CE7" w:rsidRPr="009310E8">
        <w:rPr>
          <w:rFonts w:ascii="Times New Roman" w:hAnsi="Times New Roman" w:cs="Times New Roman"/>
          <w:b/>
          <w:i/>
          <w:iCs/>
          <w:noProof/>
        </w:rPr>
        <w:t>EU-NATO</w:t>
      </w:r>
    </w:p>
    <w:p w14:paraId="4D13BFE8" w14:textId="05A09F79" w:rsidR="007C32CE" w:rsidRPr="00060E79" w:rsidRDefault="00367B43">
      <w:pPr>
        <w:spacing w:after="240" w:line="240" w:lineRule="auto"/>
        <w:jc w:val="both"/>
        <w:rPr>
          <w:rFonts w:ascii="Times New Roman" w:hAnsi="Times New Roman" w:cs="Times New Roman"/>
          <w:noProof/>
        </w:rPr>
      </w:pPr>
      <w:r>
        <w:rPr>
          <w:rFonts w:ascii="Times New Roman" w:hAnsi="Times New Roman" w:cs="Times New Roman"/>
          <w:iCs/>
          <w:noProof/>
        </w:rPr>
        <w:t>Partnership</w:t>
      </w:r>
      <w:r w:rsidR="00421D43" w:rsidRPr="00E6071F">
        <w:rPr>
          <w:rFonts w:ascii="Times New Roman" w:hAnsi="Times New Roman" w:cs="Times New Roman"/>
          <w:iCs/>
          <w:noProof/>
        </w:rPr>
        <w:t xml:space="preserve"> </w:t>
      </w:r>
      <w:r>
        <w:rPr>
          <w:rFonts w:ascii="Times New Roman" w:hAnsi="Times New Roman" w:cs="Times New Roman"/>
          <w:iCs/>
          <w:noProof/>
        </w:rPr>
        <w:t xml:space="preserve">with NATO </w:t>
      </w:r>
      <w:r w:rsidR="00FD6314">
        <w:rPr>
          <w:rFonts w:ascii="Times New Roman" w:hAnsi="Times New Roman" w:cs="Times New Roman"/>
          <w:iCs/>
          <w:noProof/>
        </w:rPr>
        <w:t xml:space="preserve">is </w:t>
      </w:r>
      <w:r w:rsidR="003942A9" w:rsidRPr="00FD6314">
        <w:rPr>
          <w:rFonts w:ascii="Times New Roman" w:hAnsi="Times New Roman" w:cs="Times New Roman"/>
          <w:iCs/>
          <w:noProof/>
        </w:rPr>
        <w:t>an integral part of this Action Plan</w:t>
      </w:r>
      <w:r>
        <w:rPr>
          <w:rFonts w:ascii="Times New Roman" w:hAnsi="Times New Roman" w:cs="Times New Roman"/>
          <w:iCs/>
          <w:noProof/>
        </w:rPr>
        <w:t>.</w:t>
      </w:r>
      <w:r w:rsidR="003942A9" w:rsidRPr="00FD6314">
        <w:rPr>
          <w:rFonts w:ascii="Times New Roman" w:hAnsi="Times New Roman" w:cs="Times New Roman"/>
          <w:iCs/>
          <w:noProof/>
        </w:rPr>
        <w:t xml:space="preserve"> </w:t>
      </w:r>
      <w:r>
        <w:rPr>
          <w:rFonts w:ascii="Times New Roman" w:hAnsi="Times New Roman" w:cs="Times New Roman"/>
          <w:iCs/>
          <w:noProof/>
        </w:rPr>
        <w:t>Th</w:t>
      </w:r>
      <w:r w:rsidR="003942A9" w:rsidRPr="00FD6314">
        <w:rPr>
          <w:rFonts w:ascii="Times New Roman" w:hAnsi="Times New Roman" w:cs="Times New Roman"/>
          <w:iCs/>
          <w:noProof/>
        </w:rPr>
        <w:t xml:space="preserve">e </w:t>
      </w:r>
      <w:r w:rsidR="00421D43" w:rsidRPr="00FD6314">
        <w:rPr>
          <w:rFonts w:ascii="Times New Roman" w:hAnsi="Times New Roman" w:cs="Times New Roman"/>
          <w:iCs/>
          <w:noProof/>
        </w:rPr>
        <w:t xml:space="preserve">Structured Dialogue on Military Mobility </w:t>
      </w:r>
      <w:r>
        <w:rPr>
          <w:rFonts w:ascii="Times New Roman" w:hAnsi="Times New Roman" w:cs="Times New Roman"/>
          <w:iCs/>
          <w:noProof/>
        </w:rPr>
        <w:t>i</w:t>
      </w:r>
      <w:r w:rsidR="003942A9" w:rsidRPr="00FD6314">
        <w:rPr>
          <w:rFonts w:ascii="Times New Roman" w:hAnsi="Times New Roman" w:cs="Times New Roman"/>
          <w:iCs/>
          <w:noProof/>
        </w:rPr>
        <w:t xml:space="preserve">s the main format to promote dialogue and </w:t>
      </w:r>
      <w:r w:rsidR="00347C3C" w:rsidRPr="00FD6314">
        <w:rPr>
          <w:rFonts w:ascii="Times New Roman" w:hAnsi="Times New Roman" w:cs="Times New Roman"/>
          <w:iCs/>
          <w:noProof/>
        </w:rPr>
        <w:t>c</w:t>
      </w:r>
      <w:r w:rsidR="00421D43" w:rsidRPr="00FD6314">
        <w:rPr>
          <w:rFonts w:ascii="Times New Roman" w:hAnsi="Times New Roman" w:cs="Times New Roman"/>
          <w:iCs/>
          <w:noProof/>
        </w:rPr>
        <w:t>ooperation</w:t>
      </w:r>
      <w:r>
        <w:rPr>
          <w:rFonts w:ascii="Times New Roman" w:hAnsi="Times New Roman" w:cs="Times New Roman"/>
          <w:iCs/>
          <w:noProof/>
        </w:rPr>
        <w:t xml:space="preserve"> at staff level </w:t>
      </w:r>
      <w:r w:rsidR="0087482D" w:rsidRPr="00060E79">
        <w:rPr>
          <w:rFonts w:ascii="Times New Roman" w:hAnsi="Times New Roman" w:cs="Times New Roman"/>
          <w:noProof/>
        </w:rPr>
        <w:t xml:space="preserve">through regular </w:t>
      </w:r>
      <w:r w:rsidRPr="00060E79">
        <w:rPr>
          <w:rFonts w:ascii="Times New Roman" w:hAnsi="Times New Roman" w:cs="Times New Roman"/>
          <w:noProof/>
        </w:rPr>
        <w:t>meetings and</w:t>
      </w:r>
      <w:r w:rsidR="00294077" w:rsidRPr="00060E79">
        <w:rPr>
          <w:rFonts w:ascii="Times New Roman" w:hAnsi="Times New Roman" w:cs="Times New Roman"/>
          <w:noProof/>
        </w:rPr>
        <w:t xml:space="preserve"> will continue to rely on the </w:t>
      </w:r>
      <w:r w:rsidR="00421393">
        <w:rPr>
          <w:rFonts w:ascii="Times New Roman" w:hAnsi="Times New Roman" w:cs="Times New Roman"/>
          <w:noProof/>
        </w:rPr>
        <w:t>reciprocal</w:t>
      </w:r>
      <w:r w:rsidR="00294077" w:rsidRPr="00060E79">
        <w:rPr>
          <w:rFonts w:ascii="Times New Roman" w:hAnsi="Times New Roman" w:cs="Times New Roman"/>
          <w:noProof/>
        </w:rPr>
        <w:t xml:space="preserve"> exchange of information between the two organisations.</w:t>
      </w:r>
      <w:r w:rsidR="002D27AF" w:rsidRPr="00060E79">
        <w:rPr>
          <w:rFonts w:ascii="Times New Roman" w:hAnsi="Times New Roman" w:cs="Times New Roman"/>
          <w:noProof/>
        </w:rPr>
        <w:t xml:space="preserve"> </w:t>
      </w:r>
      <w:r w:rsidR="00B811DB" w:rsidRPr="00E6071F">
        <w:rPr>
          <w:rFonts w:ascii="Times New Roman" w:hAnsi="Times New Roman" w:cs="Times New Roman"/>
          <w:noProof/>
        </w:rPr>
        <w:t>The investments in dual</w:t>
      </w:r>
      <w:r w:rsidR="009C5063">
        <w:rPr>
          <w:rFonts w:ascii="Times New Roman" w:hAnsi="Times New Roman" w:cs="Times New Roman"/>
          <w:noProof/>
        </w:rPr>
        <w:t>-</w:t>
      </w:r>
      <w:r w:rsidR="00B811DB" w:rsidRPr="00E6071F">
        <w:rPr>
          <w:rFonts w:ascii="Times New Roman" w:hAnsi="Times New Roman" w:cs="Times New Roman"/>
          <w:noProof/>
        </w:rPr>
        <w:t xml:space="preserve">use transport infrastructure for military movements </w:t>
      </w:r>
      <w:r w:rsidR="009C5063">
        <w:rPr>
          <w:rFonts w:ascii="Times New Roman" w:hAnsi="Times New Roman" w:cs="Times New Roman"/>
          <w:noProof/>
        </w:rPr>
        <w:t>are</w:t>
      </w:r>
      <w:r w:rsidR="009C5063" w:rsidRPr="00E6071F">
        <w:rPr>
          <w:rFonts w:ascii="Times New Roman" w:hAnsi="Times New Roman" w:cs="Times New Roman"/>
          <w:noProof/>
        </w:rPr>
        <w:t xml:space="preserve"> </w:t>
      </w:r>
      <w:r w:rsidR="00B811DB" w:rsidRPr="00E6071F">
        <w:rPr>
          <w:rFonts w:ascii="Times New Roman" w:hAnsi="Times New Roman" w:cs="Times New Roman"/>
          <w:noProof/>
        </w:rPr>
        <w:t xml:space="preserve">to the benefit of both </w:t>
      </w:r>
      <w:r w:rsidR="009C5063">
        <w:rPr>
          <w:rFonts w:ascii="Times New Roman" w:hAnsi="Times New Roman" w:cs="Times New Roman"/>
          <w:noProof/>
        </w:rPr>
        <w:t xml:space="preserve">the </w:t>
      </w:r>
      <w:r w:rsidR="00B811DB" w:rsidRPr="00E6071F">
        <w:rPr>
          <w:rFonts w:ascii="Times New Roman" w:hAnsi="Times New Roman" w:cs="Times New Roman"/>
          <w:noProof/>
        </w:rPr>
        <w:t xml:space="preserve">EU and NATO. The technical and geographical requirements </w:t>
      </w:r>
      <w:r w:rsidR="001A7BAA" w:rsidRPr="00E6071F">
        <w:rPr>
          <w:rFonts w:ascii="Times New Roman" w:hAnsi="Times New Roman" w:cs="Times New Roman"/>
          <w:noProof/>
        </w:rPr>
        <w:t>overlap,</w:t>
      </w:r>
      <w:r w:rsidR="00B811DB" w:rsidRPr="00E6071F">
        <w:rPr>
          <w:rFonts w:ascii="Times New Roman" w:hAnsi="Times New Roman" w:cs="Times New Roman"/>
          <w:noProof/>
        </w:rPr>
        <w:t xml:space="preserve"> and the technical standards have been developed through cooperation. </w:t>
      </w:r>
      <w:r w:rsidR="00B811DB" w:rsidRPr="00FD6314">
        <w:rPr>
          <w:rFonts w:ascii="Times New Roman" w:hAnsi="Times New Roman" w:cs="Times New Roman"/>
          <w:noProof/>
        </w:rPr>
        <w:t>T</w:t>
      </w:r>
      <w:r w:rsidR="002D27AF" w:rsidRPr="00FD6314">
        <w:rPr>
          <w:rFonts w:ascii="Times New Roman" w:hAnsi="Times New Roman" w:cs="Times New Roman"/>
          <w:noProof/>
        </w:rPr>
        <w:t>h</w:t>
      </w:r>
      <w:r w:rsidR="0053066F" w:rsidRPr="00FD6314">
        <w:rPr>
          <w:rFonts w:ascii="Times New Roman" w:hAnsi="Times New Roman" w:cs="Times New Roman"/>
          <w:noProof/>
        </w:rPr>
        <w:t>anks to this cooperation, th</w:t>
      </w:r>
      <w:r w:rsidR="002D27AF" w:rsidRPr="00FD6314">
        <w:rPr>
          <w:rFonts w:ascii="Times New Roman" w:hAnsi="Times New Roman" w:cs="Times New Roman"/>
          <w:noProof/>
        </w:rPr>
        <w:t xml:space="preserve">e EU Military Requirements for Military Mobility are </w:t>
      </w:r>
      <w:r w:rsidR="0053066F" w:rsidRPr="00060E79">
        <w:rPr>
          <w:rFonts w:ascii="Times New Roman" w:hAnsi="Times New Roman" w:cs="Times New Roman"/>
          <w:noProof/>
        </w:rPr>
        <w:t xml:space="preserve">consistent with NATO’s requirements to a level of around </w:t>
      </w:r>
      <w:r w:rsidR="002D27AF" w:rsidRPr="00060E79">
        <w:rPr>
          <w:rFonts w:ascii="Times New Roman" w:hAnsi="Times New Roman" w:cs="Times New Roman"/>
          <w:noProof/>
        </w:rPr>
        <w:t>95%</w:t>
      </w:r>
      <w:r w:rsidR="0053066F" w:rsidRPr="00060E79">
        <w:rPr>
          <w:rFonts w:ascii="Times New Roman" w:hAnsi="Times New Roman" w:cs="Times New Roman"/>
          <w:noProof/>
        </w:rPr>
        <w:t>.</w:t>
      </w:r>
      <w:r w:rsidR="002D27AF" w:rsidRPr="00060E79">
        <w:rPr>
          <w:rFonts w:ascii="Times New Roman" w:hAnsi="Times New Roman" w:cs="Times New Roman"/>
          <w:noProof/>
        </w:rPr>
        <w:t xml:space="preserve"> </w:t>
      </w:r>
    </w:p>
    <w:p w14:paraId="09B5F5CF" w14:textId="77777777" w:rsidR="00F13899" w:rsidRPr="009310E8" w:rsidRDefault="0087482D">
      <w:pPr>
        <w:spacing w:after="240" w:line="240" w:lineRule="auto"/>
        <w:jc w:val="both"/>
        <w:rPr>
          <w:rFonts w:ascii="Times New Roman" w:hAnsi="Times New Roman" w:cs="Times New Roman"/>
          <w:noProof/>
          <w:lang w:val="en-US"/>
        </w:rPr>
      </w:pPr>
      <w:r w:rsidRPr="00060E79">
        <w:rPr>
          <w:rFonts w:ascii="Times New Roman" w:hAnsi="Times New Roman" w:cs="Times New Roman"/>
          <w:noProof/>
        </w:rPr>
        <w:t xml:space="preserve">The intent is to ensure a coherent approach and synergies between the EU and NATO </w:t>
      </w:r>
      <w:r w:rsidR="008B638F">
        <w:rPr>
          <w:rFonts w:ascii="Times New Roman" w:hAnsi="Times New Roman" w:cs="Times New Roman"/>
          <w:noProof/>
        </w:rPr>
        <w:t xml:space="preserve">and </w:t>
      </w:r>
      <w:r w:rsidRPr="00060E79">
        <w:rPr>
          <w:rFonts w:ascii="Times New Roman" w:hAnsi="Times New Roman" w:cs="Times New Roman"/>
          <w:noProof/>
        </w:rPr>
        <w:t xml:space="preserve">to effectively address existing barriers, including legal, infrastructure and procedural, in order to facilitate and expedite movement and border crossing of military personnel and material, in full respect of sovereign national decisions. </w:t>
      </w:r>
      <w:r w:rsidR="00B9351B" w:rsidRPr="00060E79">
        <w:rPr>
          <w:rFonts w:ascii="Times New Roman" w:hAnsi="Times New Roman" w:cs="Times New Roman"/>
          <w:noProof/>
          <w:lang w:val="en-US"/>
        </w:rPr>
        <w:t xml:space="preserve">This applies in particular to efforts with regard to infrastructure improvements and the related requirements, reducing procedural and regulatory barriers, enhancing resilience, and cross-participation in military mobility-related exercises. </w:t>
      </w:r>
    </w:p>
    <w:p w14:paraId="24A3C777" w14:textId="77777777" w:rsidR="00BF7D39" w:rsidRPr="009310E8" w:rsidRDefault="004D1E2B">
      <w:pPr>
        <w:spacing w:after="240" w:line="240" w:lineRule="auto"/>
        <w:jc w:val="both"/>
        <w:rPr>
          <w:rFonts w:ascii="Times New Roman" w:hAnsi="Times New Roman" w:cs="Times New Roman"/>
          <w:noProof/>
        </w:rPr>
      </w:pPr>
      <w:r>
        <w:rPr>
          <w:rFonts w:ascii="Times New Roman" w:hAnsi="Times New Roman" w:cs="Times New Roman"/>
          <w:noProof/>
        </w:rPr>
        <w:t xml:space="preserve">Interactions on military mobility will be taken forward in line with the guiding principles of </w:t>
      </w:r>
      <w:r w:rsidR="0028681C" w:rsidRPr="0028681C">
        <w:rPr>
          <w:rFonts w:ascii="Times New Roman" w:hAnsi="Times New Roman" w:cs="Times New Roman"/>
          <w:noProof/>
          <w:lang w:val="en-US"/>
        </w:rPr>
        <w:t>enhanced and intensified</w:t>
      </w:r>
      <w:r w:rsidR="0028681C" w:rsidRPr="009310E8">
        <w:rPr>
          <w:rFonts w:ascii="Times New Roman" w:hAnsi="Times New Roman" w:cs="Times New Roman"/>
          <w:noProof/>
        </w:rPr>
        <w:t xml:space="preserve"> </w:t>
      </w:r>
      <w:r w:rsidR="0087482D" w:rsidRPr="009310E8">
        <w:rPr>
          <w:rFonts w:ascii="Times New Roman" w:hAnsi="Times New Roman" w:cs="Times New Roman"/>
          <w:noProof/>
        </w:rPr>
        <w:t>cooperation</w:t>
      </w:r>
      <w:r>
        <w:rPr>
          <w:rFonts w:ascii="Times New Roman" w:hAnsi="Times New Roman" w:cs="Times New Roman"/>
          <w:noProof/>
        </w:rPr>
        <w:t>, notably</w:t>
      </w:r>
      <w:r w:rsidR="0087482D" w:rsidRPr="009310E8">
        <w:rPr>
          <w:rFonts w:ascii="Times New Roman" w:hAnsi="Times New Roman" w:cs="Times New Roman"/>
          <w:noProof/>
        </w:rPr>
        <w:t xml:space="preserve"> full openness and transparency, respect of the decision-making autonomy and procedures of both organisations, inclusiveness and reciprocity</w:t>
      </w:r>
      <w:r w:rsidR="00C44E7E">
        <w:rPr>
          <w:rFonts w:ascii="Times New Roman" w:hAnsi="Times New Roman" w:cs="Times New Roman"/>
          <w:noProof/>
        </w:rPr>
        <w:t>,</w:t>
      </w:r>
      <w:r w:rsidR="0087482D" w:rsidRPr="009310E8">
        <w:rPr>
          <w:rFonts w:ascii="Times New Roman" w:hAnsi="Times New Roman" w:cs="Times New Roman"/>
          <w:noProof/>
        </w:rPr>
        <w:t xml:space="preserve"> without prejudice to the specific character of the security and defence policy of any EU Member State. </w:t>
      </w:r>
    </w:p>
    <w:p w14:paraId="3A27DBB9" w14:textId="77777777" w:rsidR="00E71A7D" w:rsidRPr="009310E8" w:rsidRDefault="004D32BB">
      <w:pPr>
        <w:spacing w:line="240" w:lineRule="auto"/>
        <w:jc w:val="both"/>
        <w:rPr>
          <w:rFonts w:ascii="Times New Roman" w:hAnsi="Times New Roman" w:cs="Times New Roman"/>
          <w:b/>
          <w:i/>
          <w:noProof/>
          <w:lang w:val="en-GB"/>
        </w:rPr>
      </w:pPr>
      <w:r>
        <w:rPr>
          <w:rFonts w:ascii="Times New Roman" w:hAnsi="Times New Roman" w:cs="Times New Roman"/>
          <w:b/>
          <w:i/>
          <w:noProof/>
          <w:lang w:val="en-GB"/>
        </w:rPr>
        <w:t>4.</w:t>
      </w:r>
      <w:r w:rsidR="00E71A7D" w:rsidRPr="009310E8">
        <w:rPr>
          <w:rFonts w:ascii="Times New Roman" w:hAnsi="Times New Roman" w:cs="Times New Roman"/>
          <w:b/>
          <w:i/>
          <w:noProof/>
          <w:lang w:val="en-GB"/>
        </w:rPr>
        <w:t>2 Connecting to other partners</w:t>
      </w:r>
    </w:p>
    <w:p w14:paraId="26252A97" w14:textId="77777777" w:rsidR="00294077" w:rsidRPr="00060E79" w:rsidRDefault="00FD6314" w:rsidP="00294077">
      <w:pPr>
        <w:spacing w:line="240" w:lineRule="auto"/>
        <w:jc w:val="both"/>
        <w:rPr>
          <w:rFonts w:ascii="Times New Roman" w:hAnsi="Times New Roman" w:cs="Times New Roman"/>
          <w:noProof/>
          <w:lang w:val="en-GB"/>
        </w:rPr>
      </w:pPr>
      <w:r>
        <w:rPr>
          <w:rFonts w:ascii="Times New Roman" w:hAnsi="Times New Roman" w:cs="Times New Roman"/>
          <w:noProof/>
          <w:lang w:val="en-GB"/>
        </w:rPr>
        <w:t>The</w:t>
      </w:r>
      <w:r w:rsidR="00294077" w:rsidRPr="00FD6314">
        <w:rPr>
          <w:rFonts w:ascii="Times New Roman" w:hAnsi="Times New Roman" w:cs="Times New Roman"/>
          <w:noProof/>
          <w:lang w:val="en-GB"/>
        </w:rPr>
        <w:t xml:space="preserve"> EEAS</w:t>
      </w:r>
      <w:r w:rsidR="00C44E7E">
        <w:rPr>
          <w:rFonts w:ascii="Times New Roman" w:hAnsi="Times New Roman" w:cs="Times New Roman"/>
          <w:noProof/>
          <w:lang w:val="en-GB"/>
        </w:rPr>
        <w:t>,</w:t>
      </w:r>
      <w:r w:rsidR="00294077" w:rsidRPr="00FD6314">
        <w:rPr>
          <w:rFonts w:ascii="Times New Roman" w:hAnsi="Times New Roman" w:cs="Times New Roman"/>
          <w:noProof/>
          <w:lang w:val="en-GB"/>
        </w:rPr>
        <w:t xml:space="preserve"> </w:t>
      </w:r>
      <w:r w:rsidR="008B13D8" w:rsidRPr="00FD6314">
        <w:rPr>
          <w:rFonts w:ascii="Times New Roman" w:hAnsi="Times New Roman" w:cs="Times New Roman"/>
          <w:noProof/>
          <w:lang w:val="en-GB"/>
        </w:rPr>
        <w:t xml:space="preserve">together with </w:t>
      </w:r>
      <w:r w:rsidR="00294077" w:rsidRPr="00FD6314">
        <w:rPr>
          <w:rFonts w:ascii="Times New Roman" w:hAnsi="Times New Roman" w:cs="Times New Roman"/>
          <w:noProof/>
          <w:lang w:val="en-GB"/>
        </w:rPr>
        <w:t xml:space="preserve">Commission services </w:t>
      </w:r>
      <w:r w:rsidR="008B13D8" w:rsidRPr="00FD6314">
        <w:rPr>
          <w:rFonts w:ascii="Times New Roman" w:hAnsi="Times New Roman" w:cs="Times New Roman"/>
          <w:noProof/>
          <w:lang w:val="en-GB"/>
        </w:rPr>
        <w:t xml:space="preserve">and the EDA </w:t>
      </w:r>
      <w:r w:rsidR="00294077" w:rsidRPr="00FD6314">
        <w:rPr>
          <w:rFonts w:ascii="Times New Roman" w:hAnsi="Times New Roman" w:cs="Times New Roman"/>
          <w:noProof/>
          <w:lang w:val="en-GB"/>
        </w:rPr>
        <w:t>will explore cooperation with other partners</w:t>
      </w:r>
      <w:r w:rsidR="00294077" w:rsidRPr="00060E79">
        <w:rPr>
          <w:rFonts w:ascii="Times New Roman" w:hAnsi="Times New Roman" w:cs="Times New Roman"/>
          <w:noProof/>
          <w:lang w:val="en-GB"/>
        </w:rPr>
        <w:t xml:space="preserve"> in different formats on issues related to </w:t>
      </w:r>
      <w:r w:rsidR="00C26379" w:rsidRPr="00060E79">
        <w:rPr>
          <w:rFonts w:ascii="Times New Roman" w:hAnsi="Times New Roman" w:cs="Times New Roman"/>
          <w:noProof/>
          <w:lang w:val="en-GB"/>
        </w:rPr>
        <w:t>m</w:t>
      </w:r>
      <w:r w:rsidR="00294077" w:rsidRPr="00060E79">
        <w:rPr>
          <w:rFonts w:ascii="Times New Roman" w:hAnsi="Times New Roman" w:cs="Times New Roman"/>
          <w:noProof/>
          <w:lang w:val="en-GB"/>
        </w:rPr>
        <w:t xml:space="preserve">ilitary </w:t>
      </w:r>
      <w:r w:rsidR="00C26379" w:rsidRPr="00060E79">
        <w:rPr>
          <w:rFonts w:ascii="Times New Roman" w:hAnsi="Times New Roman" w:cs="Times New Roman"/>
          <w:noProof/>
          <w:lang w:val="en-GB"/>
        </w:rPr>
        <w:t>m</w:t>
      </w:r>
      <w:r w:rsidR="00294077" w:rsidRPr="00060E79">
        <w:rPr>
          <w:rFonts w:ascii="Times New Roman" w:hAnsi="Times New Roman" w:cs="Times New Roman"/>
          <w:noProof/>
          <w:lang w:val="en-GB"/>
        </w:rPr>
        <w:t>obility</w:t>
      </w:r>
      <w:r w:rsidR="00EA3EEF" w:rsidRPr="00060E79">
        <w:rPr>
          <w:rFonts w:ascii="Times New Roman" w:hAnsi="Times New Roman" w:cs="Times New Roman"/>
          <w:noProof/>
          <w:lang w:val="en-GB"/>
        </w:rPr>
        <w:t>.</w:t>
      </w:r>
    </w:p>
    <w:p w14:paraId="7ADFA949" w14:textId="27C28AC7" w:rsidR="00C52076" w:rsidRDefault="00C52076" w:rsidP="00C52076">
      <w:pPr>
        <w:spacing w:line="240" w:lineRule="auto"/>
        <w:jc w:val="both"/>
        <w:rPr>
          <w:rFonts w:ascii="Times New Roman" w:hAnsi="Times New Roman" w:cs="Times New Roman"/>
          <w:noProof/>
          <w:lang w:val="en-GB"/>
        </w:rPr>
      </w:pPr>
      <w:r w:rsidRPr="00060E79">
        <w:rPr>
          <w:rFonts w:ascii="Times New Roman" w:hAnsi="Times New Roman" w:cs="Times New Roman"/>
          <w:noProof/>
          <w:lang w:val="en-GB"/>
        </w:rPr>
        <w:t>This includes discussing military mobility</w:t>
      </w:r>
      <w:r>
        <w:rPr>
          <w:rFonts w:ascii="Times New Roman" w:hAnsi="Times New Roman" w:cs="Times New Roman"/>
          <w:noProof/>
          <w:lang w:val="en-GB"/>
        </w:rPr>
        <w:t>-</w:t>
      </w:r>
      <w:r w:rsidRPr="00060E79">
        <w:rPr>
          <w:rFonts w:ascii="Times New Roman" w:hAnsi="Times New Roman" w:cs="Times New Roman"/>
          <w:noProof/>
          <w:lang w:val="en-GB"/>
        </w:rPr>
        <w:t xml:space="preserve"> related developments in the security and defence dialogues with relevant key EU partners</w:t>
      </w:r>
      <w:r>
        <w:rPr>
          <w:rFonts w:ascii="Times New Roman" w:hAnsi="Times New Roman" w:cs="Times New Roman"/>
          <w:noProof/>
          <w:lang w:val="en-GB"/>
        </w:rPr>
        <w:t>,</w:t>
      </w:r>
      <w:r w:rsidRPr="00060E79">
        <w:rPr>
          <w:rFonts w:ascii="Times New Roman" w:hAnsi="Times New Roman" w:cs="Times New Roman"/>
          <w:noProof/>
          <w:lang w:val="en-GB"/>
        </w:rPr>
        <w:t xml:space="preserve"> such as those participating in the PESCO project on Military Mobility</w:t>
      </w:r>
      <w:r>
        <w:rPr>
          <w:rFonts w:ascii="Times New Roman" w:hAnsi="Times New Roman" w:cs="Times New Roman"/>
          <w:noProof/>
          <w:lang w:val="en-GB"/>
        </w:rPr>
        <w:t xml:space="preserve">, notably </w:t>
      </w:r>
      <w:r w:rsidRPr="009A66C9">
        <w:rPr>
          <w:rFonts w:ascii="Times New Roman" w:hAnsi="Times New Roman" w:cs="Times New Roman"/>
          <w:noProof/>
          <w:lang w:val="en-GB"/>
        </w:rPr>
        <w:t xml:space="preserve">the U.S., Canada and Norway. The United Kingdom is also expected to join soon this PESCO project, </w:t>
      </w:r>
      <w:r w:rsidR="005F1436" w:rsidRPr="005F1436">
        <w:rPr>
          <w:rFonts w:ascii="Times New Roman" w:hAnsi="Times New Roman" w:cs="Times New Roman"/>
          <w:noProof/>
          <w:lang w:val="en-GB"/>
        </w:rPr>
        <w:t>upon completion of relevant procedures</w:t>
      </w:r>
      <w:r w:rsidR="005F1436" w:rsidRPr="005F1436" w:rsidDel="00107968">
        <w:rPr>
          <w:rFonts w:ascii="Times New Roman" w:hAnsi="Times New Roman" w:cs="Times New Roman"/>
          <w:noProof/>
          <w:lang w:val="en-GB"/>
        </w:rPr>
        <w:t xml:space="preserve"> </w:t>
      </w:r>
      <w:r w:rsidRPr="00060E79">
        <w:rPr>
          <w:rFonts w:ascii="Times New Roman" w:hAnsi="Times New Roman" w:cs="Times New Roman"/>
          <w:noProof/>
          <w:lang w:val="en-GB"/>
        </w:rPr>
        <w:t xml:space="preserve">. </w:t>
      </w:r>
      <w:r w:rsidRPr="009310E8">
        <w:rPr>
          <w:rFonts w:ascii="Times New Roman" w:hAnsi="Times New Roman" w:cs="Times New Roman"/>
          <w:noProof/>
          <w:lang w:val="en-GB"/>
        </w:rPr>
        <w:t>This will contribute to transatlantic cooperation on such matters and tothe EU-NATO partnership</w:t>
      </w:r>
      <w:r>
        <w:rPr>
          <w:rFonts w:ascii="Times New Roman" w:hAnsi="Times New Roman" w:cs="Times New Roman"/>
          <w:noProof/>
          <w:lang w:val="en-GB"/>
        </w:rPr>
        <w:t xml:space="preserve">. </w:t>
      </w:r>
    </w:p>
    <w:p w14:paraId="716E4BD4" w14:textId="6D52BD0C" w:rsidR="00294077" w:rsidRPr="00FD6314" w:rsidRDefault="00294077" w:rsidP="00294077">
      <w:pPr>
        <w:spacing w:line="240" w:lineRule="auto"/>
        <w:jc w:val="both"/>
        <w:rPr>
          <w:rFonts w:ascii="Times New Roman" w:hAnsi="Times New Roman" w:cs="Times New Roman"/>
          <w:noProof/>
          <w:lang w:val="en-GB"/>
        </w:rPr>
      </w:pPr>
      <w:r w:rsidRPr="009310E8">
        <w:rPr>
          <w:rFonts w:ascii="Times New Roman" w:hAnsi="Times New Roman" w:cs="Times New Roman"/>
          <w:noProof/>
          <w:lang w:val="en-GB"/>
        </w:rPr>
        <w:t xml:space="preserve">Moreover, there is scope to </w:t>
      </w:r>
      <w:r w:rsidR="008B13D8" w:rsidRPr="00851B40">
        <w:rPr>
          <w:rFonts w:ascii="Times New Roman" w:hAnsi="Times New Roman" w:cs="Times New Roman"/>
          <w:noProof/>
          <w:lang w:val="en-GB"/>
        </w:rPr>
        <w:t xml:space="preserve">explore </w:t>
      </w:r>
      <w:r w:rsidRPr="00E6071F">
        <w:rPr>
          <w:rFonts w:ascii="Times New Roman" w:hAnsi="Times New Roman" w:cs="Times New Roman"/>
          <w:noProof/>
          <w:lang w:val="en-GB"/>
        </w:rPr>
        <w:t>the dual</w:t>
      </w:r>
      <w:r w:rsidR="00C44E7E">
        <w:rPr>
          <w:rFonts w:ascii="Times New Roman" w:hAnsi="Times New Roman" w:cs="Times New Roman"/>
          <w:noProof/>
          <w:lang w:val="en-GB"/>
        </w:rPr>
        <w:t>-</w:t>
      </w:r>
      <w:r w:rsidRPr="00E6071F">
        <w:rPr>
          <w:rFonts w:ascii="Times New Roman" w:hAnsi="Times New Roman" w:cs="Times New Roman"/>
          <w:noProof/>
          <w:lang w:val="en-GB"/>
        </w:rPr>
        <w:t xml:space="preserve">use possibilities of the ongoing work </w:t>
      </w:r>
      <w:r w:rsidR="008B13D8" w:rsidRPr="00E6071F">
        <w:rPr>
          <w:rFonts w:ascii="Times New Roman" w:hAnsi="Times New Roman" w:cs="Times New Roman"/>
          <w:noProof/>
          <w:lang w:val="en-GB"/>
        </w:rPr>
        <w:t xml:space="preserve">on better </w:t>
      </w:r>
      <w:r w:rsidRPr="00E6071F">
        <w:rPr>
          <w:rFonts w:ascii="Times New Roman" w:hAnsi="Times New Roman" w:cs="Times New Roman"/>
          <w:noProof/>
          <w:lang w:val="en-GB"/>
        </w:rPr>
        <w:t>connect</w:t>
      </w:r>
      <w:r w:rsidR="008B13D8" w:rsidRPr="00E6071F">
        <w:rPr>
          <w:rFonts w:ascii="Times New Roman" w:hAnsi="Times New Roman" w:cs="Times New Roman"/>
          <w:noProof/>
          <w:lang w:val="en-GB"/>
        </w:rPr>
        <w:t>ing</w:t>
      </w:r>
      <w:r w:rsidRPr="00E6071F">
        <w:rPr>
          <w:rFonts w:ascii="Times New Roman" w:hAnsi="Times New Roman" w:cs="Times New Roman"/>
          <w:noProof/>
          <w:lang w:val="en-GB"/>
        </w:rPr>
        <w:t xml:space="preserve"> Member States’ main transport routes to key partner countries such as Ukraine, as envisaged in the Communication on “solidarity lanes” between the EU and Ukraine and the Commission proposal of 27 July 2022 extending four European Transport Corridors to Ukraine and Moldova.</w:t>
      </w:r>
      <w:r w:rsidRPr="00FD6314">
        <w:rPr>
          <w:rStyle w:val="FootnoteReference"/>
          <w:rFonts w:ascii="Times New Roman" w:hAnsi="Times New Roman" w:cs="Times New Roman"/>
          <w:noProof/>
          <w:lang w:val="en-GB"/>
        </w:rPr>
        <w:footnoteReference w:id="33"/>
      </w:r>
      <w:r w:rsidRPr="00FD6314">
        <w:rPr>
          <w:rFonts w:ascii="Times New Roman" w:hAnsi="Times New Roman" w:cs="Times New Roman"/>
          <w:noProof/>
          <w:lang w:val="en-GB"/>
        </w:rPr>
        <w:t xml:space="preserve"> </w:t>
      </w:r>
      <w:r w:rsidR="00B811DB" w:rsidRPr="00E6071F">
        <w:rPr>
          <w:rFonts w:ascii="Times New Roman" w:hAnsi="Times New Roman" w:cs="Times New Roman"/>
          <w:noProof/>
          <w:lang w:val="en-GB"/>
        </w:rPr>
        <w:t xml:space="preserve">In addition, the amended proposal for a revised TEN-T Regulation in </w:t>
      </w:r>
      <w:r w:rsidR="006C2EB1">
        <w:rPr>
          <w:rFonts w:ascii="Times New Roman" w:hAnsi="Times New Roman" w:cs="Times New Roman"/>
          <w:noProof/>
          <w:lang w:val="en-GB"/>
        </w:rPr>
        <w:t xml:space="preserve">July </w:t>
      </w:r>
      <w:r w:rsidR="006C2EB1" w:rsidRPr="006C2EB1">
        <w:rPr>
          <w:rFonts w:ascii="Times New Roman" w:hAnsi="Times New Roman" w:cs="Times New Roman"/>
          <w:noProof/>
          <w:lang w:val="en-GB"/>
        </w:rPr>
        <w:t>2022</w:t>
      </w:r>
      <w:r w:rsidR="005D3C6B">
        <w:rPr>
          <w:rFonts w:ascii="Times New Roman" w:hAnsi="Times New Roman" w:cs="Times New Roman"/>
          <w:noProof/>
          <w:lang w:val="en-GB"/>
        </w:rPr>
        <w:t xml:space="preserve"> </w:t>
      </w:r>
      <w:r w:rsidR="00B811DB" w:rsidRPr="00E6071F">
        <w:rPr>
          <w:rFonts w:ascii="Times New Roman" w:hAnsi="Times New Roman" w:cs="Times New Roman"/>
          <w:noProof/>
          <w:lang w:val="en-GB"/>
        </w:rPr>
        <w:t>includes a provision to standardise the European track gauge for railways to improve interoperability between Ukraine, Moldova and the EU.</w:t>
      </w:r>
      <w:r w:rsidR="00B811DB" w:rsidRPr="00FD6314">
        <w:rPr>
          <w:rFonts w:ascii="Times New Roman" w:hAnsi="Times New Roman" w:cs="Times New Roman"/>
          <w:noProof/>
          <w:lang w:val="en-GB"/>
        </w:rPr>
        <w:t xml:space="preserve"> </w:t>
      </w:r>
    </w:p>
    <w:p w14:paraId="2F5FFD07" w14:textId="0CAF30A7" w:rsidR="00294077" w:rsidRPr="00FD6314" w:rsidRDefault="00294077" w:rsidP="00294077">
      <w:pPr>
        <w:spacing w:line="240" w:lineRule="auto"/>
        <w:jc w:val="both"/>
        <w:rPr>
          <w:rFonts w:ascii="Times New Roman" w:hAnsi="Times New Roman" w:cs="Times New Roman"/>
          <w:noProof/>
          <w:lang w:val="en-GB"/>
        </w:rPr>
      </w:pPr>
      <w:r w:rsidRPr="00FD6314">
        <w:rPr>
          <w:rFonts w:ascii="Times New Roman" w:hAnsi="Times New Roman" w:cs="Times New Roman"/>
          <w:noProof/>
          <w:lang w:val="en-GB"/>
        </w:rPr>
        <w:t xml:space="preserve">Finally, the EU </w:t>
      </w:r>
      <w:r w:rsidR="008B638F">
        <w:rPr>
          <w:rFonts w:ascii="Times New Roman" w:hAnsi="Times New Roman" w:cs="Times New Roman"/>
          <w:noProof/>
          <w:lang w:val="en-GB"/>
        </w:rPr>
        <w:t>is</w:t>
      </w:r>
      <w:r w:rsidRPr="00FD6314">
        <w:rPr>
          <w:rFonts w:ascii="Times New Roman" w:hAnsi="Times New Roman" w:cs="Times New Roman"/>
          <w:noProof/>
          <w:lang w:val="en-GB"/>
        </w:rPr>
        <w:t xml:space="preserve"> ready to share best practices from the progress it has made in </w:t>
      </w:r>
      <w:r w:rsidRPr="00060E79">
        <w:rPr>
          <w:rFonts w:ascii="Times New Roman" w:hAnsi="Times New Roman" w:cs="Times New Roman"/>
          <w:noProof/>
          <w:lang w:val="en-GB"/>
        </w:rPr>
        <w:t xml:space="preserve">enhancing </w:t>
      </w:r>
      <w:r w:rsidR="002A344B" w:rsidRPr="00060E79">
        <w:rPr>
          <w:rFonts w:ascii="Times New Roman" w:hAnsi="Times New Roman" w:cs="Times New Roman"/>
          <w:noProof/>
          <w:lang w:val="en-GB"/>
        </w:rPr>
        <w:t>m</w:t>
      </w:r>
      <w:r w:rsidRPr="00060E79">
        <w:rPr>
          <w:rFonts w:ascii="Times New Roman" w:hAnsi="Times New Roman" w:cs="Times New Roman"/>
          <w:noProof/>
          <w:lang w:val="en-GB"/>
        </w:rPr>
        <w:t xml:space="preserve">ilitary </w:t>
      </w:r>
      <w:r w:rsidR="002A344B" w:rsidRPr="00060E79">
        <w:rPr>
          <w:rFonts w:ascii="Times New Roman" w:hAnsi="Times New Roman" w:cs="Times New Roman"/>
          <w:noProof/>
          <w:lang w:val="en-GB"/>
        </w:rPr>
        <w:t>m</w:t>
      </w:r>
      <w:r w:rsidRPr="00060E79">
        <w:rPr>
          <w:rFonts w:ascii="Times New Roman" w:hAnsi="Times New Roman" w:cs="Times New Roman"/>
          <w:noProof/>
          <w:lang w:val="en-GB"/>
        </w:rPr>
        <w:t>obility with regional partners</w:t>
      </w:r>
      <w:r w:rsidR="00A62B73">
        <w:rPr>
          <w:rFonts w:ascii="Times New Roman" w:hAnsi="Times New Roman" w:cs="Times New Roman"/>
          <w:noProof/>
          <w:lang w:val="en-GB"/>
        </w:rPr>
        <w:t xml:space="preserve"> and enlargement countries</w:t>
      </w:r>
      <w:r w:rsidRPr="00060E79">
        <w:rPr>
          <w:rFonts w:ascii="Times New Roman" w:hAnsi="Times New Roman" w:cs="Times New Roman"/>
          <w:noProof/>
          <w:lang w:val="en-GB"/>
        </w:rPr>
        <w:t>, such as in the Western Balkans, for example with regard to the whole-of</w:t>
      </w:r>
      <w:r w:rsidR="00C44E7E">
        <w:rPr>
          <w:rFonts w:ascii="Times New Roman" w:hAnsi="Times New Roman" w:cs="Times New Roman"/>
          <w:noProof/>
          <w:lang w:val="en-GB"/>
        </w:rPr>
        <w:t>-</w:t>
      </w:r>
      <w:r w:rsidRPr="00060E79">
        <w:rPr>
          <w:rFonts w:ascii="Times New Roman" w:hAnsi="Times New Roman" w:cs="Times New Roman"/>
          <w:noProof/>
          <w:lang w:val="en-GB"/>
        </w:rPr>
        <w:t>government approach, dual</w:t>
      </w:r>
      <w:r w:rsidR="00C44E7E">
        <w:rPr>
          <w:rFonts w:ascii="Times New Roman" w:hAnsi="Times New Roman" w:cs="Times New Roman"/>
          <w:noProof/>
          <w:lang w:val="en-GB"/>
        </w:rPr>
        <w:t>-</w:t>
      </w:r>
      <w:r w:rsidRPr="00060E79">
        <w:rPr>
          <w:rFonts w:ascii="Times New Roman" w:hAnsi="Times New Roman" w:cs="Times New Roman"/>
          <w:noProof/>
          <w:lang w:val="en-GB"/>
        </w:rPr>
        <w:t xml:space="preserve">use approach and practical steps to reduce the administrative burden and delays. </w:t>
      </w:r>
    </w:p>
    <w:p w14:paraId="107AB682" w14:textId="77777777" w:rsidR="000D00E6" w:rsidRPr="00060E79" w:rsidRDefault="00A468E4">
      <w:pPr>
        <w:spacing w:line="240" w:lineRule="auto"/>
        <w:jc w:val="both"/>
        <w:rPr>
          <w:rFonts w:ascii="Times New Roman" w:hAnsi="Times New Roman" w:cs="Times New Roman"/>
          <w:noProof/>
          <w:lang w:val="en-GB"/>
        </w:rPr>
      </w:pPr>
      <w:r w:rsidRPr="00060E79">
        <w:rPr>
          <w:rFonts w:ascii="Times New Roman" w:hAnsi="Times New Roman" w:cs="Times New Roman"/>
          <w:noProof/>
          <w:lang w:val="en-GB"/>
        </w:rPr>
        <w:t xml:space="preserve"> </w:t>
      </w:r>
    </w:p>
    <w:tbl>
      <w:tblPr>
        <w:tblStyle w:val="TableGrid"/>
        <w:tblW w:w="0" w:type="dxa"/>
        <w:tblLook w:val="04A0" w:firstRow="1" w:lastRow="0" w:firstColumn="1" w:lastColumn="0" w:noHBand="0" w:noVBand="1"/>
      </w:tblPr>
      <w:tblGrid>
        <w:gridCol w:w="9016"/>
      </w:tblGrid>
      <w:tr w:rsidR="00886D79" w:rsidRPr="00E6071F" w14:paraId="24AE2BFA" w14:textId="77777777" w:rsidTr="003308C6">
        <w:tc>
          <w:tcPr>
            <w:tcW w:w="9288" w:type="dxa"/>
            <w:shd w:val="clear" w:color="auto" w:fill="D9D9D9" w:themeFill="background1" w:themeFillShade="D9"/>
          </w:tcPr>
          <w:p w14:paraId="4EB85F36" w14:textId="77777777" w:rsidR="00447D98" w:rsidRPr="00060E79" w:rsidRDefault="00DE1E24">
            <w:pPr>
              <w:tabs>
                <w:tab w:val="left" w:pos="284"/>
              </w:tabs>
              <w:spacing w:after="120"/>
              <w:jc w:val="both"/>
              <w:rPr>
                <w:rFonts w:ascii="Times New Roman" w:hAnsi="Times New Roman" w:cs="Times New Roman"/>
                <w:b/>
                <w:noProof/>
              </w:rPr>
            </w:pPr>
            <w:r w:rsidRPr="00060E79">
              <w:rPr>
                <w:rFonts w:ascii="Times New Roman" w:hAnsi="Times New Roman" w:cs="Times New Roman"/>
                <w:b/>
                <w:noProof/>
              </w:rPr>
              <w:t>Key actions at EU level:</w:t>
            </w:r>
          </w:p>
          <w:p w14:paraId="1229671F" w14:textId="77777777" w:rsidR="00447D98" w:rsidRPr="009310E8" w:rsidRDefault="003942A9">
            <w:pPr>
              <w:pStyle w:val="ListParagraph"/>
              <w:numPr>
                <w:ilvl w:val="0"/>
                <w:numId w:val="28"/>
              </w:numPr>
              <w:tabs>
                <w:tab w:val="left" w:pos="284"/>
              </w:tabs>
              <w:spacing w:after="120"/>
              <w:jc w:val="both"/>
              <w:rPr>
                <w:rFonts w:ascii="Times New Roman" w:hAnsi="Times New Roman" w:cs="Times New Roman"/>
                <w:noProof/>
              </w:rPr>
            </w:pPr>
            <w:r w:rsidRPr="00060E79">
              <w:rPr>
                <w:rFonts w:ascii="Times New Roman" w:hAnsi="Times New Roman" w:cs="Times New Roman"/>
                <w:noProof/>
              </w:rPr>
              <w:t xml:space="preserve">The EEAS </w:t>
            </w:r>
            <w:r w:rsidR="008B13D8" w:rsidRPr="00060E79">
              <w:rPr>
                <w:rFonts w:ascii="Times New Roman" w:hAnsi="Times New Roman" w:cs="Times New Roman"/>
                <w:noProof/>
              </w:rPr>
              <w:t xml:space="preserve">together with </w:t>
            </w:r>
            <w:r w:rsidRPr="00060E79">
              <w:rPr>
                <w:rFonts w:ascii="Times New Roman" w:hAnsi="Times New Roman" w:cs="Times New Roman"/>
                <w:noProof/>
              </w:rPr>
              <w:t xml:space="preserve">Commission services and EDA will continue the EU-NATO Structured Dialogue </w:t>
            </w:r>
            <w:r w:rsidR="00C26379" w:rsidRPr="00060E79">
              <w:rPr>
                <w:rFonts w:ascii="Times New Roman" w:hAnsi="Times New Roman" w:cs="Times New Roman"/>
                <w:noProof/>
              </w:rPr>
              <w:t>on military mobility</w:t>
            </w:r>
            <w:r w:rsidRPr="00060E79">
              <w:rPr>
                <w:rFonts w:ascii="Times New Roman" w:hAnsi="Times New Roman" w:cs="Times New Roman"/>
                <w:noProof/>
              </w:rPr>
              <w:t xml:space="preserve"> with a view to sharing information and ensuring coherence of respective work strands</w:t>
            </w:r>
            <w:r w:rsidR="00A82A8E" w:rsidRPr="009310E8">
              <w:rPr>
                <w:rFonts w:ascii="Times New Roman" w:hAnsi="Times New Roman" w:cs="Times New Roman"/>
                <w:noProof/>
              </w:rPr>
              <w:t>.</w:t>
            </w:r>
          </w:p>
          <w:p w14:paraId="5965D532" w14:textId="77777777" w:rsidR="003942A9" w:rsidRPr="00444046" w:rsidRDefault="003942A9">
            <w:pPr>
              <w:pStyle w:val="ListParagraph"/>
              <w:numPr>
                <w:ilvl w:val="0"/>
                <w:numId w:val="28"/>
              </w:numPr>
              <w:tabs>
                <w:tab w:val="left" w:pos="284"/>
              </w:tabs>
              <w:spacing w:after="120"/>
              <w:jc w:val="both"/>
              <w:rPr>
                <w:rFonts w:ascii="Times New Roman" w:hAnsi="Times New Roman" w:cs="Times New Roman"/>
                <w:noProof/>
                <w:u w:val="single"/>
              </w:rPr>
            </w:pPr>
            <w:r w:rsidRPr="009310E8">
              <w:rPr>
                <w:rFonts w:ascii="Times New Roman" w:hAnsi="Times New Roman" w:cs="Times New Roman"/>
                <w:noProof/>
              </w:rPr>
              <w:t>The EEAS</w:t>
            </w:r>
            <w:r w:rsidR="00621086" w:rsidRPr="009310E8">
              <w:rPr>
                <w:rFonts w:ascii="Times New Roman" w:hAnsi="Times New Roman" w:cs="Times New Roman"/>
                <w:noProof/>
              </w:rPr>
              <w:t xml:space="preserve"> </w:t>
            </w:r>
            <w:r w:rsidR="008B13D8" w:rsidRPr="009310E8">
              <w:rPr>
                <w:rFonts w:ascii="Times New Roman" w:hAnsi="Times New Roman" w:cs="Times New Roman"/>
                <w:noProof/>
              </w:rPr>
              <w:t xml:space="preserve">together with </w:t>
            </w:r>
            <w:r w:rsidRPr="009310E8">
              <w:rPr>
                <w:rFonts w:ascii="Times New Roman" w:hAnsi="Times New Roman" w:cs="Times New Roman"/>
                <w:noProof/>
              </w:rPr>
              <w:t xml:space="preserve">Commission services </w:t>
            </w:r>
            <w:r w:rsidR="008B13D8" w:rsidRPr="00851B40">
              <w:rPr>
                <w:rFonts w:ascii="Times New Roman" w:hAnsi="Times New Roman" w:cs="Times New Roman"/>
                <w:noProof/>
              </w:rPr>
              <w:t>a</w:t>
            </w:r>
            <w:r w:rsidR="008B13D8" w:rsidRPr="00E6071F">
              <w:rPr>
                <w:rFonts w:ascii="Times New Roman" w:hAnsi="Times New Roman" w:cs="Times New Roman"/>
                <w:noProof/>
              </w:rPr>
              <w:t xml:space="preserve">nd EDA </w:t>
            </w:r>
            <w:r w:rsidRPr="00E6071F">
              <w:rPr>
                <w:rFonts w:ascii="Times New Roman" w:hAnsi="Times New Roman" w:cs="Times New Roman"/>
                <w:noProof/>
              </w:rPr>
              <w:t xml:space="preserve">will include </w:t>
            </w:r>
            <w:r w:rsidR="002C0812" w:rsidRPr="00E6071F">
              <w:rPr>
                <w:rFonts w:ascii="Times New Roman" w:hAnsi="Times New Roman" w:cs="Times New Roman"/>
                <w:noProof/>
              </w:rPr>
              <w:t xml:space="preserve">military mobility </w:t>
            </w:r>
            <w:r w:rsidRPr="00E6071F">
              <w:rPr>
                <w:rFonts w:ascii="Times New Roman" w:hAnsi="Times New Roman" w:cs="Times New Roman"/>
                <w:noProof/>
              </w:rPr>
              <w:t>where necessary in the security and defence dialogue</w:t>
            </w:r>
            <w:r w:rsidR="008B13D8" w:rsidRPr="00E6071F">
              <w:rPr>
                <w:rFonts w:ascii="Times New Roman" w:hAnsi="Times New Roman" w:cs="Times New Roman"/>
                <w:noProof/>
              </w:rPr>
              <w:t>s</w:t>
            </w:r>
            <w:r w:rsidRPr="00E6071F">
              <w:rPr>
                <w:rFonts w:ascii="Times New Roman" w:hAnsi="Times New Roman" w:cs="Times New Roman"/>
                <w:noProof/>
              </w:rPr>
              <w:t xml:space="preserve"> with relevant partners, notably </w:t>
            </w:r>
            <w:r w:rsidR="008B13D8" w:rsidRPr="00E6071F">
              <w:rPr>
                <w:rFonts w:ascii="Times New Roman" w:hAnsi="Times New Roman" w:cs="Times New Roman"/>
                <w:noProof/>
              </w:rPr>
              <w:t xml:space="preserve">with </w:t>
            </w:r>
            <w:r w:rsidRPr="00E6071F">
              <w:rPr>
                <w:rFonts w:ascii="Times New Roman" w:hAnsi="Times New Roman" w:cs="Times New Roman"/>
                <w:noProof/>
              </w:rPr>
              <w:t>Canada, Norway and the US</w:t>
            </w:r>
            <w:r w:rsidR="00A82A8E" w:rsidRPr="00E6071F">
              <w:rPr>
                <w:rFonts w:ascii="Times New Roman" w:hAnsi="Times New Roman" w:cs="Times New Roman"/>
                <w:noProof/>
              </w:rPr>
              <w:t>.</w:t>
            </w:r>
          </w:p>
          <w:p w14:paraId="32B0BD33" w14:textId="77777777" w:rsidR="009A66C9" w:rsidRPr="009A66C9" w:rsidRDefault="009A66C9" w:rsidP="009A66C9">
            <w:pPr>
              <w:pStyle w:val="ListParagraph"/>
              <w:numPr>
                <w:ilvl w:val="0"/>
                <w:numId w:val="28"/>
              </w:numPr>
              <w:rPr>
                <w:rFonts w:ascii="Times New Roman" w:hAnsi="Times New Roman" w:cs="Times New Roman"/>
                <w:noProof/>
                <w:u w:val="single"/>
              </w:rPr>
            </w:pPr>
            <w:r w:rsidRPr="009A66C9">
              <w:rPr>
                <w:rFonts w:ascii="Times New Roman" w:hAnsi="Times New Roman" w:cs="Times New Roman"/>
                <w:noProof/>
                <w:u w:val="single"/>
              </w:rPr>
              <w:t xml:space="preserve">The Commission services and the EEAS will explore dual use possibilities of the ongoing work on better connecting Member States’ main transport routes </w:t>
            </w:r>
            <w:r w:rsidR="00C0439D">
              <w:rPr>
                <w:rFonts w:ascii="Times New Roman" w:hAnsi="Times New Roman" w:cs="Times New Roman"/>
                <w:noProof/>
                <w:u w:val="single"/>
              </w:rPr>
              <w:t>with a particular focus on</w:t>
            </w:r>
            <w:r w:rsidRPr="009A66C9">
              <w:rPr>
                <w:rFonts w:ascii="Times New Roman" w:hAnsi="Times New Roman" w:cs="Times New Roman"/>
                <w:noProof/>
                <w:u w:val="single"/>
              </w:rPr>
              <w:t xml:space="preserve"> Ukraine</w:t>
            </w:r>
            <w:r w:rsidR="00A62B73">
              <w:rPr>
                <w:rFonts w:ascii="Times New Roman" w:hAnsi="Times New Roman" w:cs="Times New Roman"/>
                <w:noProof/>
                <w:u w:val="single"/>
              </w:rPr>
              <w:t xml:space="preserve"> and Moldova</w:t>
            </w:r>
            <w:r>
              <w:rPr>
                <w:rFonts w:ascii="Times New Roman" w:hAnsi="Times New Roman" w:cs="Times New Roman"/>
                <w:noProof/>
                <w:u w:val="single"/>
              </w:rPr>
              <w:t>.</w:t>
            </w:r>
          </w:p>
          <w:p w14:paraId="4751B589" w14:textId="2C6B4A1C" w:rsidR="003942A9" w:rsidRPr="00E6071F" w:rsidRDefault="003942A9" w:rsidP="0053066F">
            <w:pPr>
              <w:pStyle w:val="ListParagraph"/>
              <w:numPr>
                <w:ilvl w:val="0"/>
                <w:numId w:val="28"/>
              </w:numPr>
              <w:tabs>
                <w:tab w:val="left" w:pos="284"/>
              </w:tabs>
              <w:spacing w:after="120"/>
              <w:jc w:val="both"/>
              <w:rPr>
                <w:rFonts w:ascii="Times New Roman" w:hAnsi="Times New Roman" w:cs="Times New Roman"/>
                <w:noProof/>
                <w:u w:val="single"/>
              </w:rPr>
            </w:pPr>
            <w:r w:rsidRPr="00E6071F">
              <w:rPr>
                <w:rFonts w:ascii="Times New Roman" w:hAnsi="Times New Roman" w:cs="Times New Roman"/>
                <w:noProof/>
              </w:rPr>
              <w:t>The EEAS</w:t>
            </w:r>
            <w:r w:rsidR="0049290F" w:rsidRPr="00E6071F">
              <w:rPr>
                <w:rFonts w:ascii="Times New Roman" w:hAnsi="Times New Roman" w:cs="Times New Roman"/>
                <w:noProof/>
              </w:rPr>
              <w:t xml:space="preserve"> and</w:t>
            </w:r>
            <w:r w:rsidRPr="00E6071F">
              <w:rPr>
                <w:rFonts w:ascii="Times New Roman" w:hAnsi="Times New Roman" w:cs="Times New Roman"/>
                <w:noProof/>
              </w:rPr>
              <w:t xml:space="preserve"> Commission services will explore possibilities to </w:t>
            </w:r>
            <w:r w:rsidR="0053066F" w:rsidRPr="00E6071F">
              <w:rPr>
                <w:rFonts w:ascii="Times New Roman" w:hAnsi="Times New Roman" w:cs="Times New Roman"/>
                <w:noProof/>
              </w:rPr>
              <w:t xml:space="preserve">promote dialogue </w:t>
            </w:r>
            <w:r w:rsidRPr="00E6071F">
              <w:rPr>
                <w:rFonts w:ascii="Times New Roman" w:hAnsi="Times New Roman" w:cs="Times New Roman"/>
                <w:noProof/>
              </w:rPr>
              <w:t>with regional partners</w:t>
            </w:r>
            <w:r w:rsidR="00A62B73">
              <w:rPr>
                <w:rFonts w:ascii="Times New Roman" w:hAnsi="Times New Roman" w:cs="Times New Roman"/>
                <w:noProof/>
              </w:rPr>
              <w:t>, in particular enlargement countries,</w:t>
            </w:r>
            <w:r w:rsidR="004A7145">
              <w:rPr>
                <w:rFonts w:ascii="Times New Roman" w:hAnsi="Times New Roman" w:cs="Times New Roman"/>
                <w:noProof/>
              </w:rPr>
              <w:t xml:space="preserve"> </w:t>
            </w:r>
            <w:r w:rsidR="000E2235">
              <w:rPr>
                <w:rFonts w:ascii="Times New Roman" w:hAnsi="Times New Roman" w:cs="Times New Roman"/>
                <w:noProof/>
              </w:rPr>
              <w:t>on best practices</w:t>
            </w:r>
            <w:r w:rsidR="00EA3EEF" w:rsidRPr="00E6071F">
              <w:rPr>
                <w:rFonts w:ascii="Times New Roman" w:hAnsi="Times New Roman" w:cs="Times New Roman"/>
                <w:noProof/>
              </w:rPr>
              <w:t>.</w:t>
            </w:r>
          </w:p>
        </w:tc>
      </w:tr>
    </w:tbl>
    <w:p w14:paraId="48D9DC2E" w14:textId="77777777" w:rsidR="003405AE" w:rsidRPr="00E6071F" w:rsidRDefault="003405AE" w:rsidP="0071178B">
      <w:pPr>
        <w:spacing w:after="240" w:line="240" w:lineRule="auto"/>
        <w:jc w:val="both"/>
        <w:rPr>
          <w:rFonts w:ascii="Times New Roman" w:hAnsi="Times New Roman" w:cs="Times New Roman"/>
          <w:noProof/>
          <w:lang w:val="en-GB"/>
        </w:rPr>
      </w:pPr>
    </w:p>
    <w:p w14:paraId="68E099B0" w14:textId="77777777" w:rsidR="003F3F47" w:rsidRPr="004D32BB" w:rsidRDefault="004D32BB" w:rsidP="004D32BB">
      <w:pPr>
        <w:tabs>
          <w:tab w:val="left" w:pos="567"/>
        </w:tabs>
        <w:spacing w:after="240" w:line="240" w:lineRule="auto"/>
        <w:jc w:val="both"/>
        <w:rPr>
          <w:rFonts w:ascii="Times New Roman" w:hAnsi="Times New Roman" w:cs="Times New Roman"/>
          <w:b/>
          <w:noProof/>
        </w:rPr>
      </w:pPr>
      <w:r w:rsidRPr="004D32BB">
        <w:rPr>
          <w:rFonts w:ascii="Times New Roman" w:hAnsi="Times New Roman" w:cs="Times New Roman"/>
          <w:b/>
          <w:noProof/>
        </w:rPr>
        <w:t>5. WAY FORWARD</w:t>
      </w:r>
    </w:p>
    <w:p w14:paraId="0B74F1FF" w14:textId="77777777" w:rsidR="00320E82" w:rsidRPr="00FD6314" w:rsidRDefault="00320E82">
      <w:pPr>
        <w:spacing w:after="240" w:line="240" w:lineRule="auto"/>
        <w:jc w:val="both"/>
        <w:rPr>
          <w:rFonts w:ascii="Times New Roman" w:hAnsi="Times New Roman" w:cs="Times New Roman"/>
          <w:noProof/>
        </w:rPr>
      </w:pPr>
      <w:r w:rsidRPr="00060E79">
        <w:rPr>
          <w:rFonts w:ascii="Times New Roman" w:hAnsi="Times New Roman" w:cs="Times New Roman"/>
          <w:noProof/>
        </w:rPr>
        <w:t xml:space="preserve">The Action Plan on Military Mobility is submitted by the High Representative and the Commission to the EU Member States for consideration and endorsement, </w:t>
      </w:r>
      <w:r w:rsidR="00FD6314">
        <w:rPr>
          <w:rFonts w:ascii="Times New Roman" w:hAnsi="Times New Roman" w:cs="Times New Roman"/>
          <w:noProof/>
        </w:rPr>
        <w:t xml:space="preserve">so that it can be </w:t>
      </w:r>
      <w:r w:rsidRPr="00FD6314">
        <w:rPr>
          <w:rFonts w:ascii="Times New Roman" w:hAnsi="Times New Roman" w:cs="Times New Roman"/>
          <w:noProof/>
        </w:rPr>
        <w:t>implement</w:t>
      </w:r>
      <w:r w:rsidR="00FD6314">
        <w:rPr>
          <w:rFonts w:ascii="Times New Roman" w:hAnsi="Times New Roman" w:cs="Times New Roman"/>
          <w:noProof/>
        </w:rPr>
        <w:t>ed</w:t>
      </w:r>
      <w:r w:rsidRPr="00FD6314">
        <w:rPr>
          <w:rFonts w:ascii="Times New Roman" w:hAnsi="Times New Roman" w:cs="Times New Roman"/>
          <w:noProof/>
        </w:rPr>
        <w:t xml:space="preserve"> in a timely and coordinated manner. </w:t>
      </w:r>
    </w:p>
    <w:p w14:paraId="20747D2F" w14:textId="77777777" w:rsidR="001A75F8" w:rsidRPr="0038604F" w:rsidRDefault="00320E82">
      <w:pPr>
        <w:spacing w:after="240" w:line="240" w:lineRule="auto"/>
        <w:jc w:val="both"/>
        <w:rPr>
          <w:rFonts w:ascii="Times New Roman" w:hAnsi="Times New Roman" w:cs="Times New Roman"/>
          <w:noProof/>
        </w:rPr>
      </w:pPr>
      <w:r w:rsidRPr="00060E79">
        <w:rPr>
          <w:rFonts w:ascii="Times New Roman" w:hAnsi="Times New Roman" w:cs="Times New Roman"/>
          <w:noProof/>
        </w:rPr>
        <w:t xml:space="preserve">Periodic </w:t>
      </w:r>
      <w:r w:rsidR="00E50EA7" w:rsidRPr="00060E79">
        <w:rPr>
          <w:rFonts w:ascii="Times New Roman" w:hAnsi="Times New Roman" w:cs="Times New Roman"/>
          <w:noProof/>
        </w:rPr>
        <w:t xml:space="preserve">joint </w:t>
      </w:r>
      <w:r w:rsidRPr="00060E79">
        <w:rPr>
          <w:rFonts w:ascii="Times New Roman" w:hAnsi="Times New Roman" w:cs="Times New Roman"/>
          <w:noProof/>
        </w:rPr>
        <w:t>progress reports on the implementation of this Action Plan will be presented to the EU Member States</w:t>
      </w:r>
      <w:r w:rsidR="00C44E7E">
        <w:rPr>
          <w:rFonts w:ascii="Times New Roman" w:hAnsi="Times New Roman" w:cs="Times New Roman"/>
          <w:noProof/>
        </w:rPr>
        <w:t>,</w:t>
      </w:r>
      <w:r w:rsidRPr="00060E79">
        <w:rPr>
          <w:rFonts w:ascii="Times New Roman" w:hAnsi="Times New Roman" w:cs="Times New Roman"/>
          <w:noProof/>
        </w:rPr>
        <w:t xml:space="preserve"> with the first to be submitted by November 2023</w:t>
      </w:r>
      <w:r w:rsidR="00F6663E" w:rsidRPr="00060E79">
        <w:rPr>
          <w:rFonts w:ascii="Times New Roman" w:hAnsi="Times New Roman" w:cs="Times New Roman"/>
          <w:noProof/>
        </w:rPr>
        <w:t>.</w:t>
      </w:r>
    </w:p>
    <w:sectPr w:rsidR="001A75F8" w:rsidRPr="0038604F" w:rsidSect="00F33152">
      <w:headerReference w:type="even" r:id="rId24"/>
      <w:headerReference w:type="default" r:id="rId25"/>
      <w:footerReference w:type="even" r:id="rId26"/>
      <w:footerReference w:type="default" r:id="rId27"/>
      <w:headerReference w:type="first" r:id="rId28"/>
      <w:footerReference w:type="first" r:id="rId29"/>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4B1333" w14:textId="77777777" w:rsidR="006C4CE8" w:rsidRDefault="006C4CE8" w:rsidP="00855D00">
      <w:pPr>
        <w:spacing w:after="0" w:line="240" w:lineRule="auto"/>
      </w:pPr>
      <w:r>
        <w:separator/>
      </w:r>
    </w:p>
  </w:endnote>
  <w:endnote w:type="continuationSeparator" w:id="0">
    <w:p w14:paraId="101920B2" w14:textId="77777777" w:rsidR="006C4CE8" w:rsidRDefault="006C4CE8" w:rsidP="00855D00">
      <w:pPr>
        <w:spacing w:after="0" w:line="240" w:lineRule="auto"/>
      </w:pPr>
      <w:r>
        <w:continuationSeparator/>
      </w:r>
    </w:p>
  </w:endnote>
  <w:endnote w:type="continuationNotice" w:id="1">
    <w:p w14:paraId="63169E6F" w14:textId="77777777" w:rsidR="006C4CE8" w:rsidRDefault="006C4C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D62E5" w14:textId="77777777" w:rsidR="00E471B0" w:rsidRPr="00E471B0" w:rsidRDefault="00E471B0" w:rsidP="00E471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DE35E" w14:textId="38428E2A" w:rsidR="003F4A50" w:rsidRPr="00E471B0" w:rsidRDefault="00E471B0" w:rsidP="00E471B0">
    <w:pPr>
      <w:pStyle w:val="FooterCoverPage"/>
      <w:rPr>
        <w:rFonts w:ascii="Arial" w:hAnsi="Arial" w:cs="Arial"/>
        <w:b/>
        <w:sz w:val="48"/>
      </w:rPr>
    </w:pPr>
    <w:r w:rsidRPr="00E471B0">
      <w:rPr>
        <w:rFonts w:ascii="Arial" w:hAnsi="Arial" w:cs="Arial"/>
        <w:b/>
        <w:sz w:val="48"/>
      </w:rPr>
      <w:t>EN</w:t>
    </w:r>
    <w:r w:rsidRPr="00E471B0">
      <w:rPr>
        <w:rFonts w:ascii="Arial" w:hAnsi="Arial" w:cs="Arial"/>
        <w:b/>
        <w:sz w:val="48"/>
      </w:rPr>
      <w:tab/>
    </w:r>
    <w:r w:rsidRPr="00E471B0">
      <w:rPr>
        <w:rFonts w:ascii="Arial" w:hAnsi="Arial" w:cs="Arial"/>
        <w:b/>
        <w:sz w:val="48"/>
      </w:rPr>
      <w:tab/>
    </w:r>
    <w:r w:rsidRPr="00E471B0">
      <w:tab/>
    </w:r>
    <w:r w:rsidRPr="00E471B0">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9ECF0" w14:textId="77777777" w:rsidR="00E471B0" w:rsidRPr="00E471B0" w:rsidRDefault="00E471B0" w:rsidP="00E471B0">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0E6BB" w14:textId="77777777" w:rsidR="00F33152" w:rsidRDefault="00F3315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3870886"/>
      <w:docPartObj>
        <w:docPartGallery w:val="Page Numbers (Bottom of Page)"/>
        <w:docPartUnique/>
      </w:docPartObj>
    </w:sdtPr>
    <w:sdtEndPr>
      <w:rPr>
        <w:noProof/>
      </w:rPr>
    </w:sdtEndPr>
    <w:sdtContent>
      <w:p w14:paraId="59213F1F" w14:textId="2BADF2E2" w:rsidR="00F33152" w:rsidRDefault="00F33152">
        <w:pPr>
          <w:pStyle w:val="Footer"/>
          <w:jc w:val="center"/>
        </w:pPr>
        <w:r>
          <w:fldChar w:fldCharType="begin"/>
        </w:r>
        <w:r>
          <w:instrText xml:space="preserve"> PAGE   \* MERGEFORMAT </w:instrText>
        </w:r>
        <w:r>
          <w:fldChar w:fldCharType="separate"/>
        </w:r>
        <w:r w:rsidR="00E471B0">
          <w:rPr>
            <w:noProof/>
          </w:rPr>
          <w:t>1</w:t>
        </w:r>
        <w:r>
          <w:rPr>
            <w:noProof/>
          </w:rPr>
          <w:fldChar w:fldCharType="end"/>
        </w:r>
      </w:p>
    </w:sdtContent>
  </w:sdt>
  <w:p w14:paraId="6B7F5E6D" w14:textId="77777777" w:rsidR="00F33152" w:rsidRDefault="00F3315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90CBD" w14:textId="77777777" w:rsidR="00F33152" w:rsidRDefault="00F331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FA4FDC" w14:textId="77777777" w:rsidR="006C4CE8" w:rsidRDefault="006C4CE8" w:rsidP="00855D00">
      <w:pPr>
        <w:spacing w:after="0" w:line="240" w:lineRule="auto"/>
      </w:pPr>
      <w:r>
        <w:separator/>
      </w:r>
    </w:p>
  </w:footnote>
  <w:footnote w:type="continuationSeparator" w:id="0">
    <w:p w14:paraId="64A19F28" w14:textId="77777777" w:rsidR="006C4CE8" w:rsidRDefault="006C4CE8" w:rsidP="00855D00">
      <w:pPr>
        <w:spacing w:after="0" w:line="240" w:lineRule="auto"/>
      </w:pPr>
      <w:r>
        <w:continuationSeparator/>
      </w:r>
    </w:p>
  </w:footnote>
  <w:footnote w:type="continuationNotice" w:id="1">
    <w:p w14:paraId="36547A44" w14:textId="77777777" w:rsidR="006C4CE8" w:rsidRDefault="006C4CE8">
      <w:pPr>
        <w:spacing w:after="0" w:line="240" w:lineRule="auto"/>
      </w:pPr>
    </w:p>
  </w:footnote>
  <w:footnote w:id="2">
    <w:p w14:paraId="1C0F6937" w14:textId="77777777" w:rsidR="001E5938" w:rsidRPr="00FD6314" w:rsidRDefault="001E5938" w:rsidP="00E95BE9">
      <w:pPr>
        <w:pStyle w:val="FootnoteText"/>
        <w:rPr>
          <w:rFonts w:ascii="Times New Roman" w:hAnsi="Times New Roman" w:cs="Times New Roman"/>
          <w:lang w:val="en-GB"/>
        </w:rPr>
      </w:pPr>
      <w:r w:rsidRPr="00FD6314">
        <w:rPr>
          <w:rStyle w:val="FootnoteReference"/>
          <w:rFonts w:ascii="Times New Roman" w:hAnsi="Times New Roman" w:cs="Times New Roman"/>
        </w:rPr>
        <w:footnoteRef/>
      </w:r>
      <w:r w:rsidRPr="00FD6314">
        <w:rPr>
          <w:rFonts w:ascii="Times New Roman" w:hAnsi="Times New Roman" w:cs="Times New Roman"/>
        </w:rPr>
        <w:t xml:space="preserve"> </w:t>
      </w:r>
      <w:r w:rsidRPr="00FD6314">
        <w:rPr>
          <w:rFonts w:ascii="Times New Roman" w:hAnsi="Times New Roman" w:cs="Times New Roman"/>
          <w:lang w:val="en-GB"/>
        </w:rPr>
        <w:t xml:space="preserve"> A Strategic Compass for Security and Defence - For a European Union that protects its citizens, values and interests and contributes to international peace and security (7348/1/22).</w:t>
      </w:r>
    </w:p>
  </w:footnote>
  <w:footnote w:id="3">
    <w:p w14:paraId="16442AD7" w14:textId="77777777" w:rsidR="001E5938" w:rsidRPr="00FD6314" w:rsidRDefault="001E5938" w:rsidP="00BF676E">
      <w:pPr>
        <w:pStyle w:val="FootnoteText"/>
        <w:rPr>
          <w:rFonts w:ascii="Times New Roman" w:hAnsi="Times New Roman" w:cs="Times New Roman"/>
        </w:rPr>
      </w:pPr>
      <w:r w:rsidRPr="00FD6314">
        <w:rPr>
          <w:rStyle w:val="FootnoteReference"/>
          <w:rFonts w:ascii="Times New Roman" w:hAnsi="Times New Roman" w:cs="Times New Roman"/>
        </w:rPr>
        <w:footnoteRef/>
      </w:r>
      <w:r w:rsidRPr="00FD6314">
        <w:rPr>
          <w:rFonts w:ascii="Times New Roman" w:hAnsi="Times New Roman" w:cs="Times New Roman"/>
        </w:rPr>
        <w:t xml:space="preserve"> On the basis of the Joint Communication ‘Improving Military Mobility in the European Union’ (JOIN(2017) 41 final) and the Joint Communication ‘on the Action Plan on Military Mobility’ (JOIN(2018) 5 final. </w:t>
      </w:r>
    </w:p>
  </w:footnote>
  <w:footnote w:id="4">
    <w:p w14:paraId="502C3500" w14:textId="77777777" w:rsidR="001E5938" w:rsidRPr="00060E79" w:rsidRDefault="001E5938" w:rsidP="00752385">
      <w:pPr>
        <w:pStyle w:val="FootnoteText"/>
        <w:jc w:val="both"/>
        <w:rPr>
          <w:rFonts w:ascii="Times New Roman" w:hAnsi="Times New Roman" w:cs="Times New Roman"/>
        </w:rPr>
      </w:pPr>
      <w:r w:rsidRPr="00FD6314">
        <w:rPr>
          <w:rStyle w:val="FootnoteReference"/>
          <w:rFonts w:ascii="Times New Roman" w:hAnsi="Times New Roman" w:cs="Times New Roman"/>
        </w:rPr>
        <w:footnoteRef/>
      </w:r>
      <w:r w:rsidRPr="00FD6314">
        <w:rPr>
          <w:rFonts w:ascii="Times New Roman" w:hAnsi="Times New Roman" w:cs="Times New Roman"/>
        </w:rPr>
        <w:t xml:space="preserve"> Military Requirem</w:t>
      </w:r>
      <w:r w:rsidRPr="00344F24">
        <w:rPr>
          <w:rFonts w:ascii="Times New Roman" w:hAnsi="Times New Roman" w:cs="Times New Roman"/>
        </w:rPr>
        <w:t>ents for Military Mobility within and beyond the EU, update (ST 10921/19), 4 July 2019, approved by the Council on 15 July and consolidated with the remaining part on 19 July (ST 11373/19).</w:t>
      </w:r>
    </w:p>
  </w:footnote>
  <w:footnote w:id="5">
    <w:p w14:paraId="4AFA11FF" w14:textId="77777777" w:rsidR="001E5938" w:rsidRPr="00344F24" w:rsidRDefault="001E5938" w:rsidP="00113AD9">
      <w:pPr>
        <w:pStyle w:val="FootnoteText"/>
        <w:jc w:val="both"/>
        <w:rPr>
          <w:rFonts w:ascii="Times New Roman" w:hAnsi="Times New Roman" w:cs="Times New Roman"/>
        </w:rPr>
      </w:pPr>
      <w:r w:rsidRPr="00FD6314">
        <w:rPr>
          <w:rStyle w:val="FootnoteReference"/>
          <w:rFonts w:ascii="Times New Roman" w:hAnsi="Times New Roman" w:cs="Times New Roman"/>
        </w:rPr>
        <w:footnoteRef/>
      </w:r>
      <w:r w:rsidRPr="00FD6314">
        <w:rPr>
          <w:rFonts w:ascii="Times New Roman" w:hAnsi="Times New Roman" w:cs="Times New Roman"/>
        </w:rPr>
        <w:t xml:space="preserve"> Special meeting of the European Council (17, 1</w:t>
      </w:r>
      <w:r w:rsidRPr="00344F24">
        <w:rPr>
          <w:rFonts w:ascii="Times New Roman" w:hAnsi="Times New Roman" w:cs="Times New Roman"/>
        </w:rPr>
        <w:t>8, 19, 20 and 21 J</w:t>
      </w:r>
      <w:r w:rsidRPr="00060E79">
        <w:rPr>
          <w:rFonts w:ascii="Times New Roman" w:hAnsi="Times New Roman" w:cs="Times New Roman"/>
        </w:rPr>
        <w:t>uly 2020) – Conclusions,</w:t>
      </w:r>
      <w:hyperlink r:id="rId1" w:history="1">
        <w:r w:rsidRPr="00344F24">
          <w:rPr>
            <w:rStyle w:val="Hyperlink"/>
            <w:rFonts w:ascii="Times New Roman" w:hAnsi="Times New Roman" w:cs="Times New Roman"/>
          </w:rPr>
          <w:t>https://www.consilium.europa.eu/media/45109/210720-euco-final-conclusions-en.pdf</w:t>
        </w:r>
      </w:hyperlink>
      <w:r w:rsidRPr="00FD6314">
        <w:rPr>
          <w:rStyle w:val="Hyperlink"/>
          <w:rFonts w:ascii="Times New Roman" w:hAnsi="Times New Roman" w:cs="Times New Roman"/>
        </w:rPr>
        <w:t>,</w:t>
      </w:r>
      <w:r w:rsidRPr="00344F24">
        <w:rPr>
          <w:rFonts w:ascii="Times New Roman" w:hAnsi="Times New Roman" w:cs="Times New Roman"/>
        </w:rPr>
        <w:t xml:space="preserve"> p. 53.</w:t>
      </w:r>
    </w:p>
  </w:footnote>
  <w:footnote w:id="6">
    <w:p w14:paraId="76914B09" w14:textId="77777777" w:rsidR="001E5938" w:rsidRPr="00E6071F" w:rsidRDefault="001E5938" w:rsidP="005A1143">
      <w:pPr>
        <w:pStyle w:val="FootnoteText"/>
        <w:jc w:val="both"/>
        <w:rPr>
          <w:rFonts w:ascii="Times New Roman" w:hAnsi="Times New Roman" w:cs="Times New Roman"/>
        </w:rPr>
      </w:pPr>
      <w:r w:rsidRPr="00FD6314">
        <w:rPr>
          <w:rStyle w:val="FootnoteReference"/>
          <w:rFonts w:ascii="Times New Roman" w:hAnsi="Times New Roman" w:cs="Times New Roman"/>
        </w:rPr>
        <w:footnoteRef/>
      </w:r>
      <w:r w:rsidRPr="00FD6314">
        <w:rPr>
          <w:rFonts w:ascii="Times New Roman" w:hAnsi="Times New Roman" w:cs="Times New Roman"/>
        </w:rPr>
        <w:t xml:space="preserve"> Commission Implementing Regulation (EU) 2021/1</w:t>
      </w:r>
      <w:r w:rsidRPr="00344F24">
        <w:rPr>
          <w:rFonts w:ascii="Times New Roman" w:hAnsi="Times New Roman" w:cs="Times New Roman"/>
        </w:rPr>
        <w:t>328 of 10 August 2021 specifying the infrastr</w:t>
      </w:r>
      <w:r w:rsidRPr="00060E79">
        <w:rPr>
          <w:rFonts w:ascii="Times New Roman" w:hAnsi="Times New Roman" w:cs="Times New Roman"/>
        </w:rPr>
        <w:t xml:space="preserve">ucture requirements applicable to certain categories of dual-use infrastructure actions pursuant to Regulation (EU) 2021/1153 of the European Parliament and of the Council, C/2021/5859, </w:t>
      </w:r>
      <w:r w:rsidRPr="00E6071F">
        <w:rPr>
          <w:rFonts w:ascii="Times New Roman" w:hAnsi="Times New Roman" w:cs="Times New Roman"/>
          <w:i/>
        </w:rPr>
        <w:t>OJ L 288, 11.8.2021, p. 37</w:t>
      </w:r>
      <w:r w:rsidRPr="00E6071F">
        <w:rPr>
          <w:rFonts w:ascii="Times New Roman" w:hAnsi="Times New Roman" w:cs="Times New Roman"/>
        </w:rPr>
        <w:t>.</w:t>
      </w:r>
    </w:p>
  </w:footnote>
  <w:footnote w:id="7">
    <w:p w14:paraId="3EF88B96" w14:textId="77777777" w:rsidR="001E5938" w:rsidRPr="009310E8" w:rsidRDefault="001E5938" w:rsidP="00DF7ADA">
      <w:pPr>
        <w:pStyle w:val="FootnoteText"/>
        <w:jc w:val="both"/>
        <w:rPr>
          <w:rFonts w:ascii="Times New Roman" w:hAnsi="Times New Roman" w:cs="Times New Roman"/>
        </w:rPr>
      </w:pPr>
      <w:r w:rsidRPr="00FD6314">
        <w:rPr>
          <w:rStyle w:val="FootnoteReference"/>
          <w:rFonts w:ascii="Times New Roman" w:hAnsi="Times New Roman" w:cs="Times New Roman"/>
        </w:rPr>
        <w:footnoteRef/>
      </w:r>
      <w:r w:rsidRPr="00FD6314">
        <w:rPr>
          <w:rFonts w:ascii="Times New Roman" w:hAnsi="Times New Roman" w:cs="Times New Roman"/>
        </w:rPr>
        <w:t xml:space="preserve"> Regulation (EU) No 1315/2013 of the Euro</w:t>
      </w:r>
      <w:r w:rsidRPr="00344F24">
        <w:rPr>
          <w:rFonts w:ascii="Times New Roman" w:hAnsi="Times New Roman" w:cs="Times New Roman"/>
        </w:rPr>
        <w:t>pean Parliament and of the Council of 11 December 2013 on Union guidelines for the development of the trans-European transport network and repealing Decision No 661/2010/EU</w:t>
      </w:r>
      <w:r w:rsidRPr="00060E79">
        <w:rPr>
          <w:rFonts w:ascii="Times New Roman" w:hAnsi="Times New Roman" w:cs="Times New Roman"/>
          <w:i/>
        </w:rPr>
        <w:t>, OJ L 348, 20.12.2013, p.1.</w:t>
      </w:r>
    </w:p>
  </w:footnote>
  <w:footnote w:id="8">
    <w:p w14:paraId="600FC1F2" w14:textId="77777777" w:rsidR="001E5938" w:rsidRPr="00344F24" w:rsidRDefault="001E5938">
      <w:pPr>
        <w:pStyle w:val="FootnoteText"/>
        <w:rPr>
          <w:rFonts w:ascii="Times New Roman" w:hAnsi="Times New Roman" w:cs="Times New Roman"/>
        </w:rPr>
      </w:pPr>
      <w:r w:rsidRPr="00FD6314">
        <w:rPr>
          <w:rStyle w:val="FootnoteReference"/>
          <w:rFonts w:ascii="Times New Roman" w:hAnsi="Times New Roman" w:cs="Times New Roman"/>
        </w:rPr>
        <w:footnoteRef/>
      </w:r>
      <w:r w:rsidRPr="00FD6314">
        <w:rPr>
          <w:rFonts w:ascii="Times New Roman" w:hAnsi="Times New Roman" w:cs="Times New Roman"/>
        </w:rPr>
        <w:t xml:space="preserve"> Canada, Norway and the United States</w:t>
      </w:r>
    </w:p>
  </w:footnote>
  <w:footnote w:id="9">
    <w:p w14:paraId="5790538E" w14:textId="77777777" w:rsidR="001E5938" w:rsidRPr="00FD6314" w:rsidRDefault="001E5938" w:rsidP="004264A1">
      <w:pPr>
        <w:pStyle w:val="FootnoteText"/>
        <w:jc w:val="both"/>
        <w:rPr>
          <w:rFonts w:ascii="Times New Roman" w:hAnsi="Times New Roman" w:cs="Times New Roman"/>
        </w:rPr>
      </w:pPr>
      <w:r w:rsidRPr="00FD6314">
        <w:rPr>
          <w:rStyle w:val="FootnoteReference"/>
          <w:rFonts w:ascii="Times New Roman" w:hAnsi="Times New Roman" w:cs="Times New Roman"/>
        </w:rPr>
        <w:footnoteRef/>
      </w:r>
      <w:r w:rsidRPr="00FD6314">
        <w:rPr>
          <w:rFonts w:ascii="Times New Roman" w:hAnsi="Times New Roman" w:cs="Times New Roman"/>
        </w:rPr>
        <w:t xml:space="preserve"> Council conclusions on Security and Defence in the context of the EU Global Strategy, 25 June 2018, paragraph 18, </w:t>
      </w:r>
      <w:hyperlink r:id="rId2" w:history="1">
        <w:r w:rsidRPr="00344F24">
          <w:rPr>
            <w:rStyle w:val="Hyperlink"/>
            <w:rFonts w:ascii="Times New Roman" w:hAnsi="Times New Roman" w:cs="Times New Roman"/>
          </w:rPr>
          <w:t>http://data.consilium.europa.eu/doc/document/ST-10246-2018-INIT/en/pdf</w:t>
        </w:r>
      </w:hyperlink>
    </w:p>
  </w:footnote>
  <w:footnote w:id="10">
    <w:p w14:paraId="56E244FA" w14:textId="77777777" w:rsidR="001E5938" w:rsidRPr="00060E79" w:rsidRDefault="001E5938">
      <w:pPr>
        <w:pStyle w:val="FootnoteText"/>
        <w:rPr>
          <w:rFonts w:ascii="Times New Roman" w:hAnsi="Times New Roman" w:cs="Times New Roman"/>
        </w:rPr>
      </w:pPr>
      <w:r w:rsidRPr="00FD6314">
        <w:rPr>
          <w:rStyle w:val="FootnoteReference"/>
          <w:rFonts w:ascii="Times New Roman" w:hAnsi="Times New Roman" w:cs="Times New Roman"/>
        </w:rPr>
        <w:footnoteRef/>
      </w:r>
      <w:r w:rsidRPr="00FD6314">
        <w:rPr>
          <w:rFonts w:ascii="Times New Roman" w:hAnsi="Times New Roman" w:cs="Times New Roman"/>
        </w:rPr>
        <w:t xml:space="preserve"> </w:t>
      </w:r>
      <w:r w:rsidRPr="00344F24">
        <w:rPr>
          <w:rFonts w:ascii="Times New Roman" w:hAnsi="Times New Roman" w:cs="Times New Roman"/>
        </w:rPr>
        <w:t>Joint Communication ‘on the Action Plan on Military Mobility’ (JOIN(2018) 5 final.</w:t>
      </w:r>
    </w:p>
  </w:footnote>
  <w:footnote w:id="11">
    <w:p w14:paraId="417D1538" w14:textId="77777777" w:rsidR="00466B77" w:rsidRPr="00EA6CC6" w:rsidRDefault="00466B77" w:rsidP="00466B77">
      <w:pPr>
        <w:pStyle w:val="FootnoteText"/>
        <w:rPr>
          <w:rFonts w:ascii="Times New Roman" w:hAnsi="Times New Roman" w:cs="Times New Roman"/>
          <w:lang w:val="en-US"/>
        </w:rPr>
      </w:pPr>
      <w:r>
        <w:rPr>
          <w:rStyle w:val="FootnoteReference"/>
        </w:rPr>
        <w:footnoteRef/>
      </w:r>
      <w:r>
        <w:t xml:space="preserve"> </w:t>
      </w:r>
      <w:r w:rsidRPr="00EA6CC6">
        <w:rPr>
          <w:rFonts w:ascii="Times New Roman" w:hAnsi="Times New Roman" w:cs="Times New Roman"/>
        </w:rPr>
        <w:t>Amended proposal for a Regulation of the European Parliament and of the Council on Union guidelines for the development of the trans-European transport network, amending Regulation (EU) 2021/1153 and Regulation (EU) No 913/2010 and repealing Regulation (EU) 1315/2013, COM(2022) 384 final</w:t>
      </w:r>
    </w:p>
  </w:footnote>
  <w:footnote w:id="12">
    <w:p w14:paraId="76A3DC7B" w14:textId="77777777" w:rsidR="001E5938" w:rsidRPr="00FD6314" w:rsidRDefault="001E5938" w:rsidP="008A0EA2">
      <w:pPr>
        <w:pStyle w:val="FootnoteText"/>
      </w:pPr>
      <w:r w:rsidRPr="00E6071F">
        <w:rPr>
          <w:rStyle w:val="FootnoteReference"/>
        </w:rPr>
        <w:footnoteRef/>
      </w:r>
      <w:r w:rsidRPr="00E6071F">
        <w:t xml:space="preserve"> </w:t>
      </w:r>
      <w:r w:rsidRPr="00444046">
        <w:rPr>
          <w:rFonts w:ascii="Times New Roman" w:hAnsi="Times New Roman" w:cs="Times New Roman"/>
        </w:rPr>
        <w:t>Air traffic management (ATM) (network management, interoperability, provisions of air navigation services, use of airspace by civilian and military users) in the Union is addressed in the single European sky initiative and the SESAR project. The underlying regulatory framework affects the dual-use of ATM systems and infrastructure.</w:t>
      </w:r>
    </w:p>
  </w:footnote>
  <w:footnote w:id="13">
    <w:p w14:paraId="074E6468" w14:textId="77777777" w:rsidR="00643D8C" w:rsidRPr="00444046" w:rsidRDefault="00643D8C" w:rsidP="00643D8C">
      <w:pPr>
        <w:pStyle w:val="FootnoteText"/>
        <w:rPr>
          <w:rFonts w:ascii="Times New Roman" w:eastAsia="Calibri" w:hAnsi="Times New Roman" w:cs="Times New Roman"/>
          <w:noProof/>
        </w:rPr>
      </w:pPr>
      <w:r w:rsidRPr="00444046">
        <w:rPr>
          <w:rStyle w:val="FootnoteReference"/>
          <w:rFonts w:ascii="Times New Roman" w:hAnsi="Times New Roman" w:cs="Times New Roman"/>
        </w:rPr>
        <w:footnoteRef/>
      </w:r>
      <w:r w:rsidRPr="00444046">
        <w:rPr>
          <w:rStyle w:val="FootnoteReference"/>
          <w:rFonts w:ascii="Times New Roman" w:hAnsi="Times New Roman" w:cs="Times New Roman"/>
        </w:rPr>
        <w:t xml:space="preserve">  </w:t>
      </w:r>
      <w:r w:rsidRPr="00444046">
        <w:rPr>
          <w:rFonts w:ascii="Times New Roman" w:eastAsia="Calibri" w:hAnsi="Times New Roman" w:cs="Times New Roman"/>
          <w:noProof/>
        </w:rPr>
        <w:t xml:space="preserve"> Conclusions Foreign Affairs Council, 25th June 2018, paragraph 18: “Calls on Member States to take action nationally to improve the efficiency of military mobility, and to simplify and standardize relevant rules and procedures in coherence with the Action Plan and the Military Requirements for Military Mobility within and beyond the EU, in accordance with national legislation of the Member States, as soon as possible but no later than 2024, and aim at the following first steps to be achieved by the end of 2019: </w:t>
      </w:r>
    </w:p>
    <w:p w14:paraId="656E97DC" w14:textId="77777777" w:rsidR="00643D8C" w:rsidRPr="00444046" w:rsidRDefault="00643D8C" w:rsidP="00643D8C">
      <w:pPr>
        <w:pStyle w:val="FootnoteText"/>
        <w:rPr>
          <w:rFonts w:ascii="Times New Roman" w:eastAsia="Calibri" w:hAnsi="Times New Roman" w:cs="Times New Roman"/>
          <w:noProof/>
        </w:rPr>
      </w:pPr>
      <w:r w:rsidRPr="00444046">
        <w:rPr>
          <w:rFonts w:ascii="Times New Roman" w:eastAsia="Calibri" w:hAnsi="Times New Roman" w:cs="Times New Roman"/>
          <w:noProof/>
        </w:rPr>
        <w:t xml:space="preserve">a) develop national plans for military mobility and give their implementation high priority; </w:t>
      </w:r>
    </w:p>
    <w:p w14:paraId="5EC4C7F5" w14:textId="77777777" w:rsidR="00643D8C" w:rsidRPr="00444046" w:rsidRDefault="00643D8C" w:rsidP="00643D8C">
      <w:pPr>
        <w:pStyle w:val="FootnoteText"/>
        <w:rPr>
          <w:rFonts w:ascii="Times New Roman" w:eastAsia="Calibri" w:hAnsi="Times New Roman" w:cs="Times New Roman"/>
          <w:noProof/>
        </w:rPr>
      </w:pPr>
      <w:r w:rsidRPr="00444046">
        <w:rPr>
          <w:rFonts w:ascii="Times New Roman" w:eastAsia="Calibri" w:hAnsi="Times New Roman" w:cs="Times New Roman"/>
          <w:noProof/>
        </w:rPr>
        <w:t xml:space="preserve">b) in accordance with relevant standardized procedures and subject to national decision making and criteria, accelerate border crossing procedures, and to that end work with competent national authorities towards granting cross border movement permissions, including requests for entry and movement permission for all modes (surface, air and sea) and aspects of military movement and transportation, for routine activities within 1 working days; and consider to bring this period further down for rapid reaction units; </w:t>
      </w:r>
    </w:p>
    <w:p w14:paraId="3E37F791" w14:textId="77777777" w:rsidR="00643D8C" w:rsidRPr="00444046" w:rsidRDefault="00643D8C" w:rsidP="00643D8C">
      <w:pPr>
        <w:pStyle w:val="FootnoteText"/>
        <w:rPr>
          <w:rFonts w:ascii="Times New Roman" w:eastAsia="Calibri" w:hAnsi="Times New Roman" w:cs="Times New Roman"/>
          <w:noProof/>
        </w:rPr>
      </w:pPr>
      <w:r w:rsidRPr="00444046">
        <w:rPr>
          <w:rFonts w:ascii="Times New Roman" w:eastAsia="Calibri" w:hAnsi="Times New Roman" w:cs="Times New Roman"/>
          <w:noProof/>
        </w:rPr>
        <w:t xml:space="preserve">c) facilitate and speed up communication and procedures, and to that end create a strong interconnected network of National Points of Contact for all aspects relating to military mobility to, amongst others, be able to quickly handle requests for cross-border movements; </w:t>
      </w:r>
    </w:p>
    <w:p w14:paraId="04214F4B" w14:textId="77777777" w:rsidR="00643D8C" w:rsidRPr="008F497B" w:rsidRDefault="00643D8C" w:rsidP="00643D8C">
      <w:pPr>
        <w:pStyle w:val="FootnoteText"/>
        <w:rPr>
          <w:rFonts w:ascii="Times New Roman" w:eastAsia="Calibri" w:hAnsi="Times New Roman" w:cs="Times New Roman"/>
          <w:noProof/>
        </w:rPr>
      </w:pPr>
      <w:r w:rsidRPr="00444046">
        <w:rPr>
          <w:rFonts w:ascii="Times New Roman" w:eastAsia="Calibri" w:hAnsi="Times New Roman" w:cs="Times New Roman"/>
          <w:noProof/>
        </w:rPr>
        <w:t>d) use suitable existing national and multinational exercises to practice more regularly military mobility, including during live exercises, and short notice movements”.</w:t>
      </w:r>
      <w:r w:rsidRPr="008F497B">
        <w:rPr>
          <w:rFonts w:ascii="Times New Roman" w:eastAsia="Calibri" w:hAnsi="Times New Roman" w:cs="Times New Roman"/>
          <w:noProof/>
        </w:rPr>
        <w:t xml:space="preserve">  </w:t>
      </w:r>
    </w:p>
  </w:footnote>
  <w:footnote w:id="14">
    <w:p w14:paraId="0CEBAD04" w14:textId="1849EE37" w:rsidR="001E5938" w:rsidRPr="00444046" w:rsidRDefault="001E5938">
      <w:pPr>
        <w:pStyle w:val="FootnoteText"/>
        <w:rPr>
          <w:rFonts w:ascii="Times New Roman" w:hAnsi="Times New Roman" w:cs="Times New Roman"/>
        </w:rPr>
      </w:pPr>
      <w:r w:rsidRPr="00444046">
        <w:rPr>
          <w:rStyle w:val="FootnoteReference"/>
          <w:rFonts w:ascii="Times New Roman" w:hAnsi="Times New Roman" w:cs="Times New Roman"/>
        </w:rPr>
        <w:footnoteRef/>
      </w:r>
      <w:r w:rsidRPr="00444046">
        <w:rPr>
          <w:rFonts w:ascii="Times New Roman" w:hAnsi="Times New Roman" w:cs="Times New Roman"/>
        </w:rPr>
        <w:t xml:space="preserve"> </w:t>
      </w:r>
      <w:r w:rsidRPr="008F497B">
        <w:rPr>
          <w:rFonts w:ascii="Times New Roman" w:eastAsia="Calibri" w:hAnsi="Times New Roman" w:cs="Times New Roman"/>
          <w:noProof/>
        </w:rPr>
        <w:t xml:space="preserve">The Technical Arrangement on Surface Movement aims to enhance the military mobility for road, rail and inland waterways by harmonising and simplifying administrative procedures and fostering movement permissions. It has been signed by </w:t>
      </w:r>
      <w:r w:rsidR="00AF01E6">
        <w:rPr>
          <w:rFonts w:ascii="Times New Roman" w:eastAsia="Calibri" w:hAnsi="Times New Roman" w:cs="Times New Roman"/>
          <w:noProof/>
        </w:rPr>
        <w:t>23</w:t>
      </w:r>
      <w:r w:rsidRPr="008F497B">
        <w:rPr>
          <w:rFonts w:ascii="Times New Roman" w:eastAsia="Calibri" w:hAnsi="Times New Roman" w:cs="Times New Roman"/>
          <w:noProof/>
        </w:rPr>
        <w:t xml:space="preserve"> contributing Member States </w:t>
      </w:r>
      <w:r w:rsidR="00643D8C" w:rsidRPr="008F497B">
        <w:rPr>
          <w:rFonts w:ascii="Times New Roman" w:eastAsia="Calibri" w:hAnsi="Times New Roman" w:cs="Times New Roman"/>
          <w:noProof/>
        </w:rPr>
        <w:t>and</w:t>
      </w:r>
      <w:r w:rsidRPr="008F497B">
        <w:rPr>
          <w:rFonts w:ascii="Times New Roman" w:eastAsia="Calibri" w:hAnsi="Times New Roman" w:cs="Times New Roman"/>
          <w:noProof/>
        </w:rPr>
        <w:t xml:space="preserve"> Norway.</w:t>
      </w:r>
    </w:p>
  </w:footnote>
  <w:footnote w:id="15">
    <w:p w14:paraId="485931D8" w14:textId="36E330E1" w:rsidR="001E5938" w:rsidRPr="00444046" w:rsidRDefault="001E5938">
      <w:pPr>
        <w:pStyle w:val="FootnoteText"/>
        <w:rPr>
          <w:rFonts w:ascii="Times New Roman" w:hAnsi="Times New Roman" w:cs="Times New Roman"/>
        </w:rPr>
      </w:pPr>
      <w:r w:rsidRPr="00444046">
        <w:rPr>
          <w:rStyle w:val="FootnoteReference"/>
          <w:rFonts w:ascii="Times New Roman" w:hAnsi="Times New Roman" w:cs="Times New Roman"/>
        </w:rPr>
        <w:footnoteRef/>
      </w:r>
      <w:r w:rsidRPr="00444046">
        <w:rPr>
          <w:rFonts w:ascii="Times New Roman" w:hAnsi="Times New Roman" w:cs="Times New Roman"/>
        </w:rPr>
        <w:t xml:space="preserve"> </w:t>
      </w:r>
      <w:r w:rsidRPr="008F497B">
        <w:rPr>
          <w:rFonts w:ascii="Times New Roman" w:eastAsia="Calibri" w:hAnsi="Times New Roman" w:cs="Times New Roman"/>
          <w:noProof/>
        </w:rPr>
        <w:t>The Technical Arrangement for Air Transport aims at encompassing a wider range of missions, complementary to the existing Diplomatic Clearance (DIC) Technical Arrangement, including air-to-air refuelling, Remotely Piloted Aircraft System (RPAS) platforms, training missions, fighter jets and rotary wings. It has been signed by 2</w:t>
      </w:r>
      <w:r w:rsidR="00EE6492" w:rsidRPr="008F497B">
        <w:rPr>
          <w:rFonts w:ascii="Times New Roman" w:eastAsia="Calibri" w:hAnsi="Times New Roman" w:cs="Times New Roman"/>
          <w:noProof/>
        </w:rPr>
        <w:t>2</w:t>
      </w:r>
      <w:r w:rsidRPr="008F497B">
        <w:rPr>
          <w:rFonts w:ascii="Times New Roman" w:eastAsia="Calibri" w:hAnsi="Times New Roman" w:cs="Times New Roman"/>
          <w:noProof/>
        </w:rPr>
        <w:t xml:space="preserve"> contribu</w:t>
      </w:r>
      <w:r w:rsidR="00AF01E6">
        <w:rPr>
          <w:rFonts w:ascii="Times New Roman" w:eastAsia="Calibri" w:hAnsi="Times New Roman" w:cs="Times New Roman"/>
          <w:noProof/>
        </w:rPr>
        <w:t>t</w:t>
      </w:r>
      <w:r w:rsidRPr="008F497B">
        <w:rPr>
          <w:rFonts w:ascii="Times New Roman" w:eastAsia="Calibri" w:hAnsi="Times New Roman" w:cs="Times New Roman"/>
          <w:noProof/>
        </w:rPr>
        <w:t xml:space="preserve">ing Member States </w:t>
      </w:r>
      <w:r w:rsidR="00643D8C" w:rsidRPr="008F497B">
        <w:rPr>
          <w:rFonts w:ascii="Times New Roman" w:eastAsia="Calibri" w:hAnsi="Times New Roman" w:cs="Times New Roman"/>
          <w:noProof/>
        </w:rPr>
        <w:t>and</w:t>
      </w:r>
      <w:r w:rsidRPr="008F497B">
        <w:rPr>
          <w:rFonts w:ascii="Times New Roman" w:eastAsia="Calibri" w:hAnsi="Times New Roman" w:cs="Times New Roman"/>
          <w:noProof/>
        </w:rPr>
        <w:t xml:space="preserve"> Norway.</w:t>
      </w:r>
    </w:p>
  </w:footnote>
  <w:footnote w:id="16">
    <w:p w14:paraId="20D9F892" w14:textId="77777777" w:rsidR="001E5938" w:rsidRPr="008F497B" w:rsidRDefault="001E5938">
      <w:pPr>
        <w:pStyle w:val="FootnoteText"/>
        <w:rPr>
          <w:rFonts w:ascii="Times New Roman" w:hAnsi="Times New Roman" w:cs="Times New Roman"/>
        </w:rPr>
      </w:pPr>
      <w:r w:rsidRPr="008F497B">
        <w:rPr>
          <w:rStyle w:val="FootnoteReference"/>
          <w:rFonts w:ascii="Times New Roman" w:hAnsi="Times New Roman" w:cs="Times New Roman"/>
        </w:rPr>
        <w:footnoteRef/>
      </w:r>
      <w:r w:rsidRPr="008F497B">
        <w:rPr>
          <w:rFonts w:ascii="Times New Roman" w:hAnsi="Times New Roman" w:cs="Times New Roman"/>
        </w:rPr>
        <w:t xml:space="preserve"> As a result of two years of work done by the Commission, in cooperation with EDA and the EU Member States, several amendments to the Commission Delegated Regulation (EU) 2015/2446 and to the Commission Implementing Regulation 2015/2447, namely the Delegated and Implementing Acts of the Union Customs Code (UCC), were published in the Official Journal.</w:t>
      </w:r>
    </w:p>
  </w:footnote>
  <w:footnote w:id="17">
    <w:p w14:paraId="6521CF5B" w14:textId="77777777" w:rsidR="005D3C6B" w:rsidRPr="00444046" w:rsidRDefault="005D3C6B">
      <w:pPr>
        <w:pStyle w:val="FootnoteText"/>
        <w:rPr>
          <w:rFonts w:ascii="Times New Roman" w:hAnsi="Times New Roman" w:cs="Times New Roman"/>
        </w:rPr>
      </w:pPr>
      <w:r w:rsidRPr="00444046">
        <w:rPr>
          <w:rStyle w:val="FootnoteReference"/>
          <w:rFonts w:ascii="Times New Roman" w:hAnsi="Times New Roman" w:cs="Times New Roman"/>
        </w:rPr>
        <w:footnoteRef/>
      </w:r>
      <w:r w:rsidRPr="00444046">
        <w:rPr>
          <w:rFonts w:ascii="Times New Roman" w:hAnsi="Times New Roman" w:cs="Times New Roman"/>
        </w:rPr>
        <w:t xml:space="preserve"> https://eur-lex.europa.eu/legal-content/EN/TXT/PDF/?uri=CELEX:02015R2446-20220101&amp;from=EN</w:t>
      </w:r>
    </w:p>
  </w:footnote>
  <w:footnote w:id="18">
    <w:p w14:paraId="5D1CB97D" w14:textId="77777777" w:rsidR="006B576A" w:rsidRPr="00444046" w:rsidRDefault="006B576A">
      <w:pPr>
        <w:pStyle w:val="FootnoteText"/>
        <w:rPr>
          <w:rFonts w:ascii="Times New Roman" w:hAnsi="Times New Roman" w:cs="Times New Roman"/>
        </w:rPr>
      </w:pPr>
      <w:r w:rsidRPr="00444046">
        <w:rPr>
          <w:rStyle w:val="FootnoteReference"/>
          <w:rFonts w:ascii="Times New Roman" w:hAnsi="Times New Roman" w:cs="Times New Roman"/>
        </w:rPr>
        <w:footnoteRef/>
      </w:r>
      <w:r w:rsidRPr="00444046">
        <w:rPr>
          <w:rFonts w:ascii="Times New Roman" w:hAnsi="Times New Roman" w:cs="Times New Roman"/>
        </w:rPr>
        <w:t xml:space="preserve"> Estonia, Lithuania, Germany, Bulgaria, Poland, Luxemburg, Rumania, Czech Republic, Latvia plus Norway</w:t>
      </w:r>
    </w:p>
  </w:footnote>
  <w:footnote w:id="19">
    <w:p w14:paraId="3204CBAD" w14:textId="77777777" w:rsidR="005C7B97" w:rsidRPr="00AF01E6" w:rsidRDefault="005C7B97" w:rsidP="005C7B97">
      <w:pPr>
        <w:pStyle w:val="FootnoteText"/>
        <w:jc w:val="both"/>
        <w:rPr>
          <w:rFonts w:ascii="Times New Roman" w:hAnsi="Times New Roman" w:cs="Times New Roman"/>
        </w:rPr>
      </w:pPr>
      <w:r w:rsidRPr="00AF01E6">
        <w:rPr>
          <w:rStyle w:val="FootnoteReference"/>
          <w:rFonts w:ascii="Times New Roman" w:hAnsi="Times New Roman" w:cs="Times New Roman"/>
        </w:rPr>
        <w:footnoteRef/>
      </w:r>
      <w:r w:rsidRPr="00AF01E6">
        <w:rPr>
          <w:rFonts w:ascii="Times New Roman" w:hAnsi="Times New Roman" w:cs="Times New Roman"/>
        </w:rPr>
        <w:t xml:space="preserve"> Logistics is a closed and resilient system, where all suppliers, consumers and third parties are contributing mutually to the supply chain. Logistics composed of Procurement, Movement &amp; Transport, Training, Distribution and Supply Management. The aim of Logistics is to provide the demanded quantity and quality of goods at the requested time and location.</w:t>
      </w:r>
    </w:p>
  </w:footnote>
  <w:footnote w:id="20">
    <w:p w14:paraId="7D066876" w14:textId="77777777" w:rsidR="001E5938" w:rsidRPr="008F497B" w:rsidRDefault="001E5938" w:rsidP="00135169">
      <w:pPr>
        <w:pStyle w:val="FootnoteText"/>
        <w:jc w:val="both"/>
        <w:rPr>
          <w:rFonts w:ascii="Times New Roman" w:hAnsi="Times New Roman" w:cs="Times New Roman"/>
        </w:rPr>
      </w:pPr>
      <w:r w:rsidRPr="008F497B">
        <w:rPr>
          <w:rStyle w:val="FootnoteReference"/>
          <w:rFonts w:ascii="Times New Roman" w:hAnsi="Times New Roman" w:cs="Times New Roman"/>
        </w:rPr>
        <w:footnoteRef/>
      </w:r>
      <w:r w:rsidRPr="008F497B">
        <w:rPr>
          <w:rFonts w:ascii="Times New Roman" w:hAnsi="Times New Roman" w:cs="Times New Roman"/>
        </w:rPr>
        <w:t xml:space="preserve"> The Capability Development Plan revision approval and implementation, EDA Steering Board Document 2018/15, 28 June 2018.</w:t>
      </w:r>
    </w:p>
  </w:footnote>
  <w:footnote w:id="21">
    <w:p w14:paraId="79E2750B" w14:textId="77777777" w:rsidR="001E5938" w:rsidRPr="00444046" w:rsidRDefault="001E5938">
      <w:pPr>
        <w:pStyle w:val="FootnoteText"/>
        <w:rPr>
          <w:rFonts w:ascii="Times New Roman" w:hAnsi="Times New Roman" w:cs="Times New Roman"/>
        </w:rPr>
      </w:pPr>
      <w:r w:rsidRPr="00444046">
        <w:rPr>
          <w:rStyle w:val="FootnoteReference"/>
          <w:rFonts w:ascii="Times New Roman" w:hAnsi="Times New Roman" w:cs="Times New Roman"/>
        </w:rPr>
        <w:footnoteRef/>
      </w:r>
      <w:r w:rsidRPr="00444046">
        <w:rPr>
          <w:rFonts w:ascii="Times New Roman" w:hAnsi="Times New Roman" w:cs="Times New Roman"/>
        </w:rPr>
        <w:t xml:space="preserve"> </w:t>
      </w:r>
      <w:r w:rsidRPr="00444046">
        <w:rPr>
          <w:rFonts w:ascii="Times New Roman" w:hAnsi="Times New Roman" w:cs="Times New Roman"/>
          <w:color w:val="000000"/>
          <w:shd w:val="clear" w:color="auto" w:fill="FFFFFF"/>
        </w:rPr>
        <w:t>The overall aim of the project Strategic Air Transport for Outsized Cargo is to fill the critical shortfall for Strategic Air Transport for Outsized Cargo by developing a European solution for the transport of outsized and heavy cargo.</w:t>
      </w:r>
    </w:p>
  </w:footnote>
  <w:footnote w:id="22">
    <w:p w14:paraId="7FB122B3" w14:textId="77777777" w:rsidR="001E5938" w:rsidRPr="00FD6314" w:rsidRDefault="001E5938" w:rsidP="00135169">
      <w:pPr>
        <w:pStyle w:val="FootnoteText"/>
        <w:jc w:val="both"/>
        <w:rPr>
          <w:rFonts w:ascii="Times New Roman" w:hAnsi="Times New Roman" w:cs="Times New Roman"/>
        </w:rPr>
      </w:pPr>
      <w:r w:rsidRPr="008F497B">
        <w:rPr>
          <w:rStyle w:val="FootnoteReference"/>
          <w:rFonts w:ascii="Times New Roman" w:hAnsi="Times New Roman" w:cs="Times New Roman"/>
        </w:rPr>
        <w:footnoteRef/>
      </w:r>
      <w:r w:rsidRPr="008F497B">
        <w:rPr>
          <w:rFonts w:ascii="Times New Roman" w:hAnsi="Times New Roman" w:cs="Times New Roman"/>
        </w:rPr>
        <w:t xml:space="preserve"> Such as: European Airlift Transport Command (EATC), Movement Coordination Centre Europe (MCCE; all modalities), and the Athens Multinational Sealift Coordination Centre (AMSCC).</w:t>
      </w:r>
      <w:r w:rsidR="00F3670D">
        <w:rPr>
          <w:rFonts w:ascii="Times New Roman" w:hAnsi="Times New Roman" w:cs="Times New Roman"/>
        </w:rPr>
        <w:t xml:space="preserve"> </w:t>
      </w:r>
      <w:r w:rsidR="00F3670D" w:rsidRPr="00444046">
        <w:rPr>
          <w:rFonts w:ascii="Times New Roman" w:hAnsi="Times New Roman" w:cs="Times New Roman"/>
        </w:rPr>
        <w:t>The EU’s liaison with these structures will be done in full respect of the principles of inclusivity of all Member States in multinational structures as reaffirmed in the Council Conclusions on Security and Defence of 17 June 2020 (paragraph 21)</w:t>
      </w:r>
    </w:p>
  </w:footnote>
  <w:footnote w:id="23">
    <w:p w14:paraId="498D2909" w14:textId="77777777" w:rsidR="001E5938" w:rsidRPr="00060E79" w:rsidRDefault="001E5938" w:rsidP="006A07A0">
      <w:pPr>
        <w:pStyle w:val="FootnoteText"/>
        <w:jc w:val="both"/>
        <w:rPr>
          <w:rFonts w:ascii="Times New Roman" w:hAnsi="Times New Roman" w:cs="Times New Roman"/>
        </w:rPr>
      </w:pPr>
      <w:r w:rsidRPr="00FD6314">
        <w:rPr>
          <w:rStyle w:val="FootnoteReference"/>
          <w:rFonts w:ascii="Times New Roman" w:hAnsi="Times New Roman" w:cs="Times New Roman"/>
        </w:rPr>
        <w:footnoteRef/>
      </w:r>
      <w:r w:rsidRPr="00FD6314">
        <w:rPr>
          <w:rFonts w:ascii="Times New Roman" w:hAnsi="Times New Roman" w:cs="Times New Roman"/>
        </w:rPr>
        <w:t xml:space="preserve"> </w:t>
      </w:r>
      <w:r w:rsidRPr="00FD6314">
        <w:rPr>
          <w:rFonts w:ascii="Times New Roman" w:eastAsia="Calibri" w:hAnsi="Times New Roman" w:cs="Times New Roman"/>
          <w:noProof/>
        </w:rPr>
        <w:t>The event brought together participants from the EU Member States, the European External Action Service including the EU Military Staff, the Commission services, the European Defence Agency, as well as key EU partne</w:t>
      </w:r>
      <w:r w:rsidRPr="00344F24">
        <w:rPr>
          <w:rFonts w:ascii="Times New Roman" w:eastAsia="Calibri" w:hAnsi="Times New Roman" w:cs="Times New Roman"/>
          <w:noProof/>
        </w:rPr>
        <w:t>rs – NATO staff and three NATO Allies – the</w:t>
      </w:r>
      <w:r w:rsidRPr="00060E79">
        <w:rPr>
          <w:rFonts w:ascii="Times New Roman" w:eastAsia="Calibri" w:hAnsi="Times New Roman" w:cs="Times New Roman"/>
          <w:noProof/>
        </w:rPr>
        <w:t xml:space="preserve"> United States of America, Canada and Norway.</w:t>
      </w:r>
    </w:p>
  </w:footnote>
  <w:footnote w:id="24">
    <w:p w14:paraId="476C096C" w14:textId="77777777" w:rsidR="0074329E" w:rsidRPr="00CD3E03" w:rsidRDefault="0074329E">
      <w:pPr>
        <w:pStyle w:val="FootnoteText"/>
        <w:rPr>
          <w:rFonts w:ascii="Times New Roman" w:hAnsi="Times New Roman" w:cs="Times New Roman"/>
        </w:rPr>
      </w:pPr>
      <w:r w:rsidRPr="007973DB">
        <w:rPr>
          <w:rStyle w:val="FootnoteReference"/>
          <w:rFonts w:ascii="Times New Roman" w:hAnsi="Times New Roman" w:cs="Times New Roman"/>
        </w:rPr>
        <w:footnoteRef/>
      </w:r>
      <w:r w:rsidRPr="007973DB">
        <w:rPr>
          <w:rFonts w:ascii="Times New Roman" w:hAnsi="Times New Roman" w:cs="Times New Roman"/>
        </w:rPr>
        <w:t xml:space="preserve">   Joint Staff Working Document Fifth Progress Report on the implementation of the 2016 Joint Framework on countering hybrid threats and the 2018 Joint Communication on increasing resilience and bolster</w:t>
      </w:r>
      <w:r w:rsidRPr="00CD3E03">
        <w:rPr>
          <w:rFonts w:ascii="Times New Roman" w:hAnsi="Times New Roman" w:cs="Times New Roman"/>
        </w:rPr>
        <w:t>ing capabilities to address hybrid threats {SWD (2021) 729 final}.</w:t>
      </w:r>
    </w:p>
  </w:footnote>
  <w:footnote w:id="25">
    <w:p w14:paraId="16B25532" w14:textId="77777777" w:rsidR="001E5938" w:rsidRPr="00CD3E03" w:rsidRDefault="001E5938">
      <w:pPr>
        <w:pStyle w:val="FootnoteText"/>
        <w:jc w:val="both"/>
        <w:rPr>
          <w:rFonts w:ascii="Times New Roman" w:hAnsi="Times New Roman" w:cs="Times New Roman"/>
        </w:rPr>
      </w:pPr>
      <w:r w:rsidRPr="007973DB">
        <w:rPr>
          <w:rStyle w:val="FootnoteReference"/>
          <w:rFonts w:ascii="Times New Roman" w:hAnsi="Times New Roman" w:cs="Times New Roman"/>
        </w:rPr>
        <w:footnoteRef/>
      </w:r>
      <w:r w:rsidRPr="007973DB">
        <w:rPr>
          <w:rFonts w:ascii="Times New Roman" w:hAnsi="Times New Roman" w:cs="Times New Roman"/>
        </w:rPr>
        <w:t xml:space="preserve"> Joint Staff Working Document Fifth Progress Report on the implementation of the 2016 Joint Framework on countering hybrid threats and the 2018 Joint Communication on increasing resilience</w:t>
      </w:r>
      <w:r w:rsidRPr="00CD3E03">
        <w:rPr>
          <w:rFonts w:ascii="Times New Roman" w:hAnsi="Times New Roman" w:cs="Times New Roman"/>
        </w:rPr>
        <w:t xml:space="preserve"> and bolstering capabilities to address hybrid threats {SWD (2021) 729 final}.</w:t>
      </w:r>
    </w:p>
  </w:footnote>
  <w:footnote w:id="26">
    <w:p w14:paraId="527B144A" w14:textId="77777777" w:rsidR="004161EE" w:rsidRPr="00444046" w:rsidRDefault="004161EE" w:rsidP="004161EE">
      <w:pPr>
        <w:pStyle w:val="FootnoteText"/>
        <w:rPr>
          <w:rFonts w:ascii="Times New Roman" w:hAnsi="Times New Roman" w:cs="Times New Roman"/>
        </w:rPr>
      </w:pPr>
      <w:r w:rsidRPr="00444046">
        <w:rPr>
          <w:rStyle w:val="FootnoteReference"/>
          <w:rFonts w:ascii="Times New Roman" w:hAnsi="Times New Roman" w:cs="Times New Roman"/>
        </w:rPr>
        <w:footnoteRef/>
      </w:r>
      <w:r w:rsidRPr="00444046">
        <w:rPr>
          <w:rFonts w:ascii="Times New Roman" w:hAnsi="Times New Roman" w:cs="Times New Roman"/>
        </w:rPr>
        <w:t xml:space="preserve"> COM (2020) 829 final. A political agreement has been found on the CER Directive in June 2022 and its entry into force is expected in early 2023. CER Directive will replace the Directive 2008/114/EC of 8 December 2008 on the identification and designation of European critical infrastructures and the assessment of the need to improve their protection. </w:t>
      </w:r>
    </w:p>
  </w:footnote>
  <w:footnote w:id="27">
    <w:p w14:paraId="56C62C67" w14:textId="77777777" w:rsidR="004161EE" w:rsidRPr="00444046" w:rsidRDefault="004161EE" w:rsidP="004161EE">
      <w:pPr>
        <w:pStyle w:val="FootnoteText"/>
        <w:rPr>
          <w:rFonts w:ascii="Times New Roman" w:hAnsi="Times New Roman" w:cs="Times New Roman"/>
        </w:rPr>
      </w:pPr>
      <w:r w:rsidRPr="00444046">
        <w:rPr>
          <w:rStyle w:val="FootnoteReference"/>
          <w:rFonts w:ascii="Times New Roman" w:hAnsi="Times New Roman" w:cs="Times New Roman"/>
        </w:rPr>
        <w:footnoteRef/>
      </w:r>
      <w:r w:rsidRPr="00444046">
        <w:rPr>
          <w:rFonts w:ascii="Times New Roman" w:hAnsi="Times New Roman" w:cs="Times New Roman"/>
        </w:rPr>
        <w:t xml:space="preserve"> The proposal for a Council recommendation was adopted on 18 Oct 2022. https://ec.europa.eu/commission/presscorner/detail/en/ip_22_6238</w:t>
      </w:r>
    </w:p>
  </w:footnote>
  <w:footnote w:id="28">
    <w:p w14:paraId="0BA25D3D" w14:textId="77777777" w:rsidR="001E5938" w:rsidRPr="00CD3E03" w:rsidRDefault="001E5938" w:rsidP="00371537">
      <w:pPr>
        <w:pStyle w:val="FootnoteText"/>
        <w:jc w:val="both"/>
        <w:rPr>
          <w:rFonts w:ascii="Times New Roman" w:hAnsi="Times New Roman" w:cs="Times New Roman"/>
        </w:rPr>
      </w:pPr>
      <w:r w:rsidRPr="007973DB">
        <w:rPr>
          <w:rStyle w:val="FootnoteReference"/>
          <w:rFonts w:ascii="Times New Roman" w:hAnsi="Times New Roman" w:cs="Times New Roman"/>
        </w:rPr>
        <w:footnoteRef/>
      </w:r>
      <w:r w:rsidRPr="007973DB">
        <w:rPr>
          <w:rFonts w:ascii="Times New Roman" w:hAnsi="Times New Roman" w:cs="Times New Roman"/>
        </w:rPr>
        <w:t xml:space="preserve"> This Directive will be repealed and replaced by a Directive on measures on high common level of cybersecurity across the Union (NIS2 Directive)</w:t>
      </w:r>
    </w:p>
  </w:footnote>
  <w:footnote w:id="29">
    <w:p w14:paraId="6EDF9D43" w14:textId="77777777" w:rsidR="0080580D" w:rsidRPr="00CD3E03" w:rsidRDefault="0080580D">
      <w:pPr>
        <w:pStyle w:val="FootnoteText"/>
        <w:rPr>
          <w:rFonts w:ascii="Times New Roman" w:hAnsi="Times New Roman" w:cs="Times New Roman"/>
        </w:rPr>
      </w:pPr>
      <w:r w:rsidRPr="00444046">
        <w:rPr>
          <w:rStyle w:val="FootnoteReference"/>
          <w:rFonts w:ascii="Times New Roman" w:hAnsi="Times New Roman" w:cs="Times New Roman"/>
        </w:rPr>
        <w:footnoteRef/>
      </w:r>
      <w:r w:rsidRPr="00444046">
        <w:rPr>
          <w:rFonts w:ascii="Times New Roman" w:hAnsi="Times New Roman" w:cs="Times New Roman"/>
        </w:rPr>
        <w:t xml:space="preserve"> </w:t>
      </w:r>
      <w:r w:rsidRPr="007973DB">
        <w:rPr>
          <w:rFonts w:ascii="Times New Roman" w:hAnsi="Times New Roman" w:cs="Times New Roman"/>
        </w:rPr>
        <w:t>COM (2020) 829 fina</w:t>
      </w:r>
      <w:r w:rsidRPr="00797C44">
        <w:rPr>
          <w:rFonts w:ascii="Times New Roman" w:hAnsi="Times New Roman" w:cs="Times New Roman"/>
        </w:rPr>
        <w:t>l. A political agreement has been found on the CER Directive in June 2022 and its entry into force is expected in early 2023. CER Directive will replace the Directive 2008/114/EC of 8 December 2008 on the identification and designation of European critical</w:t>
      </w:r>
      <w:r w:rsidRPr="00CD3E03">
        <w:rPr>
          <w:rFonts w:ascii="Times New Roman" w:hAnsi="Times New Roman" w:cs="Times New Roman"/>
        </w:rPr>
        <w:t xml:space="preserve"> infrastructures and the assessment of the need to improve their protection.</w:t>
      </w:r>
    </w:p>
  </w:footnote>
  <w:footnote w:id="30">
    <w:p w14:paraId="13A104B6" w14:textId="77777777" w:rsidR="001E5938" w:rsidRPr="00FD6314" w:rsidRDefault="001E5938" w:rsidP="00113AD9">
      <w:pPr>
        <w:pStyle w:val="FootnoteText"/>
        <w:jc w:val="both"/>
        <w:rPr>
          <w:rFonts w:ascii="Times New Roman" w:hAnsi="Times New Roman" w:cs="Times New Roman"/>
        </w:rPr>
      </w:pPr>
      <w:r w:rsidRPr="00FD6314">
        <w:rPr>
          <w:rStyle w:val="FootnoteReference"/>
          <w:rFonts w:ascii="Times New Roman" w:hAnsi="Times New Roman" w:cs="Times New Roman"/>
        </w:rPr>
        <w:footnoteRef/>
      </w:r>
      <w:r w:rsidRPr="00FD6314">
        <w:rPr>
          <w:rFonts w:ascii="Times New Roman" w:hAnsi="Times New Roman" w:cs="Times New Roman"/>
        </w:rPr>
        <w:t xml:space="preserve"> Regulation (EU) 2019/452 of the European Parliament and of the Council of 19 March 2019 establishing a framework for the screening of foreign direct investments into the Union.</w:t>
      </w:r>
    </w:p>
  </w:footnote>
  <w:footnote w:id="31">
    <w:p w14:paraId="233E66DA" w14:textId="77777777" w:rsidR="001E5938" w:rsidRPr="00060E79" w:rsidRDefault="001E5938" w:rsidP="00113AD9">
      <w:pPr>
        <w:pStyle w:val="FootnoteText"/>
        <w:jc w:val="both"/>
        <w:rPr>
          <w:rFonts w:ascii="Times New Roman" w:hAnsi="Times New Roman" w:cs="Times New Roman"/>
          <w:lang w:val="en-GB"/>
        </w:rPr>
      </w:pPr>
      <w:r w:rsidRPr="00FD6314">
        <w:rPr>
          <w:rStyle w:val="FootnoteReference"/>
          <w:rFonts w:ascii="Times New Roman" w:hAnsi="Times New Roman" w:cs="Times New Roman"/>
        </w:rPr>
        <w:footnoteRef/>
      </w:r>
      <w:r w:rsidRPr="00FD6314">
        <w:rPr>
          <w:rFonts w:ascii="Times New Roman" w:hAnsi="Times New Roman" w:cs="Times New Roman"/>
        </w:rPr>
        <w:t xml:space="preserve"> </w:t>
      </w:r>
      <w:r w:rsidRPr="00FD6314">
        <w:rPr>
          <w:rFonts w:ascii="Times New Roman" w:hAnsi="Times New Roman" w:cs="Times New Roman"/>
          <w:lang w:val="en-GB"/>
        </w:rPr>
        <w:t>See Article 47, Proposal for a Regulation of the European Parliament and of the Council on Union guidelines for the development of the trans-European transport network, amending Regulation (EU) 2021/1153 and Regulation (EU) No 913/2010 and repealing Regula</w:t>
      </w:r>
      <w:r w:rsidRPr="00344F24">
        <w:rPr>
          <w:rFonts w:ascii="Times New Roman" w:hAnsi="Times New Roman" w:cs="Times New Roman"/>
          <w:lang w:val="en-GB"/>
        </w:rPr>
        <w:t xml:space="preserve">tion (EU) 1315/2013, </w:t>
      </w:r>
      <w:r w:rsidRPr="00060E79">
        <w:rPr>
          <w:rFonts w:ascii="Times New Roman" w:hAnsi="Times New Roman" w:cs="Times New Roman"/>
        </w:rPr>
        <w:t>COM(2021) 812 final</w:t>
      </w:r>
      <w:r w:rsidRPr="00060E79">
        <w:rPr>
          <w:rFonts w:ascii="Times New Roman" w:hAnsi="Times New Roman" w:cs="Times New Roman"/>
          <w:lang w:val="en-GB"/>
        </w:rPr>
        <w:t>.</w:t>
      </w:r>
    </w:p>
  </w:footnote>
  <w:footnote w:id="32">
    <w:p w14:paraId="2BFC7D88" w14:textId="77777777" w:rsidR="001E5938" w:rsidRPr="00344F24" w:rsidRDefault="001E5938" w:rsidP="00113AD9">
      <w:pPr>
        <w:pStyle w:val="FootnoteText"/>
        <w:jc w:val="both"/>
        <w:rPr>
          <w:rFonts w:ascii="Times New Roman" w:hAnsi="Times New Roman" w:cs="Times New Roman"/>
        </w:rPr>
      </w:pPr>
      <w:r w:rsidRPr="00FD6314">
        <w:rPr>
          <w:rStyle w:val="FootnoteReference"/>
          <w:rFonts w:ascii="Times New Roman" w:hAnsi="Times New Roman" w:cs="Times New Roman"/>
        </w:rPr>
        <w:footnoteRef/>
      </w:r>
      <w:r w:rsidRPr="00FD6314">
        <w:rPr>
          <w:rFonts w:ascii="Times New Roman" w:hAnsi="Times New Roman" w:cs="Times New Roman"/>
        </w:rPr>
        <w:t xml:space="preserve"> Through CF SEDSS III, EDA is conducting, in collaboration with DG JRC and DG ENER, research studies to explore the impact of climate change on defence-related critical energy infrastructures (CEI) and how to increase their resilience against hybrid thr</w:t>
      </w:r>
      <w:r w:rsidRPr="00344F24">
        <w:rPr>
          <w:rFonts w:ascii="Times New Roman" w:hAnsi="Times New Roman" w:cs="Times New Roman"/>
        </w:rPr>
        <w:t>eats. In this context, a table-top exercise will be held in 2023 to identify vulnerabilities and promote synergies with the civilian sector to enhance defence resilience</w:t>
      </w:r>
    </w:p>
  </w:footnote>
  <w:footnote w:id="33">
    <w:p w14:paraId="10689710" w14:textId="77777777" w:rsidR="001E5938" w:rsidRPr="004264A1" w:rsidRDefault="001E5938" w:rsidP="00113AD9">
      <w:pPr>
        <w:pStyle w:val="FootnoteText"/>
        <w:jc w:val="both"/>
        <w:rPr>
          <w:rFonts w:ascii="Times New Roman" w:hAnsi="Times New Roman" w:cs="Times New Roman"/>
        </w:rPr>
      </w:pPr>
      <w:r w:rsidRPr="00FD6314">
        <w:rPr>
          <w:rStyle w:val="FootnoteReference"/>
          <w:rFonts w:ascii="Times New Roman" w:hAnsi="Times New Roman" w:cs="Times New Roman"/>
        </w:rPr>
        <w:footnoteRef/>
      </w:r>
      <w:r w:rsidRPr="00FD6314">
        <w:rPr>
          <w:rFonts w:ascii="Times New Roman" w:hAnsi="Times New Roman" w:cs="Times New Roman"/>
        </w:rPr>
        <w:t xml:space="preserve"> Communication from the Commission to the European Parliament, the Council, the European Economic and Social Committee and the Committee of the Regions: An action plan for EU-Ukraine Solidarity Lanes to facilitate Ukraine's agricultural export and bilateral trade with the EU, C</w:t>
      </w:r>
      <w:r w:rsidRPr="00060E79">
        <w:rPr>
          <w:rFonts w:ascii="Times New Roman" w:hAnsi="Times New Roman" w:cs="Times New Roman"/>
        </w:rPr>
        <w:t>OM(2022) 217 final</w:t>
      </w:r>
      <w:r w:rsidRPr="004264A1">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11138" w14:textId="77777777" w:rsidR="00E471B0" w:rsidRPr="00E471B0" w:rsidRDefault="00E471B0" w:rsidP="00E471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77E7A" w14:textId="77777777" w:rsidR="00E471B0" w:rsidRPr="00E471B0" w:rsidRDefault="00E471B0" w:rsidP="00E471B0">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ED7CB" w14:textId="77777777" w:rsidR="00E471B0" w:rsidRPr="00E471B0" w:rsidRDefault="00E471B0" w:rsidP="00E471B0">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47B04" w14:textId="77777777" w:rsidR="00F33152" w:rsidRDefault="00F3315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B214D" w14:textId="77777777" w:rsidR="00F33152" w:rsidRDefault="00F33152" w:rsidP="00855D00">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180B8" w14:textId="77777777" w:rsidR="00F33152" w:rsidRDefault="00F331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85E10"/>
    <w:multiLevelType w:val="hybridMultilevel"/>
    <w:tmpl w:val="F5FECBEE"/>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45F5981"/>
    <w:multiLevelType w:val="hybridMultilevel"/>
    <w:tmpl w:val="C57CD478"/>
    <w:lvl w:ilvl="0" w:tplc="18090003">
      <w:start w:val="1"/>
      <w:numFmt w:val="bullet"/>
      <w:lvlText w:val="o"/>
      <w:lvlJc w:val="left"/>
      <w:pPr>
        <w:ind w:left="360" w:hanging="360"/>
      </w:pPr>
      <w:rPr>
        <w:rFonts w:ascii="Courier New" w:hAnsi="Courier New" w:cs="Courier New"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56E096E"/>
    <w:multiLevelType w:val="hybridMultilevel"/>
    <w:tmpl w:val="0214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C20093"/>
    <w:multiLevelType w:val="hybridMultilevel"/>
    <w:tmpl w:val="7B4A42F0"/>
    <w:lvl w:ilvl="0" w:tplc="18090003">
      <w:start w:val="1"/>
      <w:numFmt w:val="bullet"/>
      <w:lvlText w:val="o"/>
      <w:lvlJc w:val="left"/>
      <w:pPr>
        <w:ind w:left="720" w:hanging="360"/>
      </w:pPr>
      <w:rPr>
        <w:rFonts w:ascii="Courier New" w:hAnsi="Courier New" w:cs="Courier New" w:hint="default"/>
      </w:rPr>
    </w:lvl>
    <w:lvl w:ilvl="1" w:tplc="08090001">
      <w:start w:val="1"/>
      <w:numFmt w:val="bullet"/>
      <w:lvlText w:val=""/>
      <w:lvlJc w:val="left"/>
      <w:pPr>
        <w:ind w:left="18" w:hanging="360"/>
      </w:pPr>
      <w:rPr>
        <w:rFonts w:ascii="Symbol" w:hAnsi="Symbol"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759225F"/>
    <w:multiLevelType w:val="hybridMultilevel"/>
    <w:tmpl w:val="A0D8EFCE"/>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8573228"/>
    <w:multiLevelType w:val="hybridMultilevel"/>
    <w:tmpl w:val="25D49BEE"/>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098F5411"/>
    <w:multiLevelType w:val="hybridMultilevel"/>
    <w:tmpl w:val="B3E00B20"/>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DE66FCE"/>
    <w:multiLevelType w:val="hybridMultilevel"/>
    <w:tmpl w:val="1F36D8A2"/>
    <w:lvl w:ilvl="0" w:tplc="18090011">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0E04587B"/>
    <w:multiLevelType w:val="hybridMultilevel"/>
    <w:tmpl w:val="F94EDB90"/>
    <w:lvl w:ilvl="0" w:tplc="5A76F0CE">
      <w:numFmt w:val="bullet"/>
      <w:lvlText w:val="-"/>
      <w:lvlJc w:val="left"/>
      <w:pPr>
        <w:ind w:left="720" w:hanging="360"/>
      </w:pPr>
      <w:rPr>
        <w:rFonts w:ascii="Arial" w:eastAsiaTheme="minorHAnsi" w:hAnsi="Arial" w:cs="Arial" w:hint="default"/>
      </w:rPr>
    </w:lvl>
    <w:lvl w:ilvl="1" w:tplc="18090001">
      <w:start w:val="1"/>
      <w:numFmt w:val="bullet"/>
      <w:lvlText w:val=""/>
      <w:lvlJc w:val="left"/>
      <w:pPr>
        <w:ind w:left="18" w:hanging="360"/>
      </w:pPr>
      <w:rPr>
        <w:rFonts w:ascii="Symbol" w:hAnsi="Symbol"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0E56244C"/>
    <w:multiLevelType w:val="hybridMultilevel"/>
    <w:tmpl w:val="7F3C820A"/>
    <w:lvl w:ilvl="0" w:tplc="18090001">
      <w:start w:val="1"/>
      <w:numFmt w:val="bullet"/>
      <w:lvlText w:val=""/>
      <w:lvlJc w:val="left"/>
      <w:pPr>
        <w:ind w:left="1364" w:hanging="360"/>
      </w:pPr>
      <w:rPr>
        <w:rFonts w:ascii="Symbol" w:hAnsi="Symbol" w:hint="default"/>
      </w:rPr>
    </w:lvl>
    <w:lvl w:ilvl="1" w:tplc="18090003" w:tentative="1">
      <w:start w:val="1"/>
      <w:numFmt w:val="bullet"/>
      <w:lvlText w:val="o"/>
      <w:lvlJc w:val="left"/>
      <w:pPr>
        <w:ind w:left="2084" w:hanging="360"/>
      </w:pPr>
      <w:rPr>
        <w:rFonts w:ascii="Courier New" w:hAnsi="Courier New" w:cs="Courier New" w:hint="default"/>
      </w:rPr>
    </w:lvl>
    <w:lvl w:ilvl="2" w:tplc="18090005" w:tentative="1">
      <w:start w:val="1"/>
      <w:numFmt w:val="bullet"/>
      <w:lvlText w:val=""/>
      <w:lvlJc w:val="left"/>
      <w:pPr>
        <w:ind w:left="2804" w:hanging="360"/>
      </w:pPr>
      <w:rPr>
        <w:rFonts w:ascii="Wingdings" w:hAnsi="Wingdings" w:hint="default"/>
      </w:rPr>
    </w:lvl>
    <w:lvl w:ilvl="3" w:tplc="18090001" w:tentative="1">
      <w:start w:val="1"/>
      <w:numFmt w:val="bullet"/>
      <w:lvlText w:val=""/>
      <w:lvlJc w:val="left"/>
      <w:pPr>
        <w:ind w:left="3524" w:hanging="360"/>
      </w:pPr>
      <w:rPr>
        <w:rFonts w:ascii="Symbol" w:hAnsi="Symbol" w:hint="default"/>
      </w:rPr>
    </w:lvl>
    <w:lvl w:ilvl="4" w:tplc="18090003" w:tentative="1">
      <w:start w:val="1"/>
      <w:numFmt w:val="bullet"/>
      <w:lvlText w:val="o"/>
      <w:lvlJc w:val="left"/>
      <w:pPr>
        <w:ind w:left="4244" w:hanging="360"/>
      </w:pPr>
      <w:rPr>
        <w:rFonts w:ascii="Courier New" w:hAnsi="Courier New" w:cs="Courier New" w:hint="default"/>
      </w:rPr>
    </w:lvl>
    <w:lvl w:ilvl="5" w:tplc="18090005" w:tentative="1">
      <w:start w:val="1"/>
      <w:numFmt w:val="bullet"/>
      <w:lvlText w:val=""/>
      <w:lvlJc w:val="left"/>
      <w:pPr>
        <w:ind w:left="4964" w:hanging="360"/>
      </w:pPr>
      <w:rPr>
        <w:rFonts w:ascii="Wingdings" w:hAnsi="Wingdings" w:hint="default"/>
      </w:rPr>
    </w:lvl>
    <w:lvl w:ilvl="6" w:tplc="18090001" w:tentative="1">
      <w:start w:val="1"/>
      <w:numFmt w:val="bullet"/>
      <w:lvlText w:val=""/>
      <w:lvlJc w:val="left"/>
      <w:pPr>
        <w:ind w:left="5684" w:hanging="360"/>
      </w:pPr>
      <w:rPr>
        <w:rFonts w:ascii="Symbol" w:hAnsi="Symbol" w:hint="default"/>
      </w:rPr>
    </w:lvl>
    <w:lvl w:ilvl="7" w:tplc="18090003" w:tentative="1">
      <w:start w:val="1"/>
      <w:numFmt w:val="bullet"/>
      <w:lvlText w:val="o"/>
      <w:lvlJc w:val="left"/>
      <w:pPr>
        <w:ind w:left="6404" w:hanging="360"/>
      </w:pPr>
      <w:rPr>
        <w:rFonts w:ascii="Courier New" w:hAnsi="Courier New" w:cs="Courier New" w:hint="default"/>
      </w:rPr>
    </w:lvl>
    <w:lvl w:ilvl="8" w:tplc="18090005" w:tentative="1">
      <w:start w:val="1"/>
      <w:numFmt w:val="bullet"/>
      <w:lvlText w:val=""/>
      <w:lvlJc w:val="left"/>
      <w:pPr>
        <w:ind w:left="7124" w:hanging="360"/>
      </w:pPr>
      <w:rPr>
        <w:rFonts w:ascii="Wingdings" w:hAnsi="Wingdings" w:hint="default"/>
      </w:rPr>
    </w:lvl>
  </w:abstractNum>
  <w:abstractNum w:abstractNumId="10" w15:restartNumberingAfterBreak="0">
    <w:nsid w:val="0F001E75"/>
    <w:multiLevelType w:val="hybridMultilevel"/>
    <w:tmpl w:val="5440A792"/>
    <w:lvl w:ilvl="0" w:tplc="A4BA1506">
      <w:start w:val="2"/>
      <w:numFmt w:val="bullet"/>
      <w:lvlText w:val="-"/>
      <w:lvlJc w:val="left"/>
      <w:pPr>
        <w:ind w:left="360" w:hanging="360"/>
      </w:pPr>
      <w:rPr>
        <w:rFonts w:ascii="Calibri" w:eastAsiaTheme="minorHAnsi" w:hAnsi="Calibri" w:cs="Calibri"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1" w15:restartNumberingAfterBreak="0">
    <w:nsid w:val="10DD269A"/>
    <w:multiLevelType w:val="hybridMultilevel"/>
    <w:tmpl w:val="261C802E"/>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1C2754A"/>
    <w:multiLevelType w:val="hybridMultilevel"/>
    <w:tmpl w:val="E3DAE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18595C"/>
    <w:multiLevelType w:val="hybridMultilevel"/>
    <w:tmpl w:val="FCBEADA0"/>
    <w:lvl w:ilvl="0" w:tplc="105ABE9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4B10296"/>
    <w:multiLevelType w:val="hybridMultilevel"/>
    <w:tmpl w:val="C99AB358"/>
    <w:lvl w:ilvl="0" w:tplc="18090001">
      <w:start w:val="1"/>
      <w:numFmt w:val="bullet"/>
      <w:lvlText w:val=""/>
      <w:lvlJc w:val="left"/>
      <w:pPr>
        <w:ind w:left="1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0372DA"/>
    <w:multiLevelType w:val="hybridMultilevel"/>
    <w:tmpl w:val="ACF82D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9FD439D"/>
    <w:multiLevelType w:val="multilevel"/>
    <w:tmpl w:val="1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7" w15:restartNumberingAfterBreak="0">
    <w:nsid w:val="1B891981"/>
    <w:multiLevelType w:val="hybridMultilevel"/>
    <w:tmpl w:val="56486092"/>
    <w:lvl w:ilvl="0" w:tplc="6B44878A">
      <w:start w:val="1"/>
      <w:numFmt w:val="decimal"/>
      <w:lvlText w:val="%1."/>
      <w:lvlJc w:val="left"/>
      <w:pPr>
        <w:ind w:left="720" w:hanging="360"/>
      </w:pPr>
      <w:rPr>
        <w:rFonts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FD15467"/>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10918C5"/>
    <w:multiLevelType w:val="hybridMultilevel"/>
    <w:tmpl w:val="4E2AF3DA"/>
    <w:lvl w:ilvl="0" w:tplc="A4BA1506">
      <w:start w:val="2"/>
      <w:numFmt w:val="bullet"/>
      <w:lvlText w:val="-"/>
      <w:lvlJc w:val="left"/>
      <w:pPr>
        <w:ind w:left="360" w:hanging="360"/>
      </w:pPr>
      <w:rPr>
        <w:rFonts w:ascii="Calibri" w:eastAsiaTheme="minorHAnsi" w:hAnsi="Calibri" w:cs="Calibri" w:hint="default"/>
      </w:rPr>
    </w:lvl>
    <w:lvl w:ilvl="1" w:tplc="61766678">
      <w:numFmt w:val="bullet"/>
      <w:lvlText w:val="-"/>
      <w:lvlJc w:val="left"/>
      <w:pPr>
        <w:ind w:left="360" w:hanging="360"/>
      </w:pPr>
      <w:rPr>
        <w:rFonts w:ascii="Calibri" w:eastAsia="Calibri" w:hAnsi="Calibri" w:cs="Calibri" w:hint="default"/>
      </w:rPr>
    </w:lvl>
    <w:lvl w:ilvl="2" w:tplc="18090005">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22321E18"/>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29860D3"/>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5403DC3"/>
    <w:multiLevelType w:val="hybridMultilevel"/>
    <w:tmpl w:val="64382DD4"/>
    <w:lvl w:ilvl="0" w:tplc="18090001">
      <w:start w:val="1"/>
      <w:numFmt w:val="bullet"/>
      <w:lvlText w:val=""/>
      <w:lvlJc w:val="left"/>
      <w:pPr>
        <w:ind w:left="1811" w:hanging="360"/>
      </w:pPr>
      <w:rPr>
        <w:rFonts w:ascii="Symbol" w:hAnsi="Symbol" w:hint="default"/>
      </w:rPr>
    </w:lvl>
    <w:lvl w:ilvl="1" w:tplc="18090003">
      <w:start w:val="1"/>
      <w:numFmt w:val="bullet"/>
      <w:lvlText w:val="o"/>
      <w:lvlJc w:val="left"/>
      <w:pPr>
        <w:ind w:left="2531" w:hanging="360"/>
      </w:pPr>
      <w:rPr>
        <w:rFonts w:ascii="Courier New" w:hAnsi="Courier New" w:cs="Courier New" w:hint="default"/>
      </w:rPr>
    </w:lvl>
    <w:lvl w:ilvl="2" w:tplc="18090005" w:tentative="1">
      <w:start w:val="1"/>
      <w:numFmt w:val="bullet"/>
      <w:lvlText w:val=""/>
      <w:lvlJc w:val="left"/>
      <w:pPr>
        <w:ind w:left="3251" w:hanging="360"/>
      </w:pPr>
      <w:rPr>
        <w:rFonts w:ascii="Wingdings" w:hAnsi="Wingdings" w:hint="default"/>
      </w:rPr>
    </w:lvl>
    <w:lvl w:ilvl="3" w:tplc="18090001" w:tentative="1">
      <w:start w:val="1"/>
      <w:numFmt w:val="bullet"/>
      <w:lvlText w:val=""/>
      <w:lvlJc w:val="left"/>
      <w:pPr>
        <w:ind w:left="3971" w:hanging="360"/>
      </w:pPr>
      <w:rPr>
        <w:rFonts w:ascii="Symbol" w:hAnsi="Symbol" w:hint="default"/>
      </w:rPr>
    </w:lvl>
    <w:lvl w:ilvl="4" w:tplc="18090003" w:tentative="1">
      <w:start w:val="1"/>
      <w:numFmt w:val="bullet"/>
      <w:lvlText w:val="o"/>
      <w:lvlJc w:val="left"/>
      <w:pPr>
        <w:ind w:left="4691" w:hanging="360"/>
      </w:pPr>
      <w:rPr>
        <w:rFonts w:ascii="Courier New" w:hAnsi="Courier New" w:cs="Courier New" w:hint="default"/>
      </w:rPr>
    </w:lvl>
    <w:lvl w:ilvl="5" w:tplc="18090005" w:tentative="1">
      <w:start w:val="1"/>
      <w:numFmt w:val="bullet"/>
      <w:lvlText w:val=""/>
      <w:lvlJc w:val="left"/>
      <w:pPr>
        <w:ind w:left="5411" w:hanging="360"/>
      </w:pPr>
      <w:rPr>
        <w:rFonts w:ascii="Wingdings" w:hAnsi="Wingdings" w:hint="default"/>
      </w:rPr>
    </w:lvl>
    <w:lvl w:ilvl="6" w:tplc="18090001" w:tentative="1">
      <w:start w:val="1"/>
      <w:numFmt w:val="bullet"/>
      <w:lvlText w:val=""/>
      <w:lvlJc w:val="left"/>
      <w:pPr>
        <w:ind w:left="6131" w:hanging="360"/>
      </w:pPr>
      <w:rPr>
        <w:rFonts w:ascii="Symbol" w:hAnsi="Symbol" w:hint="default"/>
      </w:rPr>
    </w:lvl>
    <w:lvl w:ilvl="7" w:tplc="18090003" w:tentative="1">
      <w:start w:val="1"/>
      <w:numFmt w:val="bullet"/>
      <w:lvlText w:val="o"/>
      <w:lvlJc w:val="left"/>
      <w:pPr>
        <w:ind w:left="6851" w:hanging="360"/>
      </w:pPr>
      <w:rPr>
        <w:rFonts w:ascii="Courier New" w:hAnsi="Courier New" w:cs="Courier New" w:hint="default"/>
      </w:rPr>
    </w:lvl>
    <w:lvl w:ilvl="8" w:tplc="18090005" w:tentative="1">
      <w:start w:val="1"/>
      <w:numFmt w:val="bullet"/>
      <w:lvlText w:val=""/>
      <w:lvlJc w:val="left"/>
      <w:pPr>
        <w:ind w:left="7571" w:hanging="360"/>
      </w:pPr>
      <w:rPr>
        <w:rFonts w:ascii="Wingdings" w:hAnsi="Wingdings" w:hint="default"/>
      </w:rPr>
    </w:lvl>
  </w:abstractNum>
  <w:abstractNum w:abstractNumId="23" w15:restartNumberingAfterBreak="0">
    <w:nsid w:val="25E74B44"/>
    <w:multiLevelType w:val="hybridMultilevel"/>
    <w:tmpl w:val="6D1C61CA"/>
    <w:lvl w:ilvl="0" w:tplc="61766678">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A3F5E4E"/>
    <w:multiLevelType w:val="hybridMultilevel"/>
    <w:tmpl w:val="FC1C75EC"/>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2B1F10FD"/>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D87405B"/>
    <w:multiLevelType w:val="hybridMultilevel"/>
    <w:tmpl w:val="2806BD8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7" w15:restartNumberingAfterBreak="0">
    <w:nsid w:val="301B4575"/>
    <w:multiLevelType w:val="hybridMultilevel"/>
    <w:tmpl w:val="AF0293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31E31961"/>
    <w:multiLevelType w:val="hybridMultilevel"/>
    <w:tmpl w:val="B3DED53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5985989"/>
    <w:multiLevelType w:val="hybridMultilevel"/>
    <w:tmpl w:val="263E86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74E7CBD"/>
    <w:multiLevelType w:val="hybridMultilevel"/>
    <w:tmpl w:val="6F521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8A8362D"/>
    <w:multiLevelType w:val="hybridMultilevel"/>
    <w:tmpl w:val="194E2F60"/>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8C06F8F"/>
    <w:multiLevelType w:val="hybridMultilevel"/>
    <w:tmpl w:val="3AF67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3D6174B0"/>
    <w:multiLevelType w:val="hybridMultilevel"/>
    <w:tmpl w:val="CD98C2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40F37B22"/>
    <w:multiLevelType w:val="hybridMultilevel"/>
    <w:tmpl w:val="1B34FAEE"/>
    <w:lvl w:ilvl="0" w:tplc="73C82666">
      <w:numFmt w:val="bullet"/>
      <w:lvlText w:val="-"/>
      <w:lvlJc w:val="left"/>
      <w:pPr>
        <w:ind w:left="720" w:hanging="360"/>
      </w:pPr>
      <w:rPr>
        <w:rFonts w:ascii="Calibri" w:eastAsiaTheme="minorHAns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49F91101"/>
    <w:multiLevelType w:val="multilevel"/>
    <w:tmpl w:val="6A407362"/>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6" w15:restartNumberingAfterBreak="0">
    <w:nsid w:val="4CAB04C7"/>
    <w:multiLevelType w:val="hybridMultilevel"/>
    <w:tmpl w:val="FCC47C4A"/>
    <w:lvl w:ilvl="0" w:tplc="5A76F0CE">
      <w:numFmt w:val="bullet"/>
      <w:lvlText w:val="-"/>
      <w:lvlJc w:val="left"/>
      <w:pPr>
        <w:ind w:left="720" w:hanging="360"/>
      </w:pPr>
      <w:rPr>
        <w:rFonts w:ascii="Arial" w:eastAsiaTheme="minorHAnsi" w:hAnsi="Arial" w:cs="Arial" w:hint="default"/>
      </w:rPr>
    </w:lvl>
    <w:lvl w:ilvl="1" w:tplc="73C82666">
      <w:numFmt w:val="bullet"/>
      <w:lvlText w:val="-"/>
      <w:lvlJc w:val="left"/>
      <w:pPr>
        <w:ind w:left="18" w:hanging="360"/>
      </w:pPr>
      <w:rPr>
        <w:rFonts w:ascii="Calibri" w:eastAsiaTheme="minorHAnsi" w:hAnsi="Calibri" w:cs="Calibri"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4FD972CA"/>
    <w:multiLevelType w:val="hybridMultilevel"/>
    <w:tmpl w:val="5DCCCFF2"/>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8" w15:restartNumberingAfterBreak="0">
    <w:nsid w:val="5040740C"/>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2B12212"/>
    <w:multiLevelType w:val="hybridMultilevel"/>
    <w:tmpl w:val="110A255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33F5CEB"/>
    <w:multiLevelType w:val="hybridMultilevel"/>
    <w:tmpl w:val="D9C63D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572D16F2"/>
    <w:multiLevelType w:val="hybridMultilevel"/>
    <w:tmpl w:val="0F4AE592"/>
    <w:lvl w:ilvl="0" w:tplc="5A76F0CE">
      <w:numFmt w:val="bullet"/>
      <w:lvlText w:val="-"/>
      <w:lvlJc w:val="left"/>
      <w:pPr>
        <w:ind w:left="360" w:hanging="360"/>
      </w:pPr>
      <w:rPr>
        <w:rFonts w:ascii="Arial" w:eastAsiaTheme="minorHAnsi" w:hAnsi="Arial" w:cs="Aria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2" w15:restartNumberingAfterBreak="0">
    <w:nsid w:val="58E063D3"/>
    <w:multiLevelType w:val="hybridMultilevel"/>
    <w:tmpl w:val="B7F25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C154C23"/>
    <w:multiLevelType w:val="hybridMultilevel"/>
    <w:tmpl w:val="9B9645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4" w15:restartNumberingAfterBreak="0">
    <w:nsid w:val="5CD5254D"/>
    <w:multiLevelType w:val="hybridMultilevel"/>
    <w:tmpl w:val="5D5854CE"/>
    <w:lvl w:ilvl="0" w:tplc="1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EC0301F"/>
    <w:multiLevelType w:val="hybridMultilevel"/>
    <w:tmpl w:val="8C8C5D3A"/>
    <w:lvl w:ilvl="0" w:tplc="1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F9761C8"/>
    <w:multiLevelType w:val="hybridMultilevel"/>
    <w:tmpl w:val="C548E6CE"/>
    <w:lvl w:ilvl="0" w:tplc="0809000F">
      <w:start w:val="1"/>
      <w:numFmt w:val="decimal"/>
      <w:lvlText w:val="%1."/>
      <w:lvlJc w:val="left"/>
      <w:pPr>
        <w:ind w:left="360" w:hanging="360"/>
      </w:pPr>
      <w:rPr>
        <w:rFonts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7" w15:restartNumberingAfterBreak="0">
    <w:nsid w:val="5FE22ED2"/>
    <w:multiLevelType w:val="hybridMultilevel"/>
    <w:tmpl w:val="30A212E0"/>
    <w:lvl w:ilvl="0" w:tplc="1A8479AC">
      <w:start w:val="4"/>
      <w:numFmt w:val="bullet"/>
      <w:lvlText w:val="-"/>
      <w:lvlJc w:val="left"/>
      <w:pPr>
        <w:ind w:left="420" w:hanging="360"/>
      </w:pPr>
      <w:rPr>
        <w:rFonts w:ascii="Times New Roman" w:eastAsia="MS PGothic" w:hAnsi="Times New Roman" w:cs="Times New Roman" w:hint="default"/>
      </w:rPr>
    </w:lvl>
    <w:lvl w:ilvl="1" w:tplc="18090003">
      <w:start w:val="1"/>
      <w:numFmt w:val="bullet"/>
      <w:lvlText w:val="o"/>
      <w:lvlJc w:val="left"/>
      <w:pPr>
        <w:ind w:left="1140" w:hanging="360"/>
      </w:pPr>
      <w:rPr>
        <w:rFonts w:ascii="Courier New" w:hAnsi="Courier New" w:cs="Courier New" w:hint="default"/>
      </w:rPr>
    </w:lvl>
    <w:lvl w:ilvl="2" w:tplc="18090005" w:tentative="1">
      <w:start w:val="1"/>
      <w:numFmt w:val="bullet"/>
      <w:lvlText w:val=""/>
      <w:lvlJc w:val="left"/>
      <w:pPr>
        <w:ind w:left="1860" w:hanging="360"/>
      </w:pPr>
      <w:rPr>
        <w:rFonts w:ascii="Wingdings" w:hAnsi="Wingdings" w:hint="default"/>
      </w:rPr>
    </w:lvl>
    <w:lvl w:ilvl="3" w:tplc="18090001" w:tentative="1">
      <w:start w:val="1"/>
      <w:numFmt w:val="bullet"/>
      <w:lvlText w:val=""/>
      <w:lvlJc w:val="left"/>
      <w:pPr>
        <w:ind w:left="2580" w:hanging="360"/>
      </w:pPr>
      <w:rPr>
        <w:rFonts w:ascii="Symbol" w:hAnsi="Symbol" w:hint="default"/>
      </w:rPr>
    </w:lvl>
    <w:lvl w:ilvl="4" w:tplc="18090003" w:tentative="1">
      <w:start w:val="1"/>
      <w:numFmt w:val="bullet"/>
      <w:lvlText w:val="o"/>
      <w:lvlJc w:val="left"/>
      <w:pPr>
        <w:ind w:left="3300" w:hanging="360"/>
      </w:pPr>
      <w:rPr>
        <w:rFonts w:ascii="Courier New" w:hAnsi="Courier New" w:cs="Courier New" w:hint="default"/>
      </w:rPr>
    </w:lvl>
    <w:lvl w:ilvl="5" w:tplc="18090005" w:tentative="1">
      <w:start w:val="1"/>
      <w:numFmt w:val="bullet"/>
      <w:lvlText w:val=""/>
      <w:lvlJc w:val="left"/>
      <w:pPr>
        <w:ind w:left="4020" w:hanging="360"/>
      </w:pPr>
      <w:rPr>
        <w:rFonts w:ascii="Wingdings" w:hAnsi="Wingdings" w:hint="default"/>
      </w:rPr>
    </w:lvl>
    <w:lvl w:ilvl="6" w:tplc="18090001" w:tentative="1">
      <w:start w:val="1"/>
      <w:numFmt w:val="bullet"/>
      <w:lvlText w:val=""/>
      <w:lvlJc w:val="left"/>
      <w:pPr>
        <w:ind w:left="4740" w:hanging="360"/>
      </w:pPr>
      <w:rPr>
        <w:rFonts w:ascii="Symbol" w:hAnsi="Symbol" w:hint="default"/>
      </w:rPr>
    </w:lvl>
    <w:lvl w:ilvl="7" w:tplc="18090003" w:tentative="1">
      <w:start w:val="1"/>
      <w:numFmt w:val="bullet"/>
      <w:lvlText w:val="o"/>
      <w:lvlJc w:val="left"/>
      <w:pPr>
        <w:ind w:left="5460" w:hanging="360"/>
      </w:pPr>
      <w:rPr>
        <w:rFonts w:ascii="Courier New" w:hAnsi="Courier New" w:cs="Courier New" w:hint="default"/>
      </w:rPr>
    </w:lvl>
    <w:lvl w:ilvl="8" w:tplc="18090005" w:tentative="1">
      <w:start w:val="1"/>
      <w:numFmt w:val="bullet"/>
      <w:lvlText w:val=""/>
      <w:lvlJc w:val="left"/>
      <w:pPr>
        <w:ind w:left="6180" w:hanging="360"/>
      </w:pPr>
      <w:rPr>
        <w:rFonts w:ascii="Wingdings" w:hAnsi="Wingdings" w:hint="default"/>
      </w:rPr>
    </w:lvl>
  </w:abstractNum>
  <w:abstractNum w:abstractNumId="48" w15:restartNumberingAfterBreak="0">
    <w:nsid w:val="602523B7"/>
    <w:multiLevelType w:val="hybridMultilevel"/>
    <w:tmpl w:val="BCCC6B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9" w15:restartNumberingAfterBreak="0">
    <w:nsid w:val="606F4003"/>
    <w:multiLevelType w:val="hybridMultilevel"/>
    <w:tmpl w:val="11E4C8DA"/>
    <w:lvl w:ilvl="0" w:tplc="DA84A394">
      <w:start w:val="4"/>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0" w15:restartNumberingAfterBreak="0">
    <w:nsid w:val="63AC7711"/>
    <w:multiLevelType w:val="hybridMultilevel"/>
    <w:tmpl w:val="4AA88F1E"/>
    <w:lvl w:ilvl="0" w:tplc="0809000F">
      <w:start w:val="1"/>
      <w:numFmt w:val="decimal"/>
      <w:lvlText w:val="%1."/>
      <w:lvlJc w:val="left"/>
      <w:pPr>
        <w:ind w:left="360" w:hanging="360"/>
      </w:pPr>
      <w:rPr>
        <w:rFonts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1" w15:restartNumberingAfterBreak="0">
    <w:nsid w:val="68B81B86"/>
    <w:multiLevelType w:val="hybridMultilevel"/>
    <w:tmpl w:val="9CA4E782"/>
    <w:lvl w:ilvl="0" w:tplc="3FFE43C8">
      <w:numFmt w:val="bullet"/>
      <w:lvlText w:val="-"/>
      <w:lvlJc w:val="left"/>
      <w:pPr>
        <w:ind w:left="360" w:hanging="360"/>
      </w:pPr>
      <w:rPr>
        <w:rFonts w:ascii="Calibri" w:eastAsiaTheme="minorHAnsi" w:hAnsi="Calibri" w:cs="Calibri"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2" w15:restartNumberingAfterBreak="0">
    <w:nsid w:val="737514BB"/>
    <w:multiLevelType w:val="hybridMultilevel"/>
    <w:tmpl w:val="11DEBEB0"/>
    <w:lvl w:ilvl="0" w:tplc="18090001">
      <w:start w:val="1"/>
      <w:numFmt w:val="bullet"/>
      <w:lvlText w:val=""/>
      <w:lvlJc w:val="left"/>
      <w:pPr>
        <w:ind w:left="644" w:hanging="360"/>
      </w:pPr>
      <w:rPr>
        <w:rFonts w:ascii="Symbol" w:hAnsi="Symbol"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53" w15:restartNumberingAfterBreak="0">
    <w:nsid w:val="73B83615"/>
    <w:multiLevelType w:val="hybridMultilevel"/>
    <w:tmpl w:val="FCF03D62"/>
    <w:lvl w:ilvl="0" w:tplc="60669732">
      <w:start w:val="4"/>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4" w15:restartNumberingAfterBreak="0">
    <w:nsid w:val="78F07445"/>
    <w:multiLevelType w:val="hybridMultilevel"/>
    <w:tmpl w:val="8826BF9A"/>
    <w:lvl w:ilvl="0" w:tplc="6176667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5" w15:restartNumberingAfterBreak="0">
    <w:nsid w:val="7FA6481A"/>
    <w:multiLevelType w:val="hybridMultilevel"/>
    <w:tmpl w:val="2B887A5A"/>
    <w:lvl w:ilvl="0" w:tplc="1EC032E0">
      <w:start w:val="3"/>
      <w:numFmt w:val="bullet"/>
      <w:lvlText w:val="-"/>
      <w:lvlJc w:val="left"/>
      <w:pPr>
        <w:ind w:left="720" w:hanging="360"/>
      </w:pPr>
      <w:rPr>
        <w:rFonts w:ascii="Times New Roman" w:eastAsia="MS PGothic"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54"/>
  </w:num>
  <w:num w:numId="2">
    <w:abstractNumId w:val="19"/>
  </w:num>
  <w:num w:numId="3">
    <w:abstractNumId w:val="7"/>
  </w:num>
  <w:num w:numId="4">
    <w:abstractNumId w:val="24"/>
  </w:num>
  <w:num w:numId="5">
    <w:abstractNumId w:val="49"/>
  </w:num>
  <w:num w:numId="6">
    <w:abstractNumId w:val="53"/>
  </w:num>
  <w:num w:numId="7">
    <w:abstractNumId w:val="10"/>
  </w:num>
  <w:num w:numId="8">
    <w:abstractNumId w:val="48"/>
  </w:num>
  <w:num w:numId="9">
    <w:abstractNumId w:val="22"/>
  </w:num>
  <w:num w:numId="10">
    <w:abstractNumId w:val="8"/>
  </w:num>
  <w:num w:numId="11">
    <w:abstractNumId w:val="1"/>
  </w:num>
  <w:num w:numId="12">
    <w:abstractNumId w:val="6"/>
  </w:num>
  <w:num w:numId="13">
    <w:abstractNumId w:val="46"/>
  </w:num>
  <w:num w:numId="14">
    <w:abstractNumId w:val="50"/>
  </w:num>
  <w:num w:numId="15">
    <w:abstractNumId w:val="28"/>
  </w:num>
  <w:num w:numId="16">
    <w:abstractNumId w:val="40"/>
  </w:num>
  <w:num w:numId="17">
    <w:abstractNumId w:val="41"/>
  </w:num>
  <w:num w:numId="18">
    <w:abstractNumId w:val="13"/>
  </w:num>
  <w:num w:numId="19">
    <w:abstractNumId w:val="51"/>
  </w:num>
  <w:num w:numId="20">
    <w:abstractNumId w:val="4"/>
  </w:num>
  <w:num w:numId="21">
    <w:abstractNumId w:val="38"/>
  </w:num>
  <w:num w:numId="22">
    <w:abstractNumId w:val="35"/>
  </w:num>
  <w:num w:numId="23">
    <w:abstractNumId w:val="16"/>
  </w:num>
  <w:num w:numId="24">
    <w:abstractNumId w:val="21"/>
  </w:num>
  <w:num w:numId="25">
    <w:abstractNumId w:val="20"/>
  </w:num>
  <w:num w:numId="26">
    <w:abstractNumId w:val="25"/>
  </w:num>
  <w:num w:numId="27">
    <w:abstractNumId w:val="18"/>
  </w:num>
  <w:num w:numId="28">
    <w:abstractNumId w:val="15"/>
  </w:num>
  <w:num w:numId="29">
    <w:abstractNumId w:val="17"/>
  </w:num>
  <w:num w:numId="30">
    <w:abstractNumId w:val="32"/>
  </w:num>
  <w:num w:numId="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26"/>
  </w:num>
  <w:num w:numId="34">
    <w:abstractNumId w:val="3"/>
  </w:num>
  <w:num w:numId="35">
    <w:abstractNumId w:val="36"/>
  </w:num>
  <w:num w:numId="36">
    <w:abstractNumId w:val="43"/>
  </w:num>
  <w:num w:numId="37">
    <w:abstractNumId w:val="52"/>
  </w:num>
  <w:num w:numId="38">
    <w:abstractNumId w:val="55"/>
  </w:num>
  <w:num w:numId="39">
    <w:abstractNumId w:val="11"/>
  </w:num>
  <w:num w:numId="40">
    <w:abstractNumId w:val="0"/>
  </w:num>
  <w:num w:numId="41">
    <w:abstractNumId w:val="2"/>
  </w:num>
  <w:num w:numId="42">
    <w:abstractNumId w:val="29"/>
  </w:num>
  <w:num w:numId="43">
    <w:abstractNumId w:val="30"/>
  </w:num>
  <w:num w:numId="44">
    <w:abstractNumId w:val="9"/>
  </w:num>
  <w:num w:numId="45">
    <w:abstractNumId w:val="33"/>
  </w:num>
  <w:num w:numId="46">
    <w:abstractNumId w:val="47"/>
  </w:num>
  <w:num w:numId="47">
    <w:abstractNumId w:val="44"/>
  </w:num>
  <w:num w:numId="48">
    <w:abstractNumId w:val="31"/>
  </w:num>
  <w:num w:numId="49">
    <w:abstractNumId w:val="5"/>
  </w:num>
  <w:num w:numId="50">
    <w:abstractNumId w:val="23"/>
  </w:num>
  <w:num w:numId="51">
    <w:abstractNumId w:val="45"/>
  </w:num>
  <w:num w:numId="52">
    <w:abstractNumId w:val="12"/>
  </w:num>
  <w:num w:numId="53">
    <w:abstractNumId w:val="27"/>
  </w:num>
  <w:num w:numId="54">
    <w:abstractNumId w:val="39"/>
  </w:num>
  <w:num w:numId="55">
    <w:abstractNumId w:val="42"/>
  </w:num>
  <w:num w:numId="56">
    <w:abstractNumId w:val="1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revisionView w:markup="0"/>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AB9A035F-3431-473F-8906-D06BA2BDB5E8"/>
    <w:docVar w:name="LW_COVERPAGE_TYPE" w:val="1"/>
    <w:docVar w:name="LW_CROSSREFERENCE" w:val="&lt;UNUSED&gt;"/>
    <w:docVar w:name="LW_DocType" w:val="NORMAL"/>
    <w:docVar w:name="LW_EMISSION" w:val="10.11.2022"/>
    <w:docVar w:name="LW_EMISSION_ISODATE" w:val="2022-11-10"/>
    <w:docVar w:name="LW_EMISSION_LOCATION" w:val="BRX"/>
    <w:docVar w:name="LW_EMISSION_PREFIX" w:val="Brussels, "/>
    <w:docVar w:name="LW_EMISSION_SUFFIX" w:val=" "/>
    <w:docVar w:name="LW_ID_DOCTYPE_NONLW" w:val="CP-015"/>
    <w:docVar w:name="LW_LANGUE" w:val="EN"/>
    <w:docVar w:name="LW_LEVEL_OF_SENSITIVITY" w:val="Standard treatment"/>
    <w:docVar w:name="LW_NOM.INST" w:val="EUROPEAN COMMISSION"/>
    <w:docVar w:name="LW_NOM.INST_JOINTDOC" w:val="HIGH REPRESENTATIVE_x000b_ OF THE UNION FOR_x000b_ FOREIGN AFFAIRS AND_x000b_SECURITY POLICY"/>
    <w:docVar w:name="LW_PART_NBR" w:val="1"/>
    <w:docVar w:name="LW_PART_NBR_TOTAL" w:val="1"/>
    <w:docVar w:name="LW_REF.INST.NEW" w:val="JOIN"/>
    <w:docVar w:name="LW_REF.INST.NEW_ADOPTED" w:val="final"/>
    <w:docVar w:name="LW_REF.INST.NEW_TEXT" w:val="(2022) 4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Action plan on military mobility 2.0"/>
    <w:docVar w:name="LW_TYPE.DOC.CP" w:val="JOINT COMMUNICATION TO THE EUROPEAN PARLIAMENT AND THE COUNCIL"/>
    <w:docVar w:name="LW_TYPE.DOC.CP.USERTEXT" w:val="&lt;EMPTY&gt;"/>
    <w:docVar w:name="LwApiVersions" w:val="LW4CoDe 1.23.2.0; LW 8.0, Build 20211117"/>
  </w:docVars>
  <w:rsids>
    <w:rsidRoot w:val="00EE6E36"/>
    <w:rsid w:val="000008DF"/>
    <w:rsid w:val="00001933"/>
    <w:rsid w:val="00001D46"/>
    <w:rsid w:val="00002CE7"/>
    <w:rsid w:val="0000403B"/>
    <w:rsid w:val="00004AEC"/>
    <w:rsid w:val="0000681D"/>
    <w:rsid w:val="000069D9"/>
    <w:rsid w:val="000103BC"/>
    <w:rsid w:val="00010AB5"/>
    <w:rsid w:val="00012863"/>
    <w:rsid w:val="00012AA7"/>
    <w:rsid w:val="000133C6"/>
    <w:rsid w:val="00014027"/>
    <w:rsid w:val="00014177"/>
    <w:rsid w:val="00015166"/>
    <w:rsid w:val="0001565A"/>
    <w:rsid w:val="00017EAC"/>
    <w:rsid w:val="00020E09"/>
    <w:rsid w:val="00021545"/>
    <w:rsid w:val="00021745"/>
    <w:rsid w:val="00022D61"/>
    <w:rsid w:val="0002368B"/>
    <w:rsid w:val="0002429C"/>
    <w:rsid w:val="00024B13"/>
    <w:rsid w:val="000253E2"/>
    <w:rsid w:val="0002591C"/>
    <w:rsid w:val="00026238"/>
    <w:rsid w:val="00032C07"/>
    <w:rsid w:val="00033AE2"/>
    <w:rsid w:val="00036562"/>
    <w:rsid w:val="0003768E"/>
    <w:rsid w:val="000400D1"/>
    <w:rsid w:val="00040159"/>
    <w:rsid w:val="00041D5D"/>
    <w:rsid w:val="00041F7E"/>
    <w:rsid w:val="00043035"/>
    <w:rsid w:val="000438D7"/>
    <w:rsid w:val="000454F5"/>
    <w:rsid w:val="00046733"/>
    <w:rsid w:val="00046DEB"/>
    <w:rsid w:val="00050484"/>
    <w:rsid w:val="00050D29"/>
    <w:rsid w:val="00051B81"/>
    <w:rsid w:val="000526EF"/>
    <w:rsid w:val="00053170"/>
    <w:rsid w:val="00060E79"/>
    <w:rsid w:val="00061BD4"/>
    <w:rsid w:val="000634AE"/>
    <w:rsid w:val="000642E7"/>
    <w:rsid w:val="0006535F"/>
    <w:rsid w:val="00065977"/>
    <w:rsid w:val="00065D83"/>
    <w:rsid w:val="00065EDE"/>
    <w:rsid w:val="0007273D"/>
    <w:rsid w:val="000734EB"/>
    <w:rsid w:val="00074A2B"/>
    <w:rsid w:val="00074F34"/>
    <w:rsid w:val="00082812"/>
    <w:rsid w:val="00082817"/>
    <w:rsid w:val="00082B61"/>
    <w:rsid w:val="00083836"/>
    <w:rsid w:val="000839D8"/>
    <w:rsid w:val="00084EA2"/>
    <w:rsid w:val="00085C8A"/>
    <w:rsid w:val="00086923"/>
    <w:rsid w:val="00086D41"/>
    <w:rsid w:val="00090CC0"/>
    <w:rsid w:val="00091955"/>
    <w:rsid w:val="00092EE7"/>
    <w:rsid w:val="0009389B"/>
    <w:rsid w:val="0009453F"/>
    <w:rsid w:val="00095697"/>
    <w:rsid w:val="00096715"/>
    <w:rsid w:val="00096869"/>
    <w:rsid w:val="00097C24"/>
    <w:rsid w:val="000A1CF5"/>
    <w:rsid w:val="000A3011"/>
    <w:rsid w:val="000A32E4"/>
    <w:rsid w:val="000A46AC"/>
    <w:rsid w:val="000A7F15"/>
    <w:rsid w:val="000B0193"/>
    <w:rsid w:val="000B066E"/>
    <w:rsid w:val="000B0B7D"/>
    <w:rsid w:val="000B1752"/>
    <w:rsid w:val="000B44E3"/>
    <w:rsid w:val="000B4C1E"/>
    <w:rsid w:val="000B4E43"/>
    <w:rsid w:val="000B538E"/>
    <w:rsid w:val="000B6D4F"/>
    <w:rsid w:val="000C0F59"/>
    <w:rsid w:val="000C1618"/>
    <w:rsid w:val="000C3784"/>
    <w:rsid w:val="000C4587"/>
    <w:rsid w:val="000C4E36"/>
    <w:rsid w:val="000C583F"/>
    <w:rsid w:val="000C5C88"/>
    <w:rsid w:val="000C6274"/>
    <w:rsid w:val="000D00E6"/>
    <w:rsid w:val="000D2280"/>
    <w:rsid w:val="000D2AED"/>
    <w:rsid w:val="000D3FFA"/>
    <w:rsid w:val="000D6FAD"/>
    <w:rsid w:val="000D70CE"/>
    <w:rsid w:val="000E006D"/>
    <w:rsid w:val="000E2235"/>
    <w:rsid w:val="000E34B6"/>
    <w:rsid w:val="000E412C"/>
    <w:rsid w:val="000E45B1"/>
    <w:rsid w:val="000E5EBF"/>
    <w:rsid w:val="000E68DD"/>
    <w:rsid w:val="000E6B3E"/>
    <w:rsid w:val="000F2501"/>
    <w:rsid w:val="000F33AE"/>
    <w:rsid w:val="000F65E4"/>
    <w:rsid w:val="000F673B"/>
    <w:rsid w:val="00101B7F"/>
    <w:rsid w:val="00101E09"/>
    <w:rsid w:val="00103A99"/>
    <w:rsid w:val="00103D5B"/>
    <w:rsid w:val="00104132"/>
    <w:rsid w:val="00104935"/>
    <w:rsid w:val="00106518"/>
    <w:rsid w:val="00112577"/>
    <w:rsid w:val="00113AD9"/>
    <w:rsid w:val="00113EED"/>
    <w:rsid w:val="00113F44"/>
    <w:rsid w:val="00116C5A"/>
    <w:rsid w:val="00117745"/>
    <w:rsid w:val="00120519"/>
    <w:rsid w:val="00120E26"/>
    <w:rsid w:val="0012309C"/>
    <w:rsid w:val="00126656"/>
    <w:rsid w:val="0012704F"/>
    <w:rsid w:val="001273E7"/>
    <w:rsid w:val="00130F34"/>
    <w:rsid w:val="00131294"/>
    <w:rsid w:val="00131D46"/>
    <w:rsid w:val="00132793"/>
    <w:rsid w:val="00133C21"/>
    <w:rsid w:val="00133C98"/>
    <w:rsid w:val="00135169"/>
    <w:rsid w:val="00137965"/>
    <w:rsid w:val="00137A0D"/>
    <w:rsid w:val="00137DCB"/>
    <w:rsid w:val="0014127D"/>
    <w:rsid w:val="00143148"/>
    <w:rsid w:val="00145C09"/>
    <w:rsid w:val="00152604"/>
    <w:rsid w:val="00153C0F"/>
    <w:rsid w:val="00155B3B"/>
    <w:rsid w:val="0016056F"/>
    <w:rsid w:val="001605A8"/>
    <w:rsid w:val="00160C10"/>
    <w:rsid w:val="00162EBF"/>
    <w:rsid w:val="00163FDF"/>
    <w:rsid w:val="001648ED"/>
    <w:rsid w:val="00166FC3"/>
    <w:rsid w:val="0017046B"/>
    <w:rsid w:val="0017477F"/>
    <w:rsid w:val="0017479F"/>
    <w:rsid w:val="00174E38"/>
    <w:rsid w:val="00180527"/>
    <w:rsid w:val="001808D2"/>
    <w:rsid w:val="00182191"/>
    <w:rsid w:val="001838C2"/>
    <w:rsid w:val="00190F34"/>
    <w:rsid w:val="00191334"/>
    <w:rsid w:val="00192F4D"/>
    <w:rsid w:val="00193DD7"/>
    <w:rsid w:val="00194C7C"/>
    <w:rsid w:val="0019539A"/>
    <w:rsid w:val="00196F07"/>
    <w:rsid w:val="00197781"/>
    <w:rsid w:val="00197B33"/>
    <w:rsid w:val="001A05E2"/>
    <w:rsid w:val="001A0832"/>
    <w:rsid w:val="001A17FC"/>
    <w:rsid w:val="001A4AAB"/>
    <w:rsid w:val="001A5B31"/>
    <w:rsid w:val="001A5F15"/>
    <w:rsid w:val="001A67E3"/>
    <w:rsid w:val="001A6A82"/>
    <w:rsid w:val="001A75F8"/>
    <w:rsid w:val="001A7BAA"/>
    <w:rsid w:val="001B2C73"/>
    <w:rsid w:val="001B39CE"/>
    <w:rsid w:val="001B6546"/>
    <w:rsid w:val="001C07ED"/>
    <w:rsid w:val="001C0AA6"/>
    <w:rsid w:val="001C0F58"/>
    <w:rsid w:val="001C16F4"/>
    <w:rsid w:val="001C251B"/>
    <w:rsid w:val="001C3FBA"/>
    <w:rsid w:val="001C492C"/>
    <w:rsid w:val="001C6960"/>
    <w:rsid w:val="001C701D"/>
    <w:rsid w:val="001C7A1A"/>
    <w:rsid w:val="001E0A24"/>
    <w:rsid w:val="001E1E1F"/>
    <w:rsid w:val="001E3E13"/>
    <w:rsid w:val="001E46DA"/>
    <w:rsid w:val="001E519D"/>
    <w:rsid w:val="001E5938"/>
    <w:rsid w:val="001E6D2B"/>
    <w:rsid w:val="001E7130"/>
    <w:rsid w:val="001E7842"/>
    <w:rsid w:val="001F213A"/>
    <w:rsid w:val="001F4162"/>
    <w:rsid w:val="001F454D"/>
    <w:rsid w:val="001F670F"/>
    <w:rsid w:val="002005CB"/>
    <w:rsid w:val="00201477"/>
    <w:rsid w:val="00201FA1"/>
    <w:rsid w:val="00204C2A"/>
    <w:rsid w:val="0020564E"/>
    <w:rsid w:val="00205AA1"/>
    <w:rsid w:val="00205F56"/>
    <w:rsid w:val="00206316"/>
    <w:rsid w:val="00213A6C"/>
    <w:rsid w:val="00213B73"/>
    <w:rsid w:val="00215536"/>
    <w:rsid w:val="00217D91"/>
    <w:rsid w:val="00221250"/>
    <w:rsid w:val="0022229A"/>
    <w:rsid w:val="00223356"/>
    <w:rsid w:val="002237D4"/>
    <w:rsid w:val="00223F53"/>
    <w:rsid w:val="00223FDE"/>
    <w:rsid w:val="00224E0E"/>
    <w:rsid w:val="00225193"/>
    <w:rsid w:val="00226C94"/>
    <w:rsid w:val="00227947"/>
    <w:rsid w:val="00231E14"/>
    <w:rsid w:val="0023238D"/>
    <w:rsid w:val="00233954"/>
    <w:rsid w:val="002345FB"/>
    <w:rsid w:val="00234A06"/>
    <w:rsid w:val="00234A2E"/>
    <w:rsid w:val="00235952"/>
    <w:rsid w:val="00241646"/>
    <w:rsid w:val="00241651"/>
    <w:rsid w:val="00242279"/>
    <w:rsid w:val="00245345"/>
    <w:rsid w:val="002454C0"/>
    <w:rsid w:val="00245BDA"/>
    <w:rsid w:val="002475B8"/>
    <w:rsid w:val="00252B99"/>
    <w:rsid w:val="00254D65"/>
    <w:rsid w:val="002569CA"/>
    <w:rsid w:val="002640B1"/>
    <w:rsid w:val="00264E98"/>
    <w:rsid w:val="002650EC"/>
    <w:rsid w:val="002651FF"/>
    <w:rsid w:val="002657BE"/>
    <w:rsid w:val="002676D0"/>
    <w:rsid w:val="0027035A"/>
    <w:rsid w:val="00270F1D"/>
    <w:rsid w:val="002717B4"/>
    <w:rsid w:val="00271FB3"/>
    <w:rsid w:val="00272424"/>
    <w:rsid w:val="00275E1D"/>
    <w:rsid w:val="00276378"/>
    <w:rsid w:val="0027659B"/>
    <w:rsid w:val="00276B9B"/>
    <w:rsid w:val="00277EA0"/>
    <w:rsid w:val="002822C9"/>
    <w:rsid w:val="00282675"/>
    <w:rsid w:val="002830FC"/>
    <w:rsid w:val="002840BA"/>
    <w:rsid w:val="00284357"/>
    <w:rsid w:val="0028681C"/>
    <w:rsid w:val="00290FA4"/>
    <w:rsid w:val="0029319B"/>
    <w:rsid w:val="00294077"/>
    <w:rsid w:val="00295282"/>
    <w:rsid w:val="00296974"/>
    <w:rsid w:val="002A344B"/>
    <w:rsid w:val="002A5552"/>
    <w:rsid w:val="002A6026"/>
    <w:rsid w:val="002A72F1"/>
    <w:rsid w:val="002A7A8B"/>
    <w:rsid w:val="002B0870"/>
    <w:rsid w:val="002B1175"/>
    <w:rsid w:val="002B170F"/>
    <w:rsid w:val="002B1E69"/>
    <w:rsid w:val="002B5CFE"/>
    <w:rsid w:val="002B602B"/>
    <w:rsid w:val="002B6E9E"/>
    <w:rsid w:val="002C0812"/>
    <w:rsid w:val="002C0C68"/>
    <w:rsid w:val="002C0F71"/>
    <w:rsid w:val="002C11F0"/>
    <w:rsid w:val="002C1F5E"/>
    <w:rsid w:val="002C35AA"/>
    <w:rsid w:val="002D0AC6"/>
    <w:rsid w:val="002D0FCF"/>
    <w:rsid w:val="002D1A8C"/>
    <w:rsid w:val="002D27AF"/>
    <w:rsid w:val="002D3069"/>
    <w:rsid w:val="002D6E09"/>
    <w:rsid w:val="002E02D9"/>
    <w:rsid w:val="002E09B2"/>
    <w:rsid w:val="002E113C"/>
    <w:rsid w:val="002E1720"/>
    <w:rsid w:val="002E3151"/>
    <w:rsid w:val="002E394D"/>
    <w:rsid w:val="002E4201"/>
    <w:rsid w:val="002E47EA"/>
    <w:rsid w:val="002E6E9E"/>
    <w:rsid w:val="002E7B81"/>
    <w:rsid w:val="002F153D"/>
    <w:rsid w:val="002F2CA4"/>
    <w:rsid w:val="002F474D"/>
    <w:rsid w:val="002F4DE6"/>
    <w:rsid w:val="002F54AD"/>
    <w:rsid w:val="002F6B1F"/>
    <w:rsid w:val="002F6D17"/>
    <w:rsid w:val="002F728A"/>
    <w:rsid w:val="003014D1"/>
    <w:rsid w:val="003035B4"/>
    <w:rsid w:val="0030423D"/>
    <w:rsid w:val="0030591D"/>
    <w:rsid w:val="00306E2F"/>
    <w:rsid w:val="0030724C"/>
    <w:rsid w:val="0030779C"/>
    <w:rsid w:val="003110A7"/>
    <w:rsid w:val="00312AAF"/>
    <w:rsid w:val="003144CE"/>
    <w:rsid w:val="0031571F"/>
    <w:rsid w:val="00317619"/>
    <w:rsid w:val="00320591"/>
    <w:rsid w:val="00320E82"/>
    <w:rsid w:val="00321955"/>
    <w:rsid w:val="0032325C"/>
    <w:rsid w:val="003243B8"/>
    <w:rsid w:val="00327436"/>
    <w:rsid w:val="00327444"/>
    <w:rsid w:val="00327D7A"/>
    <w:rsid w:val="003308C6"/>
    <w:rsid w:val="0033758D"/>
    <w:rsid w:val="003379AD"/>
    <w:rsid w:val="003403ED"/>
    <w:rsid w:val="003405AE"/>
    <w:rsid w:val="00341A0F"/>
    <w:rsid w:val="003422B9"/>
    <w:rsid w:val="00342485"/>
    <w:rsid w:val="0034413F"/>
    <w:rsid w:val="0034470B"/>
    <w:rsid w:val="00344F24"/>
    <w:rsid w:val="00347C3C"/>
    <w:rsid w:val="003510F3"/>
    <w:rsid w:val="00353878"/>
    <w:rsid w:val="00353DBC"/>
    <w:rsid w:val="00354072"/>
    <w:rsid w:val="00354430"/>
    <w:rsid w:val="00354A20"/>
    <w:rsid w:val="00354D92"/>
    <w:rsid w:val="0036000E"/>
    <w:rsid w:val="00362BCD"/>
    <w:rsid w:val="00363B77"/>
    <w:rsid w:val="003640C7"/>
    <w:rsid w:val="00365442"/>
    <w:rsid w:val="003654E8"/>
    <w:rsid w:val="00365BC0"/>
    <w:rsid w:val="00365C2D"/>
    <w:rsid w:val="003678C1"/>
    <w:rsid w:val="00367B43"/>
    <w:rsid w:val="00367D98"/>
    <w:rsid w:val="00371537"/>
    <w:rsid w:val="00371844"/>
    <w:rsid w:val="00373B60"/>
    <w:rsid w:val="0037483C"/>
    <w:rsid w:val="00374996"/>
    <w:rsid w:val="003751CB"/>
    <w:rsid w:val="00375248"/>
    <w:rsid w:val="003752B7"/>
    <w:rsid w:val="0037705D"/>
    <w:rsid w:val="00377384"/>
    <w:rsid w:val="00377703"/>
    <w:rsid w:val="00380766"/>
    <w:rsid w:val="003832C4"/>
    <w:rsid w:val="0038339F"/>
    <w:rsid w:val="003852CC"/>
    <w:rsid w:val="003853CF"/>
    <w:rsid w:val="0038604F"/>
    <w:rsid w:val="003904AF"/>
    <w:rsid w:val="00390CD3"/>
    <w:rsid w:val="00391F44"/>
    <w:rsid w:val="003936E4"/>
    <w:rsid w:val="003942A9"/>
    <w:rsid w:val="00394684"/>
    <w:rsid w:val="00394BAE"/>
    <w:rsid w:val="00394BFB"/>
    <w:rsid w:val="003969BE"/>
    <w:rsid w:val="003A009E"/>
    <w:rsid w:val="003A248D"/>
    <w:rsid w:val="003A4EDF"/>
    <w:rsid w:val="003A6335"/>
    <w:rsid w:val="003A6CFE"/>
    <w:rsid w:val="003A71EF"/>
    <w:rsid w:val="003A73F6"/>
    <w:rsid w:val="003B121A"/>
    <w:rsid w:val="003B12E4"/>
    <w:rsid w:val="003B2459"/>
    <w:rsid w:val="003B30A1"/>
    <w:rsid w:val="003B468D"/>
    <w:rsid w:val="003B7309"/>
    <w:rsid w:val="003C088D"/>
    <w:rsid w:val="003C217A"/>
    <w:rsid w:val="003C24BF"/>
    <w:rsid w:val="003C3041"/>
    <w:rsid w:val="003C42BD"/>
    <w:rsid w:val="003C5D0F"/>
    <w:rsid w:val="003C7841"/>
    <w:rsid w:val="003D0F24"/>
    <w:rsid w:val="003D1D19"/>
    <w:rsid w:val="003D2C0B"/>
    <w:rsid w:val="003D56D9"/>
    <w:rsid w:val="003D6A60"/>
    <w:rsid w:val="003D6DF5"/>
    <w:rsid w:val="003D7DF2"/>
    <w:rsid w:val="003E07BE"/>
    <w:rsid w:val="003E1D19"/>
    <w:rsid w:val="003E44C5"/>
    <w:rsid w:val="003E6B3D"/>
    <w:rsid w:val="003E7B29"/>
    <w:rsid w:val="003F0595"/>
    <w:rsid w:val="003F05EF"/>
    <w:rsid w:val="003F0BE3"/>
    <w:rsid w:val="003F37A0"/>
    <w:rsid w:val="003F3F47"/>
    <w:rsid w:val="003F4A50"/>
    <w:rsid w:val="003F7360"/>
    <w:rsid w:val="003F7951"/>
    <w:rsid w:val="004008DC"/>
    <w:rsid w:val="00402B89"/>
    <w:rsid w:val="004046FA"/>
    <w:rsid w:val="00404CFC"/>
    <w:rsid w:val="0040684D"/>
    <w:rsid w:val="00406E48"/>
    <w:rsid w:val="004073B5"/>
    <w:rsid w:val="00407DD6"/>
    <w:rsid w:val="0041233D"/>
    <w:rsid w:val="00412BF4"/>
    <w:rsid w:val="00413ACD"/>
    <w:rsid w:val="0041487B"/>
    <w:rsid w:val="00415878"/>
    <w:rsid w:val="004161EE"/>
    <w:rsid w:val="004166E4"/>
    <w:rsid w:val="00420FE5"/>
    <w:rsid w:val="00421393"/>
    <w:rsid w:val="00421798"/>
    <w:rsid w:val="00421D43"/>
    <w:rsid w:val="00424963"/>
    <w:rsid w:val="00424B16"/>
    <w:rsid w:val="0042515D"/>
    <w:rsid w:val="00425C79"/>
    <w:rsid w:val="004264A1"/>
    <w:rsid w:val="00426678"/>
    <w:rsid w:val="0043022A"/>
    <w:rsid w:val="00430540"/>
    <w:rsid w:val="00433B98"/>
    <w:rsid w:val="00434D4F"/>
    <w:rsid w:val="00440AF9"/>
    <w:rsid w:val="00441CD6"/>
    <w:rsid w:val="00444046"/>
    <w:rsid w:val="00445E9E"/>
    <w:rsid w:val="00447D98"/>
    <w:rsid w:val="00451E53"/>
    <w:rsid w:val="00452D3C"/>
    <w:rsid w:val="00453205"/>
    <w:rsid w:val="00454AE6"/>
    <w:rsid w:val="00455607"/>
    <w:rsid w:val="004561D2"/>
    <w:rsid w:val="00461C11"/>
    <w:rsid w:val="00462C7C"/>
    <w:rsid w:val="00463208"/>
    <w:rsid w:val="0046395E"/>
    <w:rsid w:val="00463E17"/>
    <w:rsid w:val="00466B77"/>
    <w:rsid w:val="00467DFF"/>
    <w:rsid w:val="00470CF5"/>
    <w:rsid w:val="00473F76"/>
    <w:rsid w:val="0047574F"/>
    <w:rsid w:val="004758BC"/>
    <w:rsid w:val="00477914"/>
    <w:rsid w:val="0048146B"/>
    <w:rsid w:val="00482419"/>
    <w:rsid w:val="00482A87"/>
    <w:rsid w:val="00483123"/>
    <w:rsid w:val="00490BB6"/>
    <w:rsid w:val="00490FB7"/>
    <w:rsid w:val="0049177F"/>
    <w:rsid w:val="0049290F"/>
    <w:rsid w:val="00496C27"/>
    <w:rsid w:val="004A2672"/>
    <w:rsid w:val="004A44F8"/>
    <w:rsid w:val="004A6A53"/>
    <w:rsid w:val="004A7145"/>
    <w:rsid w:val="004B1419"/>
    <w:rsid w:val="004B197D"/>
    <w:rsid w:val="004B2F06"/>
    <w:rsid w:val="004B3714"/>
    <w:rsid w:val="004B4502"/>
    <w:rsid w:val="004B4633"/>
    <w:rsid w:val="004B4823"/>
    <w:rsid w:val="004B4D57"/>
    <w:rsid w:val="004C14F5"/>
    <w:rsid w:val="004C2ABB"/>
    <w:rsid w:val="004C3294"/>
    <w:rsid w:val="004C4795"/>
    <w:rsid w:val="004C5016"/>
    <w:rsid w:val="004C5B5D"/>
    <w:rsid w:val="004C5DDF"/>
    <w:rsid w:val="004D1E2B"/>
    <w:rsid w:val="004D32BB"/>
    <w:rsid w:val="004D6C37"/>
    <w:rsid w:val="004D74FD"/>
    <w:rsid w:val="004E0701"/>
    <w:rsid w:val="004E09E1"/>
    <w:rsid w:val="004E10FE"/>
    <w:rsid w:val="004E1A81"/>
    <w:rsid w:val="004E1E40"/>
    <w:rsid w:val="004E2B04"/>
    <w:rsid w:val="004E342C"/>
    <w:rsid w:val="004E3621"/>
    <w:rsid w:val="004E3FC4"/>
    <w:rsid w:val="004E409A"/>
    <w:rsid w:val="004E57E1"/>
    <w:rsid w:val="004E7C07"/>
    <w:rsid w:val="004F06AF"/>
    <w:rsid w:val="004F0EC1"/>
    <w:rsid w:val="004F1F31"/>
    <w:rsid w:val="004F3180"/>
    <w:rsid w:val="004F4BEE"/>
    <w:rsid w:val="004F6F7E"/>
    <w:rsid w:val="00501422"/>
    <w:rsid w:val="00502EE2"/>
    <w:rsid w:val="00507E46"/>
    <w:rsid w:val="00510B5A"/>
    <w:rsid w:val="00511182"/>
    <w:rsid w:val="005122D4"/>
    <w:rsid w:val="005137D1"/>
    <w:rsid w:val="00513CB9"/>
    <w:rsid w:val="00515273"/>
    <w:rsid w:val="0051562C"/>
    <w:rsid w:val="005172F8"/>
    <w:rsid w:val="00517320"/>
    <w:rsid w:val="00517C0E"/>
    <w:rsid w:val="00517C32"/>
    <w:rsid w:val="005220B0"/>
    <w:rsid w:val="00524370"/>
    <w:rsid w:val="00525649"/>
    <w:rsid w:val="00526069"/>
    <w:rsid w:val="00527056"/>
    <w:rsid w:val="005300EF"/>
    <w:rsid w:val="0053066F"/>
    <w:rsid w:val="005325BF"/>
    <w:rsid w:val="005339D7"/>
    <w:rsid w:val="00533F99"/>
    <w:rsid w:val="005347E0"/>
    <w:rsid w:val="00535095"/>
    <w:rsid w:val="0053720B"/>
    <w:rsid w:val="00537BAE"/>
    <w:rsid w:val="00540372"/>
    <w:rsid w:val="005441F2"/>
    <w:rsid w:val="005454B0"/>
    <w:rsid w:val="00550312"/>
    <w:rsid w:val="00550DB1"/>
    <w:rsid w:val="00551067"/>
    <w:rsid w:val="00554252"/>
    <w:rsid w:val="00554E97"/>
    <w:rsid w:val="00555F2D"/>
    <w:rsid w:val="005602EB"/>
    <w:rsid w:val="0056031D"/>
    <w:rsid w:val="00560D37"/>
    <w:rsid w:val="00560F6A"/>
    <w:rsid w:val="00562A2B"/>
    <w:rsid w:val="00563D30"/>
    <w:rsid w:val="0056450E"/>
    <w:rsid w:val="00566832"/>
    <w:rsid w:val="00567339"/>
    <w:rsid w:val="00571ACA"/>
    <w:rsid w:val="00573A46"/>
    <w:rsid w:val="0057437D"/>
    <w:rsid w:val="00575A63"/>
    <w:rsid w:val="00576C7D"/>
    <w:rsid w:val="00584DC2"/>
    <w:rsid w:val="00585502"/>
    <w:rsid w:val="00587EC0"/>
    <w:rsid w:val="0059017B"/>
    <w:rsid w:val="005925EA"/>
    <w:rsid w:val="00592B3B"/>
    <w:rsid w:val="00595202"/>
    <w:rsid w:val="00595581"/>
    <w:rsid w:val="00597313"/>
    <w:rsid w:val="005973E5"/>
    <w:rsid w:val="005A0738"/>
    <w:rsid w:val="005A1143"/>
    <w:rsid w:val="005A1598"/>
    <w:rsid w:val="005A4163"/>
    <w:rsid w:val="005A53D6"/>
    <w:rsid w:val="005A5CF3"/>
    <w:rsid w:val="005A610A"/>
    <w:rsid w:val="005A62F0"/>
    <w:rsid w:val="005A6535"/>
    <w:rsid w:val="005A721F"/>
    <w:rsid w:val="005B0E84"/>
    <w:rsid w:val="005B1080"/>
    <w:rsid w:val="005B40B2"/>
    <w:rsid w:val="005B48DF"/>
    <w:rsid w:val="005B55F2"/>
    <w:rsid w:val="005B563C"/>
    <w:rsid w:val="005B56C5"/>
    <w:rsid w:val="005B5927"/>
    <w:rsid w:val="005B5B83"/>
    <w:rsid w:val="005B5D7D"/>
    <w:rsid w:val="005B6D70"/>
    <w:rsid w:val="005C0FEB"/>
    <w:rsid w:val="005C27F3"/>
    <w:rsid w:val="005C294F"/>
    <w:rsid w:val="005C329A"/>
    <w:rsid w:val="005C34F1"/>
    <w:rsid w:val="005C4FE3"/>
    <w:rsid w:val="005C5258"/>
    <w:rsid w:val="005C53B2"/>
    <w:rsid w:val="005C66BD"/>
    <w:rsid w:val="005C6F84"/>
    <w:rsid w:val="005C775C"/>
    <w:rsid w:val="005C7B97"/>
    <w:rsid w:val="005D2B8E"/>
    <w:rsid w:val="005D3C6B"/>
    <w:rsid w:val="005D57DA"/>
    <w:rsid w:val="005D5DC6"/>
    <w:rsid w:val="005D633A"/>
    <w:rsid w:val="005D7C0A"/>
    <w:rsid w:val="005E1A52"/>
    <w:rsid w:val="005E306C"/>
    <w:rsid w:val="005E375F"/>
    <w:rsid w:val="005E3B40"/>
    <w:rsid w:val="005E7435"/>
    <w:rsid w:val="005F03AD"/>
    <w:rsid w:val="005F0686"/>
    <w:rsid w:val="005F0BEB"/>
    <w:rsid w:val="005F1436"/>
    <w:rsid w:val="005F28C4"/>
    <w:rsid w:val="005F4CCC"/>
    <w:rsid w:val="005F4DA5"/>
    <w:rsid w:val="005F516F"/>
    <w:rsid w:val="005F7022"/>
    <w:rsid w:val="005F785D"/>
    <w:rsid w:val="00603AA4"/>
    <w:rsid w:val="00607950"/>
    <w:rsid w:val="00607F05"/>
    <w:rsid w:val="006114F5"/>
    <w:rsid w:val="00612045"/>
    <w:rsid w:val="00612178"/>
    <w:rsid w:val="006122BF"/>
    <w:rsid w:val="00613401"/>
    <w:rsid w:val="00620B99"/>
    <w:rsid w:val="00621086"/>
    <w:rsid w:val="006254AA"/>
    <w:rsid w:val="0062559B"/>
    <w:rsid w:val="00626224"/>
    <w:rsid w:val="006264A6"/>
    <w:rsid w:val="00626992"/>
    <w:rsid w:val="00630136"/>
    <w:rsid w:val="0063402B"/>
    <w:rsid w:val="0063561C"/>
    <w:rsid w:val="00635826"/>
    <w:rsid w:val="006375E2"/>
    <w:rsid w:val="00643264"/>
    <w:rsid w:val="00643D8C"/>
    <w:rsid w:val="0064444B"/>
    <w:rsid w:val="00644768"/>
    <w:rsid w:val="006506A9"/>
    <w:rsid w:val="00651A02"/>
    <w:rsid w:val="00652996"/>
    <w:rsid w:val="006538F4"/>
    <w:rsid w:val="00654117"/>
    <w:rsid w:val="0065558C"/>
    <w:rsid w:val="00656498"/>
    <w:rsid w:val="00657691"/>
    <w:rsid w:val="00660672"/>
    <w:rsid w:val="0066071D"/>
    <w:rsid w:val="0066116C"/>
    <w:rsid w:val="006637CE"/>
    <w:rsid w:val="006643C8"/>
    <w:rsid w:val="00665632"/>
    <w:rsid w:val="0066616F"/>
    <w:rsid w:val="00666852"/>
    <w:rsid w:val="00667094"/>
    <w:rsid w:val="00672527"/>
    <w:rsid w:val="006747F2"/>
    <w:rsid w:val="00676728"/>
    <w:rsid w:val="0067739B"/>
    <w:rsid w:val="00680A07"/>
    <w:rsid w:val="00682364"/>
    <w:rsid w:val="006844FD"/>
    <w:rsid w:val="00684665"/>
    <w:rsid w:val="006850C2"/>
    <w:rsid w:val="00685ECE"/>
    <w:rsid w:val="00687940"/>
    <w:rsid w:val="00690555"/>
    <w:rsid w:val="00691D97"/>
    <w:rsid w:val="006934F6"/>
    <w:rsid w:val="00693F5B"/>
    <w:rsid w:val="00694076"/>
    <w:rsid w:val="0069486C"/>
    <w:rsid w:val="00694FB1"/>
    <w:rsid w:val="00696970"/>
    <w:rsid w:val="0069721E"/>
    <w:rsid w:val="006A07A0"/>
    <w:rsid w:val="006A1532"/>
    <w:rsid w:val="006A70C7"/>
    <w:rsid w:val="006B2029"/>
    <w:rsid w:val="006B3050"/>
    <w:rsid w:val="006B3D17"/>
    <w:rsid w:val="006B576A"/>
    <w:rsid w:val="006B5C78"/>
    <w:rsid w:val="006B5C8C"/>
    <w:rsid w:val="006B6171"/>
    <w:rsid w:val="006B681F"/>
    <w:rsid w:val="006C25B8"/>
    <w:rsid w:val="006C2EB1"/>
    <w:rsid w:val="006C4CE8"/>
    <w:rsid w:val="006C6685"/>
    <w:rsid w:val="006D049F"/>
    <w:rsid w:val="006D04DB"/>
    <w:rsid w:val="006D759E"/>
    <w:rsid w:val="006E0F8B"/>
    <w:rsid w:val="006E1C4A"/>
    <w:rsid w:val="006E511F"/>
    <w:rsid w:val="006E5752"/>
    <w:rsid w:val="006E6A53"/>
    <w:rsid w:val="006F29F9"/>
    <w:rsid w:val="006F4C07"/>
    <w:rsid w:val="006F5125"/>
    <w:rsid w:val="006F71AE"/>
    <w:rsid w:val="00700290"/>
    <w:rsid w:val="00702399"/>
    <w:rsid w:val="00703741"/>
    <w:rsid w:val="007039A0"/>
    <w:rsid w:val="00704A96"/>
    <w:rsid w:val="00707C94"/>
    <w:rsid w:val="00710EA9"/>
    <w:rsid w:val="0071178B"/>
    <w:rsid w:val="00712C54"/>
    <w:rsid w:val="00714586"/>
    <w:rsid w:val="00714D91"/>
    <w:rsid w:val="00715D33"/>
    <w:rsid w:val="007161AD"/>
    <w:rsid w:val="00717A88"/>
    <w:rsid w:val="0072075B"/>
    <w:rsid w:val="00721CFF"/>
    <w:rsid w:val="00723864"/>
    <w:rsid w:val="00723CED"/>
    <w:rsid w:val="00723F40"/>
    <w:rsid w:val="007261FD"/>
    <w:rsid w:val="00726A8A"/>
    <w:rsid w:val="00730C59"/>
    <w:rsid w:val="0073103A"/>
    <w:rsid w:val="007319C6"/>
    <w:rsid w:val="00734131"/>
    <w:rsid w:val="0073492B"/>
    <w:rsid w:val="0073534A"/>
    <w:rsid w:val="00735E20"/>
    <w:rsid w:val="00740FE8"/>
    <w:rsid w:val="0074329E"/>
    <w:rsid w:val="00744850"/>
    <w:rsid w:val="007452F0"/>
    <w:rsid w:val="00745D76"/>
    <w:rsid w:val="00746ED5"/>
    <w:rsid w:val="00752385"/>
    <w:rsid w:val="00756297"/>
    <w:rsid w:val="00756DD8"/>
    <w:rsid w:val="007576F4"/>
    <w:rsid w:val="00761314"/>
    <w:rsid w:val="00763BB5"/>
    <w:rsid w:val="00767B74"/>
    <w:rsid w:val="007703F7"/>
    <w:rsid w:val="007708F4"/>
    <w:rsid w:val="00771ADA"/>
    <w:rsid w:val="0077369B"/>
    <w:rsid w:val="00774AD8"/>
    <w:rsid w:val="00774CFA"/>
    <w:rsid w:val="00775B4E"/>
    <w:rsid w:val="00776148"/>
    <w:rsid w:val="007772D2"/>
    <w:rsid w:val="00777486"/>
    <w:rsid w:val="00780B60"/>
    <w:rsid w:val="0078122B"/>
    <w:rsid w:val="007817FD"/>
    <w:rsid w:val="00782164"/>
    <w:rsid w:val="007827CE"/>
    <w:rsid w:val="007849AC"/>
    <w:rsid w:val="00787596"/>
    <w:rsid w:val="0078759C"/>
    <w:rsid w:val="00787942"/>
    <w:rsid w:val="007929A7"/>
    <w:rsid w:val="00792D25"/>
    <w:rsid w:val="0079318F"/>
    <w:rsid w:val="00794057"/>
    <w:rsid w:val="00797306"/>
    <w:rsid w:val="007973DB"/>
    <w:rsid w:val="00797C44"/>
    <w:rsid w:val="007A0283"/>
    <w:rsid w:val="007A5489"/>
    <w:rsid w:val="007B04E7"/>
    <w:rsid w:val="007B066E"/>
    <w:rsid w:val="007B1F59"/>
    <w:rsid w:val="007B3739"/>
    <w:rsid w:val="007B5343"/>
    <w:rsid w:val="007B791A"/>
    <w:rsid w:val="007C1A08"/>
    <w:rsid w:val="007C2F91"/>
    <w:rsid w:val="007C32CE"/>
    <w:rsid w:val="007C53CA"/>
    <w:rsid w:val="007C64BA"/>
    <w:rsid w:val="007C749E"/>
    <w:rsid w:val="007C7DFC"/>
    <w:rsid w:val="007D0754"/>
    <w:rsid w:val="007D15FD"/>
    <w:rsid w:val="007D2971"/>
    <w:rsid w:val="007D4735"/>
    <w:rsid w:val="007D7A31"/>
    <w:rsid w:val="007E0150"/>
    <w:rsid w:val="007E1861"/>
    <w:rsid w:val="007E207D"/>
    <w:rsid w:val="007E2378"/>
    <w:rsid w:val="007E32EC"/>
    <w:rsid w:val="007E60D9"/>
    <w:rsid w:val="007E711E"/>
    <w:rsid w:val="007E7922"/>
    <w:rsid w:val="007F3C1B"/>
    <w:rsid w:val="007F3FC1"/>
    <w:rsid w:val="007F4294"/>
    <w:rsid w:val="0080313A"/>
    <w:rsid w:val="008038DE"/>
    <w:rsid w:val="0080580D"/>
    <w:rsid w:val="00805D9F"/>
    <w:rsid w:val="00810388"/>
    <w:rsid w:val="00810AA4"/>
    <w:rsid w:val="00811728"/>
    <w:rsid w:val="00812E06"/>
    <w:rsid w:val="008131D9"/>
    <w:rsid w:val="0081416F"/>
    <w:rsid w:val="008142CF"/>
    <w:rsid w:val="00814F58"/>
    <w:rsid w:val="00814FA7"/>
    <w:rsid w:val="0081538F"/>
    <w:rsid w:val="00815493"/>
    <w:rsid w:val="0082020F"/>
    <w:rsid w:val="00820613"/>
    <w:rsid w:val="00822BEC"/>
    <w:rsid w:val="00823E00"/>
    <w:rsid w:val="0082428B"/>
    <w:rsid w:val="00824B95"/>
    <w:rsid w:val="00825D94"/>
    <w:rsid w:val="0082657A"/>
    <w:rsid w:val="00826AB8"/>
    <w:rsid w:val="00826FFC"/>
    <w:rsid w:val="00831657"/>
    <w:rsid w:val="00832B97"/>
    <w:rsid w:val="00836777"/>
    <w:rsid w:val="0084186E"/>
    <w:rsid w:val="00845EBE"/>
    <w:rsid w:val="00847BAA"/>
    <w:rsid w:val="00847C28"/>
    <w:rsid w:val="00851B40"/>
    <w:rsid w:val="00852DB7"/>
    <w:rsid w:val="0085412C"/>
    <w:rsid w:val="00855D00"/>
    <w:rsid w:val="00860D94"/>
    <w:rsid w:val="00860F15"/>
    <w:rsid w:val="008612D6"/>
    <w:rsid w:val="0086325E"/>
    <w:rsid w:val="00863FBC"/>
    <w:rsid w:val="008673D7"/>
    <w:rsid w:val="00870D03"/>
    <w:rsid w:val="00872876"/>
    <w:rsid w:val="00873DAD"/>
    <w:rsid w:val="008741F5"/>
    <w:rsid w:val="0087482D"/>
    <w:rsid w:val="008762AB"/>
    <w:rsid w:val="008763E8"/>
    <w:rsid w:val="00877442"/>
    <w:rsid w:val="00880526"/>
    <w:rsid w:val="00880593"/>
    <w:rsid w:val="008808F8"/>
    <w:rsid w:val="00880FC9"/>
    <w:rsid w:val="0088234F"/>
    <w:rsid w:val="00884651"/>
    <w:rsid w:val="0088581F"/>
    <w:rsid w:val="00885D9C"/>
    <w:rsid w:val="00885FE2"/>
    <w:rsid w:val="00886A4F"/>
    <w:rsid w:val="00886D79"/>
    <w:rsid w:val="00893EDD"/>
    <w:rsid w:val="00896FA5"/>
    <w:rsid w:val="008A0EA2"/>
    <w:rsid w:val="008A1F35"/>
    <w:rsid w:val="008A1F89"/>
    <w:rsid w:val="008A21CA"/>
    <w:rsid w:val="008A4E5C"/>
    <w:rsid w:val="008A5655"/>
    <w:rsid w:val="008A6F9E"/>
    <w:rsid w:val="008B13D8"/>
    <w:rsid w:val="008B3750"/>
    <w:rsid w:val="008B46C0"/>
    <w:rsid w:val="008B5D14"/>
    <w:rsid w:val="008B5E21"/>
    <w:rsid w:val="008B638F"/>
    <w:rsid w:val="008B6A49"/>
    <w:rsid w:val="008C13A3"/>
    <w:rsid w:val="008C2BB2"/>
    <w:rsid w:val="008C450D"/>
    <w:rsid w:val="008C73BC"/>
    <w:rsid w:val="008D063A"/>
    <w:rsid w:val="008D27BF"/>
    <w:rsid w:val="008D30CA"/>
    <w:rsid w:val="008D783A"/>
    <w:rsid w:val="008E1F73"/>
    <w:rsid w:val="008E6E89"/>
    <w:rsid w:val="008F1177"/>
    <w:rsid w:val="008F1E71"/>
    <w:rsid w:val="008F292A"/>
    <w:rsid w:val="008F497B"/>
    <w:rsid w:val="008F6C0E"/>
    <w:rsid w:val="009004EA"/>
    <w:rsid w:val="0090267E"/>
    <w:rsid w:val="00903F41"/>
    <w:rsid w:val="009042EA"/>
    <w:rsid w:val="009046EC"/>
    <w:rsid w:val="00910C55"/>
    <w:rsid w:val="00913059"/>
    <w:rsid w:val="009150E8"/>
    <w:rsid w:val="0091568A"/>
    <w:rsid w:val="009177D4"/>
    <w:rsid w:val="00917953"/>
    <w:rsid w:val="009206F0"/>
    <w:rsid w:val="00920CA2"/>
    <w:rsid w:val="009232D4"/>
    <w:rsid w:val="0092647A"/>
    <w:rsid w:val="009303A6"/>
    <w:rsid w:val="009310E8"/>
    <w:rsid w:val="00933406"/>
    <w:rsid w:val="00935D9C"/>
    <w:rsid w:val="00936D1A"/>
    <w:rsid w:val="009373DA"/>
    <w:rsid w:val="00937B7A"/>
    <w:rsid w:val="00940C75"/>
    <w:rsid w:val="00941FA4"/>
    <w:rsid w:val="00942CD5"/>
    <w:rsid w:val="00942D09"/>
    <w:rsid w:val="00944DFE"/>
    <w:rsid w:val="00945224"/>
    <w:rsid w:val="00946E26"/>
    <w:rsid w:val="00946F0E"/>
    <w:rsid w:val="00947FCE"/>
    <w:rsid w:val="00950444"/>
    <w:rsid w:val="009506B1"/>
    <w:rsid w:val="00950F59"/>
    <w:rsid w:val="00952CD5"/>
    <w:rsid w:val="00953F7A"/>
    <w:rsid w:val="009559FC"/>
    <w:rsid w:val="00957F88"/>
    <w:rsid w:val="00963D45"/>
    <w:rsid w:val="009667C1"/>
    <w:rsid w:val="00970537"/>
    <w:rsid w:val="00970875"/>
    <w:rsid w:val="00976316"/>
    <w:rsid w:val="0097727F"/>
    <w:rsid w:val="009777BC"/>
    <w:rsid w:val="00977F32"/>
    <w:rsid w:val="00980444"/>
    <w:rsid w:val="00980D4B"/>
    <w:rsid w:val="00980E96"/>
    <w:rsid w:val="009812E0"/>
    <w:rsid w:val="00981E2F"/>
    <w:rsid w:val="00982B16"/>
    <w:rsid w:val="00983681"/>
    <w:rsid w:val="00984E4F"/>
    <w:rsid w:val="00986B0F"/>
    <w:rsid w:val="00990A61"/>
    <w:rsid w:val="009917A2"/>
    <w:rsid w:val="009921AF"/>
    <w:rsid w:val="009933F6"/>
    <w:rsid w:val="009950F6"/>
    <w:rsid w:val="00996D10"/>
    <w:rsid w:val="00997989"/>
    <w:rsid w:val="009A14FF"/>
    <w:rsid w:val="009A2058"/>
    <w:rsid w:val="009A2952"/>
    <w:rsid w:val="009A3656"/>
    <w:rsid w:val="009A376F"/>
    <w:rsid w:val="009A4D4D"/>
    <w:rsid w:val="009A5D99"/>
    <w:rsid w:val="009A66C9"/>
    <w:rsid w:val="009A687C"/>
    <w:rsid w:val="009B2560"/>
    <w:rsid w:val="009B2C78"/>
    <w:rsid w:val="009B330B"/>
    <w:rsid w:val="009B5045"/>
    <w:rsid w:val="009B6250"/>
    <w:rsid w:val="009B6F64"/>
    <w:rsid w:val="009C00BE"/>
    <w:rsid w:val="009C09CF"/>
    <w:rsid w:val="009C12DA"/>
    <w:rsid w:val="009C2794"/>
    <w:rsid w:val="009C2B34"/>
    <w:rsid w:val="009C3805"/>
    <w:rsid w:val="009C5063"/>
    <w:rsid w:val="009C51B4"/>
    <w:rsid w:val="009C528E"/>
    <w:rsid w:val="009D03C0"/>
    <w:rsid w:val="009D0A4B"/>
    <w:rsid w:val="009D0BA5"/>
    <w:rsid w:val="009D1CB5"/>
    <w:rsid w:val="009D3372"/>
    <w:rsid w:val="009D41EA"/>
    <w:rsid w:val="009D5330"/>
    <w:rsid w:val="009D5B23"/>
    <w:rsid w:val="009D6FC4"/>
    <w:rsid w:val="009D72BE"/>
    <w:rsid w:val="009E0F91"/>
    <w:rsid w:val="009E5C47"/>
    <w:rsid w:val="009E6147"/>
    <w:rsid w:val="009E7FEE"/>
    <w:rsid w:val="009F014F"/>
    <w:rsid w:val="009F0569"/>
    <w:rsid w:val="009F1C5F"/>
    <w:rsid w:val="009F29C6"/>
    <w:rsid w:val="009F4492"/>
    <w:rsid w:val="009F776F"/>
    <w:rsid w:val="009F7A5D"/>
    <w:rsid w:val="00A01678"/>
    <w:rsid w:val="00A02D60"/>
    <w:rsid w:val="00A044D5"/>
    <w:rsid w:val="00A05944"/>
    <w:rsid w:val="00A06773"/>
    <w:rsid w:val="00A10B0A"/>
    <w:rsid w:val="00A1201A"/>
    <w:rsid w:val="00A12B3E"/>
    <w:rsid w:val="00A20307"/>
    <w:rsid w:val="00A23458"/>
    <w:rsid w:val="00A24D23"/>
    <w:rsid w:val="00A25A7C"/>
    <w:rsid w:val="00A2654B"/>
    <w:rsid w:val="00A26693"/>
    <w:rsid w:val="00A26778"/>
    <w:rsid w:val="00A27D24"/>
    <w:rsid w:val="00A300EF"/>
    <w:rsid w:val="00A30779"/>
    <w:rsid w:val="00A3181B"/>
    <w:rsid w:val="00A31DBE"/>
    <w:rsid w:val="00A32A33"/>
    <w:rsid w:val="00A32FAA"/>
    <w:rsid w:val="00A331F5"/>
    <w:rsid w:val="00A3367B"/>
    <w:rsid w:val="00A3716D"/>
    <w:rsid w:val="00A40917"/>
    <w:rsid w:val="00A409EF"/>
    <w:rsid w:val="00A40C6A"/>
    <w:rsid w:val="00A410C3"/>
    <w:rsid w:val="00A41EE0"/>
    <w:rsid w:val="00A429DE"/>
    <w:rsid w:val="00A4375C"/>
    <w:rsid w:val="00A4545E"/>
    <w:rsid w:val="00A468E4"/>
    <w:rsid w:val="00A51F6B"/>
    <w:rsid w:val="00A52039"/>
    <w:rsid w:val="00A540DA"/>
    <w:rsid w:val="00A572C1"/>
    <w:rsid w:val="00A57D25"/>
    <w:rsid w:val="00A61426"/>
    <w:rsid w:val="00A624FD"/>
    <w:rsid w:val="00A62B73"/>
    <w:rsid w:val="00A62CCD"/>
    <w:rsid w:val="00A62E5F"/>
    <w:rsid w:val="00A63360"/>
    <w:rsid w:val="00A633BA"/>
    <w:rsid w:val="00A635CF"/>
    <w:rsid w:val="00A63B11"/>
    <w:rsid w:val="00A65752"/>
    <w:rsid w:val="00A65B7A"/>
    <w:rsid w:val="00A66A5C"/>
    <w:rsid w:val="00A66A95"/>
    <w:rsid w:val="00A67749"/>
    <w:rsid w:val="00A725CE"/>
    <w:rsid w:val="00A726F0"/>
    <w:rsid w:val="00A72FCA"/>
    <w:rsid w:val="00A74294"/>
    <w:rsid w:val="00A748F8"/>
    <w:rsid w:val="00A767E3"/>
    <w:rsid w:val="00A8112B"/>
    <w:rsid w:val="00A82555"/>
    <w:rsid w:val="00A82A15"/>
    <w:rsid w:val="00A82A8E"/>
    <w:rsid w:val="00A85CA4"/>
    <w:rsid w:val="00A92E3C"/>
    <w:rsid w:val="00A956D2"/>
    <w:rsid w:val="00AA00AB"/>
    <w:rsid w:val="00AA0B1C"/>
    <w:rsid w:val="00AA1976"/>
    <w:rsid w:val="00AA24D3"/>
    <w:rsid w:val="00AA2BCA"/>
    <w:rsid w:val="00AA3D08"/>
    <w:rsid w:val="00AA43D8"/>
    <w:rsid w:val="00AA4DA7"/>
    <w:rsid w:val="00AA5F99"/>
    <w:rsid w:val="00AA78D5"/>
    <w:rsid w:val="00AB051A"/>
    <w:rsid w:val="00AB096D"/>
    <w:rsid w:val="00AB127A"/>
    <w:rsid w:val="00AB3526"/>
    <w:rsid w:val="00AB3C12"/>
    <w:rsid w:val="00AB53B1"/>
    <w:rsid w:val="00AB59B0"/>
    <w:rsid w:val="00AB68EB"/>
    <w:rsid w:val="00AB7510"/>
    <w:rsid w:val="00AC08AE"/>
    <w:rsid w:val="00AC144D"/>
    <w:rsid w:val="00AC31AA"/>
    <w:rsid w:val="00AC37D3"/>
    <w:rsid w:val="00AD038E"/>
    <w:rsid w:val="00AD3068"/>
    <w:rsid w:val="00AD32F6"/>
    <w:rsid w:val="00AD418A"/>
    <w:rsid w:val="00AD6AC7"/>
    <w:rsid w:val="00AE00D5"/>
    <w:rsid w:val="00AE1223"/>
    <w:rsid w:val="00AE2309"/>
    <w:rsid w:val="00AE4474"/>
    <w:rsid w:val="00AE7DB8"/>
    <w:rsid w:val="00AF01E6"/>
    <w:rsid w:val="00AF6E10"/>
    <w:rsid w:val="00AF6E57"/>
    <w:rsid w:val="00AF7B3C"/>
    <w:rsid w:val="00AF7B85"/>
    <w:rsid w:val="00B001C2"/>
    <w:rsid w:val="00B004C2"/>
    <w:rsid w:val="00B03A82"/>
    <w:rsid w:val="00B04B19"/>
    <w:rsid w:val="00B04E33"/>
    <w:rsid w:val="00B0513D"/>
    <w:rsid w:val="00B067ED"/>
    <w:rsid w:val="00B11AEE"/>
    <w:rsid w:val="00B12E13"/>
    <w:rsid w:val="00B13669"/>
    <w:rsid w:val="00B14281"/>
    <w:rsid w:val="00B15888"/>
    <w:rsid w:val="00B17214"/>
    <w:rsid w:val="00B17C13"/>
    <w:rsid w:val="00B23769"/>
    <w:rsid w:val="00B27D59"/>
    <w:rsid w:val="00B3046A"/>
    <w:rsid w:val="00B30A07"/>
    <w:rsid w:val="00B30EB2"/>
    <w:rsid w:val="00B3297E"/>
    <w:rsid w:val="00B339E9"/>
    <w:rsid w:val="00B355D2"/>
    <w:rsid w:val="00B35631"/>
    <w:rsid w:val="00B368AF"/>
    <w:rsid w:val="00B4132B"/>
    <w:rsid w:val="00B42560"/>
    <w:rsid w:val="00B43505"/>
    <w:rsid w:val="00B449BF"/>
    <w:rsid w:val="00B44F45"/>
    <w:rsid w:val="00B47BB8"/>
    <w:rsid w:val="00B500F4"/>
    <w:rsid w:val="00B518DE"/>
    <w:rsid w:val="00B522CB"/>
    <w:rsid w:val="00B53D62"/>
    <w:rsid w:val="00B5524E"/>
    <w:rsid w:val="00B5566F"/>
    <w:rsid w:val="00B60916"/>
    <w:rsid w:val="00B60B83"/>
    <w:rsid w:val="00B62263"/>
    <w:rsid w:val="00B627F7"/>
    <w:rsid w:val="00B62C0A"/>
    <w:rsid w:val="00B6389E"/>
    <w:rsid w:val="00B6468A"/>
    <w:rsid w:val="00B64B94"/>
    <w:rsid w:val="00B64CE7"/>
    <w:rsid w:val="00B65678"/>
    <w:rsid w:val="00B67BE6"/>
    <w:rsid w:val="00B706E1"/>
    <w:rsid w:val="00B70F4D"/>
    <w:rsid w:val="00B72252"/>
    <w:rsid w:val="00B73AAA"/>
    <w:rsid w:val="00B74F92"/>
    <w:rsid w:val="00B7541E"/>
    <w:rsid w:val="00B75A2F"/>
    <w:rsid w:val="00B764F2"/>
    <w:rsid w:val="00B80DF9"/>
    <w:rsid w:val="00B80EBC"/>
    <w:rsid w:val="00B811DB"/>
    <w:rsid w:val="00B8153E"/>
    <w:rsid w:val="00B83330"/>
    <w:rsid w:val="00B8737C"/>
    <w:rsid w:val="00B87F3A"/>
    <w:rsid w:val="00B902E4"/>
    <w:rsid w:val="00B91E85"/>
    <w:rsid w:val="00B9351B"/>
    <w:rsid w:val="00B954AC"/>
    <w:rsid w:val="00B954BC"/>
    <w:rsid w:val="00B95B7D"/>
    <w:rsid w:val="00B95CB7"/>
    <w:rsid w:val="00B9696C"/>
    <w:rsid w:val="00B96B9C"/>
    <w:rsid w:val="00BA28F9"/>
    <w:rsid w:val="00BA4B7B"/>
    <w:rsid w:val="00BA63C2"/>
    <w:rsid w:val="00BB0B59"/>
    <w:rsid w:val="00BB15A9"/>
    <w:rsid w:val="00BB164A"/>
    <w:rsid w:val="00BB1754"/>
    <w:rsid w:val="00BB20AA"/>
    <w:rsid w:val="00BB53B5"/>
    <w:rsid w:val="00BB581E"/>
    <w:rsid w:val="00BB6298"/>
    <w:rsid w:val="00BB7D52"/>
    <w:rsid w:val="00BC1F73"/>
    <w:rsid w:val="00BC24CF"/>
    <w:rsid w:val="00BC3AED"/>
    <w:rsid w:val="00BC5183"/>
    <w:rsid w:val="00BD09D8"/>
    <w:rsid w:val="00BD1AE2"/>
    <w:rsid w:val="00BD5013"/>
    <w:rsid w:val="00BD6686"/>
    <w:rsid w:val="00BD696D"/>
    <w:rsid w:val="00BE17F0"/>
    <w:rsid w:val="00BE1FBE"/>
    <w:rsid w:val="00BE2BFF"/>
    <w:rsid w:val="00BE5114"/>
    <w:rsid w:val="00BE5A35"/>
    <w:rsid w:val="00BE6387"/>
    <w:rsid w:val="00BE6D5E"/>
    <w:rsid w:val="00BF00D4"/>
    <w:rsid w:val="00BF2CEC"/>
    <w:rsid w:val="00BF3649"/>
    <w:rsid w:val="00BF39D9"/>
    <w:rsid w:val="00BF46C8"/>
    <w:rsid w:val="00BF47C2"/>
    <w:rsid w:val="00BF49AA"/>
    <w:rsid w:val="00BF676E"/>
    <w:rsid w:val="00BF7801"/>
    <w:rsid w:val="00BF7874"/>
    <w:rsid w:val="00BF7D39"/>
    <w:rsid w:val="00C002B2"/>
    <w:rsid w:val="00C002E0"/>
    <w:rsid w:val="00C0195B"/>
    <w:rsid w:val="00C03712"/>
    <w:rsid w:val="00C04111"/>
    <w:rsid w:val="00C0439D"/>
    <w:rsid w:val="00C0644E"/>
    <w:rsid w:val="00C103BC"/>
    <w:rsid w:val="00C104FD"/>
    <w:rsid w:val="00C11890"/>
    <w:rsid w:val="00C15A31"/>
    <w:rsid w:val="00C15CAF"/>
    <w:rsid w:val="00C175B0"/>
    <w:rsid w:val="00C178A0"/>
    <w:rsid w:val="00C22148"/>
    <w:rsid w:val="00C23006"/>
    <w:rsid w:val="00C23073"/>
    <w:rsid w:val="00C2328A"/>
    <w:rsid w:val="00C24347"/>
    <w:rsid w:val="00C2532B"/>
    <w:rsid w:val="00C26379"/>
    <w:rsid w:val="00C2651F"/>
    <w:rsid w:val="00C26C8C"/>
    <w:rsid w:val="00C26CE7"/>
    <w:rsid w:val="00C26F5A"/>
    <w:rsid w:val="00C317C6"/>
    <w:rsid w:val="00C320D2"/>
    <w:rsid w:val="00C330DF"/>
    <w:rsid w:val="00C3493F"/>
    <w:rsid w:val="00C34B6A"/>
    <w:rsid w:val="00C353FA"/>
    <w:rsid w:val="00C35522"/>
    <w:rsid w:val="00C40218"/>
    <w:rsid w:val="00C44E7E"/>
    <w:rsid w:val="00C47B80"/>
    <w:rsid w:val="00C5155F"/>
    <w:rsid w:val="00C52076"/>
    <w:rsid w:val="00C52AA3"/>
    <w:rsid w:val="00C53321"/>
    <w:rsid w:val="00C571B4"/>
    <w:rsid w:val="00C60E8C"/>
    <w:rsid w:val="00C66669"/>
    <w:rsid w:val="00C670F5"/>
    <w:rsid w:val="00C67C52"/>
    <w:rsid w:val="00C70181"/>
    <w:rsid w:val="00C71D74"/>
    <w:rsid w:val="00C724F1"/>
    <w:rsid w:val="00C7363E"/>
    <w:rsid w:val="00C75CBD"/>
    <w:rsid w:val="00C76410"/>
    <w:rsid w:val="00C76B92"/>
    <w:rsid w:val="00C80C4E"/>
    <w:rsid w:val="00C859E3"/>
    <w:rsid w:val="00C87442"/>
    <w:rsid w:val="00C916F2"/>
    <w:rsid w:val="00C93887"/>
    <w:rsid w:val="00C95439"/>
    <w:rsid w:val="00C962C0"/>
    <w:rsid w:val="00C976FF"/>
    <w:rsid w:val="00CA01C4"/>
    <w:rsid w:val="00CA10DB"/>
    <w:rsid w:val="00CA5BE5"/>
    <w:rsid w:val="00CA5C2A"/>
    <w:rsid w:val="00CA6040"/>
    <w:rsid w:val="00CB0837"/>
    <w:rsid w:val="00CB19F4"/>
    <w:rsid w:val="00CB1E2F"/>
    <w:rsid w:val="00CB1E89"/>
    <w:rsid w:val="00CB3213"/>
    <w:rsid w:val="00CB327B"/>
    <w:rsid w:val="00CB3BFA"/>
    <w:rsid w:val="00CB465C"/>
    <w:rsid w:val="00CB4F47"/>
    <w:rsid w:val="00CC05AF"/>
    <w:rsid w:val="00CC0FD2"/>
    <w:rsid w:val="00CC1991"/>
    <w:rsid w:val="00CC2717"/>
    <w:rsid w:val="00CC330B"/>
    <w:rsid w:val="00CC3BD0"/>
    <w:rsid w:val="00CC4627"/>
    <w:rsid w:val="00CC4D8C"/>
    <w:rsid w:val="00CC5550"/>
    <w:rsid w:val="00CC59B1"/>
    <w:rsid w:val="00CC79B0"/>
    <w:rsid w:val="00CD01FF"/>
    <w:rsid w:val="00CD033E"/>
    <w:rsid w:val="00CD176B"/>
    <w:rsid w:val="00CD190A"/>
    <w:rsid w:val="00CD3E03"/>
    <w:rsid w:val="00CD67DA"/>
    <w:rsid w:val="00CE2BDB"/>
    <w:rsid w:val="00CE5591"/>
    <w:rsid w:val="00CE644B"/>
    <w:rsid w:val="00CF1AA7"/>
    <w:rsid w:val="00CF3B6D"/>
    <w:rsid w:val="00CF5441"/>
    <w:rsid w:val="00CF59E8"/>
    <w:rsid w:val="00CF6035"/>
    <w:rsid w:val="00CF78AC"/>
    <w:rsid w:val="00CF7CEF"/>
    <w:rsid w:val="00D0000D"/>
    <w:rsid w:val="00D04036"/>
    <w:rsid w:val="00D0525C"/>
    <w:rsid w:val="00D05975"/>
    <w:rsid w:val="00D06A02"/>
    <w:rsid w:val="00D07043"/>
    <w:rsid w:val="00D117DF"/>
    <w:rsid w:val="00D12286"/>
    <w:rsid w:val="00D13BD1"/>
    <w:rsid w:val="00D15056"/>
    <w:rsid w:val="00D17066"/>
    <w:rsid w:val="00D17BDB"/>
    <w:rsid w:val="00D17D2E"/>
    <w:rsid w:val="00D21225"/>
    <w:rsid w:val="00D217FC"/>
    <w:rsid w:val="00D22B5C"/>
    <w:rsid w:val="00D245F6"/>
    <w:rsid w:val="00D2479A"/>
    <w:rsid w:val="00D24C0B"/>
    <w:rsid w:val="00D26677"/>
    <w:rsid w:val="00D27525"/>
    <w:rsid w:val="00D309B3"/>
    <w:rsid w:val="00D31FC3"/>
    <w:rsid w:val="00D320AD"/>
    <w:rsid w:val="00D3293D"/>
    <w:rsid w:val="00D32F4B"/>
    <w:rsid w:val="00D3335C"/>
    <w:rsid w:val="00D334F2"/>
    <w:rsid w:val="00D33A69"/>
    <w:rsid w:val="00D34C49"/>
    <w:rsid w:val="00D35354"/>
    <w:rsid w:val="00D35510"/>
    <w:rsid w:val="00D37B2F"/>
    <w:rsid w:val="00D434EA"/>
    <w:rsid w:val="00D45384"/>
    <w:rsid w:val="00D5055D"/>
    <w:rsid w:val="00D51240"/>
    <w:rsid w:val="00D51B97"/>
    <w:rsid w:val="00D570E0"/>
    <w:rsid w:val="00D57DDB"/>
    <w:rsid w:val="00D603C1"/>
    <w:rsid w:val="00D64605"/>
    <w:rsid w:val="00D64B90"/>
    <w:rsid w:val="00D7298A"/>
    <w:rsid w:val="00D74BAD"/>
    <w:rsid w:val="00D75398"/>
    <w:rsid w:val="00D75EBE"/>
    <w:rsid w:val="00D76631"/>
    <w:rsid w:val="00D77993"/>
    <w:rsid w:val="00D812D3"/>
    <w:rsid w:val="00D82F69"/>
    <w:rsid w:val="00D83A6C"/>
    <w:rsid w:val="00D86A8B"/>
    <w:rsid w:val="00D874CF"/>
    <w:rsid w:val="00D9072F"/>
    <w:rsid w:val="00D921E2"/>
    <w:rsid w:val="00D9293C"/>
    <w:rsid w:val="00D936FC"/>
    <w:rsid w:val="00D95E2B"/>
    <w:rsid w:val="00D96646"/>
    <w:rsid w:val="00D97A25"/>
    <w:rsid w:val="00D97B83"/>
    <w:rsid w:val="00D97F16"/>
    <w:rsid w:val="00DA08C9"/>
    <w:rsid w:val="00DA2810"/>
    <w:rsid w:val="00DA2959"/>
    <w:rsid w:val="00DA324B"/>
    <w:rsid w:val="00DA43D1"/>
    <w:rsid w:val="00DA7A2B"/>
    <w:rsid w:val="00DB0884"/>
    <w:rsid w:val="00DB0DEA"/>
    <w:rsid w:val="00DB10A0"/>
    <w:rsid w:val="00DB1C2D"/>
    <w:rsid w:val="00DB3617"/>
    <w:rsid w:val="00DB5A53"/>
    <w:rsid w:val="00DB627E"/>
    <w:rsid w:val="00DB6357"/>
    <w:rsid w:val="00DC0547"/>
    <w:rsid w:val="00DC082D"/>
    <w:rsid w:val="00DC2CC8"/>
    <w:rsid w:val="00DC30C9"/>
    <w:rsid w:val="00DC34EE"/>
    <w:rsid w:val="00DC45FF"/>
    <w:rsid w:val="00DC4FB7"/>
    <w:rsid w:val="00DC6515"/>
    <w:rsid w:val="00DC6BE4"/>
    <w:rsid w:val="00DD02EE"/>
    <w:rsid w:val="00DD07D1"/>
    <w:rsid w:val="00DD08F0"/>
    <w:rsid w:val="00DD09AF"/>
    <w:rsid w:val="00DD2120"/>
    <w:rsid w:val="00DD2569"/>
    <w:rsid w:val="00DD3721"/>
    <w:rsid w:val="00DE17D6"/>
    <w:rsid w:val="00DE1E24"/>
    <w:rsid w:val="00DE6B03"/>
    <w:rsid w:val="00DE716A"/>
    <w:rsid w:val="00DE7AE1"/>
    <w:rsid w:val="00DF01B1"/>
    <w:rsid w:val="00DF41AA"/>
    <w:rsid w:val="00DF6AC1"/>
    <w:rsid w:val="00DF7AB3"/>
    <w:rsid w:val="00DF7ADA"/>
    <w:rsid w:val="00DF7B69"/>
    <w:rsid w:val="00E01013"/>
    <w:rsid w:val="00E010EF"/>
    <w:rsid w:val="00E02E91"/>
    <w:rsid w:val="00E0463F"/>
    <w:rsid w:val="00E06D92"/>
    <w:rsid w:val="00E1226A"/>
    <w:rsid w:val="00E14BDE"/>
    <w:rsid w:val="00E15799"/>
    <w:rsid w:val="00E20BA5"/>
    <w:rsid w:val="00E21A29"/>
    <w:rsid w:val="00E22D03"/>
    <w:rsid w:val="00E23EF1"/>
    <w:rsid w:val="00E258DA"/>
    <w:rsid w:val="00E25D88"/>
    <w:rsid w:val="00E27C27"/>
    <w:rsid w:val="00E33183"/>
    <w:rsid w:val="00E338BC"/>
    <w:rsid w:val="00E340B1"/>
    <w:rsid w:val="00E35A5E"/>
    <w:rsid w:val="00E4183F"/>
    <w:rsid w:val="00E423D5"/>
    <w:rsid w:val="00E42D02"/>
    <w:rsid w:val="00E43FF3"/>
    <w:rsid w:val="00E45DFB"/>
    <w:rsid w:val="00E471B0"/>
    <w:rsid w:val="00E47E2C"/>
    <w:rsid w:val="00E50EA7"/>
    <w:rsid w:val="00E51907"/>
    <w:rsid w:val="00E52189"/>
    <w:rsid w:val="00E521E2"/>
    <w:rsid w:val="00E52A22"/>
    <w:rsid w:val="00E54806"/>
    <w:rsid w:val="00E548DD"/>
    <w:rsid w:val="00E568BD"/>
    <w:rsid w:val="00E57473"/>
    <w:rsid w:val="00E57D2F"/>
    <w:rsid w:val="00E6071F"/>
    <w:rsid w:val="00E60CF1"/>
    <w:rsid w:val="00E62AED"/>
    <w:rsid w:val="00E62D73"/>
    <w:rsid w:val="00E62DAC"/>
    <w:rsid w:val="00E64AA5"/>
    <w:rsid w:val="00E66ED5"/>
    <w:rsid w:val="00E71A7D"/>
    <w:rsid w:val="00E7207C"/>
    <w:rsid w:val="00E7723D"/>
    <w:rsid w:val="00E77F57"/>
    <w:rsid w:val="00E819E1"/>
    <w:rsid w:val="00E82926"/>
    <w:rsid w:val="00E82E16"/>
    <w:rsid w:val="00E8308C"/>
    <w:rsid w:val="00E83645"/>
    <w:rsid w:val="00E86D63"/>
    <w:rsid w:val="00E8788A"/>
    <w:rsid w:val="00E87A8B"/>
    <w:rsid w:val="00E90F56"/>
    <w:rsid w:val="00E912ED"/>
    <w:rsid w:val="00E92315"/>
    <w:rsid w:val="00E931A5"/>
    <w:rsid w:val="00E9441D"/>
    <w:rsid w:val="00E95BE9"/>
    <w:rsid w:val="00E96ED2"/>
    <w:rsid w:val="00E97882"/>
    <w:rsid w:val="00EA0145"/>
    <w:rsid w:val="00EA1F60"/>
    <w:rsid w:val="00EA2F97"/>
    <w:rsid w:val="00EA3EEF"/>
    <w:rsid w:val="00EA431E"/>
    <w:rsid w:val="00EA4EE1"/>
    <w:rsid w:val="00EA61C8"/>
    <w:rsid w:val="00EB1DBD"/>
    <w:rsid w:val="00EB3916"/>
    <w:rsid w:val="00EB4EBA"/>
    <w:rsid w:val="00EB70AF"/>
    <w:rsid w:val="00EB7E30"/>
    <w:rsid w:val="00EC03D0"/>
    <w:rsid w:val="00EC0C7C"/>
    <w:rsid w:val="00EC13C9"/>
    <w:rsid w:val="00EC6804"/>
    <w:rsid w:val="00EC7839"/>
    <w:rsid w:val="00EC7D09"/>
    <w:rsid w:val="00ED0758"/>
    <w:rsid w:val="00ED0825"/>
    <w:rsid w:val="00ED28F7"/>
    <w:rsid w:val="00ED4476"/>
    <w:rsid w:val="00ED4A66"/>
    <w:rsid w:val="00ED5ECC"/>
    <w:rsid w:val="00EE1071"/>
    <w:rsid w:val="00EE1186"/>
    <w:rsid w:val="00EE2C3E"/>
    <w:rsid w:val="00EE2E1D"/>
    <w:rsid w:val="00EE2F3F"/>
    <w:rsid w:val="00EE3891"/>
    <w:rsid w:val="00EE6492"/>
    <w:rsid w:val="00EE6E36"/>
    <w:rsid w:val="00EE73A3"/>
    <w:rsid w:val="00EE770F"/>
    <w:rsid w:val="00EE7EC4"/>
    <w:rsid w:val="00EF0546"/>
    <w:rsid w:val="00EF15B3"/>
    <w:rsid w:val="00EF3CFA"/>
    <w:rsid w:val="00EF42D0"/>
    <w:rsid w:val="00EF53CA"/>
    <w:rsid w:val="00EF79D6"/>
    <w:rsid w:val="00F04504"/>
    <w:rsid w:val="00F060EA"/>
    <w:rsid w:val="00F06B9C"/>
    <w:rsid w:val="00F06CE2"/>
    <w:rsid w:val="00F10404"/>
    <w:rsid w:val="00F104CA"/>
    <w:rsid w:val="00F121E4"/>
    <w:rsid w:val="00F13899"/>
    <w:rsid w:val="00F149E3"/>
    <w:rsid w:val="00F1519F"/>
    <w:rsid w:val="00F1722B"/>
    <w:rsid w:val="00F20083"/>
    <w:rsid w:val="00F2258D"/>
    <w:rsid w:val="00F23D29"/>
    <w:rsid w:val="00F24356"/>
    <w:rsid w:val="00F2476D"/>
    <w:rsid w:val="00F24FF4"/>
    <w:rsid w:val="00F253DD"/>
    <w:rsid w:val="00F265ED"/>
    <w:rsid w:val="00F271B6"/>
    <w:rsid w:val="00F2735D"/>
    <w:rsid w:val="00F27AB8"/>
    <w:rsid w:val="00F323B2"/>
    <w:rsid w:val="00F33152"/>
    <w:rsid w:val="00F340FE"/>
    <w:rsid w:val="00F35163"/>
    <w:rsid w:val="00F36479"/>
    <w:rsid w:val="00F3670D"/>
    <w:rsid w:val="00F37019"/>
    <w:rsid w:val="00F40EF6"/>
    <w:rsid w:val="00F41776"/>
    <w:rsid w:val="00F4220F"/>
    <w:rsid w:val="00F455D2"/>
    <w:rsid w:val="00F467D6"/>
    <w:rsid w:val="00F46D94"/>
    <w:rsid w:val="00F47B46"/>
    <w:rsid w:val="00F526FD"/>
    <w:rsid w:val="00F5459C"/>
    <w:rsid w:val="00F6028A"/>
    <w:rsid w:val="00F6194D"/>
    <w:rsid w:val="00F62385"/>
    <w:rsid w:val="00F62AEA"/>
    <w:rsid w:val="00F64282"/>
    <w:rsid w:val="00F64448"/>
    <w:rsid w:val="00F649FA"/>
    <w:rsid w:val="00F65405"/>
    <w:rsid w:val="00F6663E"/>
    <w:rsid w:val="00F66DCE"/>
    <w:rsid w:val="00F701A7"/>
    <w:rsid w:val="00F72F8D"/>
    <w:rsid w:val="00F7327A"/>
    <w:rsid w:val="00F76FB7"/>
    <w:rsid w:val="00F77CA9"/>
    <w:rsid w:val="00F805EA"/>
    <w:rsid w:val="00F81869"/>
    <w:rsid w:val="00F81DAF"/>
    <w:rsid w:val="00F83AB2"/>
    <w:rsid w:val="00F85E84"/>
    <w:rsid w:val="00F9131B"/>
    <w:rsid w:val="00F91D4F"/>
    <w:rsid w:val="00F934CB"/>
    <w:rsid w:val="00F93D42"/>
    <w:rsid w:val="00F93FA5"/>
    <w:rsid w:val="00F942FE"/>
    <w:rsid w:val="00F94B0A"/>
    <w:rsid w:val="00F95908"/>
    <w:rsid w:val="00F97FB1"/>
    <w:rsid w:val="00FA058A"/>
    <w:rsid w:val="00FA0CF2"/>
    <w:rsid w:val="00FA0E91"/>
    <w:rsid w:val="00FA351F"/>
    <w:rsid w:val="00FA3ABD"/>
    <w:rsid w:val="00FA40C7"/>
    <w:rsid w:val="00FA680A"/>
    <w:rsid w:val="00FB0A60"/>
    <w:rsid w:val="00FB32F9"/>
    <w:rsid w:val="00FB469D"/>
    <w:rsid w:val="00FB4CBA"/>
    <w:rsid w:val="00FC0F3C"/>
    <w:rsid w:val="00FC19F7"/>
    <w:rsid w:val="00FC1E2E"/>
    <w:rsid w:val="00FC29D6"/>
    <w:rsid w:val="00FC54BD"/>
    <w:rsid w:val="00FC551F"/>
    <w:rsid w:val="00FC6C50"/>
    <w:rsid w:val="00FC7715"/>
    <w:rsid w:val="00FC7937"/>
    <w:rsid w:val="00FC7E63"/>
    <w:rsid w:val="00FD08BC"/>
    <w:rsid w:val="00FD0DBD"/>
    <w:rsid w:val="00FD2D29"/>
    <w:rsid w:val="00FD3C9F"/>
    <w:rsid w:val="00FD6314"/>
    <w:rsid w:val="00FD67BE"/>
    <w:rsid w:val="00FE0DDB"/>
    <w:rsid w:val="00FE3ECA"/>
    <w:rsid w:val="00FE4FED"/>
    <w:rsid w:val="00FE64F8"/>
    <w:rsid w:val="00FE72F6"/>
    <w:rsid w:val="00FE7615"/>
    <w:rsid w:val="00FE7A45"/>
    <w:rsid w:val="00FE7E4B"/>
    <w:rsid w:val="00FF0762"/>
    <w:rsid w:val="00FF20CD"/>
    <w:rsid w:val="00FF2B29"/>
    <w:rsid w:val="00FF32AF"/>
    <w:rsid w:val="00FF4667"/>
    <w:rsid w:val="00FF544F"/>
    <w:rsid w:val="00FF61B2"/>
    <w:rsid w:val="00FF651A"/>
    <w:rsid w:val="00FF6757"/>
    <w:rsid w:val="00FF6C0D"/>
    <w:rsid w:val="00FF6F3B"/>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FF85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7F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rsid w:val="00EE6E36"/>
    <w:pPr>
      <w:spacing w:after="0" w:line="240" w:lineRule="auto"/>
      <w:ind w:left="720"/>
    </w:pPr>
    <w:rPr>
      <w:rFonts w:ascii="Calibri" w:hAnsi="Calibri" w:cs="Calibri"/>
    </w:rPr>
  </w:style>
  <w:style w:type="paragraph" w:styleId="Header">
    <w:name w:val="header"/>
    <w:basedOn w:val="Normal"/>
    <w:link w:val="HeaderChar"/>
    <w:uiPriority w:val="99"/>
    <w:unhideWhenUsed/>
    <w:rsid w:val="00855D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5D00"/>
  </w:style>
  <w:style w:type="paragraph" w:styleId="Footer">
    <w:name w:val="footer"/>
    <w:basedOn w:val="Normal"/>
    <w:link w:val="FooterChar"/>
    <w:uiPriority w:val="99"/>
    <w:unhideWhenUsed/>
    <w:rsid w:val="00855D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5D00"/>
  </w:style>
  <w:style w:type="paragraph" w:styleId="Revision">
    <w:name w:val="Revision"/>
    <w:hidden/>
    <w:uiPriority w:val="99"/>
    <w:semiHidden/>
    <w:rsid w:val="00936D1A"/>
    <w:pPr>
      <w:spacing w:after="0" w:line="240" w:lineRule="auto"/>
    </w:pPr>
  </w:style>
  <w:style w:type="character" w:styleId="CommentReference">
    <w:name w:val="annotation reference"/>
    <w:basedOn w:val="DefaultParagraphFont"/>
    <w:uiPriority w:val="99"/>
    <w:semiHidden/>
    <w:unhideWhenUsed/>
    <w:rsid w:val="001E3E13"/>
    <w:rPr>
      <w:sz w:val="16"/>
      <w:szCs w:val="16"/>
    </w:rPr>
  </w:style>
  <w:style w:type="paragraph" w:styleId="CommentText">
    <w:name w:val="annotation text"/>
    <w:basedOn w:val="Normal"/>
    <w:link w:val="CommentTextChar"/>
    <w:uiPriority w:val="99"/>
    <w:unhideWhenUsed/>
    <w:rsid w:val="001E3E13"/>
    <w:pPr>
      <w:spacing w:line="240" w:lineRule="auto"/>
    </w:pPr>
    <w:rPr>
      <w:sz w:val="20"/>
      <w:szCs w:val="20"/>
    </w:rPr>
  </w:style>
  <w:style w:type="character" w:customStyle="1" w:styleId="CommentTextChar">
    <w:name w:val="Comment Text Char"/>
    <w:basedOn w:val="DefaultParagraphFont"/>
    <w:link w:val="CommentText"/>
    <w:uiPriority w:val="99"/>
    <w:rsid w:val="001E3E13"/>
    <w:rPr>
      <w:sz w:val="20"/>
      <w:szCs w:val="20"/>
    </w:rPr>
  </w:style>
  <w:style w:type="paragraph" w:styleId="CommentSubject">
    <w:name w:val="annotation subject"/>
    <w:basedOn w:val="CommentText"/>
    <w:next w:val="CommentText"/>
    <w:link w:val="CommentSubjectChar"/>
    <w:uiPriority w:val="99"/>
    <w:semiHidden/>
    <w:unhideWhenUsed/>
    <w:rsid w:val="001E3E13"/>
    <w:rPr>
      <w:b/>
      <w:bCs/>
    </w:rPr>
  </w:style>
  <w:style w:type="character" w:customStyle="1" w:styleId="CommentSubjectChar">
    <w:name w:val="Comment Subject Char"/>
    <w:basedOn w:val="CommentTextChar"/>
    <w:link w:val="CommentSubject"/>
    <w:uiPriority w:val="99"/>
    <w:semiHidden/>
    <w:rsid w:val="001E3E13"/>
    <w:rPr>
      <w:b/>
      <w:bCs/>
      <w:sz w:val="20"/>
      <w:szCs w:val="20"/>
    </w:rPr>
  </w:style>
  <w:style w:type="character" w:customStyle="1" w:styleId="Mention1">
    <w:name w:val="Mention1"/>
    <w:basedOn w:val="DefaultParagraphFont"/>
    <w:uiPriority w:val="99"/>
    <w:unhideWhenUsed/>
    <w:rsid w:val="00A3716D"/>
    <w:rPr>
      <w:color w:val="2B579A"/>
      <w:shd w:val="clear" w:color="auto" w:fill="E1DFDD"/>
    </w:rPr>
  </w:style>
  <w:style w:type="paragraph" w:styleId="BalloonText">
    <w:name w:val="Balloon Text"/>
    <w:basedOn w:val="Normal"/>
    <w:link w:val="BalloonTextChar"/>
    <w:uiPriority w:val="99"/>
    <w:semiHidden/>
    <w:unhideWhenUsed/>
    <w:rsid w:val="00B627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27F7"/>
    <w:rPr>
      <w:rFonts w:ascii="Segoe UI" w:hAnsi="Segoe UI" w:cs="Segoe UI"/>
      <w:sz w:val="18"/>
      <w:szCs w:val="18"/>
    </w:rPr>
  </w:style>
  <w:style w:type="paragraph" w:styleId="FootnoteText">
    <w:name w:val="footnote text"/>
    <w:basedOn w:val="Normal"/>
    <w:link w:val="FootnoteTextChar"/>
    <w:uiPriority w:val="99"/>
    <w:unhideWhenUsed/>
    <w:rsid w:val="00710EA9"/>
    <w:pPr>
      <w:spacing w:after="0" w:line="240" w:lineRule="auto"/>
    </w:pPr>
    <w:rPr>
      <w:sz w:val="20"/>
      <w:szCs w:val="20"/>
    </w:rPr>
  </w:style>
  <w:style w:type="character" w:customStyle="1" w:styleId="FootnoteTextChar">
    <w:name w:val="Footnote Text Char"/>
    <w:basedOn w:val="DefaultParagraphFont"/>
    <w:link w:val="FootnoteText"/>
    <w:uiPriority w:val="99"/>
    <w:rsid w:val="00710EA9"/>
    <w:rPr>
      <w:sz w:val="20"/>
      <w:szCs w:val="20"/>
    </w:rPr>
  </w:style>
  <w:style w:type="character" w:styleId="FootnoteReference">
    <w:name w:val="footnote reference"/>
    <w:basedOn w:val="DefaultParagraphFont"/>
    <w:uiPriority w:val="99"/>
    <w:semiHidden/>
    <w:unhideWhenUsed/>
    <w:rsid w:val="00710EA9"/>
    <w:rPr>
      <w:vertAlign w:val="superscript"/>
    </w:rPr>
  </w:style>
  <w:style w:type="character" w:customStyle="1" w:styleId="markedcontent">
    <w:name w:val="markedcontent"/>
    <w:basedOn w:val="DefaultParagraphFont"/>
    <w:rsid w:val="00763BB5"/>
  </w:style>
  <w:style w:type="table" w:styleId="TableGrid">
    <w:name w:val="Table Grid"/>
    <w:basedOn w:val="TableNormal"/>
    <w:uiPriority w:val="59"/>
    <w:rsid w:val="00447D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basedOn w:val="DefaultParagraphFont"/>
    <w:link w:val="ListParagraph"/>
    <w:uiPriority w:val="34"/>
    <w:qFormat/>
    <w:rsid w:val="00451E53"/>
    <w:rPr>
      <w:rFonts w:ascii="Calibri" w:hAnsi="Calibri" w:cs="Calibri"/>
    </w:rPr>
  </w:style>
  <w:style w:type="character" w:styleId="Hyperlink">
    <w:name w:val="Hyperlink"/>
    <w:basedOn w:val="DefaultParagraphFont"/>
    <w:uiPriority w:val="99"/>
    <w:unhideWhenUsed/>
    <w:rsid w:val="00451E53"/>
    <w:rPr>
      <w:color w:val="0000FF"/>
      <w:u w:val="single"/>
    </w:rPr>
  </w:style>
  <w:style w:type="character" w:customStyle="1" w:styleId="Marker">
    <w:name w:val="Marker"/>
    <w:basedOn w:val="DefaultParagraphFont"/>
    <w:rsid w:val="00451E53"/>
    <w:rPr>
      <w:color w:val="0000FF"/>
      <w:shd w:val="clear" w:color="auto" w:fill="auto"/>
    </w:rPr>
  </w:style>
  <w:style w:type="character" w:customStyle="1" w:styleId="UnresolvedMention1">
    <w:name w:val="Unresolved Mention1"/>
    <w:basedOn w:val="DefaultParagraphFont"/>
    <w:uiPriority w:val="99"/>
    <w:semiHidden/>
    <w:unhideWhenUsed/>
    <w:rsid w:val="003A248D"/>
    <w:rPr>
      <w:color w:val="605E5C"/>
      <w:shd w:val="clear" w:color="auto" w:fill="E1DFDD"/>
    </w:rPr>
  </w:style>
  <w:style w:type="paragraph" w:customStyle="1" w:styleId="Pagedecouverture">
    <w:name w:val="Page de couverture"/>
    <w:basedOn w:val="Normal"/>
    <w:next w:val="Normal"/>
    <w:rsid w:val="00F33152"/>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F33152"/>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ListParagraphChar"/>
    <w:link w:val="FooterCoverPage"/>
    <w:rsid w:val="00F33152"/>
    <w:rPr>
      <w:rFonts w:ascii="Times New Roman" w:hAnsi="Times New Roman" w:cs="Times New Roman"/>
      <w:sz w:val="24"/>
    </w:rPr>
  </w:style>
  <w:style w:type="paragraph" w:customStyle="1" w:styleId="FooterSensitivity">
    <w:name w:val="Footer Sensitivity"/>
    <w:basedOn w:val="Normal"/>
    <w:link w:val="FooterSensitivityChar"/>
    <w:rsid w:val="00F33152"/>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ListParagraphChar"/>
    <w:link w:val="FooterSensitivity"/>
    <w:rsid w:val="00F33152"/>
    <w:rPr>
      <w:rFonts w:ascii="Times New Roman" w:hAnsi="Times New Roman" w:cs="Times New Roman"/>
      <w:b/>
      <w:sz w:val="32"/>
    </w:rPr>
  </w:style>
  <w:style w:type="paragraph" w:customStyle="1" w:styleId="HeaderCoverPage">
    <w:name w:val="Header Cover Page"/>
    <w:basedOn w:val="Normal"/>
    <w:link w:val="HeaderCoverPageChar"/>
    <w:rsid w:val="00F33152"/>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ListParagraphChar"/>
    <w:link w:val="HeaderCoverPage"/>
    <w:rsid w:val="00F33152"/>
    <w:rPr>
      <w:rFonts w:ascii="Times New Roman" w:hAnsi="Times New Roman" w:cs="Times New Roman"/>
      <w:sz w:val="24"/>
    </w:rPr>
  </w:style>
  <w:style w:type="paragraph" w:customStyle="1" w:styleId="HeaderSensitivity">
    <w:name w:val="Header Sensitivity"/>
    <w:basedOn w:val="Normal"/>
    <w:link w:val="HeaderSensitivityChar"/>
    <w:rsid w:val="00F33152"/>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ListParagraphChar"/>
    <w:link w:val="HeaderSensitivity"/>
    <w:rsid w:val="00F33152"/>
    <w:rPr>
      <w:rFonts w:ascii="Times New Roman" w:hAnsi="Times New Roman" w:cs="Times New Roman"/>
      <w:b/>
      <w:sz w:val="32"/>
    </w:rPr>
  </w:style>
  <w:style w:type="paragraph" w:customStyle="1" w:styleId="HeaderSensitivityRight">
    <w:name w:val="Header Sensitivity Right"/>
    <w:basedOn w:val="Normal"/>
    <w:link w:val="HeaderSensitivityRightChar"/>
    <w:rsid w:val="00F33152"/>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ListParagraphChar"/>
    <w:link w:val="HeaderSensitivityRight"/>
    <w:rsid w:val="00F33152"/>
    <w:rPr>
      <w:rFonts w:ascii="Times New Roman" w:hAnsi="Times New Roman" w:cs="Times New Roman"/>
      <w:sz w:val="28"/>
    </w:rPr>
  </w:style>
  <w:style w:type="paragraph" w:styleId="EndnoteText">
    <w:name w:val="endnote text"/>
    <w:basedOn w:val="Normal"/>
    <w:link w:val="EndnoteTextChar"/>
    <w:uiPriority w:val="99"/>
    <w:semiHidden/>
    <w:unhideWhenUsed/>
    <w:rsid w:val="006C2EB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C2EB1"/>
    <w:rPr>
      <w:sz w:val="20"/>
      <w:szCs w:val="20"/>
    </w:rPr>
  </w:style>
  <w:style w:type="character" w:styleId="EndnoteReference">
    <w:name w:val="endnote reference"/>
    <w:basedOn w:val="DefaultParagraphFont"/>
    <w:uiPriority w:val="99"/>
    <w:semiHidden/>
    <w:unhideWhenUsed/>
    <w:rsid w:val="006C2E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593194">
      <w:bodyDiv w:val="1"/>
      <w:marLeft w:val="0"/>
      <w:marRight w:val="0"/>
      <w:marTop w:val="0"/>
      <w:marBottom w:val="0"/>
      <w:divBdr>
        <w:top w:val="none" w:sz="0" w:space="0" w:color="auto"/>
        <w:left w:val="none" w:sz="0" w:space="0" w:color="auto"/>
        <w:bottom w:val="none" w:sz="0" w:space="0" w:color="auto"/>
        <w:right w:val="none" w:sz="0" w:space="0" w:color="auto"/>
      </w:divBdr>
    </w:div>
    <w:div w:id="198250952">
      <w:bodyDiv w:val="1"/>
      <w:marLeft w:val="0"/>
      <w:marRight w:val="0"/>
      <w:marTop w:val="0"/>
      <w:marBottom w:val="0"/>
      <w:divBdr>
        <w:top w:val="none" w:sz="0" w:space="0" w:color="auto"/>
        <w:left w:val="none" w:sz="0" w:space="0" w:color="auto"/>
        <w:bottom w:val="none" w:sz="0" w:space="0" w:color="auto"/>
        <w:right w:val="none" w:sz="0" w:space="0" w:color="auto"/>
      </w:divBdr>
    </w:div>
    <w:div w:id="274408819">
      <w:bodyDiv w:val="1"/>
      <w:marLeft w:val="0"/>
      <w:marRight w:val="0"/>
      <w:marTop w:val="0"/>
      <w:marBottom w:val="0"/>
      <w:divBdr>
        <w:top w:val="none" w:sz="0" w:space="0" w:color="auto"/>
        <w:left w:val="none" w:sz="0" w:space="0" w:color="auto"/>
        <w:bottom w:val="none" w:sz="0" w:space="0" w:color="auto"/>
        <w:right w:val="none" w:sz="0" w:space="0" w:color="auto"/>
      </w:divBdr>
    </w:div>
    <w:div w:id="389889373">
      <w:bodyDiv w:val="1"/>
      <w:marLeft w:val="0"/>
      <w:marRight w:val="0"/>
      <w:marTop w:val="0"/>
      <w:marBottom w:val="0"/>
      <w:divBdr>
        <w:top w:val="none" w:sz="0" w:space="0" w:color="auto"/>
        <w:left w:val="none" w:sz="0" w:space="0" w:color="auto"/>
        <w:bottom w:val="none" w:sz="0" w:space="0" w:color="auto"/>
        <w:right w:val="none" w:sz="0" w:space="0" w:color="auto"/>
      </w:divBdr>
    </w:div>
    <w:div w:id="496501012">
      <w:bodyDiv w:val="1"/>
      <w:marLeft w:val="0"/>
      <w:marRight w:val="0"/>
      <w:marTop w:val="0"/>
      <w:marBottom w:val="0"/>
      <w:divBdr>
        <w:top w:val="none" w:sz="0" w:space="0" w:color="auto"/>
        <w:left w:val="none" w:sz="0" w:space="0" w:color="auto"/>
        <w:bottom w:val="none" w:sz="0" w:space="0" w:color="auto"/>
        <w:right w:val="none" w:sz="0" w:space="0" w:color="auto"/>
      </w:divBdr>
    </w:div>
    <w:div w:id="517542687">
      <w:bodyDiv w:val="1"/>
      <w:marLeft w:val="0"/>
      <w:marRight w:val="0"/>
      <w:marTop w:val="0"/>
      <w:marBottom w:val="0"/>
      <w:divBdr>
        <w:top w:val="none" w:sz="0" w:space="0" w:color="auto"/>
        <w:left w:val="none" w:sz="0" w:space="0" w:color="auto"/>
        <w:bottom w:val="none" w:sz="0" w:space="0" w:color="auto"/>
        <w:right w:val="none" w:sz="0" w:space="0" w:color="auto"/>
      </w:divBdr>
    </w:div>
    <w:div w:id="680011322">
      <w:bodyDiv w:val="1"/>
      <w:marLeft w:val="0"/>
      <w:marRight w:val="0"/>
      <w:marTop w:val="0"/>
      <w:marBottom w:val="0"/>
      <w:divBdr>
        <w:top w:val="none" w:sz="0" w:space="0" w:color="auto"/>
        <w:left w:val="none" w:sz="0" w:space="0" w:color="auto"/>
        <w:bottom w:val="none" w:sz="0" w:space="0" w:color="auto"/>
        <w:right w:val="none" w:sz="0" w:space="0" w:color="auto"/>
      </w:divBdr>
    </w:div>
    <w:div w:id="709648209">
      <w:bodyDiv w:val="1"/>
      <w:marLeft w:val="0"/>
      <w:marRight w:val="0"/>
      <w:marTop w:val="0"/>
      <w:marBottom w:val="0"/>
      <w:divBdr>
        <w:top w:val="none" w:sz="0" w:space="0" w:color="auto"/>
        <w:left w:val="none" w:sz="0" w:space="0" w:color="auto"/>
        <w:bottom w:val="none" w:sz="0" w:space="0" w:color="auto"/>
        <w:right w:val="none" w:sz="0" w:space="0" w:color="auto"/>
      </w:divBdr>
    </w:div>
    <w:div w:id="966397651">
      <w:bodyDiv w:val="1"/>
      <w:marLeft w:val="0"/>
      <w:marRight w:val="0"/>
      <w:marTop w:val="0"/>
      <w:marBottom w:val="0"/>
      <w:divBdr>
        <w:top w:val="none" w:sz="0" w:space="0" w:color="auto"/>
        <w:left w:val="none" w:sz="0" w:space="0" w:color="auto"/>
        <w:bottom w:val="none" w:sz="0" w:space="0" w:color="auto"/>
        <w:right w:val="none" w:sz="0" w:space="0" w:color="auto"/>
      </w:divBdr>
    </w:div>
    <w:div w:id="968559027">
      <w:bodyDiv w:val="1"/>
      <w:marLeft w:val="0"/>
      <w:marRight w:val="0"/>
      <w:marTop w:val="0"/>
      <w:marBottom w:val="0"/>
      <w:divBdr>
        <w:top w:val="none" w:sz="0" w:space="0" w:color="auto"/>
        <w:left w:val="none" w:sz="0" w:space="0" w:color="auto"/>
        <w:bottom w:val="none" w:sz="0" w:space="0" w:color="auto"/>
        <w:right w:val="none" w:sz="0" w:space="0" w:color="auto"/>
      </w:divBdr>
    </w:div>
    <w:div w:id="1147673332">
      <w:bodyDiv w:val="1"/>
      <w:marLeft w:val="0"/>
      <w:marRight w:val="0"/>
      <w:marTop w:val="0"/>
      <w:marBottom w:val="0"/>
      <w:divBdr>
        <w:top w:val="none" w:sz="0" w:space="0" w:color="auto"/>
        <w:left w:val="none" w:sz="0" w:space="0" w:color="auto"/>
        <w:bottom w:val="none" w:sz="0" w:space="0" w:color="auto"/>
        <w:right w:val="none" w:sz="0" w:space="0" w:color="auto"/>
      </w:divBdr>
    </w:div>
    <w:div w:id="1199244947">
      <w:bodyDiv w:val="1"/>
      <w:marLeft w:val="0"/>
      <w:marRight w:val="0"/>
      <w:marTop w:val="0"/>
      <w:marBottom w:val="0"/>
      <w:divBdr>
        <w:top w:val="none" w:sz="0" w:space="0" w:color="auto"/>
        <w:left w:val="none" w:sz="0" w:space="0" w:color="auto"/>
        <w:bottom w:val="none" w:sz="0" w:space="0" w:color="auto"/>
        <w:right w:val="none" w:sz="0" w:space="0" w:color="auto"/>
      </w:divBdr>
    </w:div>
    <w:div w:id="1267151483">
      <w:bodyDiv w:val="1"/>
      <w:marLeft w:val="0"/>
      <w:marRight w:val="0"/>
      <w:marTop w:val="0"/>
      <w:marBottom w:val="0"/>
      <w:divBdr>
        <w:top w:val="none" w:sz="0" w:space="0" w:color="auto"/>
        <w:left w:val="none" w:sz="0" w:space="0" w:color="auto"/>
        <w:bottom w:val="none" w:sz="0" w:space="0" w:color="auto"/>
        <w:right w:val="none" w:sz="0" w:space="0" w:color="auto"/>
      </w:divBdr>
    </w:div>
    <w:div w:id="1453788554">
      <w:bodyDiv w:val="1"/>
      <w:marLeft w:val="0"/>
      <w:marRight w:val="0"/>
      <w:marTop w:val="0"/>
      <w:marBottom w:val="0"/>
      <w:divBdr>
        <w:top w:val="none" w:sz="0" w:space="0" w:color="auto"/>
        <w:left w:val="none" w:sz="0" w:space="0" w:color="auto"/>
        <w:bottom w:val="none" w:sz="0" w:space="0" w:color="auto"/>
        <w:right w:val="none" w:sz="0" w:space="0" w:color="auto"/>
      </w:divBdr>
    </w:div>
    <w:div w:id="1531331883">
      <w:bodyDiv w:val="1"/>
      <w:marLeft w:val="0"/>
      <w:marRight w:val="0"/>
      <w:marTop w:val="0"/>
      <w:marBottom w:val="0"/>
      <w:divBdr>
        <w:top w:val="none" w:sz="0" w:space="0" w:color="auto"/>
        <w:left w:val="none" w:sz="0" w:space="0" w:color="auto"/>
        <w:bottom w:val="none" w:sz="0" w:space="0" w:color="auto"/>
        <w:right w:val="none" w:sz="0" w:space="0" w:color="auto"/>
      </w:divBdr>
    </w:div>
    <w:div w:id="1575238500">
      <w:bodyDiv w:val="1"/>
      <w:marLeft w:val="0"/>
      <w:marRight w:val="0"/>
      <w:marTop w:val="0"/>
      <w:marBottom w:val="0"/>
      <w:divBdr>
        <w:top w:val="none" w:sz="0" w:space="0" w:color="auto"/>
        <w:left w:val="none" w:sz="0" w:space="0" w:color="auto"/>
        <w:bottom w:val="none" w:sz="0" w:space="0" w:color="auto"/>
        <w:right w:val="none" w:sz="0" w:space="0" w:color="auto"/>
      </w:divBdr>
    </w:div>
    <w:div w:id="1650666547">
      <w:bodyDiv w:val="1"/>
      <w:marLeft w:val="0"/>
      <w:marRight w:val="0"/>
      <w:marTop w:val="0"/>
      <w:marBottom w:val="0"/>
      <w:divBdr>
        <w:top w:val="none" w:sz="0" w:space="0" w:color="auto"/>
        <w:left w:val="none" w:sz="0" w:space="0" w:color="auto"/>
        <w:bottom w:val="none" w:sz="0" w:space="0" w:color="auto"/>
        <w:right w:val="none" w:sz="0" w:space="0" w:color="auto"/>
      </w:divBdr>
    </w:div>
    <w:div w:id="1659383964">
      <w:bodyDiv w:val="1"/>
      <w:marLeft w:val="0"/>
      <w:marRight w:val="0"/>
      <w:marTop w:val="0"/>
      <w:marBottom w:val="0"/>
      <w:divBdr>
        <w:top w:val="none" w:sz="0" w:space="0" w:color="auto"/>
        <w:left w:val="none" w:sz="0" w:space="0" w:color="auto"/>
        <w:bottom w:val="none" w:sz="0" w:space="0" w:color="auto"/>
        <w:right w:val="none" w:sz="0" w:space="0" w:color="auto"/>
      </w:divBdr>
    </w:div>
    <w:div w:id="1999574704">
      <w:bodyDiv w:val="1"/>
      <w:marLeft w:val="0"/>
      <w:marRight w:val="0"/>
      <w:marTop w:val="0"/>
      <w:marBottom w:val="0"/>
      <w:divBdr>
        <w:top w:val="none" w:sz="0" w:space="0" w:color="auto"/>
        <w:left w:val="none" w:sz="0" w:space="0" w:color="auto"/>
        <w:bottom w:val="none" w:sz="0" w:space="0" w:color="auto"/>
        <w:right w:val="none" w:sz="0" w:space="0" w:color="auto"/>
      </w:divBdr>
    </w:div>
    <w:div w:id="209068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7.png"/><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image" Target="media/image3.jp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6.jpg"/><Relationship Id="rId27" Type="http://schemas.openxmlformats.org/officeDocument/2006/relationships/footer" Target="footer5.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data.consilium.europa.eu/doc/document/ST-10246-2018-INIT/en/pdf" TargetMode="External"/><Relationship Id="rId1" Type="http://schemas.openxmlformats.org/officeDocument/2006/relationships/hyperlink" Target="https://www.consilium.europa.eu/media/45109/210720-euco-final-conclusions-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8907CCE19DB74E8F5B134C9C7DD171" ma:contentTypeVersion="12" ma:contentTypeDescription="Create a new document." ma:contentTypeScope="" ma:versionID="5aae601be4407045f582e1678588d213">
  <xsd:schema xmlns:xsd="http://www.w3.org/2001/XMLSchema" xmlns:xs="http://www.w3.org/2001/XMLSchema" xmlns:p="http://schemas.microsoft.com/office/2006/metadata/properties" xmlns:ns2="e79097bb-3b24-4219-adc9-b14a887c8006" xmlns:ns3="8da9ef86-c9ed-4962-940d-b0cb9978a772" targetNamespace="http://schemas.microsoft.com/office/2006/metadata/properties" ma:root="true" ma:fieldsID="9ebcb062d86849f39892f2857b0e807d" ns2:_="" ns3:_="">
    <xsd:import namespace="e79097bb-3b24-4219-adc9-b14a887c8006"/>
    <xsd:import namespace="8da9ef86-c9ed-4962-940d-b0cb9978a77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9097bb-3b24-4219-adc9-b14a887c80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a9ef86-c9ed-4962-940d-b0cb9978a7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66485-9135-4BCC-BB5D-7886163789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B2ECFEB-EDB2-4310-B072-FC795C3C123A}">
  <ds:schemaRefs>
    <ds:schemaRef ds:uri="http://schemas.microsoft.com/sharepoint/v3/contenttype/forms"/>
  </ds:schemaRefs>
</ds:datastoreItem>
</file>

<file path=customXml/itemProps3.xml><?xml version="1.0" encoding="utf-8"?>
<ds:datastoreItem xmlns:ds="http://schemas.openxmlformats.org/officeDocument/2006/customXml" ds:itemID="{9BD9028B-9E2C-458D-9DCF-8A54AA009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9097bb-3b24-4219-adc9-b14a887c8006"/>
    <ds:schemaRef ds:uri="8da9ef86-c9ed-4962-940d-b0cb9978a7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CE9462-0F78-464B-864C-7254B5F2D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7144</Words>
  <Characters>41437</Characters>
  <Application>Microsoft Office Word</Application>
  <DocSecurity>0</DocSecurity>
  <Lines>600</Lines>
  <Paragraphs>155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48426</CharactersWithSpaces>
  <SharedDoc>false</SharedDoc>
  <HLinks>
    <vt:vector size="12" baseType="variant">
      <vt:variant>
        <vt:i4>7077922</vt:i4>
      </vt:variant>
      <vt:variant>
        <vt:i4>3</vt:i4>
      </vt:variant>
      <vt:variant>
        <vt:i4>0</vt:i4>
      </vt:variant>
      <vt:variant>
        <vt:i4>5</vt:i4>
      </vt:variant>
      <vt:variant>
        <vt:lpwstr>http://data.consilium.europa.eu/doc/document/ST-10246-2018-INIT/en/pdf</vt:lpwstr>
      </vt:variant>
      <vt:variant>
        <vt:lpwstr/>
      </vt:variant>
      <vt:variant>
        <vt:i4>4718602</vt:i4>
      </vt:variant>
      <vt:variant>
        <vt:i4>0</vt:i4>
      </vt:variant>
      <vt:variant>
        <vt:i4>0</vt:i4>
      </vt:variant>
      <vt:variant>
        <vt:i4>5</vt:i4>
      </vt:variant>
      <vt:variant>
        <vt:lpwstr>https://www.consilium.europa.eu/media/45109/210720-euco-final-conclusions-en.pdf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2022-11-08T15:52:00Z</dcterms:created>
  <dcterms:modified xsi:type="dcterms:W3CDTF">2022-11-09T13:16:00Z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0x01010400988603A364794F7AA753E65AAE732805004CEEA0FEFA8E2D469F99C17A7F670D5A</vt:lpwstr>
  </property>
  <property fmtid="{D5CDD505-2E9C-101B-9397-08002B2CF9AE}" pid="3" name="MSIP_Label_6bd9ddd1-4d20-43f6-abfa-fc3c07406f94_Enabled">
    <vt:lpwstr>true</vt:lpwstr>
  </property>
  <property fmtid="{D5CDD505-2E9C-101B-9397-08002B2CF9AE}" pid="4" name="MSIP_Label_6bd9ddd1-4d20-43f6-abfa-fc3c07406f94_SetDate">
    <vt:lpwstr>2022-10-12T13:52:31Z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6d772292-a618-4032-9a8b-cc8ceaa09546</vt:lpwstr>
  </property>
  <property fmtid="{D5CDD505-2E9C-101B-9397-08002B2CF9AE}" pid="9" name="MSIP_Label_6bd9ddd1-4d20-43f6-abfa-fc3c07406f94_ContentBits">
    <vt:lpwstr>0</vt:lpwstr>
  </property>
  <property fmtid="{D5CDD505-2E9C-101B-9397-08002B2CF9AE}" pid="10" name="Level of sensitivity">
    <vt:lpwstr>Standard treatment</vt:lpwstr>
  </property>
  <property fmtid="{D5CDD505-2E9C-101B-9397-08002B2CF9AE}" pid="11" name="Part">
    <vt:lpwstr>1</vt:lpwstr>
  </property>
  <property fmtid="{D5CDD505-2E9C-101B-9397-08002B2CF9AE}" pid="12" name="Total parts">
    <vt:lpwstr>1</vt:lpwstr>
  </property>
  <property fmtid="{D5CDD505-2E9C-101B-9397-08002B2CF9AE}" pid="13" name="DocStatus">
    <vt:lpwstr>Green</vt:lpwstr>
  </property>
  <property fmtid="{D5CDD505-2E9C-101B-9397-08002B2CF9AE}" pid="14" name="CPTemplateID">
    <vt:lpwstr>CP-015</vt:lpwstr>
  </property>
  <property fmtid="{D5CDD505-2E9C-101B-9397-08002B2CF9AE}" pid="15" name="Last edited using">
    <vt:lpwstr>LW 8.1, Build 20220902</vt:lpwstr>
  </property>
  <property fmtid="{D5CDD505-2E9C-101B-9397-08002B2CF9AE}" pid="16" name="Created using">
    <vt:lpwstr>LW 8.1, Build 20220902</vt:lpwstr>
  </property>
  <property fmtid="{D5CDD505-2E9C-101B-9397-08002B2CF9AE}" pid="17" name="_dlc_DocId">
    <vt:lpwstr>COMPCOLLAB-817419697-124</vt:lpwstr>
  </property>
  <property fmtid="{D5CDD505-2E9C-101B-9397-08002B2CF9AE}" pid="18" name="_dlc_DocIdUrl">
    <vt:lpwstr>https://compcollab.ec.europa.eu/cases/HT.5902/_layouts/15/DocIdRedir.aspx?ID=COMPCOLLAB-817419697-124, COMPCOLLAB-817419697-124</vt:lpwstr>
  </property>
  <property fmtid="{D5CDD505-2E9C-101B-9397-08002B2CF9AE}" pid="19" name="_dlc_DocIdItemGuid">
    <vt:lpwstr>63603eb4-a17e-4813-b208-894be927f528</vt:lpwstr>
  </property>
</Properties>
</file>