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23360" w14:textId="4A3723F3" w:rsidR="00C36874" w:rsidRPr="00F91EC4" w:rsidRDefault="00E50DA1" w:rsidP="00E50DA1">
      <w:pPr>
        <w:pStyle w:val="Pagedecouverture"/>
        <w:rPr>
          <w:noProof/>
        </w:rPr>
      </w:pPr>
      <w:r>
        <w:rPr>
          <w:noProof/>
        </w:rPr>
        <w:pict w14:anchorId="58A47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7E77928-FA91-491E-A189-F6666887024F" style="width:455.25pt;height:454.5pt">
            <v:imagedata r:id="rId11" o:title=""/>
          </v:shape>
        </w:pict>
      </w:r>
    </w:p>
    <w:p w14:paraId="32B9B1A8" w14:textId="77777777" w:rsidR="000B5B0A" w:rsidRPr="00F91EC4" w:rsidRDefault="000B5B0A" w:rsidP="000B5B0A">
      <w:pPr>
        <w:pStyle w:val="Pagedecouverture"/>
        <w:rPr>
          <w:noProof/>
        </w:rPr>
        <w:sectPr w:rsidR="000B5B0A" w:rsidRPr="00F91EC4" w:rsidSect="00E50DA1">
          <w:footerReference w:type="default" r:id="rId12"/>
          <w:pgSz w:w="11907" w:h="16839"/>
          <w:pgMar w:top="1134" w:right="1417" w:bottom="1134" w:left="1417" w:header="709" w:footer="709" w:gutter="0"/>
          <w:pgNumType w:start="0"/>
          <w:cols w:space="720"/>
          <w:docGrid w:linePitch="360"/>
        </w:sectPr>
      </w:pPr>
    </w:p>
    <w:p w14:paraId="18E15453" w14:textId="77777777" w:rsidR="009439C4" w:rsidRPr="00F91EC4" w:rsidRDefault="009439C4" w:rsidP="00C24E66">
      <w:pPr>
        <w:pStyle w:val="Exposdesmotifstitre"/>
        <w:rPr>
          <w:noProof/>
        </w:rPr>
      </w:pPr>
      <w:bookmarkStart w:id="0" w:name="_GoBack"/>
      <w:bookmarkEnd w:id="0"/>
      <w:r w:rsidRPr="00F91EC4">
        <w:rPr>
          <w:noProof/>
        </w:rPr>
        <w:lastRenderedPageBreak/>
        <w:t>EXPLANATORY MEMORANDUM</w:t>
      </w:r>
    </w:p>
    <w:p w14:paraId="176CA2E9" w14:textId="77777777" w:rsidR="009439C4" w:rsidRPr="00F91EC4" w:rsidRDefault="009439C4" w:rsidP="00C24E66">
      <w:pPr>
        <w:pStyle w:val="ManualHeading1"/>
        <w:rPr>
          <w:noProof/>
        </w:rPr>
      </w:pPr>
      <w:r w:rsidRPr="00F91EC4">
        <w:rPr>
          <w:noProof/>
        </w:rPr>
        <w:t>1.</w:t>
      </w:r>
      <w:r w:rsidRPr="00F91EC4">
        <w:rPr>
          <w:noProof/>
        </w:rPr>
        <w:tab/>
        <w:t>CONTEXT OF THE PROPOSAL</w:t>
      </w:r>
    </w:p>
    <w:p w14:paraId="3DB2854F" w14:textId="77777777" w:rsidR="009439C4" w:rsidRPr="00F91EC4" w:rsidRDefault="009439C4" w:rsidP="00C24E66">
      <w:pPr>
        <w:pStyle w:val="ManualHeading2"/>
        <w:rPr>
          <w:rFonts w:eastAsia="Arial Unicode MS"/>
          <w:noProof/>
        </w:rPr>
      </w:pPr>
      <w:r w:rsidRPr="00F91EC4">
        <w:rPr>
          <w:rFonts w:eastAsia="Arial Unicode MS"/>
          <w:noProof/>
          <w:color w:val="000000"/>
          <w:u w:color="000000"/>
          <w:bdr w:val="nil"/>
          <w:lang w:eastAsia="en-GB"/>
        </w:rPr>
        <w:t>•</w:t>
      </w:r>
      <w:r w:rsidRPr="00F91EC4">
        <w:rPr>
          <w:rFonts w:eastAsia="Arial Unicode MS"/>
          <w:noProof/>
          <w:color w:val="000000"/>
          <w:u w:color="000000"/>
          <w:bdr w:val="nil"/>
          <w:lang w:eastAsia="en-GB"/>
        </w:rPr>
        <w:tab/>
      </w:r>
      <w:r w:rsidRPr="00F91EC4">
        <w:rPr>
          <w:rFonts w:eastAsia="Arial Unicode MS"/>
          <w:noProof/>
        </w:rPr>
        <w:t>Reasons for and objectives of the proposal</w:t>
      </w:r>
    </w:p>
    <w:p w14:paraId="04B0F82D" w14:textId="77777777" w:rsidR="00C21D62" w:rsidRPr="00F91EC4" w:rsidRDefault="00C21D62" w:rsidP="00235561">
      <w:pPr>
        <w:rPr>
          <w:noProof/>
        </w:rPr>
      </w:pPr>
      <w:r w:rsidRPr="00F91EC4">
        <w:rPr>
          <w:noProof/>
        </w:rPr>
        <w:t xml:space="preserve">Free movement of goods, persons, services and capital must be ensured for a correct functioning of the </w:t>
      </w:r>
      <w:r w:rsidR="002420CC" w:rsidRPr="00F91EC4">
        <w:rPr>
          <w:noProof/>
        </w:rPr>
        <w:t>single</w:t>
      </w:r>
      <w:r w:rsidRPr="00F91EC4">
        <w:rPr>
          <w:noProof/>
        </w:rPr>
        <w:t xml:space="preserve"> market. To that end Regulation (EU) No 2018/858 of the European Parliament and of the Council enshrines a comprehensive type</w:t>
      </w:r>
      <w:r w:rsidR="002420CC" w:rsidRPr="00F91EC4">
        <w:rPr>
          <w:noProof/>
        </w:rPr>
        <w:t>-</w:t>
      </w:r>
      <w:r w:rsidRPr="00F91EC4">
        <w:rPr>
          <w:noProof/>
        </w:rPr>
        <w:t>approval and market surveillance system for motor vehicles, trailers, and for systems, components and separate technical units intended for such vehicles. The technical requirements for the type</w:t>
      </w:r>
      <w:r w:rsidR="002420CC" w:rsidRPr="00F91EC4">
        <w:rPr>
          <w:noProof/>
        </w:rPr>
        <w:t>-</w:t>
      </w:r>
      <w:r w:rsidRPr="00F91EC4">
        <w:rPr>
          <w:noProof/>
        </w:rPr>
        <w:t>approval of motor vehicles and engines with regard to emissions are also harmonised to avoid requirements that differ from one Member State to another, and to ensure a high level of environmental and health protection.</w:t>
      </w:r>
    </w:p>
    <w:p w14:paraId="142D8CF9" w14:textId="77777777" w:rsidR="00235561" w:rsidRPr="00F91EC4" w:rsidRDefault="00235561" w:rsidP="00235561">
      <w:pPr>
        <w:rPr>
          <w:rFonts w:eastAsia="Times New Roman"/>
          <w:noProof/>
          <w:szCs w:val="24"/>
        </w:rPr>
      </w:pPr>
      <w:r w:rsidRPr="00F91EC4">
        <w:rPr>
          <w:rFonts w:eastAsia="Times New Roman"/>
          <w:noProof/>
          <w:szCs w:val="24"/>
        </w:rPr>
        <w:t xml:space="preserve">Air pollution remains </w:t>
      </w:r>
      <w:r w:rsidR="00057C61" w:rsidRPr="00F91EC4">
        <w:rPr>
          <w:rFonts w:eastAsia="Times New Roman"/>
          <w:noProof/>
          <w:szCs w:val="24"/>
        </w:rPr>
        <w:t xml:space="preserve">a large </w:t>
      </w:r>
      <w:r w:rsidRPr="00F91EC4">
        <w:rPr>
          <w:rFonts w:eastAsia="Times New Roman"/>
          <w:noProof/>
          <w:szCs w:val="24"/>
        </w:rPr>
        <w:t>environmental and health risk in Europe.</w:t>
      </w:r>
      <w:r w:rsidRPr="00F91EC4" w:rsidDel="00E76364">
        <w:rPr>
          <w:rFonts w:eastAsia="Times New Roman"/>
          <w:noProof/>
          <w:szCs w:val="24"/>
        </w:rPr>
        <w:t xml:space="preserve"> </w:t>
      </w:r>
      <w:r w:rsidRPr="00F91EC4">
        <w:rPr>
          <w:rFonts w:eastAsia="Times New Roman"/>
          <w:noProof/>
          <w:szCs w:val="24"/>
        </w:rPr>
        <w:t>While air quality has improved, a significant proportion of the EU’s urban population is still exposed to pollutant concentrations above the limits defined by the Ambient Air Quality Directive</w:t>
      </w:r>
      <w:r w:rsidRPr="00F91EC4">
        <w:rPr>
          <w:rStyle w:val="FootnoteReference"/>
          <w:noProof/>
        </w:rPr>
        <w:footnoteReference w:id="2"/>
      </w:r>
      <w:r w:rsidRPr="00F91EC4">
        <w:rPr>
          <w:rFonts w:eastAsia="Times New Roman"/>
          <w:noProof/>
          <w:szCs w:val="24"/>
        </w:rPr>
        <w:t xml:space="preserve">. </w:t>
      </w:r>
      <w:r w:rsidR="0038700B" w:rsidRPr="00F91EC4">
        <w:rPr>
          <w:rFonts w:eastAsia="Times New Roman"/>
          <w:noProof/>
          <w:szCs w:val="24"/>
        </w:rPr>
        <w:t xml:space="preserve">It is estimated that </w:t>
      </w:r>
      <w:r w:rsidR="0038700B">
        <w:rPr>
          <w:rFonts w:eastAsia="Times New Roman"/>
          <w:noProof/>
          <w:szCs w:val="24"/>
        </w:rPr>
        <w:t xml:space="preserve">air </w:t>
      </w:r>
      <w:r w:rsidR="00081A22">
        <w:rPr>
          <w:rFonts w:eastAsia="Times New Roman"/>
          <w:noProof/>
          <w:szCs w:val="24"/>
        </w:rPr>
        <w:t>pollution</w:t>
      </w:r>
      <w:r w:rsidR="0038700B" w:rsidRPr="00F91EC4">
        <w:rPr>
          <w:rFonts w:eastAsia="Times New Roman"/>
          <w:noProof/>
          <w:szCs w:val="24"/>
        </w:rPr>
        <w:t xml:space="preserve"> caused </w:t>
      </w:r>
      <w:r w:rsidR="0038700B">
        <w:rPr>
          <w:rFonts w:eastAsia="Times New Roman"/>
          <w:noProof/>
          <w:szCs w:val="24"/>
        </w:rPr>
        <w:t>more than</w:t>
      </w:r>
      <w:r w:rsidR="0038700B" w:rsidRPr="00F91EC4">
        <w:rPr>
          <w:rFonts w:eastAsia="Times New Roman"/>
          <w:noProof/>
          <w:szCs w:val="24"/>
        </w:rPr>
        <w:t xml:space="preserve"> </w:t>
      </w:r>
      <w:r w:rsidR="00EF43BE">
        <w:rPr>
          <w:rFonts w:eastAsia="Times New Roman"/>
          <w:noProof/>
          <w:szCs w:val="24"/>
        </w:rPr>
        <w:t>3</w:t>
      </w:r>
      <w:r w:rsidR="0038700B">
        <w:rPr>
          <w:rFonts w:eastAsia="Times New Roman"/>
          <w:noProof/>
          <w:szCs w:val="24"/>
        </w:rPr>
        <w:t>0</w:t>
      </w:r>
      <w:r w:rsidR="0038700B" w:rsidRPr="00F91EC4">
        <w:rPr>
          <w:rFonts w:eastAsia="Times New Roman"/>
          <w:noProof/>
          <w:szCs w:val="24"/>
        </w:rPr>
        <w:t>0 000 premature deaths in the EU-28 in 2018</w:t>
      </w:r>
      <w:r w:rsidR="0038700B" w:rsidRPr="00F91EC4">
        <w:rPr>
          <w:rStyle w:val="FootnoteReference"/>
          <w:rFonts w:eastAsia="Times New Roman"/>
          <w:noProof/>
          <w:szCs w:val="24"/>
        </w:rPr>
        <w:footnoteReference w:id="3"/>
      </w:r>
      <w:r w:rsidR="0038700B" w:rsidRPr="00F91EC4">
        <w:rPr>
          <w:rFonts w:eastAsia="Times New Roman"/>
          <w:noProof/>
          <w:szCs w:val="24"/>
        </w:rPr>
        <w:t xml:space="preserve">. </w:t>
      </w:r>
      <w:r w:rsidR="007C70B4" w:rsidRPr="00F91EC4">
        <w:rPr>
          <w:rFonts w:eastAsia="Times New Roman"/>
          <w:noProof/>
          <w:szCs w:val="24"/>
        </w:rPr>
        <w:t xml:space="preserve">Despite the fact that </w:t>
      </w:r>
      <w:r w:rsidRPr="00F91EC4">
        <w:rPr>
          <w:rFonts w:eastAsia="Times New Roman"/>
          <w:noProof/>
          <w:szCs w:val="24"/>
        </w:rPr>
        <w:t xml:space="preserve">other sectors also </w:t>
      </w:r>
      <w:r w:rsidR="007C70B4" w:rsidRPr="00F91EC4">
        <w:rPr>
          <w:rFonts w:eastAsia="Times New Roman"/>
          <w:noProof/>
          <w:szCs w:val="24"/>
        </w:rPr>
        <w:t xml:space="preserve">play a role, road transport is still a major contributor to air pollution. </w:t>
      </w:r>
      <w:r w:rsidRPr="00F91EC4">
        <w:rPr>
          <w:rFonts w:eastAsia="Times New Roman"/>
          <w:noProof/>
          <w:szCs w:val="24"/>
        </w:rPr>
        <w:t>It was on average responsible for 39% of the harmful NO</w:t>
      </w:r>
      <w:r w:rsidRPr="00F91EC4">
        <w:rPr>
          <w:rFonts w:eastAsia="Times New Roman"/>
          <w:noProof/>
          <w:szCs w:val="24"/>
          <w:vertAlign w:val="subscript"/>
        </w:rPr>
        <w:t>x</w:t>
      </w:r>
      <w:r w:rsidRPr="00F91EC4">
        <w:rPr>
          <w:rFonts w:eastAsia="Times New Roman"/>
          <w:noProof/>
          <w:szCs w:val="24"/>
        </w:rPr>
        <w:t xml:space="preserve"> emissions in 2018 (47% in </w:t>
      </w:r>
      <w:r w:rsidR="007C70B4" w:rsidRPr="00F91EC4">
        <w:rPr>
          <w:rFonts w:eastAsia="Times New Roman"/>
          <w:noProof/>
          <w:szCs w:val="24"/>
        </w:rPr>
        <w:t>urban areas</w:t>
      </w:r>
      <w:bookmarkStart w:id="1" w:name="_Ref87626325"/>
      <w:r w:rsidR="00057C61" w:rsidRPr="00F91EC4">
        <w:rPr>
          <w:rStyle w:val="FootnoteReference"/>
          <w:rFonts w:eastAsia="Times New Roman"/>
          <w:noProof/>
          <w:szCs w:val="24"/>
        </w:rPr>
        <w:footnoteReference w:id="4"/>
      </w:r>
      <w:bookmarkEnd w:id="1"/>
      <w:r w:rsidR="007C70B4" w:rsidRPr="00F91EC4">
        <w:rPr>
          <w:rFonts w:eastAsia="Times New Roman"/>
          <w:noProof/>
          <w:szCs w:val="24"/>
        </w:rPr>
        <w:t>)</w:t>
      </w:r>
      <w:r w:rsidRPr="00F91EC4">
        <w:rPr>
          <w:rFonts w:eastAsia="Times New Roman"/>
          <w:noProof/>
          <w:szCs w:val="24"/>
        </w:rPr>
        <w:t xml:space="preserve"> and 11% of total PM</w:t>
      </w:r>
      <w:r w:rsidRPr="00F91EC4">
        <w:rPr>
          <w:rFonts w:eastAsia="Times New Roman"/>
          <w:noProof/>
          <w:szCs w:val="24"/>
          <w:vertAlign w:val="subscript"/>
        </w:rPr>
        <w:t>10</w:t>
      </w:r>
      <w:r w:rsidRPr="00F91EC4">
        <w:rPr>
          <w:rFonts w:eastAsia="Times New Roman"/>
          <w:noProof/>
          <w:szCs w:val="24"/>
        </w:rPr>
        <w:t xml:space="preserve"> emissions in 2018</w:t>
      </w:r>
      <w:r w:rsidR="00057C61" w:rsidRPr="00F91EC4">
        <w:rPr>
          <w:rStyle w:val="FootnoteReference"/>
          <w:rFonts w:eastAsia="Times New Roman"/>
          <w:noProof/>
          <w:szCs w:val="24"/>
        </w:rPr>
        <w:footnoteReference w:id="5"/>
      </w:r>
      <w:r w:rsidRPr="00F91EC4">
        <w:rPr>
          <w:rFonts w:eastAsia="Times New Roman"/>
          <w:noProof/>
          <w:szCs w:val="24"/>
        </w:rPr>
        <w:t xml:space="preserve">. </w:t>
      </w:r>
    </w:p>
    <w:p w14:paraId="3285EFE5" w14:textId="77777777" w:rsidR="00235561" w:rsidRPr="00F91EC4" w:rsidRDefault="00235561" w:rsidP="00235561">
      <w:pPr>
        <w:rPr>
          <w:rFonts w:eastAsia="Times New Roman"/>
          <w:noProof/>
          <w:szCs w:val="24"/>
        </w:rPr>
      </w:pPr>
      <w:r w:rsidRPr="00F91EC4">
        <w:rPr>
          <w:rFonts w:eastAsia="Times New Roman"/>
          <w:noProof/>
          <w:szCs w:val="24"/>
        </w:rPr>
        <w:t xml:space="preserve">The </w:t>
      </w:r>
      <w:r w:rsidRPr="00F91EC4">
        <w:rPr>
          <w:rFonts w:eastAsia="Times New Roman"/>
          <w:b/>
          <w:noProof/>
          <w:szCs w:val="24"/>
        </w:rPr>
        <w:t>European Green Deal</w:t>
      </w:r>
      <w:bookmarkStart w:id="2" w:name="_Ref61366878"/>
      <w:r w:rsidRPr="00F91EC4">
        <w:rPr>
          <w:rStyle w:val="FootnoteReference"/>
          <w:rFonts w:eastAsia="Times New Roman"/>
          <w:noProof/>
          <w:szCs w:val="24"/>
        </w:rPr>
        <w:footnoteReference w:id="6"/>
      </w:r>
      <w:bookmarkEnd w:id="2"/>
      <w:r w:rsidRPr="00F91EC4">
        <w:rPr>
          <w:rFonts w:eastAsia="Times New Roman"/>
          <w:noProof/>
          <w:szCs w:val="24"/>
        </w:rPr>
        <w:t xml:space="preserve"> is a new growth strategy that aims to</w:t>
      </w:r>
      <w:r w:rsidRPr="00F91EC4">
        <w:rPr>
          <w:rFonts w:eastAsia="Times New Roman"/>
          <w:b/>
          <w:noProof/>
          <w:szCs w:val="24"/>
        </w:rPr>
        <w:t xml:space="preserve"> </w:t>
      </w:r>
      <w:r w:rsidRPr="00F91EC4">
        <w:rPr>
          <w:rFonts w:eastAsia="Times New Roman"/>
          <w:noProof/>
          <w:szCs w:val="24"/>
        </w:rPr>
        <w:t>transform the EU into a fair and prosperous society, with a modern, resource-efficient and competitive economy. The EU should also promote and invest in the necessary digital transformation and tools as these are essential enablers of the changes.</w:t>
      </w:r>
      <w:r w:rsidR="00D859BD" w:rsidRPr="00F91EC4">
        <w:rPr>
          <w:rFonts w:eastAsia="Times New Roman"/>
          <w:noProof/>
          <w:szCs w:val="24"/>
        </w:rPr>
        <w:t xml:space="preserve"> Digital technology can indeed help cut global emissions</w:t>
      </w:r>
      <w:r w:rsidR="00B46FB8" w:rsidRPr="00F91EC4">
        <w:rPr>
          <w:rFonts w:eastAsia="Times New Roman"/>
          <w:noProof/>
          <w:szCs w:val="24"/>
        </w:rPr>
        <w:t>, enhance quality-of-life</w:t>
      </w:r>
      <w:r w:rsidR="00D859BD" w:rsidRPr="00F91EC4">
        <w:rPr>
          <w:rFonts w:eastAsia="Times New Roman"/>
          <w:noProof/>
          <w:szCs w:val="24"/>
        </w:rPr>
        <w:t xml:space="preserve"> and reduce society's environmental footprint, for example by optimising energy usage and monitoring emissions in transport</w:t>
      </w:r>
      <w:r w:rsidR="00B46FB8" w:rsidRPr="00F91EC4">
        <w:rPr>
          <w:rStyle w:val="FootnoteReference"/>
          <w:rFonts w:eastAsia="Times New Roman"/>
          <w:noProof/>
          <w:szCs w:val="24"/>
        </w:rPr>
        <w:footnoteReference w:id="7"/>
      </w:r>
      <w:r w:rsidR="00D859BD" w:rsidRPr="00F91EC4">
        <w:rPr>
          <w:rFonts w:eastAsia="Times New Roman"/>
          <w:noProof/>
          <w:szCs w:val="24"/>
        </w:rPr>
        <w:t>.</w:t>
      </w:r>
      <w:r w:rsidRPr="00F91EC4">
        <w:rPr>
          <w:rFonts w:eastAsia="Times New Roman"/>
          <w:noProof/>
          <w:szCs w:val="24"/>
        </w:rPr>
        <w:t xml:space="preserve"> In order to reach climate neutrality by 2050 and zero-pollution ambition for a toxic-free environment, all sectors need to transform, including road transport. </w:t>
      </w:r>
      <w:r w:rsidR="00FC198A" w:rsidRPr="00F91EC4">
        <w:rPr>
          <w:rFonts w:eastAsia="Times New Roman"/>
          <w:noProof/>
          <w:szCs w:val="24"/>
        </w:rPr>
        <w:t>The European Green Deal</w:t>
      </w:r>
      <w:r w:rsidRPr="00F91EC4">
        <w:rPr>
          <w:rFonts w:eastAsia="Times New Roman"/>
          <w:noProof/>
          <w:szCs w:val="24"/>
        </w:rPr>
        <w:t xml:space="preserve"> </w:t>
      </w:r>
      <w:r w:rsidR="00B46FB8" w:rsidRPr="00F91EC4">
        <w:rPr>
          <w:rFonts w:eastAsia="Times New Roman"/>
          <w:noProof/>
          <w:szCs w:val="24"/>
        </w:rPr>
        <w:t>announced the</w:t>
      </w:r>
      <w:r w:rsidRPr="00F91EC4">
        <w:rPr>
          <w:rFonts w:eastAsia="Times New Roman"/>
          <w:noProof/>
          <w:szCs w:val="24"/>
        </w:rPr>
        <w:t xml:space="preserve"> adoption of a proposal for more stringent air pollutant emissions standards for combustion-engine vehicles (Euro 7). </w:t>
      </w:r>
    </w:p>
    <w:p w14:paraId="5750E9F3" w14:textId="77777777" w:rsidR="00235561" w:rsidRPr="00F91EC4" w:rsidRDefault="00235561" w:rsidP="002A1C37">
      <w:pPr>
        <w:rPr>
          <w:rFonts w:eastAsia="Times New Roman"/>
          <w:noProof/>
          <w:szCs w:val="24"/>
        </w:rPr>
      </w:pPr>
      <w:r w:rsidRPr="00F91EC4">
        <w:rPr>
          <w:rFonts w:eastAsia="Times New Roman"/>
          <w:noProof/>
          <w:szCs w:val="24"/>
        </w:rPr>
        <w:t>To accelerate decarbonisation of road transport, the Commission proposed in</w:t>
      </w:r>
      <w:r w:rsidRPr="00F91EC4">
        <w:rPr>
          <w:noProof/>
          <w:szCs w:val="24"/>
        </w:rPr>
        <w:t xml:space="preserve"> July 2021</w:t>
      </w:r>
      <w:r w:rsidRPr="00F91EC4">
        <w:rPr>
          <w:rFonts w:eastAsia="Times New Roman"/>
          <w:noProof/>
          <w:szCs w:val="24"/>
        </w:rPr>
        <w:t xml:space="preserve"> </w:t>
      </w:r>
      <w:r w:rsidR="00736BD6" w:rsidRPr="00F91EC4">
        <w:rPr>
          <w:rFonts w:eastAsia="Times New Roman"/>
          <w:noProof/>
          <w:szCs w:val="24"/>
        </w:rPr>
        <w:t xml:space="preserve">an amendment of the Regulation </w:t>
      </w:r>
      <w:r w:rsidRPr="00F91EC4">
        <w:rPr>
          <w:rFonts w:eastAsia="Times New Roman"/>
          <w:noProof/>
          <w:szCs w:val="24"/>
        </w:rPr>
        <w:t xml:space="preserve">on </w:t>
      </w:r>
      <w:r w:rsidRPr="00F91EC4">
        <w:rPr>
          <w:rFonts w:eastAsia="Times New Roman"/>
          <w:b/>
          <w:noProof/>
          <w:szCs w:val="24"/>
        </w:rPr>
        <w:t>CO</w:t>
      </w:r>
      <w:r w:rsidRPr="00F91EC4">
        <w:rPr>
          <w:rFonts w:eastAsia="Times New Roman"/>
          <w:b/>
          <w:noProof/>
          <w:szCs w:val="24"/>
          <w:vertAlign w:val="subscript"/>
        </w:rPr>
        <w:t>2</w:t>
      </w:r>
      <w:r w:rsidRPr="00F91EC4">
        <w:rPr>
          <w:rFonts w:eastAsia="Times New Roman"/>
          <w:b/>
          <w:noProof/>
          <w:szCs w:val="24"/>
        </w:rPr>
        <w:t xml:space="preserve"> emission performance standards</w:t>
      </w:r>
      <w:r w:rsidRPr="00F91EC4">
        <w:rPr>
          <w:rFonts w:eastAsia="Times New Roman"/>
          <w:noProof/>
          <w:szCs w:val="24"/>
        </w:rPr>
        <w:t xml:space="preserve"> for cars</w:t>
      </w:r>
      <w:r w:rsidR="00660DBD" w:rsidRPr="00F91EC4">
        <w:rPr>
          <w:rFonts w:eastAsia="Times New Roman"/>
          <w:noProof/>
          <w:szCs w:val="24"/>
        </w:rPr>
        <w:t xml:space="preserve"> and </w:t>
      </w:r>
      <w:r w:rsidRPr="00F91EC4">
        <w:rPr>
          <w:rFonts w:eastAsia="Times New Roman"/>
          <w:noProof/>
          <w:szCs w:val="24"/>
        </w:rPr>
        <w:t>vans</w:t>
      </w:r>
      <w:bookmarkStart w:id="3" w:name="_Ref73876335"/>
      <w:r w:rsidRPr="00F91EC4">
        <w:rPr>
          <w:rStyle w:val="FootnoteReference"/>
          <w:rFonts w:eastAsia="Times New Roman"/>
          <w:noProof/>
          <w:szCs w:val="24"/>
        </w:rPr>
        <w:footnoteReference w:id="8"/>
      </w:r>
      <w:bookmarkEnd w:id="3"/>
      <w:r w:rsidRPr="00F91EC4">
        <w:rPr>
          <w:rFonts w:eastAsia="Times New Roman"/>
          <w:noProof/>
          <w:szCs w:val="24"/>
        </w:rPr>
        <w:t>, to ensure a clear pathway towards zero-emission mobility.</w:t>
      </w:r>
      <w:r w:rsidR="003A4BA8" w:rsidRPr="00F91EC4">
        <w:rPr>
          <w:rStyle w:val="FootnoteReference"/>
          <w:rFonts w:eastAsia="Times New Roman"/>
          <w:noProof/>
          <w:szCs w:val="24"/>
        </w:rPr>
        <w:footnoteReference w:id="9"/>
      </w:r>
      <w:r w:rsidRPr="00F91EC4">
        <w:rPr>
          <w:rFonts w:eastAsia="Times New Roman"/>
          <w:noProof/>
          <w:szCs w:val="24"/>
        </w:rPr>
        <w:t xml:space="preserve"> Moreover, the Commission adopted in December 2020 the </w:t>
      </w:r>
      <w:r w:rsidRPr="00F91EC4">
        <w:rPr>
          <w:rFonts w:eastAsia="Times New Roman"/>
          <w:b/>
          <w:noProof/>
          <w:szCs w:val="24"/>
        </w:rPr>
        <w:t>Sustainable and Smart Mobility Strategy</w:t>
      </w:r>
      <w:r w:rsidRPr="00F91EC4">
        <w:rPr>
          <w:rStyle w:val="FootnoteReference"/>
          <w:rFonts w:eastAsia="Times New Roman"/>
          <w:noProof/>
          <w:szCs w:val="24"/>
        </w:rPr>
        <w:footnoteReference w:id="10"/>
      </w:r>
      <w:r w:rsidRPr="00F91EC4">
        <w:rPr>
          <w:rFonts w:eastAsia="Times New Roman"/>
          <w:noProof/>
          <w:szCs w:val="24"/>
        </w:rPr>
        <w:t xml:space="preserve"> and in May 2021 the </w:t>
      </w:r>
      <w:r w:rsidRPr="00F91EC4">
        <w:rPr>
          <w:rFonts w:eastAsia="Times New Roman"/>
          <w:b/>
          <w:noProof/>
          <w:szCs w:val="24"/>
        </w:rPr>
        <w:t>Zero-Pollution Action Plan</w:t>
      </w:r>
      <w:r w:rsidRPr="00F91EC4">
        <w:rPr>
          <w:rStyle w:val="FootnoteReference"/>
          <w:rFonts w:eastAsia="Times New Roman"/>
          <w:noProof/>
          <w:szCs w:val="24"/>
        </w:rPr>
        <w:footnoteReference w:id="11"/>
      </w:r>
      <w:r w:rsidRPr="00F91EC4">
        <w:rPr>
          <w:rFonts w:eastAsia="Times New Roman"/>
          <w:noProof/>
          <w:szCs w:val="24"/>
        </w:rPr>
        <w:t>. According to those strategies, transport should become drastically less polluting, especially in cities and Euro 7 is considered as a</w:t>
      </w:r>
      <w:r w:rsidR="00660DBD" w:rsidRPr="00F91EC4">
        <w:rPr>
          <w:rFonts w:eastAsia="Times New Roman"/>
          <w:noProof/>
          <w:szCs w:val="24"/>
        </w:rPr>
        <w:t xml:space="preserve">n essential </w:t>
      </w:r>
      <w:r w:rsidRPr="00F91EC4">
        <w:rPr>
          <w:rFonts w:eastAsia="Times New Roman"/>
          <w:noProof/>
          <w:szCs w:val="24"/>
        </w:rPr>
        <w:t>part of the transition towards clean mobility.</w:t>
      </w:r>
    </w:p>
    <w:p w14:paraId="562BED3D" w14:textId="77777777" w:rsidR="00235561" w:rsidRPr="00F91EC4" w:rsidRDefault="00235561" w:rsidP="00235561">
      <w:pPr>
        <w:rPr>
          <w:rFonts w:eastAsia="Times New Roman"/>
          <w:noProof/>
          <w:szCs w:val="24"/>
        </w:rPr>
      </w:pPr>
      <w:r w:rsidRPr="00F91EC4">
        <w:rPr>
          <w:rFonts w:eastAsia="Times New Roman"/>
          <w:noProof/>
          <w:szCs w:val="24"/>
        </w:rPr>
        <w:t xml:space="preserve">Last but not least, the </w:t>
      </w:r>
      <w:r w:rsidRPr="00F91EC4">
        <w:rPr>
          <w:rFonts w:eastAsia="Times New Roman"/>
          <w:b/>
          <w:noProof/>
          <w:szCs w:val="24"/>
        </w:rPr>
        <w:t>New Industrial Strategy for Europe</w:t>
      </w:r>
      <w:bookmarkStart w:id="4" w:name="_Ref73353581"/>
      <w:r w:rsidRPr="00F91EC4">
        <w:rPr>
          <w:rStyle w:val="FootnoteReference"/>
          <w:noProof/>
        </w:rPr>
        <w:footnoteReference w:id="12"/>
      </w:r>
      <w:bookmarkEnd w:id="4"/>
      <w:r w:rsidRPr="00F91EC4">
        <w:rPr>
          <w:rFonts w:eastAsia="Times New Roman"/>
          <w:noProof/>
          <w:szCs w:val="24"/>
        </w:rPr>
        <w:t xml:space="preserve"> offers tools to address the twin challenge of the green and the digital transformation and to support the European industry in making the </w:t>
      </w:r>
      <w:r w:rsidR="002420CC" w:rsidRPr="00F91EC4">
        <w:rPr>
          <w:rFonts w:eastAsia="Times New Roman"/>
          <w:noProof/>
          <w:szCs w:val="24"/>
        </w:rPr>
        <w:t>European Green Deal</w:t>
      </w:r>
      <w:r w:rsidRPr="00F91EC4">
        <w:rPr>
          <w:rFonts w:eastAsia="Times New Roman"/>
          <w:noProof/>
          <w:szCs w:val="24"/>
        </w:rPr>
        <w:t xml:space="preserve"> ambition a reality. New pollutant emission framework will offer legal certainty and first-mover advantage to the EU automotive sector</w:t>
      </w:r>
      <w:r w:rsidR="00F42DCE" w:rsidRPr="00F91EC4">
        <w:rPr>
          <w:rFonts w:eastAsia="Times New Roman"/>
          <w:noProof/>
          <w:szCs w:val="24"/>
        </w:rPr>
        <w:t xml:space="preserve">. </w:t>
      </w:r>
      <w:r w:rsidR="00B82D65" w:rsidRPr="00F91EC4">
        <w:rPr>
          <w:rFonts w:eastAsia="Times New Roman"/>
          <w:noProof/>
          <w:szCs w:val="24"/>
        </w:rPr>
        <w:t>EU emission standards need to keep ahead of standards under development in key markets like the United States and China, in order to keep a competitive advantage</w:t>
      </w:r>
      <w:r w:rsidRPr="00F91EC4">
        <w:rPr>
          <w:rFonts w:eastAsia="Times New Roman"/>
          <w:noProof/>
          <w:szCs w:val="24"/>
        </w:rPr>
        <w:t xml:space="preserve">. </w:t>
      </w:r>
      <w:r w:rsidR="00B82D65" w:rsidRPr="00F91EC4">
        <w:rPr>
          <w:noProof/>
        </w:rPr>
        <w:t>Access</w:t>
      </w:r>
      <w:r w:rsidR="001C1436" w:rsidRPr="00F91EC4">
        <w:rPr>
          <w:noProof/>
        </w:rPr>
        <w:t xml:space="preserve"> to </w:t>
      </w:r>
      <w:r w:rsidR="00B82D65" w:rsidRPr="00F91EC4">
        <w:rPr>
          <w:noProof/>
        </w:rPr>
        <w:t>these</w:t>
      </w:r>
      <w:r w:rsidR="001C1436" w:rsidRPr="00F91EC4">
        <w:rPr>
          <w:noProof/>
        </w:rPr>
        <w:t xml:space="preserve"> markets could be hampered for EU manufacturers as it would become more costly to meet emission requirements in different markets.</w:t>
      </w:r>
      <w:r w:rsidR="001C1436" w:rsidRPr="00F91EC4" w:rsidDel="001C1436">
        <w:rPr>
          <w:rFonts w:eastAsia="Times New Roman"/>
          <w:noProof/>
          <w:szCs w:val="24"/>
        </w:rPr>
        <w:t xml:space="preserve"> </w:t>
      </w:r>
    </w:p>
    <w:p w14:paraId="6E390E74" w14:textId="77777777" w:rsidR="00235561" w:rsidRPr="00F91EC4" w:rsidRDefault="00235561" w:rsidP="00235561">
      <w:pPr>
        <w:rPr>
          <w:rFonts w:eastAsia="Times New Roman"/>
          <w:noProof/>
          <w:szCs w:val="24"/>
        </w:rPr>
      </w:pPr>
      <w:r w:rsidRPr="00F91EC4">
        <w:rPr>
          <w:rFonts w:eastAsia="Times New Roman"/>
          <w:noProof/>
          <w:szCs w:val="24"/>
        </w:rPr>
        <w:t>Transition towards zero-</w:t>
      </w:r>
      <w:r w:rsidR="003A4BA8" w:rsidRPr="00F91EC4">
        <w:rPr>
          <w:rFonts w:eastAsia="Times New Roman"/>
          <w:noProof/>
          <w:szCs w:val="24"/>
        </w:rPr>
        <w:t>emission</w:t>
      </w:r>
      <w:r w:rsidRPr="00F91EC4">
        <w:rPr>
          <w:rFonts w:eastAsia="Times New Roman"/>
          <w:noProof/>
          <w:szCs w:val="24"/>
        </w:rPr>
        <w:t xml:space="preserve"> </w:t>
      </w:r>
      <w:r w:rsidR="00650C95" w:rsidRPr="00F91EC4">
        <w:rPr>
          <w:rFonts w:eastAsia="Times New Roman"/>
          <w:noProof/>
          <w:szCs w:val="24"/>
        </w:rPr>
        <w:t>cars/vans</w:t>
      </w:r>
      <w:r w:rsidRPr="00F91EC4">
        <w:rPr>
          <w:rFonts w:eastAsia="Times New Roman"/>
          <w:noProof/>
          <w:szCs w:val="24"/>
        </w:rPr>
        <w:t xml:space="preserve"> fleet will be spread across at least two decades, not least given the average lifetime of </w:t>
      </w:r>
      <w:r w:rsidR="00650C95" w:rsidRPr="00F91EC4">
        <w:rPr>
          <w:rFonts w:eastAsia="Times New Roman"/>
          <w:noProof/>
          <w:szCs w:val="24"/>
        </w:rPr>
        <w:t xml:space="preserve">cars/vans </w:t>
      </w:r>
      <w:r w:rsidRPr="00F91EC4">
        <w:rPr>
          <w:rFonts w:eastAsia="Times New Roman"/>
          <w:noProof/>
          <w:szCs w:val="24"/>
        </w:rPr>
        <w:t xml:space="preserve">of more than 11 years. Meanwhile, in order to achieve the above policy objectives, the internal combustion-engine vehicles which will continue to be placed on the market </w:t>
      </w:r>
      <w:r w:rsidR="00660DBD" w:rsidRPr="00F91EC4">
        <w:rPr>
          <w:rFonts w:eastAsia="Times New Roman"/>
          <w:noProof/>
          <w:szCs w:val="24"/>
        </w:rPr>
        <w:t xml:space="preserve">need to be </w:t>
      </w:r>
      <w:r w:rsidRPr="00F91EC4">
        <w:rPr>
          <w:rFonts w:eastAsia="Times New Roman"/>
          <w:noProof/>
          <w:szCs w:val="24"/>
        </w:rPr>
        <w:t xml:space="preserve">as clean as possible. </w:t>
      </w:r>
    </w:p>
    <w:p w14:paraId="1DEC7B6B" w14:textId="77777777" w:rsidR="002469BA" w:rsidRPr="00F91EC4" w:rsidRDefault="002469BA" w:rsidP="002469BA">
      <w:pPr>
        <w:rPr>
          <w:rFonts w:eastAsia="Times New Roman"/>
          <w:noProof/>
          <w:szCs w:val="24"/>
        </w:rPr>
      </w:pPr>
      <w:r w:rsidRPr="00F91EC4">
        <w:rPr>
          <w:rFonts w:eastAsia="Times New Roman"/>
          <w:noProof/>
          <w:szCs w:val="24"/>
        </w:rPr>
        <w:t xml:space="preserve">At the same time, the automotive </w:t>
      </w:r>
      <w:r w:rsidRPr="00F91EC4">
        <w:rPr>
          <w:noProof/>
          <w:color w:val="222222"/>
        </w:rPr>
        <w:t xml:space="preserve">industry </w:t>
      </w:r>
      <w:r w:rsidR="00325D53" w:rsidRPr="00F91EC4">
        <w:rPr>
          <w:noProof/>
          <w:color w:val="222222"/>
        </w:rPr>
        <w:t xml:space="preserve">is faced with other significant transformations </w:t>
      </w:r>
      <w:r w:rsidRPr="00F91EC4">
        <w:rPr>
          <w:noProof/>
          <w:color w:val="222222"/>
        </w:rPr>
        <w:t>—significant supply-chain shortages</w:t>
      </w:r>
      <w:r w:rsidR="00325D53" w:rsidRPr="00F91EC4">
        <w:rPr>
          <w:noProof/>
          <w:color w:val="222222"/>
        </w:rPr>
        <w:t xml:space="preserve">, </w:t>
      </w:r>
      <w:r w:rsidR="00B552F2" w:rsidRPr="00F91EC4">
        <w:rPr>
          <w:noProof/>
          <w:color w:val="222222"/>
        </w:rPr>
        <w:t xml:space="preserve">impact of the </w:t>
      </w:r>
      <w:r w:rsidRPr="00F91EC4">
        <w:rPr>
          <w:noProof/>
          <w:color w:val="222222"/>
        </w:rPr>
        <w:t>Russian invasion in Ukraine</w:t>
      </w:r>
      <w:r w:rsidR="00325D53" w:rsidRPr="00F91EC4">
        <w:rPr>
          <w:noProof/>
          <w:color w:val="222222"/>
        </w:rPr>
        <w:t>, rising energy and raw material costs</w:t>
      </w:r>
      <w:r w:rsidRPr="00F91EC4">
        <w:rPr>
          <w:noProof/>
          <w:color w:val="222222"/>
        </w:rPr>
        <w:t xml:space="preserve">. </w:t>
      </w:r>
    </w:p>
    <w:p w14:paraId="14477457" w14:textId="77777777" w:rsidR="0025495E" w:rsidRPr="00F91EC4" w:rsidRDefault="003A4BA8" w:rsidP="00C24E66">
      <w:pPr>
        <w:pBdr>
          <w:top w:val="nil"/>
          <w:left w:val="nil"/>
          <w:bottom w:val="nil"/>
          <w:right w:val="nil"/>
          <w:between w:val="nil"/>
          <w:bar w:val="nil"/>
        </w:pBdr>
        <w:spacing w:before="0" w:after="240"/>
        <w:rPr>
          <w:noProof/>
        </w:rPr>
      </w:pPr>
      <w:r w:rsidRPr="00F91EC4">
        <w:rPr>
          <w:noProof/>
        </w:rPr>
        <w:t xml:space="preserve">Despite </w:t>
      </w:r>
      <w:r w:rsidR="00B31CE4" w:rsidRPr="00F91EC4">
        <w:rPr>
          <w:noProof/>
        </w:rPr>
        <w:t xml:space="preserve">the </w:t>
      </w:r>
      <w:r w:rsidRPr="00F91EC4">
        <w:rPr>
          <w:noProof/>
        </w:rPr>
        <w:t>proposed 100% CO</w:t>
      </w:r>
      <w:r w:rsidRPr="00F91EC4">
        <w:rPr>
          <w:noProof/>
          <w:vertAlign w:val="subscript"/>
        </w:rPr>
        <w:t>2</w:t>
      </w:r>
      <w:r w:rsidRPr="00F91EC4">
        <w:rPr>
          <w:noProof/>
        </w:rPr>
        <w:t xml:space="preserve"> </w:t>
      </w:r>
      <w:r w:rsidR="000F6DDA" w:rsidRPr="00F91EC4">
        <w:rPr>
          <w:noProof/>
        </w:rPr>
        <w:t xml:space="preserve">emission reduction </w:t>
      </w:r>
      <w:r w:rsidRPr="00F91EC4">
        <w:rPr>
          <w:noProof/>
        </w:rPr>
        <w:t xml:space="preserve">targets for cars and vans by 2035, </w:t>
      </w:r>
      <w:r w:rsidR="000B074B" w:rsidRPr="00F91EC4">
        <w:rPr>
          <w:noProof/>
        </w:rPr>
        <w:t xml:space="preserve">the upcoming proposal </w:t>
      </w:r>
      <w:r w:rsidR="002B3012">
        <w:rPr>
          <w:noProof/>
        </w:rPr>
        <w:t>to revise the</w:t>
      </w:r>
      <w:r w:rsidR="000B074B" w:rsidRPr="00F91EC4">
        <w:rPr>
          <w:noProof/>
        </w:rPr>
        <w:t xml:space="preserve"> CO</w:t>
      </w:r>
      <w:r w:rsidR="000B074B" w:rsidRPr="00F91EC4">
        <w:rPr>
          <w:noProof/>
          <w:vertAlign w:val="subscript"/>
        </w:rPr>
        <w:t>2</w:t>
      </w:r>
      <w:r w:rsidR="000B074B" w:rsidRPr="00F91EC4">
        <w:rPr>
          <w:noProof/>
        </w:rPr>
        <w:t xml:space="preserve"> </w:t>
      </w:r>
      <w:r w:rsidR="002B3012">
        <w:rPr>
          <w:noProof/>
        </w:rPr>
        <w:t xml:space="preserve">performance standards </w:t>
      </w:r>
      <w:r w:rsidR="000B074B" w:rsidRPr="00F91EC4">
        <w:rPr>
          <w:noProof/>
        </w:rPr>
        <w:t xml:space="preserve">for heavy-duty vehicles, </w:t>
      </w:r>
      <w:r w:rsidR="00B31CE4" w:rsidRPr="00F91EC4">
        <w:rPr>
          <w:noProof/>
        </w:rPr>
        <w:t>the</w:t>
      </w:r>
      <w:r w:rsidR="000B074B" w:rsidRPr="00F91EC4">
        <w:rPr>
          <w:noProof/>
        </w:rPr>
        <w:t xml:space="preserve"> </w:t>
      </w:r>
      <w:r w:rsidRPr="00F91EC4">
        <w:rPr>
          <w:noProof/>
        </w:rPr>
        <w:t xml:space="preserve">increasing share of zero- and low-emission heavy-duty vehicles and new Euro 6d/VI E vehicles entering the market, a low-pollution level </w:t>
      </w:r>
      <w:r w:rsidR="00B552F2" w:rsidRPr="00F91EC4">
        <w:rPr>
          <w:noProof/>
        </w:rPr>
        <w:t xml:space="preserve">in the short- to medium-term </w:t>
      </w:r>
      <w:r w:rsidRPr="00F91EC4">
        <w:rPr>
          <w:noProof/>
        </w:rPr>
        <w:t>cannot be reached for pollutant emissions from road transport</w:t>
      </w:r>
      <w:r w:rsidR="00B552F2" w:rsidRPr="00F91EC4">
        <w:rPr>
          <w:noProof/>
        </w:rPr>
        <w:t xml:space="preserve"> without further action</w:t>
      </w:r>
      <w:r w:rsidRPr="00F91EC4">
        <w:rPr>
          <w:noProof/>
        </w:rPr>
        <w:t xml:space="preserve">. </w:t>
      </w:r>
      <w:r w:rsidR="00D91576" w:rsidRPr="00F91EC4">
        <w:rPr>
          <w:noProof/>
        </w:rPr>
        <w:t xml:space="preserve">The </w:t>
      </w:r>
      <w:r w:rsidR="00AD73AD" w:rsidRPr="00F91EC4">
        <w:rPr>
          <w:noProof/>
        </w:rPr>
        <w:t xml:space="preserve">proposal is expected to tackle </w:t>
      </w:r>
      <w:r w:rsidR="00D91576" w:rsidRPr="00F91EC4">
        <w:rPr>
          <w:noProof/>
        </w:rPr>
        <w:t xml:space="preserve">three identified </w:t>
      </w:r>
      <w:r w:rsidR="00D91576" w:rsidRPr="00F91EC4">
        <w:rPr>
          <w:b/>
          <w:noProof/>
        </w:rPr>
        <w:t>problems</w:t>
      </w:r>
      <w:r w:rsidR="00D91576" w:rsidRPr="00F91EC4">
        <w:rPr>
          <w:noProof/>
        </w:rPr>
        <w:t xml:space="preserve"> </w:t>
      </w:r>
      <w:r w:rsidR="00986AD3">
        <w:rPr>
          <w:noProof/>
        </w:rPr>
        <w:t xml:space="preserve">why </w:t>
      </w:r>
      <w:r w:rsidR="00D91576" w:rsidRPr="00F91EC4">
        <w:rPr>
          <w:noProof/>
        </w:rPr>
        <w:t>the Euro 6/VI emission standards contribut</w:t>
      </w:r>
      <w:r w:rsidR="00986AD3">
        <w:rPr>
          <w:noProof/>
        </w:rPr>
        <w:t>e</w:t>
      </w:r>
      <w:r w:rsidR="00D91576" w:rsidRPr="00F91EC4">
        <w:rPr>
          <w:noProof/>
        </w:rPr>
        <w:t xml:space="preserve"> insufficiently to the necessary reduction of pollutant emissions from road transport</w:t>
      </w:r>
      <w:r w:rsidR="00AD73AD" w:rsidRPr="00F91EC4">
        <w:rPr>
          <w:noProof/>
        </w:rPr>
        <w:t xml:space="preserve">. These problems being: (1) complexity of vehicle emission standards, (2) obsolete vehicle pollutant limits; and (3) insufficient control of vehicle real-world emissions. </w:t>
      </w:r>
    </w:p>
    <w:p w14:paraId="1446F77D" w14:textId="77777777" w:rsidR="0081512A" w:rsidRPr="00F91EC4" w:rsidRDefault="0081512A" w:rsidP="00C24E66">
      <w:pPr>
        <w:pBdr>
          <w:top w:val="nil"/>
          <w:left w:val="nil"/>
          <w:bottom w:val="nil"/>
          <w:right w:val="nil"/>
          <w:between w:val="nil"/>
          <w:bar w:val="nil"/>
        </w:pBdr>
        <w:spacing w:before="0" w:after="240"/>
        <w:rPr>
          <w:noProof/>
        </w:rPr>
      </w:pPr>
      <w:r w:rsidRPr="00F91EC4">
        <w:rPr>
          <w:noProof/>
        </w:rPr>
        <w:t xml:space="preserve">The </w:t>
      </w:r>
      <w:r w:rsidRPr="00F91EC4">
        <w:rPr>
          <w:b/>
          <w:noProof/>
        </w:rPr>
        <w:t>general objective</w:t>
      </w:r>
      <w:r w:rsidRPr="00F91EC4">
        <w:rPr>
          <w:noProof/>
        </w:rPr>
        <w:t xml:space="preserve"> of the initiative is twofold: (1) to ensure the proper functioning of the single market by setting more adequate, cost-effective and future-proof rules for vehicle emissions; and (2) to ensure a high level of environmental and health protection in the EU by further reducing air pollutant emissions from road transport.</w:t>
      </w:r>
    </w:p>
    <w:p w14:paraId="01912DA3" w14:textId="77777777" w:rsidR="00157918" w:rsidRPr="00F91EC4" w:rsidRDefault="00157918" w:rsidP="001716CD">
      <w:pPr>
        <w:pBdr>
          <w:top w:val="nil"/>
          <w:left w:val="nil"/>
          <w:bottom w:val="nil"/>
          <w:right w:val="nil"/>
          <w:between w:val="nil"/>
          <w:bar w:val="nil"/>
        </w:pBdr>
        <w:spacing w:before="0" w:after="0"/>
        <w:rPr>
          <w:noProof/>
        </w:rPr>
      </w:pPr>
      <w:r w:rsidRPr="00F91EC4">
        <w:rPr>
          <w:noProof/>
        </w:rPr>
        <w:t xml:space="preserve">This initiative will contribute to achieving the general objective by pursuing the following three </w:t>
      </w:r>
      <w:r w:rsidRPr="00F91EC4">
        <w:rPr>
          <w:b/>
          <w:noProof/>
        </w:rPr>
        <w:t>specific objectives</w:t>
      </w:r>
      <w:r w:rsidRPr="00F91EC4">
        <w:rPr>
          <w:noProof/>
        </w:rPr>
        <w:t>. It will:</w:t>
      </w:r>
    </w:p>
    <w:p w14:paraId="399074AC" w14:textId="02C5CE7E" w:rsidR="00157918" w:rsidRPr="00F91EC4" w:rsidRDefault="00DD0F7B" w:rsidP="00DD0F7B">
      <w:pPr>
        <w:pStyle w:val="Point0"/>
        <w:rPr>
          <w:noProof/>
        </w:rPr>
      </w:pPr>
      <w:r w:rsidRPr="00DD0F7B">
        <w:rPr>
          <w:noProof/>
        </w:rPr>
        <w:t>(1)</w:t>
      </w:r>
      <w:r w:rsidRPr="00DD0F7B">
        <w:rPr>
          <w:noProof/>
        </w:rPr>
        <w:tab/>
      </w:r>
      <w:r w:rsidR="00157918" w:rsidRPr="00F91EC4">
        <w:rPr>
          <w:noProof/>
        </w:rPr>
        <w:t xml:space="preserve">Reduce complexity of the current Euro emission standards. </w:t>
      </w:r>
    </w:p>
    <w:p w14:paraId="75D8B5A3" w14:textId="57EB8E7A" w:rsidR="00157918" w:rsidRPr="00F91EC4" w:rsidRDefault="00DD0F7B" w:rsidP="00DD0F7B">
      <w:pPr>
        <w:pStyle w:val="Point0"/>
        <w:rPr>
          <w:noProof/>
        </w:rPr>
      </w:pPr>
      <w:r w:rsidRPr="00DD0F7B">
        <w:rPr>
          <w:noProof/>
        </w:rPr>
        <w:t>(2)</w:t>
      </w:r>
      <w:r w:rsidRPr="00DD0F7B">
        <w:rPr>
          <w:noProof/>
        </w:rPr>
        <w:tab/>
      </w:r>
      <w:r w:rsidR="00157918" w:rsidRPr="00F91EC4">
        <w:rPr>
          <w:noProof/>
        </w:rPr>
        <w:t xml:space="preserve">Provide up-to-date limits for all relevant air pollutants.  </w:t>
      </w:r>
    </w:p>
    <w:p w14:paraId="15BD1AA4" w14:textId="0704A2F0" w:rsidR="00157918" w:rsidRPr="00F91EC4" w:rsidRDefault="00DD0F7B" w:rsidP="00DD0F7B">
      <w:pPr>
        <w:pStyle w:val="Point0"/>
        <w:rPr>
          <w:noProof/>
        </w:rPr>
      </w:pPr>
      <w:r w:rsidRPr="00DD0F7B">
        <w:rPr>
          <w:noProof/>
        </w:rPr>
        <w:t>(3)</w:t>
      </w:r>
      <w:r w:rsidRPr="00DD0F7B">
        <w:rPr>
          <w:noProof/>
        </w:rPr>
        <w:tab/>
      </w:r>
      <w:r w:rsidR="00157918" w:rsidRPr="00F91EC4">
        <w:rPr>
          <w:noProof/>
        </w:rPr>
        <w:t xml:space="preserve">Improve control of real-world emissions. </w:t>
      </w:r>
    </w:p>
    <w:p w14:paraId="12B3B2C3" w14:textId="1CFC15FB" w:rsidR="00D50306" w:rsidRPr="00F91EC4" w:rsidRDefault="00D50306" w:rsidP="00ED7143">
      <w:pPr>
        <w:pBdr>
          <w:top w:val="nil"/>
          <w:left w:val="nil"/>
          <w:bottom w:val="nil"/>
          <w:right w:val="nil"/>
          <w:between w:val="nil"/>
          <w:bar w:val="nil"/>
        </w:pBdr>
        <w:spacing w:before="0"/>
        <w:rPr>
          <w:noProof/>
        </w:rPr>
      </w:pPr>
      <w:r w:rsidRPr="00F91EC4">
        <w:rPr>
          <w:noProof/>
        </w:rPr>
        <w:t xml:space="preserve">Improving the control </w:t>
      </w:r>
      <w:r w:rsidR="00D470AE" w:rsidRPr="00F91EC4">
        <w:rPr>
          <w:noProof/>
        </w:rPr>
        <w:t xml:space="preserve">of </w:t>
      </w:r>
      <w:r w:rsidRPr="00F91EC4">
        <w:rPr>
          <w:noProof/>
        </w:rPr>
        <w:t>real-world emissions throughout the lifetime of a vehicle is of considerable importance for the second-hand market</w:t>
      </w:r>
      <w:r w:rsidR="00D470AE" w:rsidRPr="00F91EC4">
        <w:rPr>
          <w:noProof/>
        </w:rPr>
        <w:t xml:space="preserve"> important</w:t>
      </w:r>
      <w:r w:rsidRPr="00F91EC4">
        <w:rPr>
          <w:noProof/>
        </w:rPr>
        <w:t xml:space="preserve"> to </w:t>
      </w:r>
      <w:r w:rsidR="008D4C89" w:rsidRPr="00F91EC4">
        <w:rPr>
          <w:noProof/>
        </w:rPr>
        <w:t>several</w:t>
      </w:r>
      <w:r w:rsidRPr="00F91EC4">
        <w:rPr>
          <w:noProof/>
        </w:rPr>
        <w:t xml:space="preserve"> EU countries, but also to other regions, such as </w:t>
      </w:r>
      <w:r w:rsidR="006E784D" w:rsidRPr="00F91EC4">
        <w:rPr>
          <w:noProof/>
        </w:rPr>
        <w:t>Africa or Middle East</w:t>
      </w:r>
      <w:r w:rsidRPr="00F91EC4">
        <w:rPr>
          <w:noProof/>
        </w:rPr>
        <w:t>.</w:t>
      </w:r>
      <w:r w:rsidR="00F3235F" w:rsidRPr="00F91EC4">
        <w:rPr>
          <w:noProof/>
        </w:rPr>
        <w:t xml:space="preserve"> T</w:t>
      </w:r>
      <w:r w:rsidR="00F3235F" w:rsidRPr="00F91EC4">
        <w:rPr>
          <w:noProof/>
          <w:szCs w:val="24"/>
        </w:rPr>
        <w:t xml:space="preserve">he </w:t>
      </w:r>
      <w:r w:rsidRPr="00F91EC4">
        <w:rPr>
          <w:noProof/>
          <w:szCs w:val="24"/>
        </w:rPr>
        <w:t xml:space="preserve">Euro 7 proposal aims at </w:t>
      </w:r>
      <w:r w:rsidR="00D470AE" w:rsidRPr="00F91EC4">
        <w:rPr>
          <w:noProof/>
          <w:szCs w:val="24"/>
        </w:rPr>
        <w:t>reducing</w:t>
      </w:r>
      <w:r w:rsidRPr="00F91EC4">
        <w:rPr>
          <w:noProof/>
          <w:szCs w:val="24"/>
        </w:rPr>
        <w:t xml:space="preserve"> vehicle emissions during a longer part of a vehicle’s lifetime</w:t>
      </w:r>
      <w:r w:rsidR="00D470AE" w:rsidRPr="00F91EC4">
        <w:rPr>
          <w:noProof/>
          <w:szCs w:val="24"/>
        </w:rPr>
        <w:t>, thus benefiting also second-hand users</w:t>
      </w:r>
      <w:r w:rsidR="00F3235F" w:rsidRPr="00F91EC4">
        <w:rPr>
          <w:noProof/>
          <w:szCs w:val="24"/>
        </w:rPr>
        <w:t>.</w:t>
      </w:r>
      <w:r w:rsidR="00BF137B">
        <w:rPr>
          <w:noProof/>
          <w:szCs w:val="24"/>
        </w:rPr>
        <w:t xml:space="preserve"> In </w:t>
      </w:r>
      <w:r w:rsidR="00BF137B" w:rsidRPr="00F8224F">
        <w:rPr>
          <w:noProof/>
          <w:szCs w:val="24"/>
        </w:rPr>
        <w:t xml:space="preserve">particular as regards </w:t>
      </w:r>
      <w:r w:rsidR="00BF137B">
        <w:rPr>
          <w:noProof/>
          <w:szCs w:val="24"/>
        </w:rPr>
        <w:t xml:space="preserve">specific objective </w:t>
      </w:r>
      <w:r w:rsidR="00BF137B" w:rsidRPr="00F8224F">
        <w:rPr>
          <w:noProof/>
          <w:szCs w:val="24"/>
        </w:rPr>
        <w:t>(3), air quality will continue to be i</w:t>
      </w:r>
      <w:r w:rsidR="00BF137B">
        <w:rPr>
          <w:noProof/>
          <w:szCs w:val="24"/>
        </w:rPr>
        <w:t>mpacted by pre-Euro 7 cars for several years to come.</w:t>
      </w:r>
      <w:r w:rsidR="00BF137B" w:rsidRPr="00F8224F">
        <w:rPr>
          <w:noProof/>
          <w:szCs w:val="24"/>
        </w:rPr>
        <w:t xml:space="preserve"> </w:t>
      </w:r>
      <w:r w:rsidR="00BF137B">
        <w:rPr>
          <w:noProof/>
          <w:szCs w:val="24"/>
        </w:rPr>
        <w:t>Appropriate</w:t>
      </w:r>
      <w:r w:rsidR="00BF137B" w:rsidRPr="00F8224F">
        <w:rPr>
          <w:noProof/>
          <w:szCs w:val="24"/>
        </w:rPr>
        <w:t xml:space="preserve"> incentives </w:t>
      </w:r>
      <w:r w:rsidR="00BF137B">
        <w:rPr>
          <w:noProof/>
          <w:szCs w:val="24"/>
        </w:rPr>
        <w:t xml:space="preserve">could be put in place </w:t>
      </w:r>
      <w:r w:rsidR="00BF137B" w:rsidRPr="00F8224F">
        <w:rPr>
          <w:noProof/>
          <w:szCs w:val="24"/>
        </w:rPr>
        <w:t>for older cars to be retrofit</w:t>
      </w:r>
      <w:r w:rsidR="00BF137B">
        <w:rPr>
          <w:noProof/>
          <w:szCs w:val="24"/>
        </w:rPr>
        <w:t>ted to meet Euro 7 requirements</w:t>
      </w:r>
      <w:r w:rsidR="00BF137B" w:rsidRPr="00F8224F">
        <w:rPr>
          <w:noProof/>
          <w:szCs w:val="24"/>
        </w:rPr>
        <w:t xml:space="preserve"> </w:t>
      </w:r>
      <w:r w:rsidR="00BF137B">
        <w:rPr>
          <w:noProof/>
          <w:szCs w:val="24"/>
        </w:rPr>
        <w:t>for tailpipe emissions but also</w:t>
      </w:r>
      <w:r w:rsidR="00BF137B" w:rsidRPr="00F8224F">
        <w:rPr>
          <w:noProof/>
          <w:szCs w:val="24"/>
        </w:rPr>
        <w:t xml:space="preserve"> for tyre and brake </w:t>
      </w:r>
      <w:r w:rsidR="00BF137B">
        <w:rPr>
          <w:noProof/>
          <w:szCs w:val="24"/>
        </w:rPr>
        <w:t xml:space="preserve">emissions. </w:t>
      </w:r>
      <w:r w:rsidR="00BF137B">
        <w:rPr>
          <w:noProof/>
        </w:rPr>
        <w:t>Additionally, to speed up the reduction of emissions from the existing fleet and to accelerate the transition to zero-emission transport, it is important to encourage the conversion of internal combustion engine vehicles to battery or fuel cell electric drive.</w:t>
      </w:r>
    </w:p>
    <w:p w14:paraId="12DDAAA0" w14:textId="77777777" w:rsidR="009439C4" w:rsidRPr="00F91EC4" w:rsidRDefault="009439C4" w:rsidP="00C24E66">
      <w:pPr>
        <w:pStyle w:val="ManualHeading2"/>
        <w:rPr>
          <w:rFonts w:eastAsia="Arial Unicode MS"/>
          <w:noProof/>
        </w:rPr>
      </w:pPr>
      <w:r w:rsidRPr="00F91EC4">
        <w:rPr>
          <w:rFonts w:eastAsia="Arial Unicode MS"/>
          <w:noProof/>
          <w:color w:val="000000"/>
          <w:u w:color="000000"/>
          <w:bdr w:val="nil"/>
          <w:lang w:eastAsia="en-GB"/>
        </w:rPr>
        <w:t>•</w:t>
      </w:r>
      <w:r w:rsidRPr="00F91EC4">
        <w:rPr>
          <w:rFonts w:eastAsia="Arial Unicode MS"/>
          <w:noProof/>
          <w:color w:val="000000"/>
          <w:u w:color="000000"/>
          <w:bdr w:val="nil"/>
          <w:lang w:eastAsia="en-GB"/>
        </w:rPr>
        <w:tab/>
      </w:r>
      <w:r w:rsidRPr="00F91EC4">
        <w:rPr>
          <w:rFonts w:eastAsia="Arial Unicode MS"/>
          <w:noProof/>
        </w:rPr>
        <w:t>Consistency with existing policy provisions in the policy area</w:t>
      </w:r>
    </w:p>
    <w:p w14:paraId="5CE7700D" w14:textId="77777777" w:rsidR="00176390" w:rsidRPr="00F91EC4" w:rsidRDefault="00176390" w:rsidP="004C7E06">
      <w:pPr>
        <w:pStyle w:val="Text1"/>
        <w:ind w:left="0"/>
        <w:rPr>
          <w:noProof/>
        </w:rPr>
      </w:pPr>
      <w:r w:rsidRPr="00F91EC4">
        <w:rPr>
          <w:noProof/>
        </w:rPr>
        <w:t>Regulation (EU) 2018/858 of the European Parliament and of the Council provides for a general framework on the approval and market surveillance of motor vehicles and their trailers, and of systems, components and separate technical units intended for such vehicles.</w:t>
      </w:r>
    </w:p>
    <w:p w14:paraId="35C277D8" w14:textId="77777777" w:rsidR="00E93FFE" w:rsidRPr="00F91EC4" w:rsidRDefault="00E93FFE" w:rsidP="001716CD">
      <w:pPr>
        <w:pStyle w:val="Text1"/>
        <w:ind w:left="0"/>
        <w:rPr>
          <w:noProof/>
        </w:rPr>
      </w:pPr>
      <w:r w:rsidRPr="00F91EC4">
        <w:rPr>
          <w:noProof/>
        </w:rPr>
        <w:t xml:space="preserve">Euro emission standards for vehicles </w:t>
      </w:r>
      <w:r w:rsidR="00176390" w:rsidRPr="00F91EC4">
        <w:rPr>
          <w:noProof/>
        </w:rPr>
        <w:t>(Regulations 715/2007 and 595/2009) are part of the above framework</w:t>
      </w:r>
      <w:r w:rsidR="004A3F21" w:rsidRPr="00F91EC4">
        <w:rPr>
          <w:rStyle w:val="FootnoteReference"/>
          <w:noProof/>
        </w:rPr>
        <w:footnoteReference w:id="13"/>
      </w:r>
      <w:r w:rsidR="00176390" w:rsidRPr="00F91EC4">
        <w:rPr>
          <w:noProof/>
        </w:rPr>
        <w:t>.</w:t>
      </w:r>
      <w:r w:rsidRPr="00F91EC4">
        <w:rPr>
          <w:noProof/>
        </w:rPr>
        <w:t xml:space="preserve"> </w:t>
      </w:r>
      <w:r w:rsidR="00176390" w:rsidRPr="00F91EC4">
        <w:rPr>
          <w:noProof/>
        </w:rPr>
        <w:t xml:space="preserve">They </w:t>
      </w:r>
      <w:r w:rsidRPr="00F91EC4">
        <w:rPr>
          <w:noProof/>
        </w:rPr>
        <w:t xml:space="preserve">are interlinked with several </w:t>
      </w:r>
      <w:r w:rsidR="000E0E1D" w:rsidRPr="00F91EC4">
        <w:rPr>
          <w:noProof/>
        </w:rPr>
        <w:t xml:space="preserve">existing policy provisions </w:t>
      </w:r>
      <w:r w:rsidR="002A1C37" w:rsidRPr="00F91EC4">
        <w:rPr>
          <w:noProof/>
        </w:rPr>
        <w:t xml:space="preserve">and planned proposals </w:t>
      </w:r>
      <w:r w:rsidRPr="00F91EC4">
        <w:rPr>
          <w:noProof/>
        </w:rPr>
        <w:t>which tackle air pollutants of the road transport as well as with the CO</w:t>
      </w:r>
      <w:r w:rsidRPr="00F91EC4">
        <w:rPr>
          <w:noProof/>
          <w:vertAlign w:val="subscript"/>
        </w:rPr>
        <w:t>2</w:t>
      </w:r>
      <w:r w:rsidRPr="00F91EC4">
        <w:rPr>
          <w:noProof/>
        </w:rPr>
        <w:t xml:space="preserve"> emission standards</w:t>
      </w:r>
      <w:bookmarkStart w:id="5" w:name="_Ref71737147"/>
      <w:r w:rsidRPr="00F91EC4">
        <w:rPr>
          <w:rStyle w:val="FootnoteReference"/>
          <w:noProof/>
        </w:rPr>
        <w:footnoteReference w:id="14"/>
      </w:r>
      <w:bookmarkEnd w:id="5"/>
      <w:r w:rsidRPr="00F91EC4">
        <w:rPr>
          <w:noProof/>
        </w:rPr>
        <w:t xml:space="preserve"> which reduce air pollutants as a co-benefit.</w:t>
      </w:r>
      <w:r w:rsidR="000E0E1D" w:rsidRPr="00F91EC4">
        <w:rPr>
          <w:noProof/>
        </w:rPr>
        <w:t xml:space="preserve"> This legislative proposal on Euro 7 emission standards for cars, vans, lorries and buses</w:t>
      </w:r>
      <w:r w:rsidR="002A1C37" w:rsidRPr="00F91EC4">
        <w:rPr>
          <w:noProof/>
        </w:rPr>
        <w:t xml:space="preserve"> </w:t>
      </w:r>
      <w:r w:rsidR="00DD47AB" w:rsidRPr="00F91EC4">
        <w:rPr>
          <w:noProof/>
        </w:rPr>
        <w:t xml:space="preserve">improves </w:t>
      </w:r>
      <w:r w:rsidR="002A1C37" w:rsidRPr="00F91EC4">
        <w:rPr>
          <w:noProof/>
        </w:rPr>
        <w:t>consistency</w:t>
      </w:r>
      <w:r w:rsidR="00DD47AB" w:rsidRPr="00F91EC4">
        <w:rPr>
          <w:noProof/>
        </w:rPr>
        <w:t xml:space="preserve"> of the Euro emission standards </w:t>
      </w:r>
      <w:r w:rsidR="002A1C37" w:rsidRPr="00F91EC4">
        <w:rPr>
          <w:noProof/>
        </w:rPr>
        <w:t>with the following measures.</w:t>
      </w:r>
    </w:p>
    <w:p w14:paraId="007C5A23" w14:textId="77777777" w:rsidR="00DE1E8D" w:rsidRPr="00F91EC4" w:rsidRDefault="00DE1E8D" w:rsidP="001716CD">
      <w:pPr>
        <w:rPr>
          <w:noProof/>
        </w:rPr>
      </w:pPr>
      <w:r w:rsidRPr="00F91EC4">
        <w:rPr>
          <w:noProof/>
        </w:rPr>
        <w:t xml:space="preserve">The </w:t>
      </w:r>
      <w:r w:rsidRPr="00F91EC4">
        <w:rPr>
          <w:b/>
          <w:noProof/>
        </w:rPr>
        <w:t>Ambient Air Quality Directive (AAQD)</w:t>
      </w:r>
      <w:r w:rsidRPr="00F91EC4">
        <w:rPr>
          <w:rStyle w:val="FootnoteReference"/>
          <w:noProof/>
        </w:rPr>
        <w:footnoteReference w:id="15"/>
      </w:r>
      <w:r w:rsidRPr="00F91EC4">
        <w:rPr>
          <w:noProof/>
        </w:rPr>
        <w:t xml:space="preserve"> aims at improving air quality by setting limits for the ambient air concentrations of specific air pollutants from all air pollution sources (e.g. agriculture, energy, manufacturing, etc.).</w:t>
      </w:r>
      <w:r w:rsidR="00273F66" w:rsidRPr="00F91EC4">
        <w:rPr>
          <w:noProof/>
        </w:rPr>
        <w:t xml:space="preserve"> </w:t>
      </w:r>
      <w:r w:rsidRPr="00F91EC4">
        <w:rPr>
          <w:b/>
          <w:noProof/>
        </w:rPr>
        <w:t>National Emission reduction Commitments Directive (NECD)</w:t>
      </w:r>
      <w:bookmarkStart w:id="6" w:name="_Ref83650890"/>
      <w:r w:rsidRPr="00F91EC4">
        <w:rPr>
          <w:rStyle w:val="FootnoteReference"/>
          <w:noProof/>
        </w:rPr>
        <w:footnoteReference w:id="16"/>
      </w:r>
      <w:bookmarkEnd w:id="6"/>
      <w:r w:rsidRPr="00F91EC4">
        <w:rPr>
          <w:noProof/>
        </w:rPr>
        <w:t xml:space="preserve"> aims at reducing national air pollutant emissions by setting national reduction commitments for specific air pollutants, with reductions from all sectors, including road transport.</w:t>
      </w:r>
      <w:r w:rsidR="00DD47AB" w:rsidRPr="00F91EC4">
        <w:rPr>
          <w:noProof/>
        </w:rPr>
        <w:t xml:space="preserve"> </w:t>
      </w:r>
      <w:r w:rsidR="00D36D42">
        <w:rPr>
          <w:noProof/>
        </w:rPr>
        <w:t>On 26 October 2022 the Commission adopted a proposal for the revision of the Ambient Air Quality Directives</w:t>
      </w:r>
      <w:r w:rsidR="00B556CF">
        <w:rPr>
          <w:rStyle w:val="FootnoteReference"/>
          <w:noProof/>
        </w:rPr>
        <w:footnoteReference w:id="17"/>
      </w:r>
      <w:r w:rsidR="00D36D42">
        <w:rPr>
          <w:noProof/>
        </w:rPr>
        <w:t xml:space="preserve">. </w:t>
      </w:r>
      <w:r w:rsidR="00D36D42" w:rsidRPr="00D36D42">
        <w:rPr>
          <w:noProof/>
        </w:rPr>
        <w:t>The proposed revision will set interim 2030 EU air quality standards, aligned more closely with World Health Organization guidelines, while putting the EU on a trajectory to achieve zero pollution for air at the latest by 2050</w:t>
      </w:r>
      <w:r w:rsidR="00D36D42">
        <w:rPr>
          <w:noProof/>
        </w:rPr>
        <w:t>. The</w:t>
      </w:r>
      <w:r w:rsidR="00DD47AB" w:rsidRPr="00F91EC4">
        <w:rPr>
          <w:noProof/>
        </w:rPr>
        <w:t xml:space="preserve"> Euro 7 </w:t>
      </w:r>
      <w:r w:rsidR="00D36D42">
        <w:rPr>
          <w:noProof/>
        </w:rPr>
        <w:t>proposal is</w:t>
      </w:r>
      <w:r w:rsidR="00DD47AB" w:rsidRPr="00F91EC4">
        <w:rPr>
          <w:noProof/>
        </w:rPr>
        <w:t xml:space="preserve"> a</w:t>
      </w:r>
      <w:r w:rsidR="009E4058">
        <w:rPr>
          <w:noProof/>
        </w:rPr>
        <w:t>n important</w:t>
      </w:r>
      <w:r w:rsidR="00DD47AB" w:rsidRPr="00F91EC4">
        <w:rPr>
          <w:noProof/>
        </w:rPr>
        <w:t xml:space="preserve"> element to deliver on this ambition and </w:t>
      </w:r>
      <w:r w:rsidR="00533742" w:rsidRPr="00F91EC4">
        <w:rPr>
          <w:noProof/>
        </w:rPr>
        <w:t>to contribute to the objectives of the EU’s clean air policy, including the revision of the AAQD</w:t>
      </w:r>
      <w:r w:rsidR="00DD47AB" w:rsidRPr="00F91EC4">
        <w:rPr>
          <w:noProof/>
        </w:rPr>
        <w:t>. By ensuring a reduction of all relevant air pollutant emissions from road transport consistent with AAQD/NECD air pollutant coverage and targets, the</w:t>
      </w:r>
      <w:r w:rsidR="00AE11A4" w:rsidRPr="00F91EC4">
        <w:rPr>
          <w:noProof/>
        </w:rPr>
        <w:t xml:space="preserve"> proposal for</w:t>
      </w:r>
      <w:r w:rsidR="00DD47AB" w:rsidRPr="00F91EC4">
        <w:rPr>
          <w:noProof/>
        </w:rPr>
        <w:t xml:space="preserve"> Euro 7 standards notably support Member States in meeting their commitments under the </w:t>
      </w:r>
      <w:r w:rsidR="009E4058">
        <w:rPr>
          <w:noProof/>
        </w:rPr>
        <w:t xml:space="preserve">AAQD and the </w:t>
      </w:r>
      <w:r w:rsidR="00DD47AB" w:rsidRPr="00F91EC4">
        <w:rPr>
          <w:noProof/>
        </w:rPr>
        <w:t>NECD.</w:t>
      </w:r>
      <w:r w:rsidR="00AE11A4" w:rsidRPr="00F91EC4">
        <w:rPr>
          <w:noProof/>
        </w:rPr>
        <w:t xml:space="preserve"> </w:t>
      </w:r>
    </w:p>
    <w:p w14:paraId="3D9A9AD3" w14:textId="470CB600" w:rsidR="00DE1E8D" w:rsidRPr="00F91EC4" w:rsidRDefault="00DE1E8D" w:rsidP="001716CD">
      <w:pPr>
        <w:rPr>
          <w:noProof/>
        </w:rPr>
      </w:pPr>
      <w:r w:rsidRPr="00F91EC4">
        <w:rPr>
          <w:noProof/>
        </w:rPr>
        <w:t xml:space="preserve">The </w:t>
      </w:r>
      <w:r w:rsidRPr="00F91EC4">
        <w:rPr>
          <w:b/>
          <w:noProof/>
        </w:rPr>
        <w:t>CO</w:t>
      </w:r>
      <w:r w:rsidRPr="00F91EC4">
        <w:rPr>
          <w:b/>
          <w:noProof/>
          <w:vertAlign w:val="subscript"/>
        </w:rPr>
        <w:t>2</w:t>
      </w:r>
      <w:r w:rsidRPr="00F91EC4">
        <w:rPr>
          <w:b/>
          <w:noProof/>
        </w:rPr>
        <w:t xml:space="preserve"> emission standards</w:t>
      </w:r>
      <w:r w:rsidRPr="00F91EC4">
        <w:rPr>
          <w:noProof/>
        </w:rPr>
        <w:t xml:space="preserve"> support the EU’s climate ambition set in </w:t>
      </w:r>
      <w:r w:rsidR="00A8744D" w:rsidRPr="00F91EC4">
        <w:rPr>
          <w:noProof/>
        </w:rPr>
        <w:t>European Climate Law</w:t>
      </w:r>
      <w:r w:rsidR="00A8744D" w:rsidRPr="00F91EC4">
        <w:rPr>
          <w:rStyle w:val="FootnoteReference"/>
          <w:noProof/>
        </w:rPr>
        <w:footnoteReference w:id="18"/>
      </w:r>
      <w:r w:rsidRPr="00F91EC4">
        <w:rPr>
          <w:noProof/>
        </w:rPr>
        <w:t xml:space="preserve">, which aims at reducing EU greenhouse gas emissions by at least 55% by 2030, compared to 1990. </w:t>
      </w:r>
      <w:r w:rsidR="00A8744D" w:rsidRPr="00F91EC4">
        <w:rPr>
          <w:noProof/>
        </w:rPr>
        <w:t xml:space="preserve">In July 2021, the Commission </w:t>
      </w:r>
      <w:r w:rsidR="00805056" w:rsidRPr="00F91EC4">
        <w:rPr>
          <w:noProof/>
        </w:rPr>
        <w:t xml:space="preserve">proposed to </w:t>
      </w:r>
      <w:r w:rsidR="00A8744D" w:rsidRPr="00F91EC4">
        <w:rPr>
          <w:noProof/>
        </w:rPr>
        <w:t>revise and strengthen the CO</w:t>
      </w:r>
      <w:r w:rsidR="00A8744D" w:rsidRPr="00F91EC4">
        <w:rPr>
          <w:noProof/>
          <w:vertAlign w:val="subscript"/>
        </w:rPr>
        <w:t xml:space="preserve">2 </w:t>
      </w:r>
      <w:r w:rsidR="00A8744D" w:rsidRPr="00F91EC4">
        <w:rPr>
          <w:noProof/>
        </w:rPr>
        <w:t>emission standards for cars/vans</w:t>
      </w:r>
      <w:r w:rsidR="00A8744D" w:rsidRPr="00F91EC4">
        <w:rPr>
          <w:rStyle w:val="FootnoteReference"/>
          <w:noProof/>
        </w:rPr>
        <w:footnoteReference w:id="19"/>
      </w:r>
      <w:r w:rsidR="00A8744D" w:rsidRPr="00F91EC4">
        <w:rPr>
          <w:noProof/>
        </w:rPr>
        <w:t xml:space="preserve">, while the </w:t>
      </w:r>
      <w:r w:rsidR="00A8744D" w:rsidRPr="00F91EC4">
        <w:rPr>
          <w:rFonts w:eastAsia="Times New Roman"/>
          <w:noProof/>
          <w:szCs w:val="24"/>
          <w:lang w:eastAsia="nl-NL"/>
        </w:rPr>
        <w:t xml:space="preserve">revision of the </w:t>
      </w:r>
      <w:r w:rsidR="00A8744D" w:rsidRPr="00F91EC4">
        <w:rPr>
          <w:noProof/>
        </w:rPr>
        <w:t xml:space="preserve">standards for heavy-duty vehicles is foreseen by end-2022. </w:t>
      </w:r>
      <w:r w:rsidR="00C52541" w:rsidRPr="00F91EC4">
        <w:rPr>
          <w:noProof/>
        </w:rPr>
        <w:t>Whereas the CO</w:t>
      </w:r>
      <w:r w:rsidR="00C52541" w:rsidRPr="00F91EC4">
        <w:rPr>
          <w:noProof/>
          <w:vertAlign w:val="subscript"/>
        </w:rPr>
        <w:t>2</w:t>
      </w:r>
      <w:r w:rsidR="00C52541" w:rsidRPr="00F91EC4">
        <w:rPr>
          <w:noProof/>
        </w:rPr>
        <w:t xml:space="preserve"> emission standards promote zero-emission technologies, such as electric vehicles, the new Euro 7 standards address the emission of harmful air pollutants from combustion engines </w:t>
      </w:r>
      <w:r w:rsidR="00B552F2" w:rsidRPr="00F91EC4">
        <w:rPr>
          <w:noProof/>
        </w:rPr>
        <w:t xml:space="preserve">and non-tailpipe emissions from electric vehicles </w:t>
      </w:r>
      <w:r w:rsidR="00C52541" w:rsidRPr="00F91EC4">
        <w:rPr>
          <w:noProof/>
        </w:rPr>
        <w:t xml:space="preserve">with the aim to protect human health and the environment. </w:t>
      </w:r>
      <w:r w:rsidR="00A8744D" w:rsidRPr="00F91EC4">
        <w:rPr>
          <w:noProof/>
        </w:rPr>
        <w:t xml:space="preserve">Therefore, the Euro 7 general objectives remain valid insofar as vehicles </w:t>
      </w:r>
      <w:r w:rsidR="004D06D0" w:rsidRPr="00F91EC4">
        <w:rPr>
          <w:noProof/>
        </w:rPr>
        <w:t xml:space="preserve">with internal combustion engines </w:t>
      </w:r>
      <w:r w:rsidR="00A8744D" w:rsidRPr="00F91EC4">
        <w:rPr>
          <w:noProof/>
        </w:rPr>
        <w:t>will continue to emit exhaust pollutants, and all vehicles will contribute to non-exhaust emissions.</w:t>
      </w:r>
      <w:r w:rsidR="00C52541" w:rsidRPr="00F91EC4">
        <w:rPr>
          <w:noProof/>
        </w:rPr>
        <w:t xml:space="preserve"> Despite</w:t>
      </w:r>
      <w:r w:rsidR="00805056" w:rsidRPr="00F91EC4">
        <w:rPr>
          <w:noProof/>
        </w:rPr>
        <w:t xml:space="preserve"> the proposed</w:t>
      </w:r>
      <w:r w:rsidR="00C52541" w:rsidRPr="00F91EC4">
        <w:rPr>
          <w:noProof/>
        </w:rPr>
        <w:t xml:space="preserve"> </w:t>
      </w:r>
      <w:r w:rsidR="002B3012">
        <w:rPr>
          <w:noProof/>
        </w:rPr>
        <w:t>100% CO2 reduction target for</w:t>
      </w:r>
      <w:r w:rsidR="00C52541" w:rsidRPr="00F91EC4">
        <w:rPr>
          <w:noProof/>
        </w:rPr>
        <w:t xml:space="preserve"> 2035 for new cars/vans, the number of vehicles placed on the market with combustion engines (including hybrids) </w:t>
      </w:r>
      <w:r w:rsidR="00805056" w:rsidRPr="00F91EC4">
        <w:rPr>
          <w:noProof/>
        </w:rPr>
        <w:t xml:space="preserve">will </w:t>
      </w:r>
      <w:r w:rsidR="00C52541" w:rsidRPr="00F91EC4">
        <w:rPr>
          <w:noProof/>
        </w:rPr>
        <w:t xml:space="preserve">remain important, in particular for lorries/buses. </w:t>
      </w:r>
      <w:r w:rsidR="00FD70CB" w:rsidRPr="00F91EC4">
        <w:rPr>
          <w:noProof/>
        </w:rPr>
        <w:t>Both CO</w:t>
      </w:r>
      <w:r w:rsidR="00FD70CB" w:rsidRPr="00F91EC4">
        <w:rPr>
          <w:noProof/>
          <w:vertAlign w:val="subscript"/>
        </w:rPr>
        <w:t>2</w:t>
      </w:r>
      <w:r w:rsidR="00FD70CB" w:rsidRPr="00F91EC4">
        <w:rPr>
          <w:noProof/>
        </w:rPr>
        <w:t xml:space="preserve"> and pollutant </w:t>
      </w:r>
      <w:r w:rsidR="00BF137B">
        <w:rPr>
          <w:noProof/>
        </w:rPr>
        <w:t xml:space="preserve">emission </w:t>
      </w:r>
      <w:r w:rsidR="00FD70CB" w:rsidRPr="00F91EC4">
        <w:rPr>
          <w:noProof/>
        </w:rPr>
        <w:t xml:space="preserve">standards are considered as complementary to reach the climate and zero-pollution ambition of the European Green Deal and contribute to the shift to sustainable mobility. </w:t>
      </w:r>
    </w:p>
    <w:p w14:paraId="6F326DA3" w14:textId="77777777" w:rsidR="00C52541" w:rsidRPr="00F91EC4" w:rsidRDefault="00C52541" w:rsidP="00C52541">
      <w:pPr>
        <w:rPr>
          <w:noProof/>
        </w:rPr>
      </w:pPr>
      <w:r w:rsidRPr="00F91EC4">
        <w:rPr>
          <w:noProof/>
        </w:rPr>
        <w:t xml:space="preserve">The </w:t>
      </w:r>
      <w:r w:rsidRPr="00F91EC4">
        <w:rPr>
          <w:b/>
          <w:noProof/>
        </w:rPr>
        <w:t>Roadworthiness Directives</w:t>
      </w:r>
      <w:r w:rsidRPr="00F91EC4">
        <w:rPr>
          <w:rStyle w:val="FootnoteReference"/>
          <w:b/>
          <w:noProof/>
        </w:rPr>
        <w:footnoteReference w:id="20"/>
      </w:r>
      <w:r w:rsidRPr="00F91EC4">
        <w:rPr>
          <w:noProof/>
        </w:rPr>
        <w:t xml:space="preserve"> </w:t>
      </w:r>
      <w:r w:rsidR="006B1DD4" w:rsidRPr="00F91EC4">
        <w:rPr>
          <w:noProof/>
          <w:color w:val="000000"/>
          <w:szCs w:val="20"/>
        </w:rPr>
        <w:t>have the objective to increase road safety in the EU and to ensure the environmental performance of vehicles, by means of regularly testing vehicles throughout their operational lifetime. As far as emissions are concerned, they</w:t>
      </w:r>
      <w:r w:rsidR="006B1DD4" w:rsidRPr="00F91EC4">
        <w:rPr>
          <w:rFonts w:ascii="Tahoma" w:hAnsi="Tahoma" w:cs="Tahoma"/>
          <w:noProof/>
          <w:color w:val="000000"/>
          <w:szCs w:val="20"/>
        </w:rPr>
        <w:t xml:space="preserve"> </w:t>
      </w:r>
      <w:r w:rsidR="006B1DD4" w:rsidRPr="00F91EC4">
        <w:rPr>
          <w:noProof/>
        </w:rPr>
        <w:t>have as objective to contribute to the reduction of air pollutant emissions by detecting more effectively vehicles that are over-emitting due to technical defects, through periodic technical inspections and the roadside inspections.</w:t>
      </w:r>
      <w:r w:rsidRPr="00F91EC4">
        <w:rPr>
          <w:noProof/>
        </w:rPr>
        <w:t xml:space="preserve"> This proposal contains elements to support this objective, including </w:t>
      </w:r>
      <w:r w:rsidR="00413296" w:rsidRPr="00F91EC4">
        <w:rPr>
          <w:noProof/>
        </w:rPr>
        <w:t>implemented</w:t>
      </w:r>
      <w:r w:rsidR="004A3F21" w:rsidRPr="00F91EC4">
        <w:rPr>
          <w:noProof/>
        </w:rPr>
        <w:t xml:space="preserve"> through On-Board Monitoring,</w:t>
      </w:r>
      <w:r w:rsidRPr="00F91EC4">
        <w:rPr>
          <w:noProof/>
        </w:rPr>
        <w:t xml:space="preserve"> that are expected to lead to cost savings. Such mechanisms could gradually become a primary tool in the Roadworthiness Directives, modernise the current inspection procedures and lead to lower administrative costs. </w:t>
      </w:r>
      <w:r w:rsidR="0087700B">
        <w:rPr>
          <w:noProof/>
        </w:rPr>
        <w:t>The upcoming revision of the Roadworthiness Directives will need to take into account these new mechanisms, including for implementing measures which will need to be developed under the revision of the Roadworthiness package</w:t>
      </w:r>
      <w:r w:rsidR="0087700B">
        <w:rPr>
          <w:rStyle w:val="FootnoteReference"/>
          <w:noProof/>
        </w:rPr>
        <w:footnoteReference w:id="21"/>
      </w:r>
      <w:r w:rsidR="0087700B">
        <w:rPr>
          <w:noProof/>
        </w:rPr>
        <w:t>.</w:t>
      </w:r>
    </w:p>
    <w:p w14:paraId="7CA4FB79" w14:textId="77777777" w:rsidR="004A3F21" w:rsidRPr="00F91EC4" w:rsidRDefault="00DE1E8D" w:rsidP="00DA4E0C">
      <w:pPr>
        <w:rPr>
          <w:rStyle w:val="CommentReference"/>
          <w:rFonts w:eastAsia="Times New Roman"/>
          <w:noProof/>
          <w:lang w:eastAsia="en-GB"/>
        </w:rPr>
      </w:pPr>
      <w:r w:rsidRPr="00F91EC4">
        <w:rPr>
          <w:noProof/>
        </w:rPr>
        <w:t xml:space="preserve">In addition, the </w:t>
      </w:r>
      <w:r w:rsidRPr="00F91EC4">
        <w:rPr>
          <w:b/>
          <w:noProof/>
        </w:rPr>
        <w:t>Eurovignette Directive</w:t>
      </w:r>
      <w:r w:rsidRPr="00F91EC4">
        <w:rPr>
          <w:rStyle w:val="FootnoteReference"/>
          <w:noProof/>
        </w:rPr>
        <w:footnoteReference w:id="22"/>
      </w:r>
      <w:r w:rsidRPr="00F91EC4">
        <w:rPr>
          <w:noProof/>
        </w:rPr>
        <w:t xml:space="preserve">, which sets common rules on road infrastructure charges, and </w:t>
      </w:r>
      <w:r w:rsidRPr="00F91EC4">
        <w:rPr>
          <w:b/>
          <w:noProof/>
        </w:rPr>
        <w:t>Clean Vehicles Directive</w:t>
      </w:r>
      <w:r w:rsidRPr="00F91EC4">
        <w:rPr>
          <w:rStyle w:val="FootnoteReference"/>
          <w:noProof/>
        </w:rPr>
        <w:footnoteReference w:id="23"/>
      </w:r>
      <w:r w:rsidRPr="00F91EC4">
        <w:rPr>
          <w:b/>
          <w:noProof/>
        </w:rPr>
        <w:t xml:space="preserve">, </w:t>
      </w:r>
      <w:r w:rsidRPr="00F91EC4">
        <w:rPr>
          <w:noProof/>
        </w:rPr>
        <w:t>which promotes clean mobility solutions through public procurement, are consistent with the</w:t>
      </w:r>
      <w:r w:rsidR="00062E18" w:rsidRPr="00F91EC4">
        <w:rPr>
          <w:noProof/>
        </w:rPr>
        <w:t xml:space="preserve"> general objectives of the</w:t>
      </w:r>
      <w:r w:rsidRPr="00F91EC4">
        <w:rPr>
          <w:noProof/>
        </w:rPr>
        <w:t xml:space="preserve"> Euro standards. In particular, they support demand for clean vehicles by allowing Member States to vary road charges based on pollutant emissions of vehicles and through public procurement. </w:t>
      </w:r>
      <w:r w:rsidR="004A3F21" w:rsidRPr="00F91EC4">
        <w:rPr>
          <w:noProof/>
        </w:rPr>
        <w:t xml:space="preserve">The </w:t>
      </w:r>
      <w:r w:rsidRPr="00F91EC4">
        <w:rPr>
          <w:b/>
          <w:noProof/>
        </w:rPr>
        <w:t>Fuel Quality Directive</w:t>
      </w:r>
      <w:r w:rsidRPr="00F91EC4">
        <w:rPr>
          <w:rStyle w:val="FootnoteReference"/>
          <w:noProof/>
        </w:rPr>
        <w:footnoteReference w:id="24"/>
      </w:r>
      <w:r w:rsidRPr="00F91EC4">
        <w:rPr>
          <w:noProof/>
        </w:rPr>
        <w:t xml:space="preserve"> </w:t>
      </w:r>
      <w:r w:rsidR="004A3F21" w:rsidRPr="00F91EC4">
        <w:rPr>
          <w:noProof/>
        </w:rPr>
        <w:t>prescribes the fuel quality characteristics of fuel sold in the market and therefore is important for the Euro standards.</w:t>
      </w:r>
      <w:r w:rsidRPr="00F91EC4">
        <w:rPr>
          <w:noProof/>
        </w:rPr>
        <w:t xml:space="preserve"> </w:t>
      </w:r>
    </w:p>
    <w:p w14:paraId="60505B7F" w14:textId="77777777" w:rsidR="009439C4" w:rsidRPr="00F91EC4" w:rsidRDefault="009439C4" w:rsidP="00C24E66">
      <w:pPr>
        <w:pStyle w:val="ManualHeading2"/>
        <w:rPr>
          <w:rFonts w:eastAsia="Arial Unicode MS"/>
          <w:noProof/>
        </w:rPr>
      </w:pPr>
      <w:r w:rsidRPr="00F91EC4">
        <w:rPr>
          <w:rFonts w:eastAsia="Arial Unicode MS"/>
          <w:noProof/>
          <w:color w:val="000000"/>
          <w:u w:color="000000"/>
          <w:bdr w:val="nil"/>
          <w:lang w:eastAsia="en-GB"/>
        </w:rPr>
        <w:t>•</w:t>
      </w:r>
      <w:r w:rsidRPr="00F91EC4">
        <w:rPr>
          <w:rFonts w:eastAsia="Arial Unicode MS"/>
          <w:noProof/>
          <w:color w:val="000000"/>
          <w:u w:color="000000"/>
          <w:bdr w:val="nil"/>
          <w:lang w:eastAsia="en-GB"/>
        </w:rPr>
        <w:tab/>
      </w:r>
      <w:r w:rsidRPr="00F91EC4">
        <w:rPr>
          <w:rFonts w:eastAsia="Arial Unicode MS"/>
          <w:noProof/>
        </w:rPr>
        <w:t>Consistency with other Union policies</w:t>
      </w:r>
    </w:p>
    <w:p w14:paraId="05D311CC" w14:textId="77777777" w:rsidR="00EF14F7" w:rsidRPr="00F91EC4" w:rsidRDefault="007D29AD" w:rsidP="001716CD">
      <w:pPr>
        <w:pStyle w:val="Text1"/>
        <w:ind w:left="0"/>
        <w:rPr>
          <w:noProof/>
        </w:rPr>
      </w:pPr>
      <w:r w:rsidRPr="00F91EC4">
        <w:rPr>
          <w:noProof/>
        </w:rPr>
        <w:t>As part of the EU’s digital strategy</w:t>
      </w:r>
      <w:r w:rsidR="00EF4D0F" w:rsidRPr="00F91EC4">
        <w:rPr>
          <w:noProof/>
        </w:rPr>
        <w:t xml:space="preserve"> and</w:t>
      </w:r>
      <w:r w:rsidRPr="00F91EC4">
        <w:rPr>
          <w:noProof/>
        </w:rPr>
        <w:t xml:space="preserve"> </w:t>
      </w:r>
      <w:r w:rsidR="00EF4D0F" w:rsidRPr="00F91EC4">
        <w:rPr>
          <w:noProof/>
        </w:rPr>
        <w:t xml:space="preserve">following </w:t>
      </w:r>
      <w:r w:rsidRPr="00F91EC4">
        <w:rPr>
          <w:noProof/>
        </w:rPr>
        <w:t xml:space="preserve">the Communication on a </w:t>
      </w:r>
      <w:r w:rsidRPr="00F91EC4">
        <w:rPr>
          <w:b/>
          <w:noProof/>
        </w:rPr>
        <w:t>European data strategy</w:t>
      </w:r>
      <w:r w:rsidRPr="00F91EC4">
        <w:rPr>
          <w:rStyle w:val="FootnoteReference"/>
          <w:b/>
          <w:noProof/>
        </w:rPr>
        <w:footnoteReference w:id="25"/>
      </w:r>
      <w:r w:rsidRPr="00F91EC4">
        <w:rPr>
          <w:noProof/>
        </w:rPr>
        <w:t xml:space="preserve"> </w:t>
      </w:r>
      <w:r w:rsidR="00EF14F7" w:rsidRPr="00F91EC4">
        <w:rPr>
          <w:noProof/>
        </w:rPr>
        <w:t>the Commission</w:t>
      </w:r>
      <w:r w:rsidRPr="00F91EC4">
        <w:rPr>
          <w:noProof/>
        </w:rPr>
        <w:t xml:space="preserve"> </w:t>
      </w:r>
      <w:r w:rsidR="00EF4D0F" w:rsidRPr="00F91EC4">
        <w:rPr>
          <w:noProof/>
        </w:rPr>
        <w:t>has</w:t>
      </w:r>
      <w:r w:rsidR="00EF14F7" w:rsidRPr="00F91EC4">
        <w:rPr>
          <w:noProof/>
        </w:rPr>
        <w:t xml:space="preserve"> put</w:t>
      </w:r>
      <w:r w:rsidRPr="00F91EC4">
        <w:rPr>
          <w:noProof/>
        </w:rPr>
        <w:t xml:space="preserve"> forward a Data Act</w:t>
      </w:r>
      <w:r w:rsidR="00EF4D0F" w:rsidRPr="00F91EC4">
        <w:rPr>
          <w:noProof/>
        </w:rPr>
        <w:t xml:space="preserve"> to support business-to-government and business-to-business data sharing</w:t>
      </w:r>
      <w:r w:rsidR="008626D2" w:rsidRPr="00F91EC4">
        <w:rPr>
          <w:noProof/>
        </w:rPr>
        <w:t xml:space="preserve">. </w:t>
      </w:r>
      <w:r w:rsidR="00EF4D0F" w:rsidRPr="00F91EC4">
        <w:rPr>
          <w:noProof/>
        </w:rPr>
        <w:t>T</w:t>
      </w:r>
      <w:r w:rsidR="008626D2" w:rsidRPr="00F91EC4">
        <w:rPr>
          <w:noProof/>
        </w:rPr>
        <w:t>his act offer</w:t>
      </w:r>
      <w:r w:rsidR="00EF4D0F" w:rsidRPr="00F91EC4">
        <w:rPr>
          <w:noProof/>
        </w:rPr>
        <w:t>s</w:t>
      </w:r>
      <w:r w:rsidR="00EF14F7" w:rsidRPr="00F91EC4">
        <w:rPr>
          <w:noProof/>
        </w:rPr>
        <w:t xml:space="preserve"> a horizontal framework for enhancing data access and data sharing across sectors</w:t>
      </w:r>
      <w:r w:rsidR="00EF4D0F" w:rsidRPr="00F91EC4">
        <w:rPr>
          <w:noProof/>
        </w:rPr>
        <w:t>. S</w:t>
      </w:r>
      <w:r w:rsidR="00EF14F7" w:rsidRPr="00F91EC4">
        <w:rPr>
          <w:noProof/>
        </w:rPr>
        <w:t xml:space="preserve">pecific problems in the automotive sector in the context of access to in-vehicle data </w:t>
      </w:r>
      <w:r w:rsidR="00EF4D0F" w:rsidRPr="00F91EC4">
        <w:rPr>
          <w:noProof/>
        </w:rPr>
        <w:t>justify complementing the Data Act with a</w:t>
      </w:r>
      <w:r w:rsidR="008626D2" w:rsidRPr="00F91EC4">
        <w:rPr>
          <w:noProof/>
        </w:rPr>
        <w:t xml:space="preserve"> a specific initiative. This initiative </w:t>
      </w:r>
      <w:r w:rsidR="00EF4D0F" w:rsidRPr="00F91EC4">
        <w:rPr>
          <w:noProof/>
        </w:rPr>
        <w:t xml:space="preserve">should </w:t>
      </w:r>
      <w:r w:rsidR="00EF14F7" w:rsidRPr="00F91EC4">
        <w:rPr>
          <w:noProof/>
        </w:rPr>
        <w:t xml:space="preserve">ensure </w:t>
      </w:r>
      <w:r w:rsidR="008626D2" w:rsidRPr="00F91EC4">
        <w:rPr>
          <w:noProof/>
        </w:rPr>
        <w:t>that a</w:t>
      </w:r>
      <w:r w:rsidR="00EF14F7" w:rsidRPr="00F91EC4">
        <w:rPr>
          <w:noProof/>
        </w:rPr>
        <w:t xml:space="preserve"> minimum set of data and functions </w:t>
      </w:r>
      <w:r w:rsidR="008626D2" w:rsidRPr="00F91EC4">
        <w:rPr>
          <w:noProof/>
        </w:rPr>
        <w:t xml:space="preserve">is </w:t>
      </w:r>
      <w:r w:rsidR="00EF14F7" w:rsidRPr="00F91EC4">
        <w:rPr>
          <w:noProof/>
        </w:rPr>
        <w:t xml:space="preserve">available, as well as fair access conditions for all automotive services providers. By ensuring the availability and accessibility of in-vehicle data, this initiative </w:t>
      </w:r>
      <w:r w:rsidR="008626D2" w:rsidRPr="00F91EC4">
        <w:rPr>
          <w:noProof/>
        </w:rPr>
        <w:t>w</w:t>
      </w:r>
      <w:r w:rsidR="00EF14F7" w:rsidRPr="00F91EC4">
        <w:rPr>
          <w:noProof/>
        </w:rPr>
        <w:t>ould be complementary to this</w:t>
      </w:r>
      <w:r w:rsidR="008626D2" w:rsidRPr="00F91EC4">
        <w:rPr>
          <w:noProof/>
        </w:rPr>
        <w:t xml:space="preserve"> Euro 7</w:t>
      </w:r>
      <w:r w:rsidR="00EF14F7" w:rsidRPr="00F91EC4">
        <w:rPr>
          <w:noProof/>
        </w:rPr>
        <w:t xml:space="preserve"> proposal as </w:t>
      </w:r>
      <w:r w:rsidR="008626D2" w:rsidRPr="00F91EC4">
        <w:rPr>
          <w:noProof/>
        </w:rPr>
        <w:t>it would facilitate the optimal adoption of continuous emission monitoring.</w:t>
      </w:r>
      <w:r w:rsidR="00EF14F7" w:rsidRPr="00F91EC4">
        <w:rPr>
          <w:noProof/>
        </w:rPr>
        <w:t xml:space="preserve"> </w:t>
      </w:r>
    </w:p>
    <w:p w14:paraId="0D5E7FDA" w14:textId="77777777" w:rsidR="00150E6C" w:rsidRPr="00F91EC4" w:rsidRDefault="00150E6C" w:rsidP="00150E6C">
      <w:pPr>
        <w:rPr>
          <w:rFonts w:eastAsia="Times New Roman"/>
          <w:noProof/>
          <w:szCs w:val="24"/>
        </w:rPr>
      </w:pPr>
      <w:r w:rsidRPr="00F91EC4">
        <w:rPr>
          <w:rFonts w:eastAsia="Times New Roman"/>
          <w:noProof/>
          <w:szCs w:val="24"/>
        </w:rPr>
        <w:t xml:space="preserve">The </w:t>
      </w:r>
      <w:r w:rsidRPr="00F91EC4">
        <w:rPr>
          <w:rFonts w:eastAsia="Times New Roman"/>
          <w:b/>
          <w:noProof/>
          <w:szCs w:val="24"/>
        </w:rPr>
        <w:t>New Industrial Strategy for Europe</w:t>
      </w:r>
      <w:r w:rsidRPr="00F91EC4">
        <w:rPr>
          <w:rStyle w:val="FootnoteReference"/>
          <w:noProof/>
        </w:rPr>
        <w:footnoteReference w:id="26"/>
      </w:r>
      <w:r w:rsidRPr="00F91EC4">
        <w:rPr>
          <w:rFonts w:eastAsia="Times New Roman"/>
          <w:noProof/>
          <w:szCs w:val="24"/>
        </w:rPr>
        <w:t xml:space="preserve"> </w:t>
      </w:r>
      <w:r w:rsidR="00613859" w:rsidRPr="00F91EC4">
        <w:rPr>
          <w:iCs/>
          <w:noProof/>
        </w:rPr>
        <w:t>takes into account the new circumstances deriving from the crisis, as well as the on-going transformation to a more sustainable, digital, resilient and globally competitive economy.</w:t>
      </w:r>
      <w:r w:rsidR="00613859" w:rsidRPr="00F91EC4">
        <w:rPr>
          <w:i/>
          <w:iCs/>
          <w:noProof/>
        </w:rPr>
        <w:t xml:space="preserve"> </w:t>
      </w:r>
      <w:r w:rsidR="00613859" w:rsidRPr="00F91EC4">
        <w:rPr>
          <w:iCs/>
          <w:noProof/>
        </w:rPr>
        <w:t>It places priorities and defines new objectives on strengthening the resilience of the Single Market, dealing with strategic dependencies, combining targeted actions in the areas of regulatory framework, innovation support, access to raw materials and decarbonised energy, skills and data spaces, to accelerate the twin transition</w:t>
      </w:r>
      <w:r w:rsidR="00613859" w:rsidRPr="00F91EC4">
        <w:rPr>
          <w:noProof/>
        </w:rPr>
        <w:t xml:space="preserve">. This Strategy </w:t>
      </w:r>
      <w:r w:rsidRPr="00F91EC4">
        <w:rPr>
          <w:rFonts w:eastAsia="Times New Roman"/>
          <w:noProof/>
          <w:szCs w:val="24"/>
        </w:rPr>
        <w:t xml:space="preserve">offers tools to address the twin challenge of the green and the digital transformation and to support the European industry in making the </w:t>
      </w:r>
      <w:r w:rsidR="00CD5FAD" w:rsidRPr="00F91EC4">
        <w:rPr>
          <w:rFonts w:eastAsia="Times New Roman"/>
          <w:noProof/>
          <w:szCs w:val="24"/>
        </w:rPr>
        <w:t xml:space="preserve">European Green Deal </w:t>
      </w:r>
      <w:r w:rsidRPr="00F91EC4">
        <w:rPr>
          <w:rFonts w:eastAsia="Times New Roman"/>
          <w:noProof/>
          <w:szCs w:val="24"/>
        </w:rPr>
        <w:t xml:space="preserve">ambition a reality. New pollutant emission framework will offer legal certainty and first-mover advantage to the EU automotive sector, avoiding the risk of falling behind other major jurisdictions setting new pollutant emission standards. </w:t>
      </w:r>
    </w:p>
    <w:p w14:paraId="7D5B7F45" w14:textId="77777777" w:rsidR="00B519D5" w:rsidRPr="00F91EC4" w:rsidRDefault="009C761C">
      <w:pPr>
        <w:rPr>
          <w:noProof/>
          <w:szCs w:val="24"/>
        </w:rPr>
      </w:pPr>
      <w:r w:rsidRPr="00F91EC4">
        <w:rPr>
          <w:noProof/>
          <w:szCs w:val="24"/>
        </w:rPr>
        <w:t xml:space="preserve">The </w:t>
      </w:r>
      <w:r w:rsidR="00B519D5" w:rsidRPr="00F91EC4">
        <w:rPr>
          <w:b/>
          <w:noProof/>
          <w:szCs w:val="24"/>
        </w:rPr>
        <w:t>End-of-Life Vehicle</w:t>
      </w:r>
      <w:r w:rsidRPr="00F91EC4">
        <w:rPr>
          <w:b/>
          <w:noProof/>
          <w:szCs w:val="24"/>
        </w:rPr>
        <w:t xml:space="preserve"> </w:t>
      </w:r>
      <w:r w:rsidR="00B519D5" w:rsidRPr="00F91EC4">
        <w:rPr>
          <w:b/>
          <w:noProof/>
          <w:szCs w:val="24"/>
        </w:rPr>
        <w:t xml:space="preserve">(ELV) </w:t>
      </w:r>
      <w:r w:rsidRPr="00F91EC4">
        <w:rPr>
          <w:b/>
          <w:noProof/>
          <w:szCs w:val="24"/>
        </w:rPr>
        <w:t>Directive</w:t>
      </w:r>
      <w:r w:rsidR="00E22FE4" w:rsidRPr="00F91EC4">
        <w:rPr>
          <w:rStyle w:val="FootnoteReference"/>
          <w:b/>
          <w:noProof/>
          <w:szCs w:val="24"/>
        </w:rPr>
        <w:footnoteReference w:id="27"/>
      </w:r>
      <w:r w:rsidRPr="00F91EC4">
        <w:rPr>
          <w:noProof/>
          <w:szCs w:val="24"/>
        </w:rPr>
        <w:t xml:space="preserve"> contains rules on the collection, treatment and recovery of end-of-life vehicles and their components, as well as restrictions on hazardous substances in new vehicles. Its mirror directive, the </w:t>
      </w:r>
      <w:r w:rsidRPr="00F91EC4">
        <w:rPr>
          <w:b/>
          <w:noProof/>
          <w:szCs w:val="24"/>
        </w:rPr>
        <w:t>3R</w:t>
      </w:r>
      <w:r w:rsidR="00DB4FC6" w:rsidRPr="00F91EC4">
        <w:rPr>
          <w:b/>
          <w:noProof/>
          <w:szCs w:val="24"/>
        </w:rPr>
        <w:t xml:space="preserve"> type-approval</w:t>
      </w:r>
      <w:r w:rsidRPr="00F91EC4">
        <w:rPr>
          <w:b/>
          <w:noProof/>
          <w:szCs w:val="24"/>
        </w:rPr>
        <w:t xml:space="preserve"> Directive</w:t>
      </w:r>
      <w:r w:rsidR="00E22FE4" w:rsidRPr="00F91EC4">
        <w:rPr>
          <w:rStyle w:val="FootnoteReference"/>
          <w:b/>
          <w:noProof/>
          <w:szCs w:val="24"/>
        </w:rPr>
        <w:footnoteReference w:id="28"/>
      </w:r>
      <w:r w:rsidRPr="00F91EC4">
        <w:rPr>
          <w:b/>
          <w:noProof/>
          <w:szCs w:val="24"/>
        </w:rPr>
        <w:t xml:space="preserve">, </w:t>
      </w:r>
      <w:r w:rsidRPr="00F91EC4">
        <w:rPr>
          <w:noProof/>
          <w:szCs w:val="24"/>
        </w:rPr>
        <w:t>links the design of new vehicles with their reusability, recyclability and recoverability.</w:t>
      </w:r>
      <w:r w:rsidR="00E879B3" w:rsidRPr="00F91EC4">
        <w:rPr>
          <w:noProof/>
          <w:szCs w:val="24"/>
        </w:rPr>
        <w:t xml:space="preserve"> </w:t>
      </w:r>
      <w:r w:rsidR="00B519D5" w:rsidRPr="00F91EC4">
        <w:rPr>
          <w:noProof/>
          <w:szCs w:val="24"/>
        </w:rPr>
        <w:t>These Directives are planned to be reviewed in 202</w:t>
      </w:r>
      <w:r w:rsidR="00B552F2" w:rsidRPr="00F91EC4">
        <w:rPr>
          <w:noProof/>
          <w:szCs w:val="24"/>
        </w:rPr>
        <w:t>3</w:t>
      </w:r>
      <w:r w:rsidR="00B519D5" w:rsidRPr="00F91EC4">
        <w:rPr>
          <w:noProof/>
          <w:szCs w:val="24"/>
        </w:rPr>
        <w:t xml:space="preserve"> in line with the ambitions of the European Green Deal and the </w:t>
      </w:r>
      <w:r w:rsidR="00E879B3" w:rsidRPr="00F91EC4">
        <w:rPr>
          <w:b/>
          <w:noProof/>
          <w:szCs w:val="24"/>
        </w:rPr>
        <w:t>Circular Economy Action Plan</w:t>
      </w:r>
      <w:r w:rsidR="00E22FE4" w:rsidRPr="00F91EC4">
        <w:rPr>
          <w:rStyle w:val="FootnoteReference"/>
          <w:b/>
          <w:noProof/>
          <w:szCs w:val="24"/>
        </w:rPr>
        <w:footnoteReference w:id="29"/>
      </w:r>
      <w:r w:rsidR="00B519D5" w:rsidRPr="00F91EC4">
        <w:rPr>
          <w:b/>
          <w:noProof/>
          <w:szCs w:val="24"/>
        </w:rPr>
        <w:t>.</w:t>
      </w:r>
      <w:r w:rsidR="00FD1BAE" w:rsidRPr="00F91EC4">
        <w:rPr>
          <w:noProof/>
          <w:szCs w:val="24"/>
        </w:rPr>
        <w:t xml:space="preserve"> </w:t>
      </w:r>
      <w:r w:rsidR="00B81FA3" w:rsidRPr="00F91EC4">
        <w:rPr>
          <w:noProof/>
          <w:szCs w:val="24"/>
        </w:rPr>
        <w:t xml:space="preserve">While </w:t>
      </w:r>
      <w:r w:rsidR="00FD1BAE" w:rsidRPr="00F91EC4">
        <w:rPr>
          <w:noProof/>
          <w:szCs w:val="24"/>
        </w:rPr>
        <w:t xml:space="preserve">Euro 7 proposal </w:t>
      </w:r>
      <w:r w:rsidR="00B81FA3" w:rsidRPr="00F91EC4">
        <w:rPr>
          <w:noProof/>
          <w:szCs w:val="24"/>
        </w:rPr>
        <w:t>aims at reducing vehicle</w:t>
      </w:r>
      <w:r w:rsidR="00FD1BAE" w:rsidRPr="00F91EC4">
        <w:rPr>
          <w:noProof/>
          <w:szCs w:val="24"/>
        </w:rPr>
        <w:t xml:space="preserve"> emissions during a</w:t>
      </w:r>
      <w:r w:rsidR="00B81FA3" w:rsidRPr="00F91EC4">
        <w:rPr>
          <w:noProof/>
          <w:szCs w:val="24"/>
        </w:rPr>
        <w:t xml:space="preserve"> longer part of a</w:t>
      </w:r>
      <w:r w:rsidR="00FD1BAE" w:rsidRPr="00F91EC4">
        <w:rPr>
          <w:noProof/>
          <w:szCs w:val="24"/>
        </w:rPr>
        <w:t xml:space="preserve"> vehicle’</w:t>
      </w:r>
      <w:r w:rsidR="00B81FA3" w:rsidRPr="00F91EC4">
        <w:rPr>
          <w:noProof/>
          <w:szCs w:val="24"/>
        </w:rPr>
        <w:t xml:space="preserve">s lifetime by </w:t>
      </w:r>
      <w:r w:rsidR="00FD1BAE" w:rsidRPr="00F91EC4">
        <w:rPr>
          <w:noProof/>
          <w:szCs w:val="24"/>
        </w:rPr>
        <w:t xml:space="preserve">extending durability requirements, </w:t>
      </w:r>
      <w:r w:rsidR="00B519D5" w:rsidRPr="00F91EC4">
        <w:rPr>
          <w:noProof/>
          <w:szCs w:val="24"/>
        </w:rPr>
        <w:t>the revision of the ELV Directive</w:t>
      </w:r>
      <w:r w:rsidR="00FD1BAE" w:rsidRPr="00F91EC4">
        <w:rPr>
          <w:noProof/>
          <w:szCs w:val="24"/>
        </w:rPr>
        <w:t xml:space="preserve"> complements </w:t>
      </w:r>
      <w:r w:rsidR="00B81FA3" w:rsidRPr="00F91EC4">
        <w:rPr>
          <w:noProof/>
          <w:szCs w:val="24"/>
        </w:rPr>
        <w:t>by</w:t>
      </w:r>
      <w:r w:rsidR="00FD1BAE" w:rsidRPr="00F91EC4">
        <w:rPr>
          <w:noProof/>
          <w:szCs w:val="24"/>
        </w:rPr>
        <w:t xml:space="preserve"> looking into the problem of export of defective polluting used vehicles outside the EU. </w:t>
      </w:r>
    </w:p>
    <w:p w14:paraId="2CFC97E1" w14:textId="58FFD6DA" w:rsidR="00BF137B" w:rsidRDefault="003C6D21" w:rsidP="00BF137B">
      <w:pPr>
        <w:rPr>
          <w:noProof/>
        </w:rPr>
      </w:pPr>
      <w:r w:rsidRPr="00F91EC4">
        <w:rPr>
          <w:rFonts w:eastAsia="Times New Roman"/>
          <w:noProof/>
          <w:szCs w:val="24"/>
        </w:rPr>
        <w:t xml:space="preserve">This initiative is also consistent with </w:t>
      </w:r>
      <w:r w:rsidR="002167FB" w:rsidRPr="00F91EC4">
        <w:rPr>
          <w:rFonts w:eastAsia="Times New Roman"/>
          <w:noProof/>
          <w:szCs w:val="24"/>
        </w:rPr>
        <w:t xml:space="preserve">the </w:t>
      </w:r>
      <w:r w:rsidR="007A47F8" w:rsidRPr="00F91EC4">
        <w:rPr>
          <w:rFonts w:eastAsia="Times New Roman"/>
          <w:b/>
          <w:noProof/>
          <w:szCs w:val="24"/>
        </w:rPr>
        <w:t>Next Generation EU</w:t>
      </w:r>
      <w:r w:rsidR="00CF2FD6" w:rsidRPr="00F91EC4">
        <w:rPr>
          <w:rStyle w:val="FootnoteReference"/>
          <w:b/>
          <w:noProof/>
          <w:szCs w:val="24"/>
        </w:rPr>
        <w:footnoteReference w:id="30"/>
      </w:r>
      <w:r w:rsidR="002167FB" w:rsidRPr="00F91EC4">
        <w:rPr>
          <w:rFonts w:eastAsia="Times New Roman"/>
          <w:noProof/>
          <w:szCs w:val="24"/>
        </w:rPr>
        <w:t xml:space="preserve">, more particularly the </w:t>
      </w:r>
      <w:r w:rsidR="002167FB" w:rsidRPr="00F91EC4">
        <w:rPr>
          <w:rFonts w:eastAsia="Times New Roman"/>
          <w:b/>
          <w:noProof/>
          <w:szCs w:val="24"/>
        </w:rPr>
        <w:t>Recovery and Resilience Facility</w:t>
      </w:r>
      <w:r w:rsidR="00B97FF9" w:rsidRPr="00F91EC4">
        <w:rPr>
          <w:rStyle w:val="FootnoteReference"/>
          <w:b/>
          <w:noProof/>
          <w:szCs w:val="24"/>
        </w:rPr>
        <w:footnoteReference w:id="31"/>
      </w:r>
      <w:r w:rsidR="00196752" w:rsidRPr="00F91EC4">
        <w:rPr>
          <w:rFonts w:eastAsia="Times New Roman"/>
          <w:noProof/>
          <w:szCs w:val="24"/>
        </w:rPr>
        <w:t xml:space="preserve"> (RRF)</w:t>
      </w:r>
      <w:r w:rsidR="002167FB" w:rsidRPr="00F91EC4">
        <w:rPr>
          <w:rFonts w:eastAsia="Times New Roman"/>
          <w:noProof/>
          <w:szCs w:val="24"/>
        </w:rPr>
        <w:t xml:space="preserve"> and the flagship “Recharge and Refuel”</w:t>
      </w:r>
      <w:r w:rsidR="00196752" w:rsidRPr="00F91EC4">
        <w:rPr>
          <w:rFonts w:eastAsia="Times New Roman"/>
          <w:noProof/>
          <w:szCs w:val="24"/>
        </w:rPr>
        <w:t xml:space="preserve">, which promotes future-proof clean technologies to accelerate the use of sustainable, accessible and smart transport, charging and refuelling stations and extension of public transport. Through this RRF funding but also targeted investment programmes under </w:t>
      </w:r>
      <w:r w:rsidR="00196752" w:rsidRPr="00F91EC4">
        <w:rPr>
          <w:rFonts w:eastAsia="Times New Roman"/>
          <w:b/>
          <w:noProof/>
          <w:szCs w:val="24"/>
        </w:rPr>
        <w:t>InvestEU</w:t>
      </w:r>
      <w:r w:rsidR="00901104" w:rsidRPr="00F91EC4">
        <w:rPr>
          <w:rStyle w:val="FootnoteReference"/>
          <w:b/>
          <w:noProof/>
          <w:szCs w:val="24"/>
        </w:rPr>
        <w:footnoteReference w:id="32"/>
      </w:r>
      <w:r w:rsidR="00196752" w:rsidRPr="00F91EC4">
        <w:rPr>
          <w:rFonts w:eastAsia="Times New Roman"/>
          <w:noProof/>
          <w:szCs w:val="24"/>
        </w:rPr>
        <w:t xml:space="preserve"> or </w:t>
      </w:r>
      <w:r w:rsidR="00196752" w:rsidRPr="00F91EC4">
        <w:rPr>
          <w:rFonts w:eastAsia="Times New Roman"/>
          <w:b/>
          <w:noProof/>
          <w:szCs w:val="24"/>
        </w:rPr>
        <w:t>Horizon Europe</w:t>
      </w:r>
      <w:r w:rsidR="00901104" w:rsidRPr="00F91EC4">
        <w:rPr>
          <w:rStyle w:val="FootnoteReference"/>
          <w:b/>
          <w:noProof/>
          <w:szCs w:val="24"/>
        </w:rPr>
        <w:footnoteReference w:id="33"/>
      </w:r>
      <w:r w:rsidR="00196752" w:rsidRPr="00F91EC4">
        <w:rPr>
          <w:rFonts w:eastAsia="Times New Roman"/>
          <w:noProof/>
          <w:szCs w:val="24"/>
        </w:rPr>
        <w:t xml:space="preserve">, </w:t>
      </w:r>
      <w:r w:rsidR="002167FB" w:rsidRPr="00F91EC4">
        <w:rPr>
          <w:noProof/>
        </w:rPr>
        <w:t xml:space="preserve">resources </w:t>
      </w:r>
      <w:r w:rsidR="00196752" w:rsidRPr="00F91EC4">
        <w:rPr>
          <w:noProof/>
        </w:rPr>
        <w:t xml:space="preserve">will be allocated </w:t>
      </w:r>
      <w:r w:rsidR="002167FB" w:rsidRPr="00F91EC4">
        <w:rPr>
          <w:noProof/>
        </w:rPr>
        <w:t xml:space="preserve">to raise the economy’s growth potential </w:t>
      </w:r>
      <w:r w:rsidR="00B0602A" w:rsidRPr="00F91EC4">
        <w:rPr>
          <w:noProof/>
        </w:rPr>
        <w:t>as well as to</w:t>
      </w:r>
      <w:r w:rsidR="002167FB" w:rsidRPr="00F91EC4">
        <w:rPr>
          <w:noProof/>
        </w:rPr>
        <w:t xml:space="preserve"> </w:t>
      </w:r>
      <w:r w:rsidR="00196752" w:rsidRPr="00F91EC4">
        <w:rPr>
          <w:noProof/>
        </w:rPr>
        <w:t xml:space="preserve">accelerate </w:t>
      </w:r>
      <w:r w:rsidR="00B0602A" w:rsidRPr="00F91EC4">
        <w:rPr>
          <w:noProof/>
        </w:rPr>
        <w:t xml:space="preserve">green transformation, notably through </w:t>
      </w:r>
      <w:r w:rsidR="00196752" w:rsidRPr="00F91EC4">
        <w:rPr>
          <w:noProof/>
        </w:rPr>
        <w:t>the uptake of innovative solutions and future proof low emission technologies.</w:t>
      </w:r>
      <w:r w:rsidR="00BF137B" w:rsidRPr="00BF137B">
        <w:rPr>
          <w:noProof/>
        </w:rPr>
        <w:t xml:space="preserve"> </w:t>
      </w:r>
    </w:p>
    <w:p w14:paraId="3A2E794C" w14:textId="715B5CB1" w:rsidR="00ED4B27" w:rsidRPr="00F91EC4" w:rsidRDefault="00BF137B" w:rsidP="00BF137B">
      <w:pPr>
        <w:rPr>
          <w:rFonts w:eastAsia="Times New Roman"/>
          <w:noProof/>
          <w:szCs w:val="24"/>
        </w:rPr>
      </w:pPr>
      <w:r>
        <w:rPr>
          <w:rFonts w:eastAsia="Times New Roman"/>
          <w:noProof/>
          <w:szCs w:val="24"/>
        </w:rPr>
        <w:t>This initiative also integrates the necessity to ensure a</w:t>
      </w:r>
      <w:r>
        <w:rPr>
          <w:noProof/>
        </w:rPr>
        <w:t xml:space="preserve"> just and fair green transition, supporting in particular vulnerable citizens</w:t>
      </w:r>
      <w:r>
        <w:rPr>
          <w:rFonts w:eastAsia="Times New Roman"/>
          <w:noProof/>
          <w:szCs w:val="24"/>
        </w:rPr>
        <w:t xml:space="preserve"> in the area of transport: it is consistent with the </w:t>
      </w:r>
      <w:r w:rsidRPr="00EF2661">
        <w:rPr>
          <w:rFonts w:eastAsia="Times New Roman"/>
          <w:b/>
          <w:noProof/>
          <w:szCs w:val="24"/>
        </w:rPr>
        <w:t>Final Report of the Conference on the Future of Europe</w:t>
      </w:r>
      <w:r>
        <w:rPr>
          <w:rFonts w:eastAsia="Times New Roman"/>
          <w:noProof/>
          <w:szCs w:val="24"/>
        </w:rPr>
        <w:t xml:space="preserve"> (proposal 18.3) especially when it comes for affordability of transport means and of vehicles operating on non-polluting technologies</w:t>
      </w:r>
      <w:r>
        <w:rPr>
          <w:i/>
          <w:iCs/>
          <w:noProof/>
        </w:rPr>
        <w:t>.</w:t>
      </w:r>
    </w:p>
    <w:p w14:paraId="23F01C92" w14:textId="77777777" w:rsidR="009F4522" w:rsidRPr="00F91EC4" w:rsidRDefault="00ED4B27" w:rsidP="007A47F8">
      <w:pPr>
        <w:rPr>
          <w:noProof/>
        </w:rPr>
      </w:pPr>
      <w:r w:rsidRPr="00F91EC4">
        <w:rPr>
          <w:noProof/>
        </w:rPr>
        <w:t xml:space="preserve">In addition, </w:t>
      </w:r>
      <w:r w:rsidR="00533D91" w:rsidRPr="00F91EC4">
        <w:rPr>
          <w:noProof/>
        </w:rPr>
        <w:t xml:space="preserve">the initiative is coherent with </w:t>
      </w:r>
      <w:r w:rsidRPr="00F91EC4">
        <w:rPr>
          <w:noProof/>
        </w:rPr>
        <w:t xml:space="preserve">the recent proposal amending </w:t>
      </w:r>
      <w:r w:rsidR="00533D91" w:rsidRPr="00F91EC4">
        <w:rPr>
          <w:noProof/>
        </w:rPr>
        <w:t xml:space="preserve">European Consumer Law, more particularly the </w:t>
      </w:r>
      <w:r w:rsidR="00533D91" w:rsidRPr="00F91EC4">
        <w:rPr>
          <w:b/>
          <w:noProof/>
        </w:rPr>
        <w:t>Unfair Commercial Practices Directive</w:t>
      </w:r>
      <w:r w:rsidR="00533D91" w:rsidRPr="00F91EC4">
        <w:rPr>
          <w:rStyle w:val="FootnoteReference"/>
          <w:b/>
          <w:noProof/>
          <w:szCs w:val="24"/>
        </w:rPr>
        <w:footnoteReference w:id="34"/>
      </w:r>
      <w:r w:rsidR="00533D91" w:rsidRPr="00F91EC4">
        <w:rPr>
          <w:noProof/>
        </w:rPr>
        <w:t xml:space="preserve"> and the </w:t>
      </w:r>
      <w:r w:rsidR="00533D91" w:rsidRPr="00F91EC4">
        <w:rPr>
          <w:b/>
          <w:noProof/>
        </w:rPr>
        <w:t>Consumer Rights Directive</w:t>
      </w:r>
      <w:r w:rsidR="00533D91" w:rsidRPr="00F91EC4">
        <w:rPr>
          <w:rStyle w:val="FootnoteReference"/>
          <w:b/>
          <w:noProof/>
          <w:szCs w:val="24"/>
        </w:rPr>
        <w:footnoteReference w:id="35"/>
      </w:r>
      <w:r w:rsidR="00533D91" w:rsidRPr="00F91EC4">
        <w:rPr>
          <w:noProof/>
        </w:rPr>
        <w:t>, to</w:t>
      </w:r>
      <w:r w:rsidRPr="00F91EC4">
        <w:rPr>
          <w:noProof/>
        </w:rPr>
        <w:t xml:space="preserve"> contribute to a circular, clean and green EU economy by</w:t>
      </w:r>
      <w:r w:rsidRPr="00F91EC4">
        <w:rPr>
          <w:noProof/>
          <w:color w:val="000000"/>
          <w:shd w:val="clear" w:color="auto" w:fill="FFFFFF"/>
        </w:rPr>
        <w:t xml:space="preserve"> enabling consumers to take informed purchasing decisions and therefore contributing to more sustainable consumption</w:t>
      </w:r>
      <w:r w:rsidR="00533D91" w:rsidRPr="00F91EC4">
        <w:rPr>
          <w:noProof/>
        </w:rPr>
        <w:t>.</w:t>
      </w:r>
    </w:p>
    <w:p w14:paraId="4D84DD36" w14:textId="77777777" w:rsidR="007A47F8" w:rsidRPr="00F91EC4" w:rsidRDefault="00ED4B27" w:rsidP="007A47F8">
      <w:pPr>
        <w:rPr>
          <w:noProof/>
        </w:rPr>
      </w:pPr>
      <w:r w:rsidRPr="00F91EC4">
        <w:rPr>
          <w:noProof/>
        </w:rPr>
        <w:t>Finally</w:t>
      </w:r>
      <w:r w:rsidR="00503CD9" w:rsidRPr="00F91EC4">
        <w:rPr>
          <w:noProof/>
        </w:rPr>
        <w:t xml:space="preserve">, to reinforce consistency across policies, and as announced in its Communication </w:t>
      </w:r>
      <w:r w:rsidR="00503CD9" w:rsidRPr="00F91EC4">
        <w:rPr>
          <w:b/>
          <w:noProof/>
        </w:rPr>
        <w:t>Better regulation: Joining forces to make better laws</w:t>
      </w:r>
      <w:r w:rsidR="00503CD9" w:rsidRPr="00F91EC4">
        <w:rPr>
          <w:rStyle w:val="FootnoteReference"/>
          <w:noProof/>
        </w:rPr>
        <w:footnoteReference w:id="36"/>
      </w:r>
      <w:r w:rsidR="00503CD9" w:rsidRPr="00F91EC4">
        <w:rPr>
          <w:noProof/>
        </w:rPr>
        <w:t>, the Commission is improving its better regulation guidelines to ensure that all its initiatives comply with the ‘do no significant harm’ principle thus abiding by the obligations set under the European Climate Law.</w:t>
      </w:r>
    </w:p>
    <w:p w14:paraId="7D274817" w14:textId="77777777" w:rsidR="009439C4" w:rsidRPr="00F91EC4" w:rsidRDefault="009439C4" w:rsidP="00C24E66">
      <w:pPr>
        <w:pStyle w:val="ManualHeading1"/>
        <w:rPr>
          <w:noProof/>
        </w:rPr>
      </w:pPr>
      <w:r w:rsidRPr="00F91EC4">
        <w:rPr>
          <w:noProof/>
        </w:rPr>
        <w:t>2.</w:t>
      </w:r>
      <w:r w:rsidRPr="00F91EC4">
        <w:rPr>
          <w:noProof/>
        </w:rPr>
        <w:tab/>
        <w:t>LEGAL BASIS, SUBSIDIARITY AND PROPORTIONALITY</w:t>
      </w:r>
    </w:p>
    <w:p w14:paraId="670594A3"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Legal basis</w:t>
      </w:r>
    </w:p>
    <w:p w14:paraId="5C241BD6" w14:textId="77777777" w:rsidR="009439C4" w:rsidRPr="00F91EC4" w:rsidRDefault="007168E9" w:rsidP="00C24E66">
      <w:pPr>
        <w:pBdr>
          <w:top w:val="nil"/>
          <w:left w:val="nil"/>
          <w:bottom w:val="nil"/>
          <w:right w:val="nil"/>
          <w:between w:val="nil"/>
          <w:bar w:val="nil"/>
        </w:pBdr>
        <w:spacing w:before="0" w:after="240"/>
        <w:rPr>
          <w:rFonts w:eastAsia="Arial Unicode MS"/>
          <w:noProof/>
        </w:rPr>
      </w:pPr>
      <w:r w:rsidRPr="00F91EC4">
        <w:rPr>
          <w:iCs/>
          <w:noProof/>
        </w:rPr>
        <w:t>The legal basis of the proposal is Article 114 of the Treaty on the Functioning of the European Union (TFEU)</w:t>
      </w:r>
      <w:r w:rsidR="00E73F56" w:rsidRPr="00F91EC4">
        <w:rPr>
          <w:iCs/>
          <w:noProof/>
        </w:rPr>
        <w:t>.</w:t>
      </w:r>
    </w:p>
    <w:p w14:paraId="704CCCC9"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 xml:space="preserve">Subsidiarity (for non-exclusive competence) </w:t>
      </w:r>
    </w:p>
    <w:p w14:paraId="4D593860" w14:textId="77777777" w:rsidR="00500D75" w:rsidRPr="00F91EC4" w:rsidRDefault="00500D75" w:rsidP="00500D75">
      <w:pPr>
        <w:pBdr>
          <w:top w:val="nil"/>
          <w:left w:val="nil"/>
          <w:bottom w:val="nil"/>
          <w:right w:val="nil"/>
          <w:between w:val="nil"/>
          <w:bar w:val="nil"/>
        </w:pBdr>
        <w:spacing w:before="0" w:after="240"/>
        <w:rPr>
          <w:iCs/>
          <w:noProof/>
        </w:rPr>
      </w:pPr>
      <w:r w:rsidRPr="00F91EC4">
        <w:rPr>
          <w:iCs/>
          <w:noProof/>
        </w:rPr>
        <w:t>The</w:t>
      </w:r>
      <w:r w:rsidR="007168E9" w:rsidRPr="00F91EC4">
        <w:rPr>
          <w:iCs/>
          <w:noProof/>
        </w:rPr>
        <w:t xml:space="preserve"> legislation concerning the type-approval of motor vehicles</w:t>
      </w:r>
      <w:r w:rsidRPr="00F91EC4">
        <w:rPr>
          <w:iCs/>
          <w:noProof/>
        </w:rPr>
        <w:t xml:space="preserve"> contributes to the implementation and functioning of the </w:t>
      </w:r>
      <w:r w:rsidR="00CD5FAD" w:rsidRPr="00F91EC4">
        <w:rPr>
          <w:iCs/>
          <w:noProof/>
        </w:rPr>
        <w:t>single</w:t>
      </w:r>
      <w:r w:rsidRPr="00F91EC4">
        <w:rPr>
          <w:iCs/>
          <w:noProof/>
        </w:rPr>
        <w:t xml:space="preserve"> market for goods. </w:t>
      </w:r>
      <w:r w:rsidRPr="00F91EC4">
        <w:rPr>
          <w:noProof/>
        </w:rPr>
        <w:t xml:space="preserve">This proposal aims at rendering the implementation and enforcement of this legislation more effective as part of the overall policy objective to deepen the </w:t>
      </w:r>
      <w:r w:rsidR="00CD5FAD" w:rsidRPr="00F91EC4">
        <w:rPr>
          <w:noProof/>
        </w:rPr>
        <w:t>single</w:t>
      </w:r>
      <w:r w:rsidRPr="00F91EC4">
        <w:rPr>
          <w:noProof/>
        </w:rPr>
        <w:t xml:space="preserve"> market strategy.</w:t>
      </w:r>
    </w:p>
    <w:p w14:paraId="72D4905E" w14:textId="77777777" w:rsidR="007168E9" w:rsidRPr="00F91EC4" w:rsidRDefault="008B3AE2" w:rsidP="00C24E66">
      <w:pPr>
        <w:pBdr>
          <w:top w:val="nil"/>
          <w:left w:val="nil"/>
          <w:bottom w:val="nil"/>
          <w:right w:val="nil"/>
          <w:between w:val="nil"/>
          <w:bar w:val="nil"/>
        </w:pBdr>
        <w:spacing w:before="0" w:after="240"/>
        <w:rPr>
          <w:iCs/>
          <w:noProof/>
        </w:rPr>
      </w:pPr>
      <w:r w:rsidRPr="00F91EC4">
        <w:rPr>
          <w:iCs/>
          <w:noProof/>
        </w:rPr>
        <w:t>The second reason is</w:t>
      </w:r>
      <w:r w:rsidR="007168E9" w:rsidRPr="00F91EC4">
        <w:rPr>
          <w:iCs/>
          <w:noProof/>
        </w:rPr>
        <w:t xml:space="preserve"> the transnational nature of air pollution and </w:t>
      </w:r>
      <w:r w:rsidRPr="00F91EC4">
        <w:rPr>
          <w:iCs/>
          <w:noProof/>
        </w:rPr>
        <w:t>road transport</w:t>
      </w:r>
      <w:r w:rsidR="007168E9" w:rsidRPr="00F91EC4">
        <w:rPr>
          <w:iCs/>
          <w:noProof/>
        </w:rPr>
        <w:t xml:space="preserve">. Even though the effects of the main toxic air pollutants are most severe close to the source, the effects on air quality are not limited to the local level and cross-border pollution is a serious environmental problem that often </w:t>
      </w:r>
      <w:r w:rsidR="003B6B5A" w:rsidRPr="00F91EC4">
        <w:rPr>
          <w:iCs/>
          <w:noProof/>
        </w:rPr>
        <w:t xml:space="preserve">challenges </w:t>
      </w:r>
      <w:r w:rsidR="007168E9" w:rsidRPr="00F91EC4">
        <w:rPr>
          <w:iCs/>
          <w:noProof/>
        </w:rPr>
        <w:t>national solutions. Atmospheric modelling shows that the pollution emitted in one Member State contributes to pollution in other Member States. In order to solve the problem of air pollution, concerted action at the EU scale is required.</w:t>
      </w:r>
    </w:p>
    <w:p w14:paraId="5FB349A7" w14:textId="77777777" w:rsidR="00E62A21" w:rsidRPr="00F91EC4" w:rsidRDefault="003B6B5A" w:rsidP="00E62A21">
      <w:pPr>
        <w:pBdr>
          <w:top w:val="nil"/>
          <w:left w:val="nil"/>
          <w:bottom w:val="nil"/>
          <w:right w:val="nil"/>
          <w:between w:val="nil"/>
          <w:bar w:val="nil"/>
        </w:pBdr>
        <w:spacing w:before="0" w:after="240"/>
        <w:rPr>
          <w:noProof/>
          <w:szCs w:val="24"/>
        </w:rPr>
      </w:pPr>
      <w:r w:rsidRPr="00F91EC4">
        <w:rPr>
          <w:noProof/>
          <w:szCs w:val="24"/>
        </w:rPr>
        <w:t>Developing</w:t>
      </w:r>
      <w:r w:rsidR="008B3AE2" w:rsidRPr="00F91EC4">
        <w:rPr>
          <w:noProof/>
          <w:szCs w:val="24"/>
        </w:rPr>
        <w:t xml:space="preserve"> emission standards at EU level </w:t>
      </w:r>
      <w:r w:rsidRPr="00F91EC4">
        <w:rPr>
          <w:noProof/>
          <w:szCs w:val="24"/>
        </w:rPr>
        <w:t xml:space="preserve">and setting up an appropriate governance for it are </w:t>
      </w:r>
      <w:r w:rsidR="008B3AE2" w:rsidRPr="00F91EC4">
        <w:rPr>
          <w:noProof/>
          <w:szCs w:val="24"/>
        </w:rPr>
        <w:t xml:space="preserve">key to </w:t>
      </w:r>
      <w:r w:rsidRPr="00F91EC4">
        <w:rPr>
          <w:noProof/>
          <w:szCs w:val="24"/>
        </w:rPr>
        <w:t xml:space="preserve">avoid </w:t>
      </w:r>
      <w:r w:rsidR="008B3AE2" w:rsidRPr="00F91EC4">
        <w:rPr>
          <w:noProof/>
          <w:szCs w:val="24"/>
        </w:rPr>
        <w:t xml:space="preserve">Member States </w:t>
      </w:r>
      <w:r w:rsidRPr="00F91EC4">
        <w:rPr>
          <w:noProof/>
          <w:szCs w:val="24"/>
        </w:rPr>
        <w:t>adopting</w:t>
      </w:r>
      <w:r w:rsidR="008B3AE2" w:rsidRPr="00F91EC4">
        <w:rPr>
          <w:noProof/>
          <w:szCs w:val="24"/>
        </w:rPr>
        <w:t xml:space="preserve"> different national measures</w:t>
      </w:r>
      <w:r w:rsidRPr="00F91EC4">
        <w:rPr>
          <w:noProof/>
          <w:szCs w:val="24"/>
        </w:rPr>
        <w:t xml:space="preserve"> which are potentially not congruous nor consistent</w:t>
      </w:r>
      <w:r w:rsidR="008B3AE2" w:rsidRPr="00F91EC4">
        <w:rPr>
          <w:noProof/>
          <w:szCs w:val="24"/>
        </w:rPr>
        <w:t xml:space="preserve"> (e.g. to measures limiting access to certain </w:t>
      </w:r>
      <w:r w:rsidR="008B3AE2" w:rsidRPr="00F91EC4">
        <w:rPr>
          <w:iCs/>
          <w:noProof/>
        </w:rPr>
        <w:t>areas</w:t>
      </w:r>
      <w:r w:rsidR="008B3AE2" w:rsidRPr="00F91EC4">
        <w:rPr>
          <w:noProof/>
          <w:szCs w:val="24"/>
        </w:rPr>
        <w:t>)</w:t>
      </w:r>
      <w:r w:rsidRPr="00F91EC4">
        <w:rPr>
          <w:noProof/>
          <w:szCs w:val="24"/>
        </w:rPr>
        <w:t>.</w:t>
      </w:r>
      <w:r w:rsidR="008B3AE2" w:rsidRPr="00F91EC4">
        <w:rPr>
          <w:noProof/>
          <w:szCs w:val="24"/>
        </w:rPr>
        <w:t xml:space="preserve"> </w:t>
      </w:r>
      <w:r w:rsidRPr="00F91EC4">
        <w:rPr>
          <w:noProof/>
          <w:szCs w:val="24"/>
        </w:rPr>
        <w:t xml:space="preserve">Such measures </w:t>
      </w:r>
      <w:r w:rsidR="008B3AE2" w:rsidRPr="00F91EC4">
        <w:rPr>
          <w:noProof/>
          <w:szCs w:val="24"/>
        </w:rPr>
        <w:t>would create considerable obstacles for industry and pose great risk to the single market. Hence, continued harmonised EU action to further reduce vehicle emission is fully justified.</w:t>
      </w:r>
    </w:p>
    <w:p w14:paraId="7C1D6DE5"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Proportionality</w:t>
      </w:r>
    </w:p>
    <w:p w14:paraId="100DEF6B" w14:textId="77777777" w:rsidR="009439C4" w:rsidRPr="00F91EC4" w:rsidRDefault="002F5236" w:rsidP="00C24E66">
      <w:pPr>
        <w:pBdr>
          <w:top w:val="nil"/>
          <w:left w:val="nil"/>
          <w:bottom w:val="nil"/>
          <w:right w:val="nil"/>
          <w:between w:val="nil"/>
          <w:bar w:val="nil"/>
        </w:pBdr>
        <w:spacing w:before="0" w:after="240"/>
        <w:rPr>
          <w:rFonts w:eastAsia="Arial Unicode MS"/>
          <w:noProof/>
        </w:rPr>
      </w:pPr>
      <w:r w:rsidRPr="00F91EC4">
        <w:rPr>
          <w:noProof/>
        </w:rPr>
        <w:t>The proposal is proportionate as it provides for the necessary legal change and at the same time does not go beyond what it necessary to achieve the objectives of reduction of pollutant emissions from motor vehicles on the one hand and ensuring legal certainty for vehicle manufacturers on the other. It provides for the necessary legal conditions to uphold, to the extent possible, a level playing field among manufacturers</w:t>
      </w:r>
      <w:r w:rsidR="005902DF" w:rsidRPr="00F91EC4">
        <w:rPr>
          <w:noProof/>
        </w:rPr>
        <w:t>.</w:t>
      </w:r>
    </w:p>
    <w:p w14:paraId="01A68DDA"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Choice of the instrument</w:t>
      </w:r>
    </w:p>
    <w:p w14:paraId="6D9C9D97" w14:textId="77777777" w:rsidR="00F855A8" w:rsidRPr="00F91EC4" w:rsidRDefault="002F5236" w:rsidP="00A300DE">
      <w:pPr>
        <w:spacing w:before="0" w:after="240"/>
        <w:rPr>
          <w:noProof/>
        </w:rPr>
      </w:pPr>
      <w:r w:rsidRPr="00F91EC4">
        <w:rPr>
          <w:rFonts w:eastAsia="Arial Unicode MS"/>
          <w:noProof/>
        </w:rPr>
        <w:t>The use of a Regulation is considered to be appropriate in that it provides the required assurance for direct and harmonised application and enforcement while not requiring transposition into Member States’ legislation.</w:t>
      </w:r>
      <w:r w:rsidR="0056148E" w:rsidRPr="00F91EC4">
        <w:rPr>
          <w:rFonts w:eastAsia="Arial Unicode MS"/>
          <w:noProof/>
        </w:rPr>
        <w:t xml:space="preserve"> </w:t>
      </w:r>
    </w:p>
    <w:p w14:paraId="2C5688F1" w14:textId="77777777" w:rsidR="009439C4" w:rsidRPr="00F91EC4" w:rsidRDefault="009439C4" w:rsidP="00C24E66">
      <w:pPr>
        <w:pStyle w:val="ManualHeading1"/>
        <w:rPr>
          <w:noProof/>
        </w:rPr>
      </w:pPr>
      <w:r w:rsidRPr="00F91EC4">
        <w:rPr>
          <w:noProof/>
        </w:rPr>
        <w:t>3.</w:t>
      </w:r>
      <w:r w:rsidRPr="00F91EC4">
        <w:rPr>
          <w:noProof/>
        </w:rPr>
        <w:tab/>
        <w:t>RESULTS OF EX-POST EVALUATIONS, STAKEHOLDER CONSULTATIONS AND IMPACT ASSESSMENTS</w:t>
      </w:r>
    </w:p>
    <w:p w14:paraId="0ED057E6"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Ex-post evaluations of existing legislation</w:t>
      </w:r>
    </w:p>
    <w:p w14:paraId="69C8DDEE" w14:textId="77777777" w:rsidR="000826A0" w:rsidRPr="00F91EC4" w:rsidRDefault="000826A0" w:rsidP="001716CD">
      <w:pPr>
        <w:rPr>
          <w:noProof/>
        </w:rPr>
      </w:pPr>
      <w:r w:rsidRPr="00F91EC4">
        <w:rPr>
          <w:noProof/>
        </w:rPr>
        <w:t>The Commission decided to follow a back-to-back approach in which the evaluation and impact assessment were conducted in parallel as a single process to meet the roadmap set by the European Green Deal</w:t>
      </w:r>
      <w:r w:rsidRPr="00F91EC4">
        <w:rPr>
          <w:rStyle w:val="FootnoteReference"/>
          <w:noProof/>
        </w:rPr>
        <w:footnoteReference w:id="37"/>
      </w:r>
      <w:r w:rsidRPr="00F91EC4">
        <w:rPr>
          <w:noProof/>
        </w:rPr>
        <w:t>.</w:t>
      </w:r>
      <w:r w:rsidR="005D0770" w:rsidRPr="00F91EC4">
        <w:rPr>
          <w:noProof/>
        </w:rPr>
        <w:t xml:space="preserve"> That way,</w:t>
      </w:r>
      <w:r w:rsidR="00DC2991" w:rsidRPr="00F91EC4">
        <w:rPr>
          <w:noProof/>
        </w:rPr>
        <w:t xml:space="preserve"> the findings of the evaluation</w:t>
      </w:r>
      <w:r w:rsidR="005D0770" w:rsidRPr="00F91EC4">
        <w:rPr>
          <w:noProof/>
        </w:rPr>
        <w:t xml:space="preserve"> included in Annex 5 to the Impact Assessment were used to inform further reflection on whether Euro 6/VI emission standards continue to provide high level environmental protection in the EU and to ensure the proper function of the </w:t>
      </w:r>
      <w:r w:rsidR="00C67681" w:rsidRPr="00F91EC4">
        <w:rPr>
          <w:noProof/>
        </w:rPr>
        <w:t xml:space="preserve">single </w:t>
      </w:r>
      <w:r w:rsidR="005D0770" w:rsidRPr="00F91EC4">
        <w:rPr>
          <w:noProof/>
        </w:rPr>
        <w:t>market for motor vehicles.</w:t>
      </w:r>
    </w:p>
    <w:p w14:paraId="59F6E952" w14:textId="77777777" w:rsidR="005D0770" w:rsidRPr="00F91EC4" w:rsidRDefault="00AB7723" w:rsidP="00AB7723">
      <w:pPr>
        <w:rPr>
          <w:noProof/>
        </w:rPr>
      </w:pPr>
      <w:r w:rsidRPr="00F91EC4">
        <w:rPr>
          <w:noProof/>
        </w:rPr>
        <w:t>The evaluation assessed the regulations</w:t>
      </w:r>
      <w:r w:rsidR="00DC2991" w:rsidRPr="00F91EC4">
        <w:rPr>
          <w:noProof/>
        </w:rPr>
        <w:t>’ achievements</w:t>
      </w:r>
      <w:r w:rsidRPr="00F91EC4">
        <w:rPr>
          <w:noProof/>
        </w:rPr>
        <w:t xml:space="preserve"> against the objectives set in the </w:t>
      </w:r>
      <w:r w:rsidR="00A251AF" w:rsidRPr="00F91EC4">
        <w:rPr>
          <w:noProof/>
        </w:rPr>
        <w:t xml:space="preserve">Euro 6/VI </w:t>
      </w:r>
      <w:r w:rsidRPr="00F91EC4">
        <w:rPr>
          <w:noProof/>
        </w:rPr>
        <w:t xml:space="preserve">legislation. It concluded that the </w:t>
      </w:r>
      <w:r w:rsidR="000B5427" w:rsidRPr="00F91EC4">
        <w:rPr>
          <w:noProof/>
        </w:rPr>
        <w:t>Euro 6/VI objectives to improve air quality by reducing pollutants from road transport and to set harmonised rules on the construction of motor vehicles are still highly relevant.</w:t>
      </w:r>
      <w:r w:rsidR="00F155FE" w:rsidRPr="00F91EC4">
        <w:rPr>
          <w:noProof/>
        </w:rPr>
        <w:t xml:space="preserve"> In addition, the regulations we</w:t>
      </w:r>
      <w:r w:rsidR="00085396" w:rsidRPr="00F91EC4">
        <w:rPr>
          <w:noProof/>
        </w:rPr>
        <w:t xml:space="preserve">re found to be broadly coherent and </w:t>
      </w:r>
      <w:r w:rsidR="00F155FE" w:rsidRPr="00F91EC4">
        <w:rPr>
          <w:noProof/>
        </w:rPr>
        <w:t>to have led to partly cleaner vehicles on EU roads</w:t>
      </w:r>
      <w:r w:rsidR="00FF6CDC" w:rsidRPr="00F91EC4">
        <w:rPr>
          <w:noProof/>
        </w:rPr>
        <w:t xml:space="preserve"> with</w:t>
      </w:r>
      <w:r w:rsidR="00F155FE" w:rsidRPr="00F91EC4">
        <w:rPr>
          <w:noProof/>
        </w:rPr>
        <w:t xml:space="preserve"> the Euro 6/VI testing procedures </w:t>
      </w:r>
      <w:r w:rsidR="00FF6CDC" w:rsidRPr="00F91EC4">
        <w:rPr>
          <w:noProof/>
        </w:rPr>
        <w:t>being</w:t>
      </w:r>
      <w:r w:rsidR="00F155FE" w:rsidRPr="00F91EC4">
        <w:rPr>
          <w:noProof/>
        </w:rPr>
        <w:t xml:space="preserve"> partly effective. </w:t>
      </w:r>
      <w:r w:rsidR="00085396" w:rsidRPr="00F91EC4">
        <w:rPr>
          <w:noProof/>
        </w:rPr>
        <w:t>Regulatory costs</w:t>
      </w:r>
      <w:r w:rsidR="003B6B5A" w:rsidRPr="00F91EC4">
        <w:rPr>
          <w:noProof/>
        </w:rPr>
        <w:t xml:space="preserve"> exist</w:t>
      </w:r>
      <w:r w:rsidR="00FF6CDC" w:rsidRPr="00F91EC4">
        <w:rPr>
          <w:noProof/>
        </w:rPr>
        <w:t xml:space="preserve">, while overall the Euro 6/VI regulations are found to be cost-effective. </w:t>
      </w:r>
      <w:r w:rsidRPr="00F91EC4">
        <w:rPr>
          <w:noProof/>
        </w:rPr>
        <w:t xml:space="preserve">They also generated significant EU added value that could not have been achieved to the same extent through national measures. </w:t>
      </w:r>
    </w:p>
    <w:p w14:paraId="7061E446" w14:textId="77777777" w:rsidR="00AB7723" w:rsidRPr="00F91EC4" w:rsidRDefault="00AB7723" w:rsidP="00AB7723">
      <w:pPr>
        <w:rPr>
          <w:noProof/>
        </w:rPr>
      </w:pPr>
      <w:r w:rsidRPr="00F91EC4">
        <w:rPr>
          <w:noProof/>
        </w:rPr>
        <w:t>Key conclusions of the evaluation were as follows:</w:t>
      </w:r>
    </w:p>
    <w:p w14:paraId="767F4A70" w14:textId="77777777" w:rsidR="00AB7723" w:rsidRPr="00F91EC4" w:rsidRDefault="00AB7723" w:rsidP="00E5571D">
      <w:pPr>
        <w:pStyle w:val="Bullet0"/>
        <w:numPr>
          <w:ilvl w:val="0"/>
          <w:numId w:val="30"/>
        </w:numPr>
        <w:rPr>
          <w:noProof/>
        </w:rPr>
      </w:pPr>
      <w:r w:rsidRPr="00F91EC4">
        <w:rPr>
          <w:noProof/>
        </w:rPr>
        <w:t xml:space="preserve">The Regulations have </w:t>
      </w:r>
      <w:r w:rsidR="00F91DBD" w:rsidRPr="00F91EC4">
        <w:rPr>
          <w:noProof/>
        </w:rPr>
        <w:t>realised partly cleaner vehicles on EU roads.</w:t>
      </w:r>
    </w:p>
    <w:p w14:paraId="0C579204" w14:textId="77777777" w:rsidR="00D9300E" w:rsidRPr="00F91EC4" w:rsidRDefault="00F91DBD" w:rsidP="00C709FA">
      <w:pPr>
        <w:pStyle w:val="Bullet0"/>
        <w:rPr>
          <w:noProof/>
        </w:rPr>
      </w:pPr>
      <w:r w:rsidRPr="00F91EC4">
        <w:rPr>
          <w:noProof/>
          <w:color w:val="000000" w:themeColor="text1"/>
        </w:rPr>
        <w:t xml:space="preserve">Since the </w:t>
      </w:r>
      <w:r w:rsidR="00A251AF" w:rsidRPr="00F91EC4">
        <w:rPr>
          <w:noProof/>
          <w:color w:val="000000" w:themeColor="text1"/>
        </w:rPr>
        <w:t>application</w:t>
      </w:r>
      <w:r w:rsidRPr="00F91EC4">
        <w:rPr>
          <w:noProof/>
          <w:color w:val="000000" w:themeColor="text1"/>
        </w:rPr>
        <w:t xml:space="preserve"> of Euro VI emission limits in 2013 and Euro 6 emission limits in 2014 up until 2020, NO</w:t>
      </w:r>
      <w:r w:rsidRPr="00F91EC4">
        <w:rPr>
          <w:noProof/>
          <w:color w:val="000000" w:themeColor="text1"/>
          <w:vertAlign w:val="subscript"/>
        </w:rPr>
        <w:t>x</w:t>
      </w:r>
      <w:r w:rsidRPr="00F91EC4">
        <w:rPr>
          <w:noProof/>
          <w:color w:val="000000" w:themeColor="text1"/>
        </w:rPr>
        <w:t xml:space="preserve"> emissions on EU roads have decreased by 22% for cars and vans and by 36% for lorries and buses. Exhaust PM emissions on EU roads have known a decrease of 28% for cars and vans, and a decrease of 14% from lorries and buses. </w:t>
      </w:r>
    </w:p>
    <w:p w14:paraId="16896984" w14:textId="77777777" w:rsidR="00F91DBD" w:rsidRPr="00F91EC4" w:rsidRDefault="00F91DBD" w:rsidP="00C709FA">
      <w:pPr>
        <w:pStyle w:val="Bullet0"/>
        <w:rPr>
          <w:noProof/>
        </w:rPr>
      </w:pPr>
      <w:r w:rsidRPr="00F91EC4">
        <w:rPr>
          <w:noProof/>
          <w:color w:val="000000" w:themeColor="text1"/>
        </w:rPr>
        <w:t xml:space="preserve">The Regulations have </w:t>
      </w:r>
      <w:r w:rsidR="00D9300E" w:rsidRPr="00F91EC4">
        <w:rPr>
          <w:noProof/>
          <w:color w:val="000000" w:themeColor="text1"/>
        </w:rPr>
        <w:t xml:space="preserve">somewhat </w:t>
      </w:r>
      <w:r w:rsidRPr="00F91EC4">
        <w:rPr>
          <w:noProof/>
          <w:color w:val="000000" w:themeColor="text1"/>
        </w:rPr>
        <w:t>curbed negative health impacts by road transport</w:t>
      </w:r>
      <w:r w:rsidR="00D9300E" w:rsidRPr="00F91EC4">
        <w:rPr>
          <w:noProof/>
          <w:color w:val="000000" w:themeColor="text1"/>
        </w:rPr>
        <w:t xml:space="preserve"> </w:t>
      </w:r>
      <w:r w:rsidR="00D9300E" w:rsidRPr="00F91EC4">
        <w:rPr>
          <w:noProof/>
        </w:rPr>
        <w:t>that could cause respiratory and cardiovascular diseases upon inhalation.</w:t>
      </w:r>
    </w:p>
    <w:p w14:paraId="30A19A10" w14:textId="77777777" w:rsidR="00D9300E" w:rsidRPr="00F91EC4" w:rsidRDefault="00B12B0C">
      <w:pPr>
        <w:pStyle w:val="Bullet0"/>
        <w:rPr>
          <w:noProof/>
        </w:rPr>
      </w:pPr>
      <w:r w:rsidRPr="00F91EC4">
        <w:rPr>
          <w:noProof/>
        </w:rPr>
        <w:t xml:space="preserve">Regulatory costs for automotive industry are estimated at €357-€929 per diesel vehicle and by €80-€181 per petrol vehicle for cars and vans, and up to €3 717-€4 326 per heavy-duty vehicle. </w:t>
      </w:r>
      <w:r w:rsidR="00AA6EB3" w:rsidRPr="00F91EC4">
        <w:rPr>
          <w:noProof/>
        </w:rPr>
        <w:t>W</w:t>
      </w:r>
      <w:r w:rsidRPr="00F91EC4">
        <w:rPr>
          <w:noProof/>
        </w:rPr>
        <w:t>hile the latter are in line with the expectations, for cars and vans the costs are</w:t>
      </w:r>
      <w:r w:rsidR="00AA6EB3" w:rsidRPr="00F91EC4">
        <w:rPr>
          <w:noProof/>
        </w:rPr>
        <w:t xml:space="preserve"> higher than what was </w:t>
      </w:r>
      <w:r w:rsidRPr="00F91EC4">
        <w:rPr>
          <w:noProof/>
        </w:rPr>
        <w:t>originally anticipated.</w:t>
      </w:r>
    </w:p>
    <w:p w14:paraId="42A018A0" w14:textId="77777777" w:rsidR="00B12B0C" w:rsidRPr="00F91EC4" w:rsidRDefault="00B12B0C">
      <w:pPr>
        <w:pStyle w:val="Bullet0"/>
        <w:rPr>
          <w:noProof/>
        </w:rPr>
      </w:pPr>
      <w:r w:rsidRPr="00F91EC4">
        <w:rPr>
          <w:noProof/>
        </w:rPr>
        <w:t>Impacts on competitiveness and innovation appear generally positive with no signs of competitive distortion.</w:t>
      </w:r>
    </w:p>
    <w:p w14:paraId="12DD908A" w14:textId="77777777" w:rsidR="00B12B0C" w:rsidRPr="00F91EC4" w:rsidRDefault="00DC2991">
      <w:pPr>
        <w:pStyle w:val="Bullet0"/>
        <w:rPr>
          <w:noProof/>
        </w:rPr>
      </w:pPr>
      <w:r w:rsidRPr="00F91EC4">
        <w:rPr>
          <w:noProof/>
        </w:rPr>
        <w:t>Recent policy developments such as the European Green Deal</w:t>
      </w:r>
      <w:r w:rsidR="00B12B0C" w:rsidRPr="00F91EC4">
        <w:rPr>
          <w:noProof/>
        </w:rPr>
        <w:t xml:space="preserve"> support the Euro 6/VI objectives and the relevance </w:t>
      </w:r>
      <w:r w:rsidRPr="00F91EC4">
        <w:rPr>
          <w:noProof/>
        </w:rPr>
        <w:t>of further improving</w:t>
      </w:r>
      <w:r w:rsidR="00B12B0C" w:rsidRPr="00F91EC4">
        <w:rPr>
          <w:noProof/>
        </w:rPr>
        <w:t xml:space="preserve"> air quality by reducing emissions from road transport in a unified EU approach.</w:t>
      </w:r>
    </w:p>
    <w:p w14:paraId="58FEAC83" w14:textId="77777777" w:rsidR="00AB7723" w:rsidRPr="00F91EC4" w:rsidRDefault="00AB7723" w:rsidP="00C709FA">
      <w:pPr>
        <w:pStyle w:val="Bullet0"/>
        <w:rPr>
          <w:noProof/>
        </w:rPr>
      </w:pPr>
      <w:r w:rsidRPr="00F91EC4">
        <w:rPr>
          <w:noProof/>
        </w:rPr>
        <w:t>The Regulations have generated net economic benefits to society.</w:t>
      </w:r>
    </w:p>
    <w:p w14:paraId="3D2D0823" w14:textId="77777777" w:rsidR="00C57E77" w:rsidRPr="00F91EC4" w:rsidRDefault="00B12B0C" w:rsidP="00C709FA">
      <w:pPr>
        <w:pStyle w:val="Bullet0"/>
        <w:rPr>
          <w:noProof/>
        </w:rPr>
      </w:pPr>
      <w:r w:rsidRPr="00F91EC4">
        <w:rPr>
          <w:noProof/>
        </w:rPr>
        <w:t xml:space="preserve">While the Regulations are broadly coherent, some coherence issues have been identified both within the Euro 6/VI emission standards and </w:t>
      </w:r>
      <w:r w:rsidR="00C57E77" w:rsidRPr="00F91EC4">
        <w:rPr>
          <w:noProof/>
        </w:rPr>
        <w:t>with other EU legislation.</w:t>
      </w:r>
    </w:p>
    <w:p w14:paraId="039E0BCC" w14:textId="77777777" w:rsidR="00AB7723" w:rsidRPr="00F91EC4" w:rsidRDefault="00C57E77" w:rsidP="00C709FA">
      <w:pPr>
        <w:pStyle w:val="Bullet0"/>
        <w:rPr>
          <w:noProof/>
        </w:rPr>
      </w:pPr>
      <w:r w:rsidRPr="00F91EC4">
        <w:rPr>
          <w:noProof/>
        </w:rPr>
        <w:t xml:space="preserve">No simplification was realised in the Regulations. </w:t>
      </w:r>
    </w:p>
    <w:p w14:paraId="613745DB" w14:textId="77777777" w:rsidR="00D9300E" w:rsidRPr="00F91EC4" w:rsidRDefault="00AB7723">
      <w:pPr>
        <w:pStyle w:val="Bullet0"/>
        <w:rPr>
          <w:noProof/>
        </w:rPr>
      </w:pPr>
      <w:r w:rsidRPr="00F91EC4">
        <w:rPr>
          <w:noProof/>
        </w:rPr>
        <w:t>The harmonisation of the market is the most crucial aspect of EU added-value and it is unlikely that uncoordinated action would have been as efficient. The Regulations ensure common requirements, thus minimising costs for manufacturers, and provide regulatory certainty.</w:t>
      </w:r>
    </w:p>
    <w:p w14:paraId="207FDDF8" w14:textId="77777777" w:rsidR="00862984" w:rsidRPr="00F91EC4" w:rsidRDefault="00862984" w:rsidP="00862984">
      <w:pPr>
        <w:pStyle w:val="Bullet0"/>
        <w:rPr>
          <w:noProof/>
        </w:rPr>
      </w:pPr>
      <w:r w:rsidRPr="00F91EC4">
        <w:rPr>
          <w:noProof/>
        </w:rPr>
        <w:t>Still, some shortcoming are preventing the Regulations from further improving air quality t</w:t>
      </w:r>
      <w:r w:rsidR="009E4058">
        <w:rPr>
          <w:noProof/>
        </w:rPr>
        <w:t>h</w:t>
      </w:r>
      <w:r w:rsidRPr="00F91EC4">
        <w:rPr>
          <w:noProof/>
        </w:rPr>
        <w:t>rough reducing pollutants emitted by the road transport sector. Hence, some design elements (modalities) of the Regulations are likely to have had an impact on the efficiency of the Regulations. In particular:</w:t>
      </w:r>
    </w:p>
    <w:p w14:paraId="64732CC9" w14:textId="77777777" w:rsidR="00123C44" w:rsidRPr="00F91EC4" w:rsidRDefault="00491A36" w:rsidP="005A5D41">
      <w:pPr>
        <w:pStyle w:val="Bullet1"/>
        <w:numPr>
          <w:ilvl w:val="0"/>
          <w:numId w:val="15"/>
        </w:numPr>
        <w:rPr>
          <w:noProof/>
          <w:szCs w:val="24"/>
        </w:rPr>
      </w:pPr>
      <w:r w:rsidRPr="00F91EC4">
        <w:rPr>
          <w:noProof/>
          <w:szCs w:val="24"/>
        </w:rPr>
        <w:t xml:space="preserve">The evaluation shows that over the successive </w:t>
      </w:r>
      <w:r w:rsidR="00A251AF" w:rsidRPr="00F91EC4">
        <w:rPr>
          <w:noProof/>
          <w:szCs w:val="24"/>
        </w:rPr>
        <w:t xml:space="preserve">steps of </w:t>
      </w:r>
      <w:r w:rsidRPr="00F91EC4">
        <w:rPr>
          <w:noProof/>
          <w:szCs w:val="24"/>
        </w:rPr>
        <w:t xml:space="preserve">Euro </w:t>
      </w:r>
      <w:r w:rsidR="00A251AF" w:rsidRPr="00F91EC4">
        <w:rPr>
          <w:noProof/>
          <w:szCs w:val="24"/>
        </w:rPr>
        <w:t xml:space="preserve">6/VI </w:t>
      </w:r>
      <w:r w:rsidRPr="00F91EC4">
        <w:rPr>
          <w:noProof/>
          <w:szCs w:val="24"/>
        </w:rPr>
        <w:t>standards complexity and consistency issues have become well-rooted in the both the overall legal framework and in its practical implementation.</w:t>
      </w:r>
    </w:p>
    <w:p w14:paraId="318A15FA" w14:textId="77777777" w:rsidR="009439C4" w:rsidRPr="00F91EC4" w:rsidRDefault="00491A36" w:rsidP="00273F66">
      <w:pPr>
        <w:pStyle w:val="Bullet1"/>
        <w:rPr>
          <w:rFonts w:eastAsia="Arial Unicode MS"/>
          <w:noProof/>
        </w:rPr>
      </w:pPr>
      <w:r w:rsidRPr="00F91EC4">
        <w:rPr>
          <w:noProof/>
        </w:rPr>
        <w:t xml:space="preserve">The evaluation emphasizes many potential benefits for human health and environment remain overlooked in the current Regulations. Despite the </w:t>
      </w:r>
      <w:r w:rsidR="00AC1490" w:rsidRPr="00F91EC4">
        <w:rPr>
          <w:noProof/>
        </w:rPr>
        <w:t>progress made</w:t>
      </w:r>
      <w:r w:rsidRPr="00F91EC4">
        <w:rPr>
          <w:noProof/>
        </w:rPr>
        <w:t xml:space="preserve"> </w:t>
      </w:r>
      <w:r w:rsidR="00AC1490" w:rsidRPr="00F91EC4">
        <w:rPr>
          <w:noProof/>
        </w:rPr>
        <w:t>to reduce the gap between vehicle real-world emissions (driving cycles and conditions of use, especially in urban driving conditions) and type-approved emissions, important emissions remain unaccounted under Euro 6/VI emission testing. In addition, emissions are not properly controlled over the entire lifetime of vehicles.</w:t>
      </w:r>
    </w:p>
    <w:p w14:paraId="1979F46F"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Stakeholder consultations</w:t>
      </w:r>
    </w:p>
    <w:p w14:paraId="76A30D47" w14:textId="77777777" w:rsidR="007C3EA1" w:rsidRPr="00F91EC4" w:rsidRDefault="00D20E92" w:rsidP="00C77D07">
      <w:pPr>
        <w:pStyle w:val="Text1"/>
        <w:ind w:left="0"/>
        <w:rPr>
          <w:noProof/>
        </w:rPr>
      </w:pPr>
      <w:r w:rsidRPr="00F91EC4">
        <w:rPr>
          <w:noProof/>
        </w:rPr>
        <w:t>In order to col</w:t>
      </w:r>
      <w:r w:rsidR="00666910" w:rsidRPr="00F91EC4">
        <w:rPr>
          <w:noProof/>
        </w:rPr>
        <w:t>lect evidence and ensure great</w:t>
      </w:r>
      <w:r w:rsidRPr="00F91EC4">
        <w:rPr>
          <w:noProof/>
        </w:rPr>
        <w:t xml:space="preserve"> transparency, the Commission sought feedback from stakeholders </w:t>
      </w:r>
      <w:r w:rsidR="00666910" w:rsidRPr="00F91EC4">
        <w:rPr>
          <w:noProof/>
        </w:rPr>
        <w:t>through</w:t>
      </w:r>
      <w:r w:rsidRPr="00F91EC4">
        <w:rPr>
          <w:noProof/>
        </w:rPr>
        <w:t xml:space="preserve"> multiple consultation activities. </w:t>
      </w:r>
      <w:r w:rsidR="007C3EA1" w:rsidRPr="00F91EC4">
        <w:rPr>
          <w:noProof/>
        </w:rPr>
        <w:t xml:space="preserve">More precisely, for the purpose of this proposal, the Commission sought feedback from </w:t>
      </w:r>
      <w:r w:rsidR="00666910" w:rsidRPr="00F91EC4">
        <w:rPr>
          <w:noProof/>
        </w:rPr>
        <w:t>the following stakeholder groups</w:t>
      </w:r>
      <w:r w:rsidR="007C3EA1" w:rsidRPr="00F91EC4">
        <w:rPr>
          <w:noProof/>
        </w:rPr>
        <w:t xml:space="preserve">: </w:t>
      </w:r>
      <w:r w:rsidR="00363E2B" w:rsidRPr="00F91EC4">
        <w:rPr>
          <w:noProof/>
        </w:rPr>
        <w:t>Member States and national authorities, automotive industry (including vehicle manufacturers, component suppliers and other industry stakeholders), civil society (including consumer organisations and environmental NGOs) and citizens.</w:t>
      </w:r>
    </w:p>
    <w:p w14:paraId="68415D85" w14:textId="77777777" w:rsidR="00D20E92" w:rsidRPr="00F91EC4" w:rsidRDefault="00D20E92" w:rsidP="001716CD">
      <w:pPr>
        <w:pStyle w:val="Text1"/>
        <w:ind w:left="0"/>
        <w:rPr>
          <w:noProof/>
        </w:rPr>
      </w:pPr>
      <w:r w:rsidRPr="00F91EC4">
        <w:rPr>
          <w:noProof/>
        </w:rPr>
        <w:t>A detailed summary of th</w:t>
      </w:r>
      <w:r w:rsidR="005525D4" w:rsidRPr="00F91EC4">
        <w:rPr>
          <w:noProof/>
        </w:rPr>
        <w:t>e extensive</w:t>
      </w:r>
      <w:r w:rsidRPr="00F91EC4">
        <w:rPr>
          <w:noProof/>
        </w:rPr>
        <w:t xml:space="preserve"> consultation process </w:t>
      </w:r>
      <w:r w:rsidR="00B55066" w:rsidRPr="00F91EC4">
        <w:rPr>
          <w:noProof/>
        </w:rPr>
        <w:t>is</w:t>
      </w:r>
      <w:r w:rsidRPr="00F91EC4">
        <w:rPr>
          <w:noProof/>
        </w:rPr>
        <w:t xml:space="preserve"> presented in the synopsis report in Annex 2 to the Impact Assessment for this proposal.</w:t>
      </w:r>
    </w:p>
    <w:p w14:paraId="2EAD938E" w14:textId="77777777" w:rsidR="00905639" w:rsidRPr="00F91EC4" w:rsidRDefault="00905639" w:rsidP="00905639">
      <w:pPr>
        <w:rPr>
          <w:noProof/>
        </w:rPr>
      </w:pPr>
      <w:r w:rsidRPr="00F91EC4">
        <w:rPr>
          <w:noProof/>
        </w:rPr>
        <w:t xml:space="preserve">The Commission </w:t>
      </w:r>
      <w:r w:rsidR="00D20E92" w:rsidRPr="00F91EC4">
        <w:rPr>
          <w:noProof/>
        </w:rPr>
        <w:t xml:space="preserve">has gathered </w:t>
      </w:r>
      <w:r w:rsidRPr="00F91EC4">
        <w:rPr>
          <w:noProof/>
        </w:rPr>
        <w:t xml:space="preserve">feedback through the following </w:t>
      </w:r>
      <w:r w:rsidR="005525D4" w:rsidRPr="00F91EC4">
        <w:rPr>
          <w:noProof/>
        </w:rPr>
        <w:t>activitie</w:t>
      </w:r>
      <w:r w:rsidRPr="00F91EC4">
        <w:rPr>
          <w:noProof/>
        </w:rPr>
        <w:t>s:</w:t>
      </w:r>
    </w:p>
    <w:p w14:paraId="54027910" w14:textId="77777777" w:rsidR="005525D4" w:rsidRPr="00F91EC4" w:rsidRDefault="005525D4" w:rsidP="00905639">
      <w:pPr>
        <w:pStyle w:val="Bullet0"/>
        <w:rPr>
          <w:noProof/>
        </w:rPr>
      </w:pPr>
      <w:r w:rsidRPr="00F91EC4">
        <w:rPr>
          <w:noProof/>
        </w:rPr>
        <w:t xml:space="preserve">The initiative was discussed for the first time with stakeholders during a stakeholder conference in October 2018. Subsequently, the Advisory Group on Vehicle Emission Standards (AGVES) was set up by merging relevant expert groups from industry, civil society and Member States, with ten meetings and one ad-hoc workshop on simplification from July 2019 to April 2021. </w:t>
      </w:r>
    </w:p>
    <w:p w14:paraId="7DEB49C7" w14:textId="77777777" w:rsidR="005525D4" w:rsidRPr="00F91EC4" w:rsidRDefault="005525D4" w:rsidP="005525D4">
      <w:pPr>
        <w:pStyle w:val="Bullet0"/>
        <w:rPr>
          <w:noProof/>
        </w:rPr>
      </w:pPr>
      <w:r w:rsidRPr="00F91EC4">
        <w:rPr>
          <w:noProof/>
        </w:rPr>
        <w:t xml:space="preserve">The Inception Impact Assessment was launched on 27 March to 3 June 2020. The 18-week Public Consultation on the proposal followed on 6 July 2020 and was open for contributions until 9 November 2020. </w:t>
      </w:r>
    </w:p>
    <w:p w14:paraId="467A57DF" w14:textId="77777777" w:rsidR="005525D4" w:rsidRPr="00F91EC4" w:rsidRDefault="005525D4" w:rsidP="005525D4">
      <w:pPr>
        <w:pStyle w:val="Bullet0"/>
        <w:rPr>
          <w:noProof/>
        </w:rPr>
      </w:pPr>
      <w:r w:rsidRPr="00F91EC4">
        <w:rPr>
          <w:noProof/>
        </w:rPr>
        <w:t>Two 14-week targeted consultations – one for the Evaluation of Euro 6/VI (4 March to 8 June 2020) and one for the Impact Assessment of Euro 7 (3 August to 9 Nov</w:t>
      </w:r>
      <w:r w:rsidR="00B55066" w:rsidRPr="00F91EC4">
        <w:rPr>
          <w:noProof/>
        </w:rPr>
        <w:t xml:space="preserve">ember 2020) – were performed </w:t>
      </w:r>
      <w:r w:rsidRPr="00F91EC4">
        <w:rPr>
          <w:noProof/>
        </w:rPr>
        <w:t xml:space="preserve">focussing more on the detailed and technical aspects of to the initiative. </w:t>
      </w:r>
    </w:p>
    <w:p w14:paraId="5E89D429" w14:textId="77777777" w:rsidR="000E30F0" w:rsidRPr="00F91EC4" w:rsidRDefault="000E30F0" w:rsidP="00C76798">
      <w:pPr>
        <w:rPr>
          <w:noProof/>
        </w:rPr>
      </w:pPr>
      <w:r w:rsidRPr="00F91EC4">
        <w:rPr>
          <w:noProof/>
        </w:rPr>
        <w:t>Information, views and data through all consultation activities were taken into consideration for the evaluation of the Euro 6/VI and for the preparation of the Euro 7 impact assessment. The collected stakeholder evidence made it possible to supplement, cross-check and confirm the evidence already gathered through other research in the Impact Assessment and the supporting studies.</w:t>
      </w:r>
    </w:p>
    <w:p w14:paraId="689D140A" w14:textId="77777777" w:rsidR="00905639" w:rsidRPr="00F91EC4" w:rsidRDefault="00905639" w:rsidP="00905639">
      <w:pPr>
        <w:pBdr>
          <w:top w:val="nil"/>
          <w:left w:val="nil"/>
          <w:bottom w:val="nil"/>
          <w:right w:val="nil"/>
          <w:between w:val="nil"/>
          <w:bar w:val="nil"/>
        </w:pBdr>
        <w:spacing w:before="0" w:after="240"/>
        <w:rPr>
          <w:noProof/>
        </w:rPr>
      </w:pPr>
      <w:r w:rsidRPr="00F91EC4">
        <w:rPr>
          <w:noProof/>
        </w:rPr>
        <w:t>The main outcomes of the stakeholder consultations can be summarised as follows:</w:t>
      </w:r>
    </w:p>
    <w:p w14:paraId="6D16BA18" w14:textId="77777777" w:rsidR="00BA4B68" w:rsidRPr="00F91EC4" w:rsidRDefault="002E689C">
      <w:pPr>
        <w:pBdr>
          <w:top w:val="nil"/>
          <w:left w:val="nil"/>
          <w:bottom w:val="nil"/>
          <w:right w:val="nil"/>
          <w:between w:val="nil"/>
          <w:bar w:val="nil"/>
        </w:pBdr>
        <w:spacing w:before="0" w:after="240"/>
        <w:rPr>
          <w:noProof/>
        </w:rPr>
      </w:pPr>
      <w:r w:rsidRPr="00F91EC4">
        <w:rPr>
          <w:noProof/>
        </w:rPr>
        <w:t>Stakeholders from all groups agreed that there are ongoing</w:t>
      </w:r>
      <w:r w:rsidR="00BA4B68" w:rsidRPr="00F91EC4">
        <w:rPr>
          <w:noProof/>
        </w:rPr>
        <w:t xml:space="preserve"> air pollution and health issues associated with road transport and that there is need for action.</w:t>
      </w:r>
      <w:r w:rsidRPr="00F91EC4">
        <w:rPr>
          <w:noProof/>
        </w:rPr>
        <w:t xml:space="preserve"> While the majority of respondents from </w:t>
      </w:r>
      <w:r w:rsidR="007434B9" w:rsidRPr="00F91EC4">
        <w:rPr>
          <w:noProof/>
        </w:rPr>
        <w:t xml:space="preserve">component suppliers, </w:t>
      </w:r>
      <w:r w:rsidRPr="00F91EC4">
        <w:rPr>
          <w:noProof/>
        </w:rPr>
        <w:t>Member States, civil society and citizens consider</w:t>
      </w:r>
      <w:r w:rsidR="00B55066" w:rsidRPr="00F91EC4">
        <w:rPr>
          <w:noProof/>
        </w:rPr>
        <w:t>ed</w:t>
      </w:r>
      <w:r w:rsidRPr="00F91EC4">
        <w:rPr>
          <w:noProof/>
        </w:rPr>
        <w:t xml:space="preserve"> new Euro standards to be appropriate to further reduce vehicle emission</w:t>
      </w:r>
      <w:r w:rsidR="00B55066" w:rsidRPr="00F91EC4">
        <w:rPr>
          <w:noProof/>
        </w:rPr>
        <w:t xml:space="preserve">, </w:t>
      </w:r>
      <w:r w:rsidR="007434B9" w:rsidRPr="00F91EC4">
        <w:rPr>
          <w:noProof/>
        </w:rPr>
        <w:t xml:space="preserve">vehicle manufacturers were </w:t>
      </w:r>
      <w:r w:rsidRPr="00F91EC4">
        <w:rPr>
          <w:noProof/>
        </w:rPr>
        <w:t xml:space="preserve">less convinced. In several activities, </w:t>
      </w:r>
      <w:r w:rsidR="007434B9" w:rsidRPr="00F91EC4">
        <w:rPr>
          <w:noProof/>
        </w:rPr>
        <w:t>automotive</w:t>
      </w:r>
      <w:r w:rsidRPr="00F91EC4">
        <w:rPr>
          <w:noProof/>
        </w:rPr>
        <w:t xml:space="preserve"> industry stressed that preserving the Euro 6/VI </w:t>
      </w:r>
      <w:r w:rsidR="00B55066" w:rsidRPr="00F91EC4">
        <w:rPr>
          <w:noProof/>
        </w:rPr>
        <w:t>would be a</w:t>
      </w:r>
      <w:r w:rsidRPr="00F91EC4">
        <w:rPr>
          <w:noProof/>
        </w:rPr>
        <w:t xml:space="preserve"> realistic and balanced option. </w:t>
      </w:r>
    </w:p>
    <w:p w14:paraId="1BEE0B3B" w14:textId="77777777" w:rsidR="00BA4B68" w:rsidRPr="00F91EC4" w:rsidRDefault="002E689C" w:rsidP="00BA4B68">
      <w:pPr>
        <w:spacing w:after="200"/>
        <w:rPr>
          <w:noProof/>
        </w:rPr>
      </w:pPr>
      <w:r w:rsidRPr="00F91EC4">
        <w:rPr>
          <w:noProof/>
        </w:rPr>
        <w:t>T</w:t>
      </w:r>
      <w:r w:rsidR="00BA4B68" w:rsidRPr="00F91EC4">
        <w:rPr>
          <w:noProof/>
        </w:rPr>
        <w:t xml:space="preserve">he majority from all groups </w:t>
      </w:r>
      <w:r w:rsidR="00F079FC" w:rsidRPr="00F91EC4">
        <w:rPr>
          <w:noProof/>
        </w:rPr>
        <w:t>agree</w:t>
      </w:r>
      <w:r w:rsidR="00B55066" w:rsidRPr="00F91EC4">
        <w:rPr>
          <w:noProof/>
        </w:rPr>
        <w:t>d</w:t>
      </w:r>
      <w:r w:rsidR="00F079FC" w:rsidRPr="00F91EC4">
        <w:rPr>
          <w:noProof/>
        </w:rPr>
        <w:t xml:space="preserve"> that</w:t>
      </w:r>
      <w:r w:rsidR="00BA4B68" w:rsidRPr="00F91EC4">
        <w:rPr>
          <w:noProof/>
        </w:rPr>
        <w:t xml:space="preserve"> Euro 6/VI </w:t>
      </w:r>
      <w:r w:rsidR="00F079FC" w:rsidRPr="00F91EC4">
        <w:rPr>
          <w:noProof/>
        </w:rPr>
        <w:t xml:space="preserve">is </w:t>
      </w:r>
      <w:r w:rsidR="00BA4B68" w:rsidRPr="00F91EC4" w:rsidDel="00216193">
        <w:rPr>
          <w:noProof/>
        </w:rPr>
        <w:t>complex</w:t>
      </w:r>
      <w:r w:rsidRPr="00F91EC4">
        <w:rPr>
          <w:noProof/>
        </w:rPr>
        <w:t xml:space="preserve">. </w:t>
      </w:r>
      <w:r w:rsidR="00BA4B68" w:rsidRPr="00F91EC4">
        <w:rPr>
          <w:noProof/>
        </w:rPr>
        <w:t xml:space="preserve">The responses to </w:t>
      </w:r>
      <w:r w:rsidR="00F079FC" w:rsidRPr="00F91EC4">
        <w:rPr>
          <w:noProof/>
        </w:rPr>
        <w:t>the public consultation</w:t>
      </w:r>
      <w:r w:rsidR="00BA4B68" w:rsidRPr="00F91EC4">
        <w:rPr>
          <w:noProof/>
        </w:rPr>
        <w:t xml:space="preserve"> show that complexities lead to significant compliance costs and administrative burden. Additionally, all groups apart from industry </w:t>
      </w:r>
      <w:r w:rsidR="00B55066" w:rsidRPr="00F91EC4">
        <w:rPr>
          <w:noProof/>
        </w:rPr>
        <w:t>indicated</w:t>
      </w:r>
      <w:r w:rsidR="00BA4B68" w:rsidRPr="00F91EC4">
        <w:rPr>
          <w:noProof/>
        </w:rPr>
        <w:t xml:space="preserve"> that complexity hampers environmental prot</w:t>
      </w:r>
      <w:r w:rsidR="00B55066" w:rsidRPr="00F91EC4">
        <w:rPr>
          <w:noProof/>
        </w:rPr>
        <w:t>ection, while civil society added</w:t>
      </w:r>
      <w:r w:rsidR="00BA4B68" w:rsidRPr="00F91EC4">
        <w:rPr>
          <w:noProof/>
        </w:rPr>
        <w:t xml:space="preserve"> that it leads to misinterpretations.</w:t>
      </w:r>
      <w:r w:rsidR="00F079FC" w:rsidRPr="00F91EC4">
        <w:rPr>
          <w:noProof/>
        </w:rPr>
        <w:t xml:space="preserve"> Responden</w:t>
      </w:r>
      <w:r w:rsidR="00B55066" w:rsidRPr="00F91EC4">
        <w:rPr>
          <w:noProof/>
        </w:rPr>
        <w:t>ts from all groups implied that there is</w:t>
      </w:r>
      <w:r w:rsidR="00F079FC" w:rsidRPr="00F91EC4">
        <w:rPr>
          <w:noProof/>
        </w:rPr>
        <w:t xml:space="preserve"> a need to address complexity in the Regulations through varying measures. </w:t>
      </w:r>
    </w:p>
    <w:p w14:paraId="1631881D" w14:textId="77777777" w:rsidR="00BA4B68" w:rsidRPr="00F91EC4" w:rsidRDefault="00F079FC" w:rsidP="001716CD">
      <w:pPr>
        <w:spacing w:after="200"/>
        <w:rPr>
          <w:bCs/>
          <w:iCs/>
          <w:noProof/>
        </w:rPr>
      </w:pPr>
      <w:r w:rsidRPr="00F91EC4">
        <w:rPr>
          <w:noProof/>
        </w:rPr>
        <w:t>Apart</w:t>
      </w:r>
      <w:r w:rsidR="00BA4B68" w:rsidRPr="00F91EC4">
        <w:rPr>
          <w:noProof/>
        </w:rPr>
        <w:t xml:space="preserve"> from </w:t>
      </w:r>
      <w:r w:rsidR="00B63326" w:rsidRPr="00F91EC4">
        <w:rPr>
          <w:noProof/>
        </w:rPr>
        <w:t>vehicle manufacturers</w:t>
      </w:r>
      <w:r w:rsidR="00BA4B68" w:rsidRPr="00F91EC4">
        <w:rPr>
          <w:noProof/>
        </w:rPr>
        <w:t>, the majority of all groups</w:t>
      </w:r>
      <w:r w:rsidR="00B55066" w:rsidRPr="00F91EC4">
        <w:rPr>
          <w:noProof/>
        </w:rPr>
        <w:t xml:space="preserve"> </w:t>
      </w:r>
      <w:r w:rsidR="00B63326" w:rsidRPr="00F91EC4">
        <w:rPr>
          <w:noProof/>
        </w:rPr>
        <w:t xml:space="preserve">including component suppliers </w:t>
      </w:r>
      <w:r w:rsidR="00B55066" w:rsidRPr="00F91EC4">
        <w:rPr>
          <w:noProof/>
        </w:rPr>
        <w:t>showed</w:t>
      </w:r>
      <w:r w:rsidR="00BA4B68" w:rsidRPr="00F91EC4">
        <w:rPr>
          <w:noProof/>
        </w:rPr>
        <w:t xml:space="preserve"> support for develop</w:t>
      </w:r>
      <w:r w:rsidR="00B55066" w:rsidRPr="00F91EC4">
        <w:rPr>
          <w:noProof/>
        </w:rPr>
        <w:t xml:space="preserve">ing </w:t>
      </w:r>
      <w:r w:rsidR="00BA4B68" w:rsidRPr="00F91EC4">
        <w:rPr>
          <w:noProof/>
        </w:rPr>
        <w:t xml:space="preserve">stricter limits for regulated pollutants and new limits for non-regulated pollutants. </w:t>
      </w:r>
      <w:r w:rsidR="00B63326" w:rsidRPr="00F91EC4">
        <w:rPr>
          <w:bCs/>
          <w:iCs/>
          <w:noProof/>
        </w:rPr>
        <w:t>Component suppliers, M</w:t>
      </w:r>
      <w:r w:rsidR="00CF7967" w:rsidRPr="00F91EC4">
        <w:rPr>
          <w:bCs/>
          <w:iCs/>
          <w:noProof/>
        </w:rPr>
        <w:t xml:space="preserve">ember States, civil society and citizens believe that the current </w:t>
      </w:r>
      <w:r w:rsidR="00502DB3" w:rsidRPr="00F91EC4">
        <w:rPr>
          <w:bCs/>
          <w:iCs/>
          <w:noProof/>
        </w:rPr>
        <w:t xml:space="preserve">pollution </w:t>
      </w:r>
      <w:r w:rsidR="00CF7967" w:rsidRPr="00F91EC4">
        <w:rPr>
          <w:bCs/>
          <w:iCs/>
          <w:noProof/>
        </w:rPr>
        <w:t>control technology leave</w:t>
      </w:r>
      <w:r w:rsidR="004B1490" w:rsidRPr="00F91EC4">
        <w:rPr>
          <w:bCs/>
          <w:iCs/>
          <w:noProof/>
        </w:rPr>
        <w:t>s</w:t>
      </w:r>
      <w:r w:rsidR="00CF7967" w:rsidRPr="00F91EC4">
        <w:rPr>
          <w:bCs/>
          <w:iCs/>
          <w:noProof/>
        </w:rPr>
        <w:t xml:space="preserve"> room for additional </w:t>
      </w:r>
      <w:r w:rsidR="00924A49" w:rsidRPr="00F91EC4">
        <w:rPr>
          <w:bCs/>
          <w:iCs/>
          <w:noProof/>
        </w:rPr>
        <w:t xml:space="preserve">emission </w:t>
      </w:r>
      <w:r w:rsidR="00CF7967" w:rsidRPr="00F91EC4">
        <w:rPr>
          <w:bCs/>
          <w:iCs/>
          <w:noProof/>
        </w:rPr>
        <w:t>reductions.</w:t>
      </w:r>
      <w:r w:rsidR="00924A49" w:rsidRPr="00F91EC4">
        <w:rPr>
          <w:bCs/>
          <w:iCs/>
          <w:noProof/>
        </w:rPr>
        <w:t xml:space="preserve"> </w:t>
      </w:r>
    </w:p>
    <w:p w14:paraId="053F846D" w14:textId="77777777" w:rsidR="00BA4B68" w:rsidRPr="00F91EC4" w:rsidRDefault="00924A49" w:rsidP="001716CD">
      <w:pPr>
        <w:spacing w:after="200"/>
        <w:rPr>
          <w:noProof/>
        </w:rPr>
      </w:pPr>
      <w:r w:rsidRPr="00F91EC4">
        <w:rPr>
          <w:noProof/>
        </w:rPr>
        <w:t xml:space="preserve">The </w:t>
      </w:r>
      <w:r w:rsidR="00CF7967" w:rsidRPr="00F91EC4">
        <w:rPr>
          <w:noProof/>
        </w:rPr>
        <w:t xml:space="preserve">majority of </w:t>
      </w:r>
      <w:r w:rsidR="00DC05B5" w:rsidRPr="00F91EC4">
        <w:rPr>
          <w:noProof/>
        </w:rPr>
        <w:t>stakeholders</w:t>
      </w:r>
      <w:r w:rsidR="00CF7967" w:rsidRPr="00F91EC4">
        <w:rPr>
          <w:noProof/>
        </w:rPr>
        <w:t>, believe that in Euro 6/VI real-world emissions are not adequately monitored or limited over the entire lifetime of vehicles. Tampering, vehicle ageing, inadequate technical inspections and the cost of maintenance were indicated as</w:t>
      </w:r>
      <w:r w:rsidR="00CF7967" w:rsidRPr="00F91EC4" w:rsidDel="002F316D">
        <w:rPr>
          <w:noProof/>
        </w:rPr>
        <w:t xml:space="preserve"> </w:t>
      </w:r>
      <w:r w:rsidR="00CF7967" w:rsidRPr="00F91EC4">
        <w:rPr>
          <w:noProof/>
        </w:rPr>
        <w:t xml:space="preserve">potential causes. </w:t>
      </w:r>
      <w:r w:rsidRPr="00F91EC4">
        <w:rPr>
          <w:noProof/>
        </w:rPr>
        <w:t xml:space="preserve">All stakeholder </w:t>
      </w:r>
      <w:r w:rsidR="00CF7967" w:rsidRPr="00F91EC4">
        <w:rPr>
          <w:noProof/>
        </w:rPr>
        <w:t xml:space="preserve">groups </w:t>
      </w:r>
      <w:r w:rsidRPr="00F91EC4">
        <w:rPr>
          <w:noProof/>
        </w:rPr>
        <w:t>have shown support for</w:t>
      </w:r>
      <w:r w:rsidR="00CF7967" w:rsidRPr="00F91EC4">
        <w:rPr>
          <w:noProof/>
        </w:rPr>
        <w:t xml:space="preserve"> the implementation of continuous emission monitoring of emissions as an action to measure real-world emissions</w:t>
      </w:r>
      <w:r w:rsidRPr="00F91EC4">
        <w:rPr>
          <w:noProof/>
        </w:rPr>
        <w:t xml:space="preserve">. </w:t>
      </w:r>
      <w:r w:rsidR="00CF7967" w:rsidRPr="00F91EC4">
        <w:rPr>
          <w:noProof/>
        </w:rPr>
        <w:t xml:space="preserve">Still, most manufacturers added that </w:t>
      </w:r>
      <w:r w:rsidRPr="00F91EC4">
        <w:rPr>
          <w:noProof/>
        </w:rPr>
        <w:t>this</w:t>
      </w:r>
      <w:r w:rsidR="00CF7967" w:rsidRPr="00F91EC4">
        <w:rPr>
          <w:noProof/>
        </w:rPr>
        <w:t xml:space="preserve"> can only be used for a limited number of pollutants in the near future.</w:t>
      </w:r>
    </w:p>
    <w:p w14:paraId="70C7EC70" w14:textId="77777777" w:rsidR="00717FE0" w:rsidRPr="00F91EC4" w:rsidRDefault="00717FE0" w:rsidP="00717FE0">
      <w:pPr>
        <w:spacing w:after="200"/>
        <w:rPr>
          <w:noProof/>
        </w:rPr>
      </w:pPr>
      <w:r w:rsidRPr="00F91EC4">
        <w:rPr>
          <w:noProof/>
        </w:rPr>
        <w:t xml:space="preserve">Feedback and differences in stakeholders’ views were carefully analysed and taken into account in the Impact Assessment if credible. In particular, the views from industry and Member States were helpful to analyse the problem of complexity and potential simplification measures. In addition, information provided by industry on the hardware costs for </w:t>
      </w:r>
      <w:r w:rsidR="00502DB3" w:rsidRPr="00F91EC4">
        <w:rPr>
          <w:noProof/>
        </w:rPr>
        <w:t xml:space="preserve">pollution </w:t>
      </w:r>
      <w:r w:rsidRPr="00F91EC4">
        <w:rPr>
          <w:noProof/>
        </w:rPr>
        <w:t>control technologies has been an important source for the assessment of the economic impacts. Feedback and concerns raised by the Member States, industry, civil society and citizens have been taken into account in the design and assessment of the options, particularly with regard to the technological potential for reducing emissions by emission limits, durability, testing</w:t>
      </w:r>
      <w:r w:rsidRPr="00F91EC4" w:rsidDel="00021519">
        <w:rPr>
          <w:noProof/>
        </w:rPr>
        <w:t xml:space="preserve"> conditions </w:t>
      </w:r>
      <w:r w:rsidRPr="00F91EC4">
        <w:rPr>
          <w:noProof/>
        </w:rPr>
        <w:t>and continuous emission monitoring, the potential accelerated shift to electric vehicles and the impacts on competitiveness, where industry stakeholders seem to have different views.</w:t>
      </w:r>
    </w:p>
    <w:p w14:paraId="40C67049" w14:textId="77777777" w:rsidR="00717FE0" w:rsidRPr="00F91EC4" w:rsidRDefault="00717FE0" w:rsidP="001716CD">
      <w:pPr>
        <w:spacing w:after="200"/>
        <w:rPr>
          <w:rFonts w:eastAsia="Arial Unicode MS"/>
          <w:noProof/>
        </w:rPr>
      </w:pPr>
      <w:r w:rsidRPr="00F91EC4">
        <w:rPr>
          <w:noProof/>
        </w:rPr>
        <w:t xml:space="preserve">The </w:t>
      </w:r>
      <w:r w:rsidR="00073723" w:rsidRPr="00F91EC4">
        <w:rPr>
          <w:noProof/>
        </w:rPr>
        <w:t xml:space="preserve">stakeholders’ </w:t>
      </w:r>
      <w:r w:rsidRPr="00F91EC4">
        <w:rPr>
          <w:noProof/>
        </w:rPr>
        <w:t>view</w:t>
      </w:r>
      <w:r w:rsidR="00073723" w:rsidRPr="00F91EC4">
        <w:rPr>
          <w:noProof/>
        </w:rPr>
        <w:t>s</w:t>
      </w:r>
      <w:r w:rsidRPr="00F91EC4">
        <w:rPr>
          <w:noProof/>
        </w:rPr>
        <w:t xml:space="preserve"> </w:t>
      </w:r>
      <w:r w:rsidR="00073723" w:rsidRPr="00F91EC4">
        <w:rPr>
          <w:noProof/>
        </w:rPr>
        <w:t>on</w:t>
      </w:r>
      <w:r w:rsidRPr="00F91EC4">
        <w:rPr>
          <w:noProof/>
        </w:rPr>
        <w:t xml:space="preserve"> the introduction of a single Euro emission standard for cars/vans and lorries/buses</w:t>
      </w:r>
      <w:r w:rsidR="00073723" w:rsidRPr="00F91EC4">
        <w:rPr>
          <w:noProof/>
        </w:rPr>
        <w:t xml:space="preserve"> diverged from the Commission’s views. Initially, stakeholders from industry did not support this simplification measure. Since the arguments of industry, such as proper differentiation as well as international harmonisation, should be achievable also with the basic acts (715/2007 and 595/200</w:t>
      </w:r>
      <w:r w:rsidR="002B3012">
        <w:rPr>
          <w:noProof/>
        </w:rPr>
        <w:t>9</w:t>
      </w:r>
      <w:r w:rsidR="00073723" w:rsidRPr="00F91EC4">
        <w:rPr>
          <w:noProof/>
        </w:rPr>
        <w:t>) merged while the specific implementing regulations are kept separate, the Commission has continued this approach.</w:t>
      </w:r>
      <w:r w:rsidRPr="00F91EC4">
        <w:rPr>
          <w:noProof/>
        </w:rPr>
        <w:t xml:space="preserve"> This was confirmed with the stakeholders in the follow-up interviews linked to the targeted consultation on the impact assessment and in the AGVES meeting of 16 November 2020. </w:t>
      </w:r>
      <w:r w:rsidRPr="00F91EC4">
        <w:rPr>
          <w:noProof/>
        </w:rPr>
        <w:t> </w:t>
      </w:r>
    </w:p>
    <w:p w14:paraId="17CE7411"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Collection and use of expertise</w:t>
      </w:r>
    </w:p>
    <w:p w14:paraId="664777F4" w14:textId="77777777" w:rsidR="0059465C" w:rsidRPr="00F91EC4" w:rsidRDefault="00D423E1" w:rsidP="001716CD">
      <w:pPr>
        <w:rPr>
          <w:noProof/>
        </w:rPr>
      </w:pPr>
      <w:r w:rsidRPr="00F91EC4">
        <w:rPr>
          <w:noProof/>
        </w:rPr>
        <w:t xml:space="preserve">The Impact Assessment draws on </w:t>
      </w:r>
      <w:r w:rsidR="00372509" w:rsidRPr="00F91EC4">
        <w:rPr>
          <w:noProof/>
        </w:rPr>
        <w:t xml:space="preserve">evidence from several sources </w:t>
      </w:r>
      <w:r w:rsidR="00E74F94" w:rsidRPr="00F91EC4">
        <w:rPr>
          <w:noProof/>
        </w:rPr>
        <w:t xml:space="preserve">including </w:t>
      </w:r>
      <w:r w:rsidR="00372509" w:rsidRPr="00F91EC4">
        <w:rPr>
          <w:noProof/>
        </w:rPr>
        <w:t>studies by external contractors from the CLOVE consortium</w:t>
      </w:r>
      <w:r w:rsidR="0059465C" w:rsidRPr="00F91EC4">
        <w:rPr>
          <w:noProof/>
        </w:rPr>
        <w:t xml:space="preserve">, </w:t>
      </w:r>
      <w:r w:rsidR="0059465C" w:rsidRPr="00F91EC4">
        <w:rPr>
          <w:iCs/>
          <w:noProof/>
        </w:rPr>
        <w:t xml:space="preserve">including key experts from </w:t>
      </w:r>
      <w:r w:rsidR="0059465C" w:rsidRPr="00F91EC4">
        <w:rPr>
          <w:noProof/>
        </w:rPr>
        <w:t>the Laboratory of Applied Thermodynamics of the Aristotle University of Thessaloniki (LAT) (GR), Ricardo (UK), EMISIA (GR), TNO (NL), TU Graz (AT), FEV (DE) and VTT (FI).</w:t>
      </w:r>
    </w:p>
    <w:p w14:paraId="5ED1CC4A" w14:textId="77777777" w:rsidR="00372509" w:rsidRPr="00F91EC4" w:rsidRDefault="00A77B9F" w:rsidP="00D423E1">
      <w:pPr>
        <w:rPr>
          <w:noProof/>
        </w:rPr>
      </w:pPr>
      <w:r w:rsidRPr="00F91EC4">
        <w:rPr>
          <w:noProof/>
        </w:rPr>
        <w:t xml:space="preserve">A </w:t>
      </w:r>
      <w:r w:rsidRPr="00F91EC4">
        <w:rPr>
          <w:noProof/>
          <w:szCs w:val="24"/>
        </w:rPr>
        <w:t>first study</w:t>
      </w:r>
      <w:r w:rsidR="0083660B" w:rsidRPr="00F91EC4">
        <w:rPr>
          <w:noProof/>
          <w:szCs w:val="24"/>
        </w:rPr>
        <w:t xml:space="preserve"> by CLOVE</w:t>
      </w:r>
      <w:r w:rsidRPr="00F91EC4">
        <w:rPr>
          <w:noProof/>
          <w:szCs w:val="24"/>
        </w:rPr>
        <w:t xml:space="preserve"> was launched to review, compare and draw lessons from legislation in other part of the world, evaluate the effectiveness of current EU emission tests and develop and assess new emission tests for regulated and non-regulated pollutants. As a follow-up, a second study</w:t>
      </w:r>
      <w:r w:rsidR="0059465C" w:rsidRPr="00F91EC4">
        <w:rPr>
          <w:noProof/>
          <w:szCs w:val="24"/>
        </w:rPr>
        <w:t xml:space="preserve"> </w:t>
      </w:r>
      <w:r w:rsidRPr="00F91EC4">
        <w:rPr>
          <w:noProof/>
          <w:szCs w:val="24"/>
        </w:rPr>
        <w:t>covered a thorough review of the cost-effectiveness of measures that were introduced by the first study in addition to a feasibility assessment of new pollutant emission limits for all vehicles and an analysis of the simplification potential of vehicle emission standards. This study also supported the evaluation of the Euro 6/VI framework, while providing</w:t>
      </w:r>
      <w:r w:rsidR="0059465C" w:rsidRPr="00F91EC4">
        <w:rPr>
          <w:noProof/>
          <w:szCs w:val="24"/>
        </w:rPr>
        <w:t xml:space="preserve"> the evidence necessary for the</w:t>
      </w:r>
      <w:r w:rsidR="002266C5" w:rsidRPr="00F91EC4">
        <w:rPr>
          <w:noProof/>
          <w:szCs w:val="24"/>
        </w:rPr>
        <w:t xml:space="preserve"> Impact A</w:t>
      </w:r>
      <w:r w:rsidRPr="00F91EC4">
        <w:rPr>
          <w:noProof/>
          <w:szCs w:val="24"/>
        </w:rPr>
        <w:t xml:space="preserve">ssessment. </w:t>
      </w:r>
      <w:r w:rsidRPr="00F91EC4">
        <w:rPr>
          <w:noProof/>
        </w:rPr>
        <w:t xml:space="preserve">These studies have been </w:t>
      </w:r>
      <w:r w:rsidR="00372509" w:rsidRPr="00F91EC4">
        <w:rPr>
          <w:noProof/>
        </w:rPr>
        <w:t>underpinned by analysis and tests performed by the Joint Research Centre of the Commission, in its facilities located in Ispra Italy.</w:t>
      </w:r>
    </w:p>
    <w:p w14:paraId="31972E5E" w14:textId="77777777" w:rsidR="0059465C" w:rsidRPr="00F91EC4" w:rsidRDefault="00D423E1" w:rsidP="00D423E1">
      <w:pPr>
        <w:rPr>
          <w:noProof/>
        </w:rPr>
      </w:pPr>
      <w:r w:rsidRPr="00F91EC4">
        <w:rPr>
          <w:noProof/>
        </w:rPr>
        <w:t xml:space="preserve">For the quantitative assessment of the economic, social and environmental impacts, the Impact Assessment </w:t>
      </w:r>
      <w:r w:rsidR="0059465C" w:rsidRPr="00F91EC4">
        <w:rPr>
          <w:noProof/>
        </w:rPr>
        <w:t xml:space="preserve">study and </w:t>
      </w:r>
      <w:r w:rsidRPr="00F91EC4">
        <w:rPr>
          <w:noProof/>
        </w:rPr>
        <w:t xml:space="preserve">report </w:t>
      </w:r>
      <w:r w:rsidR="0059465C" w:rsidRPr="00F91EC4">
        <w:rPr>
          <w:noProof/>
        </w:rPr>
        <w:t>have</w:t>
      </w:r>
      <w:r w:rsidR="00A77B9F" w:rsidRPr="00F91EC4">
        <w:rPr>
          <w:noProof/>
        </w:rPr>
        <w:t xml:space="preserve"> relied on the SIBYL and COPERT model</w:t>
      </w:r>
      <w:r w:rsidR="0059465C" w:rsidRPr="00F91EC4">
        <w:rPr>
          <w:noProof/>
        </w:rPr>
        <w:t xml:space="preserve">. COPERT is used for calculating greenhouse gas and air pollutant emission inventories for road transport based on real-world emissions coordinated by European Environment Agency (EEA) and the JRC. SIBYL is a specialised tool for projecting the impact of detailed vehicle technology on future fleets, energy, emissions and costs designed to support policy making. Both models were updated based on data and evidence collected </w:t>
      </w:r>
      <w:r w:rsidR="002266C5" w:rsidRPr="00F91EC4">
        <w:rPr>
          <w:noProof/>
        </w:rPr>
        <w:t>through</w:t>
      </w:r>
      <w:r w:rsidR="0059465C" w:rsidRPr="00F91EC4">
        <w:rPr>
          <w:noProof/>
        </w:rPr>
        <w:t xml:space="preserve"> the stakeholder consultation, latest emission factors and literature reviews.</w:t>
      </w:r>
    </w:p>
    <w:p w14:paraId="0FDA8CD1" w14:textId="77777777" w:rsidR="00D423E1" w:rsidRPr="00F91EC4" w:rsidRDefault="001240D7">
      <w:pPr>
        <w:rPr>
          <w:noProof/>
        </w:rPr>
      </w:pPr>
      <w:bookmarkStart w:id="7" w:name="_Toc494106026"/>
      <w:bookmarkStart w:id="8" w:name="_Toc494106500"/>
      <w:bookmarkEnd w:id="7"/>
      <w:bookmarkEnd w:id="8"/>
      <w:r w:rsidRPr="00F91EC4">
        <w:rPr>
          <w:noProof/>
        </w:rPr>
        <w:t>In addition</w:t>
      </w:r>
      <w:r w:rsidR="00D423E1" w:rsidRPr="00F91EC4">
        <w:rPr>
          <w:noProof/>
        </w:rPr>
        <w:t>, further information was gathered addressing the following issues:</w:t>
      </w:r>
    </w:p>
    <w:p w14:paraId="4E58D809" w14:textId="77777777" w:rsidR="0083660B" w:rsidRPr="00F91EC4" w:rsidRDefault="00D423E1" w:rsidP="00D423E1">
      <w:pPr>
        <w:pStyle w:val="Bullet0"/>
        <w:rPr>
          <w:noProof/>
        </w:rPr>
      </w:pPr>
      <w:r w:rsidRPr="00F91EC4">
        <w:rPr>
          <w:noProof/>
        </w:rPr>
        <w:t>the available technologies that can be deployed in the relevant time period to reduce pollutant emissions, as well as their effectiveness and cost;</w:t>
      </w:r>
    </w:p>
    <w:p w14:paraId="4164AE41" w14:textId="77777777" w:rsidR="00D423E1" w:rsidRPr="00F91EC4" w:rsidRDefault="0083660B" w:rsidP="00D423E1">
      <w:pPr>
        <w:pStyle w:val="Bullet0"/>
        <w:rPr>
          <w:noProof/>
        </w:rPr>
      </w:pPr>
      <w:r w:rsidRPr="00F91EC4">
        <w:rPr>
          <w:noProof/>
        </w:rPr>
        <w:t>health and environmental impacts in monetary terms;</w:t>
      </w:r>
    </w:p>
    <w:p w14:paraId="4E7DDD69" w14:textId="77777777" w:rsidR="0083660B" w:rsidRPr="00F91EC4" w:rsidRDefault="0083660B" w:rsidP="0083660B">
      <w:pPr>
        <w:pStyle w:val="Bullet0"/>
        <w:rPr>
          <w:noProof/>
        </w:rPr>
      </w:pPr>
      <w:r w:rsidRPr="00F91EC4">
        <w:rPr>
          <w:noProof/>
        </w:rPr>
        <w:t>general macro-economic indicators, such as creation of new jobs, skills required, research and innovation, etc.;</w:t>
      </w:r>
    </w:p>
    <w:p w14:paraId="4DA3F144" w14:textId="77777777" w:rsidR="0083660B" w:rsidRPr="00F91EC4" w:rsidRDefault="0083660B" w:rsidP="0083660B">
      <w:pPr>
        <w:pStyle w:val="Bullet0"/>
        <w:rPr>
          <w:noProof/>
        </w:rPr>
      </w:pPr>
      <w:r w:rsidRPr="00F91EC4">
        <w:rPr>
          <w:noProof/>
        </w:rPr>
        <w:t>competitiveness of the EU industry and internal market cohesion;</w:t>
      </w:r>
    </w:p>
    <w:p w14:paraId="256B9BAA" w14:textId="77777777" w:rsidR="0083660B" w:rsidRPr="00F91EC4" w:rsidRDefault="0083660B" w:rsidP="0083660B">
      <w:pPr>
        <w:pStyle w:val="Bullet0"/>
        <w:rPr>
          <w:noProof/>
        </w:rPr>
      </w:pPr>
      <w:r w:rsidRPr="00F91EC4">
        <w:rPr>
          <w:noProof/>
        </w:rPr>
        <w:t>qualitative impacts on SMEs and consumers (incl. consumer trust).</w:t>
      </w:r>
    </w:p>
    <w:p w14:paraId="2C3F9A0E" w14:textId="77777777" w:rsidR="00D423E1" w:rsidRPr="00F91EC4" w:rsidRDefault="00D423E1" w:rsidP="00C76798">
      <w:pPr>
        <w:rPr>
          <w:noProof/>
        </w:rPr>
      </w:pPr>
      <w:r w:rsidRPr="00F91EC4">
        <w:rPr>
          <w:noProof/>
        </w:rPr>
        <w:t xml:space="preserve">A list of </w:t>
      </w:r>
      <w:r w:rsidR="002266C5" w:rsidRPr="00F91EC4">
        <w:rPr>
          <w:noProof/>
        </w:rPr>
        <w:t xml:space="preserve">the </w:t>
      </w:r>
      <w:r w:rsidRPr="00F91EC4">
        <w:rPr>
          <w:noProof/>
        </w:rPr>
        <w:t>studies</w:t>
      </w:r>
      <w:r w:rsidR="002266C5" w:rsidRPr="00F91EC4">
        <w:rPr>
          <w:noProof/>
        </w:rPr>
        <w:t xml:space="preserve"> and sources</w:t>
      </w:r>
      <w:r w:rsidRPr="00F91EC4">
        <w:rPr>
          <w:noProof/>
        </w:rPr>
        <w:t xml:space="preserve"> is provided in Annex </w:t>
      </w:r>
      <w:r w:rsidR="001240D7" w:rsidRPr="00F91EC4">
        <w:rPr>
          <w:noProof/>
        </w:rPr>
        <w:t>1</w:t>
      </w:r>
      <w:r w:rsidRPr="00F91EC4">
        <w:rPr>
          <w:noProof/>
        </w:rPr>
        <w:t xml:space="preserve"> of the Impact Assessment.</w:t>
      </w:r>
    </w:p>
    <w:p w14:paraId="1F05E800"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Impact assessment</w:t>
      </w:r>
    </w:p>
    <w:p w14:paraId="40A20478" w14:textId="77777777" w:rsidR="00DA11F4" w:rsidRPr="00F91EC4" w:rsidRDefault="005F564D" w:rsidP="001716CD">
      <w:pPr>
        <w:pBdr>
          <w:top w:val="nil"/>
          <w:left w:val="nil"/>
          <w:bottom w:val="nil"/>
          <w:right w:val="nil"/>
          <w:between w:val="nil"/>
          <w:bar w:val="nil"/>
        </w:pBdr>
        <w:spacing w:before="0" w:after="240"/>
        <w:rPr>
          <w:noProof/>
          <w:lang w:eastAsia="en-GB"/>
        </w:rPr>
      </w:pPr>
      <w:r w:rsidRPr="00F91EC4">
        <w:rPr>
          <w:noProof/>
        </w:rPr>
        <w:t xml:space="preserve">The measures in this proposal are balanced with respect to their health and environmental benefits and burden for the industry. </w:t>
      </w:r>
      <w:r w:rsidR="00FF7C2D" w:rsidRPr="00F91EC4">
        <w:rPr>
          <w:noProof/>
        </w:rPr>
        <w:t xml:space="preserve">Effectiveness and </w:t>
      </w:r>
      <w:r w:rsidR="00F164C2" w:rsidRPr="00F91EC4">
        <w:rPr>
          <w:noProof/>
        </w:rPr>
        <w:t>cost-</w:t>
      </w:r>
      <w:r w:rsidR="00FF7C2D" w:rsidRPr="00F91EC4">
        <w:rPr>
          <w:noProof/>
        </w:rPr>
        <w:t>efficiency</w:t>
      </w:r>
      <w:r w:rsidRPr="00F91EC4">
        <w:rPr>
          <w:noProof/>
        </w:rPr>
        <w:t xml:space="preserve"> of the measures is supported by </w:t>
      </w:r>
      <w:r w:rsidR="002342EE" w:rsidRPr="00F91EC4">
        <w:rPr>
          <w:noProof/>
        </w:rPr>
        <w:t xml:space="preserve">the </w:t>
      </w:r>
      <w:r w:rsidRPr="00F91EC4">
        <w:rPr>
          <w:noProof/>
        </w:rPr>
        <w:t>accompanying Impact Assessment.</w:t>
      </w:r>
      <w:r w:rsidRPr="00F91EC4">
        <w:rPr>
          <w:noProof/>
          <w:lang w:eastAsia="en-GB"/>
        </w:rPr>
        <w:t xml:space="preserve"> </w:t>
      </w:r>
      <w:r w:rsidR="00DA11F4" w:rsidRPr="00F91EC4">
        <w:rPr>
          <w:noProof/>
          <w:lang w:eastAsia="en-GB"/>
        </w:rPr>
        <w:t xml:space="preserve">The summary sheet and the positive opinion of the Regulatory Scrutiny Board </w:t>
      </w:r>
      <w:r w:rsidR="002342EE" w:rsidRPr="00F91EC4">
        <w:rPr>
          <w:noProof/>
          <w:lang w:eastAsia="en-GB"/>
        </w:rPr>
        <w:t>can be accessed through</w:t>
      </w:r>
      <w:r w:rsidRPr="00F91EC4">
        <w:rPr>
          <w:noProof/>
          <w:lang w:eastAsia="en-GB"/>
        </w:rPr>
        <w:t xml:space="preserve"> </w:t>
      </w:r>
      <w:r w:rsidR="00DA11F4" w:rsidRPr="00F91EC4">
        <w:rPr>
          <w:noProof/>
          <w:lang w:eastAsia="en-GB"/>
        </w:rPr>
        <w:t>X</w:t>
      </w:r>
      <w:r w:rsidR="00E54CD4" w:rsidRPr="00F91EC4">
        <w:rPr>
          <w:noProof/>
          <w:lang w:eastAsia="en-GB"/>
        </w:rPr>
        <w:t xml:space="preserve"> (</w:t>
      </w:r>
      <w:r w:rsidR="00E54CD4" w:rsidRPr="00806B5A">
        <w:rPr>
          <w:noProof/>
          <w:lang w:eastAsia="en-GB"/>
        </w:rPr>
        <w:t>link to be added</w:t>
      </w:r>
      <w:r w:rsidR="00E54CD4" w:rsidRPr="00F91EC4">
        <w:rPr>
          <w:noProof/>
          <w:lang w:eastAsia="en-GB"/>
        </w:rPr>
        <w:t>)</w:t>
      </w:r>
      <w:r w:rsidR="00DA11F4" w:rsidRPr="00F91EC4">
        <w:rPr>
          <w:noProof/>
          <w:lang w:eastAsia="en-GB"/>
        </w:rPr>
        <w:t>.</w:t>
      </w:r>
    </w:p>
    <w:p w14:paraId="2292397A" w14:textId="77777777" w:rsidR="00D5296B" w:rsidRPr="00F91EC4" w:rsidRDefault="00D5296B" w:rsidP="00C24E66">
      <w:pPr>
        <w:pBdr>
          <w:top w:val="nil"/>
          <w:left w:val="nil"/>
          <w:bottom w:val="nil"/>
          <w:right w:val="nil"/>
          <w:between w:val="nil"/>
          <w:bar w:val="nil"/>
        </w:pBdr>
        <w:spacing w:before="0" w:after="240"/>
        <w:rPr>
          <w:noProof/>
        </w:rPr>
      </w:pPr>
      <w:r w:rsidRPr="00F91EC4">
        <w:rPr>
          <w:noProof/>
        </w:rPr>
        <w:t xml:space="preserve">Three policy options, with </w:t>
      </w:r>
      <w:r w:rsidR="002B3012">
        <w:rPr>
          <w:noProof/>
        </w:rPr>
        <w:t xml:space="preserve">a </w:t>
      </w:r>
      <w:r w:rsidRPr="00F91EC4">
        <w:rPr>
          <w:noProof/>
        </w:rPr>
        <w:t>different mix of measures</w:t>
      </w:r>
      <w:r w:rsidR="00522FF8" w:rsidRPr="00F91EC4">
        <w:rPr>
          <w:noProof/>
        </w:rPr>
        <w:t xml:space="preserve"> and ambition levels,</w:t>
      </w:r>
      <w:r w:rsidRPr="00F91EC4">
        <w:rPr>
          <w:noProof/>
        </w:rPr>
        <w:t xml:space="preserve"> were assessed to tackle the identified problems in the current Euro 6/VI Regulations taking into account the </w:t>
      </w:r>
      <w:r w:rsidRPr="00F91EC4">
        <w:rPr>
          <w:rFonts w:eastAsia="Arial Unicode MS"/>
          <w:noProof/>
        </w:rPr>
        <w:t xml:space="preserve">green and digital transformation required by the European Green Deal. </w:t>
      </w:r>
      <w:r w:rsidRPr="00F91EC4">
        <w:rPr>
          <w:noProof/>
        </w:rPr>
        <w:t xml:space="preserve">The transformation provides opportunities for more advanced solutions in terms of pollutant emission reductions, such as the use of </w:t>
      </w:r>
      <w:r w:rsidR="00FF7C2D" w:rsidRPr="00F91EC4">
        <w:rPr>
          <w:noProof/>
        </w:rPr>
        <w:t>low</w:t>
      </w:r>
      <w:r w:rsidRPr="00F91EC4">
        <w:rPr>
          <w:noProof/>
        </w:rPr>
        <w:t>-pollution technology and continuous emission monitoring with advanced sensors and vehicle connectivity. The policy options t</w:t>
      </w:r>
      <w:r w:rsidR="00522FF8" w:rsidRPr="00F91EC4">
        <w:rPr>
          <w:noProof/>
        </w:rPr>
        <w:t>ook</w:t>
      </w:r>
      <w:r w:rsidRPr="00F91EC4">
        <w:rPr>
          <w:noProof/>
        </w:rPr>
        <w:t xml:space="preserve"> also into account the shift to electrified powertrains requiring cost-</w:t>
      </w:r>
      <w:r w:rsidR="00F164C2" w:rsidRPr="00F91EC4">
        <w:rPr>
          <w:noProof/>
        </w:rPr>
        <w:t>efficient</w:t>
      </w:r>
      <w:r w:rsidRPr="00F91EC4">
        <w:rPr>
          <w:noProof/>
        </w:rPr>
        <w:t xml:space="preserve"> and adequate solutions for reducing pollutant emissions in the combustion-engine segment.</w:t>
      </w:r>
    </w:p>
    <w:p w14:paraId="5EB3B48A" w14:textId="77777777" w:rsidR="00EF30D2" w:rsidRPr="00F91EC4" w:rsidRDefault="00EF30D2" w:rsidP="001716CD">
      <w:pPr>
        <w:spacing w:before="240"/>
        <w:rPr>
          <w:noProof/>
        </w:rPr>
      </w:pPr>
      <w:r w:rsidRPr="00F91EC4">
        <w:rPr>
          <w:noProof/>
          <w:szCs w:val="24"/>
        </w:rPr>
        <w:t>In line with</w:t>
      </w:r>
      <w:r w:rsidR="00522FF8" w:rsidRPr="00F91EC4">
        <w:rPr>
          <w:noProof/>
        </w:rPr>
        <w:t xml:space="preserve"> the </w:t>
      </w:r>
      <w:r w:rsidRPr="00F91EC4">
        <w:rPr>
          <w:noProof/>
        </w:rPr>
        <w:t xml:space="preserve">specific objectives, </w:t>
      </w:r>
      <w:r w:rsidR="00FD41E6" w:rsidRPr="00F91EC4">
        <w:rPr>
          <w:noProof/>
        </w:rPr>
        <w:t>policy option 1, 2 (2a and 2b) and 3a</w:t>
      </w:r>
      <w:r w:rsidRPr="00F91EC4">
        <w:rPr>
          <w:noProof/>
        </w:rPr>
        <w:t xml:space="preserve"> aim</w:t>
      </w:r>
      <w:r w:rsidR="00522FF8" w:rsidRPr="00F91EC4">
        <w:rPr>
          <w:noProof/>
        </w:rPr>
        <w:t>ed</w:t>
      </w:r>
      <w:r w:rsidRPr="00F91EC4">
        <w:rPr>
          <w:noProof/>
        </w:rPr>
        <w:t xml:space="preserve"> at reducing complexity of the current Euro emission standards by introducing simplification measures</w:t>
      </w:r>
      <w:r w:rsidR="00FD41E6" w:rsidRPr="00F91EC4">
        <w:rPr>
          <w:noProof/>
        </w:rPr>
        <w:t xml:space="preserve"> (such as replacing two regulations with one single regulation, or eliminating obsolete tests)</w:t>
      </w:r>
      <w:r w:rsidRPr="00F91EC4">
        <w:rPr>
          <w:noProof/>
        </w:rPr>
        <w:t xml:space="preserve">. Up-to-date emission limits for all relevant air pollutants </w:t>
      </w:r>
      <w:r w:rsidR="00522FF8" w:rsidRPr="00F91EC4">
        <w:rPr>
          <w:noProof/>
        </w:rPr>
        <w:t>wer</w:t>
      </w:r>
      <w:r w:rsidR="00FD41E6" w:rsidRPr="00F91EC4">
        <w:rPr>
          <w:noProof/>
        </w:rPr>
        <w:t>e</w:t>
      </w:r>
      <w:r w:rsidRPr="00F91EC4">
        <w:rPr>
          <w:noProof/>
        </w:rPr>
        <w:t xml:space="preserve"> provided in </w:t>
      </w:r>
      <w:r w:rsidR="00FD41E6" w:rsidRPr="00F91EC4">
        <w:rPr>
          <w:noProof/>
        </w:rPr>
        <w:t>policy option 1</w:t>
      </w:r>
      <w:r w:rsidRPr="00F91EC4">
        <w:rPr>
          <w:noProof/>
        </w:rPr>
        <w:t xml:space="preserve"> with low ambition, in </w:t>
      </w:r>
      <w:r w:rsidR="00FD41E6" w:rsidRPr="00F91EC4">
        <w:rPr>
          <w:noProof/>
        </w:rPr>
        <w:t>option 2a</w:t>
      </w:r>
      <w:r w:rsidRPr="00F91EC4">
        <w:rPr>
          <w:noProof/>
        </w:rPr>
        <w:t xml:space="preserve"> and </w:t>
      </w:r>
      <w:r w:rsidR="00FD41E6" w:rsidRPr="00F91EC4">
        <w:rPr>
          <w:noProof/>
        </w:rPr>
        <w:t>3a</w:t>
      </w:r>
      <w:r w:rsidRPr="00F91EC4">
        <w:rPr>
          <w:noProof/>
        </w:rPr>
        <w:t xml:space="preserve"> with medium ambition and in </w:t>
      </w:r>
      <w:r w:rsidR="00FD41E6" w:rsidRPr="00F91EC4">
        <w:rPr>
          <w:noProof/>
        </w:rPr>
        <w:t>option 2b</w:t>
      </w:r>
      <w:r w:rsidRPr="00F91EC4">
        <w:rPr>
          <w:noProof/>
        </w:rPr>
        <w:t xml:space="preserve"> with high ambition. Control of real-world emissions</w:t>
      </w:r>
      <w:r w:rsidR="00FD41E6" w:rsidRPr="00F91EC4">
        <w:rPr>
          <w:noProof/>
        </w:rPr>
        <w:t xml:space="preserve"> </w:t>
      </w:r>
      <w:r w:rsidR="00522FF8" w:rsidRPr="00F91EC4">
        <w:rPr>
          <w:noProof/>
        </w:rPr>
        <w:t>were</w:t>
      </w:r>
      <w:r w:rsidRPr="00F91EC4">
        <w:rPr>
          <w:noProof/>
        </w:rPr>
        <w:t xml:space="preserve"> improved in </w:t>
      </w:r>
      <w:r w:rsidR="00FD41E6" w:rsidRPr="00F91EC4">
        <w:rPr>
          <w:noProof/>
        </w:rPr>
        <w:t>policy option 1</w:t>
      </w:r>
      <w:r w:rsidRPr="00F91EC4">
        <w:rPr>
          <w:noProof/>
        </w:rPr>
        <w:t xml:space="preserve"> by low ambitious real-driving testing boundaries, in </w:t>
      </w:r>
      <w:r w:rsidR="00FD41E6" w:rsidRPr="00F91EC4">
        <w:rPr>
          <w:noProof/>
        </w:rPr>
        <w:t xml:space="preserve">option </w:t>
      </w:r>
      <w:r w:rsidRPr="00F91EC4">
        <w:rPr>
          <w:noProof/>
        </w:rPr>
        <w:t xml:space="preserve">2a by medium ambitious real-driving testing boundaries and durability requirements, in </w:t>
      </w:r>
      <w:r w:rsidR="00FD41E6" w:rsidRPr="00F91EC4">
        <w:rPr>
          <w:noProof/>
        </w:rPr>
        <w:t>option 2</w:t>
      </w:r>
      <w:r w:rsidRPr="00F91EC4">
        <w:rPr>
          <w:noProof/>
        </w:rPr>
        <w:t xml:space="preserve">b by high ambitious real-driving testing boundaries and durability requirements and in </w:t>
      </w:r>
      <w:r w:rsidR="00FD41E6" w:rsidRPr="00F91EC4">
        <w:rPr>
          <w:noProof/>
        </w:rPr>
        <w:t xml:space="preserve">option </w:t>
      </w:r>
      <w:r w:rsidRPr="00F91EC4">
        <w:rPr>
          <w:noProof/>
        </w:rPr>
        <w:t>3a by medium ambitious real-driving testing boundaries, durability requirements and continuous emission monitoring.</w:t>
      </w:r>
    </w:p>
    <w:p w14:paraId="2F220D51" w14:textId="77777777" w:rsidR="004362E9" w:rsidRPr="00F91EC4" w:rsidRDefault="00DA11F4" w:rsidP="001716CD">
      <w:pPr>
        <w:spacing w:before="240"/>
        <w:rPr>
          <w:noProof/>
        </w:rPr>
      </w:pPr>
      <w:r w:rsidRPr="00F91EC4">
        <w:rPr>
          <w:noProof/>
        </w:rPr>
        <w:t xml:space="preserve">The Impact Assessment has found the medium-ambitious policy option 3a </w:t>
      </w:r>
      <w:r w:rsidR="001B2DF7" w:rsidRPr="00F91EC4">
        <w:rPr>
          <w:noProof/>
        </w:rPr>
        <w:t>to be the</w:t>
      </w:r>
      <w:r w:rsidRPr="00F91EC4">
        <w:rPr>
          <w:noProof/>
        </w:rPr>
        <w:t xml:space="preserve"> most proportionate for light- and heavy-duty vehicles. The policy option was found to be the most effective in achieving the identified objectives, while</w:t>
      </w:r>
      <w:r w:rsidR="001B2DF7" w:rsidRPr="00F91EC4">
        <w:rPr>
          <w:noProof/>
        </w:rPr>
        <w:t xml:space="preserve"> also</w:t>
      </w:r>
      <w:r w:rsidRPr="00F91EC4">
        <w:rPr>
          <w:noProof/>
        </w:rPr>
        <w:t xml:space="preserve"> being cost-efficient by bringing the highest health and environmental benefits for citizens at low regulatory costs for industry. In addition, the option</w:t>
      </w:r>
      <w:r w:rsidR="00FE73F7" w:rsidRPr="00F91EC4">
        <w:rPr>
          <w:noProof/>
        </w:rPr>
        <w:t xml:space="preserve"> </w:t>
      </w:r>
      <w:r w:rsidR="002B5A1E" w:rsidRPr="00F91EC4">
        <w:rPr>
          <w:noProof/>
        </w:rPr>
        <w:t>was found</w:t>
      </w:r>
      <w:r w:rsidR="00FE73F7" w:rsidRPr="00F91EC4">
        <w:rPr>
          <w:noProof/>
        </w:rPr>
        <w:t xml:space="preserve"> coherent with the air quality legislation, CO</w:t>
      </w:r>
      <w:r w:rsidR="00FE73F7" w:rsidRPr="005806BB">
        <w:rPr>
          <w:noProof/>
          <w:vertAlign w:val="subscript"/>
        </w:rPr>
        <w:t>2</w:t>
      </w:r>
      <w:r w:rsidR="00FE73F7" w:rsidRPr="00F91EC4">
        <w:rPr>
          <w:noProof/>
        </w:rPr>
        <w:t xml:space="preserve"> emission standards</w:t>
      </w:r>
      <w:r w:rsidR="001B2DF7" w:rsidRPr="00F91EC4">
        <w:rPr>
          <w:noProof/>
        </w:rPr>
        <w:t xml:space="preserve"> and the roadworthiness directives</w:t>
      </w:r>
      <w:r w:rsidR="00FE73F7" w:rsidRPr="00F91EC4">
        <w:rPr>
          <w:noProof/>
        </w:rPr>
        <w:t xml:space="preserve">. Through introducing continuous emission monitoring, option 3a </w:t>
      </w:r>
      <w:r w:rsidR="002B5A1E" w:rsidRPr="00F91EC4">
        <w:rPr>
          <w:noProof/>
        </w:rPr>
        <w:t>would</w:t>
      </w:r>
      <w:r w:rsidR="00FE73F7" w:rsidRPr="00F91EC4">
        <w:rPr>
          <w:noProof/>
        </w:rPr>
        <w:t xml:space="preserve"> also</w:t>
      </w:r>
      <w:r w:rsidR="002B5A1E" w:rsidRPr="00F91EC4">
        <w:rPr>
          <w:noProof/>
        </w:rPr>
        <w:t xml:space="preserve"> be</w:t>
      </w:r>
      <w:r w:rsidR="00FE73F7" w:rsidRPr="00F91EC4">
        <w:rPr>
          <w:noProof/>
        </w:rPr>
        <w:t xml:space="preserve"> </w:t>
      </w:r>
      <w:r w:rsidR="004362E9" w:rsidRPr="00F91EC4">
        <w:rPr>
          <w:noProof/>
        </w:rPr>
        <w:t xml:space="preserve">most </w:t>
      </w:r>
      <w:r w:rsidR="00FE73F7" w:rsidRPr="00F91EC4">
        <w:rPr>
          <w:noProof/>
        </w:rPr>
        <w:t>in line with the twin green and digital transformation aimed at by the European Green Deal</w:t>
      </w:r>
      <w:r w:rsidR="004362E9" w:rsidRPr="00F91EC4">
        <w:rPr>
          <w:noProof/>
        </w:rPr>
        <w:t>.</w:t>
      </w:r>
    </w:p>
    <w:p w14:paraId="4865A794" w14:textId="77777777" w:rsidR="002973DF" w:rsidRDefault="002973DF" w:rsidP="001716CD">
      <w:pPr>
        <w:spacing w:before="240"/>
        <w:rPr>
          <w:noProof/>
        </w:rPr>
      </w:pPr>
      <w:r>
        <w:rPr>
          <w:noProof/>
        </w:rPr>
        <w:t xml:space="preserve">The social, economic and environmental impacts </w:t>
      </w:r>
      <w:r w:rsidR="006E605B">
        <w:rPr>
          <w:noProof/>
        </w:rPr>
        <w:t xml:space="preserve">of option 3a </w:t>
      </w:r>
      <w:r>
        <w:rPr>
          <w:noProof/>
        </w:rPr>
        <w:t>can be summarised as follows:</w:t>
      </w:r>
    </w:p>
    <w:p w14:paraId="7EDAB9B8" w14:textId="77777777" w:rsidR="001B2DF7" w:rsidRPr="00F91EC4" w:rsidRDefault="00986AD3" w:rsidP="001716CD">
      <w:pPr>
        <w:spacing w:before="240"/>
        <w:rPr>
          <w:noProof/>
        </w:rPr>
      </w:pPr>
      <w:r>
        <w:rPr>
          <w:noProof/>
        </w:rPr>
        <w:t>T</w:t>
      </w:r>
      <w:r w:rsidR="001B2DF7" w:rsidRPr="00F91EC4">
        <w:rPr>
          <w:noProof/>
        </w:rPr>
        <w:t xml:space="preserve">otal regulatory costs are estimated €304 </w:t>
      </w:r>
      <w:r w:rsidR="001B2DF7" w:rsidRPr="00F91EC4" w:rsidDel="00263647">
        <w:rPr>
          <w:noProof/>
        </w:rPr>
        <w:t xml:space="preserve">per </w:t>
      </w:r>
      <w:r w:rsidR="001B2DF7" w:rsidRPr="00F91EC4">
        <w:rPr>
          <w:noProof/>
        </w:rPr>
        <w:t xml:space="preserve">vehicle for light-duty vehicles and </w:t>
      </w:r>
      <w:r w:rsidR="001B2DF7" w:rsidRPr="00F91EC4">
        <w:rPr>
          <w:rFonts w:eastAsia="Times New Roman"/>
          <w:noProof/>
          <w:szCs w:val="23"/>
          <w:lang w:eastAsia="nl-NL"/>
        </w:rPr>
        <w:t xml:space="preserve">at €2 681 per vehicle for heavy-duty vehicles. Over the 25-year period assessed in the Impact Assessment, this </w:t>
      </w:r>
      <w:r w:rsidR="002B5A1E" w:rsidRPr="00F91EC4">
        <w:rPr>
          <w:rFonts w:eastAsia="Times New Roman"/>
          <w:noProof/>
          <w:szCs w:val="23"/>
          <w:lang w:eastAsia="nl-NL"/>
        </w:rPr>
        <w:t xml:space="preserve">would </w:t>
      </w:r>
      <w:r w:rsidR="001B2DF7" w:rsidRPr="00F91EC4">
        <w:rPr>
          <w:rFonts w:eastAsia="Times New Roman"/>
          <w:noProof/>
          <w:szCs w:val="23"/>
          <w:lang w:eastAsia="nl-NL"/>
        </w:rPr>
        <w:t xml:space="preserve">lead to </w:t>
      </w:r>
      <w:r w:rsidR="00630101" w:rsidRPr="00F91EC4">
        <w:rPr>
          <w:noProof/>
        </w:rPr>
        <w:t>a total regulatory cost of €35.48 billi</w:t>
      </w:r>
      <w:r w:rsidR="00857A65" w:rsidRPr="00F91EC4">
        <w:rPr>
          <w:noProof/>
        </w:rPr>
        <w:t>on for light-duty vehicles and €17.53 billion for heavy-duty vehicles</w:t>
      </w:r>
      <w:r w:rsidR="001B2DF7" w:rsidRPr="00F91EC4">
        <w:rPr>
          <w:noProof/>
        </w:rPr>
        <w:t xml:space="preserve">. </w:t>
      </w:r>
    </w:p>
    <w:p w14:paraId="2FE7D88C" w14:textId="77777777" w:rsidR="00BF137B" w:rsidRDefault="001B2DF7" w:rsidP="001716CD">
      <w:pPr>
        <w:spacing w:before="240"/>
        <w:rPr>
          <w:noProof/>
          <w:szCs w:val="24"/>
        </w:rPr>
      </w:pPr>
      <w:r w:rsidRPr="00F91EC4">
        <w:rPr>
          <w:noProof/>
        </w:rPr>
        <w:t>On the other hand, m</w:t>
      </w:r>
      <w:r w:rsidR="00857A65" w:rsidRPr="00F91EC4">
        <w:rPr>
          <w:noProof/>
        </w:rPr>
        <w:t>onetary health and environmental benefits amount up to €55.75 billion and €133.58 billion respectively</w:t>
      </w:r>
      <w:r w:rsidRPr="00F91EC4">
        <w:rPr>
          <w:noProof/>
        </w:rPr>
        <w:t xml:space="preserve"> through the reduction of</w:t>
      </w:r>
      <w:r w:rsidR="00857A65" w:rsidRPr="00F91EC4">
        <w:rPr>
          <w:noProof/>
        </w:rPr>
        <w:t xml:space="preserve"> </w:t>
      </w:r>
      <w:r w:rsidRPr="00F91EC4">
        <w:rPr>
          <w:noProof/>
        </w:rPr>
        <w:t>harmful air pollutant emissions</w:t>
      </w:r>
      <w:r w:rsidR="00857A65" w:rsidRPr="00F91EC4">
        <w:rPr>
          <w:noProof/>
        </w:rPr>
        <w:t>.</w:t>
      </w:r>
      <w:r w:rsidR="00DF1312" w:rsidRPr="00F91EC4">
        <w:rPr>
          <w:noProof/>
        </w:rPr>
        <w:t xml:space="preserve"> </w:t>
      </w:r>
      <w:r w:rsidR="00857A65" w:rsidRPr="00F91EC4">
        <w:rPr>
          <w:noProof/>
        </w:rPr>
        <w:t>These benefits are mostly realised through the reduction of NO</w:t>
      </w:r>
      <w:r w:rsidR="00857A65" w:rsidRPr="00F91EC4">
        <w:rPr>
          <w:noProof/>
          <w:vertAlign w:val="subscript"/>
        </w:rPr>
        <w:t>x</w:t>
      </w:r>
      <w:r w:rsidR="00857A65" w:rsidRPr="00F91EC4">
        <w:rPr>
          <w:noProof/>
        </w:rPr>
        <w:t xml:space="preserve"> and </w:t>
      </w:r>
      <w:r w:rsidR="00857A65" w:rsidRPr="00F91EC4">
        <w:rPr>
          <w:rFonts w:eastAsia="Times New Roman"/>
          <w:noProof/>
          <w:szCs w:val="24"/>
          <w:lang w:eastAsia="nl-NL"/>
        </w:rPr>
        <w:t>PM</w:t>
      </w:r>
      <w:r w:rsidR="00857A65" w:rsidRPr="00F91EC4">
        <w:rPr>
          <w:rFonts w:eastAsia="Times New Roman"/>
          <w:noProof/>
          <w:szCs w:val="24"/>
          <w:vertAlign w:val="subscript"/>
          <w:lang w:eastAsia="nl-NL"/>
        </w:rPr>
        <w:t xml:space="preserve">2.5 </w:t>
      </w:r>
      <w:r w:rsidR="00857A65" w:rsidRPr="00F91EC4">
        <w:rPr>
          <w:noProof/>
          <w:szCs w:val="24"/>
        </w:rPr>
        <w:t>emissions</w:t>
      </w:r>
      <w:r w:rsidR="00DF1312" w:rsidRPr="00F91EC4">
        <w:rPr>
          <w:noProof/>
          <w:szCs w:val="24"/>
        </w:rPr>
        <w:t>.</w:t>
      </w:r>
      <w:r w:rsidR="00AF4C85" w:rsidRPr="00F91EC4">
        <w:rPr>
          <w:noProof/>
          <w:szCs w:val="24"/>
        </w:rPr>
        <w:t xml:space="preserve"> In addition, </w:t>
      </w:r>
      <w:r w:rsidR="002B5A1E" w:rsidRPr="00F91EC4">
        <w:rPr>
          <w:noProof/>
          <w:szCs w:val="24"/>
        </w:rPr>
        <w:t xml:space="preserve">this </w:t>
      </w:r>
      <w:r w:rsidR="00AF4C85" w:rsidRPr="00F91EC4">
        <w:rPr>
          <w:noProof/>
          <w:szCs w:val="24"/>
        </w:rPr>
        <w:t>option showed for all vehicles the highest positive impacts in terms of access to international key markets and innovation.</w:t>
      </w:r>
      <w:r w:rsidR="00DF1312" w:rsidRPr="00F91EC4">
        <w:rPr>
          <w:noProof/>
          <w:szCs w:val="24"/>
        </w:rPr>
        <w:t xml:space="preserve"> </w:t>
      </w:r>
    </w:p>
    <w:p w14:paraId="2813C9B2" w14:textId="2FBAE4CA" w:rsidR="00A45860" w:rsidRPr="00F91EC4" w:rsidRDefault="00A45860" w:rsidP="001716CD">
      <w:pPr>
        <w:spacing w:before="240"/>
        <w:rPr>
          <w:noProof/>
          <w:szCs w:val="24"/>
        </w:rPr>
      </w:pPr>
      <w:r>
        <w:rPr>
          <w:noProof/>
        </w:rPr>
        <w:t xml:space="preserve">The adjustment costs (covering substantive compliance costs due to </w:t>
      </w:r>
      <w:r w:rsidRPr="00C33169">
        <w:rPr>
          <w:noProof/>
        </w:rPr>
        <w:t>equipment costs for emission control technologies and the related R&amp;D and calibration costs including facilities and tooling costs</w:t>
      </w:r>
      <w:r>
        <w:rPr>
          <w:noProof/>
        </w:rPr>
        <w:t xml:space="preserve">) </w:t>
      </w:r>
      <w:r w:rsidR="00347D10">
        <w:rPr>
          <w:noProof/>
        </w:rPr>
        <w:t>were</w:t>
      </w:r>
      <w:r w:rsidRPr="00B81558">
        <w:rPr>
          <w:noProof/>
        </w:rPr>
        <w:t xml:space="preserve"> assessed </w:t>
      </w:r>
      <w:r w:rsidR="00347D10">
        <w:rPr>
          <w:noProof/>
        </w:rPr>
        <w:t xml:space="preserve">in option 3a </w:t>
      </w:r>
      <w:r w:rsidRPr="00B81558">
        <w:rPr>
          <w:noProof/>
        </w:rPr>
        <w:t>to be in the order of €67 billion between 2025 and 2050 for light-duty vehicles and €26 billion for heavy-duty vehicles.</w:t>
      </w:r>
    </w:p>
    <w:p w14:paraId="1A2D8343" w14:textId="77777777" w:rsidR="00AF4C85" w:rsidRPr="00F91EC4" w:rsidRDefault="00AF4C85" w:rsidP="001716CD">
      <w:pPr>
        <w:spacing w:before="240"/>
        <w:rPr>
          <w:noProof/>
          <w:szCs w:val="24"/>
        </w:rPr>
      </w:pPr>
      <w:r w:rsidRPr="00F91EC4">
        <w:rPr>
          <w:noProof/>
          <w:szCs w:val="24"/>
        </w:rPr>
        <w:t>Next to these benefits</w:t>
      </w:r>
      <w:r w:rsidR="007242BB" w:rsidRPr="00F91EC4">
        <w:rPr>
          <w:noProof/>
          <w:szCs w:val="24"/>
        </w:rPr>
        <w:t xml:space="preserve">, regulatory cost savings (covering cost savings during testing, witnessing of tests by type-approval authorities and type-approval fees as well as administrative costs savings for reporting and other information obligation as part of the type-approval procedures) are estimated at €4.67 billion for light-duty vehicles and at €0.58 billion for heavy-duty vehicles in the preferred option. </w:t>
      </w:r>
    </w:p>
    <w:p w14:paraId="5F1173C2" w14:textId="77777777" w:rsidR="00E841FD" w:rsidRDefault="007242BB" w:rsidP="00E841FD">
      <w:pPr>
        <w:spacing w:before="240"/>
        <w:rPr>
          <w:noProof/>
          <w:szCs w:val="24"/>
        </w:rPr>
      </w:pPr>
      <w:r w:rsidRPr="00F91EC4">
        <w:rPr>
          <w:noProof/>
          <w:szCs w:val="24"/>
        </w:rPr>
        <w:t>Overall, t</w:t>
      </w:r>
      <w:r w:rsidR="00DF1312" w:rsidRPr="00F91EC4">
        <w:rPr>
          <w:noProof/>
          <w:szCs w:val="24"/>
        </w:rPr>
        <w:t xml:space="preserve">he impact of </w:t>
      </w:r>
      <w:r w:rsidR="002C00BE" w:rsidRPr="00F91EC4">
        <w:rPr>
          <w:noProof/>
          <w:szCs w:val="24"/>
        </w:rPr>
        <w:t xml:space="preserve">option </w:t>
      </w:r>
      <w:r w:rsidRPr="00F91EC4">
        <w:rPr>
          <w:noProof/>
          <w:szCs w:val="24"/>
        </w:rPr>
        <w:t xml:space="preserve">3a </w:t>
      </w:r>
      <w:r w:rsidR="002C00BE" w:rsidRPr="00F91EC4">
        <w:rPr>
          <w:noProof/>
          <w:szCs w:val="24"/>
        </w:rPr>
        <w:t>on consumer affordability would be limited. While t</w:t>
      </w:r>
      <w:r w:rsidR="00F524F6" w:rsidRPr="00F91EC4">
        <w:rPr>
          <w:noProof/>
          <w:szCs w:val="24"/>
        </w:rPr>
        <w:t>he total regulatory costs compared to baseline are expected to be passed on to consumers, this would lead to a 0.8% increase in the price of small petrol vehicles and a 2.2% increase in the price of small diesel vehicles for cars and vans</w:t>
      </w:r>
      <w:r w:rsidR="00755D6D" w:rsidRPr="00F91EC4">
        <w:rPr>
          <w:noProof/>
          <w:szCs w:val="24"/>
        </w:rPr>
        <w:t>.</w:t>
      </w:r>
    </w:p>
    <w:p w14:paraId="3B92D230" w14:textId="77777777" w:rsidR="00E21F8E" w:rsidRPr="00F91EC4" w:rsidRDefault="00E21F8E" w:rsidP="00E841FD">
      <w:pPr>
        <w:spacing w:before="240"/>
        <w:rPr>
          <w:noProof/>
          <w:szCs w:val="24"/>
        </w:rPr>
      </w:pPr>
      <w:r>
        <w:rPr>
          <w:noProof/>
          <w:szCs w:val="24"/>
        </w:rPr>
        <w:t>Battery durability requirements were added</w:t>
      </w:r>
      <w:r w:rsidR="00370B07">
        <w:rPr>
          <w:noProof/>
          <w:szCs w:val="24"/>
        </w:rPr>
        <w:t xml:space="preserve"> following the adoption of a new UN Global Technical Regulation No. 22 on 14 April 2022 </w:t>
      </w:r>
      <w:r w:rsidR="00370B07" w:rsidRPr="00370B07">
        <w:rPr>
          <w:noProof/>
          <w:szCs w:val="24"/>
        </w:rPr>
        <w:t>on In-vehicle Battery Durability for Electrified Vehicles</w:t>
      </w:r>
      <w:r w:rsidR="00986AD3">
        <w:rPr>
          <w:noProof/>
          <w:szCs w:val="24"/>
        </w:rPr>
        <w:t xml:space="preserve">, </w:t>
      </w:r>
      <w:r w:rsidR="00370B07">
        <w:rPr>
          <w:noProof/>
          <w:szCs w:val="24"/>
        </w:rPr>
        <w:t>set</w:t>
      </w:r>
      <w:r w:rsidR="00986AD3">
        <w:rPr>
          <w:noProof/>
          <w:szCs w:val="24"/>
        </w:rPr>
        <w:t>ting</w:t>
      </w:r>
      <w:r w:rsidR="00370B07">
        <w:rPr>
          <w:noProof/>
          <w:szCs w:val="24"/>
        </w:rPr>
        <w:t xml:space="preserve"> minimum performance requirements for electric vehicles at a level that </w:t>
      </w:r>
      <w:r w:rsidR="00986AD3">
        <w:rPr>
          <w:noProof/>
          <w:szCs w:val="24"/>
        </w:rPr>
        <w:t>will</w:t>
      </w:r>
      <w:r w:rsidR="00370B07">
        <w:rPr>
          <w:noProof/>
          <w:szCs w:val="24"/>
        </w:rPr>
        <w:t xml:space="preserve"> not require change of battery technologies.</w:t>
      </w:r>
      <w:r w:rsidR="00986AD3">
        <w:rPr>
          <w:noProof/>
          <w:szCs w:val="24"/>
        </w:rPr>
        <w:t xml:space="preserve"> </w:t>
      </w:r>
      <w:r w:rsidR="00370B07">
        <w:rPr>
          <w:noProof/>
          <w:szCs w:val="24"/>
        </w:rPr>
        <w:t xml:space="preserve"> It is expected that the</w:t>
      </w:r>
      <w:r w:rsidR="00986AD3">
        <w:rPr>
          <w:noProof/>
          <w:szCs w:val="24"/>
        </w:rPr>
        <w:t>se</w:t>
      </w:r>
      <w:r w:rsidR="00370B07">
        <w:rPr>
          <w:noProof/>
          <w:szCs w:val="24"/>
        </w:rPr>
        <w:t xml:space="preserve"> requirements will not </w:t>
      </w:r>
      <w:r w:rsidR="00986AD3">
        <w:rPr>
          <w:noProof/>
          <w:szCs w:val="24"/>
        </w:rPr>
        <w:t xml:space="preserve">create </w:t>
      </w:r>
      <w:r w:rsidR="00370B07">
        <w:rPr>
          <w:noProof/>
          <w:szCs w:val="24"/>
        </w:rPr>
        <w:t xml:space="preserve">additional costs but raise consumer awareness and confidence. </w:t>
      </w:r>
    </w:p>
    <w:p w14:paraId="0A9646D2" w14:textId="77777777" w:rsidR="00737753" w:rsidRPr="00F91EC4" w:rsidRDefault="002B5A1E" w:rsidP="00E841FD">
      <w:pPr>
        <w:spacing w:before="240"/>
        <w:rPr>
          <w:noProof/>
          <w:szCs w:val="24"/>
        </w:rPr>
      </w:pPr>
      <w:r w:rsidRPr="00F91EC4">
        <w:rPr>
          <w:noProof/>
          <w:szCs w:val="24"/>
        </w:rPr>
        <w:t xml:space="preserve">In the light of the current </w:t>
      </w:r>
      <w:r w:rsidR="00325D53" w:rsidRPr="00F91EC4">
        <w:rPr>
          <w:noProof/>
          <w:szCs w:val="24"/>
        </w:rPr>
        <w:t xml:space="preserve">geopolitical and </w:t>
      </w:r>
      <w:r w:rsidRPr="00F91EC4">
        <w:rPr>
          <w:noProof/>
          <w:szCs w:val="24"/>
        </w:rPr>
        <w:t>economic circumstances</w:t>
      </w:r>
      <w:r w:rsidR="006B029C" w:rsidRPr="00F91EC4">
        <w:rPr>
          <w:noProof/>
          <w:szCs w:val="24"/>
        </w:rPr>
        <w:t>,</w:t>
      </w:r>
      <w:r w:rsidR="00EA2B41" w:rsidRPr="00F91EC4">
        <w:rPr>
          <w:noProof/>
          <w:szCs w:val="24"/>
        </w:rPr>
        <w:t xml:space="preserve"> </w:t>
      </w:r>
      <w:r w:rsidR="00B15B35" w:rsidRPr="00F91EC4">
        <w:rPr>
          <w:noProof/>
          <w:szCs w:val="24"/>
        </w:rPr>
        <w:t xml:space="preserve">a final review </w:t>
      </w:r>
      <w:r w:rsidRPr="00F91EC4">
        <w:rPr>
          <w:noProof/>
          <w:szCs w:val="24"/>
        </w:rPr>
        <w:t>has been</w:t>
      </w:r>
      <w:r w:rsidR="00B15B35" w:rsidRPr="00F91EC4">
        <w:rPr>
          <w:noProof/>
          <w:szCs w:val="24"/>
        </w:rPr>
        <w:t xml:space="preserve"> made</w:t>
      </w:r>
      <w:r w:rsidR="00A121DE" w:rsidRPr="00F91EC4">
        <w:rPr>
          <w:noProof/>
          <w:szCs w:val="24"/>
        </w:rPr>
        <w:t xml:space="preserve"> to ensure </w:t>
      </w:r>
      <w:r w:rsidR="00325D53" w:rsidRPr="00F91EC4">
        <w:rPr>
          <w:noProof/>
          <w:szCs w:val="24"/>
        </w:rPr>
        <w:t>up-to-date considerations</w:t>
      </w:r>
      <w:r w:rsidR="006B029C" w:rsidRPr="00F91EC4">
        <w:rPr>
          <w:noProof/>
          <w:szCs w:val="24"/>
        </w:rPr>
        <w:t xml:space="preserve"> for the automotive industry </w:t>
      </w:r>
      <w:r w:rsidR="00704902" w:rsidRPr="00F91EC4">
        <w:rPr>
          <w:noProof/>
          <w:szCs w:val="24"/>
        </w:rPr>
        <w:t>and consumers</w:t>
      </w:r>
      <w:r w:rsidR="006B029C" w:rsidRPr="00F91EC4">
        <w:rPr>
          <w:noProof/>
          <w:szCs w:val="24"/>
        </w:rPr>
        <w:t>. The rise in costs that began in 2021, particularly for energy and raw materials, has accelerated</w:t>
      </w:r>
      <w:r w:rsidRPr="00F91EC4">
        <w:rPr>
          <w:noProof/>
          <w:szCs w:val="24"/>
        </w:rPr>
        <w:t xml:space="preserve"> dramatically. At the same time</w:t>
      </w:r>
      <w:r w:rsidR="006B029C" w:rsidRPr="00F91EC4">
        <w:rPr>
          <w:noProof/>
          <w:szCs w:val="24"/>
        </w:rPr>
        <w:t xml:space="preserve">, demand and sales </w:t>
      </w:r>
      <w:r w:rsidRPr="00F91EC4">
        <w:rPr>
          <w:noProof/>
          <w:szCs w:val="24"/>
        </w:rPr>
        <w:t xml:space="preserve">of motor vehicles </w:t>
      </w:r>
      <w:r w:rsidR="006B029C" w:rsidRPr="00F91EC4">
        <w:rPr>
          <w:noProof/>
          <w:szCs w:val="24"/>
        </w:rPr>
        <w:t>have dropped</w:t>
      </w:r>
      <w:r w:rsidRPr="00F91EC4">
        <w:rPr>
          <w:noProof/>
          <w:szCs w:val="24"/>
        </w:rPr>
        <w:t xml:space="preserve"> </w:t>
      </w:r>
      <w:r w:rsidR="00986AD3">
        <w:rPr>
          <w:noProof/>
          <w:szCs w:val="24"/>
        </w:rPr>
        <w:t xml:space="preserve">while </w:t>
      </w:r>
      <w:r w:rsidRPr="00F91EC4">
        <w:rPr>
          <w:noProof/>
          <w:szCs w:val="24"/>
        </w:rPr>
        <w:t>the investment needs</w:t>
      </w:r>
      <w:r w:rsidR="006B029C" w:rsidRPr="00F91EC4">
        <w:rPr>
          <w:noProof/>
          <w:szCs w:val="24"/>
        </w:rPr>
        <w:t xml:space="preserve"> </w:t>
      </w:r>
      <w:r w:rsidRPr="00F91EC4">
        <w:rPr>
          <w:noProof/>
          <w:szCs w:val="24"/>
        </w:rPr>
        <w:t>for</w:t>
      </w:r>
      <w:r w:rsidR="006B029C" w:rsidRPr="00F91EC4">
        <w:rPr>
          <w:noProof/>
          <w:szCs w:val="24"/>
        </w:rPr>
        <w:t xml:space="preserve"> </w:t>
      </w:r>
      <w:r w:rsidRPr="00F91EC4">
        <w:rPr>
          <w:noProof/>
          <w:szCs w:val="24"/>
        </w:rPr>
        <w:t xml:space="preserve">the </w:t>
      </w:r>
      <w:r w:rsidR="006B029C" w:rsidRPr="00F91EC4">
        <w:rPr>
          <w:noProof/>
          <w:szCs w:val="24"/>
        </w:rPr>
        <w:t xml:space="preserve">green transformation </w:t>
      </w:r>
      <w:r w:rsidRPr="00F91EC4">
        <w:rPr>
          <w:noProof/>
          <w:szCs w:val="24"/>
        </w:rPr>
        <w:t>are increasing. T</w:t>
      </w:r>
      <w:r w:rsidR="006B029C" w:rsidRPr="00F91EC4">
        <w:rPr>
          <w:noProof/>
          <w:szCs w:val="24"/>
        </w:rPr>
        <w:t xml:space="preserve">his puts pressure on </w:t>
      </w:r>
      <w:r w:rsidR="00325D53" w:rsidRPr="00F91EC4">
        <w:rPr>
          <w:noProof/>
          <w:szCs w:val="24"/>
        </w:rPr>
        <w:t xml:space="preserve">the </w:t>
      </w:r>
      <w:r w:rsidRPr="00F91EC4">
        <w:rPr>
          <w:noProof/>
          <w:szCs w:val="24"/>
        </w:rPr>
        <w:t xml:space="preserve">automotive </w:t>
      </w:r>
      <w:r w:rsidR="00325D53" w:rsidRPr="00F91EC4">
        <w:rPr>
          <w:noProof/>
          <w:szCs w:val="24"/>
        </w:rPr>
        <w:t xml:space="preserve">supply chain </w:t>
      </w:r>
      <w:r w:rsidR="00704902" w:rsidRPr="00F91EC4">
        <w:rPr>
          <w:noProof/>
          <w:szCs w:val="24"/>
        </w:rPr>
        <w:t>and raises affordability issues</w:t>
      </w:r>
      <w:r w:rsidRPr="00F91EC4">
        <w:rPr>
          <w:noProof/>
          <w:szCs w:val="24"/>
        </w:rPr>
        <w:t xml:space="preserve"> for consumers, in an overall context of high inflation</w:t>
      </w:r>
      <w:r w:rsidR="00E511A8" w:rsidRPr="00F91EC4">
        <w:rPr>
          <w:noProof/>
          <w:szCs w:val="24"/>
        </w:rPr>
        <w:t>.</w:t>
      </w:r>
      <w:r w:rsidR="006B029C" w:rsidRPr="00F91EC4">
        <w:rPr>
          <w:noProof/>
          <w:szCs w:val="24"/>
        </w:rPr>
        <w:t xml:space="preserve"> </w:t>
      </w:r>
      <w:r w:rsidR="00EC25D2" w:rsidRPr="00F91EC4">
        <w:rPr>
          <w:noProof/>
          <w:szCs w:val="24"/>
        </w:rPr>
        <w:t xml:space="preserve">In order to facilitate </w:t>
      </w:r>
      <w:r w:rsidRPr="00F91EC4">
        <w:rPr>
          <w:noProof/>
          <w:szCs w:val="24"/>
        </w:rPr>
        <w:t>a successful green</w:t>
      </w:r>
      <w:r w:rsidR="00EC25D2" w:rsidRPr="00F91EC4">
        <w:rPr>
          <w:noProof/>
          <w:szCs w:val="24"/>
        </w:rPr>
        <w:t xml:space="preserve"> transition</w:t>
      </w:r>
      <w:r w:rsidRPr="00F91EC4">
        <w:rPr>
          <w:noProof/>
          <w:szCs w:val="24"/>
        </w:rPr>
        <w:t xml:space="preserve"> of the automotive ecosystem</w:t>
      </w:r>
      <w:r w:rsidR="00EC25D2" w:rsidRPr="00F91EC4">
        <w:rPr>
          <w:noProof/>
          <w:szCs w:val="24"/>
        </w:rPr>
        <w:t>, t</w:t>
      </w:r>
      <w:r w:rsidR="00E511A8" w:rsidRPr="00F91EC4">
        <w:rPr>
          <w:noProof/>
          <w:szCs w:val="24"/>
        </w:rPr>
        <w:t>he</w:t>
      </w:r>
      <w:r w:rsidR="00A1574A" w:rsidRPr="00F91EC4">
        <w:rPr>
          <w:noProof/>
          <w:szCs w:val="24"/>
        </w:rPr>
        <w:t xml:space="preserve"> above-mentioned option</w:t>
      </w:r>
      <w:r w:rsidR="00986AD3">
        <w:rPr>
          <w:noProof/>
          <w:szCs w:val="24"/>
        </w:rPr>
        <w:t xml:space="preserve"> 3a</w:t>
      </w:r>
      <w:r w:rsidR="00A1574A" w:rsidRPr="00F91EC4">
        <w:rPr>
          <w:noProof/>
          <w:szCs w:val="24"/>
        </w:rPr>
        <w:t xml:space="preserve"> </w:t>
      </w:r>
      <w:r w:rsidRPr="00F91EC4">
        <w:rPr>
          <w:noProof/>
          <w:szCs w:val="24"/>
        </w:rPr>
        <w:t>has been</w:t>
      </w:r>
      <w:r w:rsidR="00E511A8" w:rsidRPr="00F91EC4">
        <w:rPr>
          <w:noProof/>
          <w:szCs w:val="24"/>
        </w:rPr>
        <w:t xml:space="preserve"> readjusted</w:t>
      </w:r>
      <w:r w:rsidR="00325D53" w:rsidRPr="00F91EC4">
        <w:rPr>
          <w:noProof/>
          <w:szCs w:val="24"/>
        </w:rPr>
        <w:t xml:space="preserve"> for light-duty vehicles</w:t>
      </w:r>
      <w:r w:rsidR="00986AD3">
        <w:rPr>
          <w:noProof/>
          <w:szCs w:val="24"/>
        </w:rPr>
        <w:t xml:space="preserve"> to reduce adjustment costs</w:t>
      </w:r>
      <w:r w:rsidR="00737753" w:rsidRPr="00F91EC4">
        <w:rPr>
          <w:noProof/>
          <w:szCs w:val="24"/>
        </w:rPr>
        <w:t xml:space="preserve">, while keeping the </w:t>
      </w:r>
      <w:r w:rsidR="00704902" w:rsidRPr="00F91EC4">
        <w:rPr>
          <w:noProof/>
          <w:szCs w:val="24"/>
        </w:rPr>
        <w:t xml:space="preserve">overall </w:t>
      </w:r>
      <w:r w:rsidR="00912BC6" w:rsidRPr="00F91EC4">
        <w:rPr>
          <w:noProof/>
          <w:szCs w:val="24"/>
        </w:rPr>
        <w:t>medium</w:t>
      </w:r>
      <w:r w:rsidR="00737753" w:rsidRPr="00F91EC4">
        <w:rPr>
          <w:noProof/>
          <w:szCs w:val="24"/>
        </w:rPr>
        <w:t xml:space="preserve"> environmental</w:t>
      </w:r>
      <w:r w:rsidR="00704902" w:rsidRPr="00F91EC4">
        <w:rPr>
          <w:noProof/>
          <w:szCs w:val="24"/>
        </w:rPr>
        <w:t xml:space="preserve"> and digital</w:t>
      </w:r>
      <w:r w:rsidR="00737753" w:rsidRPr="00F91EC4">
        <w:rPr>
          <w:noProof/>
          <w:szCs w:val="24"/>
        </w:rPr>
        <w:t xml:space="preserve"> ambition</w:t>
      </w:r>
      <w:r w:rsidR="00A1574A" w:rsidRPr="00F91EC4">
        <w:rPr>
          <w:noProof/>
          <w:szCs w:val="24"/>
        </w:rPr>
        <w:t>.</w:t>
      </w:r>
    </w:p>
    <w:p w14:paraId="42278F6D" w14:textId="45CB0117" w:rsidR="00902F6B" w:rsidRDefault="002B5A1E" w:rsidP="00EC25D2">
      <w:pPr>
        <w:spacing w:before="240"/>
        <w:rPr>
          <w:noProof/>
          <w:szCs w:val="24"/>
        </w:rPr>
      </w:pPr>
      <w:r w:rsidRPr="00F91EC4">
        <w:rPr>
          <w:noProof/>
          <w:szCs w:val="24"/>
        </w:rPr>
        <w:t>F</w:t>
      </w:r>
      <w:r w:rsidR="00EC25D2" w:rsidRPr="00F91EC4">
        <w:rPr>
          <w:noProof/>
          <w:szCs w:val="24"/>
        </w:rPr>
        <w:t xml:space="preserve">or cars and vans, the </w:t>
      </w:r>
      <w:r w:rsidR="00986AD3">
        <w:rPr>
          <w:noProof/>
          <w:szCs w:val="24"/>
        </w:rPr>
        <w:t xml:space="preserve">exhaust </w:t>
      </w:r>
      <w:r w:rsidR="00EC25D2" w:rsidRPr="00F91EC4">
        <w:rPr>
          <w:noProof/>
          <w:szCs w:val="24"/>
        </w:rPr>
        <w:t xml:space="preserve">emission limits </w:t>
      </w:r>
      <w:r w:rsidRPr="00F91EC4">
        <w:rPr>
          <w:noProof/>
          <w:szCs w:val="24"/>
        </w:rPr>
        <w:t>are</w:t>
      </w:r>
      <w:r w:rsidR="00B2001B" w:rsidRPr="00F91EC4">
        <w:rPr>
          <w:noProof/>
          <w:szCs w:val="24"/>
        </w:rPr>
        <w:t xml:space="preserve"> </w:t>
      </w:r>
      <w:r w:rsidR="00F02CCB" w:rsidRPr="00F91EC4">
        <w:rPr>
          <w:noProof/>
          <w:szCs w:val="24"/>
        </w:rPr>
        <w:t>set</w:t>
      </w:r>
      <w:r w:rsidR="00B2001B" w:rsidRPr="00F91EC4">
        <w:rPr>
          <w:noProof/>
          <w:szCs w:val="24"/>
        </w:rPr>
        <w:t xml:space="preserve"> at the </w:t>
      </w:r>
      <w:r w:rsidR="00986AD3">
        <w:rPr>
          <w:noProof/>
          <w:szCs w:val="24"/>
        </w:rPr>
        <w:t xml:space="preserve">lowest </w:t>
      </w:r>
      <w:r w:rsidR="00B2001B" w:rsidRPr="00F91EC4">
        <w:rPr>
          <w:noProof/>
          <w:szCs w:val="24"/>
        </w:rPr>
        <w:t xml:space="preserve">level </w:t>
      </w:r>
      <w:r w:rsidR="00BF137B">
        <w:rPr>
          <w:noProof/>
          <w:szCs w:val="24"/>
        </w:rPr>
        <w:t xml:space="preserve">currently imposed under </w:t>
      </w:r>
      <w:r w:rsidR="00B2001B" w:rsidRPr="00F91EC4">
        <w:rPr>
          <w:noProof/>
          <w:szCs w:val="24"/>
        </w:rPr>
        <w:t>Euro 6 for cars</w:t>
      </w:r>
      <w:r w:rsidR="00BF137B" w:rsidRPr="00BF137B">
        <w:rPr>
          <w:noProof/>
          <w:szCs w:val="24"/>
        </w:rPr>
        <w:t xml:space="preserve"> </w:t>
      </w:r>
      <w:r w:rsidR="00BF137B">
        <w:rPr>
          <w:noProof/>
          <w:szCs w:val="24"/>
        </w:rPr>
        <w:t>therefore imposing lower limits for vans than under Euro 6, while durability requirements as well as real-driving testing boundaries are set as in option 3a</w:t>
      </w:r>
      <w:r w:rsidR="00986AD3">
        <w:rPr>
          <w:noProof/>
          <w:szCs w:val="24"/>
        </w:rPr>
        <w:t xml:space="preserve">.  The requirements for </w:t>
      </w:r>
      <w:r w:rsidR="00902F6B">
        <w:rPr>
          <w:noProof/>
          <w:szCs w:val="24"/>
        </w:rPr>
        <w:t>evaporative emissions, battery durability and non-exhaust emissions</w:t>
      </w:r>
      <w:r w:rsidR="00986AD3">
        <w:rPr>
          <w:noProof/>
          <w:szCs w:val="24"/>
        </w:rPr>
        <w:t xml:space="preserve"> are set as in option 3a</w:t>
      </w:r>
      <w:r w:rsidR="00B2001B" w:rsidRPr="00F91EC4">
        <w:rPr>
          <w:noProof/>
          <w:szCs w:val="24"/>
        </w:rPr>
        <w:t xml:space="preserve">. </w:t>
      </w:r>
      <w:r w:rsidR="00EC25D2" w:rsidRPr="00F91EC4">
        <w:rPr>
          <w:noProof/>
          <w:szCs w:val="24"/>
        </w:rPr>
        <w:t>It is an intermediate option in terms of tailpipe emission limits</w:t>
      </w:r>
      <w:r w:rsidR="00B2001B" w:rsidRPr="00F91EC4">
        <w:rPr>
          <w:noProof/>
          <w:szCs w:val="24"/>
        </w:rPr>
        <w:t xml:space="preserve"> between option 1 and 2a/3a</w:t>
      </w:r>
      <w:r w:rsidR="008B7A28" w:rsidRPr="00F91EC4">
        <w:rPr>
          <w:noProof/>
          <w:szCs w:val="24"/>
        </w:rPr>
        <w:t>. This choice has been made</w:t>
      </w:r>
      <w:r w:rsidR="00EC25D2" w:rsidRPr="00F91EC4">
        <w:rPr>
          <w:noProof/>
          <w:szCs w:val="24"/>
        </w:rPr>
        <w:t xml:space="preserve"> in order to </w:t>
      </w:r>
      <w:r w:rsidR="00902F6B">
        <w:rPr>
          <w:noProof/>
          <w:szCs w:val="24"/>
        </w:rPr>
        <w:t xml:space="preserve">balance the need to improve environmental performance with the need to avoid disproportionate investments for vehicles that will no longer be sold after 2035. </w:t>
      </w:r>
      <w:r w:rsidR="00BF137B">
        <w:rPr>
          <w:noProof/>
          <w:szCs w:val="24"/>
        </w:rPr>
        <w:t xml:space="preserve">Beyond a certain threshold, costs increase significantly faster than environmental benefits. The option chosen </w:t>
      </w:r>
      <w:r w:rsidR="00EC25D2" w:rsidRPr="00F91EC4">
        <w:rPr>
          <w:noProof/>
          <w:szCs w:val="24"/>
        </w:rPr>
        <w:t>improve</w:t>
      </w:r>
      <w:r w:rsidR="00902F6B">
        <w:rPr>
          <w:noProof/>
          <w:szCs w:val="24"/>
        </w:rPr>
        <w:t>s</w:t>
      </w:r>
      <w:r w:rsidR="00EC25D2" w:rsidRPr="00F91EC4">
        <w:rPr>
          <w:noProof/>
          <w:szCs w:val="24"/>
        </w:rPr>
        <w:t xml:space="preserve"> affordability</w:t>
      </w:r>
      <w:r w:rsidRPr="00F91EC4">
        <w:rPr>
          <w:noProof/>
          <w:szCs w:val="24"/>
        </w:rPr>
        <w:t xml:space="preserve"> of cars and vans for consumers</w:t>
      </w:r>
      <w:r w:rsidR="00EC25D2" w:rsidRPr="00F91EC4">
        <w:rPr>
          <w:noProof/>
          <w:szCs w:val="24"/>
        </w:rPr>
        <w:t xml:space="preserve"> and minimise</w:t>
      </w:r>
      <w:r w:rsidR="00986AD3">
        <w:rPr>
          <w:noProof/>
          <w:szCs w:val="24"/>
        </w:rPr>
        <w:t>s</w:t>
      </w:r>
      <w:r w:rsidR="00EC25D2" w:rsidRPr="00F91EC4">
        <w:rPr>
          <w:noProof/>
          <w:szCs w:val="24"/>
        </w:rPr>
        <w:t xml:space="preserve"> </w:t>
      </w:r>
      <w:r w:rsidR="00325D53" w:rsidRPr="00F91EC4">
        <w:rPr>
          <w:noProof/>
          <w:szCs w:val="24"/>
        </w:rPr>
        <w:t xml:space="preserve">investment </w:t>
      </w:r>
      <w:r w:rsidR="00EC25D2" w:rsidRPr="00F91EC4">
        <w:rPr>
          <w:noProof/>
          <w:szCs w:val="24"/>
        </w:rPr>
        <w:t xml:space="preserve">costs required for </w:t>
      </w:r>
      <w:r w:rsidRPr="00F91EC4">
        <w:rPr>
          <w:noProof/>
          <w:szCs w:val="24"/>
        </w:rPr>
        <w:t xml:space="preserve">the </w:t>
      </w:r>
      <w:r w:rsidR="00EC25D2" w:rsidRPr="00F91EC4">
        <w:rPr>
          <w:noProof/>
          <w:szCs w:val="24"/>
        </w:rPr>
        <w:t>development of new hardware solution</w:t>
      </w:r>
      <w:r w:rsidRPr="00F91EC4">
        <w:rPr>
          <w:noProof/>
          <w:szCs w:val="24"/>
        </w:rPr>
        <w:t>s</w:t>
      </w:r>
      <w:r w:rsidR="00EC25D2" w:rsidRPr="00F91EC4">
        <w:rPr>
          <w:noProof/>
          <w:szCs w:val="24"/>
        </w:rPr>
        <w:t xml:space="preserve"> for emission control systems for </w:t>
      </w:r>
      <w:r w:rsidRPr="00F91EC4">
        <w:rPr>
          <w:noProof/>
          <w:szCs w:val="24"/>
        </w:rPr>
        <w:t>cars and vans</w:t>
      </w:r>
      <w:r w:rsidR="00EC25D2" w:rsidRPr="00F91EC4">
        <w:rPr>
          <w:noProof/>
          <w:szCs w:val="24"/>
        </w:rPr>
        <w:t xml:space="preserve"> with internal combustion engine. </w:t>
      </w:r>
    </w:p>
    <w:p w14:paraId="02B617BA" w14:textId="77777777" w:rsidR="00EC25D2" w:rsidRPr="00F91EC4" w:rsidRDefault="00EC25D2" w:rsidP="00EC25D2">
      <w:pPr>
        <w:spacing w:before="240"/>
        <w:rPr>
          <w:noProof/>
          <w:szCs w:val="24"/>
        </w:rPr>
      </w:pPr>
      <w:r w:rsidRPr="00F91EC4">
        <w:rPr>
          <w:noProof/>
          <w:szCs w:val="24"/>
        </w:rPr>
        <w:t xml:space="preserve">The </w:t>
      </w:r>
      <w:r w:rsidR="002B5A1E" w:rsidRPr="00F91EC4">
        <w:rPr>
          <w:noProof/>
          <w:szCs w:val="24"/>
        </w:rPr>
        <w:t xml:space="preserve">selected measures </w:t>
      </w:r>
      <w:r w:rsidRPr="00F91EC4">
        <w:rPr>
          <w:noProof/>
          <w:szCs w:val="24"/>
        </w:rPr>
        <w:t>set technology</w:t>
      </w:r>
      <w:r w:rsidR="00F02CCB" w:rsidRPr="00F91EC4">
        <w:rPr>
          <w:noProof/>
          <w:szCs w:val="24"/>
        </w:rPr>
        <w:t>- and fuel-</w:t>
      </w:r>
      <w:r w:rsidRPr="00F91EC4">
        <w:rPr>
          <w:noProof/>
          <w:szCs w:val="24"/>
        </w:rPr>
        <w:t>neutral limits for cars and vans,</w:t>
      </w:r>
      <w:r w:rsidR="00B2001B" w:rsidRPr="00F91EC4">
        <w:rPr>
          <w:noProof/>
          <w:szCs w:val="24"/>
        </w:rPr>
        <w:t xml:space="preserve"> while</w:t>
      </w:r>
      <w:r w:rsidRPr="00F91EC4">
        <w:rPr>
          <w:noProof/>
          <w:szCs w:val="24"/>
        </w:rPr>
        <w:t xml:space="preserve"> allowing for slightly higher limits for underpowered vans, where such allowance is justified based on technical reasons. </w:t>
      </w:r>
      <w:r w:rsidR="002B5A1E" w:rsidRPr="00F91EC4">
        <w:rPr>
          <w:noProof/>
          <w:szCs w:val="24"/>
        </w:rPr>
        <w:t>Testing boundaries</w:t>
      </w:r>
      <w:r w:rsidR="00902F6B">
        <w:rPr>
          <w:noProof/>
          <w:szCs w:val="24"/>
        </w:rPr>
        <w:t xml:space="preserve"> are as </w:t>
      </w:r>
      <w:r w:rsidR="00986AD3">
        <w:rPr>
          <w:noProof/>
          <w:szCs w:val="24"/>
        </w:rPr>
        <w:t xml:space="preserve">in </w:t>
      </w:r>
      <w:r w:rsidR="00902F6B">
        <w:rPr>
          <w:noProof/>
          <w:szCs w:val="24"/>
        </w:rPr>
        <w:t>option 3a, therefore allowing for gains to be made by capping currently uncontrolled emissions</w:t>
      </w:r>
      <w:r w:rsidR="00986AD3">
        <w:rPr>
          <w:noProof/>
          <w:szCs w:val="24"/>
        </w:rPr>
        <w:t>.</w:t>
      </w:r>
      <w:r w:rsidR="00902F6B">
        <w:rPr>
          <w:noProof/>
          <w:szCs w:val="24"/>
        </w:rPr>
        <w:t xml:space="preserve"> </w:t>
      </w:r>
      <w:r w:rsidR="00986AD3">
        <w:rPr>
          <w:noProof/>
          <w:szCs w:val="24"/>
        </w:rPr>
        <w:t>M</w:t>
      </w:r>
      <w:r w:rsidR="002B5A1E" w:rsidRPr="00F91EC4">
        <w:rPr>
          <w:noProof/>
          <w:szCs w:val="24"/>
        </w:rPr>
        <w:t xml:space="preserve">ethodologies and limits for evaporative emissions, brakes, tyres, as well as battery durability and the use of emission monitoring tools with sensors </w:t>
      </w:r>
      <w:r w:rsidR="00325D53" w:rsidRPr="00F91EC4">
        <w:rPr>
          <w:noProof/>
          <w:szCs w:val="24"/>
        </w:rPr>
        <w:t>follow the ones presented</w:t>
      </w:r>
      <w:r w:rsidR="002B5A1E" w:rsidRPr="00F91EC4">
        <w:rPr>
          <w:noProof/>
          <w:szCs w:val="24"/>
        </w:rPr>
        <w:t xml:space="preserve"> in option 3a of the Impact Assessment Report.</w:t>
      </w:r>
      <w:r w:rsidR="008B7A28" w:rsidRPr="00F91EC4">
        <w:rPr>
          <w:noProof/>
          <w:szCs w:val="24"/>
        </w:rPr>
        <w:t xml:space="preserve"> These measures account for an increasingly important share of the emission reduction potential</w:t>
      </w:r>
      <w:r w:rsidR="00325D53" w:rsidRPr="00F91EC4">
        <w:rPr>
          <w:noProof/>
          <w:szCs w:val="24"/>
        </w:rPr>
        <w:t xml:space="preserve"> and of the environmental and health benefits, in particular in urban environments</w:t>
      </w:r>
      <w:r w:rsidR="00AB40AE">
        <w:rPr>
          <w:noProof/>
          <w:szCs w:val="24"/>
        </w:rPr>
        <w:t xml:space="preserve"> where exposure to those pollutants is more prominent</w:t>
      </w:r>
      <w:r w:rsidR="00902F6B">
        <w:rPr>
          <w:noProof/>
          <w:szCs w:val="24"/>
        </w:rPr>
        <w:t>.</w:t>
      </w:r>
      <w:r w:rsidR="00AB40AE">
        <w:rPr>
          <w:noProof/>
          <w:szCs w:val="24"/>
        </w:rPr>
        <w:t xml:space="preserve"> </w:t>
      </w:r>
      <w:r w:rsidR="00986AD3">
        <w:rPr>
          <w:noProof/>
          <w:szCs w:val="24"/>
        </w:rPr>
        <w:t>Emissions from brakes and tyres will soon account for the majority of particle emissions.</w:t>
      </w:r>
    </w:p>
    <w:p w14:paraId="1EB8E6DB" w14:textId="77777777" w:rsidR="00B2001B" w:rsidRPr="00F91EC4" w:rsidRDefault="00B2001B" w:rsidP="00EC25D2">
      <w:pPr>
        <w:spacing w:before="240"/>
        <w:rPr>
          <w:noProof/>
          <w:szCs w:val="24"/>
        </w:rPr>
      </w:pPr>
      <w:r w:rsidRPr="00F91EC4">
        <w:rPr>
          <w:noProof/>
          <w:szCs w:val="24"/>
        </w:rPr>
        <w:t xml:space="preserve">For lorries and buses, option 3a </w:t>
      </w:r>
      <w:r w:rsidR="008B7A28" w:rsidRPr="00F91EC4">
        <w:rPr>
          <w:noProof/>
          <w:szCs w:val="24"/>
        </w:rPr>
        <w:t>is</w:t>
      </w:r>
      <w:r w:rsidRPr="00F91EC4">
        <w:rPr>
          <w:noProof/>
          <w:szCs w:val="24"/>
        </w:rPr>
        <w:t xml:space="preserve"> retained. This reflects the </w:t>
      </w:r>
      <w:r w:rsidR="002B5A1E" w:rsidRPr="00F91EC4">
        <w:rPr>
          <w:noProof/>
          <w:szCs w:val="24"/>
        </w:rPr>
        <w:t xml:space="preserve">significantly </w:t>
      </w:r>
      <w:r w:rsidR="00F02CCB" w:rsidRPr="00F91EC4">
        <w:rPr>
          <w:noProof/>
          <w:szCs w:val="24"/>
        </w:rPr>
        <w:t>slower</w:t>
      </w:r>
      <w:r w:rsidRPr="00F91EC4">
        <w:rPr>
          <w:noProof/>
          <w:szCs w:val="24"/>
        </w:rPr>
        <w:t xml:space="preserve"> transition of lorries</w:t>
      </w:r>
      <w:r w:rsidR="002B5A1E" w:rsidRPr="00F91EC4">
        <w:rPr>
          <w:noProof/>
          <w:szCs w:val="24"/>
        </w:rPr>
        <w:t xml:space="preserve"> and buses</w:t>
      </w:r>
      <w:r w:rsidRPr="00F91EC4">
        <w:rPr>
          <w:noProof/>
          <w:szCs w:val="24"/>
        </w:rPr>
        <w:t xml:space="preserve"> to zero exhaust emission</w:t>
      </w:r>
      <w:r w:rsidR="00F02CCB" w:rsidRPr="00F91EC4">
        <w:rPr>
          <w:noProof/>
          <w:szCs w:val="24"/>
        </w:rPr>
        <w:t xml:space="preserve"> technologie</w:t>
      </w:r>
      <w:r w:rsidRPr="00F91EC4">
        <w:rPr>
          <w:noProof/>
          <w:szCs w:val="24"/>
        </w:rPr>
        <w:t>s.</w:t>
      </w:r>
      <w:r w:rsidR="008B7A28" w:rsidRPr="00F91EC4">
        <w:rPr>
          <w:noProof/>
          <w:szCs w:val="24"/>
        </w:rPr>
        <w:t xml:space="preserve"> Lorries and buses with internal combustion engines </w:t>
      </w:r>
      <w:r w:rsidR="00325D53" w:rsidRPr="00F91EC4">
        <w:rPr>
          <w:noProof/>
          <w:szCs w:val="24"/>
        </w:rPr>
        <w:t>are expected to</w:t>
      </w:r>
      <w:r w:rsidR="008B7A28" w:rsidRPr="00F91EC4">
        <w:rPr>
          <w:noProof/>
          <w:szCs w:val="24"/>
        </w:rPr>
        <w:t xml:space="preserve"> remain much longer on the EU market.</w:t>
      </w:r>
      <w:r w:rsidRPr="00F91EC4">
        <w:rPr>
          <w:noProof/>
          <w:szCs w:val="24"/>
        </w:rPr>
        <w:t xml:space="preserve"> </w:t>
      </w:r>
    </w:p>
    <w:p w14:paraId="367D2073" w14:textId="77777777" w:rsidR="00AB5681" w:rsidRPr="00F91EC4" w:rsidRDefault="00F02CCB" w:rsidP="00E841FD">
      <w:pPr>
        <w:spacing w:before="240"/>
        <w:rPr>
          <w:noProof/>
          <w:szCs w:val="24"/>
        </w:rPr>
      </w:pPr>
      <w:r w:rsidRPr="00F91EC4">
        <w:rPr>
          <w:noProof/>
          <w:szCs w:val="24"/>
        </w:rPr>
        <w:t>For all motor vehicles, a</w:t>
      </w:r>
      <w:r w:rsidR="00C4028F" w:rsidRPr="00F91EC4">
        <w:rPr>
          <w:noProof/>
          <w:szCs w:val="24"/>
        </w:rPr>
        <w:t>ll simplification measures</w:t>
      </w:r>
      <w:r w:rsidR="00912BC6" w:rsidRPr="00F91EC4">
        <w:rPr>
          <w:noProof/>
          <w:szCs w:val="24"/>
        </w:rPr>
        <w:t xml:space="preserve"> are kept as in option 3a</w:t>
      </w:r>
      <w:r w:rsidR="00AB5681" w:rsidRPr="00F91EC4">
        <w:rPr>
          <w:noProof/>
          <w:szCs w:val="24"/>
        </w:rPr>
        <w:t xml:space="preserve"> since they reflect the n</w:t>
      </w:r>
      <w:r w:rsidR="00A905C7" w:rsidRPr="00F91EC4">
        <w:rPr>
          <w:noProof/>
          <w:szCs w:val="24"/>
        </w:rPr>
        <w:t>eed to modernise the regulation and</w:t>
      </w:r>
      <w:r w:rsidR="00AB5681" w:rsidRPr="00F91EC4">
        <w:rPr>
          <w:noProof/>
          <w:szCs w:val="24"/>
        </w:rPr>
        <w:t xml:space="preserve"> </w:t>
      </w:r>
      <w:r w:rsidRPr="00F91EC4">
        <w:rPr>
          <w:noProof/>
          <w:szCs w:val="24"/>
        </w:rPr>
        <w:t>reduce</w:t>
      </w:r>
      <w:r w:rsidR="00AB5681" w:rsidRPr="00F91EC4">
        <w:rPr>
          <w:noProof/>
          <w:szCs w:val="24"/>
        </w:rPr>
        <w:t xml:space="preserve"> administrative burden</w:t>
      </w:r>
      <w:r w:rsidR="00A905C7" w:rsidRPr="00F91EC4">
        <w:rPr>
          <w:noProof/>
          <w:szCs w:val="24"/>
        </w:rPr>
        <w:t>.</w:t>
      </w:r>
      <w:r w:rsidR="00AB5681" w:rsidRPr="00F91EC4">
        <w:rPr>
          <w:noProof/>
          <w:szCs w:val="24"/>
        </w:rPr>
        <w:t xml:space="preserve"> </w:t>
      </w:r>
      <w:r w:rsidR="003C3CD3" w:rsidRPr="00F91EC4">
        <w:rPr>
          <w:noProof/>
          <w:szCs w:val="24"/>
        </w:rPr>
        <w:t>T</w:t>
      </w:r>
      <w:r w:rsidR="00EC25D2" w:rsidRPr="00F91EC4">
        <w:rPr>
          <w:noProof/>
          <w:szCs w:val="24"/>
        </w:rPr>
        <w:t>his</w:t>
      </w:r>
      <w:r w:rsidR="003C3CD3" w:rsidRPr="00F91EC4">
        <w:rPr>
          <w:noProof/>
          <w:szCs w:val="24"/>
        </w:rPr>
        <w:t xml:space="preserve"> op</w:t>
      </w:r>
      <w:r w:rsidR="00EC25D2" w:rsidRPr="00F91EC4">
        <w:rPr>
          <w:noProof/>
          <w:szCs w:val="24"/>
        </w:rPr>
        <w:t>tion</w:t>
      </w:r>
      <w:r w:rsidR="003C3CD3" w:rsidRPr="00F91EC4">
        <w:rPr>
          <w:noProof/>
          <w:szCs w:val="24"/>
        </w:rPr>
        <w:t xml:space="preserve"> also</w:t>
      </w:r>
      <w:r w:rsidR="00AB5681" w:rsidRPr="00F91EC4">
        <w:rPr>
          <w:noProof/>
          <w:szCs w:val="24"/>
        </w:rPr>
        <w:t xml:space="preserve"> ensure</w:t>
      </w:r>
      <w:r w:rsidR="003C3CD3" w:rsidRPr="00F91EC4">
        <w:rPr>
          <w:noProof/>
          <w:szCs w:val="24"/>
        </w:rPr>
        <w:t>s</w:t>
      </w:r>
      <w:r w:rsidR="00AB5681" w:rsidRPr="00F91EC4">
        <w:rPr>
          <w:noProof/>
          <w:szCs w:val="24"/>
        </w:rPr>
        <w:t xml:space="preserve"> </w:t>
      </w:r>
      <w:r w:rsidR="00EC25D2" w:rsidRPr="00F91EC4">
        <w:rPr>
          <w:noProof/>
          <w:szCs w:val="24"/>
        </w:rPr>
        <w:t>improvement in total emissions</w:t>
      </w:r>
      <w:r w:rsidR="00AB5681" w:rsidRPr="00F91EC4">
        <w:rPr>
          <w:noProof/>
          <w:szCs w:val="24"/>
        </w:rPr>
        <w:t>, in particularly during cold start and in urban driving</w:t>
      </w:r>
      <w:r w:rsidR="003C3CD3" w:rsidRPr="00F91EC4">
        <w:rPr>
          <w:noProof/>
          <w:szCs w:val="24"/>
        </w:rPr>
        <w:t xml:space="preserve">, since </w:t>
      </w:r>
      <w:r w:rsidRPr="00F91EC4">
        <w:rPr>
          <w:noProof/>
          <w:szCs w:val="24"/>
        </w:rPr>
        <w:t xml:space="preserve">vehicles also need to comply with the emission limits during </w:t>
      </w:r>
      <w:r w:rsidR="003C3CD3" w:rsidRPr="00F91EC4">
        <w:rPr>
          <w:noProof/>
          <w:szCs w:val="24"/>
        </w:rPr>
        <w:t>short trips</w:t>
      </w:r>
      <w:r w:rsidR="00912BC6" w:rsidRPr="00F91EC4">
        <w:rPr>
          <w:noProof/>
          <w:szCs w:val="24"/>
        </w:rPr>
        <w:t xml:space="preserve">. </w:t>
      </w:r>
    </w:p>
    <w:p w14:paraId="7952B1CB" w14:textId="77777777" w:rsidR="00AB40AE" w:rsidRPr="00F91EC4" w:rsidRDefault="0058668A" w:rsidP="00AB40AE">
      <w:pPr>
        <w:spacing w:before="240"/>
        <w:rPr>
          <w:noProof/>
          <w:szCs w:val="24"/>
        </w:rPr>
      </w:pPr>
      <w:r w:rsidRPr="00F91EC4">
        <w:rPr>
          <w:noProof/>
          <w:szCs w:val="24"/>
        </w:rPr>
        <w:t>In terms of environmental benefits, the selected option brings significant reduction of emissions, only slightly lower than option 3a for cars and vans</w:t>
      </w:r>
      <w:r w:rsidR="00671F4F" w:rsidRPr="00F91EC4">
        <w:rPr>
          <w:noProof/>
          <w:szCs w:val="24"/>
        </w:rPr>
        <w:t>,</w:t>
      </w:r>
      <w:r w:rsidRPr="00F91EC4">
        <w:rPr>
          <w:noProof/>
          <w:szCs w:val="24"/>
        </w:rPr>
        <w:t xml:space="preserve"> since the </w:t>
      </w:r>
      <w:r w:rsidR="009C31BD" w:rsidRPr="00F91EC4">
        <w:rPr>
          <w:noProof/>
          <w:szCs w:val="24"/>
        </w:rPr>
        <w:t>higher</w:t>
      </w:r>
      <w:r w:rsidRPr="00F91EC4">
        <w:rPr>
          <w:noProof/>
          <w:szCs w:val="24"/>
        </w:rPr>
        <w:t xml:space="preserve"> emission limits </w:t>
      </w:r>
      <w:r w:rsidR="009C31BD" w:rsidRPr="00F91EC4">
        <w:rPr>
          <w:noProof/>
          <w:szCs w:val="24"/>
        </w:rPr>
        <w:t>are</w:t>
      </w:r>
      <w:r w:rsidRPr="00F91EC4">
        <w:rPr>
          <w:noProof/>
          <w:szCs w:val="24"/>
        </w:rPr>
        <w:t xml:space="preserve"> accompanied with improvements in testing conditions and compliance measures that were not foreseen in option 1. </w:t>
      </w:r>
      <w:r w:rsidR="00347D10">
        <w:rPr>
          <w:noProof/>
          <w:szCs w:val="24"/>
        </w:rPr>
        <w:t xml:space="preserve">A </w:t>
      </w:r>
      <w:r w:rsidR="00AB40AE">
        <w:rPr>
          <w:noProof/>
          <w:szCs w:val="24"/>
        </w:rPr>
        <w:t>NO</w:t>
      </w:r>
      <w:r w:rsidR="00AB40AE">
        <w:rPr>
          <w:noProof/>
          <w:szCs w:val="24"/>
          <w:vertAlign w:val="subscript"/>
        </w:rPr>
        <w:t>x</w:t>
      </w:r>
      <w:r w:rsidR="00AB40AE">
        <w:rPr>
          <w:noProof/>
          <w:szCs w:val="24"/>
        </w:rPr>
        <w:t xml:space="preserve"> reduction from cars/vans of more than 85% compared to 2018 levels and more than 80% from lorries/buses</w:t>
      </w:r>
      <w:r w:rsidR="00347D10">
        <w:rPr>
          <w:noProof/>
          <w:szCs w:val="24"/>
        </w:rPr>
        <w:t xml:space="preserve"> has been estimated with the selected measures by 2035</w:t>
      </w:r>
      <w:r w:rsidR="00AB40AE">
        <w:rPr>
          <w:noProof/>
          <w:szCs w:val="24"/>
        </w:rPr>
        <w:t xml:space="preserve">. </w:t>
      </w:r>
      <w:r w:rsidR="00347D10">
        <w:rPr>
          <w:noProof/>
          <w:szCs w:val="24"/>
        </w:rPr>
        <w:t>The</w:t>
      </w:r>
      <w:r w:rsidR="00AB40AE">
        <w:rPr>
          <w:noProof/>
          <w:szCs w:val="24"/>
        </w:rPr>
        <w:t xml:space="preserve"> total NOx by motor vehicles </w:t>
      </w:r>
      <w:r w:rsidR="00347D10">
        <w:rPr>
          <w:noProof/>
          <w:szCs w:val="24"/>
        </w:rPr>
        <w:t>are estimated to</w:t>
      </w:r>
      <w:r w:rsidR="00AB40AE">
        <w:rPr>
          <w:noProof/>
          <w:szCs w:val="24"/>
        </w:rPr>
        <w:t xml:space="preserve"> be cut in half </w:t>
      </w:r>
      <w:r w:rsidR="00347D10">
        <w:rPr>
          <w:noProof/>
          <w:szCs w:val="24"/>
        </w:rPr>
        <w:t xml:space="preserve">by 2035 </w:t>
      </w:r>
      <w:r w:rsidR="00AB40AE">
        <w:rPr>
          <w:noProof/>
          <w:szCs w:val="24"/>
        </w:rPr>
        <w:t xml:space="preserve">compared to the baseline. </w:t>
      </w:r>
    </w:p>
    <w:p w14:paraId="747BA6AA" w14:textId="77777777" w:rsidR="00AB40AE" w:rsidRPr="00F91EC4" w:rsidRDefault="00B2001B" w:rsidP="00E841FD">
      <w:pPr>
        <w:spacing w:before="240"/>
        <w:rPr>
          <w:noProof/>
          <w:szCs w:val="24"/>
        </w:rPr>
      </w:pPr>
      <w:r w:rsidRPr="00F91EC4">
        <w:rPr>
          <w:noProof/>
          <w:szCs w:val="24"/>
        </w:rPr>
        <w:t>Regulatory cost savings are expected to be the s</w:t>
      </w:r>
      <w:r w:rsidR="009C31BD" w:rsidRPr="00F91EC4">
        <w:rPr>
          <w:noProof/>
          <w:szCs w:val="24"/>
        </w:rPr>
        <w:t>ame as in option 3a. The product development cost</w:t>
      </w:r>
      <w:r w:rsidR="00325D53" w:rsidRPr="00F91EC4">
        <w:rPr>
          <w:noProof/>
          <w:szCs w:val="24"/>
        </w:rPr>
        <w:t>s</w:t>
      </w:r>
      <w:r w:rsidR="009C31BD" w:rsidRPr="00F91EC4">
        <w:rPr>
          <w:noProof/>
          <w:szCs w:val="24"/>
        </w:rPr>
        <w:t xml:space="preserve"> for industry</w:t>
      </w:r>
      <w:r w:rsidRPr="00F91EC4">
        <w:rPr>
          <w:noProof/>
          <w:szCs w:val="24"/>
        </w:rPr>
        <w:t xml:space="preserve"> are significantly reduced since the new option will</w:t>
      </w:r>
      <w:r w:rsidR="009C31BD" w:rsidRPr="00F91EC4">
        <w:rPr>
          <w:noProof/>
          <w:szCs w:val="24"/>
        </w:rPr>
        <w:t xml:space="preserve"> not require redesign of vehicles, but compliance can be achieved with</w:t>
      </w:r>
      <w:r w:rsidRPr="00F91EC4">
        <w:rPr>
          <w:noProof/>
          <w:szCs w:val="24"/>
        </w:rPr>
        <w:t xml:space="preserve"> </w:t>
      </w:r>
      <w:r w:rsidR="00DC2CEB" w:rsidRPr="00F91EC4">
        <w:rPr>
          <w:noProof/>
          <w:szCs w:val="24"/>
        </w:rPr>
        <w:t>currently used</w:t>
      </w:r>
      <w:r w:rsidRPr="00F91EC4">
        <w:rPr>
          <w:noProof/>
          <w:szCs w:val="24"/>
        </w:rPr>
        <w:t xml:space="preserve"> technologies</w:t>
      </w:r>
      <w:r w:rsidR="009C31BD" w:rsidRPr="00F91EC4">
        <w:rPr>
          <w:noProof/>
          <w:szCs w:val="24"/>
        </w:rPr>
        <w:t xml:space="preserve"> for emission controls</w:t>
      </w:r>
      <w:r w:rsidR="00902F6B">
        <w:rPr>
          <w:noProof/>
          <w:szCs w:val="24"/>
        </w:rPr>
        <w:t xml:space="preserve"> and recalibration</w:t>
      </w:r>
      <w:r w:rsidR="009C31BD" w:rsidRPr="00F91EC4">
        <w:rPr>
          <w:noProof/>
          <w:szCs w:val="24"/>
        </w:rPr>
        <w:t xml:space="preserve">. </w:t>
      </w:r>
      <w:r w:rsidR="00C4028F" w:rsidRPr="00F91EC4">
        <w:rPr>
          <w:noProof/>
          <w:szCs w:val="24"/>
        </w:rPr>
        <w:t xml:space="preserve">The regulatory costs are expected to be significantly reduced and be </w:t>
      </w:r>
      <w:r w:rsidR="00A37163">
        <w:rPr>
          <w:noProof/>
          <w:szCs w:val="24"/>
        </w:rPr>
        <w:t xml:space="preserve">in between </w:t>
      </w:r>
      <w:r w:rsidR="00C4028F" w:rsidRPr="00F91EC4">
        <w:rPr>
          <w:noProof/>
          <w:szCs w:val="24"/>
        </w:rPr>
        <w:t>those for option 1</w:t>
      </w:r>
      <w:r w:rsidR="00A37163">
        <w:rPr>
          <w:noProof/>
          <w:szCs w:val="24"/>
        </w:rPr>
        <w:t xml:space="preserve"> and option 3a</w:t>
      </w:r>
      <w:r w:rsidR="00C4028F" w:rsidRPr="00F91EC4">
        <w:rPr>
          <w:noProof/>
          <w:szCs w:val="24"/>
        </w:rPr>
        <w:t>.</w:t>
      </w:r>
      <w:r w:rsidR="00AB40AE">
        <w:rPr>
          <w:noProof/>
          <w:szCs w:val="24"/>
        </w:rPr>
        <w:t xml:space="preserve"> In total, </w:t>
      </w:r>
      <w:r w:rsidR="00721F04">
        <w:rPr>
          <w:noProof/>
          <w:szCs w:val="24"/>
        </w:rPr>
        <w:t>the selected measures are expected to b</w:t>
      </w:r>
      <w:r w:rsidR="00A37163">
        <w:rPr>
          <w:noProof/>
          <w:szCs w:val="24"/>
        </w:rPr>
        <w:t>ring a net benefit similar</w:t>
      </w:r>
      <w:r w:rsidR="00986AD3">
        <w:rPr>
          <w:noProof/>
          <w:szCs w:val="24"/>
        </w:rPr>
        <w:t xml:space="preserve"> or higher</w:t>
      </w:r>
      <w:r w:rsidR="00A37163">
        <w:rPr>
          <w:noProof/>
          <w:szCs w:val="24"/>
        </w:rPr>
        <w:t xml:space="preserve"> </w:t>
      </w:r>
      <w:r w:rsidR="00986AD3">
        <w:rPr>
          <w:noProof/>
          <w:szCs w:val="24"/>
        </w:rPr>
        <w:t xml:space="preserve"> than for</w:t>
      </w:r>
      <w:r w:rsidR="00A37163">
        <w:rPr>
          <w:noProof/>
          <w:szCs w:val="24"/>
        </w:rPr>
        <w:t xml:space="preserve"> option</w:t>
      </w:r>
      <w:r w:rsidR="00986AD3">
        <w:rPr>
          <w:noProof/>
          <w:szCs w:val="24"/>
        </w:rPr>
        <w:t xml:space="preserve"> 3a</w:t>
      </w:r>
      <w:r w:rsidR="00A37163">
        <w:rPr>
          <w:noProof/>
          <w:szCs w:val="24"/>
        </w:rPr>
        <w:t>, bringing significant emission savings</w:t>
      </w:r>
      <w:r w:rsidR="00FB0647">
        <w:rPr>
          <w:noProof/>
          <w:szCs w:val="24"/>
        </w:rPr>
        <w:t xml:space="preserve"> </w:t>
      </w:r>
      <w:r w:rsidR="00A37163">
        <w:rPr>
          <w:noProof/>
          <w:szCs w:val="24"/>
        </w:rPr>
        <w:t xml:space="preserve"> with </w:t>
      </w:r>
      <w:r w:rsidR="00FB0647">
        <w:rPr>
          <w:noProof/>
          <w:szCs w:val="24"/>
        </w:rPr>
        <w:t xml:space="preserve"> limited adjustment</w:t>
      </w:r>
      <w:r w:rsidR="00A37163">
        <w:rPr>
          <w:noProof/>
          <w:szCs w:val="24"/>
        </w:rPr>
        <w:t xml:space="preserve"> cost</w:t>
      </w:r>
      <w:r w:rsidR="00FB0647">
        <w:rPr>
          <w:noProof/>
          <w:szCs w:val="24"/>
        </w:rPr>
        <w:t>s</w:t>
      </w:r>
      <w:r w:rsidR="00A37163">
        <w:rPr>
          <w:noProof/>
          <w:szCs w:val="24"/>
        </w:rPr>
        <w:t xml:space="preserve">. </w:t>
      </w:r>
    </w:p>
    <w:p w14:paraId="46B5B394"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Regulatory fitness and simplification</w:t>
      </w:r>
    </w:p>
    <w:p w14:paraId="43B71D4A" w14:textId="77777777" w:rsidR="00254F2C" w:rsidRPr="00F91EC4" w:rsidRDefault="00254F2C" w:rsidP="00254F2C">
      <w:pPr>
        <w:spacing w:before="0" w:after="240"/>
        <w:rPr>
          <w:iCs/>
          <w:noProof/>
          <w:lang w:eastAsia="de-DE"/>
        </w:rPr>
      </w:pPr>
      <w:r w:rsidRPr="00F91EC4">
        <w:rPr>
          <w:iCs/>
          <w:noProof/>
          <w:lang w:eastAsia="de-DE"/>
        </w:rPr>
        <w:t xml:space="preserve">In line with the Commission commitment to Better Regulation, the proposal has been prepared inclusively, based on transparency and continuous engagement with stakeholders. </w:t>
      </w:r>
    </w:p>
    <w:p w14:paraId="62EB88A1" w14:textId="77777777" w:rsidR="00173C29" w:rsidRPr="00F91EC4" w:rsidRDefault="00254F2C" w:rsidP="00C77D07">
      <w:pPr>
        <w:rPr>
          <w:noProof/>
          <w:szCs w:val="24"/>
        </w:rPr>
      </w:pPr>
      <w:r w:rsidRPr="00F91EC4">
        <w:rPr>
          <w:noProof/>
        </w:rPr>
        <w:t xml:space="preserve">SMEs </w:t>
      </w:r>
      <w:r w:rsidR="00721F0C" w:rsidRPr="00F91EC4">
        <w:rPr>
          <w:noProof/>
        </w:rPr>
        <w:t>(reference IA)</w:t>
      </w:r>
      <w:r w:rsidR="00123CA3" w:rsidRPr="00F91EC4">
        <w:rPr>
          <w:noProof/>
        </w:rPr>
        <w:t xml:space="preserve">:  </w:t>
      </w:r>
      <w:r w:rsidR="00C131FF" w:rsidRPr="00F91EC4">
        <w:rPr>
          <w:noProof/>
          <w:szCs w:val="24"/>
        </w:rPr>
        <w:t>The Impact Assessment found that European automotive industry mostly comprises of large manufacturers active in vehicle assembly and component production. Some SMEs manufacture vehicles or systems that require an EU emission type-approval. 35 SMEs were identified</w:t>
      </w:r>
      <w:r w:rsidR="00EB7371" w:rsidRPr="00F91EC4">
        <w:rPr>
          <w:noProof/>
          <w:szCs w:val="24"/>
        </w:rPr>
        <w:t xml:space="preserve"> that build</w:t>
      </w:r>
      <w:r w:rsidR="00C131FF" w:rsidRPr="00F91EC4">
        <w:rPr>
          <w:noProof/>
          <w:szCs w:val="24"/>
        </w:rPr>
        <w:t xml:space="preserve"> specialised vehicles on the basis of powertrains produced by larger manufacturers. </w:t>
      </w:r>
      <w:r w:rsidR="00DC05B5" w:rsidRPr="00F91EC4">
        <w:rPr>
          <w:noProof/>
          <w:szCs w:val="24"/>
        </w:rPr>
        <w:t xml:space="preserve">Simplified rules are proposed for small volume manufacturers, to take into account the specificities linked with limited production. </w:t>
      </w:r>
    </w:p>
    <w:p w14:paraId="00E58626" w14:textId="17F5A886" w:rsidR="00DB3652" w:rsidRPr="00F91EC4" w:rsidRDefault="00CB0033">
      <w:pPr>
        <w:spacing w:before="0" w:after="240"/>
        <w:rPr>
          <w:rFonts w:eastAsia="Times New Roman"/>
          <w:iCs/>
          <w:noProof/>
          <w:szCs w:val="23"/>
          <w:lang w:eastAsia="nl-NL"/>
        </w:rPr>
      </w:pPr>
      <w:r w:rsidRPr="00F91EC4">
        <w:rPr>
          <w:iCs/>
          <w:noProof/>
          <w:lang w:eastAsia="de-DE"/>
        </w:rPr>
        <w:t xml:space="preserve">Cost savings: </w:t>
      </w:r>
      <w:r w:rsidR="00DB3652" w:rsidRPr="00F91EC4">
        <w:rPr>
          <w:iCs/>
          <w:noProof/>
          <w:lang w:eastAsia="de-DE"/>
        </w:rPr>
        <w:t xml:space="preserve">The Impact Assessment has also analysed how to possibly simplify the legislation and reduce unnecessary </w:t>
      </w:r>
      <w:r w:rsidR="008627C4" w:rsidRPr="00F91EC4">
        <w:rPr>
          <w:iCs/>
          <w:noProof/>
          <w:lang w:eastAsia="de-DE"/>
        </w:rPr>
        <w:t xml:space="preserve">compliance and </w:t>
      </w:r>
      <w:r w:rsidR="00DB3652" w:rsidRPr="00F91EC4">
        <w:rPr>
          <w:iCs/>
          <w:noProof/>
          <w:lang w:eastAsia="de-DE"/>
        </w:rPr>
        <w:t xml:space="preserve">administrative costs. </w:t>
      </w:r>
      <w:r w:rsidR="0053432E" w:rsidRPr="00F91EC4">
        <w:rPr>
          <w:iCs/>
          <w:noProof/>
          <w:lang w:eastAsia="de-DE"/>
        </w:rPr>
        <w:t xml:space="preserve">While the proposal increases regulatory costs for vehicle manufacturers in the form of hardware costs for </w:t>
      </w:r>
      <w:r w:rsidR="00502DB3" w:rsidRPr="00F91EC4">
        <w:rPr>
          <w:iCs/>
          <w:noProof/>
          <w:lang w:eastAsia="de-DE"/>
        </w:rPr>
        <w:t xml:space="preserve">pollution </w:t>
      </w:r>
      <w:r w:rsidR="001931AB" w:rsidRPr="00F91EC4">
        <w:rPr>
          <w:iCs/>
          <w:noProof/>
          <w:lang w:eastAsia="de-DE"/>
        </w:rPr>
        <w:t>control technologies and sensors;</w:t>
      </w:r>
      <w:r w:rsidR="0053432E" w:rsidRPr="00F91EC4">
        <w:rPr>
          <w:iCs/>
          <w:noProof/>
          <w:lang w:eastAsia="de-DE"/>
        </w:rPr>
        <w:t xml:space="preserve"> and R&amp;D </w:t>
      </w:r>
      <w:r w:rsidR="001931AB" w:rsidRPr="00F91EC4">
        <w:rPr>
          <w:iCs/>
          <w:noProof/>
          <w:lang w:eastAsia="de-DE"/>
        </w:rPr>
        <w:t xml:space="preserve">and related calibration </w:t>
      </w:r>
      <w:r w:rsidR="0053432E" w:rsidRPr="00F91EC4">
        <w:rPr>
          <w:iCs/>
          <w:noProof/>
          <w:lang w:eastAsia="de-DE"/>
        </w:rPr>
        <w:t xml:space="preserve">costs, the proposals also brings </w:t>
      </w:r>
      <w:r w:rsidR="008627C4" w:rsidRPr="00F91EC4">
        <w:rPr>
          <w:iCs/>
          <w:noProof/>
          <w:lang w:eastAsia="de-DE"/>
        </w:rPr>
        <w:t xml:space="preserve">compliance </w:t>
      </w:r>
      <w:r w:rsidR="0053432E" w:rsidRPr="00F91EC4">
        <w:rPr>
          <w:iCs/>
          <w:noProof/>
          <w:lang w:eastAsia="de-DE"/>
        </w:rPr>
        <w:t>cost savings</w:t>
      </w:r>
      <w:r w:rsidR="001931AB" w:rsidRPr="00F91EC4">
        <w:rPr>
          <w:iCs/>
          <w:noProof/>
          <w:lang w:eastAsia="de-DE"/>
        </w:rPr>
        <w:t xml:space="preserve"> </w:t>
      </w:r>
      <w:r w:rsidR="001931AB" w:rsidRPr="00F91EC4">
        <w:rPr>
          <w:noProof/>
          <w:szCs w:val="24"/>
        </w:rPr>
        <w:t>during testing, witnessing of tests by type-approval authorities, type-approval fees as well as administrative costs savings</w:t>
      </w:r>
      <w:r w:rsidR="001931AB" w:rsidRPr="00F91EC4">
        <w:rPr>
          <w:iCs/>
          <w:noProof/>
          <w:lang w:eastAsia="de-DE"/>
        </w:rPr>
        <w:t xml:space="preserve">. </w:t>
      </w:r>
      <w:r w:rsidR="00DB3652" w:rsidRPr="00F91EC4">
        <w:rPr>
          <w:iCs/>
          <w:noProof/>
          <w:lang w:eastAsia="de-DE"/>
        </w:rPr>
        <w:t xml:space="preserve">In particular, administrative burden would decrease </w:t>
      </w:r>
      <w:r w:rsidR="001931AB" w:rsidRPr="00F91EC4">
        <w:rPr>
          <w:noProof/>
        </w:rPr>
        <w:t xml:space="preserve">through the introduction of simplification measures and </w:t>
      </w:r>
      <w:r w:rsidR="00DB3652" w:rsidRPr="00F91EC4">
        <w:rPr>
          <w:rFonts w:eastAsia="Times New Roman"/>
          <w:noProof/>
          <w:szCs w:val="23"/>
          <w:lang w:eastAsia="nl-NL"/>
        </w:rPr>
        <w:t xml:space="preserve">the </w:t>
      </w:r>
      <w:r w:rsidR="00DB3652" w:rsidRPr="00F91EC4">
        <w:rPr>
          <w:rFonts w:eastAsia="Times New Roman"/>
          <w:iCs/>
          <w:noProof/>
          <w:szCs w:val="23"/>
          <w:lang w:eastAsia="nl-NL"/>
        </w:rPr>
        <w:t>new requirements for continuous emission monitoring. The latter are expected to further simplify the reporting and other information provision obligations for granting type-approval and verification procedures through reduced number of type-approvals. In option</w:t>
      </w:r>
      <w:r w:rsidR="00FB0647">
        <w:rPr>
          <w:rFonts w:eastAsia="Times New Roman"/>
          <w:iCs/>
          <w:noProof/>
          <w:szCs w:val="23"/>
          <w:lang w:eastAsia="nl-NL"/>
        </w:rPr>
        <w:t xml:space="preserve"> 3a</w:t>
      </w:r>
      <w:r w:rsidR="00DB3652" w:rsidRPr="00F91EC4">
        <w:rPr>
          <w:rFonts w:eastAsia="Times New Roman"/>
          <w:iCs/>
          <w:noProof/>
          <w:szCs w:val="23"/>
          <w:lang w:eastAsia="nl-NL"/>
        </w:rPr>
        <w:t xml:space="preserve">, administrative cost savings are estimated at €224 thousand per type-approval (€22 per vehicle) for diesel cars/vans and at €204 thousand per </w:t>
      </w:r>
      <w:r w:rsidR="00976BDB" w:rsidRPr="00F91EC4">
        <w:rPr>
          <w:rFonts w:eastAsia="Times New Roman"/>
          <w:iCs/>
          <w:noProof/>
          <w:szCs w:val="23"/>
          <w:lang w:eastAsia="nl-NL"/>
        </w:rPr>
        <w:t>type-approval</w:t>
      </w:r>
      <w:r w:rsidR="00DB3652" w:rsidRPr="00F91EC4">
        <w:rPr>
          <w:rFonts w:eastAsia="Times New Roman"/>
          <w:iCs/>
          <w:noProof/>
          <w:szCs w:val="23"/>
          <w:lang w:eastAsia="nl-NL"/>
        </w:rPr>
        <w:t xml:space="preserve"> for petrol cars/vans (€26 per vehicle). For lorries/buses, the administrative cost savings in </w:t>
      </w:r>
      <w:r w:rsidR="00BF137B">
        <w:rPr>
          <w:rFonts w:eastAsia="Times New Roman"/>
          <w:iCs/>
          <w:noProof/>
          <w:szCs w:val="23"/>
          <w:lang w:eastAsia="nl-NL"/>
        </w:rPr>
        <w:t xml:space="preserve">option </w:t>
      </w:r>
      <w:r w:rsidR="00DB3652" w:rsidRPr="00F91EC4">
        <w:rPr>
          <w:rFonts w:eastAsia="Times New Roman"/>
          <w:iCs/>
          <w:noProof/>
          <w:szCs w:val="23"/>
          <w:lang w:eastAsia="nl-NL"/>
        </w:rPr>
        <w:t xml:space="preserve">3a amount up to €66 thousand per diesel type-approval (€22 per vehicle) and €67 thousand per petrol type-approval (€47 per vehicle). </w:t>
      </w:r>
      <w:r w:rsidR="00C4028F" w:rsidRPr="00F91EC4">
        <w:rPr>
          <w:rFonts w:eastAsia="Times New Roman"/>
          <w:iCs/>
          <w:noProof/>
          <w:szCs w:val="23"/>
          <w:lang w:eastAsia="nl-NL"/>
        </w:rPr>
        <w:t>In the finally selected options, all costs for cars/vans are expected to be lower.</w:t>
      </w:r>
    </w:p>
    <w:p w14:paraId="00580460" w14:textId="77777777" w:rsidR="00682B8A" w:rsidRPr="00F91EC4" w:rsidRDefault="001931AB" w:rsidP="00682B8A">
      <w:pPr>
        <w:spacing w:before="240"/>
        <w:rPr>
          <w:rFonts w:eastAsia="Times New Roman"/>
          <w:noProof/>
          <w:szCs w:val="24"/>
        </w:rPr>
      </w:pPr>
      <w:r w:rsidRPr="00F91EC4">
        <w:rPr>
          <w:noProof/>
          <w:szCs w:val="24"/>
        </w:rPr>
        <w:t xml:space="preserve">Competitiveness: </w:t>
      </w:r>
      <w:r w:rsidR="00CB0033" w:rsidRPr="00F91EC4">
        <w:rPr>
          <w:noProof/>
        </w:rPr>
        <w:t xml:space="preserve">Despite </w:t>
      </w:r>
      <w:r w:rsidR="00682B8A" w:rsidRPr="00F91EC4">
        <w:rPr>
          <w:noProof/>
        </w:rPr>
        <w:t xml:space="preserve">regulatory costs for industry and </w:t>
      </w:r>
      <w:r w:rsidR="00682B8A" w:rsidRPr="00F91EC4">
        <w:rPr>
          <w:noProof/>
          <w:szCs w:val="24"/>
        </w:rPr>
        <w:t>cumulative investments with CO</w:t>
      </w:r>
      <w:r w:rsidR="00682B8A" w:rsidRPr="00F91EC4">
        <w:rPr>
          <w:noProof/>
          <w:szCs w:val="24"/>
          <w:vertAlign w:val="subscript"/>
        </w:rPr>
        <w:t>2</w:t>
      </w:r>
      <w:r w:rsidR="00682B8A" w:rsidRPr="00F91EC4">
        <w:rPr>
          <w:noProof/>
          <w:szCs w:val="24"/>
        </w:rPr>
        <w:t xml:space="preserve"> emission standards</w:t>
      </w:r>
      <w:r w:rsidR="00682B8A" w:rsidRPr="00F91EC4">
        <w:rPr>
          <w:noProof/>
        </w:rPr>
        <w:t xml:space="preserve">, </w:t>
      </w:r>
      <w:r w:rsidR="00CB0033" w:rsidRPr="00F91EC4">
        <w:rPr>
          <w:noProof/>
        </w:rPr>
        <w:t xml:space="preserve">the </w:t>
      </w:r>
      <w:r w:rsidR="00FB0647">
        <w:rPr>
          <w:noProof/>
        </w:rPr>
        <w:t xml:space="preserve">proposal </w:t>
      </w:r>
      <w:r w:rsidR="00CB0033" w:rsidRPr="00F91EC4">
        <w:rPr>
          <w:noProof/>
        </w:rPr>
        <w:t>is</w:t>
      </w:r>
      <w:r w:rsidR="00682B8A" w:rsidRPr="00F91EC4">
        <w:rPr>
          <w:noProof/>
        </w:rPr>
        <w:t xml:space="preserve"> expected to have a positive effect on competitiveness. This is due to new market opportunities stemming from the development of new sensors along with communication protocols, cybersecurity and anti-tampering options. </w:t>
      </w:r>
      <w:r w:rsidR="00DC05B5" w:rsidRPr="00F91EC4">
        <w:rPr>
          <w:noProof/>
        </w:rPr>
        <w:t>The use of advanced digital and clean technologies, will be an asset</w:t>
      </w:r>
      <w:r w:rsidR="00342009" w:rsidRPr="00F91EC4">
        <w:rPr>
          <w:noProof/>
        </w:rPr>
        <w:t xml:space="preserve"> in </w:t>
      </w:r>
      <w:r w:rsidR="00DC05B5" w:rsidRPr="00F91EC4">
        <w:rPr>
          <w:noProof/>
        </w:rPr>
        <w:t xml:space="preserve">gaining access to international key markets, in particular United States and China. </w:t>
      </w:r>
    </w:p>
    <w:p w14:paraId="4BAC7C91" w14:textId="77777777" w:rsidR="006E605B" w:rsidRPr="006D52E1" w:rsidRDefault="00CB0033" w:rsidP="006D244F">
      <w:pPr>
        <w:pStyle w:val="ListParagraph"/>
        <w:ind w:left="0"/>
        <w:rPr>
          <w:rFonts w:eastAsia="Times New Roman"/>
          <w:noProof/>
          <w:szCs w:val="24"/>
        </w:rPr>
      </w:pPr>
      <w:r w:rsidRPr="00F91EC4">
        <w:rPr>
          <w:rFonts w:eastAsia="Times New Roman"/>
          <w:noProof/>
          <w:szCs w:val="24"/>
        </w:rPr>
        <w:t xml:space="preserve">Digital: </w:t>
      </w:r>
      <w:r w:rsidR="00DF458A" w:rsidRPr="00F91EC4">
        <w:rPr>
          <w:rFonts w:eastAsia="Times New Roman"/>
          <w:noProof/>
          <w:szCs w:val="24"/>
        </w:rPr>
        <w:t xml:space="preserve">As aimed high in the </w:t>
      </w:r>
      <w:r w:rsidR="00EF26CF" w:rsidRPr="00F91EC4">
        <w:rPr>
          <w:rFonts w:eastAsia="Times New Roman"/>
          <w:noProof/>
          <w:szCs w:val="24"/>
        </w:rPr>
        <w:t>Digital Decade initiative</w:t>
      </w:r>
      <w:r w:rsidR="00DF458A" w:rsidRPr="00F91EC4">
        <w:rPr>
          <w:rStyle w:val="FootnoteReference"/>
          <w:rFonts w:eastAsia="Times New Roman"/>
          <w:noProof/>
          <w:szCs w:val="24"/>
        </w:rPr>
        <w:footnoteReference w:id="38"/>
      </w:r>
      <w:r w:rsidR="00DF458A" w:rsidRPr="00F91EC4">
        <w:rPr>
          <w:rFonts w:eastAsia="Times New Roman"/>
          <w:noProof/>
          <w:szCs w:val="24"/>
        </w:rPr>
        <w:t>, all sectors should undergo digital transformation</w:t>
      </w:r>
      <w:r w:rsidR="00EF26CF" w:rsidRPr="00F91EC4">
        <w:rPr>
          <w:rFonts w:eastAsia="Times New Roman"/>
          <w:noProof/>
          <w:szCs w:val="24"/>
        </w:rPr>
        <w:t xml:space="preserve"> which will largely contribute to the green transformation</w:t>
      </w:r>
      <w:r w:rsidR="00DF458A" w:rsidRPr="00F91EC4">
        <w:rPr>
          <w:rFonts w:eastAsia="Times New Roman"/>
          <w:noProof/>
          <w:szCs w:val="24"/>
        </w:rPr>
        <w:t xml:space="preserve">, including </w:t>
      </w:r>
      <w:r w:rsidR="00EF26CF" w:rsidRPr="00F91EC4">
        <w:rPr>
          <w:rFonts w:eastAsia="Times New Roman"/>
          <w:noProof/>
          <w:szCs w:val="24"/>
        </w:rPr>
        <w:t xml:space="preserve">for </w:t>
      </w:r>
      <w:r w:rsidR="00DF458A" w:rsidRPr="00F91EC4">
        <w:rPr>
          <w:rFonts w:eastAsia="Times New Roman"/>
          <w:noProof/>
          <w:szCs w:val="24"/>
        </w:rPr>
        <w:t xml:space="preserve">the road transport, to reach zero-pollution ambition for a toxic-free environment. </w:t>
      </w:r>
      <w:r w:rsidRPr="00F91EC4">
        <w:rPr>
          <w:rFonts w:eastAsia="Times New Roman"/>
          <w:noProof/>
          <w:szCs w:val="24"/>
        </w:rPr>
        <w:t xml:space="preserve">The </w:t>
      </w:r>
      <w:r w:rsidR="00FB0647">
        <w:rPr>
          <w:rFonts w:eastAsia="Times New Roman"/>
          <w:noProof/>
          <w:szCs w:val="24"/>
        </w:rPr>
        <w:t xml:space="preserve">proposal </w:t>
      </w:r>
      <w:r w:rsidRPr="00F91EC4">
        <w:rPr>
          <w:rFonts w:eastAsia="Times New Roman"/>
          <w:noProof/>
          <w:szCs w:val="24"/>
        </w:rPr>
        <w:t xml:space="preserve">entails additional coherence with the </w:t>
      </w:r>
      <w:r w:rsidR="00DF458A" w:rsidRPr="00F91EC4">
        <w:rPr>
          <w:rFonts w:eastAsia="Times New Roman"/>
          <w:noProof/>
          <w:szCs w:val="24"/>
        </w:rPr>
        <w:t>twin transition</w:t>
      </w:r>
      <w:r w:rsidRPr="00F91EC4">
        <w:rPr>
          <w:rFonts w:eastAsia="Times New Roman"/>
          <w:noProof/>
          <w:szCs w:val="24"/>
        </w:rPr>
        <w:t xml:space="preserve"> as it support the reduction of emission over vehicles’ lifetimes</w:t>
      </w:r>
      <w:r w:rsidRPr="00F91EC4">
        <w:rPr>
          <w:noProof/>
        </w:rPr>
        <w:t xml:space="preserve"> by introducing continuous emission monitoring and vehicle connectivity</w:t>
      </w:r>
      <w:r w:rsidR="00DF458A" w:rsidRPr="00F91EC4">
        <w:rPr>
          <w:noProof/>
        </w:rPr>
        <w:t>.</w:t>
      </w:r>
      <w:r w:rsidR="006D244F">
        <w:rPr>
          <w:noProof/>
        </w:rPr>
        <w:t xml:space="preserve"> </w:t>
      </w:r>
      <w:r w:rsidR="006D244F" w:rsidRPr="006D52E1">
        <w:rPr>
          <w:rFonts w:eastAsia="Times New Roman"/>
          <w:noProof/>
          <w:szCs w:val="24"/>
        </w:rPr>
        <w:t xml:space="preserve">National Type Approval Authorities should </w:t>
      </w:r>
      <w:r w:rsidR="006D244F">
        <w:rPr>
          <w:rFonts w:eastAsia="Times New Roman"/>
          <w:noProof/>
          <w:szCs w:val="24"/>
        </w:rPr>
        <w:t xml:space="preserve">also preferably </w:t>
      </w:r>
      <w:r w:rsidR="006D244F" w:rsidRPr="006D52E1">
        <w:rPr>
          <w:rFonts w:eastAsia="Times New Roman"/>
          <w:noProof/>
          <w:szCs w:val="24"/>
        </w:rPr>
        <w:t xml:space="preserve">deliver services digitally (including machine readable information). </w:t>
      </w:r>
      <w:r w:rsidR="006D244F">
        <w:rPr>
          <w:rFonts w:eastAsia="Times New Roman"/>
          <w:noProof/>
          <w:szCs w:val="24"/>
        </w:rPr>
        <w:t>This</w:t>
      </w:r>
      <w:r w:rsidR="006D244F" w:rsidRPr="006D52E1">
        <w:rPr>
          <w:rFonts w:eastAsia="Times New Roman"/>
          <w:noProof/>
          <w:szCs w:val="24"/>
        </w:rPr>
        <w:t xml:space="preserve"> contributes to achieving a</w:t>
      </w:r>
      <w:r w:rsidR="006E605B">
        <w:rPr>
          <w:rFonts w:eastAsia="Times New Roman"/>
          <w:noProof/>
          <w:szCs w:val="24"/>
        </w:rPr>
        <w:t>n effective</w:t>
      </w:r>
      <w:r w:rsidR="006D244F" w:rsidRPr="006D52E1">
        <w:rPr>
          <w:rFonts w:eastAsia="Times New Roman"/>
          <w:noProof/>
          <w:szCs w:val="24"/>
        </w:rPr>
        <w:t xml:space="preserve"> digital society and economy</w:t>
      </w:r>
      <w:r w:rsidR="006D244F">
        <w:rPr>
          <w:rFonts w:eastAsia="Times New Roman"/>
          <w:noProof/>
          <w:szCs w:val="24"/>
        </w:rPr>
        <w:t xml:space="preserve"> (Digital by default).</w:t>
      </w:r>
    </w:p>
    <w:p w14:paraId="333393AA" w14:textId="77777777" w:rsidR="002973DF" w:rsidRPr="00F91EC4" w:rsidRDefault="002973DF" w:rsidP="006D52E1">
      <w:pPr>
        <w:rPr>
          <w:noProof/>
        </w:rPr>
      </w:pPr>
      <w:r w:rsidRPr="002973DF">
        <w:rPr>
          <w:noProof/>
          <w:szCs w:val="24"/>
        </w:rPr>
        <w:t>The initiative is consistent with the do not significant harm principle, as it contributes to the objectives of the green transition of the European Green Deal (in particular sustainable mobility</w:t>
      </w:r>
      <w:r w:rsidR="006E605B">
        <w:rPr>
          <w:noProof/>
          <w:szCs w:val="24"/>
        </w:rPr>
        <w:t xml:space="preserve"> and zero pollution ambition</w:t>
      </w:r>
      <w:r w:rsidRPr="002973DF">
        <w:rPr>
          <w:noProof/>
          <w:szCs w:val="24"/>
        </w:rPr>
        <w:t>). It ensures that transport becomes less polluting, especially in cities and is considered as a vital part of the transition towards clean mobility. The Impact Assessment has established that the options are not expected to do significant harm to any of the environmental Sustainable Development Goals (SDGs)</w:t>
      </w:r>
      <w:r w:rsidR="006E605B">
        <w:rPr>
          <w:rStyle w:val="FootnoteReference"/>
          <w:noProof/>
          <w:szCs w:val="24"/>
        </w:rPr>
        <w:footnoteReference w:id="39"/>
      </w:r>
      <w:r w:rsidR="006E605B">
        <w:rPr>
          <w:rFonts w:ascii="Arial" w:hAnsi="Arial" w:cs="Arial"/>
          <w:noProof/>
          <w:color w:val="4F81BD"/>
          <w:spacing w:val="4"/>
          <w:sz w:val="21"/>
          <w:szCs w:val="21"/>
          <w:shd w:val="clear" w:color="auto" w:fill="FFFFFF"/>
        </w:rPr>
        <w:t>.</w:t>
      </w:r>
      <w:r w:rsidR="006D244F">
        <w:rPr>
          <w:rFonts w:ascii="Arial" w:hAnsi="Arial" w:cs="Arial"/>
          <w:noProof/>
          <w:color w:val="4F81BD"/>
          <w:spacing w:val="4"/>
          <w:sz w:val="21"/>
          <w:szCs w:val="21"/>
          <w:shd w:val="clear" w:color="auto" w:fill="FFFFFF"/>
        </w:rPr>
        <w:t xml:space="preserve"> </w:t>
      </w:r>
    </w:p>
    <w:p w14:paraId="5CB4ABAF"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Fundamental rights</w:t>
      </w:r>
    </w:p>
    <w:p w14:paraId="1A2B4AFE" w14:textId="77777777" w:rsidR="00953EC3" w:rsidRPr="00C257E1" w:rsidRDefault="00953EC3" w:rsidP="00953EC3">
      <w:pPr>
        <w:spacing w:before="0" w:after="240"/>
        <w:rPr>
          <w:noProof/>
        </w:rPr>
      </w:pPr>
      <w:r w:rsidRPr="00F91EC4">
        <w:rPr>
          <w:noProof/>
        </w:rPr>
        <w:t>This proposal has no consequences for the protection of fundamental rights</w:t>
      </w:r>
      <w:r w:rsidR="006D244F">
        <w:rPr>
          <w:noProof/>
        </w:rPr>
        <w:t xml:space="preserve"> </w:t>
      </w:r>
      <w:r w:rsidR="006D244F" w:rsidRPr="00C257E1">
        <w:rPr>
          <w:noProof/>
        </w:rPr>
        <w:t>and equality. It has no differential impact due to gender.</w:t>
      </w:r>
    </w:p>
    <w:p w14:paraId="09E8B3C4" w14:textId="77777777" w:rsidR="009439C4" w:rsidRPr="00F91EC4" w:rsidRDefault="009439C4" w:rsidP="00C24E66">
      <w:pPr>
        <w:pStyle w:val="ManualHeading1"/>
        <w:rPr>
          <w:noProof/>
        </w:rPr>
      </w:pPr>
      <w:r w:rsidRPr="00F91EC4">
        <w:rPr>
          <w:noProof/>
        </w:rPr>
        <w:t>4.</w:t>
      </w:r>
      <w:r w:rsidRPr="00F91EC4">
        <w:rPr>
          <w:noProof/>
        </w:rPr>
        <w:tab/>
        <w:t>BUDGETARY IMPLICATIONS</w:t>
      </w:r>
    </w:p>
    <w:p w14:paraId="3F45103D" w14:textId="77777777" w:rsidR="009439C4" w:rsidRPr="00F91EC4" w:rsidRDefault="00953EC3" w:rsidP="00C24E66">
      <w:pPr>
        <w:pBdr>
          <w:top w:val="nil"/>
          <w:left w:val="nil"/>
          <w:bottom w:val="nil"/>
          <w:right w:val="nil"/>
          <w:between w:val="nil"/>
          <w:bar w:val="nil"/>
        </w:pBdr>
        <w:spacing w:before="0" w:after="240"/>
        <w:rPr>
          <w:rFonts w:eastAsia="Arial Unicode MS"/>
          <w:noProof/>
        </w:rPr>
      </w:pPr>
      <w:r w:rsidRPr="00F91EC4">
        <w:rPr>
          <w:noProof/>
        </w:rPr>
        <w:t>The proposal does not require additional financial resources.</w:t>
      </w:r>
    </w:p>
    <w:p w14:paraId="578CCA2D" w14:textId="77777777" w:rsidR="009439C4" w:rsidRPr="00F91EC4" w:rsidRDefault="009439C4" w:rsidP="00C24E66">
      <w:pPr>
        <w:pStyle w:val="ManualHeading1"/>
        <w:rPr>
          <w:noProof/>
        </w:rPr>
      </w:pPr>
      <w:r w:rsidRPr="00F91EC4">
        <w:rPr>
          <w:noProof/>
        </w:rPr>
        <w:t>5.</w:t>
      </w:r>
      <w:r w:rsidRPr="00F91EC4">
        <w:rPr>
          <w:noProof/>
        </w:rPr>
        <w:tab/>
        <w:t>OTHER ELEMENTS</w:t>
      </w:r>
    </w:p>
    <w:p w14:paraId="4F350E44"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Implementation plans and monitoring, evaluation and reporting arrangements</w:t>
      </w:r>
    </w:p>
    <w:p w14:paraId="41713273" w14:textId="77777777" w:rsidR="00DF458A" w:rsidRPr="00F91EC4" w:rsidRDefault="00AF3B89" w:rsidP="00DF458A">
      <w:pPr>
        <w:rPr>
          <w:noProof/>
        </w:rPr>
      </w:pPr>
      <w:r w:rsidRPr="00F91EC4">
        <w:rPr>
          <w:noProof/>
        </w:rPr>
        <w:t>This proposal makes a</w:t>
      </w:r>
      <w:r w:rsidR="00DF458A" w:rsidRPr="00F91EC4">
        <w:rPr>
          <w:noProof/>
        </w:rPr>
        <w:t>rrangements to monitor and evaluate the effectiveness of Euro 7 emission standards against operational objectives and to establish causality between the observed outcomes and the legislation. For this purpose, a number of monitoring indicators are proposed for the review of Euro 7 emission standards</w:t>
      </w:r>
      <w:r w:rsidRPr="00F91EC4">
        <w:rPr>
          <w:noProof/>
        </w:rPr>
        <w:t>. These monitoring indicators include:</w:t>
      </w:r>
    </w:p>
    <w:p w14:paraId="2EA94743" w14:textId="77777777" w:rsidR="00AF3B89" w:rsidRPr="00F91EC4" w:rsidRDefault="00AF3B89" w:rsidP="00C76798">
      <w:pPr>
        <w:pStyle w:val="Bullet0"/>
        <w:rPr>
          <w:noProof/>
        </w:rPr>
      </w:pPr>
      <w:r w:rsidRPr="00F91EC4">
        <w:rPr>
          <w:noProof/>
        </w:rPr>
        <w:t>number of emission type-approvals under Euro 7 per vehicle type;</w:t>
      </w:r>
    </w:p>
    <w:p w14:paraId="2F1F94E1" w14:textId="77777777" w:rsidR="00AF3B89" w:rsidRPr="00F91EC4" w:rsidRDefault="00AF3B89" w:rsidP="00C76798">
      <w:pPr>
        <w:pStyle w:val="Bullet0"/>
        <w:rPr>
          <w:noProof/>
        </w:rPr>
      </w:pPr>
      <w:r w:rsidRPr="00F91EC4">
        <w:rPr>
          <w:noProof/>
        </w:rPr>
        <w:t xml:space="preserve">costs during implementation phase and administrative costs per emission </w:t>
      </w:r>
      <w:r w:rsidR="00976BDB" w:rsidRPr="00F91EC4">
        <w:rPr>
          <w:noProof/>
        </w:rPr>
        <w:t>type-approval</w:t>
      </w:r>
      <w:r w:rsidRPr="00F91EC4">
        <w:rPr>
          <w:noProof/>
        </w:rPr>
        <w:t>;</w:t>
      </w:r>
    </w:p>
    <w:p w14:paraId="699F56C6" w14:textId="77777777" w:rsidR="00AF3B89" w:rsidRPr="00F91EC4" w:rsidRDefault="00AF3B89" w:rsidP="00C76798">
      <w:pPr>
        <w:pStyle w:val="Bullet0"/>
        <w:rPr>
          <w:noProof/>
        </w:rPr>
      </w:pPr>
      <w:r w:rsidRPr="00F91EC4">
        <w:rPr>
          <w:noProof/>
        </w:rPr>
        <w:t>proof of improved control of emissions under all conditions of use for all regulated pollutants;</w:t>
      </w:r>
    </w:p>
    <w:p w14:paraId="20D0DE5F" w14:textId="77777777" w:rsidR="00AF3B89" w:rsidRPr="00F91EC4" w:rsidRDefault="00AF3B89" w:rsidP="00C76798">
      <w:pPr>
        <w:pStyle w:val="Bullet0"/>
        <w:rPr>
          <w:noProof/>
        </w:rPr>
      </w:pPr>
      <w:r w:rsidRPr="00F91EC4">
        <w:rPr>
          <w:noProof/>
        </w:rPr>
        <w:t>enforcement costs, including costs for infringements and penalties in case of non-compliance and monitoring costs;</w:t>
      </w:r>
    </w:p>
    <w:p w14:paraId="07EFA055" w14:textId="77777777" w:rsidR="00AF3B89" w:rsidRPr="00F91EC4" w:rsidRDefault="00AF3B89" w:rsidP="00C76798">
      <w:pPr>
        <w:pStyle w:val="Bullet0"/>
        <w:rPr>
          <w:noProof/>
        </w:rPr>
      </w:pPr>
      <w:r w:rsidRPr="00F91EC4">
        <w:rPr>
          <w:noProof/>
        </w:rPr>
        <w:t>evolution of emissions over the lifetime of vehicles as evidenced by appropriate testing campaigns and continuous emission monitoring.</w:t>
      </w:r>
    </w:p>
    <w:p w14:paraId="0EE68ABD" w14:textId="77777777" w:rsidR="00AF3B89" w:rsidRPr="00F91EC4" w:rsidRDefault="00AF3B89" w:rsidP="00AF3B89">
      <w:pPr>
        <w:spacing w:before="240"/>
        <w:rPr>
          <w:noProof/>
          <w:szCs w:val="24"/>
        </w:rPr>
      </w:pPr>
      <w:r w:rsidRPr="00F91EC4">
        <w:rPr>
          <w:noProof/>
          <w:szCs w:val="24"/>
        </w:rPr>
        <w:t>The review of Euro 7 emission standards will also evaluate a set of more general indicators from other EU air pollutant policies for road transport:</w:t>
      </w:r>
    </w:p>
    <w:p w14:paraId="3D652E6E" w14:textId="77777777" w:rsidR="00AF3B89" w:rsidRPr="00F91EC4" w:rsidRDefault="00BD2841" w:rsidP="00C76798">
      <w:pPr>
        <w:pStyle w:val="Bullet0"/>
        <w:rPr>
          <w:noProof/>
        </w:rPr>
      </w:pPr>
      <w:r w:rsidRPr="00F91EC4">
        <w:rPr>
          <w:noProof/>
        </w:rPr>
        <w:t>a</w:t>
      </w:r>
      <w:r w:rsidR="00AF3B89" w:rsidRPr="00F91EC4">
        <w:rPr>
          <w:noProof/>
        </w:rPr>
        <w:t xml:space="preserve">nnual pollutant concentration levels in Europe’s urban areas and annual share of road transport to the pollutant emissions as reported by the Member States to the EEA under the National Emission </w:t>
      </w:r>
      <w:r w:rsidR="009E4058">
        <w:rPr>
          <w:noProof/>
        </w:rPr>
        <w:t>reduction Commitments</w:t>
      </w:r>
      <w:r w:rsidR="009E4058" w:rsidRPr="00F91EC4">
        <w:rPr>
          <w:noProof/>
        </w:rPr>
        <w:t xml:space="preserve"> </w:t>
      </w:r>
      <w:r w:rsidR="00AF3B89" w:rsidRPr="00F91EC4">
        <w:rPr>
          <w:noProof/>
        </w:rPr>
        <w:t>Directive (NECD)</w:t>
      </w:r>
      <w:r w:rsidR="00AF3B89" w:rsidRPr="00F91EC4">
        <w:rPr>
          <w:rStyle w:val="FootnoteReference"/>
          <w:noProof/>
          <w:szCs w:val="24"/>
        </w:rPr>
        <w:footnoteReference w:id="40"/>
      </w:r>
      <w:r w:rsidR="00AF3B89" w:rsidRPr="00F91EC4">
        <w:rPr>
          <w:noProof/>
          <w:vertAlign w:val="superscript"/>
        </w:rPr>
        <w:t xml:space="preserve"> </w:t>
      </w:r>
      <w:r w:rsidR="00AF3B89" w:rsidRPr="00F91EC4">
        <w:rPr>
          <w:noProof/>
        </w:rPr>
        <w:t xml:space="preserve">and included in the annual </w:t>
      </w:r>
      <w:r w:rsidR="009E4058">
        <w:rPr>
          <w:noProof/>
        </w:rPr>
        <w:t xml:space="preserve">EEA </w:t>
      </w:r>
      <w:r w:rsidR="00AF3B89" w:rsidRPr="00F91EC4">
        <w:rPr>
          <w:noProof/>
        </w:rPr>
        <w:t>report on air quality i</w:t>
      </w:r>
      <w:r w:rsidR="00465455" w:rsidRPr="00F91EC4">
        <w:rPr>
          <w:noProof/>
        </w:rPr>
        <w:t>n Europe;</w:t>
      </w:r>
      <w:r w:rsidR="00AF3B89" w:rsidRPr="00F91EC4">
        <w:rPr>
          <w:noProof/>
        </w:rPr>
        <w:t xml:space="preserve"> </w:t>
      </w:r>
    </w:p>
    <w:p w14:paraId="6DB30D85" w14:textId="77777777" w:rsidR="00AF3B89" w:rsidRPr="00F91EC4" w:rsidRDefault="00BD2841" w:rsidP="00C76798">
      <w:pPr>
        <w:pStyle w:val="Bullet0"/>
        <w:rPr>
          <w:noProof/>
        </w:rPr>
      </w:pPr>
      <w:r w:rsidRPr="00F91EC4">
        <w:rPr>
          <w:noProof/>
        </w:rPr>
        <w:t>a</w:t>
      </w:r>
      <w:r w:rsidR="00AF3B89" w:rsidRPr="00F91EC4">
        <w:rPr>
          <w:noProof/>
        </w:rPr>
        <w:t>nnual number of registered vehicles and share of powertrain technologies on EU roads as reported by the Member States to the Europea</w:t>
      </w:r>
      <w:r w:rsidR="00465455" w:rsidRPr="00F91EC4">
        <w:rPr>
          <w:noProof/>
        </w:rPr>
        <w:t>n Alternative Fuels Observatory;</w:t>
      </w:r>
      <w:r w:rsidR="00AF3B89" w:rsidRPr="00F91EC4">
        <w:rPr>
          <w:noProof/>
        </w:rPr>
        <w:t xml:space="preserve"> </w:t>
      </w:r>
    </w:p>
    <w:p w14:paraId="091AA62C" w14:textId="77777777" w:rsidR="00AF3B89" w:rsidRPr="00F91EC4" w:rsidRDefault="00BD2841" w:rsidP="00C76798">
      <w:pPr>
        <w:pStyle w:val="Bullet0"/>
        <w:rPr>
          <w:noProof/>
        </w:rPr>
      </w:pPr>
      <w:r w:rsidRPr="00F91EC4">
        <w:rPr>
          <w:noProof/>
        </w:rPr>
        <w:t>a</w:t>
      </w:r>
      <w:r w:rsidR="00AF3B89" w:rsidRPr="00F91EC4">
        <w:rPr>
          <w:noProof/>
        </w:rPr>
        <w:t xml:space="preserve">nnual development of impacts of air pollution on health (i.e. premature deaths related to exposure of certain pollutants) as included in the annual </w:t>
      </w:r>
      <w:r w:rsidR="009E4058">
        <w:rPr>
          <w:noProof/>
        </w:rPr>
        <w:t xml:space="preserve">EEA </w:t>
      </w:r>
      <w:r w:rsidR="00AF3B89" w:rsidRPr="00F91EC4">
        <w:rPr>
          <w:noProof/>
        </w:rPr>
        <w:t>report on air quality in Europe.</w:t>
      </w:r>
    </w:p>
    <w:p w14:paraId="5E65AD64" w14:textId="77777777" w:rsidR="00AF3B89" w:rsidRPr="00F91EC4" w:rsidRDefault="00BD2841" w:rsidP="00C76798">
      <w:pPr>
        <w:pStyle w:val="Bullet0"/>
        <w:rPr>
          <w:noProof/>
        </w:rPr>
      </w:pPr>
      <w:r w:rsidRPr="00F91EC4">
        <w:rPr>
          <w:noProof/>
        </w:rPr>
        <w:t>a</w:t>
      </w:r>
      <w:r w:rsidR="00AF3B89" w:rsidRPr="00F91EC4">
        <w:rPr>
          <w:noProof/>
        </w:rPr>
        <w:t>nnual share of road transport to the pollutant emissions of certain pollutants as reported by the Member States to the EEA under the NECD</w:t>
      </w:r>
      <w:r w:rsidR="00465455" w:rsidRPr="00F91EC4">
        <w:rPr>
          <w:noProof/>
        </w:rPr>
        <w:t>;</w:t>
      </w:r>
    </w:p>
    <w:p w14:paraId="7DB9B323" w14:textId="77777777" w:rsidR="00DF458A" w:rsidRPr="00F91EC4" w:rsidRDefault="00BD2841" w:rsidP="00C76798">
      <w:pPr>
        <w:pStyle w:val="Bullet0"/>
        <w:rPr>
          <w:noProof/>
        </w:rPr>
      </w:pPr>
      <w:r w:rsidRPr="00F91EC4">
        <w:rPr>
          <w:noProof/>
        </w:rPr>
        <w:t>a</w:t>
      </w:r>
      <w:r w:rsidR="00AF3B89" w:rsidRPr="00F91EC4">
        <w:rPr>
          <w:noProof/>
        </w:rPr>
        <w:t>nnual number of notifications received from Member States for barriers of internal EU trade of cars, vans, lorries/buses caused by technical prescriptions imposed by national, regional or local authorities (i.e. bans of any kind) under the notification procedure of Directive 2015/1535</w:t>
      </w:r>
      <w:r w:rsidR="00AF3B89" w:rsidRPr="00F91EC4">
        <w:rPr>
          <w:rStyle w:val="FootnoteReference"/>
          <w:noProof/>
          <w:szCs w:val="24"/>
        </w:rPr>
        <w:footnoteReference w:id="41"/>
      </w:r>
      <w:r w:rsidR="00AF3B89" w:rsidRPr="00F91EC4">
        <w:rPr>
          <w:noProof/>
        </w:rPr>
        <w:t xml:space="preserve">. </w:t>
      </w:r>
    </w:p>
    <w:p w14:paraId="581A2F70" w14:textId="77777777" w:rsidR="009439C4" w:rsidRPr="00F91EC4" w:rsidRDefault="009439C4" w:rsidP="00C24E66">
      <w:pPr>
        <w:pStyle w:val="ManualHeading2"/>
        <w:rPr>
          <w:rFonts w:eastAsia="Arial Unicode MS"/>
          <w:noProof/>
          <w:u w:color="000000"/>
          <w:bdr w:val="nil"/>
          <w:lang w:eastAsia="en-GB"/>
        </w:rPr>
      </w:pPr>
      <w:r w:rsidRPr="00F91EC4">
        <w:rPr>
          <w:rFonts w:eastAsia="Arial Unicode MS"/>
          <w:noProof/>
          <w:u w:color="000000"/>
          <w:bdr w:val="nil"/>
          <w:lang w:eastAsia="en-GB"/>
        </w:rPr>
        <w:t>•</w:t>
      </w:r>
      <w:r w:rsidRPr="00F91EC4">
        <w:rPr>
          <w:rFonts w:eastAsia="Arial Unicode MS"/>
          <w:noProof/>
          <w:u w:color="000000"/>
          <w:bdr w:val="nil"/>
          <w:lang w:eastAsia="en-GB"/>
        </w:rPr>
        <w:tab/>
        <w:t>Detailed explanation of the specific provisions of the proposal</w:t>
      </w:r>
    </w:p>
    <w:p w14:paraId="7F9AC0E9" w14:textId="77777777" w:rsidR="00477FF6" w:rsidRPr="00F91EC4" w:rsidRDefault="00477FF6" w:rsidP="00477FF6">
      <w:pPr>
        <w:pBdr>
          <w:top w:val="nil"/>
          <w:left w:val="nil"/>
          <w:bottom w:val="nil"/>
          <w:right w:val="nil"/>
          <w:between w:val="nil"/>
          <w:bar w:val="nil"/>
        </w:pBdr>
        <w:spacing w:before="0" w:after="240"/>
        <w:rPr>
          <w:noProof/>
        </w:rPr>
      </w:pPr>
      <w:r w:rsidRPr="00F91EC4">
        <w:rPr>
          <w:noProof/>
        </w:rPr>
        <w:t>Chapter I sets out general provisions, including the subject matter (Article 1), scope of the Regulation (Article 2) and the definitions of key terms used in the Regulation (Article 3).</w:t>
      </w:r>
    </w:p>
    <w:p w14:paraId="6EE7BA0E" w14:textId="77777777" w:rsidR="00477FF6" w:rsidRPr="00F91EC4" w:rsidRDefault="00477FF6" w:rsidP="00477FF6">
      <w:pPr>
        <w:pBdr>
          <w:top w:val="nil"/>
          <w:left w:val="nil"/>
          <w:bottom w:val="nil"/>
          <w:right w:val="nil"/>
          <w:between w:val="nil"/>
          <w:bar w:val="nil"/>
        </w:pBdr>
        <w:spacing w:before="0" w:after="240"/>
        <w:rPr>
          <w:noProof/>
        </w:rPr>
      </w:pPr>
      <w:r w:rsidRPr="00F91EC4">
        <w:rPr>
          <w:noProof/>
        </w:rPr>
        <w:t xml:space="preserve">Chapter II contains provisions on the obligations of manufacturers for the </w:t>
      </w:r>
      <w:r w:rsidR="00976BDB" w:rsidRPr="00F91EC4">
        <w:rPr>
          <w:noProof/>
        </w:rPr>
        <w:t>type-approval</w:t>
      </w:r>
      <w:r w:rsidRPr="00F91EC4">
        <w:rPr>
          <w:noProof/>
        </w:rPr>
        <w:t xml:space="preserve"> of motor vehicles, systems, components and separate technical units, with regard to their pollutant emissions and battery </w:t>
      </w:r>
      <w:r w:rsidR="00786BB1" w:rsidRPr="00F91EC4">
        <w:rPr>
          <w:noProof/>
        </w:rPr>
        <w:t>durability</w:t>
      </w:r>
      <w:r w:rsidRPr="00F91EC4">
        <w:rPr>
          <w:noProof/>
        </w:rPr>
        <w:t xml:space="preserve">. More specifically, it includes the obligation of the manufacturers in regards to the construction and design of such vehicles including cybsersecurity measures (Article 4) and options </w:t>
      </w:r>
      <w:r w:rsidR="002B3012">
        <w:rPr>
          <w:noProof/>
        </w:rPr>
        <w:t>for</w:t>
      </w:r>
      <w:r w:rsidRPr="00F91EC4">
        <w:rPr>
          <w:noProof/>
        </w:rPr>
        <w:t xml:space="preserve"> manufacturers to declare better performance with lower emission limits and/or improved battery </w:t>
      </w:r>
      <w:r w:rsidR="00786BB1" w:rsidRPr="00F91EC4">
        <w:rPr>
          <w:noProof/>
        </w:rPr>
        <w:t>durability</w:t>
      </w:r>
      <w:r w:rsidRPr="00F91EC4">
        <w:rPr>
          <w:noProof/>
        </w:rPr>
        <w:t xml:space="preserve"> as well as geofencing technologies to enable zero exhaust emission mode (Article 5). Manufacturers are required to comply with specific durability requirements for the lifetime of the vehicles but also the traction battery durability minimum performance, to meet the emission limits and other related technical requirements (Article 6). In order to demonstrate compliance with these requirements specific tests should be performed</w:t>
      </w:r>
      <w:r w:rsidR="00971E9B" w:rsidRPr="00F91EC4">
        <w:rPr>
          <w:noProof/>
        </w:rPr>
        <w:t>, as well as specific declarations and administrative procedures</w:t>
      </w:r>
      <w:r w:rsidRPr="00F91EC4">
        <w:rPr>
          <w:noProof/>
        </w:rPr>
        <w:t xml:space="preserve"> (Article 7). Article 8 and Article 9 provide with specific rules regarding respectively </w:t>
      </w:r>
      <w:r w:rsidR="00971E9B" w:rsidRPr="00F91EC4">
        <w:rPr>
          <w:noProof/>
        </w:rPr>
        <w:t>s</w:t>
      </w:r>
      <w:r w:rsidRPr="00F91EC4">
        <w:rPr>
          <w:noProof/>
        </w:rPr>
        <w:t xml:space="preserve">mall </w:t>
      </w:r>
      <w:r w:rsidR="00971E9B" w:rsidRPr="00F91EC4">
        <w:rPr>
          <w:noProof/>
        </w:rPr>
        <w:t>v</w:t>
      </w:r>
      <w:r w:rsidRPr="00F91EC4">
        <w:rPr>
          <w:noProof/>
        </w:rPr>
        <w:t xml:space="preserve">olume </w:t>
      </w:r>
      <w:r w:rsidR="00971E9B" w:rsidRPr="00F91EC4">
        <w:rPr>
          <w:noProof/>
        </w:rPr>
        <w:t>m</w:t>
      </w:r>
      <w:r w:rsidRPr="00F91EC4">
        <w:rPr>
          <w:noProof/>
        </w:rPr>
        <w:t xml:space="preserve">anufacturers (Article 8) and </w:t>
      </w:r>
      <w:r w:rsidR="00971E9B" w:rsidRPr="00F91EC4">
        <w:rPr>
          <w:noProof/>
        </w:rPr>
        <w:t>m</w:t>
      </w:r>
      <w:r w:rsidRPr="00F91EC4">
        <w:rPr>
          <w:noProof/>
        </w:rPr>
        <w:t xml:space="preserve">ultistage </w:t>
      </w:r>
      <w:r w:rsidR="00971E9B" w:rsidRPr="00F91EC4">
        <w:rPr>
          <w:noProof/>
        </w:rPr>
        <w:t>v</w:t>
      </w:r>
      <w:r w:rsidRPr="00F91EC4">
        <w:rPr>
          <w:noProof/>
        </w:rPr>
        <w:t xml:space="preserve">ehicles (Article 9) as regards tests and </w:t>
      </w:r>
      <w:r w:rsidR="00CF7FA9" w:rsidRPr="00F91EC4">
        <w:rPr>
          <w:noProof/>
        </w:rPr>
        <w:t>responsibilities</w:t>
      </w:r>
      <w:r w:rsidRPr="00F91EC4">
        <w:rPr>
          <w:noProof/>
        </w:rPr>
        <w:t>.</w:t>
      </w:r>
    </w:p>
    <w:p w14:paraId="4AD99E66" w14:textId="77777777" w:rsidR="00477FF6" w:rsidRPr="00F91EC4" w:rsidRDefault="00477FF6" w:rsidP="00477FF6">
      <w:pPr>
        <w:pBdr>
          <w:top w:val="nil"/>
          <w:left w:val="nil"/>
          <w:bottom w:val="nil"/>
          <w:right w:val="nil"/>
          <w:between w:val="nil"/>
          <w:bar w:val="nil"/>
        </w:pBdr>
        <w:spacing w:before="0" w:after="240"/>
        <w:rPr>
          <w:noProof/>
        </w:rPr>
      </w:pPr>
      <w:r w:rsidRPr="00F91EC4">
        <w:rPr>
          <w:noProof/>
        </w:rPr>
        <w:t>Chapt</w:t>
      </w:r>
      <w:r w:rsidR="00B930AF" w:rsidRPr="00F91EC4">
        <w:rPr>
          <w:noProof/>
        </w:rPr>
        <w:t>er III</w:t>
      </w:r>
      <w:r w:rsidRPr="00F91EC4">
        <w:rPr>
          <w:noProof/>
        </w:rPr>
        <w:t xml:space="preserve"> provides for Obligations of Member States as regards </w:t>
      </w:r>
      <w:r w:rsidR="00976BDB" w:rsidRPr="00F91EC4">
        <w:rPr>
          <w:noProof/>
        </w:rPr>
        <w:t>Type-approval</w:t>
      </w:r>
      <w:r w:rsidRPr="00F91EC4">
        <w:rPr>
          <w:noProof/>
        </w:rPr>
        <w:t xml:space="preserve"> and market surveillance, particularly as regards the role of national approval authorities and dates of entry into force (Article 10) and includes specific provisions for components and separate technical units (Article 11) as well as consumable reagent and pollution controls systems (Article 12).</w:t>
      </w:r>
    </w:p>
    <w:p w14:paraId="199E9DE0" w14:textId="77777777" w:rsidR="00477FF6" w:rsidRPr="00F91EC4" w:rsidRDefault="00477FF6" w:rsidP="00477FF6">
      <w:pPr>
        <w:pBdr>
          <w:top w:val="nil"/>
          <w:left w:val="nil"/>
          <w:bottom w:val="nil"/>
          <w:right w:val="nil"/>
          <w:between w:val="nil"/>
          <w:bar w:val="nil"/>
        </w:pBdr>
        <w:spacing w:before="0" w:after="240"/>
        <w:rPr>
          <w:noProof/>
        </w:rPr>
      </w:pPr>
      <w:r w:rsidRPr="00F91EC4">
        <w:rPr>
          <w:noProof/>
        </w:rPr>
        <w:t xml:space="preserve"> Chapter IV includes provisions on the Role of the Commission and third parties regarding service conformity and market surveillance checks (Article 13). </w:t>
      </w:r>
    </w:p>
    <w:p w14:paraId="751B66A6" w14:textId="77777777" w:rsidR="00477FF6" w:rsidRPr="00F91EC4" w:rsidRDefault="00477FF6" w:rsidP="00477FF6">
      <w:pPr>
        <w:pBdr>
          <w:top w:val="nil"/>
          <w:left w:val="nil"/>
          <w:bottom w:val="nil"/>
          <w:right w:val="nil"/>
          <w:between w:val="nil"/>
          <w:bar w:val="nil"/>
        </w:pBdr>
        <w:spacing w:before="0" w:after="240"/>
        <w:rPr>
          <w:noProof/>
        </w:rPr>
      </w:pPr>
      <w:r w:rsidRPr="00F91EC4">
        <w:rPr>
          <w:noProof/>
        </w:rPr>
        <w:t>Chapter V lays down the specific tests and methodologies to be applied by manufacturers and authorities for each concerned vehicle category to prove compliance against requirements and obligations under this Regulation (Article 14). It also includes specific provisions regarding adaptation to technical progress (Article 15).</w:t>
      </w:r>
    </w:p>
    <w:p w14:paraId="373DEB10" w14:textId="77777777" w:rsidR="00971E9B" w:rsidRPr="00F91EC4" w:rsidRDefault="00477FF6" w:rsidP="00C24E66">
      <w:pPr>
        <w:rPr>
          <w:noProof/>
        </w:rPr>
      </w:pPr>
      <w:r w:rsidRPr="00F91EC4">
        <w:rPr>
          <w:noProof/>
        </w:rPr>
        <w:t xml:space="preserve">Chapter VI provides for </w:t>
      </w:r>
      <w:r w:rsidR="00971E9B" w:rsidRPr="00F91EC4">
        <w:rPr>
          <w:noProof/>
        </w:rPr>
        <w:t xml:space="preserve">general </w:t>
      </w:r>
      <w:r w:rsidRPr="00F91EC4">
        <w:rPr>
          <w:noProof/>
        </w:rPr>
        <w:t>provisions on power conferred on the Commission to adopt delegated acts (Article 16), committee procedure (Article 17)</w:t>
      </w:r>
      <w:r w:rsidR="00971E9B" w:rsidRPr="00F91EC4">
        <w:rPr>
          <w:noProof/>
        </w:rPr>
        <w:t xml:space="preserve"> and</w:t>
      </w:r>
      <w:r w:rsidRPr="00F91EC4">
        <w:rPr>
          <w:noProof/>
        </w:rPr>
        <w:t xml:space="preserve"> reporting requirements for Member States (Article 18)</w:t>
      </w:r>
      <w:r w:rsidR="00971E9B" w:rsidRPr="00F91EC4">
        <w:rPr>
          <w:noProof/>
        </w:rPr>
        <w:t>.</w:t>
      </w:r>
    </w:p>
    <w:p w14:paraId="5D6F88EC" w14:textId="77777777" w:rsidR="009439C4" w:rsidRPr="00F91EC4" w:rsidRDefault="00971E9B" w:rsidP="00273F66">
      <w:pPr>
        <w:jc w:val="left"/>
        <w:rPr>
          <w:noProof/>
        </w:rPr>
        <w:sectPr w:rsidR="009439C4" w:rsidRPr="00F91EC4" w:rsidSect="00E50DA1">
          <w:footerReference w:type="default" r:id="rId13"/>
          <w:footerReference w:type="first" r:id="rId14"/>
          <w:pgSz w:w="11907" w:h="16839"/>
          <w:pgMar w:top="1134" w:right="1417" w:bottom="1134" w:left="1417" w:header="709" w:footer="709" w:gutter="0"/>
          <w:cols w:space="708"/>
          <w:docGrid w:linePitch="360"/>
        </w:sectPr>
      </w:pPr>
      <w:r w:rsidRPr="00F91EC4">
        <w:rPr>
          <w:noProof/>
        </w:rPr>
        <w:t>Chapter VII provides for final provisions on</w:t>
      </w:r>
      <w:r w:rsidR="00477FF6" w:rsidRPr="00F91EC4">
        <w:rPr>
          <w:noProof/>
        </w:rPr>
        <w:t xml:space="preserve"> repeal of Regulation (EC) 715/2007 and Regulation (EC) 595/2009 (Article 19)</w:t>
      </w:r>
      <w:r w:rsidRPr="00F91EC4">
        <w:rPr>
          <w:noProof/>
        </w:rPr>
        <w:t xml:space="preserve"> and</w:t>
      </w:r>
      <w:r w:rsidR="00477FF6" w:rsidRPr="00F91EC4">
        <w:rPr>
          <w:noProof/>
        </w:rPr>
        <w:t xml:space="preserve"> entry into force and application of the Regulation (Article 20).</w:t>
      </w:r>
    </w:p>
    <w:p w14:paraId="6DEFB206" w14:textId="5EDD9C31" w:rsidR="00BA653B" w:rsidRDefault="00582558" w:rsidP="00582558">
      <w:pPr>
        <w:pStyle w:val="Rfrenceinterinstitutionnelle"/>
        <w:rPr>
          <w:noProof/>
        </w:rPr>
      </w:pPr>
      <w:r w:rsidRPr="00582558">
        <w:t>2022/0365 (COD)</w:t>
      </w:r>
    </w:p>
    <w:p w14:paraId="1AE4A3D9" w14:textId="6E64A4D8" w:rsidR="009439C4" w:rsidRPr="00F91EC4" w:rsidRDefault="00A0350E" w:rsidP="00A0350E">
      <w:pPr>
        <w:pStyle w:val="Statut"/>
        <w:rPr>
          <w:noProof/>
        </w:rPr>
      </w:pPr>
      <w:r w:rsidRPr="00A0350E">
        <w:rPr>
          <w:noProof/>
        </w:rPr>
        <w:t>Proposal for a</w:t>
      </w:r>
    </w:p>
    <w:p w14:paraId="506E74B4" w14:textId="095308D4" w:rsidR="009439C4" w:rsidRPr="00F91EC4" w:rsidRDefault="00A0350E" w:rsidP="00A0350E">
      <w:pPr>
        <w:pStyle w:val="Typedudocument"/>
        <w:rPr>
          <w:noProof/>
        </w:rPr>
      </w:pPr>
      <w:r w:rsidRPr="00A0350E">
        <w:rPr>
          <w:noProof/>
        </w:rPr>
        <w:t>REGULATION OF THE EUROPEAN PARLIAMENT AND OF THE COUNCIL</w:t>
      </w:r>
    </w:p>
    <w:p w14:paraId="387FF20F" w14:textId="32B615CB" w:rsidR="009439C4" w:rsidRPr="00F91EC4" w:rsidRDefault="00A0350E" w:rsidP="00A0350E">
      <w:pPr>
        <w:pStyle w:val="Titreobjet"/>
        <w:rPr>
          <w:noProof/>
        </w:rPr>
      </w:pPr>
      <w:r w:rsidRPr="00A0350E">
        <w:rPr>
          <w:noProof/>
        </w:rPr>
        <w:t>on type-approval of motor vehicles and engines and of systems, components and separate technical units intended for such vehicles, with respect to their emissions and battery durability (Euro 7) and repealing Regulations (EC) No 715/2007 and (EC) No 595/2009</w:t>
      </w:r>
    </w:p>
    <w:p w14:paraId="1F760D08" w14:textId="4B2A0CDC" w:rsidR="000932BE" w:rsidRPr="00F91EC4" w:rsidRDefault="00A0350E" w:rsidP="00A0350E">
      <w:pPr>
        <w:pStyle w:val="IntrtEEE"/>
        <w:rPr>
          <w:noProof/>
        </w:rPr>
      </w:pPr>
      <w:r w:rsidRPr="00A0350E">
        <w:rPr>
          <w:noProof/>
        </w:rPr>
        <w:t>(Text with EEA relevance)</w:t>
      </w:r>
    </w:p>
    <w:p w14:paraId="0EDEAEBF" w14:textId="77777777" w:rsidR="009439C4" w:rsidRPr="00F91EC4" w:rsidRDefault="009439C4" w:rsidP="00C24E66">
      <w:pPr>
        <w:pStyle w:val="Institutionquiagit"/>
        <w:rPr>
          <w:noProof/>
        </w:rPr>
      </w:pPr>
      <w:r w:rsidRPr="00F91EC4">
        <w:rPr>
          <w:noProof/>
        </w:rPr>
        <w:t>THE EUROPEAN PARLIAMENT AND THE COUNCIL OF THE EUROPEAN UNION,</w:t>
      </w:r>
    </w:p>
    <w:p w14:paraId="0FE289C4" w14:textId="77777777" w:rsidR="009439C4" w:rsidRPr="00F91EC4" w:rsidRDefault="009439C4" w:rsidP="00C24E66">
      <w:pPr>
        <w:rPr>
          <w:noProof/>
        </w:rPr>
      </w:pPr>
      <w:r w:rsidRPr="00F91EC4">
        <w:rPr>
          <w:noProof/>
        </w:rPr>
        <w:t xml:space="preserve">Having regard to the Treaty on the Functioning of the European Union, and in particular Article </w:t>
      </w:r>
      <w:r w:rsidR="002C598D" w:rsidRPr="00F91EC4">
        <w:rPr>
          <w:noProof/>
        </w:rPr>
        <w:t xml:space="preserve">114 </w:t>
      </w:r>
      <w:r w:rsidRPr="00F91EC4">
        <w:rPr>
          <w:noProof/>
        </w:rPr>
        <w:t>thereof,</w:t>
      </w:r>
    </w:p>
    <w:p w14:paraId="00CBD669" w14:textId="77777777" w:rsidR="009439C4" w:rsidRPr="00F91EC4" w:rsidRDefault="009439C4" w:rsidP="00C24E66">
      <w:pPr>
        <w:rPr>
          <w:noProof/>
        </w:rPr>
      </w:pPr>
      <w:r w:rsidRPr="00F91EC4">
        <w:rPr>
          <w:noProof/>
        </w:rPr>
        <w:t>Having regard to the proposal from the European Commission,</w:t>
      </w:r>
    </w:p>
    <w:p w14:paraId="26ED2215" w14:textId="77777777" w:rsidR="009439C4" w:rsidRPr="00F91EC4" w:rsidRDefault="009439C4" w:rsidP="00C24E66">
      <w:pPr>
        <w:rPr>
          <w:noProof/>
        </w:rPr>
      </w:pPr>
      <w:r w:rsidRPr="00F91EC4">
        <w:rPr>
          <w:noProof/>
        </w:rPr>
        <w:t>After transmission of the draft legislative act to the national parliaments,</w:t>
      </w:r>
    </w:p>
    <w:p w14:paraId="72415259" w14:textId="77777777" w:rsidR="009439C4" w:rsidRPr="00F91EC4" w:rsidRDefault="009439C4" w:rsidP="00C24E66">
      <w:pPr>
        <w:rPr>
          <w:noProof/>
        </w:rPr>
      </w:pPr>
      <w:r w:rsidRPr="00F91EC4">
        <w:rPr>
          <w:noProof/>
        </w:rPr>
        <w:t>Having regard to the opinion of the European Economic and Social Committee</w:t>
      </w:r>
      <w:r w:rsidRPr="00F91EC4">
        <w:rPr>
          <w:rStyle w:val="FootnoteReference"/>
          <w:noProof/>
        </w:rPr>
        <w:footnoteReference w:id="42"/>
      </w:r>
      <w:r w:rsidRPr="00F91EC4">
        <w:rPr>
          <w:noProof/>
        </w:rPr>
        <w:t xml:space="preserve">, </w:t>
      </w:r>
    </w:p>
    <w:p w14:paraId="4F011A0D" w14:textId="77777777" w:rsidR="009439C4" w:rsidRPr="00F91EC4" w:rsidRDefault="009439C4" w:rsidP="00C24E66">
      <w:pPr>
        <w:rPr>
          <w:noProof/>
        </w:rPr>
      </w:pPr>
      <w:r w:rsidRPr="00F91EC4">
        <w:rPr>
          <w:noProof/>
        </w:rPr>
        <w:t>Having regard to the opinion of the Committee of the Regions</w:t>
      </w:r>
      <w:r w:rsidRPr="00F91EC4">
        <w:rPr>
          <w:rStyle w:val="FootnoteReference"/>
          <w:noProof/>
        </w:rPr>
        <w:footnoteReference w:id="43"/>
      </w:r>
      <w:r w:rsidRPr="00F91EC4">
        <w:rPr>
          <w:noProof/>
        </w:rPr>
        <w:t xml:space="preserve">, </w:t>
      </w:r>
    </w:p>
    <w:p w14:paraId="785154BD" w14:textId="77777777" w:rsidR="009439C4" w:rsidRPr="00F91EC4" w:rsidRDefault="009439C4" w:rsidP="00C24E66">
      <w:pPr>
        <w:rPr>
          <w:noProof/>
        </w:rPr>
      </w:pPr>
      <w:r w:rsidRPr="00F91EC4">
        <w:rPr>
          <w:noProof/>
        </w:rPr>
        <w:t>Acting in accordance with the ordinary legislative procedure,</w:t>
      </w:r>
    </w:p>
    <w:p w14:paraId="632CC5B4" w14:textId="77777777" w:rsidR="00066DD3" w:rsidRPr="00F91EC4" w:rsidRDefault="009439C4" w:rsidP="00C24E66">
      <w:pPr>
        <w:rPr>
          <w:noProof/>
        </w:rPr>
      </w:pPr>
      <w:r w:rsidRPr="00F91EC4">
        <w:rPr>
          <w:noProof/>
        </w:rPr>
        <w:t>Whereas:</w:t>
      </w:r>
    </w:p>
    <w:p w14:paraId="47A96BB9" w14:textId="3A270C03" w:rsidR="0072544A" w:rsidRPr="00F91EC4" w:rsidRDefault="00DD0F7B" w:rsidP="00DD0F7B">
      <w:pPr>
        <w:pStyle w:val="ManualConsidrant"/>
        <w:rPr>
          <w:noProof/>
        </w:rPr>
      </w:pPr>
      <w:r w:rsidRPr="00DD0F7B">
        <w:rPr>
          <w:noProof/>
        </w:rPr>
        <w:t>(1)</w:t>
      </w:r>
      <w:r w:rsidRPr="00DD0F7B">
        <w:rPr>
          <w:noProof/>
        </w:rPr>
        <w:tab/>
      </w:r>
      <w:r w:rsidR="00A42CA2" w:rsidRPr="00F91EC4">
        <w:rPr>
          <w:noProof/>
        </w:rPr>
        <w:t xml:space="preserve">The internal market </w:t>
      </w:r>
      <w:r w:rsidR="005E5E82" w:rsidRPr="00F91EC4">
        <w:rPr>
          <w:noProof/>
        </w:rPr>
        <w:t xml:space="preserve">is </w:t>
      </w:r>
      <w:r w:rsidR="00A42CA2" w:rsidRPr="00F91EC4">
        <w:rPr>
          <w:noProof/>
        </w:rPr>
        <w:t>an area in which the free movement of goods, persons, services and capital must be ensured. To that end Regulation (EU) 2018/858 of the European Parliament and of the Council</w:t>
      </w:r>
      <w:r w:rsidR="00B80D1D" w:rsidRPr="00321310">
        <w:rPr>
          <w:rStyle w:val="FootnoteReference"/>
          <w:b/>
          <w:noProof/>
        </w:rPr>
        <w:footnoteReference w:id="44"/>
      </w:r>
      <w:r w:rsidR="00A42CA2" w:rsidRPr="00F91EC4">
        <w:rPr>
          <w:noProof/>
        </w:rPr>
        <w:t xml:space="preserve"> </w:t>
      </w:r>
      <w:r w:rsidR="0072544A" w:rsidRPr="00F91EC4">
        <w:rPr>
          <w:noProof/>
        </w:rPr>
        <w:t xml:space="preserve">introduced </w:t>
      </w:r>
      <w:r w:rsidR="00A42CA2" w:rsidRPr="00F91EC4">
        <w:rPr>
          <w:noProof/>
        </w:rPr>
        <w:t xml:space="preserve">a comprehensive </w:t>
      </w:r>
      <w:r w:rsidR="00976BDB" w:rsidRPr="00F91EC4">
        <w:rPr>
          <w:noProof/>
        </w:rPr>
        <w:t>type-approval</w:t>
      </w:r>
      <w:r w:rsidR="00A42CA2" w:rsidRPr="00F91EC4">
        <w:rPr>
          <w:noProof/>
        </w:rPr>
        <w:t xml:space="preserve"> and market surveillance system for motor vehicles, trailers, and for systems, components and separate technical units intended for such </w:t>
      </w:r>
      <w:r w:rsidR="005952CC" w:rsidRPr="00F91EC4">
        <w:rPr>
          <w:noProof/>
        </w:rPr>
        <w:t>vehicles</w:t>
      </w:r>
      <w:r w:rsidR="00A42CA2" w:rsidRPr="00F91EC4">
        <w:rPr>
          <w:noProof/>
        </w:rPr>
        <w:t xml:space="preserve">. </w:t>
      </w:r>
    </w:p>
    <w:p w14:paraId="4996702C" w14:textId="39CE4B2F" w:rsidR="00A42CA2" w:rsidRPr="00F91EC4" w:rsidRDefault="00DD0F7B" w:rsidP="00DD0F7B">
      <w:pPr>
        <w:pStyle w:val="ManualConsidrant"/>
        <w:rPr>
          <w:noProof/>
        </w:rPr>
      </w:pPr>
      <w:r w:rsidRPr="00DD0F7B">
        <w:rPr>
          <w:noProof/>
        </w:rPr>
        <w:t>(2)</w:t>
      </w:r>
      <w:r w:rsidRPr="00DD0F7B">
        <w:rPr>
          <w:noProof/>
        </w:rPr>
        <w:tab/>
      </w:r>
      <w:r w:rsidR="00A42CA2" w:rsidRPr="00F91EC4">
        <w:rPr>
          <w:noProof/>
        </w:rPr>
        <w:t xml:space="preserve">The technical requirements for the </w:t>
      </w:r>
      <w:r w:rsidR="00976BDB" w:rsidRPr="00F91EC4">
        <w:rPr>
          <w:noProof/>
        </w:rPr>
        <w:t>type-approval</w:t>
      </w:r>
      <w:r w:rsidR="00A42CA2" w:rsidRPr="00F91EC4">
        <w:rPr>
          <w:noProof/>
        </w:rPr>
        <w:t xml:space="preserve"> of motor vehicles</w:t>
      </w:r>
      <w:r w:rsidR="0072544A" w:rsidRPr="00F91EC4">
        <w:rPr>
          <w:noProof/>
        </w:rPr>
        <w:t>,</w:t>
      </w:r>
      <w:r w:rsidR="00CE1340" w:rsidRPr="00F91EC4">
        <w:rPr>
          <w:noProof/>
        </w:rPr>
        <w:t xml:space="preserve"> </w:t>
      </w:r>
      <w:r w:rsidR="00A0525A" w:rsidRPr="00F91EC4">
        <w:rPr>
          <w:noProof/>
        </w:rPr>
        <w:t>engines</w:t>
      </w:r>
      <w:r w:rsidR="0072544A" w:rsidRPr="00F91EC4">
        <w:rPr>
          <w:noProof/>
        </w:rPr>
        <w:t xml:space="preserve"> and replacement parts</w:t>
      </w:r>
      <w:r w:rsidR="00A0525A" w:rsidRPr="00F91EC4">
        <w:rPr>
          <w:noProof/>
        </w:rPr>
        <w:t xml:space="preserve"> </w:t>
      </w:r>
      <w:r w:rsidR="00A42CA2" w:rsidRPr="00F91EC4">
        <w:rPr>
          <w:noProof/>
        </w:rPr>
        <w:t xml:space="preserve">with regard to emissions </w:t>
      </w:r>
      <w:r w:rsidR="00CF7FA9" w:rsidRPr="00F91EC4">
        <w:rPr>
          <w:noProof/>
        </w:rPr>
        <w:t xml:space="preserve">(‘emission </w:t>
      </w:r>
      <w:r w:rsidR="00976BDB" w:rsidRPr="00F91EC4">
        <w:rPr>
          <w:noProof/>
        </w:rPr>
        <w:t>type-approval</w:t>
      </w:r>
      <w:r w:rsidR="00CF7FA9" w:rsidRPr="00F91EC4">
        <w:rPr>
          <w:noProof/>
        </w:rPr>
        <w:t xml:space="preserve">’) </w:t>
      </w:r>
      <w:r w:rsidR="00A42CA2" w:rsidRPr="00F91EC4">
        <w:rPr>
          <w:noProof/>
        </w:rPr>
        <w:t xml:space="preserve">should </w:t>
      </w:r>
      <w:r w:rsidR="0072544A" w:rsidRPr="00F91EC4">
        <w:rPr>
          <w:noProof/>
        </w:rPr>
        <w:t xml:space="preserve">remain </w:t>
      </w:r>
      <w:r w:rsidR="00A42CA2" w:rsidRPr="00F91EC4">
        <w:rPr>
          <w:noProof/>
        </w:rPr>
        <w:t xml:space="preserve">harmonised to ensure </w:t>
      </w:r>
      <w:r w:rsidR="00796010" w:rsidRPr="00F91EC4">
        <w:rPr>
          <w:noProof/>
        </w:rPr>
        <w:t xml:space="preserve">the proper functioning of the internal market, as well as </w:t>
      </w:r>
      <w:r w:rsidR="00A42CA2" w:rsidRPr="00F91EC4">
        <w:rPr>
          <w:noProof/>
        </w:rPr>
        <w:t>a high level of environmental</w:t>
      </w:r>
      <w:r w:rsidR="00CF35EF" w:rsidRPr="00F91EC4">
        <w:rPr>
          <w:noProof/>
        </w:rPr>
        <w:t xml:space="preserve"> and health</w:t>
      </w:r>
      <w:r w:rsidR="00A42CA2" w:rsidRPr="00F91EC4">
        <w:rPr>
          <w:noProof/>
        </w:rPr>
        <w:t xml:space="preserve"> protection</w:t>
      </w:r>
      <w:r w:rsidR="00796010" w:rsidRPr="00F91EC4">
        <w:rPr>
          <w:noProof/>
        </w:rPr>
        <w:t xml:space="preserve"> common in all Member States</w:t>
      </w:r>
      <w:r w:rsidR="00A42CA2" w:rsidRPr="00F91EC4">
        <w:rPr>
          <w:noProof/>
        </w:rPr>
        <w:t>.</w:t>
      </w:r>
    </w:p>
    <w:p w14:paraId="2B5A2B44" w14:textId="3BEACD2F" w:rsidR="00CF35EF" w:rsidRPr="00F91EC4" w:rsidRDefault="00DD0F7B" w:rsidP="00DD0F7B">
      <w:pPr>
        <w:pStyle w:val="ManualConsidrant"/>
        <w:rPr>
          <w:noProof/>
        </w:rPr>
      </w:pPr>
      <w:r w:rsidRPr="00DD0F7B">
        <w:rPr>
          <w:noProof/>
        </w:rPr>
        <w:t>(3)</w:t>
      </w:r>
      <w:r w:rsidRPr="00DD0F7B">
        <w:rPr>
          <w:noProof/>
        </w:rPr>
        <w:tab/>
      </w:r>
      <w:r w:rsidR="00E71784" w:rsidRPr="00F91EC4">
        <w:rPr>
          <w:noProof/>
          <w:shd w:val="clear" w:color="auto" w:fill="FFFFFF"/>
        </w:rPr>
        <w:t xml:space="preserve">This Regulation </w:t>
      </w:r>
      <w:r w:rsidR="00C305B0" w:rsidRPr="00352B65">
        <w:rPr>
          <w:noProof/>
          <w:shd w:val="clear" w:color="auto" w:fill="FFFFFF"/>
        </w:rPr>
        <w:t>is</w:t>
      </w:r>
      <w:r w:rsidR="00C305B0">
        <w:rPr>
          <w:noProof/>
          <w:shd w:val="clear" w:color="auto" w:fill="FFFFFF"/>
        </w:rPr>
        <w:t xml:space="preserve"> </w:t>
      </w:r>
      <w:r w:rsidR="00E71784" w:rsidRPr="00E02834">
        <w:rPr>
          <w:noProof/>
          <w:shd w:val="clear" w:color="auto" w:fill="FFFFFF"/>
        </w:rPr>
        <w:t xml:space="preserve">a separate regulatory act for the purposes of the EU type-approval procedure laid down </w:t>
      </w:r>
      <w:r w:rsidR="00E71784" w:rsidRPr="00F91EC4">
        <w:rPr>
          <w:noProof/>
          <w:shd w:val="clear" w:color="auto" w:fill="FFFFFF"/>
        </w:rPr>
        <w:t xml:space="preserve">in Annex II </w:t>
      </w:r>
      <w:r w:rsidR="00E71784">
        <w:rPr>
          <w:noProof/>
          <w:shd w:val="clear" w:color="auto" w:fill="FFFFFF"/>
        </w:rPr>
        <w:t>to</w:t>
      </w:r>
      <w:r w:rsidR="00E71784" w:rsidRPr="00F91EC4">
        <w:rPr>
          <w:noProof/>
          <w:shd w:val="clear" w:color="auto" w:fill="FFFFFF"/>
        </w:rPr>
        <w:t xml:space="preserve"> Regulation (EU) 2018/858. </w:t>
      </w:r>
      <w:r w:rsidR="00E71784">
        <w:rPr>
          <w:noProof/>
          <w:shd w:val="clear" w:color="auto" w:fill="FFFFFF"/>
        </w:rPr>
        <w:t>It</w:t>
      </w:r>
      <w:r w:rsidR="002B4ECB" w:rsidRPr="00E71784">
        <w:rPr>
          <w:noProof/>
          <w:shd w:val="clear" w:color="auto" w:fill="FFFFFF"/>
        </w:rPr>
        <w:t xml:space="preserve"> </w:t>
      </w:r>
      <w:r w:rsidR="00CF35EF" w:rsidRPr="00E71784">
        <w:rPr>
          <w:noProof/>
          <w:shd w:val="clear" w:color="auto" w:fill="FFFFFF"/>
        </w:rPr>
        <w:t xml:space="preserve">lays down provisions </w:t>
      </w:r>
      <w:r w:rsidR="001E66B8" w:rsidRPr="00EF40BD">
        <w:rPr>
          <w:noProof/>
          <w:shd w:val="clear" w:color="auto" w:fill="FFFFFF"/>
        </w:rPr>
        <w:t xml:space="preserve">and requirements </w:t>
      </w:r>
      <w:r w:rsidR="00CF35EF" w:rsidRPr="00EF40BD">
        <w:rPr>
          <w:noProof/>
          <w:shd w:val="clear" w:color="auto" w:fill="FFFFFF"/>
        </w:rPr>
        <w:t>on vehicle emissions</w:t>
      </w:r>
      <w:r w:rsidR="00796010" w:rsidRPr="00EF40BD">
        <w:rPr>
          <w:noProof/>
          <w:shd w:val="clear" w:color="auto" w:fill="FFFFFF"/>
        </w:rPr>
        <w:t xml:space="preserve"> and battery durability</w:t>
      </w:r>
      <w:r w:rsidR="00CF35EF" w:rsidRPr="00EF40BD">
        <w:rPr>
          <w:noProof/>
          <w:shd w:val="clear" w:color="auto" w:fill="FFFFFF"/>
        </w:rPr>
        <w:t xml:space="preserve">, whereas the technical </w:t>
      </w:r>
      <w:r w:rsidR="001E66B8" w:rsidRPr="00EF40BD">
        <w:rPr>
          <w:noProof/>
          <w:shd w:val="clear" w:color="auto" w:fill="FFFFFF"/>
        </w:rPr>
        <w:t xml:space="preserve">elements </w:t>
      </w:r>
      <w:r w:rsidR="00CF35EF" w:rsidRPr="00EF40BD">
        <w:rPr>
          <w:noProof/>
          <w:shd w:val="clear" w:color="auto" w:fill="FFFFFF"/>
        </w:rPr>
        <w:t xml:space="preserve">will be laid down by implementing </w:t>
      </w:r>
      <w:r w:rsidR="008C5E5A" w:rsidRPr="00EF40BD">
        <w:rPr>
          <w:noProof/>
          <w:shd w:val="clear" w:color="auto" w:fill="FFFFFF"/>
        </w:rPr>
        <w:t xml:space="preserve">acts </w:t>
      </w:r>
      <w:r w:rsidR="00CF35EF" w:rsidRPr="00EF40BD">
        <w:rPr>
          <w:noProof/>
          <w:shd w:val="clear" w:color="auto" w:fill="FFFFFF"/>
        </w:rPr>
        <w:t xml:space="preserve">adopted </w:t>
      </w:r>
      <w:r w:rsidR="009252BD" w:rsidRPr="00F91EC4">
        <w:rPr>
          <w:noProof/>
        </w:rPr>
        <w:t xml:space="preserve">in accordance </w:t>
      </w:r>
      <w:r w:rsidR="009252BD" w:rsidRPr="005806BB">
        <w:rPr>
          <w:noProof/>
        </w:rPr>
        <w:t xml:space="preserve">with the examination procedure and the assistance of a </w:t>
      </w:r>
      <w:r w:rsidR="009252BD" w:rsidRPr="005806BB">
        <w:rPr>
          <w:noProof/>
          <w:color w:val="000000" w:themeColor="text1"/>
        </w:rPr>
        <w:t>committee within the meaning of Regulation (EU) No 182/2011 (comitology procedure)</w:t>
      </w:r>
      <w:r w:rsidR="00CF35EF" w:rsidRPr="005806BB">
        <w:rPr>
          <w:noProof/>
          <w:shd w:val="clear" w:color="auto" w:fill="FFFFFF"/>
        </w:rPr>
        <w:t>.</w:t>
      </w:r>
    </w:p>
    <w:p w14:paraId="3D3A9D08" w14:textId="19BB2799" w:rsidR="00932AE0" w:rsidRPr="00F91EC4" w:rsidRDefault="00DD0F7B" w:rsidP="00DD0F7B">
      <w:pPr>
        <w:pStyle w:val="ManualConsidrant"/>
        <w:rPr>
          <w:noProof/>
        </w:rPr>
      </w:pPr>
      <w:r w:rsidRPr="00DD0F7B">
        <w:rPr>
          <w:noProof/>
        </w:rPr>
        <w:t>(4)</w:t>
      </w:r>
      <w:r w:rsidRPr="00DD0F7B">
        <w:rPr>
          <w:noProof/>
        </w:rPr>
        <w:tab/>
      </w:r>
      <w:r w:rsidR="00E71784" w:rsidRPr="00E02834">
        <w:rPr>
          <w:noProof/>
        </w:rPr>
        <w:t>The technical requirements for the type-approval of motor vehicles, engines and replacement parts with regard to emissions (‘emission type-approval’)</w:t>
      </w:r>
      <w:r w:rsidR="00E71784">
        <w:rPr>
          <w:noProof/>
        </w:rPr>
        <w:t xml:space="preserve"> are c</w:t>
      </w:r>
      <w:r w:rsidR="0059700F" w:rsidRPr="00F91EC4">
        <w:rPr>
          <w:noProof/>
        </w:rPr>
        <w:t xml:space="preserve">urrently </w:t>
      </w:r>
      <w:r w:rsidR="00E71784">
        <w:rPr>
          <w:noProof/>
        </w:rPr>
        <w:t>set out in</w:t>
      </w:r>
      <w:r w:rsidR="0059700F" w:rsidRPr="00F91EC4">
        <w:rPr>
          <w:noProof/>
        </w:rPr>
        <w:t xml:space="preserve"> t</w:t>
      </w:r>
      <w:r w:rsidR="00932AE0" w:rsidRPr="00F91EC4">
        <w:rPr>
          <w:noProof/>
        </w:rPr>
        <w:t xml:space="preserve">wo </w:t>
      </w:r>
      <w:r w:rsidR="00E71784">
        <w:rPr>
          <w:noProof/>
        </w:rPr>
        <w:t>R</w:t>
      </w:r>
      <w:r w:rsidR="00932AE0" w:rsidRPr="00F91EC4">
        <w:rPr>
          <w:noProof/>
        </w:rPr>
        <w:t>egulations</w:t>
      </w:r>
      <w:r w:rsidR="001E66B8" w:rsidRPr="00F91EC4">
        <w:rPr>
          <w:noProof/>
        </w:rPr>
        <w:t xml:space="preserve"> </w:t>
      </w:r>
      <w:r w:rsidR="0059700F" w:rsidRPr="00F91EC4">
        <w:rPr>
          <w:noProof/>
        </w:rPr>
        <w:t xml:space="preserve">that </w:t>
      </w:r>
      <w:r w:rsidR="002B4ECB" w:rsidRPr="00F91EC4">
        <w:rPr>
          <w:noProof/>
        </w:rPr>
        <w:t xml:space="preserve">apply to </w:t>
      </w:r>
      <w:r w:rsidR="00CF7FA9" w:rsidRPr="00F91EC4">
        <w:rPr>
          <w:noProof/>
        </w:rPr>
        <w:t xml:space="preserve">emission </w:t>
      </w:r>
      <w:r w:rsidR="00976BDB" w:rsidRPr="00F91EC4">
        <w:rPr>
          <w:noProof/>
        </w:rPr>
        <w:t>type-approval</w:t>
      </w:r>
      <w:r w:rsidR="00CF7FA9" w:rsidRPr="00F91EC4">
        <w:rPr>
          <w:noProof/>
        </w:rPr>
        <w:t xml:space="preserve"> </w:t>
      </w:r>
      <w:r w:rsidR="001E66B8" w:rsidRPr="00F91EC4">
        <w:rPr>
          <w:noProof/>
        </w:rPr>
        <w:t>for light-duty and heavy-duty vehicles</w:t>
      </w:r>
      <w:r w:rsidR="00CF7FA9" w:rsidRPr="00F91EC4">
        <w:rPr>
          <w:noProof/>
        </w:rPr>
        <w:t xml:space="preserve"> respectively</w:t>
      </w:r>
      <w:r w:rsidR="001E66B8" w:rsidRPr="00F91EC4">
        <w:rPr>
          <w:noProof/>
        </w:rPr>
        <w:t xml:space="preserve">, </w:t>
      </w:r>
      <w:r w:rsidR="005F0B88" w:rsidRPr="00F91EC4">
        <w:rPr>
          <w:noProof/>
        </w:rPr>
        <w:t xml:space="preserve">i.e. </w:t>
      </w:r>
      <w:r w:rsidR="00BA30DB" w:rsidRPr="00F91EC4">
        <w:rPr>
          <w:noProof/>
        </w:rPr>
        <w:t>Regulation (EC) No 715/2007 of the European Parliament and of the Council</w:t>
      </w:r>
      <w:r w:rsidR="00D550A5" w:rsidRPr="00F91EC4">
        <w:rPr>
          <w:noProof/>
        </w:rPr>
        <w:t xml:space="preserve"> (‘</w:t>
      </w:r>
      <w:r w:rsidR="001E66B8" w:rsidRPr="00F91EC4">
        <w:rPr>
          <w:noProof/>
        </w:rPr>
        <w:t>Euro 6</w:t>
      </w:r>
      <w:r w:rsidR="002B4ECB" w:rsidRPr="00F91EC4">
        <w:rPr>
          <w:noProof/>
        </w:rPr>
        <w:t xml:space="preserve">’) </w:t>
      </w:r>
      <w:r w:rsidR="0059700F" w:rsidRPr="00F91EC4">
        <w:rPr>
          <w:rStyle w:val="FootnoteReference"/>
          <w:noProof/>
        </w:rPr>
        <w:footnoteReference w:id="45"/>
      </w:r>
      <w:r w:rsidR="001E66B8" w:rsidRPr="00F91EC4">
        <w:rPr>
          <w:noProof/>
        </w:rPr>
        <w:t xml:space="preserve"> and </w:t>
      </w:r>
      <w:r w:rsidR="005F0B88" w:rsidRPr="00F91EC4">
        <w:rPr>
          <w:noProof/>
        </w:rPr>
        <w:t>Regulation (EC) No </w:t>
      </w:r>
      <w:r w:rsidR="00BA30DB" w:rsidRPr="00F91EC4">
        <w:rPr>
          <w:noProof/>
        </w:rPr>
        <w:t>595/2009 of the European Parliament and of the Council</w:t>
      </w:r>
      <w:r w:rsidR="00D550A5" w:rsidRPr="00F91EC4">
        <w:rPr>
          <w:noProof/>
        </w:rPr>
        <w:t xml:space="preserve"> (‘</w:t>
      </w:r>
      <w:r w:rsidR="001E66B8" w:rsidRPr="00F91EC4">
        <w:rPr>
          <w:noProof/>
        </w:rPr>
        <w:t>Euro VI</w:t>
      </w:r>
      <w:r w:rsidR="00D550A5" w:rsidRPr="00F91EC4">
        <w:rPr>
          <w:noProof/>
        </w:rPr>
        <w:t xml:space="preserve">’) </w:t>
      </w:r>
      <w:r w:rsidR="0059700F" w:rsidRPr="00F91EC4">
        <w:rPr>
          <w:rStyle w:val="FootnoteReference"/>
          <w:noProof/>
        </w:rPr>
        <w:footnoteReference w:id="46"/>
      </w:r>
      <w:r w:rsidR="001E66B8" w:rsidRPr="00F91EC4">
        <w:rPr>
          <w:noProof/>
        </w:rPr>
        <w:t xml:space="preserve">. The reason </w:t>
      </w:r>
      <w:r w:rsidR="00BA30DB" w:rsidRPr="00F91EC4">
        <w:rPr>
          <w:noProof/>
        </w:rPr>
        <w:t xml:space="preserve">for having two </w:t>
      </w:r>
      <w:r w:rsidR="00E71784">
        <w:rPr>
          <w:noProof/>
        </w:rPr>
        <w:t>R</w:t>
      </w:r>
      <w:r w:rsidR="00BA30DB" w:rsidRPr="00F91EC4">
        <w:rPr>
          <w:noProof/>
        </w:rPr>
        <w:t>egulations</w:t>
      </w:r>
      <w:r w:rsidR="001E66B8" w:rsidRPr="00F91EC4">
        <w:rPr>
          <w:noProof/>
        </w:rPr>
        <w:t xml:space="preserve"> was that </w:t>
      </w:r>
      <w:r w:rsidR="002C64B7" w:rsidRPr="00F91EC4">
        <w:rPr>
          <w:noProof/>
        </w:rPr>
        <w:t xml:space="preserve">the </w:t>
      </w:r>
      <w:r w:rsidR="001E66B8" w:rsidRPr="00F91EC4">
        <w:rPr>
          <w:noProof/>
        </w:rPr>
        <w:t xml:space="preserve">emissions </w:t>
      </w:r>
      <w:r w:rsidR="002C64B7" w:rsidRPr="00F91EC4">
        <w:rPr>
          <w:noProof/>
        </w:rPr>
        <w:t>of</w:t>
      </w:r>
      <w:r w:rsidR="001E66B8" w:rsidRPr="00F91EC4">
        <w:rPr>
          <w:noProof/>
        </w:rPr>
        <w:t xml:space="preserve"> heavy-duty vehicles were checked </w:t>
      </w:r>
      <w:r w:rsidR="00EF26CF" w:rsidRPr="00F91EC4">
        <w:rPr>
          <w:noProof/>
        </w:rPr>
        <w:t>based on</w:t>
      </w:r>
      <w:r w:rsidR="001E66B8" w:rsidRPr="00F91EC4">
        <w:rPr>
          <w:noProof/>
        </w:rPr>
        <w:t xml:space="preserve"> engine testing, while for light-duty vehicle</w:t>
      </w:r>
      <w:r w:rsidR="00D550A5" w:rsidRPr="00F91EC4">
        <w:rPr>
          <w:noProof/>
        </w:rPr>
        <w:t>s</w:t>
      </w:r>
      <w:r w:rsidR="001E66B8" w:rsidRPr="00F91EC4">
        <w:rPr>
          <w:noProof/>
        </w:rPr>
        <w:t xml:space="preserve"> the basis was whole vehicle testing. </w:t>
      </w:r>
      <w:r w:rsidR="0059700F" w:rsidRPr="00F91EC4">
        <w:rPr>
          <w:noProof/>
        </w:rPr>
        <w:t xml:space="preserve">Since then, methodologies have been developed that allow testing of </w:t>
      </w:r>
      <w:r w:rsidR="00D470AE" w:rsidRPr="00F91EC4">
        <w:rPr>
          <w:noProof/>
        </w:rPr>
        <w:t xml:space="preserve">both </w:t>
      </w:r>
      <w:r w:rsidR="00CF7FA9" w:rsidRPr="00F91EC4">
        <w:rPr>
          <w:noProof/>
        </w:rPr>
        <w:t xml:space="preserve">light- </w:t>
      </w:r>
      <w:r w:rsidR="00D470AE" w:rsidRPr="00F91EC4">
        <w:rPr>
          <w:noProof/>
        </w:rPr>
        <w:t>and heavy-duty vehicles on the road</w:t>
      </w:r>
      <w:r w:rsidR="0059700F" w:rsidRPr="00F91EC4">
        <w:rPr>
          <w:noProof/>
        </w:rPr>
        <w:t>.</w:t>
      </w:r>
      <w:r w:rsidR="00D470AE" w:rsidRPr="00F91EC4">
        <w:rPr>
          <w:noProof/>
        </w:rPr>
        <w:t xml:space="preserve"> </w:t>
      </w:r>
      <w:r w:rsidR="0059700F" w:rsidRPr="00F91EC4">
        <w:rPr>
          <w:noProof/>
        </w:rPr>
        <w:t xml:space="preserve">It is </w:t>
      </w:r>
      <w:r w:rsidR="00D470AE" w:rsidRPr="00F91EC4">
        <w:rPr>
          <w:noProof/>
        </w:rPr>
        <w:t xml:space="preserve">therefore </w:t>
      </w:r>
      <w:r w:rsidR="0059700F" w:rsidRPr="00F91EC4">
        <w:rPr>
          <w:noProof/>
        </w:rPr>
        <w:t>no longer necessary</w:t>
      </w:r>
      <w:r w:rsidR="00D470AE" w:rsidRPr="00F91EC4">
        <w:rPr>
          <w:noProof/>
        </w:rPr>
        <w:t xml:space="preserve"> to base </w:t>
      </w:r>
      <w:r w:rsidR="00976BDB" w:rsidRPr="00F91EC4">
        <w:rPr>
          <w:noProof/>
        </w:rPr>
        <w:t>type-approval</w:t>
      </w:r>
      <w:r w:rsidR="00D470AE" w:rsidRPr="00F91EC4">
        <w:rPr>
          <w:noProof/>
        </w:rPr>
        <w:t xml:space="preserve"> on engine testing.</w:t>
      </w:r>
    </w:p>
    <w:p w14:paraId="0CA700C5" w14:textId="27E1BA77" w:rsidR="004C1B68" w:rsidRPr="00F91EC4" w:rsidRDefault="00DD0F7B" w:rsidP="00DD0F7B">
      <w:pPr>
        <w:pStyle w:val="ManualConsidrant"/>
        <w:rPr>
          <w:noProof/>
        </w:rPr>
      </w:pPr>
      <w:r w:rsidRPr="00DD0F7B">
        <w:rPr>
          <w:noProof/>
        </w:rPr>
        <w:t>(5)</w:t>
      </w:r>
      <w:r w:rsidRPr="00DD0F7B">
        <w:rPr>
          <w:noProof/>
        </w:rPr>
        <w:tab/>
      </w:r>
      <w:r w:rsidR="00FB2D64" w:rsidRPr="00F91EC4">
        <w:rPr>
          <w:noProof/>
        </w:rPr>
        <w:t xml:space="preserve">Incorporating the </w:t>
      </w:r>
      <w:r w:rsidR="00C50DB3" w:rsidRPr="00F91EC4">
        <w:rPr>
          <w:noProof/>
        </w:rPr>
        <w:t xml:space="preserve">requirements laid down in </w:t>
      </w:r>
      <w:r w:rsidR="00D73D5F" w:rsidRPr="00F91EC4">
        <w:rPr>
          <w:noProof/>
        </w:rPr>
        <w:t xml:space="preserve">Regulation (EC) No 715/2007 and </w:t>
      </w:r>
      <w:r w:rsidR="00FB2D64" w:rsidRPr="00F91EC4">
        <w:rPr>
          <w:noProof/>
        </w:rPr>
        <w:t xml:space="preserve">Regulation (EC) No 595/2009 </w:t>
      </w:r>
      <w:r w:rsidR="001E66B8" w:rsidRPr="00F91EC4">
        <w:rPr>
          <w:noProof/>
        </w:rPr>
        <w:t xml:space="preserve">into </w:t>
      </w:r>
      <w:r w:rsidR="00E71784">
        <w:rPr>
          <w:noProof/>
        </w:rPr>
        <w:t>a single</w:t>
      </w:r>
      <w:r w:rsidR="00FB2D64" w:rsidRPr="00F91EC4">
        <w:rPr>
          <w:noProof/>
        </w:rPr>
        <w:t xml:space="preserve"> Regulation </w:t>
      </w:r>
      <w:r w:rsidR="00C50DB3" w:rsidRPr="00F91EC4">
        <w:rPr>
          <w:noProof/>
        </w:rPr>
        <w:t xml:space="preserve">should </w:t>
      </w:r>
      <w:r w:rsidR="001E66B8" w:rsidRPr="00F91EC4">
        <w:rPr>
          <w:noProof/>
        </w:rPr>
        <w:t xml:space="preserve">ensure internal coherence of the </w:t>
      </w:r>
      <w:r w:rsidR="00C50DB3" w:rsidRPr="00F91EC4">
        <w:rPr>
          <w:noProof/>
        </w:rPr>
        <w:t>system of</w:t>
      </w:r>
      <w:r w:rsidR="00FB2D64" w:rsidRPr="00F91EC4">
        <w:rPr>
          <w:noProof/>
        </w:rPr>
        <w:t xml:space="preserve"> emission </w:t>
      </w:r>
      <w:r w:rsidR="00976BDB" w:rsidRPr="00F91EC4">
        <w:rPr>
          <w:noProof/>
        </w:rPr>
        <w:t>type-approval</w:t>
      </w:r>
      <w:r w:rsidR="00811951" w:rsidRPr="00F91EC4">
        <w:rPr>
          <w:noProof/>
        </w:rPr>
        <w:t>s</w:t>
      </w:r>
      <w:r w:rsidR="00C50DB3" w:rsidRPr="00F91EC4">
        <w:rPr>
          <w:noProof/>
        </w:rPr>
        <w:t xml:space="preserve"> for both light and heavy-duty vehicles</w:t>
      </w:r>
      <w:r w:rsidR="001E66B8" w:rsidRPr="00F91EC4">
        <w:rPr>
          <w:noProof/>
        </w:rPr>
        <w:t xml:space="preserve">, </w:t>
      </w:r>
      <w:r w:rsidR="00885EA3" w:rsidRPr="00F91EC4">
        <w:rPr>
          <w:noProof/>
        </w:rPr>
        <w:t xml:space="preserve">while </w:t>
      </w:r>
      <w:r w:rsidR="00C50DB3" w:rsidRPr="00F91EC4">
        <w:rPr>
          <w:noProof/>
        </w:rPr>
        <w:t xml:space="preserve">allowing for different </w:t>
      </w:r>
      <w:r w:rsidR="001E66B8" w:rsidRPr="00F91EC4">
        <w:rPr>
          <w:noProof/>
        </w:rPr>
        <w:t xml:space="preserve">emission limits </w:t>
      </w:r>
      <w:r w:rsidR="00C50DB3" w:rsidRPr="00F91EC4">
        <w:rPr>
          <w:noProof/>
        </w:rPr>
        <w:t>for such</w:t>
      </w:r>
      <w:r w:rsidR="001E66B8" w:rsidRPr="00F91EC4">
        <w:rPr>
          <w:noProof/>
        </w:rPr>
        <w:t xml:space="preserve"> vehicles. </w:t>
      </w:r>
    </w:p>
    <w:p w14:paraId="7DD53644" w14:textId="7C42C08C" w:rsidR="0055106C" w:rsidRPr="00F91EC4" w:rsidRDefault="00DD0F7B" w:rsidP="00DD0F7B">
      <w:pPr>
        <w:pStyle w:val="ManualConsidrant"/>
        <w:rPr>
          <w:noProof/>
        </w:rPr>
      </w:pPr>
      <w:r w:rsidRPr="00DD0F7B">
        <w:rPr>
          <w:noProof/>
        </w:rPr>
        <w:t>(6)</w:t>
      </w:r>
      <w:r w:rsidRPr="00DD0F7B">
        <w:rPr>
          <w:noProof/>
        </w:rPr>
        <w:tab/>
      </w:r>
      <w:r w:rsidR="0055106C" w:rsidRPr="00F91EC4">
        <w:rPr>
          <w:noProof/>
        </w:rPr>
        <w:t xml:space="preserve">Furthermore, the current emission limits were adopted in 2007 for light-duty vehicles and for heavy-duty vehicles in 2009. Both emission limits were adopted on the basis of the then available technology. Since then, technology has advanced and the level of emissions achieved with a combination of current technologies is much lower than that achieved more than 15 years ago. That technological progress should be reflected in emission limits </w:t>
      </w:r>
      <w:r w:rsidR="0055106C" w:rsidRPr="00F91EC4">
        <w:rPr>
          <w:noProof/>
          <w:szCs w:val="24"/>
        </w:rPr>
        <w:t>based on state-of-the-art existing technology and knowledge of pollution controls and for all relevant pollutants</w:t>
      </w:r>
      <w:r w:rsidR="0055106C" w:rsidRPr="00F91EC4">
        <w:rPr>
          <w:noProof/>
        </w:rPr>
        <w:t>.</w:t>
      </w:r>
    </w:p>
    <w:p w14:paraId="778FD173" w14:textId="71EF1698" w:rsidR="003E6D54" w:rsidRPr="00F91EC4" w:rsidRDefault="00DD0F7B" w:rsidP="00DD0F7B">
      <w:pPr>
        <w:pStyle w:val="ManualConsidrant"/>
        <w:rPr>
          <w:noProof/>
        </w:rPr>
      </w:pPr>
      <w:r w:rsidRPr="00DD0F7B">
        <w:rPr>
          <w:noProof/>
        </w:rPr>
        <w:t>(7)</w:t>
      </w:r>
      <w:r w:rsidRPr="00DD0F7B">
        <w:rPr>
          <w:noProof/>
        </w:rPr>
        <w:tab/>
      </w:r>
      <w:r w:rsidR="00760C9F" w:rsidRPr="00F91EC4">
        <w:rPr>
          <w:noProof/>
        </w:rPr>
        <w:t xml:space="preserve">It is </w:t>
      </w:r>
      <w:r w:rsidR="0055106C" w:rsidRPr="00F91EC4">
        <w:rPr>
          <w:noProof/>
        </w:rPr>
        <w:t xml:space="preserve">also </w:t>
      </w:r>
      <w:r w:rsidR="00760C9F" w:rsidRPr="00F91EC4">
        <w:rPr>
          <w:noProof/>
        </w:rPr>
        <w:t xml:space="preserve">necessary to reduce </w:t>
      </w:r>
      <w:r w:rsidR="003E6D54" w:rsidRPr="00F91EC4">
        <w:rPr>
          <w:noProof/>
        </w:rPr>
        <w:t>complexity</w:t>
      </w:r>
      <w:r w:rsidR="00760C9F" w:rsidRPr="00F91EC4">
        <w:rPr>
          <w:noProof/>
        </w:rPr>
        <w:t xml:space="preserve">, administrative and implementation costs </w:t>
      </w:r>
      <w:r w:rsidR="00A4008B" w:rsidRPr="00F91EC4">
        <w:rPr>
          <w:noProof/>
        </w:rPr>
        <w:t xml:space="preserve">for manufacturers and authorities </w:t>
      </w:r>
      <w:r w:rsidR="00760C9F" w:rsidRPr="00F91EC4">
        <w:rPr>
          <w:noProof/>
        </w:rPr>
        <w:t>and to ensure effective and efficient implementation</w:t>
      </w:r>
      <w:r w:rsidR="003E6D54" w:rsidRPr="00F91EC4">
        <w:rPr>
          <w:noProof/>
        </w:rPr>
        <w:t xml:space="preserve"> of the Euro emission standards</w:t>
      </w:r>
      <w:r w:rsidR="00A4008B" w:rsidRPr="00F91EC4">
        <w:rPr>
          <w:noProof/>
        </w:rPr>
        <w:t>.</w:t>
      </w:r>
      <w:r w:rsidR="00543DD6" w:rsidRPr="00F91EC4">
        <w:rPr>
          <w:noProof/>
        </w:rPr>
        <w:t xml:space="preserve"> </w:t>
      </w:r>
      <w:r w:rsidR="00A4008B" w:rsidRPr="00F91EC4">
        <w:rPr>
          <w:noProof/>
        </w:rPr>
        <w:t xml:space="preserve">Simplification is achieved </w:t>
      </w:r>
      <w:r w:rsidR="003E6D54" w:rsidRPr="00F91EC4">
        <w:rPr>
          <w:noProof/>
        </w:rPr>
        <w:t xml:space="preserve">by </w:t>
      </w:r>
      <w:r w:rsidR="00760C9F" w:rsidRPr="00F91EC4">
        <w:rPr>
          <w:noProof/>
        </w:rPr>
        <w:t xml:space="preserve">eliminating </w:t>
      </w:r>
      <w:r w:rsidR="003E6D54" w:rsidRPr="00F91EC4">
        <w:rPr>
          <w:noProof/>
        </w:rPr>
        <w:t xml:space="preserve">different </w:t>
      </w:r>
      <w:r w:rsidR="00836AB9" w:rsidRPr="00F91EC4">
        <w:rPr>
          <w:noProof/>
        </w:rPr>
        <w:t xml:space="preserve">application </w:t>
      </w:r>
      <w:r w:rsidR="003E6D54" w:rsidRPr="00F91EC4">
        <w:rPr>
          <w:noProof/>
        </w:rPr>
        <w:t>dates for the limits and tests</w:t>
      </w:r>
      <w:r w:rsidR="00E71784">
        <w:rPr>
          <w:noProof/>
        </w:rPr>
        <w:t xml:space="preserve"> which existed under Euro 6 and Euro VI</w:t>
      </w:r>
      <w:r w:rsidR="003E6D54" w:rsidRPr="00F91EC4">
        <w:rPr>
          <w:noProof/>
        </w:rPr>
        <w:t xml:space="preserve">, </w:t>
      </w:r>
      <w:r w:rsidR="00760C9F" w:rsidRPr="00F91EC4">
        <w:rPr>
          <w:noProof/>
        </w:rPr>
        <w:t xml:space="preserve">by eliminating </w:t>
      </w:r>
      <w:r w:rsidR="003E6D54" w:rsidRPr="00F91EC4">
        <w:rPr>
          <w:noProof/>
        </w:rPr>
        <w:t>multiple and complex emission tests where</w:t>
      </w:r>
      <w:r w:rsidR="00C22733" w:rsidRPr="00F91EC4">
        <w:rPr>
          <w:noProof/>
        </w:rPr>
        <w:t xml:space="preserve"> such tests are</w:t>
      </w:r>
      <w:r w:rsidR="003E6D54" w:rsidRPr="00F91EC4">
        <w:rPr>
          <w:noProof/>
        </w:rPr>
        <w:t xml:space="preserve"> not needed</w:t>
      </w:r>
      <w:r w:rsidR="00287F1A" w:rsidRPr="00F91EC4">
        <w:rPr>
          <w:noProof/>
        </w:rPr>
        <w:t xml:space="preserve">, </w:t>
      </w:r>
      <w:r w:rsidR="00760C9F" w:rsidRPr="00F91EC4">
        <w:rPr>
          <w:noProof/>
        </w:rPr>
        <w:t>by referring</w:t>
      </w:r>
      <w:r w:rsidR="00287F1A" w:rsidRPr="00F91EC4">
        <w:rPr>
          <w:noProof/>
        </w:rPr>
        <w:t xml:space="preserve"> to </w:t>
      </w:r>
      <w:r w:rsidR="00E71784">
        <w:rPr>
          <w:noProof/>
        </w:rPr>
        <w:t xml:space="preserve">standards under </w:t>
      </w:r>
      <w:r w:rsidR="00287F1A" w:rsidRPr="00F91EC4">
        <w:rPr>
          <w:noProof/>
        </w:rPr>
        <w:t xml:space="preserve">existing </w:t>
      </w:r>
      <w:r w:rsidR="00E71784">
        <w:rPr>
          <w:noProof/>
        </w:rPr>
        <w:t>UN Regulations</w:t>
      </w:r>
      <w:r w:rsidR="00E71784" w:rsidRPr="00F91EC4">
        <w:rPr>
          <w:noProof/>
        </w:rPr>
        <w:t xml:space="preserve"> </w:t>
      </w:r>
      <w:r w:rsidR="00287F1A" w:rsidRPr="00F91EC4">
        <w:rPr>
          <w:noProof/>
        </w:rPr>
        <w:t>w</w:t>
      </w:r>
      <w:r w:rsidR="008B09A1" w:rsidRPr="00F91EC4">
        <w:rPr>
          <w:noProof/>
        </w:rPr>
        <w:t>h</w:t>
      </w:r>
      <w:r w:rsidR="00287F1A" w:rsidRPr="00F91EC4">
        <w:rPr>
          <w:noProof/>
        </w:rPr>
        <w:t>ere applicable</w:t>
      </w:r>
      <w:r w:rsidR="008B09A1" w:rsidRPr="00F91EC4">
        <w:rPr>
          <w:noProof/>
        </w:rPr>
        <w:t>,</w:t>
      </w:r>
      <w:r w:rsidR="003E6D54" w:rsidRPr="00F91EC4">
        <w:rPr>
          <w:noProof/>
        </w:rPr>
        <w:t xml:space="preserve"> </w:t>
      </w:r>
      <w:r w:rsidR="00287F1A" w:rsidRPr="00F91EC4">
        <w:rPr>
          <w:noProof/>
        </w:rPr>
        <w:t xml:space="preserve">and </w:t>
      </w:r>
      <w:r w:rsidR="00760C9F" w:rsidRPr="00F91EC4">
        <w:rPr>
          <w:noProof/>
        </w:rPr>
        <w:t xml:space="preserve">by </w:t>
      </w:r>
      <w:r w:rsidR="00287F1A" w:rsidRPr="00F91EC4">
        <w:rPr>
          <w:noProof/>
        </w:rPr>
        <w:t>ensuring</w:t>
      </w:r>
      <w:r w:rsidR="00760C9F" w:rsidRPr="00F91EC4">
        <w:rPr>
          <w:noProof/>
        </w:rPr>
        <w:t xml:space="preserve"> a</w:t>
      </w:r>
      <w:r w:rsidR="003E6D54" w:rsidRPr="00F91EC4">
        <w:rPr>
          <w:noProof/>
        </w:rPr>
        <w:t xml:space="preserve"> streamlined and consistent set of procedures and tests</w:t>
      </w:r>
      <w:r w:rsidR="00287F1A" w:rsidRPr="00F91EC4">
        <w:rPr>
          <w:noProof/>
        </w:rPr>
        <w:t xml:space="preserve"> for the various phases of </w:t>
      </w:r>
      <w:r w:rsidR="00760C9F" w:rsidRPr="00F91EC4">
        <w:rPr>
          <w:noProof/>
        </w:rPr>
        <w:t xml:space="preserve">the emission </w:t>
      </w:r>
      <w:r w:rsidR="00976BDB" w:rsidRPr="00F91EC4">
        <w:rPr>
          <w:noProof/>
        </w:rPr>
        <w:t>type-approval</w:t>
      </w:r>
      <w:r w:rsidR="003E6D54" w:rsidRPr="00F91EC4">
        <w:rPr>
          <w:noProof/>
        </w:rPr>
        <w:t>.</w:t>
      </w:r>
    </w:p>
    <w:p w14:paraId="636327A1" w14:textId="4CAF08BD" w:rsidR="0055106C" w:rsidRPr="00F91EC4" w:rsidRDefault="00DD0F7B" w:rsidP="00DD0F7B">
      <w:pPr>
        <w:pStyle w:val="ManualConsidrant"/>
        <w:rPr>
          <w:noProof/>
        </w:rPr>
      </w:pPr>
      <w:r w:rsidRPr="00DD0F7B">
        <w:rPr>
          <w:noProof/>
        </w:rPr>
        <w:t>(8)</w:t>
      </w:r>
      <w:r w:rsidRPr="00DD0F7B">
        <w:rPr>
          <w:noProof/>
        </w:rPr>
        <w:tab/>
      </w:r>
      <w:r w:rsidR="0055106C" w:rsidRPr="00F91EC4">
        <w:rPr>
          <w:noProof/>
        </w:rPr>
        <w:t>In order to ensure that the emissions for both light and heavy duty vehicles are limited in real life, testing vehicles in real conditions of use with a minimum set of restrictions, boundaries and other driving requirements and not only in the laboratory is required.</w:t>
      </w:r>
    </w:p>
    <w:p w14:paraId="6DF43941" w14:textId="7B216F12" w:rsidR="00C05015" w:rsidRPr="00F91EC4" w:rsidRDefault="00DD0F7B" w:rsidP="00DD0F7B">
      <w:pPr>
        <w:pStyle w:val="ManualConsidrant"/>
        <w:rPr>
          <w:noProof/>
        </w:rPr>
      </w:pPr>
      <w:r w:rsidRPr="00DD0F7B">
        <w:rPr>
          <w:noProof/>
        </w:rPr>
        <w:t>(9)</w:t>
      </w:r>
      <w:r w:rsidRPr="00DD0F7B">
        <w:rPr>
          <w:noProof/>
        </w:rPr>
        <w:tab/>
      </w:r>
      <w:r w:rsidR="006966DC" w:rsidRPr="00F91EC4">
        <w:rPr>
          <w:noProof/>
        </w:rPr>
        <w:t xml:space="preserve">The accuracy of </w:t>
      </w:r>
      <w:r w:rsidR="001F42C3" w:rsidRPr="00F91EC4">
        <w:rPr>
          <w:noProof/>
        </w:rPr>
        <w:t xml:space="preserve">the </w:t>
      </w:r>
      <w:r w:rsidR="006966DC" w:rsidRPr="00F91EC4">
        <w:rPr>
          <w:noProof/>
        </w:rPr>
        <w:t xml:space="preserve">portable emission measurement equipment used for measuring </w:t>
      </w:r>
      <w:r w:rsidR="00661005" w:rsidRPr="00F91EC4">
        <w:rPr>
          <w:noProof/>
        </w:rPr>
        <w:t xml:space="preserve">the </w:t>
      </w:r>
      <w:r w:rsidR="006966DC" w:rsidRPr="00F91EC4">
        <w:rPr>
          <w:noProof/>
        </w:rPr>
        <w:t xml:space="preserve">emissions of vehicles </w:t>
      </w:r>
      <w:r w:rsidR="00661005" w:rsidRPr="00F91EC4">
        <w:rPr>
          <w:noProof/>
        </w:rPr>
        <w:t xml:space="preserve">used </w:t>
      </w:r>
      <w:r w:rsidR="006966DC" w:rsidRPr="00F91EC4">
        <w:rPr>
          <w:noProof/>
        </w:rPr>
        <w:t xml:space="preserve">on the road has improved significantly since their introduction. </w:t>
      </w:r>
      <w:r w:rsidR="00266720" w:rsidRPr="00F91EC4">
        <w:rPr>
          <w:noProof/>
        </w:rPr>
        <w:t xml:space="preserve">It is therefore </w:t>
      </w:r>
      <w:r w:rsidR="00E71784">
        <w:rPr>
          <w:noProof/>
        </w:rPr>
        <w:t>appropriate</w:t>
      </w:r>
      <w:r w:rsidR="00E71784" w:rsidRPr="00F91EC4">
        <w:rPr>
          <w:noProof/>
        </w:rPr>
        <w:t xml:space="preserve"> </w:t>
      </w:r>
      <w:r w:rsidR="00266720" w:rsidRPr="00F91EC4">
        <w:rPr>
          <w:noProof/>
        </w:rPr>
        <w:t>to base t</w:t>
      </w:r>
      <w:r w:rsidR="006966DC" w:rsidRPr="00F91EC4">
        <w:rPr>
          <w:noProof/>
        </w:rPr>
        <w:t xml:space="preserve">he emission limits on such on-road measurements and </w:t>
      </w:r>
      <w:r w:rsidR="0055106C" w:rsidRPr="00F91EC4">
        <w:rPr>
          <w:noProof/>
        </w:rPr>
        <w:t xml:space="preserve">therefore on-road testing </w:t>
      </w:r>
      <w:r w:rsidR="006966DC" w:rsidRPr="00F91EC4">
        <w:rPr>
          <w:noProof/>
        </w:rPr>
        <w:t>no longer require</w:t>
      </w:r>
      <w:r w:rsidR="0055106C" w:rsidRPr="00F91EC4">
        <w:rPr>
          <w:noProof/>
        </w:rPr>
        <w:t>s</w:t>
      </w:r>
      <w:r w:rsidR="006966DC" w:rsidRPr="00F91EC4">
        <w:rPr>
          <w:noProof/>
        </w:rPr>
        <w:t xml:space="preserve"> the use of conformity factors. </w:t>
      </w:r>
    </w:p>
    <w:p w14:paraId="4D4576C9" w14:textId="4DACD984" w:rsidR="003B27A2" w:rsidRPr="00F91EC4" w:rsidRDefault="00DD0F7B" w:rsidP="00DD0F7B">
      <w:pPr>
        <w:pStyle w:val="ManualConsidrant"/>
        <w:rPr>
          <w:noProof/>
        </w:rPr>
      </w:pPr>
      <w:r w:rsidRPr="00DD0F7B">
        <w:rPr>
          <w:noProof/>
        </w:rPr>
        <w:t>(10)</w:t>
      </w:r>
      <w:r w:rsidRPr="00DD0F7B">
        <w:rPr>
          <w:noProof/>
        </w:rPr>
        <w:tab/>
      </w:r>
      <w:r w:rsidR="00CF4CFA" w:rsidRPr="00F91EC4">
        <w:rPr>
          <w:noProof/>
        </w:rPr>
        <w:t>R</w:t>
      </w:r>
      <w:r w:rsidR="00CB312F" w:rsidRPr="00F91EC4">
        <w:rPr>
          <w:noProof/>
        </w:rPr>
        <w:t>egulation</w:t>
      </w:r>
      <w:r w:rsidR="00E71784">
        <w:rPr>
          <w:noProof/>
        </w:rPr>
        <w:t>s</w:t>
      </w:r>
      <w:r w:rsidR="00CB312F" w:rsidRPr="00F91EC4">
        <w:rPr>
          <w:noProof/>
        </w:rPr>
        <w:t xml:space="preserve"> (EC) No</w:t>
      </w:r>
      <w:r w:rsidR="002B7E5B" w:rsidRPr="00F91EC4">
        <w:rPr>
          <w:noProof/>
        </w:rPr>
        <w:t xml:space="preserve"> </w:t>
      </w:r>
      <w:r w:rsidR="00CF4CFA" w:rsidRPr="00F91EC4">
        <w:rPr>
          <w:noProof/>
        </w:rPr>
        <w:t xml:space="preserve">715/2007 and (EC) No 595/2009 </w:t>
      </w:r>
      <w:r w:rsidR="002B7E5B" w:rsidRPr="00F91EC4">
        <w:rPr>
          <w:noProof/>
        </w:rPr>
        <w:t xml:space="preserve">require </w:t>
      </w:r>
      <w:r w:rsidR="004C3346" w:rsidRPr="00F91EC4">
        <w:rPr>
          <w:noProof/>
        </w:rPr>
        <w:t>that vehicles respect</w:t>
      </w:r>
      <w:r w:rsidR="003B27A2" w:rsidRPr="00F91EC4">
        <w:rPr>
          <w:noProof/>
        </w:rPr>
        <w:t xml:space="preserve"> the emission limits</w:t>
      </w:r>
      <w:r w:rsidR="004C3346" w:rsidRPr="00F91EC4">
        <w:rPr>
          <w:noProof/>
        </w:rPr>
        <w:t xml:space="preserve"> for a specified period of time,</w:t>
      </w:r>
      <w:r w:rsidR="003B27A2" w:rsidRPr="00F91EC4">
        <w:rPr>
          <w:noProof/>
        </w:rPr>
        <w:t xml:space="preserve"> which </w:t>
      </w:r>
      <w:r w:rsidR="00DC05B5" w:rsidRPr="00F91EC4">
        <w:rPr>
          <w:noProof/>
        </w:rPr>
        <w:t>do</w:t>
      </w:r>
      <w:r w:rsidR="004C3346" w:rsidRPr="00F91EC4">
        <w:rPr>
          <w:noProof/>
        </w:rPr>
        <w:t>es</w:t>
      </w:r>
      <w:r w:rsidR="00DC05B5" w:rsidRPr="00F91EC4">
        <w:rPr>
          <w:noProof/>
        </w:rPr>
        <w:t xml:space="preserve"> not</w:t>
      </w:r>
      <w:r w:rsidR="003B27A2" w:rsidRPr="00F91EC4">
        <w:rPr>
          <w:noProof/>
        </w:rPr>
        <w:t xml:space="preserve"> </w:t>
      </w:r>
      <w:r w:rsidR="003516F0" w:rsidRPr="00F91EC4">
        <w:rPr>
          <w:noProof/>
        </w:rPr>
        <w:t xml:space="preserve">correspond </w:t>
      </w:r>
      <w:r w:rsidR="00E71784">
        <w:rPr>
          <w:noProof/>
        </w:rPr>
        <w:t xml:space="preserve">anymore </w:t>
      </w:r>
      <w:r w:rsidR="003516F0" w:rsidRPr="00F91EC4">
        <w:rPr>
          <w:noProof/>
        </w:rPr>
        <w:t xml:space="preserve">to </w:t>
      </w:r>
      <w:r w:rsidR="003B27A2" w:rsidRPr="00F91EC4">
        <w:rPr>
          <w:noProof/>
        </w:rPr>
        <w:t xml:space="preserve">the average lifetime of vehicles. It is therefore appropriate to </w:t>
      </w:r>
      <w:r w:rsidR="0024673C" w:rsidRPr="00F91EC4">
        <w:rPr>
          <w:noProof/>
        </w:rPr>
        <w:t xml:space="preserve">lay down </w:t>
      </w:r>
      <w:r w:rsidR="003B27A2" w:rsidRPr="00F91EC4">
        <w:rPr>
          <w:noProof/>
        </w:rPr>
        <w:t xml:space="preserve">durability requirements that </w:t>
      </w:r>
      <w:r w:rsidR="002B7E5B" w:rsidRPr="00F91EC4">
        <w:rPr>
          <w:noProof/>
        </w:rPr>
        <w:t>reflect</w:t>
      </w:r>
      <w:r w:rsidR="003B27A2" w:rsidRPr="00F91EC4">
        <w:rPr>
          <w:noProof/>
        </w:rPr>
        <w:t xml:space="preserve"> the average expected lifetime of vehicles in </w:t>
      </w:r>
      <w:r w:rsidR="00481F42" w:rsidRPr="00F91EC4">
        <w:rPr>
          <w:noProof/>
        </w:rPr>
        <w:t>the Union</w:t>
      </w:r>
      <w:r w:rsidR="003B27A2" w:rsidRPr="00F91EC4">
        <w:rPr>
          <w:noProof/>
        </w:rPr>
        <w:t xml:space="preserve">. </w:t>
      </w:r>
    </w:p>
    <w:p w14:paraId="7CEAE6BD" w14:textId="33E0AF2B" w:rsidR="00DE428E" w:rsidRPr="00F91EC4" w:rsidRDefault="00DD0F7B" w:rsidP="00DD0F7B">
      <w:pPr>
        <w:pStyle w:val="ManualConsidrant"/>
        <w:rPr>
          <w:noProof/>
        </w:rPr>
      </w:pPr>
      <w:r w:rsidRPr="00DD0F7B">
        <w:rPr>
          <w:noProof/>
        </w:rPr>
        <w:t>(11)</w:t>
      </w:r>
      <w:r w:rsidRPr="00DD0F7B">
        <w:rPr>
          <w:noProof/>
        </w:rPr>
        <w:tab/>
      </w:r>
      <w:r w:rsidR="00481F42" w:rsidRPr="00F91EC4">
        <w:rPr>
          <w:noProof/>
        </w:rPr>
        <w:t>There are now technologies available</w:t>
      </w:r>
      <w:r w:rsidR="00EA2B41" w:rsidRPr="00F91EC4">
        <w:rPr>
          <w:noProof/>
        </w:rPr>
        <w:t xml:space="preserve"> and used </w:t>
      </w:r>
      <w:r w:rsidR="002B4ECB" w:rsidRPr="00F91EC4">
        <w:rPr>
          <w:noProof/>
        </w:rPr>
        <w:t xml:space="preserve">widely </w:t>
      </w:r>
      <w:r w:rsidR="00EA2B41" w:rsidRPr="00F91EC4">
        <w:rPr>
          <w:noProof/>
        </w:rPr>
        <w:t>worldwide</w:t>
      </w:r>
      <w:r w:rsidR="00481F42" w:rsidRPr="00F91EC4">
        <w:rPr>
          <w:noProof/>
        </w:rPr>
        <w:t xml:space="preserve"> that limit </w:t>
      </w:r>
      <w:r w:rsidR="00842303" w:rsidRPr="00F91EC4">
        <w:rPr>
          <w:noProof/>
        </w:rPr>
        <w:t xml:space="preserve">evaporative </w:t>
      </w:r>
      <w:r w:rsidR="00481F42" w:rsidRPr="00F91EC4">
        <w:rPr>
          <w:noProof/>
        </w:rPr>
        <w:t>emissions of volatile organic compounds during the use</w:t>
      </w:r>
      <w:r w:rsidR="003A3C1A" w:rsidRPr="00F91EC4">
        <w:rPr>
          <w:noProof/>
        </w:rPr>
        <w:t>, parking</w:t>
      </w:r>
      <w:r w:rsidR="00481F42" w:rsidRPr="00F91EC4">
        <w:rPr>
          <w:noProof/>
        </w:rPr>
        <w:t xml:space="preserve"> and refuelling of </w:t>
      </w:r>
      <w:r w:rsidR="0024673C" w:rsidRPr="00F91EC4">
        <w:rPr>
          <w:noProof/>
        </w:rPr>
        <w:t>a</w:t>
      </w:r>
      <w:r w:rsidR="00481F42" w:rsidRPr="00F91EC4">
        <w:rPr>
          <w:noProof/>
        </w:rPr>
        <w:t xml:space="preserve"> vehicle</w:t>
      </w:r>
      <w:r w:rsidR="002B7E5B" w:rsidRPr="00F91EC4">
        <w:rPr>
          <w:noProof/>
        </w:rPr>
        <w:t xml:space="preserve"> with petrol fuel</w:t>
      </w:r>
      <w:r w:rsidR="00481F42" w:rsidRPr="00F91EC4">
        <w:rPr>
          <w:noProof/>
        </w:rPr>
        <w:t xml:space="preserve">. </w:t>
      </w:r>
      <w:r w:rsidR="002B7E5B" w:rsidRPr="00F91EC4">
        <w:rPr>
          <w:noProof/>
        </w:rPr>
        <w:t xml:space="preserve">It is therefore </w:t>
      </w:r>
      <w:r w:rsidR="00E71784">
        <w:rPr>
          <w:noProof/>
        </w:rPr>
        <w:t>appropriate</w:t>
      </w:r>
      <w:r w:rsidR="002B7E5B" w:rsidRPr="00F91EC4">
        <w:rPr>
          <w:noProof/>
        </w:rPr>
        <w:t xml:space="preserve"> to set the</w:t>
      </w:r>
      <w:r w:rsidR="006E3F3D" w:rsidRPr="00F91EC4">
        <w:rPr>
          <w:noProof/>
        </w:rPr>
        <w:t xml:space="preserve"> emission limits for such volatile organic compounds </w:t>
      </w:r>
      <w:r w:rsidR="002B7E5B" w:rsidRPr="00F91EC4">
        <w:rPr>
          <w:noProof/>
        </w:rPr>
        <w:t>at a lower level</w:t>
      </w:r>
      <w:r w:rsidR="003A3C1A" w:rsidRPr="00F91EC4">
        <w:rPr>
          <w:noProof/>
        </w:rPr>
        <w:t xml:space="preserve"> and introduce emission limits for the refuelling phase</w:t>
      </w:r>
      <w:r w:rsidR="00DE428E" w:rsidRPr="00F91EC4">
        <w:rPr>
          <w:noProof/>
        </w:rPr>
        <w:t xml:space="preserve">. </w:t>
      </w:r>
    </w:p>
    <w:p w14:paraId="5AA2EC2D" w14:textId="44C42588" w:rsidR="003A3C1A" w:rsidRPr="00F91EC4" w:rsidRDefault="00DD0F7B" w:rsidP="00DD0F7B">
      <w:pPr>
        <w:pStyle w:val="ManualConsidrant"/>
        <w:rPr>
          <w:noProof/>
        </w:rPr>
      </w:pPr>
      <w:r w:rsidRPr="00DD0F7B">
        <w:rPr>
          <w:noProof/>
        </w:rPr>
        <w:t>(12)</w:t>
      </w:r>
      <w:r w:rsidRPr="00DD0F7B">
        <w:rPr>
          <w:noProof/>
        </w:rPr>
        <w:tab/>
      </w:r>
      <w:r w:rsidR="005F4FA1" w:rsidRPr="00F91EC4">
        <w:rPr>
          <w:noProof/>
        </w:rPr>
        <w:t>Non-</w:t>
      </w:r>
      <w:r w:rsidR="00B8125F" w:rsidRPr="00F91EC4">
        <w:rPr>
          <w:noProof/>
        </w:rPr>
        <w:t xml:space="preserve">exhaust </w:t>
      </w:r>
      <w:r w:rsidR="005F4FA1" w:rsidRPr="00F91EC4">
        <w:rPr>
          <w:noProof/>
        </w:rPr>
        <w:t xml:space="preserve">emissions </w:t>
      </w:r>
      <w:r w:rsidR="00860902" w:rsidRPr="00F91EC4">
        <w:rPr>
          <w:noProof/>
        </w:rPr>
        <w:t xml:space="preserve">consist </w:t>
      </w:r>
      <w:r w:rsidR="005F4FA1" w:rsidRPr="00F91EC4">
        <w:rPr>
          <w:noProof/>
        </w:rPr>
        <w:t xml:space="preserve">of particles emitted by </w:t>
      </w:r>
      <w:r w:rsidR="006942C2" w:rsidRPr="00F91EC4">
        <w:rPr>
          <w:noProof/>
        </w:rPr>
        <w:t xml:space="preserve">tyres and </w:t>
      </w:r>
      <w:r w:rsidR="005F4FA1" w:rsidRPr="00F91EC4">
        <w:rPr>
          <w:noProof/>
        </w:rPr>
        <w:t>brakes of vehicles</w:t>
      </w:r>
      <w:r w:rsidR="00860902" w:rsidRPr="00F91EC4">
        <w:rPr>
          <w:noProof/>
        </w:rPr>
        <w:t xml:space="preserve">. </w:t>
      </w:r>
      <w:r w:rsidR="003A3C1A" w:rsidRPr="00F91EC4">
        <w:rPr>
          <w:noProof/>
        </w:rPr>
        <w:t>Emissions from tyres is estimated to be the largest source of microplastics to the environment.</w:t>
      </w:r>
      <w:r w:rsidR="00F13484" w:rsidRPr="00F91EC4">
        <w:rPr>
          <w:noProof/>
        </w:rPr>
        <w:t xml:space="preserve"> </w:t>
      </w:r>
      <w:r w:rsidR="00DA5B65">
        <w:rPr>
          <w:noProof/>
        </w:rPr>
        <w:t xml:space="preserve">As shown in the Impact Assessment, </w:t>
      </w:r>
      <w:r w:rsidR="005806BB">
        <w:rPr>
          <w:noProof/>
        </w:rPr>
        <w:t>i</w:t>
      </w:r>
      <w:r w:rsidR="00860902" w:rsidRPr="00F91EC4">
        <w:rPr>
          <w:noProof/>
        </w:rPr>
        <w:t>t</w:t>
      </w:r>
      <w:r w:rsidR="00F13484" w:rsidRPr="00F91EC4">
        <w:rPr>
          <w:noProof/>
        </w:rPr>
        <w:t xml:space="preserve"> is</w:t>
      </w:r>
      <w:r w:rsidR="00B8125F" w:rsidRPr="00F91EC4">
        <w:rPr>
          <w:noProof/>
        </w:rPr>
        <w:t xml:space="preserve"> expected </w:t>
      </w:r>
      <w:r w:rsidR="00860902" w:rsidRPr="00F91EC4">
        <w:rPr>
          <w:noProof/>
        </w:rPr>
        <w:t xml:space="preserve">that by 2050, non-exhaust emissions will constitute </w:t>
      </w:r>
      <w:r w:rsidR="00B8125F" w:rsidRPr="00F91EC4">
        <w:rPr>
          <w:noProof/>
        </w:rPr>
        <w:t xml:space="preserve">up to 90% of </w:t>
      </w:r>
      <w:r w:rsidR="00860902" w:rsidRPr="00F91EC4">
        <w:rPr>
          <w:noProof/>
        </w:rPr>
        <w:t xml:space="preserve">all </w:t>
      </w:r>
      <w:r w:rsidR="00B8125F" w:rsidRPr="00F91EC4">
        <w:rPr>
          <w:noProof/>
        </w:rPr>
        <w:t>particles emitted by road transport, because exhaust particles will diminish</w:t>
      </w:r>
      <w:r w:rsidR="00860902" w:rsidRPr="00F91EC4">
        <w:rPr>
          <w:noProof/>
        </w:rPr>
        <w:t xml:space="preserve"> due to </w:t>
      </w:r>
      <w:r w:rsidR="00FC5AB8" w:rsidRPr="00F91EC4">
        <w:rPr>
          <w:noProof/>
        </w:rPr>
        <w:t xml:space="preserve">vehicle </w:t>
      </w:r>
      <w:r w:rsidR="00860902" w:rsidRPr="00F91EC4">
        <w:rPr>
          <w:noProof/>
        </w:rPr>
        <w:t>electrification</w:t>
      </w:r>
      <w:r w:rsidR="005F4FA1" w:rsidRPr="00F91EC4">
        <w:rPr>
          <w:noProof/>
        </w:rPr>
        <w:t>. Th</w:t>
      </w:r>
      <w:r w:rsidR="00AD52D2" w:rsidRPr="00F91EC4">
        <w:rPr>
          <w:noProof/>
        </w:rPr>
        <w:t>ose non-exhaust emissions</w:t>
      </w:r>
      <w:r w:rsidR="005F4FA1" w:rsidRPr="00F91EC4">
        <w:rPr>
          <w:noProof/>
        </w:rPr>
        <w:t xml:space="preserve"> should therefore be </w:t>
      </w:r>
      <w:r w:rsidR="00DC05B5" w:rsidRPr="00F91EC4">
        <w:rPr>
          <w:noProof/>
        </w:rPr>
        <w:t xml:space="preserve">measured </w:t>
      </w:r>
      <w:r w:rsidR="005F4FA1" w:rsidRPr="00F91EC4">
        <w:rPr>
          <w:noProof/>
        </w:rPr>
        <w:t>and limited</w:t>
      </w:r>
      <w:r w:rsidR="00B35502" w:rsidRPr="00F91EC4">
        <w:rPr>
          <w:noProof/>
        </w:rPr>
        <w:t>.</w:t>
      </w:r>
      <w:r w:rsidR="003A3C1A" w:rsidRPr="00F91EC4">
        <w:rPr>
          <w:noProof/>
        </w:rPr>
        <w:t xml:space="preserve"> </w:t>
      </w:r>
      <w:r w:rsidR="00350B00" w:rsidRPr="00F91EC4">
        <w:rPr>
          <w:noProof/>
        </w:rPr>
        <w:t xml:space="preserve">The Commission should prepare a report on tyre abrasion by the end of 2024 </w:t>
      </w:r>
      <w:r w:rsidR="003222C8" w:rsidRPr="00F91EC4">
        <w:rPr>
          <w:noProof/>
        </w:rPr>
        <w:t>to review</w:t>
      </w:r>
      <w:r w:rsidR="003D0AC7" w:rsidRPr="00F91EC4">
        <w:rPr>
          <w:noProof/>
        </w:rPr>
        <w:t xml:space="preserve"> </w:t>
      </w:r>
      <w:r w:rsidR="005E2F02" w:rsidRPr="00F91EC4">
        <w:rPr>
          <w:noProof/>
        </w:rPr>
        <w:t>the measurement methods and state-of-the-art in order to propose</w:t>
      </w:r>
      <w:r w:rsidR="00350B00" w:rsidRPr="00F91EC4">
        <w:rPr>
          <w:noProof/>
        </w:rPr>
        <w:t xml:space="preserve"> tyre abrasion limits. </w:t>
      </w:r>
    </w:p>
    <w:p w14:paraId="374B5C94" w14:textId="6693878D" w:rsidR="00434C93" w:rsidRPr="00F91EC4" w:rsidRDefault="00DD0F7B" w:rsidP="00DD0F7B">
      <w:pPr>
        <w:pStyle w:val="ManualConsidrant"/>
        <w:rPr>
          <w:noProof/>
        </w:rPr>
      </w:pPr>
      <w:r w:rsidRPr="00DD0F7B">
        <w:rPr>
          <w:noProof/>
        </w:rPr>
        <w:t>(13)</w:t>
      </w:r>
      <w:r w:rsidRPr="00DD0F7B">
        <w:rPr>
          <w:noProof/>
        </w:rPr>
        <w:tab/>
      </w:r>
      <w:r w:rsidR="00BD5DE6" w:rsidRPr="00F91EC4">
        <w:rPr>
          <w:noProof/>
        </w:rPr>
        <w:t>Regulation (EU) 2019/2144 of the European Parliament and of the Council</w:t>
      </w:r>
      <w:r w:rsidR="006A743E" w:rsidRPr="00F91EC4">
        <w:rPr>
          <w:rStyle w:val="FootnoteReference"/>
          <w:noProof/>
        </w:rPr>
        <w:footnoteReference w:id="47"/>
      </w:r>
      <w:r w:rsidR="00BD5DE6" w:rsidRPr="00F91EC4">
        <w:rPr>
          <w:noProof/>
        </w:rPr>
        <w:t xml:space="preserve"> </w:t>
      </w:r>
      <w:r w:rsidR="00434C93" w:rsidRPr="00F91EC4">
        <w:rPr>
          <w:noProof/>
        </w:rPr>
        <w:t xml:space="preserve">regulates </w:t>
      </w:r>
      <w:r w:rsidR="00BD5DE6" w:rsidRPr="00F91EC4">
        <w:rPr>
          <w:noProof/>
        </w:rPr>
        <w:t>g</w:t>
      </w:r>
      <w:r w:rsidR="00434C93" w:rsidRPr="00F91EC4">
        <w:rPr>
          <w:noProof/>
        </w:rPr>
        <w:t xml:space="preserve">ear </w:t>
      </w:r>
      <w:r w:rsidR="00BD5DE6" w:rsidRPr="00F91EC4">
        <w:rPr>
          <w:noProof/>
        </w:rPr>
        <w:t>s</w:t>
      </w:r>
      <w:r w:rsidR="00434C93" w:rsidRPr="00F91EC4">
        <w:rPr>
          <w:noProof/>
        </w:rPr>
        <w:t xml:space="preserve">hift </w:t>
      </w:r>
      <w:r w:rsidR="00BD5DE6" w:rsidRPr="00F91EC4">
        <w:rPr>
          <w:noProof/>
        </w:rPr>
        <w:t>i</w:t>
      </w:r>
      <w:r w:rsidR="00434C93" w:rsidRPr="00F91EC4">
        <w:rPr>
          <w:noProof/>
        </w:rPr>
        <w:t xml:space="preserve">ndicators (GSI), whose main purpose is to minimise fuel consumption of </w:t>
      </w:r>
      <w:r w:rsidR="00BD5DE6" w:rsidRPr="00F91EC4">
        <w:rPr>
          <w:noProof/>
        </w:rPr>
        <w:t>a</w:t>
      </w:r>
      <w:r w:rsidR="00434C93" w:rsidRPr="00F91EC4">
        <w:rPr>
          <w:noProof/>
        </w:rPr>
        <w:t xml:space="preserve"> vehicle when a driver follows its indications. However, the pollutant emission requirements in real use, including when following the GSI, should be addressed in this Regulation. </w:t>
      </w:r>
    </w:p>
    <w:p w14:paraId="612B78A0" w14:textId="647B3B01" w:rsidR="005A581A" w:rsidRPr="00F91EC4" w:rsidRDefault="00DD0F7B" w:rsidP="00DD0F7B">
      <w:pPr>
        <w:pStyle w:val="ManualConsidrant"/>
        <w:rPr>
          <w:noProof/>
        </w:rPr>
      </w:pPr>
      <w:r w:rsidRPr="00DD0F7B">
        <w:rPr>
          <w:noProof/>
        </w:rPr>
        <w:t>(14)</w:t>
      </w:r>
      <w:r w:rsidRPr="00DD0F7B">
        <w:rPr>
          <w:noProof/>
        </w:rPr>
        <w:tab/>
      </w:r>
      <w:r w:rsidR="005A581A" w:rsidRPr="00F91EC4">
        <w:rPr>
          <w:noProof/>
        </w:rPr>
        <w:t xml:space="preserve">Vehicles with traction batteries, </w:t>
      </w:r>
      <w:r w:rsidR="00481F42" w:rsidRPr="00F91EC4">
        <w:rPr>
          <w:noProof/>
        </w:rPr>
        <w:t>including</w:t>
      </w:r>
      <w:r w:rsidR="005A581A" w:rsidRPr="00F91EC4">
        <w:rPr>
          <w:noProof/>
        </w:rPr>
        <w:t xml:space="preserve"> plugin hybrids and battery electric vehicles</w:t>
      </w:r>
      <w:r w:rsidR="00720867" w:rsidRPr="00F91EC4">
        <w:rPr>
          <w:noProof/>
        </w:rPr>
        <w:t>,</w:t>
      </w:r>
      <w:r w:rsidR="005A581A" w:rsidRPr="00F91EC4">
        <w:rPr>
          <w:noProof/>
        </w:rPr>
        <w:t xml:space="preserve"> contribute to the </w:t>
      </w:r>
      <w:r w:rsidR="002B3012">
        <w:rPr>
          <w:noProof/>
        </w:rPr>
        <w:t>decarbonisation of the road transport sector</w:t>
      </w:r>
      <w:r w:rsidR="00720867" w:rsidRPr="00F91EC4">
        <w:rPr>
          <w:noProof/>
        </w:rPr>
        <w:t xml:space="preserve">. </w:t>
      </w:r>
      <w:r w:rsidR="005A581A" w:rsidRPr="00F91EC4">
        <w:rPr>
          <w:noProof/>
        </w:rPr>
        <w:t xml:space="preserve"> </w:t>
      </w:r>
      <w:r w:rsidR="00720867" w:rsidRPr="00F91EC4">
        <w:rPr>
          <w:noProof/>
        </w:rPr>
        <w:t xml:space="preserve">In order to gain and increase consumer trust in such vehicles, </w:t>
      </w:r>
      <w:r w:rsidR="005A581A" w:rsidRPr="00F91EC4">
        <w:rPr>
          <w:noProof/>
        </w:rPr>
        <w:t xml:space="preserve">they should be performant and durable. It is therefore important to require that traction batteries retain a good part of their initial capacity after many years of use. </w:t>
      </w:r>
      <w:r w:rsidR="00481F42" w:rsidRPr="00F91EC4">
        <w:rPr>
          <w:noProof/>
        </w:rPr>
        <w:t xml:space="preserve">That </w:t>
      </w:r>
      <w:r w:rsidR="005A581A" w:rsidRPr="00F91EC4">
        <w:rPr>
          <w:noProof/>
        </w:rPr>
        <w:t xml:space="preserve">is of particular importance to </w:t>
      </w:r>
      <w:r w:rsidR="00481F42" w:rsidRPr="00F91EC4">
        <w:rPr>
          <w:noProof/>
        </w:rPr>
        <w:t xml:space="preserve">buyers of </w:t>
      </w:r>
      <w:r w:rsidR="005A581A" w:rsidRPr="00F91EC4">
        <w:rPr>
          <w:noProof/>
        </w:rPr>
        <w:t xml:space="preserve">second hand </w:t>
      </w:r>
      <w:r w:rsidR="00481F42" w:rsidRPr="00F91EC4">
        <w:rPr>
          <w:noProof/>
        </w:rPr>
        <w:t>electric vehicles</w:t>
      </w:r>
      <w:r w:rsidR="006A743E" w:rsidRPr="00F91EC4">
        <w:rPr>
          <w:noProof/>
        </w:rPr>
        <w:t xml:space="preserve"> </w:t>
      </w:r>
      <w:r w:rsidR="005A581A" w:rsidRPr="00F91EC4">
        <w:rPr>
          <w:noProof/>
        </w:rPr>
        <w:t>to ensure that the vehicle will continue to perform as expected.</w:t>
      </w:r>
      <w:r w:rsidR="00481F42" w:rsidRPr="00F91EC4">
        <w:rPr>
          <w:noProof/>
        </w:rPr>
        <w:t xml:space="preserve"> </w:t>
      </w:r>
      <w:r w:rsidR="005A581A" w:rsidRPr="00F91EC4">
        <w:rPr>
          <w:noProof/>
        </w:rPr>
        <w:t xml:space="preserve">Monitors of the battery state-of-health </w:t>
      </w:r>
      <w:r w:rsidR="004D7D83" w:rsidRPr="00F91EC4">
        <w:rPr>
          <w:noProof/>
        </w:rPr>
        <w:t xml:space="preserve">should </w:t>
      </w:r>
      <w:r w:rsidR="005A581A" w:rsidRPr="00F91EC4">
        <w:rPr>
          <w:noProof/>
        </w:rPr>
        <w:t>therefore be required for all vehicles that use traction batteries</w:t>
      </w:r>
      <w:r w:rsidR="00481F42" w:rsidRPr="00F91EC4">
        <w:rPr>
          <w:noProof/>
        </w:rPr>
        <w:t>. In addition</w:t>
      </w:r>
      <w:r w:rsidR="00D86671" w:rsidRPr="00F91EC4">
        <w:rPr>
          <w:noProof/>
        </w:rPr>
        <w:t xml:space="preserve"> m</w:t>
      </w:r>
      <w:r w:rsidR="005A581A" w:rsidRPr="00F91EC4">
        <w:rPr>
          <w:noProof/>
        </w:rPr>
        <w:t xml:space="preserve">inimum performance requirements for </w:t>
      </w:r>
      <w:r w:rsidR="00DC05B5" w:rsidRPr="00F91EC4">
        <w:rPr>
          <w:noProof/>
        </w:rPr>
        <w:t xml:space="preserve">battery durability of </w:t>
      </w:r>
      <w:r w:rsidR="005A581A" w:rsidRPr="00F91EC4">
        <w:rPr>
          <w:noProof/>
        </w:rPr>
        <w:t>passenger cars</w:t>
      </w:r>
      <w:r w:rsidR="00481F42" w:rsidRPr="00F91EC4">
        <w:rPr>
          <w:noProof/>
        </w:rPr>
        <w:t xml:space="preserve"> should be introduced</w:t>
      </w:r>
      <w:r w:rsidR="00A82628" w:rsidRPr="00F91EC4">
        <w:rPr>
          <w:noProof/>
        </w:rPr>
        <w:t xml:space="preserve">, </w:t>
      </w:r>
      <w:r w:rsidR="00481F42" w:rsidRPr="00F91EC4">
        <w:rPr>
          <w:noProof/>
        </w:rPr>
        <w:t>taking into account the UN</w:t>
      </w:r>
      <w:r w:rsidR="00A82628" w:rsidRPr="00F91EC4">
        <w:rPr>
          <w:noProof/>
        </w:rPr>
        <w:t xml:space="preserve"> Global Technical Regulation </w:t>
      </w:r>
      <w:r w:rsidR="00481F42" w:rsidRPr="00F91EC4">
        <w:rPr>
          <w:noProof/>
        </w:rPr>
        <w:t>22</w:t>
      </w:r>
      <w:r w:rsidR="00481F42" w:rsidRPr="00F91EC4">
        <w:rPr>
          <w:rStyle w:val="FootnoteReference"/>
          <w:noProof/>
        </w:rPr>
        <w:footnoteReference w:id="48"/>
      </w:r>
      <w:r w:rsidR="004A5CA4" w:rsidRPr="00F91EC4">
        <w:rPr>
          <w:noProof/>
        </w:rPr>
        <w:t>.</w:t>
      </w:r>
    </w:p>
    <w:p w14:paraId="5BBF6A50" w14:textId="3188B457" w:rsidR="004754D3" w:rsidRPr="00F91EC4" w:rsidRDefault="00DD0F7B" w:rsidP="00DD0F7B">
      <w:pPr>
        <w:pStyle w:val="ManualConsidrant"/>
        <w:rPr>
          <w:noProof/>
        </w:rPr>
      </w:pPr>
      <w:r w:rsidRPr="00DD0F7B">
        <w:rPr>
          <w:noProof/>
        </w:rPr>
        <w:t>(15)</w:t>
      </w:r>
      <w:r w:rsidRPr="00DD0F7B">
        <w:rPr>
          <w:noProof/>
        </w:rPr>
        <w:tab/>
      </w:r>
      <w:r w:rsidR="003B27A2" w:rsidRPr="00F91EC4">
        <w:rPr>
          <w:noProof/>
        </w:rPr>
        <w:t xml:space="preserve">Tampering of vehicles to remove or deactivate parts of the </w:t>
      </w:r>
      <w:r w:rsidR="00502DB3" w:rsidRPr="00F91EC4">
        <w:rPr>
          <w:noProof/>
        </w:rPr>
        <w:t xml:space="preserve">pollution </w:t>
      </w:r>
      <w:r w:rsidR="003B27A2" w:rsidRPr="00F91EC4">
        <w:rPr>
          <w:noProof/>
        </w:rPr>
        <w:t xml:space="preserve">control systems </w:t>
      </w:r>
      <w:r w:rsidR="00714038" w:rsidRPr="00F91EC4">
        <w:rPr>
          <w:noProof/>
        </w:rPr>
        <w:t>is a well-known problem</w:t>
      </w:r>
      <w:r w:rsidR="003B27A2" w:rsidRPr="00F91EC4">
        <w:rPr>
          <w:noProof/>
        </w:rPr>
        <w:t>. Such practice lead</w:t>
      </w:r>
      <w:r w:rsidR="00DA5B65">
        <w:rPr>
          <w:noProof/>
        </w:rPr>
        <w:t>s</w:t>
      </w:r>
      <w:r w:rsidR="003B27A2" w:rsidRPr="00F91EC4">
        <w:rPr>
          <w:noProof/>
        </w:rPr>
        <w:t xml:space="preserve"> to </w:t>
      </w:r>
      <w:r w:rsidR="004754D3" w:rsidRPr="00F91EC4">
        <w:rPr>
          <w:noProof/>
        </w:rPr>
        <w:t xml:space="preserve">uncontrolled emissions and should be </w:t>
      </w:r>
      <w:r w:rsidR="00DA5B65">
        <w:rPr>
          <w:noProof/>
        </w:rPr>
        <w:t>prevented</w:t>
      </w:r>
      <w:r w:rsidR="004754D3" w:rsidRPr="00F91EC4">
        <w:rPr>
          <w:noProof/>
        </w:rPr>
        <w:t xml:space="preserve">. Tampering of the odometer, </w:t>
      </w:r>
      <w:r w:rsidR="004A5CA4" w:rsidRPr="00F91EC4">
        <w:rPr>
          <w:noProof/>
        </w:rPr>
        <w:t>leads to false mileage and hampers the proper in-service control of a vehicle</w:t>
      </w:r>
      <w:r w:rsidR="004754D3" w:rsidRPr="00F91EC4">
        <w:rPr>
          <w:noProof/>
        </w:rPr>
        <w:t xml:space="preserve">. It is therefore of </w:t>
      </w:r>
      <w:r w:rsidR="004A5CA4" w:rsidRPr="00F91EC4">
        <w:rPr>
          <w:noProof/>
        </w:rPr>
        <w:t xml:space="preserve">the </w:t>
      </w:r>
      <w:r w:rsidR="004754D3" w:rsidRPr="00F91EC4">
        <w:rPr>
          <w:noProof/>
        </w:rPr>
        <w:t xml:space="preserve">utmost importance to </w:t>
      </w:r>
      <w:r w:rsidR="004A5CA4" w:rsidRPr="00F91EC4">
        <w:rPr>
          <w:noProof/>
        </w:rPr>
        <w:t xml:space="preserve">guarantee </w:t>
      </w:r>
      <w:r w:rsidR="004754D3" w:rsidRPr="00F91EC4">
        <w:rPr>
          <w:noProof/>
        </w:rPr>
        <w:t xml:space="preserve">the highest possible security </w:t>
      </w:r>
      <w:r w:rsidR="004A5CA4" w:rsidRPr="00F91EC4">
        <w:rPr>
          <w:noProof/>
        </w:rPr>
        <w:t xml:space="preserve">protection </w:t>
      </w:r>
      <w:r w:rsidR="004754D3" w:rsidRPr="00F91EC4">
        <w:rPr>
          <w:noProof/>
        </w:rPr>
        <w:t>of th</w:t>
      </w:r>
      <w:r w:rsidR="004A5CA4" w:rsidRPr="00F91EC4">
        <w:rPr>
          <w:noProof/>
        </w:rPr>
        <w:t>o</w:t>
      </w:r>
      <w:r w:rsidR="004754D3" w:rsidRPr="00F91EC4">
        <w:rPr>
          <w:noProof/>
        </w:rPr>
        <w:t xml:space="preserve">se systems, complete with security certificates and appropriate anti-tampering protection to ensure that neither </w:t>
      </w:r>
      <w:r w:rsidR="00502DB3" w:rsidRPr="00F91EC4">
        <w:rPr>
          <w:noProof/>
        </w:rPr>
        <w:t xml:space="preserve">pollution </w:t>
      </w:r>
      <w:r w:rsidR="004754D3" w:rsidRPr="00F91EC4">
        <w:rPr>
          <w:noProof/>
        </w:rPr>
        <w:t xml:space="preserve">control systems nor the vehicle odometer can be tampered with. </w:t>
      </w:r>
    </w:p>
    <w:p w14:paraId="595E773F" w14:textId="2651F74B" w:rsidR="007979EB" w:rsidRPr="00F91EC4" w:rsidRDefault="00DD0F7B" w:rsidP="00DD0F7B">
      <w:pPr>
        <w:pStyle w:val="ManualConsidrant"/>
        <w:rPr>
          <w:noProof/>
        </w:rPr>
      </w:pPr>
      <w:r w:rsidRPr="00DD0F7B">
        <w:rPr>
          <w:noProof/>
        </w:rPr>
        <w:t>(16)</w:t>
      </w:r>
      <w:r w:rsidRPr="00DD0F7B">
        <w:rPr>
          <w:noProof/>
        </w:rPr>
        <w:tab/>
      </w:r>
      <w:r w:rsidR="007979EB" w:rsidRPr="00F91EC4">
        <w:rPr>
          <w:noProof/>
        </w:rPr>
        <w:t xml:space="preserve">Sensors installed on </w:t>
      </w:r>
      <w:r w:rsidR="002B3012">
        <w:rPr>
          <w:noProof/>
        </w:rPr>
        <w:t>vehicles</w:t>
      </w:r>
      <w:r w:rsidR="002B3012" w:rsidRPr="00F91EC4">
        <w:rPr>
          <w:noProof/>
        </w:rPr>
        <w:t xml:space="preserve"> </w:t>
      </w:r>
      <w:r w:rsidR="0051438A" w:rsidRPr="00F91EC4">
        <w:rPr>
          <w:noProof/>
        </w:rPr>
        <w:t>are</w:t>
      </w:r>
      <w:r w:rsidR="007979EB" w:rsidRPr="00F91EC4">
        <w:rPr>
          <w:noProof/>
        </w:rPr>
        <w:t xml:space="preserve"> already</w:t>
      </w:r>
      <w:r w:rsidR="0051438A" w:rsidRPr="00F91EC4">
        <w:rPr>
          <w:noProof/>
        </w:rPr>
        <w:t xml:space="preserve"> </w:t>
      </w:r>
      <w:r w:rsidR="004A5CA4" w:rsidRPr="00F91EC4">
        <w:rPr>
          <w:noProof/>
        </w:rPr>
        <w:t xml:space="preserve">used </w:t>
      </w:r>
      <w:r w:rsidR="0051438A" w:rsidRPr="00F91EC4">
        <w:rPr>
          <w:noProof/>
        </w:rPr>
        <w:t>today</w:t>
      </w:r>
      <w:r w:rsidR="007979EB" w:rsidRPr="00F91EC4">
        <w:rPr>
          <w:noProof/>
        </w:rPr>
        <w:t xml:space="preserve"> to detect anomalies on emissions and trigger related repairs</w:t>
      </w:r>
      <w:r w:rsidR="0051438A" w:rsidRPr="00F91EC4">
        <w:rPr>
          <w:noProof/>
        </w:rPr>
        <w:t xml:space="preserve"> through the </w:t>
      </w:r>
      <w:r w:rsidR="00DA5B65">
        <w:rPr>
          <w:noProof/>
        </w:rPr>
        <w:t>o</w:t>
      </w:r>
      <w:r w:rsidR="00DA5B65" w:rsidRPr="00F91EC4">
        <w:rPr>
          <w:noProof/>
        </w:rPr>
        <w:t>n</w:t>
      </w:r>
      <w:r w:rsidR="00287F1A" w:rsidRPr="00F91EC4">
        <w:rPr>
          <w:noProof/>
        </w:rPr>
        <w:t>-</w:t>
      </w:r>
      <w:r w:rsidR="00DA5B65">
        <w:rPr>
          <w:noProof/>
        </w:rPr>
        <w:t>b</w:t>
      </w:r>
      <w:r w:rsidR="00DA5B65" w:rsidRPr="00F91EC4">
        <w:rPr>
          <w:noProof/>
        </w:rPr>
        <w:t xml:space="preserve">oard </w:t>
      </w:r>
      <w:r w:rsidR="00DA5B65">
        <w:rPr>
          <w:noProof/>
        </w:rPr>
        <w:t>diagnostic</w:t>
      </w:r>
      <w:r w:rsidR="00DA5B65" w:rsidRPr="00F91EC4">
        <w:rPr>
          <w:noProof/>
        </w:rPr>
        <w:t xml:space="preserve"> </w:t>
      </w:r>
      <w:r w:rsidR="00287F1A" w:rsidRPr="00F91EC4">
        <w:rPr>
          <w:noProof/>
        </w:rPr>
        <w:t>(</w:t>
      </w:r>
      <w:r w:rsidR="0051438A" w:rsidRPr="00F91EC4">
        <w:rPr>
          <w:noProof/>
        </w:rPr>
        <w:t>OBD</w:t>
      </w:r>
      <w:r w:rsidR="00287F1A" w:rsidRPr="00F91EC4">
        <w:rPr>
          <w:noProof/>
        </w:rPr>
        <w:t>)</w:t>
      </w:r>
      <w:r w:rsidR="0051438A" w:rsidRPr="00F91EC4">
        <w:rPr>
          <w:noProof/>
        </w:rPr>
        <w:t xml:space="preserve"> </w:t>
      </w:r>
      <w:r w:rsidR="004A5CA4" w:rsidRPr="00F91EC4">
        <w:rPr>
          <w:noProof/>
        </w:rPr>
        <w:t>system</w:t>
      </w:r>
      <w:r w:rsidR="007979EB" w:rsidRPr="00F91EC4">
        <w:rPr>
          <w:noProof/>
        </w:rPr>
        <w:t xml:space="preserve">. </w:t>
      </w:r>
      <w:r w:rsidR="004A5CA4" w:rsidRPr="00F91EC4">
        <w:rPr>
          <w:noProof/>
        </w:rPr>
        <w:t>The OBD</w:t>
      </w:r>
      <w:r w:rsidR="007979EB" w:rsidRPr="00F91EC4">
        <w:rPr>
          <w:noProof/>
        </w:rPr>
        <w:t xml:space="preserve"> system currently in use</w:t>
      </w:r>
      <w:r w:rsidR="004A5CA4" w:rsidRPr="00F91EC4">
        <w:rPr>
          <w:noProof/>
        </w:rPr>
        <w:t>, however</w:t>
      </w:r>
      <w:r w:rsidR="00D14834" w:rsidRPr="00F91EC4">
        <w:rPr>
          <w:noProof/>
        </w:rPr>
        <w:t>,</w:t>
      </w:r>
      <w:r w:rsidR="007979EB" w:rsidRPr="00F91EC4">
        <w:rPr>
          <w:noProof/>
        </w:rPr>
        <w:t xml:space="preserve"> does not detect </w:t>
      </w:r>
      <w:r w:rsidR="00DA5B65">
        <w:rPr>
          <w:noProof/>
        </w:rPr>
        <w:t>accurately</w:t>
      </w:r>
      <w:r w:rsidR="007979EB" w:rsidRPr="00F91EC4">
        <w:rPr>
          <w:noProof/>
        </w:rPr>
        <w:t xml:space="preserve"> </w:t>
      </w:r>
      <w:r w:rsidR="0051438A" w:rsidRPr="00F91EC4">
        <w:rPr>
          <w:noProof/>
        </w:rPr>
        <w:t xml:space="preserve">or </w:t>
      </w:r>
      <w:r w:rsidR="00DA5B65">
        <w:rPr>
          <w:noProof/>
        </w:rPr>
        <w:t>timely</w:t>
      </w:r>
      <w:r w:rsidR="00DA5B65" w:rsidRPr="00F91EC4">
        <w:rPr>
          <w:noProof/>
        </w:rPr>
        <w:t xml:space="preserve"> </w:t>
      </w:r>
      <w:r w:rsidR="0051438A" w:rsidRPr="00F91EC4">
        <w:rPr>
          <w:noProof/>
        </w:rPr>
        <w:t>the malfunctions</w:t>
      </w:r>
      <w:r w:rsidR="004A5CA4" w:rsidRPr="00F91EC4">
        <w:rPr>
          <w:noProof/>
        </w:rPr>
        <w:t xml:space="preserve"> and</w:t>
      </w:r>
      <w:r w:rsidR="0051438A" w:rsidRPr="00F91EC4">
        <w:rPr>
          <w:noProof/>
        </w:rPr>
        <w:t xml:space="preserve"> neither does it </w:t>
      </w:r>
      <w:r w:rsidR="00364391" w:rsidRPr="00F91EC4">
        <w:rPr>
          <w:noProof/>
        </w:rPr>
        <w:t xml:space="preserve">sufficiently and timely </w:t>
      </w:r>
      <w:r w:rsidR="0051438A" w:rsidRPr="00F91EC4">
        <w:rPr>
          <w:noProof/>
        </w:rPr>
        <w:t>force repairs</w:t>
      </w:r>
      <w:r w:rsidR="004A5CA4" w:rsidRPr="00F91EC4">
        <w:rPr>
          <w:noProof/>
        </w:rPr>
        <w:t>.</w:t>
      </w:r>
      <w:r w:rsidR="0051438A" w:rsidRPr="00F91EC4">
        <w:rPr>
          <w:noProof/>
        </w:rPr>
        <w:t xml:space="preserve"> </w:t>
      </w:r>
      <w:r w:rsidR="004A5CA4" w:rsidRPr="00F91EC4">
        <w:rPr>
          <w:noProof/>
        </w:rPr>
        <w:t>As a result</w:t>
      </w:r>
      <w:r w:rsidR="00DA5B65">
        <w:rPr>
          <w:noProof/>
        </w:rPr>
        <w:t>,</w:t>
      </w:r>
      <w:r w:rsidR="004A5CA4" w:rsidRPr="00F91EC4">
        <w:rPr>
          <w:noProof/>
        </w:rPr>
        <w:t xml:space="preserve"> it is possible that</w:t>
      </w:r>
      <w:r w:rsidR="0051438A" w:rsidRPr="00F91EC4">
        <w:rPr>
          <w:noProof/>
        </w:rPr>
        <w:t xml:space="preserve"> vehicles emit much </w:t>
      </w:r>
      <w:r w:rsidR="004A5CA4" w:rsidRPr="00F91EC4">
        <w:rPr>
          <w:noProof/>
        </w:rPr>
        <w:t xml:space="preserve">more </w:t>
      </w:r>
      <w:r w:rsidR="0051438A" w:rsidRPr="00F91EC4">
        <w:rPr>
          <w:noProof/>
        </w:rPr>
        <w:t>than the</w:t>
      </w:r>
      <w:r w:rsidR="004A5CA4" w:rsidRPr="00F91EC4">
        <w:rPr>
          <w:noProof/>
        </w:rPr>
        <w:t xml:space="preserve">y are allowed to do. </w:t>
      </w:r>
      <w:r w:rsidR="0051438A" w:rsidRPr="00F91EC4">
        <w:rPr>
          <w:noProof/>
        </w:rPr>
        <w:t xml:space="preserve"> The sensors</w:t>
      </w:r>
      <w:r w:rsidR="004A5CA4" w:rsidRPr="00F91EC4">
        <w:rPr>
          <w:noProof/>
        </w:rPr>
        <w:t xml:space="preserve"> used up to now for OBD </w:t>
      </w:r>
      <w:r w:rsidR="0051438A" w:rsidRPr="00F91EC4">
        <w:rPr>
          <w:noProof/>
        </w:rPr>
        <w:t xml:space="preserve">can </w:t>
      </w:r>
      <w:r w:rsidR="004A5CA4" w:rsidRPr="00F91EC4">
        <w:rPr>
          <w:noProof/>
        </w:rPr>
        <w:t xml:space="preserve">also </w:t>
      </w:r>
      <w:r w:rsidR="0051438A" w:rsidRPr="00F91EC4">
        <w:rPr>
          <w:noProof/>
        </w:rPr>
        <w:t xml:space="preserve">be used to monitor and control the emission behaviour of the vehicles on a continuous basis </w:t>
      </w:r>
      <w:r w:rsidR="004A5CA4" w:rsidRPr="00F91EC4">
        <w:rPr>
          <w:noProof/>
        </w:rPr>
        <w:t xml:space="preserve">via </w:t>
      </w:r>
      <w:r w:rsidR="00287F1A" w:rsidRPr="00F91EC4">
        <w:rPr>
          <w:noProof/>
        </w:rPr>
        <w:t xml:space="preserve">an </w:t>
      </w:r>
      <w:r w:rsidR="00DA5B65">
        <w:rPr>
          <w:noProof/>
        </w:rPr>
        <w:t>o</w:t>
      </w:r>
      <w:r w:rsidR="00287F1A" w:rsidRPr="00F91EC4">
        <w:rPr>
          <w:noProof/>
        </w:rPr>
        <w:t>n-</w:t>
      </w:r>
      <w:r w:rsidR="00DA5B65">
        <w:rPr>
          <w:noProof/>
        </w:rPr>
        <w:t>b</w:t>
      </w:r>
      <w:r w:rsidR="00287F1A" w:rsidRPr="00F91EC4">
        <w:rPr>
          <w:noProof/>
        </w:rPr>
        <w:t xml:space="preserve">oard </w:t>
      </w:r>
      <w:r w:rsidR="00DA5B65">
        <w:rPr>
          <w:noProof/>
        </w:rPr>
        <w:t>m</w:t>
      </w:r>
      <w:r w:rsidR="00287F1A" w:rsidRPr="00F91EC4">
        <w:rPr>
          <w:noProof/>
        </w:rPr>
        <w:t>onitoring (OBM) system</w:t>
      </w:r>
      <w:r w:rsidR="004A5CA4" w:rsidRPr="00F91EC4">
        <w:rPr>
          <w:noProof/>
        </w:rPr>
        <w:t>.</w:t>
      </w:r>
      <w:r w:rsidR="00287F1A" w:rsidRPr="00F91EC4">
        <w:rPr>
          <w:noProof/>
        </w:rPr>
        <w:t xml:space="preserve"> </w:t>
      </w:r>
      <w:r w:rsidR="004A5CA4" w:rsidRPr="00F91EC4">
        <w:rPr>
          <w:noProof/>
        </w:rPr>
        <w:t>The OBM will also warn the user to perform</w:t>
      </w:r>
      <w:r w:rsidR="00B8125F" w:rsidRPr="00F91EC4">
        <w:rPr>
          <w:noProof/>
        </w:rPr>
        <w:t xml:space="preserve"> </w:t>
      </w:r>
      <w:r w:rsidR="0051438A" w:rsidRPr="00F91EC4">
        <w:rPr>
          <w:noProof/>
        </w:rPr>
        <w:t xml:space="preserve">repairs of the engine or the </w:t>
      </w:r>
      <w:r w:rsidR="00502DB3" w:rsidRPr="00F91EC4">
        <w:rPr>
          <w:noProof/>
        </w:rPr>
        <w:t xml:space="preserve">pollution </w:t>
      </w:r>
      <w:r w:rsidR="0051438A" w:rsidRPr="00F91EC4">
        <w:rPr>
          <w:noProof/>
        </w:rPr>
        <w:t xml:space="preserve">control systems when these are needed. </w:t>
      </w:r>
      <w:r w:rsidR="005F4FA1" w:rsidRPr="00F91EC4">
        <w:rPr>
          <w:noProof/>
        </w:rPr>
        <w:t xml:space="preserve">It is therefore appropriate to require that such a system is installed and </w:t>
      </w:r>
      <w:r w:rsidR="00DA5B65">
        <w:rPr>
          <w:noProof/>
        </w:rPr>
        <w:t xml:space="preserve">to </w:t>
      </w:r>
      <w:r w:rsidR="005F4FA1" w:rsidRPr="00F91EC4">
        <w:rPr>
          <w:noProof/>
        </w:rPr>
        <w:t xml:space="preserve">regulate its technical requirements. </w:t>
      </w:r>
    </w:p>
    <w:p w14:paraId="18119337" w14:textId="6357472A" w:rsidR="00E861A6" w:rsidRDefault="00DD0F7B" w:rsidP="00DD0F7B">
      <w:pPr>
        <w:pStyle w:val="ManualConsidrant"/>
        <w:rPr>
          <w:noProof/>
        </w:rPr>
      </w:pPr>
      <w:r w:rsidRPr="00DD0F7B">
        <w:rPr>
          <w:noProof/>
        </w:rPr>
        <w:t>(17)</w:t>
      </w:r>
      <w:r w:rsidRPr="00DD0F7B">
        <w:rPr>
          <w:noProof/>
        </w:rPr>
        <w:tab/>
      </w:r>
      <w:r w:rsidR="005F4FA1" w:rsidRPr="00F91EC4">
        <w:rPr>
          <w:noProof/>
        </w:rPr>
        <w:t xml:space="preserve">Manufacturers may </w:t>
      </w:r>
      <w:r w:rsidR="00641B6B" w:rsidRPr="00F91EC4">
        <w:rPr>
          <w:noProof/>
        </w:rPr>
        <w:t xml:space="preserve">opt to </w:t>
      </w:r>
      <w:r w:rsidR="005F4FA1" w:rsidRPr="00F91EC4">
        <w:rPr>
          <w:noProof/>
        </w:rPr>
        <w:t>produce vehicles which comply with lower emission limits</w:t>
      </w:r>
      <w:r w:rsidR="00D77486" w:rsidRPr="00F91EC4">
        <w:rPr>
          <w:noProof/>
        </w:rPr>
        <w:t xml:space="preserve"> or with better battery </w:t>
      </w:r>
      <w:r w:rsidR="00786BB1" w:rsidRPr="00F91EC4">
        <w:rPr>
          <w:noProof/>
        </w:rPr>
        <w:t>durability</w:t>
      </w:r>
      <w:r w:rsidR="00EB0AD4" w:rsidRPr="00F91EC4">
        <w:rPr>
          <w:noProof/>
        </w:rPr>
        <w:t xml:space="preserve"> </w:t>
      </w:r>
      <w:r w:rsidR="00FC5AB8" w:rsidRPr="00F91EC4">
        <w:rPr>
          <w:noProof/>
        </w:rPr>
        <w:t xml:space="preserve">than </w:t>
      </w:r>
      <w:r w:rsidR="00EB0AD4" w:rsidRPr="00F91EC4">
        <w:rPr>
          <w:noProof/>
        </w:rPr>
        <w:t>what is required in this Regulation</w:t>
      </w:r>
      <w:r w:rsidR="00641B6B" w:rsidRPr="00F91EC4">
        <w:rPr>
          <w:noProof/>
        </w:rPr>
        <w:t>, or</w:t>
      </w:r>
      <w:r w:rsidR="007F2B00">
        <w:rPr>
          <w:noProof/>
        </w:rPr>
        <w:t xml:space="preserve"> which</w:t>
      </w:r>
      <w:r w:rsidR="00641B6B" w:rsidRPr="00F91EC4">
        <w:rPr>
          <w:noProof/>
        </w:rPr>
        <w:t xml:space="preserve"> include advanced options including geofencing and adaptive controls</w:t>
      </w:r>
      <w:r w:rsidR="005F4FA1" w:rsidRPr="00F91EC4">
        <w:rPr>
          <w:noProof/>
        </w:rPr>
        <w:t xml:space="preserve">. </w:t>
      </w:r>
      <w:r w:rsidR="00D77486" w:rsidRPr="00F91EC4">
        <w:rPr>
          <w:noProof/>
        </w:rPr>
        <w:t>C</w:t>
      </w:r>
      <w:r w:rsidR="005F4FA1" w:rsidRPr="00F91EC4">
        <w:rPr>
          <w:noProof/>
        </w:rPr>
        <w:t xml:space="preserve">onsumers and </w:t>
      </w:r>
      <w:r w:rsidR="00F41F4F" w:rsidRPr="00F91EC4">
        <w:rPr>
          <w:noProof/>
        </w:rPr>
        <w:t xml:space="preserve">national </w:t>
      </w:r>
      <w:r w:rsidR="005F4FA1" w:rsidRPr="00F91EC4">
        <w:rPr>
          <w:noProof/>
        </w:rPr>
        <w:t>authorities should be able to identify such vehicles</w:t>
      </w:r>
      <w:r w:rsidR="00D82486" w:rsidRPr="00F91EC4">
        <w:rPr>
          <w:noProof/>
        </w:rPr>
        <w:t xml:space="preserve"> through appropriate document</w:t>
      </w:r>
      <w:r w:rsidR="00D77486" w:rsidRPr="00F91EC4">
        <w:rPr>
          <w:noProof/>
        </w:rPr>
        <w:t>ation</w:t>
      </w:r>
      <w:r w:rsidR="00D82486" w:rsidRPr="00F91EC4">
        <w:rPr>
          <w:noProof/>
        </w:rPr>
        <w:t xml:space="preserve">. </w:t>
      </w:r>
      <w:r w:rsidR="00EB0AD4" w:rsidRPr="00F91EC4">
        <w:rPr>
          <w:noProof/>
        </w:rPr>
        <w:t xml:space="preserve">An </w:t>
      </w:r>
      <w:r w:rsidR="00FC15F5" w:rsidRPr="00F91EC4">
        <w:rPr>
          <w:noProof/>
        </w:rPr>
        <w:t>e</w:t>
      </w:r>
      <w:r w:rsidR="00EB0AD4" w:rsidRPr="00F91EC4">
        <w:rPr>
          <w:noProof/>
        </w:rPr>
        <w:t xml:space="preserve">nvironmental </w:t>
      </w:r>
      <w:r w:rsidR="00FC15F5" w:rsidRPr="00F91EC4">
        <w:rPr>
          <w:noProof/>
        </w:rPr>
        <w:t>v</w:t>
      </w:r>
      <w:r w:rsidR="00EB0AD4" w:rsidRPr="00F91EC4">
        <w:rPr>
          <w:noProof/>
        </w:rPr>
        <w:t xml:space="preserve">ehicle </w:t>
      </w:r>
      <w:r w:rsidR="00FC15F5" w:rsidRPr="00F91EC4">
        <w:rPr>
          <w:noProof/>
        </w:rPr>
        <w:t>p</w:t>
      </w:r>
      <w:r w:rsidR="00EB0AD4" w:rsidRPr="00F91EC4">
        <w:rPr>
          <w:noProof/>
        </w:rPr>
        <w:t xml:space="preserve">assport (EVP) should therefore be made available. </w:t>
      </w:r>
    </w:p>
    <w:p w14:paraId="0A5C9C66" w14:textId="172436CE" w:rsidR="0096143A" w:rsidRPr="00F91EC4" w:rsidRDefault="00DD0F7B" w:rsidP="00DD0F7B">
      <w:pPr>
        <w:pStyle w:val="ManualConsidrant"/>
        <w:rPr>
          <w:noProof/>
        </w:rPr>
      </w:pPr>
      <w:r w:rsidRPr="00DD0F7B">
        <w:rPr>
          <w:noProof/>
        </w:rPr>
        <w:t>(18)</w:t>
      </w:r>
      <w:r w:rsidRPr="00DD0F7B">
        <w:rPr>
          <w:noProof/>
        </w:rPr>
        <w:tab/>
      </w:r>
      <w:r w:rsidR="0096143A" w:rsidRPr="0096143A">
        <w:rPr>
          <w:noProof/>
        </w:rPr>
        <w:t xml:space="preserve">In case the Commission makes a proposal for registering after 2035 new light-duty vehicles running exclusively on CO2 neutral fuels outside the scope of the CO2 fleet standards, and in conformity with </w:t>
      </w:r>
      <w:r w:rsidR="00BF137B">
        <w:rPr>
          <w:noProof/>
        </w:rPr>
        <w:t>Union</w:t>
      </w:r>
      <w:r w:rsidR="00BF137B" w:rsidRPr="0096143A">
        <w:rPr>
          <w:noProof/>
        </w:rPr>
        <w:t xml:space="preserve"> </w:t>
      </w:r>
      <w:r w:rsidR="0096143A" w:rsidRPr="0096143A">
        <w:rPr>
          <w:noProof/>
        </w:rPr>
        <w:t xml:space="preserve">law and the Union’s climate neutrality objective, </w:t>
      </w:r>
      <w:r w:rsidR="00BF137B">
        <w:rPr>
          <w:noProof/>
        </w:rPr>
        <w:t>this Regulation</w:t>
      </w:r>
      <w:r w:rsidR="0096143A" w:rsidRPr="0096143A">
        <w:rPr>
          <w:noProof/>
        </w:rPr>
        <w:t xml:space="preserve"> will need to be amended to include the possibility to type approve such vehicles.</w:t>
      </w:r>
    </w:p>
    <w:p w14:paraId="75496AF6" w14:textId="41A5F7E7" w:rsidR="000411D0" w:rsidRPr="00F91EC4" w:rsidRDefault="00DD0F7B" w:rsidP="00DD0F7B">
      <w:pPr>
        <w:pStyle w:val="ManualConsidrant"/>
        <w:rPr>
          <w:noProof/>
        </w:rPr>
      </w:pPr>
      <w:r w:rsidRPr="00DD0F7B">
        <w:rPr>
          <w:noProof/>
        </w:rPr>
        <w:t>(19)</w:t>
      </w:r>
      <w:r w:rsidRPr="00DD0F7B">
        <w:rPr>
          <w:noProof/>
        </w:rPr>
        <w:tab/>
      </w:r>
      <w:r w:rsidR="00E861A6" w:rsidRPr="00F91EC4">
        <w:rPr>
          <w:noProof/>
        </w:rPr>
        <w:t>Emissions from vehicles sold by s</w:t>
      </w:r>
      <w:r w:rsidR="00BB34E7" w:rsidRPr="00F91EC4">
        <w:rPr>
          <w:noProof/>
        </w:rPr>
        <w:t>mall volume manu</w:t>
      </w:r>
      <w:r w:rsidR="00A140CD" w:rsidRPr="00F91EC4">
        <w:rPr>
          <w:noProof/>
        </w:rPr>
        <w:t>facturer</w:t>
      </w:r>
      <w:r w:rsidR="00FF1369" w:rsidRPr="00F91EC4">
        <w:rPr>
          <w:noProof/>
        </w:rPr>
        <w:t xml:space="preserve">s </w:t>
      </w:r>
      <w:r w:rsidR="00E861A6" w:rsidRPr="00F91EC4">
        <w:rPr>
          <w:noProof/>
        </w:rPr>
        <w:t>constitute an insignificant part of emissions in the U</w:t>
      </w:r>
      <w:r w:rsidR="00894028" w:rsidRPr="00F91EC4">
        <w:rPr>
          <w:noProof/>
        </w:rPr>
        <w:t>nion</w:t>
      </w:r>
      <w:r w:rsidR="00E861A6" w:rsidRPr="00F91EC4">
        <w:rPr>
          <w:noProof/>
        </w:rPr>
        <w:t xml:space="preserve">. </w:t>
      </w:r>
      <w:r w:rsidR="00C36182" w:rsidRPr="00F91EC4">
        <w:rPr>
          <w:noProof/>
        </w:rPr>
        <w:t>S</w:t>
      </w:r>
      <w:r w:rsidR="00E861A6" w:rsidRPr="00F91EC4">
        <w:rPr>
          <w:noProof/>
        </w:rPr>
        <w:t xml:space="preserve">ome </w:t>
      </w:r>
      <w:r w:rsidR="00C36182" w:rsidRPr="00F91EC4">
        <w:rPr>
          <w:noProof/>
        </w:rPr>
        <w:t>flexibility may therefore be allowed</w:t>
      </w:r>
      <w:r w:rsidR="00E861A6" w:rsidRPr="00F91EC4">
        <w:rPr>
          <w:noProof/>
        </w:rPr>
        <w:t xml:space="preserve"> in </w:t>
      </w:r>
      <w:r w:rsidR="00C36182" w:rsidRPr="00F91EC4">
        <w:rPr>
          <w:noProof/>
        </w:rPr>
        <w:t>some of the</w:t>
      </w:r>
      <w:r w:rsidR="00E861A6" w:rsidRPr="00F91EC4">
        <w:rPr>
          <w:noProof/>
        </w:rPr>
        <w:t xml:space="preserve"> requirements for such manufacturers. </w:t>
      </w:r>
      <w:r w:rsidR="00DA5B65">
        <w:rPr>
          <w:noProof/>
        </w:rPr>
        <w:t>Small volume manufacturers</w:t>
      </w:r>
      <w:r w:rsidR="00DA5B65" w:rsidRPr="00F91EC4">
        <w:rPr>
          <w:noProof/>
        </w:rPr>
        <w:t xml:space="preserve"> </w:t>
      </w:r>
      <w:r w:rsidR="00894028" w:rsidRPr="00F91EC4">
        <w:rPr>
          <w:noProof/>
        </w:rPr>
        <w:t xml:space="preserve">should therefore be able to </w:t>
      </w:r>
      <w:r w:rsidR="000411D0" w:rsidRPr="00F91EC4">
        <w:rPr>
          <w:noProof/>
        </w:rPr>
        <w:t>substitute</w:t>
      </w:r>
      <w:r w:rsidR="002B3012">
        <w:rPr>
          <w:noProof/>
        </w:rPr>
        <w:t xml:space="preserve"> certain</w:t>
      </w:r>
      <w:r w:rsidR="000411D0" w:rsidRPr="00F91EC4">
        <w:rPr>
          <w:noProof/>
        </w:rPr>
        <w:t xml:space="preserve"> tests during </w:t>
      </w:r>
      <w:r w:rsidR="00976BDB" w:rsidRPr="00F91EC4">
        <w:rPr>
          <w:noProof/>
        </w:rPr>
        <w:t>type-approval</w:t>
      </w:r>
      <w:r w:rsidR="000411D0" w:rsidRPr="00F91EC4">
        <w:rPr>
          <w:noProof/>
        </w:rPr>
        <w:t xml:space="preserve"> with declarations of compliance, while ultra-small volume manufacturers </w:t>
      </w:r>
      <w:r w:rsidR="00894028" w:rsidRPr="00F91EC4">
        <w:rPr>
          <w:noProof/>
        </w:rPr>
        <w:t xml:space="preserve">should be allowed to </w:t>
      </w:r>
      <w:r w:rsidR="000411D0" w:rsidRPr="00F91EC4">
        <w:rPr>
          <w:noProof/>
        </w:rPr>
        <w:t>use laboratory tests based on random real-driving cycles.</w:t>
      </w:r>
      <w:r w:rsidR="00154F35" w:rsidRPr="00F91EC4">
        <w:rPr>
          <w:noProof/>
        </w:rPr>
        <w:t xml:space="preserve"> </w:t>
      </w:r>
    </w:p>
    <w:p w14:paraId="1C99523C" w14:textId="7C180C8A" w:rsidR="00894028" w:rsidRPr="00F91EC4" w:rsidRDefault="00DD0F7B" w:rsidP="00DD0F7B">
      <w:pPr>
        <w:pStyle w:val="ManualConsidrant"/>
        <w:rPr>
          <w:noProof/>
        </w:rPr>
      </w:pPr>
      <w:r w:rsidRPr="00DD0F7B">
        <w:rPr>
          <w:noProof/>
        </w:rPr>
        <w:t>(20)</w:t>
      </w:r>
      <w:r w:rsidRPr="00DD0F7B">
        <w:rPr>
          <w:noProof/>
        </w:rPr>
        <w:tab/>
      </w:r>
      <w:r w:rsidR="00894028" w:rsidRPr="00F91EC4">
        <w:rPr>
          <w:noProof/>
        </w:rPr>
        <w:t>Regulation</w:t>
      </w:r>
      <w:r w:rsidR="00DA5B65">
        <w:rPr>
          <w:noProof/>
        </w:rPr>
        <w:t>s</w:t>
      </w:r>
      <w:r w:rsidR="00894028" w:rsidRPr="00F91EC4">
        <w:rPr>
          <w:noProof/>
        </w:rPr>
        <w:t xml:space="preserve"> (EU) 2019/631</w:t>
      </w:r>
      <w:r w:rsidR="00C02142" w:rsidRPr="00F91EC4">
        <w:rPr>
          <w:rStyle w:val="FootnoteReference"/>
          <w:noProof/>
        </w:rPr>
        <w:footnoteReference w:id="49"/>
      </w:r>
      <w:r w:rsidR="00FC15F5" w:rsidRPr="00F91EC4">
        <w:rPr>
          <w:noProof/>
        </w:rPr>
        <w:t xml:space="preserve"> </w:t>
      </w:r>
      <w:r w:rsidR="00894028" w:rsidRPr="00F91EC4">
        <w:rPr>
          <w:noProof/>
        </w:rPr>
        <w:t>and (EU) 2019/1242</w:t>
      </w:r>
      <w:r w:rsidR="00DA5B65" w:rsidRPr="00F91EC4">
        <w:rPr>
          <w:rStyle w:val="FootnoteReference"/>
          <w:noProof/>
        </w:rPr>
        <w:footnoteReference w:id="50"/>
      </w:r>
      <w:r w:rsidR="00DA5B65" w:rsidRPr="00F91EC4">
        <w:rPr>
          <w:noProof/>
        </w:rPr>
        <w:t xml:space="preserve"> </w:t>
      </w:r>
      <w:r w:rsidR="00C02142" w:rsidRPr="00F91EC4">
        <w:rPr>
          <w:noProof/>
        </w:rPr>
        <w:t>of the European Parliament and of the Council</w:t>
      </w:r>
      <w:r w:rsidR="005806BB">
        <w:rPr>
          <w:noProof/>
        </w:rPr>
        <w:t xml:space="preserve"> </w:t>
      </w:r>
      <w:r w:rsidR="00894028" w:rsidRPr="00F91EC4">
        <w:rPr>
          <w:noProof/>
        </w:rPr>
        <w:t>regulate the average fleet CO</w:t>
      </w:r>
      <w:r w:rsidR="00894028" w:rsidRPr="00F91EC4">
        <w:rPr>
          <w:noProof/>
          <w:vertAlign w:val="subscript"/>
        </w:rPr>
        <w:t>2</w:t>
      </w:r>
      <w:r w:rsidR="00894028" w:rsidRPr="00F91EC4">
        <w:rPr>
          <w:noProof/>
        </w:rPr>
        <w:t xml:space="preserve"> emission performance for new motor vehicles in the U</w:t>
      </w:r>
      <w:r w:rsidR="00FC15F5" w:rsidRPr="00F91EC4">
        <w:rPr>
          <w:noProof/>
        </w:rPr>
        <w:t>nion</w:t>
      </w:r>
      <w:r w:rsidR="00894028" w:rsidRPr="00F91EC4">
        <w:rPr>
          <w:noProof/>
        </w:rPr>
        <w:t>. The procedures and methodologies for the accurate determination of CO</w:t>
      </w:r>
      <w:r w:rsidR="00894028" w:rsidRPr="00F91EC4">
        <w:rPr>
          <w:noProof/>
          <w:vertAlign w:val="subscript"/>
        </w:rPr>
        <w:t>2</w:t>
      </w:r>
      <w:r w:rsidR="00FC15F5" w:rsidRPr="00F91EC4">
        <w:rPr>
          <w:noProof/>
        </w:rPr>
        <w:t xml:space="preserve"> </w:t>
      </w:r>
      <w:r w:rsidR="003A4121" w:rsidRPr="00F91EC4">
        <w:rPr>
          <w:noProof/>
        </w:rPr>
        <w:t xml:space="preserve">emissions, </w:t>
      </w:r>
      <w:r w:rsidR="00894028" w:rsidRPr="00F91EC4">
        <w:rPr>
          <w:noProof/>
        </w:rPr>
        <w:t xml:space="preserve">fuel and energy consumption, electric range and power for individual vehicles </w:t>
      </w:r>
      <w:r w:rsidR="0035403F" w:rsidRPr="00F91EC4">
        <w:rPr>
          <w:noProof/>
        </w:rPr>
        <w:t>should</w:t>
      </w:r>
      <w:r w:rsidR="00894028" w:rsidRPr="00F91EC4">
        <w:rPr>
          <w:noProof/>
        </w:rPr>
        <w:t xml:space="preserve"> be introduced in emission </w:t>
      </w:r>
      <w:r w:rsidR="00976BDB" w:rsidRPr="00F91EC4">
        <w:rPr>
          <w:noProof/>
        </w:rPr>
        <w:t>type-approval</w:t>
      </w:r>
      <w:r w:rsidR="00894028" w:rsidRPr="00F91EC4">
        <w:rPr>
          <w:noProof/>
        </w:rPr>
        <w:t xml:space="preserve">. </w:t>
      </w:r>
    </w:p>
    <w:p w14:paraId="40F48CCE" w14:textId="253EFA60" w:rsidR="00FC5313" w:rsidRPr="00F91EC4" w:rsidRDefault="00DD0F7B" w:rsidP="00DD0F7B">
      <w:pPr>
        <w:pStyle w:val="ManualConsidrant"/>
        <w:rPr>
          <w:noProof/>
        </w:rPr>
      </w:pPr>
      <w:r w:rsidRPr="00DD0F7B">
        <w:rPr>
          <w:noProof/>
        </w:rPr>
        <w:t>(21)</w:t>
      </w:r>
      <w:r w:rsidRPr="00DD0F7B">
        <w:rPr>
          <w:noProof/>
        </w:rPr>
        <w:tab/>
      </w:r>
      <w:r w:rsidR="00EF0984" w:rsidRPr="00F91EC4">
        <w:rPr>
          <w:noProof/>
        </w:rPr>
        <w:t>In order to ensure uniform conditions for the implementation of this Regulation, implementing powers should be conferred on the Commission</w:t>
      </w:r>
      <w:r w:rsidR="00B41173" w:rsidRPr="00F91EC4">
        <w:rPr>
          <w:noProof/>
        </w:rPr>
        <w:t xml:space="preserve"> in relation to </w:t>
      </w:r>
      <w:r w:rsidR="00BD0EDD" w:rsidRPr="00F91EC4">
        <w:rPr>
          <w:noProof/>
        </w:rPr>
        <w:t xml:space="preserve">obligations of manufacturers as part of </w:t>
      </w:r>
      <w:r w:rsidR="00976BDB" w:rsidRPr="00F91EC4">
        <w:rPr>
          <w:noProof/>
        </w:rPr>
        <w:t>type-approval</w:t>
      </w:r>
      <w:r w:rsidR="00BD0EDD" w:rsidRPr="00F91EC4">
        <w:rPr>
          <w:noProof/>
        </w:rPr>
        <w:t xml:space="preserve"> and </w:t>
      </w:r>
      <w:r w:rsidR="008A3066">
        <w:rPr>
          <w:noProof/>
        </w:rPr>
        <w:t xml:space="preserve">procedures, </w:t>
      </w:r>
      <w:r w:rsidR="00BD0EDD" w:rsidRPr="00F91EC4">
        <w:rPr>
          <w:noProof/>
        </w:rPr>
        <w:t>test and methodologies to be applied for declaration of conformity, conformity of production check</w:t>
      </w:r>
      <w:r w:rsidR="007506D5" w:rsidRPr="00F91EC4">
        <w:rPr>
          <w:noProof/>
        </w:rPr>
        <w:t>,</w:t>
      </w:r>
      <w:r w:rsidR="00BD0EDD" w:rsidRPr="00F91EC4">
        <w:rPr>
          <w:noProof/>
        </w:rPr>
        <w:t xml:space="preserve"> in-</w:t>
      </w:r>
      <w:r w:rsidR="00714038" w:rsidRPr="00F91EC4">
        <w:rPr>
          <w:noProof/>
        </w:rPr>
        <w:t>service</w:t>
      </w:r>
      <w:r w:rsidR="00BD0EDD" w:rsidRPr="00F91EC4">
        <w:rPr>
          <w:noProof/>
        </w:rPr>
        <w:t xml:space="preserve"> conformity-check</w:t>
      </w:r>
      <w:r w:rsidR="007506D5" w:rsidRPr="00F91EC4">
        <w:rPr>
          <w:noProof/>
        </w:rPr>
        <w:t xml:space="preserve"> and </w:t>
      </w:r>
      <w:r w:rsidR="00FC15F5" w:rsidRPr="00F91EC4">
        <w:rPr>
          <w:noProof/>
        </w:rPr>
        <w:t>e</w:t>
      </w:r>
      <w:r w:rsidR="007506D5" w:rsidRPr="00F91EC4">
        <w:rPr>
          <w:noProof/>
        </w:rPr>
        <w:t xml:space="preserve">nvironmental </w:t>
      </w:r>
      <w:r w:rsidR="00FC15F5" w:rsidRPr="00F91EC4">
        <w:rPr>
          <w:noProof/>
        </w:rPr>
        <w:t>v</w:t>
      </w:r>
      <w:r w:rsidR="007506D5" w:rsidRPr="00F91EC4">
        <w:rPr>
          <w:noProof/>
        </w:rPr>
        <w:t xml:space="preserve">ehicle </w:t>
      </w:r>
      <w:r w:rsidR="00FC15F5" w:rsidRPr="00F91EC4">
        <w:rPr>
          <w:noProof/>
        </w:rPr>
        <w:t>p</w:t>
      </w:r>
      <w:r w:rsidR="007506D5" w:rsidRPr="00F91EC4">
        <w:rPr>
          <w:noProof/>
        </w:rPr>
        <w:t>assport (EVP)</w:t>
      </w:r>
      <w:r w:rsidR="00BD0EDD" w:rsidRPr="00F91EC4">
        <w:rPr>
          <w:noProof/>
        </w:rPr>
        <w:t xml:space="preserve">; </w:t>
      </w:r>
      <w:r w:rsidR="00B41173" w:rsidRPr="00F91EC4">
        <w:rPr>
          <w:noProof/>
        </w:rPr>
        <w:t xml:space="preserve">options </w:t>
      </w:r>
      <w:r w:rsidR="008A3066">
        <w:rPr>
          <w:noProof/>
        </w:rPr>
        <w:t>and designations of vehicles</w:t>
      </w:r>
      <w:r w:rsidR="00B41173" w:rsidRPr="00F91EC4">
        <w:rPr>
          <w:noProof/>
        </w:rPr>
        <w:t>; requirements</w:t>
      </w:r>
      <w:r w:rsidR="007506D5" w:rsidRPr="00F91EC4">
        <w:rPr>
          <w:noProof/>
        </w:rPr>
        <w:t>, tests,</w:t>
      </w:r>
      <w:r w:rsidR="00B41173" w:rsidRPr="00F91EC4">
        <w:rPr>
          <w:noProof/>
        </w:rPr>
        <w:t xml:space="preserve"> methods </w:t>
      </w:r>
      <w:r w:rsidR="007506D5" w:rsidRPr="00F91EC4">
        <w:rPr>
          <w:noProof/>
        </w:rPr>
        <w:t xml:space="preserve">and corrective measures related </w:t>
      </w:r>
      <w:r w:rsidR="00B41173" w:rsidRPr="00F91EC4">
        <w:rPr>
          <w:noProof/>
        </w:rPr>
        <w:t xml:space="preserve">to durability of </w:t>
      </w:r>
      <w:r w:rsidR="007506D5" w:rsidRPr="00F91EC4">
        <w:rPr>
          <w:noProof/>
        </w:rPr>
        <w:t xml:space="preserve">vehicles, </w:t>
      </w:r>
      <w:r w:rsidR="008A3066">
        <w:rPr>
          <w:noProof/>
        </w:rPr>
        <w:t xml:space="preserve">systems, components and </w:t>
      </w:r>
      <w:r w:rsidR="007506D5" w:rsidRPr="00F91EC4">
        <w:rPr>
          <w:noProof/>
        </w:rPr>
        <w:t>separate technical units</w:t>
      </w:r>
      <w:r w:rsidR="008A3066">
        <w:rPr>
          <w:noProof/>
        </w:rPr>
        <w:t>, as well as registration and communication capabilities of OB</w:t>
      </w:r>
      <w:r w:rsidR="00864E0B">
        <w:rPr>
          <w:noProof/>
        </w:rPr>
        <w:t>M</w:t>
      </w:r>
      <w:r w:rsidR="008A3066">
        <w:rPr>
          <w:noProof/>
        </w:rPr>
        <w:t xml:space="preserve"> systems, including for the </w:t>
      </w:r>
      <w:r w:rsidR="008A3066" w:rsidRPr="00864E0B">
        <w:rPr>
          <w:noProof/>
        </w:rPr>
        <w:t>purpose of periodic technical inspections and roadworthiness checks</w:t>
      </w:r>
      <w:r w:rsidR="00B41173" w:rsidRPr="00F91EC4">
        <w:rPr>
          <w:noProof/>
        </w:rPr>
        <w:t xml:space="preserve">; </w:t>
      </w:r>
      <w:r w:rsidR="00B07FB1" w:rsidRPr="00F91EC4">
        <w:rPr>
          <w:noProof/>
        </w:rPr>
        <w:t>requirements and information to be provided by manufacturers of</w:t>
      </w:r>
      <w:r w:rsidR="00B36040" w:rsidRPr="00F91EC4">
        <w:rPr>
          <w:noProof/>
        </w:rPr>
        <w:t xml:space="preserve"> multistage vehicles</w:t>
      </w:r>
      <w:r w:rsidR="00B07FB1" w:rsidRPr="00F91EC4">
        <w:rPr>
          <w:noProof/>
        </w:rPr>
        <w:t xml:space="preserve"> as well as</w:t>
      </w:r>
      <w:r w:rsidR="005C591C" w:rsidRPr="00F91EC4">
        <w:rPr>
          <w:noProof/>
        </w:rPr>
        <w:t xml:space="preserve"> procedure</w:t>
      </w:r>
      <w:r w:rsidR="00ED12F4" w:rsidRPr="00F91EC4">
        <w:rPr>
          <w:noProof/>
        </w:rPr>
        <w:t>s</w:t>
      </w:r>
      <w:r w:rsidR="005C591C" w:rsidRPr="00F91EC4">
        <w:rPr>
          <w:noProof/>
        </w:rPr>
        <w:t xml:space="preserve"> to determine the CO</w:t>
      </w:r>
      <w:r w:rsidR="005C591C" w:rsidRPr="00F91EC4">
        <w:rPr>
          <w:noProof/>
          <w:vertAlign w:val="subscript"/>
        </w:rPr>
        <w:t>2</w:t>
      </w:r>
      <w:r w:rsidR="005C591C" w:rsidRPr="00F91EC4">
        <w:rPr>
          <w:noProof/>
        </w:rPr>
        <w:t xml:space="preserve"> value for </w:t>
      </w:r>
      <w:r w:rsidR="00B36040" w:rsidRPr="00F91EC4">
        <w:rPr>
          <w:noProof/>
        </w:rPr>
        <w:t xml:space="preserve">these </w:t>
      </w:r>
      <w:r w:rsidR="005C591C" w:rsidRPr="00F91EC4">
        <w:rPr>
          <w:noProof/>
        </w:rPr>
        <w:t>multistage vehicles</w:t>
      </w:r>
      <w:r w:rsidR="005606DF" w:rsidRPr="00F91EC4">
        <w:rPr>
          <w:noProof/>
        </w:rPr>
        <w:t xml:space="preserve">; </w:t>
      </w:r>
      <w:r w:rsidR="006F05C1">
        <w:rPr>
          <w:noProof/>
        </w:rPr>
        <w:t xml:space="preserve">technical elements, </w:t>
      </w:r>
      <w:r w:rsidR="00EE44F5" w:rsidRPr="00F91EC4">
        <w:rPr>
          <w:noProof/>
        </w:rPr>
        <w:t xml:space="preserve">administrative and documentation requirements for emission </w:t>
      </w:r>
      <w:r w:rsidR="00976BDB" w:rsidRPr="00F91EC4">
        <w:rPr>
          <w:noProof/>
        </w:rPr>
        <w:t>type-approval</w:t>
      </w:r>
      <w:r w:rsidR="006F05C1">
        <w:rPr>
          <w:noProof/>
        </w:rPr>
        <w:t>, checks and inspections and market surveillance checks,</w:t>
      </w:r>
      <w:r w:rsidR="00EE44F5" w:rsidRPr="00F91EC4">
        <w:rPr>
          <w:noProof/>
        </w:rPr>
        <w:t xml:space="preserve"> as well as reporting obligations, </w:t>
      </w:r>
      <w:r w:rsidR="005606DF" w:rsidRPr="00F91EC4">
        <w:rPr>
          <w:noProof/>
        </w:rPr>
        <w:t xml:space="preserve">in-service conformity and conformity of production checks; methods and tests to (i) measure </w:t>
      </w:r>
      <w:r w:rsidR="00A662E0" w:rsidRPr="00F91EC4">
        <w:rPr>
          <w:noProof/>
        </w:rPr>
        <w:t xml:space="preserve">exhaust </w:t>
      </w:r>
      <w:r w:rsidR="005606DF" w:rsidRPr="00F91EC4">
        <w:rPr>
          <w:noProof/>
        </w:rPr>
        <w:t>emissions in the lab and on the road</w:t>
      </w:r>
      <w:r w:rsidR="00FC5313" w:rsidRPr="00F91EC4">
        <w:rPr>
          <w:noProof/>
        </w:rPr>
        <w:t>, including random and worst-case RDE test cycles, the use of portable emissions measurement systems for verifying real driving emissions, and idle emissions</w:t>
      </w:r>
      <w:r w:rsidR="005606DF" w:rsidRPr="00F91EC4">
        <w:rPr>
          <w:noProof/>
        </w:rPr>
        <w:t xml:space="preserve">, </w:t>
      </w:r>
      <w:r w:rsidR="005C591C" w:rsidRPr="00F91EC4">
        <w:rPr>
          <w:noProof/>
        </w:rPr>
        <w:t xml:space="preserve">(ii) </w:t>
      </w:r>
      <w:r w:rsidR="00FC5313" w:rsidRPr="00F91EC4">
        <w:rPr>
          <w:noProof/>
        </w:rPr>
        <w:t xml:space="preserve">determine the </w:t>
      </w:r>
      <w:r w:rsidR="005C591C" w:rsidRPr="00F91EC4">
        <w:rPr>
          <w:noProof/>
        </w:rPr>
        <w:t>CO</w:t>
      </w:r>
      <w:r w:rsidR="005C591C" w:rsidRPr="00F91EC4">
        <w:rPr>
          <w:noProof/>
          <w:vertAlign w:val="subscript"/>
        </w:rPr>
        <w:t>2</w:t>
      </w:r>
      <w:r w:rsidR="005C591C" w:rsidRPr="00F91EC4">
        <w:rPr>
          <w:noProof/>
        </w:rPr>
        <w:t xml:space="preserve"> emissions</w:t>
      </w:r>
      <w:r w:rsidR="00DF054C" w:rsidRPr="00F91EC4">
        <w:rPr>
          <w:noProof/>
        </w:rPr>
        <w:t>, fuel</w:t>
      </w:r>
      <w:r w:rsidR="005C591C" w:rsidRPr="00F91EC4">
        <w:rPr>
          <w:noProof/>
        </w:rPr>
        <w:t xml:space="preserve"> and energy consumption</w:t>
      </w:r>
      <w:r w:rsidR="00FC5313" w:rsidRPr="00F91EC4">
        <w:rPr>
          <w:noProof/>
        </w:rPr>
        <w:t xml:space="preserve">, the electric range and engine power of a motor vehicle, (iii) provide specifications for </w:t>
      </w:r>
      <w:r w:rsidR="00FC15F5" w:rsidRPr="00F91EC4">
        <w:rPr>
          <w:noProof/>
        </w:rPr>
        <w:t>g</w:t>
      </w:r>
      <w:r w:rsidR="00FC5313" w:rsidRPr="00F91EC4">
        <w:rPr>
          <w:noProof/>
        </w:rPr>
        <w:t xml:space="preserve">ear </w:t>
      </w:r>
      <w:r w:rsidR="00FC15F5" w:rsidRPr="00F91EC4">
        <w:rPr>
          <w:noProof/>
        </w:rPr>
        <w:t>s</w:t>
      </w:r>
      <w:r w:rsidR="00FC5313" w:rsidRPr="00F91EC4">
        <w:rPr>
          <w:noProof/>
        </w:rPr>
        <w:t xml:space="preserve">hift </w:t>
      </w:r>
      <w:r w:rsidR="00FC15F5" w:rsidRPr="00F91EC4">
        <w:rPr>
          <w:noProof/>
        </w:rPr>
        <w:t>i</w:t>
      </w:r>
      <w:r w:rsidR="00FC5313" w:rsidRPr="00F91EC4">
        <w:rPr>
          <w:noProof/>
        </w:rPr>
        <w:t xml:space="preserve">ndicator (GSI) </w:t>
      </w:r>
      <w:r w:rsidR="005C591C" w:rsidRPr="00F91EC4">
        <w:rPr>
          <w:noProof/>
        </w:rPr>
        <w:t>(i</w:t>
      </w:r>
      <w:r w:rsidR="00FC5313" w:rsidRPr="00F91EC4">
        <w:rPr>
          <w:noProof/>
        </w:rPr>
        <w:t>v</w:t>
      </w:r>
      <w:r w:rsidR="005C591C" w:rsidRPr="00F91EC4">
        <w:rPr>
          <w:noProof/>
        </w:rPr>
        <w:t xml:space="preserve">) </w:t>
      </w:r>
      <w:r w:rsidR="00FC5313" w:rsidRPr="00F91EC4">
        <w:rPr>
          <w:noProof/>
        </w:rPr>
        <w:t>determine the impact of O</w:t>
      </w:r>
      <w:r w:rsidR="00FC5313" w:rsidRPr="00F91EC4">
        <w:rPr>
          <w:noProof/>
          <w:vertAlign w:val="subscript"/>
        </w:rPr>
        <w:t>3</w:t>
      </w:r>
      <w:r w:rsidR="00FC5313" w:rsidRPr="00F91EC4">
        <w:rPr>
          <w:noProof/>
        </w:rPr>
        <w:t>, O</w:t>
      </w:r>
      <w:r w:rsidR="00FC5313" w:rsidRPr="00F91EC4">
        <w:rPr>
          <w:noProof/>
          <w:vertAlign w:val="subscript"/>
        </w:rPr>
        <w:t>4</w:t>
      </w:r>
      <w:r w:rsidR="00FC5313" w:rsidRPr="00F91EC4">
        <w:rPr>
          <w:noProof/>
        </w:rPr>
        <w:t xml:space="preserve"> trailers on</w:t>
      </w:r>
      <w:r w:rsidR="00FC5313" w:rsidRPr="00F91EC4" w:rsidDel="00FC5313">
        <w:rPr>
          <w:noProof/>
        </w:rPr>
        <w:t xml:space="preserve"> </w:t>
      </w:r>
      <w:r w:rsidR="00FC5313" w:rsidRPr="00F91EC4">
        <w:rPr>
          <w:noProof/>
        </w:rPr>
        <w:t xml:space="preserve">the </w:t>
      </w:r>
      <w:r w:rsidR="005C591C" w:rsidRPr="00F91EC4">
        <w:rPr>
          <w:noProof/>
        </w:rPr>
        <w:t>CO</w:t>
      </w:r>
      <w:r w:rsidR="005C591C" w:rsidRPr="00F91EC4">
        <w:rPr>
          <w:noProof/>
          <w:vertAlign w:val="subscript"/>
        </w:rPr>
        <w:t>2</w:t>
      </w:r>
      <w:r w:rsidR="00ED12F4" w:rsidRPr="00F91EC4">
        <w:rPr>
          <w:noProof/>
          <w:vertAlign w:val="subscript"/>
        </w:rPr>
        <w:t xml:space="preserve"> </w:t>
      </w:r>
      <w:r w:rsidR="00FC5313" w:rsidRPr="00F91EC4">
        <w:rPr>
          <w:noProof/>
          <w:vertAlign w:val="subscript"/>
        </w:rPr>
        <w:t>,</w:t>
      </w:r>
      <w:r w:rsidR="00FC5313" w:rsidRPr="00F91EC4">
        <w:rPr>
          <w:noProof/>
        </w:rPr>
        <w:t xml:space="preserve"> fuel and energy consumption, electric range and engine power of a motor vehicle</w:t>
      </w:r>
      <w:r w:rsidR="005C591C" w:rsidRPr="00F91EC4">
        <w:rPr>
          <w:noProof/>
        </w:rPr>
        <w:t xml:space="preserve">, </w:t>
      </w:r>
      <w:r w:rsidR="005606DF" w:rsidRPr="00F91EC4">
        <w:rPr>
          <w:noProof/>
        </w:rPr>
        <w:t>(</w:t>
      </w:r>
      <w:r w:rsidR="007C317B" w:rsidRPr="00F91EC4">
        <w:rPr>
          <w:noProof/>
        </w:rPr>
        <w:t>i</w:t>
      </w:r>
      <w:r w:rsidR="005C591C" w:rsidRPr="00F91EC4">
        <w:rPr>
          <w:noProof/>
        </w:rPr>
        <w:t>v</w:t>
      </w:r>
      <w:r w:rsidR="005606DF" w:rsidRPr="00F91EC4">
        <w:rPr>
          <w:noProof/>
        </w:rPr>
        <w:t xml:space="preserve">) measure </w:t>
      </w:r>
      <w:r w:rsidR="005B433E" w:rsidRPr="00F91EC4">
        <w:rPr>
          <w:noProof/>
        </w:rPr>
        <w:t>crankcase</w:t>
      </w:r>
      <w:r w:rsidR="00FC5313" w:rsidRPr="00F91EC4">
        <w:rPr>
          <w:noProof/>
        </w:rPr>
        <w:t xml:space="preserve"> emissions</w:t>
      </w:r>
      <w:r w:rsidR="005606DF" w:rsidRPr="00F91EC4">
        <w:rPr>
          <w:noProof/>
        </w:rPr>
        <w:t>, evaporative emissions, brake emissions, (</w:t>
      </w:r>
      <w:r w:rsidR="005C591C" w:rsidRPr="00F91EC4">
        <w:rPr>
          <w:noProof/>
        </w:rPr>
        <w:t>v</w:t>
      </w:r>
      <w:r w:rsidR="005606DF" w:rsidRPr="00F91EC4">
        <w:rPr>
          <w:noProof/>
        </w:rPr>
        <w:t>) evaluate compliance with minimum performance requirements</w:t>
      </w:r>
      <w:r w:rsidR="00EA3958" w:rsidRPr="00F91EC4">
        <w:rPr>
          <w:noProof/>
        </w:rPr>
        <w:t xml:space="preserve"> of battery durability</w:t>
      </w:r>
      <w:r w:rsidR="005606DF" w:rsidRPr="00F91EC4">
        <w:rPr>
          <w:noProof/>
        </w:rPr>
        <w:t>, (v</w:t>
      </w:r>
      <w:r w:rsidR="005C591C" w:rsidRPr="00F91EC4">
        <w:rPr>
          <w:noProof/>
        </w:rPr>
        <w:t>i</w:t>
      </w:r>
      <w:r w:rsidR="005606DF" w:rsidRPr="00F91EC4">
        <w:rPr>
          <w:noProof/>
        </w:rPr>
        <w:t>) assess the in-service conformity of engines and vehicles</w:t>
      </w:r>
      <w:r w:rsidR="00F76480" w:rsidRPr="00F91EC4">
        <w:rPr>
          <w:noProof/>
        </w:rPr>
        <w:t>;</w:t>
      </w:r>
      <w:r w:rsidR="005606DF" w:rsidRPr="00F91EC4">
        <w:rPr>
          <w:noProof/>
        </w:rPr>
        <w:t xml:space="preserve"> compliance thresholds and performance requirements</w:t>
      </w:r>
      <w:r w:rsidR="00F76480" w:rsidRPr="00F91EC4">
        <w:rPr>
          <w:noProof/>
        </w:rPr>
        <w:t xml:space="preserve">, as well as </w:t>
      </w:r>
      <w:r w:rsidR="006F05C1">
        <w:rPr>
          <w:noProof/>
        </w:rPr>
        <w:t xml:space="preserve">(vii) </w:t>
      </w:r>
      <w:r w:rsidR="005606DF" w:rsidRPr="00F91EC4">
        <w:rPr>
          <w:noProof/>
        </w:rPr>
        <w:t>test and methods to ensure performance of sensors (OBD and O</w:t>
      </w:r>
      <w:r w:rsidR="007C317B" w:rsidRPr="00F91EC4">
        <w:rPr>
          <w:noProof/>
        </w:rPr>
        <w:t>B</w:t>
      </w:r>
      <w:r w:rsidR="005606DF" w:rsidRPr="00F91EC4">
        <w:rPr>
          <w:noProof/>
        </w:rPr>
        <w:t>M)</w:t>
      </w:r>
      <w:r w:rsidR="00F76480" w:rsidRPr="00F91EC4">
        <w:rPr>
          <w:noProof/>
        </w:rPr>
        <w:t>;</w:t>
      </w:r>
      <w:r w:rsidR="006F05C1">
        <w:rPr>
          <w:noProof/>
        </w:rPr>
        <w:t xml:space="preserve"> (viii)</w:t>
      </w:r>
      <w:r w:rsidR="00F76480" w:rsidRPr="00F91EC4">
        <w:rPr>
          <w:noProof/>
        </w:rPr>
        <w:t xml:space="preserve"> methods to ensure and assess security measures; </w:t>
      </w:r>
      <w:r w:rsidR="00D51DFC" w:rsidRPr="00F91EC4">
        <w:rPr>
          <w:noProof/>
        </w:rPr>
        <w:t>specification and characteristics of driver warning systems</w:t>
      </w:r>
      <w:r w:rsidR="00FC5313" w:rsidRPr="00F91EC4">
        <w:rPr>
          <w:noProof/>
        </w:rPr>
        <w:t xml:space="preserve"> and inducement methods and to assess their correct operation;</w:t>
      </w:r>
      <w:r w:rsidR="006F05C1">
        <w:rPr>
          <w:noProof/>
        </w:rPr>
        <w:t xml:space="preserve"> (ix)</w:t>
      </w:r>
      <w:r w:rsidR="00FC5313" w:rsidRPr="00F91EC4">
        <w:rPr>
          <w:noProof/>
        </w:rPr>
        <w:t xml:space="preserve"> methods to assess the correct operation, effectiveness, regeneration and d</w:t>
      </w:r>
      <w:r w:rsidR="004D08E8" w:rsidRPr="00F91EC4">
        <w:rPr>
          <w:noProof/>
        </w:rPr>
        <w:t>urability of</w:t>
      </w:r>
      <w:r w:rsidR="00FC5313" w:rsidRPr="00F91EC4">
        <w:rPr>
          <w:noProof/>
        </w:rPr>
        <w:t xml:space="preserve"> original and replacement pollution control systems;</w:t>
      </w:r>
      <w:r w:rsidR="00D51DFC" w:rsidRPr="00F91EC4">
        <w:rPr>
          <w:noProof/>
        </w:rPr>
        <w:t xml:space="preserve"> </w:t>
      </w:r>
      <w:r w:rsidR="006F05C1">
        <w:rPr>
          <w:noProof/>
        </w:rPr>
        <w:t xml:space="preserve">(x) </w:t>
      </w:r>
      <w:r w:rsidR="006F05C1" w:rsidRPr="00864E0B">
        <w:rPr>
          <w:noProof/>
        </w:rPr>
        <w:t xml:space="preserve">methods to ensure and assess security measures including vulnerability analysis and tampering protection; </w:t>
      </w:r>
      <w:r w:rsidR="00864E0B" w:rsidRPr="00864E0B">
        <w:rPr>
          <w:noProof/>
        </w:rPr>
        <w:t xml:space="preserve">(xi) </w:t>
      </w:r>
      <w:r w:rsidR="006F05C1" w:rsidRPr="00864E0B">
        <w:rPr>
          <w:noProof/>
        </w:rPr>
        <w:t>methods to assess the correct functioning of types approved under specific EURO7 designati</w:t>
      </w:r>
      <w:r w:rsidR="006F05C1">
        <w:rPr>
          <w:noProof/>
        </w:rPr>
        <w:t>ons; (xi</w:t>
      </w:r>
      <w:r w:rsidR="00864E0B">
        <w:rPr>
          <w:noProof/>
        </w:rPr>
        <w:t>i</w:t>
      </w:r>
      <w:r w:rsidR="006F05C1">
        <w:rPr>
          <w:noProof/>
        </w:rPr>
        <w:t xml:space="preserve">) </w:t>
      </w:r>
      <w:r w:rsidR="00F76480" w:rsidRPr="00F91EC4">
        <w:rPr>
          <w:noProof/>
        </w:rPr>
        <w:t xml:space="preserve">criteria for emission </w:t>
      </w:r>
      <w:r w:rsidR="00976BDB" w:rsidRPr="00F91EC4">
        <w:rPr>
          <w:noProof/>
        </w:rPr>
        <w:t>type-approval</w:t>
      </w:r>
      <w:r w:rsidR="00F76480" w:rsidRPr="00F91EC4">
        <w:rPr>
          <w:noProof/>
        </w:rPr>
        <w:t>s</w:t>
      </w:r>
      <w:r w:rsidR="004D08E8" w:rsidRPr="00F91EC4">
        <w:rPr>
          <w:noProof/>
        </w:rPr>
        <w:t xml:space="preserve"> for small and ultra-small volume manufacturers</w:t>
      </w:r>
      <w:r w:rsidR="00F76480" w:rsidRPr="00F91EC4">
        <w:rPr>
          <w:noProof/>
        </w:rPr>
        <w:t xml:space="preserve">; </w:t>
      </w:r>
      <w:r w:rsidR="006F05C1">
        <w:rPr>
          <w:noProof/>
        </w:rPr>
        <w:t>(xii</w:t>
      </w:r>
      <w:r w:rsidR="00864E0B">
        <w:rPr>
          <w:noProof/>
        </w:rPr>
        <w:t>i</w:t>
      </w:r>
      <w:r w:rsidR="006F05C1">
        <w:rPr>
          <w:noProof/>
        </w:rPr>
        <w:t xml:space="preserve">) </w:t>
      </w:r>
      <w:r w:rsidR="004D08E8" w:rsidRPr="00F91EC4">
        <w:rPr>
          <w:noProof/>
        </w:rPr>
        <w:t xml:space="preserve">checks and test procedures for multistage vehicles; </w:t>
      </w:r>
      <w:r w:rsidR="006F05C1">
        <w:rPr>
          <w:noProof/>
        </w:rPr>
        <w:t>(xi</w:t>
      </w:r>
      <w:r w:rsidR="00864E0B">
        <w:rPr>
          <w:noProof/>
        </w:rPr>
        <w:t>v</w:t>
      </w:r>
      <w:r w:rsidR="006F05C1">
        <w:rPr>
          <w:noProof/>
        </w:rPr>
        <w:t xml:space="preserve">) </w:t>
      </w:r>
      <w:r w:rsidR="00F76480" w:rsidRPr="00F91EC4">
        <w:rPr>
          <w:noProof/>
        </w:rPr>
        <w:t xml:space="preserve">performance requirements for test equipment; </w:t>
      </w:r>
      <w:r w:rsidR="006F05C1">
        <w:rPr>
          <w:noProof/>
        </w:rPr>
        <w:t xml:space="preserve">(xv) </w:t>
      </w:r>
      <w:r w:rsidR="004D08E8" w:rsidRPr="00F91EC4">
        <w:rPr>
          <w:noProof/>
        </w:rPr>
        <w:t xml:space="preserve">specification </w:t>
      </w:r>
      <w:r w:rsidR="00F76480" w:rsidRPr="00F91EC4">
        <w:rPr>
          <w:noProof/>
        </w:rPr>
        <w:t xml:space="preserve">of reference fuels; and </w:t>
      </w:r>
      <w:r w:rsidR="006F05C1">
        <w:rPr>
          <w:noProof/>
        </w:rPr>
        <w:t>(xv</w:t>
      </w:r>
      <w:r w:rsidR="00864E0B">
        <w:rPr>
          <w:noProof/>
        </w:rPr>
        <w:t>i</w:t>
      </w:r>
      <w:r w:rsidR="006F05C1">
        <w:rPr>
          <w:noProof/>
        </w:rPr>
        <w:t xml:space="preserve">) </w:t>
      </w:r>
      <w:r w:rsidR="00F76480" w:rsidRPr="00F91EC4">
        <w:rPr>
          <w:noProof/>
        </w:rPr>
        <w:t>methods for assessing the absence of defeat devices</w:t>
      </w:r>
      <w:r w:rsidR="00D51DFC" w:rsidRPr="00F91EC4">
        <w:rPr>
          <w:noProof/>
        </w:rPr>
        <w:t xml:space="preserve"> </w:t>
      </w:r>
      <w:r w:rsidR="004D08E8" w:rsidRPr="00F91EC4">
        <w:rPr>
          <w:noProof/>
        </w:rPr>
        <w:t>and defeat strategies</w:t>
      </w:r>
      <w:r w:rsidR="00F75A21">
        <w:rPr>
          <w:noProof/>
        </w:rPr>
        <w:t>; (xvi</w:t>
      </w:r>
      <w:r w:rsidR="00864E0B">
        <w:rPr>
          <w:noProof/>
        </w:rPr>
        <w:t>i</w:t>
      </w:r>
      <w:r w:rsidR="00F75A21">
        <w:rPr>
          <w:noProof/>
        </w:rPr>
        <w:t>)</w:t>
      </w:r>
      <w:r w:rsidR="004D08E8" w:rsidRPr="00F91EC4">
        <w:rPr>
          <w:noProof/>
        </w:rPr>
        <w:t xml:space="preserve"> to measure tyre abrasion, </w:t>
      </w:r>
      <w:r w:rsidR="00D51DFC" w:rsidRPr="00F91EC4">
        <w:rPr>
          <w:noProof/>
        </w:rPr>
        <w:t xml:space="preserve">as well as </w:t>
      </w:r>
      <w:r w:rsidR="00F75A21">
        <w:rPr>
          <w:noProof/>
        </w:rPr>
        <w:t>(xvii</w:t>
      </w:r>
      <w:r w:rsidR="00864E0B">
        <w:rPr>
          <w:noProof/>
        </w:rPr>
        <w:t>i</w:t>
      </w:r>
      <w:r w:rsidR="00F75A21">
        <w:rPr>
          <w:noProof/>
        </w:rPr>
        <w:t xml:space="preserve">) </w:t>
      </w:r>
      <w:r w:rsidR="00136C68" w:rsidRPr="00F91EC4">
        <w:rPr>
          <w:noProof/>
        </w:rPr>
        <w:t xml:space="preserve">EVP </w:t>
      </w:r>
      <w:r w:rsidR="00D51DFC" w:rsidRPr="00F91EC4">
        <w:rPr>
          <w:noProof/>
        </w:rPr>
        <w:t>format</w:t>
      </w:r>
      <w:r w:rsidR="00136C68" w:rsidRPr="00F91EC4">
        <w:rPr>
          <w:noProof/>
        </w:rPr>
        <w:t>, data</w:t>
      </w:r>
      <w:r w:rsidR="00D51DFC" w:rsidRPr="00F91EC4">
        <w:rPr>
          <w:noProof/>
        </w:rPr>
        <w:t xml:space="preserve"> and method of communication of the </w:t>
      </w:r>
      <w:r w:rsidR="00136C68" w:rsidRPr="00F91EC4">
        <w:rPr>
          <w:noProof/>
        </w:rPr>
        <w:t xml:space="preserve">EVP </w:t>
      </w:r>
      <w:r w:rsidR="00D51DFC" w:rsidRPr="00F91EC4">
        <w:rPr>
          <w:noProof/>
        </w:rPr>
        <w:t>data</w:t>
      </w:r>
      <w:r w:rsidR="00EF0984" w:rsidRPr="00F91EC4">
        <w:rPr>
          <w:noProof/>
        </w:rPr>
        <w:t>. Those powers should be exercised in accordance with Regulation (EU) No 182/2011 of the European Parliament and of the Council</w:t>
      </w:r>
      <w:r w:rsidR="00EF0984" w:rsidRPr="00F91EC4">
        <w:rPr>
          <w:rStyle w:val="FootnoteReference"/>
          <w:noProof/>
        </w:rPr>
        <w:footnoteReference w:id="51"/>
      </w:r>
      <w:r w:rsidR="00EF0984" w:rsidRPr="00F91EC4">
        <w:rPr>
          <w:noProof/>
        </w:rPr>
        <w:t>.</w:t>
      </w:r>
    </w:p>
    <w:p w14:paraId="00CA9FD8" w14:textId="0893B2CC" w:rsidR="00EF0984" w:rsidRPr="00F91EC4" w:rsidRDefault="00DD0F7B" w:rsidP="00DD0F7B">
      <w:pPr>
        <w:pStyle w:val="ManualConsidrant"/>
        <w:rPr>
          <w:noProof/>
        </w:rPr>
      </w:pPr>
      <w:r w:rsidRPr="00DD0F7B">
        <w:rPr>
          <w:noProof/>
        </w:rPr>
        <w:t>(22)</w:t>
      </w:r>
      <w:r w:rsidRPr="00DD0F7B">
        <w:rPr>
          <w:noProof/>
        </w:rPr>
        <w:tab/>
      </w:r>
      <w:r w:rsidR="00EF0984" w:rsidRPr="00F91EC4">
        <w:rPr>
          <w:noProof/>
        </w:rPr>
        <w:t xml:space="preserve">In order to </w:t>
      </w:r>
      <w:r w:rsidR="00834094" w:rsidRPr="00F91EC4">
        <w:rPr>
          <w:noProof/>
        </w:rPr>
        <w:t xml:space="preserve">amend or </w:t>
      </w:r>
      <w:r w:rsidR="00EF0984" w:rsidRPr="00F91EC4">
        <w:rPr>
          <w:noProof/>
        </w:rPr>
        <w:t>supplement</w:t>
      </w:r>
      <w:r w:rsidR="00834094" w:rsidRPr="00F91EC4">
        <w:rPr>
          <w:noProof/>
        </w:rPr>
        <w:t>, as appropriate, non-essential elements of</w:t>
      </w:r>
      <w:r w:rsidR="00EF0984" w:rsidRPr="00F91EC4">
        <w:rPr>
          <w:noProof/>
        </w:rPr>
        <w:t xml:space="preserve"> this Regulation, the power to adopt acts in accordance with Article 290 of the Treaty on the Functioning of the European Union should be delegated to the Commission in respect of </w:t>
      </w:r>
      <w:r w:rsidR="00F75A21">
        <w:rPr>
          <w:noProof/>
        </w:rPr>
        <w:t xml:space="preserve"> test conditions based on data collected when testing Euro 7 vehicles, brakes or tyres; </w:t>
      </w:r>
      <w:r w:rsidR="00803CBE" w:rsidRPr="00F91EC4">
        <w:rPr>
          <w:noProof/>
        </w:rPr>
        <w:t>test requirements</w:t>
      </w:r>
      <w:r w:rsidR="00183F3C" w:rsidRPr="00F91EC4">
        <w:rPr>
          <w:noProof/>
        </w:rPr>
        <w:t>, in particular taking into account technical progress and data collected when testing Euro 7 vehicles</w:t>
      </w:r>
      <w:r w:rsidR="00F75A21">
        <w:rPr>
          <w:noProof/>
        </w:rPr>
        <w:t xml:space="preserve">; introducing vehicle </w:t>
      </w:r>
      <w:r w:rsidR="00864E0B">
        <w:rPr>
          <w:noProof/>
        </w:rPr>
        <w:t xml:space="preserve">options and </w:t>
      </w:r>
      <w:r w:rsidR="00F75A21">
        <w:rPr>
          <w:noProof/>
        </w:rPr>
        <w:t>designations based on innovative technologies for manufacturers but also setting out brake particle emission limits and abrasion limits for tyre types as well as minimum performance requirements of batteries and durability multipliers based on data collected when testing Euro 7 vehicles and setting out definitions and special rules for small volume manufacturers for vehicles of categories M</w:t>
      </w:r>
      <w:r w:rsidR="00F75A21">
        <w:rPr>
          <w:noProof/>
          <w:vertAlign w:val="subscript"/>
        </w:rPr>
        <w:t>2</w:t>
      </w:r>
      <w:r w:rsidR="00F75A21">
        <w:rPr>
          <w:noProof/>
        </w:rPr>
        <w:t>, M</w:t>
      </w:r>
      <w:r w:rsidR="00F75A21">
        <w:rPr>
          <w:noProof/>
          <w:vertAlign w:val="subscript"/>
        </w:rPr>
        <w:t>3</w:t>
      </w:r>
      <w:r w:rsidR="00F75A21">
        <w:rPr>
          <w:noProof/>
        </w:rPr>
        <w:t>,</w:t>
      </w:r>
      <w:r w:rsidR="00F75A21">
        <w:rPr>
          <w:noProof/>
          <w:vertAlign w:val="subscript"/>
        </w:rPr>
        <w:t xml:space="preserve"> </w:t>
      </w:r>
      <w:r w:rsidR="00F75A21">
        <w:rPr>
          <w:noProof/>
        </w:rPr>
        <w:t>N</w:t>
      </w:r>
      <w:r w:rsidR="00F75A21">
        <w:rPr>
          <w:noProof/>
          <w:vertAlign w:val="subscript"/>
        </w:rPr>
        <w:t>2,</w:t>
      </w:r>
      <w:r w:rsidR="00F75A21" w:rsidRPr="00F75A21">
        <w:rPr>
          <w:noProof/>
        </w:rPr>
        <w:t xml:space="preserve"> </w:t>
      </w:r>
      <w:r w:rsidR="00F75A21">
        <w:rPr>
          <w:noProof/>
        </w:rPr>
        <w:t>N</w:t>
      </w:r>
      <w:r w:rsidR="00F75A21">
        <w:rPr>
          <w:noProof/>
          <w:vertAlign w:val="subscript"/>
        </w:rPr>
        <w:t>3</w:t>
      </w:r>
      <w:r w:rsidR="00F75A21">
        <w:rPr>
          <w:noProof/>
        </w:rPr>
        <w:t>,</w:t>
      </w:r>
      <w:r w:rsidR="0027360E" w:rsidRPr="00F91EC4">
        <w:rPr>
          <w:noProof/>
        </w:rPr>
        <w:t xml:space="preserve"> </w:t>
      </w:r>
      <w:r w:rsidR="00834094" w:rsidRPr="00F91EC4">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834094" w:rsidRPr="00F91EC4">
        <w:rPr>
          <w:rStyle w:val="FootnoteReference"/>
          <w:noProof/>
        </w:rPr>
        <w:footnoteReference w:id="52"/>
      </w:r>
      <w:r w:rsidR="00834094" w:rsidRPr="00F91EC4">
        <w:rPr>
          <w:noProof/>
        </w:rPr>
        <w:t>. In particular, in order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7862CF3F" w14:textId="7FEB7FD3" w:rsidR="00EF0984" w:rsidRPr="00F91EC4" w:rsidRDefault="00DD0F7B" w:rsidP="00DD0F7B">
      <w:pPr>
        <w:pStyle w:val="ManualConsidrant"/>
        <w:rPr>
          <w:noProof/>
        </w:rPr>
      </w:pPr>
      <w:r w:rsidRPr="00DD0F7B">
        <w:rPr>
          <w:noProof/>
        </w:rPr>
        <w:t>(23)</w:t>
      </w:r>
      <w:r w:rsidRPr="00DD0F7B">
        <w:rPr>
          <w:noProof/>
        </w:rPr>
        <w:tab/>
      </w:r>
      <w:r w:rsidR="00AB5B08" w:rsidRPr="00F91EC4">
        <w:rPr>
          <w:noProof/>
        </w:rPr>
        <w:t xml:space="preserve">In the interest of clarity, rationality and simplification, since the rules on emission </w:t>
      </w:r>
      <w:r w:rsidR="00976BDB" w:rsidRPr="00F91EC4">
        <w:rPr>
          <w:noProof/>
        </w:rPr>
        <w:t>type-approval</w:t>
      </w:r>
      <w:r w:rsidR="00AB5B08" w:rsidRPr="00F91EC4">
        <w:rPr>
          <w:noProof/>
        </w:rPr>
        <w:t xml:space="preserve"> of motor vehicles and engines, and of systems, components and separate technical units intended for such vehicles are </w:t>
      </w:r>
      <w:r w:rsidR="000E54A8" w:rsidRPr="00F91EC4">
        <w:rPr>
          <w:noProof/>
        </w:rPr>
        <w:t xml:space="preserve">updated and </w:t>
      </w:r>
      <w:r w:rsidR="00AB5B08" w:rsidRPr="00F91EC4">
        <w:rPr>
          <w:noProof/>
        </w:rPr>
        <w:t>all contained in this Regulation, the</w:t>
      </w:r>
      <w:r w:rsidR="00AB5B08" w:rsidRPr="00F91EC4" w:rsidDel="00AB5B08">
        <w:rPr>
          <w:noProof/>
        </w:rPr>
        <w:t xml:space="preserve"> </w:t>
      </w:r>
      <w:r w:rsidR="00AB5B08" w:rsidRPr="00F91EC4">
        <w:rPr>
          <w:noProof/>
        </w:rPr>
        <w:t>e</w:t>
      </w:r>
      <w:r w:rsidR="00464928" w:rsidRPr="00F91EC4">
        <w:rPr>
          <w:noProof/>
        </w:rPr>
        <w:t xml:space="preserve">xisting </w:t>
      </w:r>
      <w:r w:rsidR="00EF0984" w:rsidRPr="00F91EC4">
        <w:rPr>
          <w:noProof/>
        </w:rPr>
        <w:t>Regulation</w:t>
      </w:r>
      <w:r w:rsidR="00DA5B65">
        <w:rPr>
          <w:noProof/>
        </w:rPr>
        <w:t>s</w:t>
      </w:r>
      <w:r w:rsidR="00EF0984" w:rsidRPr="00F91EC4">
        <w:rPr>
          <w:noProof/>
        </w:rPr>
        <w:t xml:space="preserve"> (EC) No 595/2009 and (EC) No 715/2007 should be repealed and replaced by this Regulation.</w:t>
      </w:r>
    </w:p>
    <w:p w14:paraId="01B5A36C" w14:textId="05AAAE40" w:rsidR="002B4ECB" w:rsidRPr="00F91EC4" w:rsidRDefault="00DD0F7B" w:rsidP="00DD0F7B">
      <w:pPr>
        <w:pStyle w:val="ManualConsidrant"/>
        <w:rPr>
          <w:noProof/>
        </w:rPr>
      </w:pPr>
      <w:r w:rsidRPr="00DD0F7B">
        <w:rPr>
          <w:noProof/>
        </w:rPr>
        <w:t>(24)</w:t>
      </w:r>
      <w:r w:rsidRPr="00DD0F7B">
        <w:rPr>
          <w:noProof/>
        </w:rPr>
        <w:tab/>
      </w:r>
      <w:r w:rsidR="00EF0984" w:rsidRPr="00F91EC4">
        <w:rPr>
          <w:noProof/>
        </w:rPr>
        <w:t xml:space="preserve">Whenever the measures provided for in this Regulation entail the processing of personal data, they should be carried out in accordance with </w:t>
      </w:r>
      <w:r w:rsidR="00AB56CB" w:rsidRPr="00F91EC4">
        <w:rPr>
          <w:noProof/>
        </w:rPr>
        <w:t>Regulations (EU) 2016/679</w:t>
      </w:r>
      <w:r w:rsidR="008742BB" w:rsidRPr="00F91EC4">
        <w:rPr>
          <w:noProof/>
        </w:rPr>
        <w:t xml:space="preserve"> of the European Parliament and of the Council</w:t>
      </w:r>
      <w:r w:rsidR="00EF0984" w:rsidRPr="00F91EC4">
        <w:rPr>
          <w:rStyle w:val="FootnoteReference"/>
          <w:noProof/>
        </w:rPr>
        <w:footnoteReference w:id="53"/>
      </w:r>
      <w:r w:rsidR="00EF0984" w:rsidRPr="00F91EC4">
        <w:rPr>
          <w:noProof/>
        </w:rPr>
        <w:t xml:space="preserve"> and Regulation (EC) No 45/2001 of the European Parliament and of the Council</w:t>
      </w:r>
      <w:r w:rsidR="00EF0984" w:rsidRPr="00F91EC4">
        <w:rPr>
          <w:rStyle w:val="FootnoteReference"/>
          <w:noProof/>
        </w:rPr>
        <w:footnoteReference w:id="54"/>
      </w:r>
      <w:r w:rsidR="00EF0984" w:rsidRPr="00F91EC4">
        <w:rPr>
          <w:noProof/>
        </w:rPr>
        <w:t>, as well as the national implementing measures thereto.</w:t>
      </w:r>
    </w:p>
    <w:p w14:paraId="304B04BB" w14:textId="03B65A16" w:rsidR="008742BB" w:rsidRPr="00F91EC4" w:rsidRDefault="00DD0F7B" w:rsidP="00DD0F7B">
      <w:pPr>
        <w:pStyle w:val="ManualConsidrant"/>
        <w:rPr>
          <w:noProof/>
        </w:rPr>
      </w:pPr>
      <w:r w:rsidRPr="00DD0F7B">
        <w:rPr>
          <w:noProof/>
        </w:rPr>
        <w:t>(25)</w:t>
      </w:r>
      <w:r w:rsidRPr="00DD0F7B">
        <w:rPr>
          <w:noProof/>
        </w:rPr>
        <w:tab/>
      </w:r>
      <w:r w:rsidR="008742BB" w:rsidRPr="00F91EC4">
        <w:rPr>
          <w:noProof/>
        </w:rPr>
        <w:t xml:space="preserve">It is important to grant Member States, national </w:t>
      </w:r>
      <w:r w:rsidR="00976BDB" w:rsidRPr="00F91EC4">
        <w:rPr>
          <w:noProof/>
        </w:rPr>
        <w:t>type-approval</w:t>
      </w:r>
      <w:r w:rsidR="008742BB" w:rsidRPr="00F91EC4">
        <w:rPr>
          <w:noProof/>
        </w:rPr>
        <w:t xml:space="preserve"> authorities and economic operators enough time to prepare for the application of the new rules introduced by this Regulation. The date of application should therefore be deferred. While for light duty vehicles the date of application should be as soon as technically possible, for heavy duty vehicles and trailers the date of application </w:t>
      </w:r>
      <w:r w:rsidR="002B4ECB" w:rsidRPr="00F91EC4">
        <w:rPr>
          <w:noProof/>
        </w:rPr>
        <w:t>may</w:t>
      </w:r>
      <w:r w:rsidR="008742BB" w:rsidRPr="00F91EC4">
        <w:rPr>
          <w:noProof/>
        </w:rPr>
        <w:t xml:space="preserve"> be further delayed by </w:t>
      </w:r>
      <w:r w:rsidR="0038705B">
        <w:rPr>
          <w:noProof/>
        </w:rPr>
        <w:t>two</w:t>
      </w:r>
      <w:r w:rsidR="0038705B" w:rsidRPr="00F91EC4">
        <w:rPr>
          <w:noProof/>
        </w:rPr>
        <w:t xml:space="preserve"> </w:t>
      </w:r>
      <w:r w:rsidR="008742BB" w:rsidRPr="00F91EC4">
        <w:rPr>
          <w:noProof/>
        </w:rPr>
        <w:t>year</w:t>
      </w:r>
      <w:r w:rsidR="0038705B">
        <w:rPr>
          <w:noProof/>
        </w:rPr>
        <w:t>s</w:t>
      </w:r>
      <w:r w:rsidR="008742BB" w:rsidRPr="00F91EC4">
        <w:rPr>
          <w:noProof/>
        </w:rPr>
        <w:t xml:space="preserve">, since </w:t>
      </w:r>
      <w:r w:rsidR="00842303" w:rsidRPr="00F91EC4">
        <w:rPr>
          <w:noProof/>
        </w:rPr>
        <w:t>the transition to zero</w:t>
      </w:r>
      <w:r w:rsidR="003863E9">
        <w:rPr>
          <w:noProof/>
        </w:rPr>
        <w:t>-</w:t>
      </w:r>
      <w:r w:rsidR="00842303" w:rsidRPr="00F91EC4">
        <w:rPr>
          <w:noProof/>
        </w:rPr>
        <w:t>emission vehicles will be longer for heavy duty vehicles</w:t>
      </w:r>
      <w:r w:rsidR="008742BB" w:rsidRPr="00F91EC4">
        <w:rPr>
          <w:noProof/>
        </w:rPr>
        <w:t xml:space="preserve">. </w:t>
      </w:r>
    </w:p>
    <w:p w14:paraId="49015101" w14:textId="5F3B5EF2" w:rsidR="00EF0984" w:rsidRPr="00F91EC4" w:rsidRDefault="00DD0F7B" w:rsidP="00DD0F7B">
      <w:pPr>
        <w:pStyle w:val="ManualConsidrant"/>
        <w:rPr>
          <w:noProof/>
        </w:rPr>
      </w:pPr>
      <w:r w:rsidRPr="00DD0F7B">
        <w:rPr>
          <w:noProof/>
        </w:rPr>
        <w:t>(26)</w:t>
      </w:r>
      <w:r w:rsidRPr="00DD0F7B">
        <w:rPr>
          <w:noProof/>
        </w:rPr>
        <w:tab/>
      </w:r>
      <w:r w:rsidR="00EF0984" w:rsidRPr="00F91EC4">
        <w:rPr>
          <w:noProof/>
        </w:rPr>
        <w:t>Since the objectives of this Regulation, namely to lay down harmonised rules on the administrative and technical requirements for the type-approval of vehicles of categories M</w:t>
      </w:r>
      <w:r w:rsidR="00064D5D" w:rsidRPr="00F91EC4">
        <w:rPr>
          <w:noProof/>
        </w:rPr>
        <w:t xml:space="preserve"> and</w:t>
      </w:r>
      <w:r w:rsidR="00EF0984" w:rsidRPr="00F91EC4">
        <w:rPr>
          <w:noProof/>
        </w:rPr>
        <w:t xml:space="preserve"> N, and of systems, components and separate technical units, and on market surveillance of such vehicles, systems, components and separate technical units, with respect to emissions cannot be sufficiently achieved by the Member States, but can rather, by reason of their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r w:rsidR="004828CA" w:rsidRPr="00F91EC4">
        <w:rPr>
          <w:noProof/>
        </w:rPr>
        <w:t>,</w:t>
      </w:r>
    </w:p>
    <w:p w14:paraId="528D6064" w14:textId="77777777" w:rsidR="009439C4" w:rsidRPr="00F91EC4" w:rsidRDefault="009439C4" w:rsidP="00C24E66">
      <w:pPr>
        <w:pStyle w:val="Formuledadoption"/>
        <w:rPr>
          <w:noProof/>
          <w:color w:val="000000" w:themeColor="text1"/>
        </w:rPr>
      </w:pPr>
      <w:r w:rsidRPr="00F91EC4">
        <w:rPr>
          <w:noProof/>
          <w:color w:val="000000" w:themeColor="text1"/>
        </w:rPr>
        <w:t>HAVE ADOPTED THIS REGULATION:</w:t>
      </w:r>
    </w:p>
    <w:p w14:paraId="14B7ABAE" w14:textId="77777777" w:rsidR="00EB0FCC" w:rsidRPr="00F91EC4" w:rsidRDefault="00EB0FCC" w:rsidP="00EB0FCC">
      <w:pPr>
        <w:pStyle w:val="ChapterTitle"/>
        <w:rPr>
          <w:noProof/>
          <w:color w:val="000000" w:themeColor="text1"/>
        </w:rPr>
      </w:pPr>
      <w:r w:rsidRPr="00F91EC4">
        <w:rPr>
          <w:noProof/>
          <w:color w:val="000000" w:themeColor="text1"/>
        </w:rPr>
        <w:t xml:space="preserve">Chapter I – </w:t>
      </w:r>
      <w:r w:rsidR="000A5926" w:rsidRPr="00F91EC4">
        <w:rPr>
          <w:noProof/>
          <w:color w:val="000000" w:themeColor="text1"/>
        </w:rPr>
        <w:t>Subject matter, scope and definitions</w:t>
      </w:r>
    </w:p>
    <w:p w14:paraId="6541F366" w14:textId="77777777" w:rsidR="00C24E66" w:rsidRPr="00F91EC4" w:rsidRDefault="00C24E66" w:rsidP="00C24E66">
      <w:pPr>
        <w:pStyle w:val="Titrearticle"/>
        <w:rPr>
          <w:noProof/>
          <w:color w:val="000000" w:themeColor="text1"/>
        </w:rPr>
      </w:pPr>
      <w:r w:rsidRPr="00F91EC4">
        <w:rPr>
          <w:noProof/>
          <w:color w:val="000000" w:themeColor="text1"/>
        </w:rPr>
        <w:t>Article 1</w:t>
      </w:r>
      <w:r w:rsidRPr="00F91EC4">
        <w:rPr>
          <w:noProof/>
          <w:color w:val="000000" w:themeColor="text1"/>
        </w:rPr>
        <w:br/>
      </w:r>
      <w:r w:rsidRPr="00F91EC4">
        <w:rPr>
          <w:b/>
          <w:i w:val="0"/>
          <w:noProof/>
          <w:color w:val="000000" w:themeColor="text1"/>
        </w:rPr>
        <w:t>Subject matter</w:t>
      </w:r>
    </w:p>
    <w:p w14:paraId="2E236AF2" w14:textId="6BACCCD8" w:rsidR="00C24E66" w:rsidRPr="00F91EC4" w:rsidRDefault="00DD0F7B" w:rsidP="00DD0F7B">
      <w:pPr>
        <w:pStyle w:val="ManualNumPar1"/>
        <w:rPr>
          <w:noProof/>
        </w:rPr>
      </w:pPr>
      <w:r w:rsidRPr="00DD0F7B">
        <w:rPr>
          <w:noProof/>
        </w:rPr>
        <w:t>1.</w:t>
      </w:r>
      <w:r w:rsidRPr="00DD0F7B">
        <w:rPr>
          <w:noProof/>
        </w:rPr>
        <w:tab/>
      </w:r>
      <w:r w:rsidR="00C24E66" w:rsidRPr="00F91EC4">
        <w:rPr>
          <w:noProof/>
        </w:rPr>
        <w:t>This Regulation establishes common technical requirements</w:t>
      </w:r>
      <w:r w:rsidR="00C13141">
        <w:rPr>
          <w:noProof/>
        </w:rPr>
        <w:t xml:space="preserve"> and administrative provisions</w:t>
      </w:r>
      <w:r w:rsidR="00C24E66" w:rsidRPr="00F91EC4">
        <w:rPr>
          <w:noProof/>
        </w:rPr>
        <w:t xml:space="preserve"> for the </w:t>
      </w:r>
      <w:r w:rsidR="006F4999" w:rsidRPr="00F91EC4">
        <w:rPr>
          <w:noProof/>
        </w:rPr>
        <w:t xml:space="preserve">emission </w:t>
      </w:r>
      <w:r w:rsidR="00976BDB" w:rsidRPr="00F91EC4">
        <w:rPr>
          <w:noProof/>
        </w:rPr>
        <w:t>type-approval</w:t>
      </w:r>
      <w:r w:rsidR="00C24E66" w:rsidRPr="00F91EC4">
        <w:rPr>
          <w:noProof/>
        </w:rPr>
        <w:t xml:space="preserve"> </w:t>
      </w:r>
      <w:r w:rsidR="00280141" w:rsidRPr="00F91EC4">
        <w:rPr>
          <w:noProof/>
        </w:rPr>
        <w:t xml:space="preserve">and market surveillance </w:t>
      </w:r>
      <w:r w:rsidR="00C24E66" w:rsidRPr="00F91EC4">
        <w:rPr>
          <w:noProof/>
        </w:rPr>
        <w:t>of motor vehicles</w:t>
      </w:r>
      <w:r w:rsidR="003D7415" w:rsidRPr="00F91EC4">
        <w:rPr>
          <w:noProof/>
        </w:rPr>
        <w:t>,</w:t>
      </w:r>
      <w:r w:rsidR="000D4702" w:rsidRPr="00F91EC4">
        <w:rPr>
          <w:noProof/>
        </w:rPr>
        <w:t xml:space="preserve"> systems, components and separate technical units</w:t>
      </w:r>
      <w:r w:rsidR="003D7415" w:rsidRPr="00F91EC4">
        <w:rPr>
          <w:noProof/>
        </w:rPr>
        <w:t xml:space="preserve">, with regard to their </w:t>
      </w:r>
      <w:r w:rsidR="00012FFE" w:rsidRPr="00F91EC4">
        <w:rPr>
          <w:noProof/>
        </w:rPr>
        <w:t>CO</w:t>
      </w:r>
      <w:r w:rsidR="00012FFE" w:rsidRPr="00F91EC4">
        <w:rPr>
          <w:noProof/>
          <w:vertAlign w:val="subscript"/>
        </w:rPr>
        <w:t>2</w:t>
      </w:r>
      <w:r w:rsidR="00012FFE" w:rsidRPr="00F91EC4">
        <w:rPr>
          <w:noProof/>
        </w:rPr>
        <w:t xml:space="preserve"> and </w:t>
      </w:r>
      <w:r w:rsidR="000836AA" w:rsidRPr="00F91EC4">
        <w:rPr>
          <w:noProof/>
        </w:rPr>
        <w:t xml:space="preserve">pollutant </w:t>
      </w:r>
      <w:r w:rsidR="003D7415" w:rsidRPr="00F91EC4">
        <w:rPr>
          <w:noProof/>
        </w:rPr>
        <w:t>emissions</w:t>
      </w:r>
      <w:r w:rsidR="003E1F7E" w:rsidRPr="00F91EC4">
        <w:rPr>
          <w:noProof/>
        </w:rPr>
        <w:t xml:space="preserve">, </w:t>
      </w:r>
      <w:r w:rsidR="004D06D0" w:rsidRPr="00F91EC4">
        <w:rPr>
          <w:noProof/>
        </w:rPr>
        <w:t xml:space="preserve">fuel and </w:t>
      </w:r>
      <w:r w:rsidR="003E1F7E" w:rsidRPr="00F91EC4">
        <w:rPr>
          <w:noProof/>
        </w:rPr>
        <w:t>energy consumption</w:t>
      </w:r>
      <w:r w:rsidR="00002615" w:rsidRPr="00F91EC4">
        <w:rPr>
          <w:noProof/>
        </w:rPr>
        <w:t xml:space="preserve"> </w:t>
      </w:r>
      <w:r w:rsidR="00260269" w:rsidRPr="00F91EC4">
        <w:rPr>
          <w:noProof/>
        </w:rPr>
        <w:t xml:space="preserve">and battery </w:t>
      </w:r>
      <w:r w:rsidR="00786BB1" w:rsidRPr="00F91EC4">
        <w:rPr>
          <w:noProof/>
        </w:rPr>
        <w:t>durability</w:t>
      </w:r>
      <w:r w:rsidR="00C24E66" w:rsidRPr="00F91EC4">
        <w:rPr>
          <w:noProof/>
        </w:rPr>
        <w:t>.</w:t>
      </w:r>
    </w:p>
    <w:p w14:paraId="1FCA860E" w14:textId="7BB1B655" w:rsidR="00C24E66" w:rsidRPr="00F91EC4" w:rsidRDefault="00DD0F7B" w:rsidP="00DD0F7B">
      <w:pPr>
        <w:pStyle w:val="ManualNumPar1"/>
        <w:rPr>
          <w:noProof/>
        </w:rPr>
      </w:pPr>
      <w:r w:rsidRPr="00DD0F7B">
        <w:rPr>
          <w:noProof/>
        </w:rPr>
        <w:t>2.</w:t>
      </w:r>
      <w:r w:rsidRPr="00DD0F7B">
        <w:rPr>
          <w:noProof/>
        </w:rPr>
        <w:tab/>
      </w:r>
      <w:r w:rsidR="00C13141">
        <w:rPr>
          <w:noProof/>
        </w:rPr>
        <w:t>This</w:t>
      </w:r>
      <w:r w:rsidR="003D7415" w:rsidRPr="00F91EC4">
        <w:rPr>
          <w:noProof/>
        </w:rPr>
        <w:t xml:space="preserve"> Regulation lays down rules for </w:t>
      </w:r>
      <w:r w:rsidR="000A5926" w:rsidRPr="00F91EC4">
        <w:rPr>
          <w:noProof/>
        </w:rPr>
        <w:t>the</w:t>
      </w:r>
      <w:r w:rsidR="003473F2">
        <w:rPr>
          <w:noProof/>
        </w:rPr>
        <w:t xml:space="preserve"> initial </w:t>
      </w:r>
      <w:r w:rsidR="005806BB">
        <w:rPr>
          <w:noProof/>
        </w:rPr>
        <w:t xml:space="preserve">emission </w:t>
      </w:r>
      <w:r w:rsidR="003473F2">
        <w:rPr>
          <w:noProof/>
        </w:rPr>
        <w:t>type approval,</w:t>
      </w:r>
      <w:r w:rsidR="000A5926" w:rsidRPr="00F91EC4">
        <w:rPr>
          <w:noProof/>
        </w:rPr>
        <w:t xml:space="preserve"> </w:t>
      </w:r>
      <w:r w:rsidR="003D7415" w:rsidRPr="00F91EC4">
        <w:rPr>
          <w:noProof/>
        </w:rPr>
        <w:t xml:space="preserve">conformity of production, in-service conformity, market surveillance, </w:t>
      </w:r>
      <w:r w:rsidR="000A5926" w:rsidRPr="00F91EC4">
        <w:rPr>
          <w:noProof/>
        </w:rPr>
        <w:t xml:space="preserve">the </w:t>
      </w:r>
      <w:r w:rsidR="003D7415" w:rsidRPr="00F91EC4">
        <w:rPr>
          <w:noProof/>
        </w:rPr>
        <w:t xml:space="preserve">durability of pollution control </w:t>
      </w:r>
      <w:r w:rsidR="00046CCD" w:rsidRPr="00F91EC4">
        <w:rPr>
          <w:noProof/>
        </w:rPr>
        <w:t xml:space="preserve">systems </w:t>
      </w:r>
      <w:r w:rsidR="003D7415" w:rsidRPr="00F91EC4">
        <w:rPr>
          <w:noProof/>
        </w:rPr>
        <w:t xml:space="preserve">and traction batteries, on-board </w:t>
      </w:r>
      <w:r w:rsidR="00AC47A8" w:rsidRPr="00F91EC4">
        <w:rPr>
          <w:noProof/>
        </w:rPr>
        <w:t xml:space="preserve">monitoring </w:t>
      </w:r>
      <w:r w:rsidR="003D7415" w:rsidRPr="00F91EC4">
        <w:rPr>
          <w:noProof/>
        </w:rPr>
        <w:t>systems,</w:t>
      </w:r>
      <w:r w:rsidR="00DF068B" w:rsidRPr="00F91EC4">
        <w:rPr>
          <w:noProof/>
        </w:rPr>
        <w:t xml:space="preserve"> security provisions to limit tampering</w:t>
      </w:r>
      <w:r w:rsidR="00CB3455" w:rsidRPr="00F91EC4">
        <w:rPr>
          <w:noProof/>
        </w:rPr>
        <w:t xml:space="preserve"> and</w:t>
      </w:r>
      <w:r w:rsidR="003D7415" w:rsidRPr="00F91EC4">
        <w:rPr>
          <w:noProof/>
        </w:rPr>
        <w:t xml:space="preserve"> </w:t>
      </w:r>
      <w:r w:rsidR="00F6623B" w:rsidRPr="00F91EC4">
        <w:rPr>
          <w:noProof/>
        </w:rPr>
        <w:t>cybersecurity measures</w:t>
      </w:r>
      <w:r w:rsidR="00993763" w:rsidRPr="00F91EC4">
        <w:rPr>
          <w:noProof/>
        </w:rPr>
        <w:t xml:space="preserve">, and the accurate determination of </w:t>
      </w:r>
      <w:r w:rsidR="00CD2A1A" w:rsidRPr="00F91EC4">
        <w:rPr>
          <w:noProof/>
        </w:rPr>
        <w:t>CO</w:t>
      </w:r>
      <w:r w:rsidR="00CD2A1A" w:rsidRPr="00F91EC4">
        <w:rPr>
          <w:noProof/>
          <w:vertAlign w:val="subscript"/>
        </w:rPr>
        <w:t>2</w:t>
      </w:r>
      <w:r w:rsidR="00CD2A1A" w:rsidRPr="00F91EC4">
        <w:rPr>
          <w:noProof/>
        </w:rPr>
        <w:t xml:space="preserve"> emissions, </w:t>
      </w:r>
      <w:r w:rsidR="00DF054C" w:rsidRPr="00F91EC4">
        <w:rPr>
          <w:noProof/>
        </w:rPr>
        <w:t xml:space="preserve">electric </w:t>
      </w:r>
      <w:r w:rsidR="00993763" w:rsidRPr="00F91EC4">
        <w:rPr>
          <w:noProof/>
        </w:rPr>
        <w:t xml:space="preserve">range, </w:t>
      </w:r>
      <w:r w:rsidR="004D06D0" w:rsidRPr="00F91EC4">
        <w:rPr>
          <w:noProof/>
        </w:rPr>
        <w:t xml:space="preserve">fuel and </w:t>
      </w:r>
      <w:r w:rsidR="00993763" w:rsidRPr="00F91EC4">
        <w:rPr>
          <w:noProof/>
        </w:rPr>
        <w:t>energy consumption</w:t>
      </w:r>
      <w:r w:rsidR="006A4026">
        <w:rPr>
          <w:noProof/>
        </w:rPr>
        <w:t xml:space="preserve"> and energy efficiency</w:t>
      </w:r>
      <w:r w:rsidR="003D7415" w:rsidRPr="00F91EC4">
        <w:rPr>
          <w:noProof/>
        </w:rPr>
        <w:t>.</w:t>
      </w:r>
    </w:p>
    <w:p w14:paraId="37858D25" w14:textId="77777777" w:rsidR="0092746B" w:rsidRPr="00F91EC4" w:rsidRDefault="0092746B" w:rsidP="0092746B">
      <w:pPr>
        <w:pStyle w:val="Titrearticle"/>
        <w:rPr>
          <w:noProof/>
          <w:color w:val="000000" w:themeColor="text1"/>
        </w:rPr>
      </w:pPr>
      <w:r w:rsidRPr="00F91EC4">
        <w:rPr>
          <w:noProof/>
          <w:color w:val="000000" w:themeColor="text1"/>
        </w:rPr>
        <w:t xml:space="preserve">Article </w:t>
      </w:r>
      <w:r w:rsidR="00385A64" w:rsidRPr="00F91EC4">
        <w:rPr>
          <w:noProof/>
          <w:color w:val="000000" w:themeColor="text1"/>
        </w:rPr>
        <w:t>2</w:t>
      </w:r>
      <w:r w:rsidRPr="00F91EC4">
        <w:rPr>
          <w:noProof/>
          <w:color w:val="000000" w:themeColor="text1"/>
        </w:rPr>
        <w:br/>
      </w:r>
      <w:r w:rsidRPr="00F91EC4">
        <w:rPr>
          <w:b/>
          <w:i w:val="0"/>
          <w:noProof/>
          <w:color w:val="000000" w:themeColor="text1"/>
        </w:rPr>
        <w:t>Scope</w:t>
      </w:r>
    </w:p>
    <w:p w14:paraId="198497EA" w14:textId="77777777" w:rsidR="00F5774E" w:rsidRPr="00F91EC4" w:rsidRDefault="0092746B" w:rsidP="005806BB">
      <w:pPr>
        <w:rPr>
          <w:noProof/>
          <w:color w:val="000000" w:themeColor="text1"/>
        </w:rPr>
      </w:pPr>
      <w:r w:rsidRPr="00F91EC4">
        <w:rPr>
          <w:noProof/>
          <w:color w:val="000000" w:themeColor="text1"/>
        </w:rPr>
        <w:t xml:space="preserve">This Regulation </w:t>
      </w:r>
      <w:r w:rsidR="00C13141">
        <w:rPr>
          <w:noProof/>
          <w:color w:val="000000" w:themeColor="text1"/>
        </w:rPr>
        <w:t>applies</w:t>
      </w:r>
      <w:r w:rsidRPr="00F91EC4">
        <w:rPr>
          <w:noProof/>
          <w:color w:val="000000" w:themeColor="text1"/>
        </w:rPr>
        <w:t xml:space="preserve"> to motor vehicles of categories M</w:t>
      </w:r>
      <w:r w:rsidRPr="00F91EC4">
        <w:rPr>
          <w:noProof/>
          <w:color w:val="000000" w:themeColor="text1"/>
          <w:vertAlign w:val="subscript"/>
        </w:rPr>
        <w:t>1</w:t>
      </w:r>
      <w:r w:rsidRPr="00F91EC4">
        <w:rPr>
          <w:noProof/>
          <w:color w:val="000000" w:themeColor="text1"/>
        </w:rPr>
        <w:t>, M</w:t>
      </w:r>
      <w:r w:rsidRPr="00F91EC4">
        <w:rPr>
          <w:noProof/>
          <w:color w:val="000000" w:themeColor="text1"/>
          <w:vertAlign w:val="subscript"/>
        </w:rPr>
        <w:t>2</w:t>
      </w:r>
      <w:r w:rsidRPr="00F91EC4">
        <w:rPr>
          <w:noProof/>
          <w:color w:val="000000" w:themeColor="text1"/>
        </w:rPr>
        <w:t>, M</w:t>
      </w:r>
      <w:r w:rsidRPr="00F91EC4">
        <w:rPr>
          <w:noProof/>
          <w:color w:val="000000" w:themeColor="text1"/>
          <w:vertAlign w:val="subscript"/>
        </w:rPr>
        <w:t>3</w:t>
      </w:r>
      <w:r w:rsidRPr="00F91EC4">
        <w:rPr>
          <w:noProof/>
          <w:color w:val="000000" w:themeColor="text1"/>
        </w:rPr>
        <w:t>, N</w:t>
      </w:r>
      <w:r w:rsidRPr="00F91EC4">
        <w:rPr>
          <w:noProof/>
          <w:color w:val="000000" w:themeColor="text1"/>
          <w:vertAlign w:val="subscript"/>
        </w:rPr>
        <w:t>1</w:t>
      </w:r>
      <w:r w:rsidRPr="00F91EC4">
        <w:rPr>
          <w:noProof/>
          <w:color w:val="000000" w:themeColor="text1"/>
        </w:rPr>
        <w:t>, N</w:t>
      </w:r>
      <w:r w:rsidRPr="00F91EC4">
        <w:rPr>
          <w:noProof/>
          <w:color w:val="000000" w:themeColor="text1"/>
          <w:vertAlign w:val="subscript"/>
        </w:rPr>
        <w:t>2</w:t>
      </w:r>
      <w:r w:rsidRPr="00F91EC4">
        <w:rPr>
          <w:noProof/>
          <w:color w:val="000000" w:themeColor="text1"/>
        </w:rPr>
        <w:t xml:space="preserve"> and N</w:t>
      </w:r>
      <w:r w:rsidRPr="00F91EC4">
        <w:rPr>
          <w:noProof/>
          <w:color w:val="000000" w:themeColor="text1"/>
          <w:vertAlign w:val="subscript"/>
        </w:rPr>
        <w:t>3</w:t>
      </w:r>
      <w:r w:rsidR="00A536D1" w:rsidRPr="00F91EC4">
        <w:rPr>
          <w:noProof/>
          <w:color w:val="000000" w:themeColor="text1"/>
        </w:rPr>
        <w:t>,</w:t>
      </w:r>
      <w:r w:rsidRPr="00F91EC4">
        <w:rPr>
          <w:noProof/>
          <w:color w:val="000000" w:themeColor="text1"/>
        </w:rPr>
        <w:t xml:space="preserve"> </w:t>
      </w:r>
      <w:r w:rsidR="00A536D1" w:rsidRPr="00F91EC4">
        <w:rPr>
          <w:noProof/>
          <w:color w:val="000000" w:themeColor="text1"/>
        </w:rPr>
        <w:t>as well as trailers of O</w:t>
      </w:r>
      <w:r w:rsidR="00A536D1" w:rsidRPr="00F91EC4">
        <w:rPr>
          <w:noProof/>
          <w:color w:val="000000" w:themeColor="text1"/>
          <w:vertAlign w:val="subscript"/>
        </w:rPr>
        <w:t>3</w:t>
      </w:r>
      <w:r w:rsidR="00A536D1" w:rsidRPr="00F91EC4">
        <w:rPr>
          <w:noProof/>
          <w:color w:val="000000" w:themeColor="text1"/>
        </w:rPr>
        <w:t xml:space="preserve"> and O</w:t>
      </w:r>
      <w:r w:rsidR="00A536D1" w:rsidRPr="00F91EC4">
        <w:rPr>
          <w:noProof/>
          <w:color w:val="000000" w:themeColor="text1"/>
          <w:vertAlign w:val="subscript"/>
        </w:rPr>
        <w:t>4</w:t>
      </w:r>
      <w:r w:rsidR="00A536D1" w:rsidRPr="00F91EC4">
        <w:rPr>
          <w:noProof/>
          <w:color w:val="000000" w:themeColor="text1"/>
        </w:rPr>
        <w:t xml:space="preserve"> categories </w:t>
      </w:r>
      <w:r w:rsidRPr="00F91EC4">
        <w:rPr>
          <w:noProof/>
          <w:color w:val="000000" w:themeColor="text1"/>
        </w:rPr>
        <w:t xml:space="preserve">as </w:t>
      </w:r>
      <w:r w:rsidR="00C13141">
        <w:rPr>
          <w:noProof/>
          <w:color w:val="000000" w:themeColor="text1"/>
        </w:rPr>
        <w:t>specified</w:t>
      </w:r>
      <w:r w:rsidR="00A536D1" w:rsidRPr="00F91EC4">
        <w:rPr>
          <w:noProof/>
          <w:color w:val="000000" w:themeColor="text1"/>
        </w:rPr>
        <w:t xml:space="preserve"> </w:t>
      </w:r>
      <w:r w:rsidRPr="00F91EC4">
        <w:rPr>
          <w:noProof/>
          <w:color w:val="000000" w:themeColor="text1"/>
        </w:rPr>
        <w:t>in Article 4 of Regulation (</w:t>
      </w:r>
      <w:r w:rsidR="00B46FB8" w:rsidRPr="00F91EC4">
        <w:rPr>
          <w:noProof/>
          <w:color w:val="000000" w:themeColor="text1"/>
        </w:rPr>
        <w:t>EU</w:t>
      </w:r>
      <w:r w:rsidRPr="00F91EC4">
        <w:rPr>
          <w:noProof/>
          <w:color w:val="000000" w:themeColor="text1"/>
        </w:rPr>
        <w:t>) No 2018/858</w:t>
      </w:r>
      <w:r w:rsidR="007478A6" w:rsidRPr="00F91EC4">
        <w:rPr>
          <w:noProof/>
          <w:color w:val="000000" w:themeColor="text1"/>
        </w:rPr>
        <w:t>,</w:t>
      </w:r>
      <w:r w:rsidR="000D4702" w:rsidRPr="00F91EC4">
        <w:rPr>
          <w:noProof/>
        </w:rPr>
        <w:t xml:space="preserve"> </w:t>
      </w:r>
      <w:r w:rsidR="000D4702" w:rsidRPr="00F91EC4">
        <w:rPr>
          <w:noProof/>
          <w:color w:val="000000" w:themeColor="text1"/>
        </w:rPr>
        <w:t xml:space="preserve">including those designed and constructed in one or more </w:t>
      </w:r>
      <w:r w:rsidR="000D4702" w:rsidRPr="005806BB">
        <w:rPr>
          <w:noProof/>
        </w:rPr>
        <w:t>stages</w:t>
      </w:r>
      <w:r w:rsidR="000D4702" w:rsidRPr="00F91EC4">
        <w:rPr>
          <w:noProof/>
          <w:color w:val="000000" w:themeColor="text1"/>
        </w:rPr>
        <w:t>,</w:t>
      </w:r>
      <w:r w:rsidR="007478A6" w:rsidRPr="00F91EC4">
        <w:rPr>
          <w:noProof/>
          <w:color w:val="000000" w:themeColor="text1"/>
        </w:rPr>
        <w:t xml:space="preserve"> </w:t>
      </w:r>
      <w:r w:rsidR="000D4702" w:rsidRPr="00F91EC4">
        <w:rPr>
          <w:noProof/>
          <w:color w:val="000000" w:themeColor="text1"/>
        </w:rPr>
        <w:t>and to systems, components and separate technical units</w:t>
      </w:r>
      <w:r w:rsidR="0021008A" w:rsidRPr="00F91EC4">
        <w:rPr>
          <w:noProof/>
          <w:color w:val="000000" w:themeColor="text1"/>
        </w:rPr>
        <w:t xml:space="preserve"> intended for such vehicles</w:t>
      </w:r>
      <w:r w:rsidRPr="00F91EC4">
        <w:rPr>
          <w:noProof/>
          <w:color w:val="000000" w:themeColor="text1"/>
        </w:rPr>
        <w:t>.</w:t>
      </w:r>
    </w:p>
    <w:p w14:paraId="0EC4ACD3" w14:textId="77777777" w:rsidR="00B11057" w:rsidRPr="00F91EC4" w:rsidRDefault="00AC47A8" w:rsidP="00960ABB">
      <w:pPr>
        <w:pStyle w:val="Titrearticle"/>
        <w:rPr>
          <w:noProof/>
        </w:rPr>
      </w:pPr>
      <w:r w:rsidRPr="00F91EC4">
        <w:rPr>
          <w:noProof/>
          <w:color w:val="000000" w:themeColor="text1"/>
        </w:rPr>
        <w:t>Article 3</w:t>
      </w:r>
      <w:r w:rsidR="00E9353E" w:rsidRPr="00F91EC4">
        <w:rPr>
          <w:noProof/>
          <w:color w:val="000000" w:themeColor="text1"/>
        </w:rPr>
        <w:br/>
      </w:r>
      <w:r w:rsidR="007F18A1" w:rsidRPr="00F91EC4">
        <w:rPr>
          <w:b/>
          <w:i w:val="0"/>
          <w:noProof/>
          <w:color w:val="000000" w:themeColor="text1"/>
        </w:rPr>
        <w:t>Definitions</w:t>
      </w:r>
    </w:p>
    <w:p w14:paraId="2A26D2B3" w14:textId="77777777" w:rsidR="00F571A2" w:rsidRPr="00F91EC4" w:rsidRDefault="4DD706DE" w:rsidP="007F7137">
      <w:pPr>
        <w:rPr>
          <w:rFonts w:asciiTheme="minorHAnsi" w:eastAsiaTheme="minorEastAsia" w:hAnsiTheme="minorHAnsi" w:cstheme="minorBidi"/>
          <w:noProof/>
        </w:rPr>
      </w:pPr>
      <w:r w:rsidRPr="00F91EC4">
        <w:rPr>
          <w:noProof/>
        </w:rPr>
        <w:t xml:space="preserve">For the purposes of this Regulation, </w:t>
      </w:r>
      <w:r w:rsidR="00F571A2" w:rsidRPr="00F91EC4">
        <w:rPr>
          <w:noProof/>
        </w:rPr>
        <w:t xml:space="preserve">definitions </w:t>
      </w:r>
      <w:r w:rsidRPr="00F91EC4">
        <w:rPr>
          <w:noProof/>
        </w:rPr>
        <w:t xml:space="preserve">in Regulation </w:t>
      </w:r>
      <w:r w:rsidR="7793272C" w:rsidRPr="00F91EC4">
        <w:rPr>
          <w:noProof/>
        </w:rPr>
        <w:t xml:space="preserve">(EU) 2018/858 </w:t>
      </w:r>
      <w:r w:rsidR="00F571A2" w:rsidRPr="00F91EC4">
        <w:rPr>
          <w:noProof/>
        </w:rPr>
        <w:t>apply.</w:t>
      </w:r>
    </w:p>
    <w:p w14:paraId="2E6DF1C6" w14:textId="77777777" w:rsidR="2AD0BD84" w:rsidRPr="00F91EC4" w:rsidRDefault="00347EB0" w:rsidP="007F7137">
      <w:pPr>
        <w:rPr>
          <w:noProof/>
          <w:color w:val="000000" w:themeColor="text1"/>
          <w:szCs w:val="24"/>
        </w:rPr>
      </w:pPr>
      <w:r w:rsidRPr="00F91EC4">
        <w:rPr>
          <w:noProof/>
        </w:rPr>
        <w:t>For the purposes of this Regulation, t</w:t>
      </w:r>
      <w:r w:rsidR="4DD706DE" w:rsidRPr="00F91EC4">
        <w:rPr>
          <w:noProof/>
        </w:rPr>
        <w:t>he following definitions apply:</w:t>
      </w:r>
    </w:p>
    <w:p w14:paraId="4AE0FD1D" w14:textId="287A6CEE" w:rsidR="006535EE" w:rsidRPr="005D7839" w:rsidRDefault="00DD0F7B" w:rsidP="00DD0F7B">
      <w:pPr>
        <w:pStyle w:val="Point0"/>
        <w:rPr>
          <w:noProof/>
          <w:sz w:val="22"/>
        </w:rPr>
      </w:pPr>
      <w:r w:rsidRPr="00DD0F7B">
        <w:rPr>
          <w:noProof/>
        </w:rPr>
        <w:t>(1)</w:t>
      </w:r>
      <w:r w:rsidRPr="00DD0F7B">
        <w:rPr>
          <w:noProof/>
        </w:rPr>
        <w:tab/>
      </w:r>
      <w:r w:rsidR="00950B3E" w:rsidRPr="00F91EC4">
        <w:rPr>
          <w:noProof/>
        </w:rPr>
        <w:t xml:space="preserve">‘emission </w:t>
      </w:r>
      <w:r w:rsidR="00976BDB" w:rsidRPr="00F91EC4">
        <w:rPr>
          <w:noProof/>
        </w:rPr>
        <w:t>type-approval</w:t>
      </w:r>
      <w:r w:rsidR="00950B3E" w:rsidRPr="00F91EC4">
        <w:rPr>
          <w:noProof/>
        </w:rPr>
        <w:t>’ means a</w:t>
      </w:r>
      <w:r w:rsidR="006535EE" w:rsidRPr="00F91EC4">
        <w:rPr>
          <w:noProof/>
        </w:rPr>
        <w:t>n EU</w:t>
      </w:r>
      <w:r w:rsidR="00950B3E" w:rsidRPr="00F91EC4">
        <w:rPr>
          <w:noProof/>
        </w:rPr>
        <w:t xml:space="preserve"> </w:t>
      </w:r>
      <w:r w:rsidR="00976BDB" w:rsidRPr="00F91EC4">
        <w:rPr>
          <w:noProof/>
        </w:rPr>
        <w:t>type-approval</w:t>
      </w:r>
      <w:r w:rsidR="006535EE" w:rsidRPr="00F91EC4">
        <w:rPr>
          <w:noProof/>
        </w:rPr>
        <w:t xml:space="preserve"> </w:t>
      </w:r>
      <w:r w:rsidR="00F4224C" w:rsidRPr="00F91EC4">
        <w:rPr>
          <w:noProof/>
        </w:rPr>
        <w:t>complying with</w:t>
      </w:r>
      <w:r w:rsidR="006E6F9E" w:rsidRPr="00F91EC4">
        <w:rPr>
          <w:noProof/>
        </w:rPr>
        <w:t xml:space="preserve"> the administrative provisions and technical requirements of this Regulation</w:t>
      </w:r>
      <w:r w:rsidR="00347EB0" w:rsidRPr="00F91EC4">
        <w:rPr>
          <w:noProof/>
        </w:rPr>
        <w:t xml:space="preserve"> in regards </w:t>
      </w:r>
      <w:r w:rsidR="00347EB0" w:rsidRPr="00BF137B">
        <w:rPr>
          <w:noProof/>
          <w:color w:val="000000" w:themeColor="text1"/>
        </w:rPr>
        <w:t>to their CO</w:t>
      </w:r>
      <w:r w:rsidR="00347EB0" w:rsidRPr="00BF137B">
        <w:rPr>
          <w:noProof/>
          <w:color w:val="000000" w:themeColor="text1"/>
          <w:vertAlign w:val="subscript"/>
        </w:rPr>
        <w:t>2</w:t>
      </w:r>
      <w:r w:rsidR="00347EB0" w:rsidRPr="005D7839">
        <w:rPr>
          <w:noProof/>
          <w:color w:val="000000" w:themeColor="text1"/>
        </w:rPr>
        <w:t xml:space="preserve"> and pollutant emissions, fuel and energy consumption and battery durability</w:t>
      </w:r>
      <w:r w:rsidR="00BE4004" w:rsidRPr="005D7839">
        <w:rPr>
          <w:rFonts w:ascii="Segoe UI" w:hAnsi="Segoe UI" w:cs="Segoe UI"/>
          <w:noProof/>
          <w:color w:val="000000"/>
          <w:sz w:val="20"/>
          <w:szCs w:val="20"/>
        </w:rPr>
        <w:t>;</w:t>
      </w:r>
    </w:p>
    <w:p w14:paraId="345B269D" w14:textId="6221099B" w:rsidR="00325EB0" w:rsidRPr="00325EB0" w:rsidRDefault="00DD0F7B" w:rsidP="00DD0F7B">
      <w:pPr>
        <w:pStyle w:val="Point0"/>
        <w:rPr>
          <w:noProof/>
        </w:rPr>
      </w:pPr>
      <w:r w:rsidRPr="00DD0F7B">
        <w:rPr>
          <w:noProof/>
        </w:rPr>
        <w:t>(2)</w:t>
      </w:r>
      <w:r w:rsidRPr="00DD0F7B">
        <w:rPr>
          <w:noProof/>
        </w:rPr>
        <w:tab/>
      </w:r>
      <w:r w:rsidR="00325EB0">
        <w:rPr>
          <w:noProof/>
        </w:rPr>
        <w:t>‘i</w:t>
      </w:r>
      <w:r w:rsidR="00325EB0" w:rsidRPr="00325EB0">
        <w:rPr>
          <w:noProof/>
        </w:rPr>
        <w:t>nitial emission type approval</w:t>
      </w:r>
      <w:r w:rsidR="00325EB0">
        <w:rPr>
          <w:noProof/>
        </w:rPr>
        <w:t>’ or ‘IETA’</w:t>
      </w:r>
      <w:r w:rsidR="00325EB0" w:rsidRPr="00325EB0">
        <w:rPr>
          <w:noProof/>
        </w:rPr>
        <w:t xml:space="preserve"> means the first phase of </w:t>
      </w:r>
      <w:r w:rsidR="00985165">
        <w:rPr>
          <w:noProof/>
        </w:rPr>
        <w:t xml:space="preserve">an </w:t>
      </w:r>
      <w:r w:rsidR="00325EB0" w:rsidRPr="00325EB0">
        <w:rPr>
          <w:noProof/>
        </w:rPr>
        <w:t>emission type approval procedure before the emission type approval certificate is granted by the authorities and vehicles are put into production;</w:t>
      </w:r>
    </w:p>
    <w:p w14:paraId="27E53026" w14:textId="709A14E8" w:rsidR="00325EB0" w:rsidRPr="00325EB0" w:rsidRDefault="00DD0F7B" w:rsidP="00DD0F7B">
      <w:pPr>
        <w:pStyle w:val="Point0"/>
        <w:rPr>
          <w:noProof/>
        </w:rPr>
      </w:pPr>
      <w:r w:rsidRPr="00DD0F7B">
        <w:rPr>
          <w:noProof/>
        </w:rPr>
        <w:t>(3)</w:t>
      </w:r>
      <w:r w:rsidRPr="00DD0F7B">
        <w:rPr>
          <w:noProof/>
        </w:rPr>
        <w:tab/>
      </w:r>
      <w:r w:rsidR="00325EB0">
        <w:rPr>
          <w:noProof/>
        </w:rPr>
        <w:t>‘c</w:t>
      </w:r>
      <w:r w:rsidR="00325EB0" w:rsidRPr="00325EB0">
        <w:rPr>
          <w:noProof/>
        </w:rPr>
        <w:t>onformity of production</w:t>
      </w:r>
      <w:r w:rsidR="00325EB0">
        <w:rPr>
          <w:noProof/>
        </w:rPr>
        <w:t>’ or ‘CoP’</w:t>
      </w:r>
      <w:r w:rsidR="00325EB0" w:rsidRPr="00325EB0">
        <w:rPr>
          <w:noProof/>
        </w:rPr>
        <w:t xml:space="preserve"> </w:t>
      </w:r>
      <w:r w:rsidR="00325EB0">
        <w:rPr>
          <w:noProof/>
        </w:rPr>
        <w:t>means the activities carried out on</w:t>
      </w:r>
      <w:r w:rsidR="00325EB0" w:rsidRPr="00325EB0">
        <w:rPr>
          <w:noProof/>
        </w:rPr>
        <w:t xml:space="preserve"> new vehicles, separate technical units or components selected at the manufacturer’s premises </w:t>
      </w:r>
      <w:r w:rsidR="00325EB0">
        <w:rPr>
          <w:noProof/>
        </w:rPr>
        <w:t xml:space="preserve">to ensure that the products put into the market </w:t>
      </w:r>
      <w:r w:rsidR="00325EB0" w:rsidRPr="00325EB0">
        <w:rPr>
          <w:noProof/>
        </w:rPr>
        <w:t xml:space="preserve">comply with the requirements set out in </w:t>
      </w:r>
      <w:r w:rsidR="00325EB0">
        <w:rPr>
          <w:noProof/>
        </w:rPr>
        <w:t>this Regulation;</w:t>
      </w:r>
    </w:p>
    <w:p w14:paraId="1E74F6DA" w14:textId="154AC5FC" w:rsidR="00325EB0" w:rsidRDefault="00DD0F7B" w:rsidP="00DD0F7B">
      <w:pPr>
        <w:pStyle w:val="Point0"/>
        <w:rPr>
          <w:noProof/>
        </w:rPr>
      </w:pPr>
      <w:r w:rsidRPr="00DD0F7B">
        <w:rPr>
          <w:noProof/>
        </w:rPr>
        <w:t>(4)</w:t>
      </w:r>
      <w:r w:rsidRPr="00DD0F7B">
        <w:rPr>
          <w:noProof/>
        </w:rPr>
        <w:tab/>
      </w:r>
      <w:r w:rsidR="00325EB0">
        <w:rPr>
          <w:noProof/>
        </w:rPr>
        <w:t>‘i</w:t>
      </w:r>
      <w:r w:rsidR="00325EB0" w:rsidRPr="00325EB0">
        <w:rPr>
          <w:noProof/>
        </w:rPr>
        <w:t>n-</w:t>
      </w:r>
      <w:r w:rsidR="00325EB0">
        <w:rPr>
          <w:noProof/>
        </w:rPr>
        <w:t>s</w:t>
      </w:r>
      <w:r w:rsidR="00325EB0" w:rsidRPr="00325EB0">
        <w:rPr>
          <w:noProof/>
        </w:rPr>
        <w:t xml:space="preserve">ervice </w:t>
      </w:r>
      <w:r w:rsidR="00325EB0">
        <w:rPr>
          <w:noProof/>
        </w:rPr>
        <w:t>c</w:t>
      </w:r>
      <w:r w:rsidR="00325EB0" w:rsidRPr="00325EB0">
        <w:rPr>
          <w:noProof/>
        </w:rPr>
        <w:t>onformity</w:t>
      </w:r>
      <w:r w:rsidR="00325EB0">
        <w:rPr>
          <w:noProof/>
        </w:rPr>
        <w:t>’ or ‘ISC’</w:t>
      </w:r>
      <w:r w:rsidR="00325EB0" w:rsidRPr="00325EB0">
        <w:rPr>
          <w:noProof/>
        </w:rPr>
        <w:t xml:space="preserve"> </w:t>
      </w:r>
      <w:r w:rsidR="00325EB0">
        <w:rPr>
          <w:noProof/>
        </w:rPr>
        <w:t>means the activities carried out</w:t>
      </w:r>
      <w:r w:rsidR="00325EB0" w:rsidRPr="00325EB0">
        <w:rPr>
          <w:noProof/>
        </w:rPr>
        <w:t xml:space="preserve"> </w:t>
      </w:r>
      <w:r w:rsidR="00325EB0">
        <w:rPr>
          <w:noProof/>
        </w:rPr>
        <w:t>on</w:t>
      </w:r>
      <w:r w:rsidR="00325EB0" w:rsidRPr="00325EB0">
        <w:rPr>
          <w:noProof/>
        </w:rPr>
        <w:t xml:space="preserve"> vehicles in circulation </w:t>
      </w:r>
      <w:r w:rsidR="00325EB0">
        <w:rPr>
          <w:noProof/>
        </w:rPr>
        <w:t>with the purpose of verifying the durability requirements set out in this Regulation;</w:t>
      </w:r>
    </w:p>
    <w:p w14:paraId="082EC2E5" w14:textId="7C77A6E6" w:rsidR="009616FF" w:rsidRPr="00F91EC4" w:rsidRDefault="00DD0F7B" w:rsidP="00DD0F7B">
      <w:pPr>
        <w:pStyle w:val="Point0"/>
        <w:rPr>
          <w:noProof/>
        </w:rPr>
      </w:pPr>
      <w:r w:rsidRPr="00DD0F7B">
        <w:rPr>
          <w:noProof/>
        </w:rPr>
        <w:t>(5)</w:t>
      </w:r>
      <w:r w:rsidRPr="00DD0F7B">
        <w:rPr>
          <w:noProof/>
        </w:rPr>
        <w:tab/>
      </w:r>
      <w:r w:rsidR="6EFA8D4D" w:rsidRPr="00F91EC4">
        <w:rPr>
          <w:noProof/>
        </w:rPr>
        <w:t>‘</w:t>
      </w:r>
      <w:r w:rsidR="002A104D" w:rsidRPr="00F91EC4">
        <w:rPr>
          <w:noProof/>
        </w:rPr>
        <w:t>e</w:t>
      </w:r>
      <w:r w:rsidR="32D04244" w:rsidRPr="00F91EC4">
        <w:rPr>
          <w:noProof/>
        </w:rPr>
        <w:t>ngine</w:t>
      </w:r>
      <w:r w:rsidR="6EFA8D4D" w:rsidRPr="00F91EC4">
        <w:rPr>
          <w:noProof/>
        </w:rPr>
        <w:t xml:space="preserve">’ </w:t>
      </w:r>
      <w:r w:rsidR="00AD4143" w:rsidRPr="00F91EC4">
        <w:rPr>
          <w:noProof/>
        </w:rPr>
        <w:t>means the propulsion source of a vehicle</w:t>
      </w:r>
      <w:r w:rsidR="6EFA8D4D" w:rsidRPr="00F91EC4">
        <w:rPr>
          <w:noProof/>
        </w:rPr>
        <w:t>;</w:t>
      </w:r>
    </w:p>
    <w:p w14:paraId="04F7796D" w14:textId="3BA678DE" w:rsidR="00347EB0" w:rsidRPr="00F91EC4" w:rsidRDefault="00DD0F7B" w:rsidP="00DD0F7B">
      <w:pPr>
        <w:pStyle w:val="Point0"/>
        <w:rPr>
          <w:noProof/>
        </w:rPr>
      </w:pPr>
      <w:r w:rsidRPr="00DD0F7B">
        <w:rPr>
          <w:noProof/>
        </w:rPr>
        <w:t>(6)</w:t>
      </w:r>
      <w:r w:rsidRPr="00DD0F7B">
        <w:rPr>
          <w:noProof/>
        </w:rPr>
        <w:tab/>
      </w:r>
      <w:r w:rsidR="00347EB0" w:rsidRPr="00F91EC4">
        <w:rPr>
          <w:noProof/>
        </w:rPr>
        <w:t>‘emissions’ means the exhaust and non-exhaust emissions of a motor vehicle</w:t>
      </w:r>
      <w:r w:rsidR="00A536D1" w:rsidRPr="00F91EC4">
        <w:rPr>
          <w:noProof/>
        </w:rPr>
        <w:t>;</w:t>
      </w:r>
    </w:p>
    <w:p w14:paraId="24FA00D9" w14:textId="7BE92E69" w:rsidR="008F6B02" w:rsidRPr="00F91EC4" w:rsidRDefault="00DD0F7B" w:rsidP="00DD0F7B">
      <w:pPr>
        <w:pStyle w:val="Point0"/>
        <w:rPr>
          <w:noProof/>
          <w:shd w:val="clear" w:color="auto" w:fill="FFFFFF"/>
        </w:rPr>
      </w:pPr>
      <w:r w:rsidRPr="00DD0F7B">
        <w:rPr>
          <w:noProof/>
        </w:rPr>
        <w:t>(7)</w:t>
      </w:r>
      <w:r w:rsidRPr="00DD0F7B">
        <w:rPr>
          <w:noProof/>
        </w:rPr>
        <w:tab/>
      </w:r>
      <w:r w:rsidR="00C9190F" w:rsidRPr="00F91EC4">
        <w:rPr>
          <w:noProof/>
        </w:rPr>
        <w:t>‘</w:t>
      </w:r>
      <w:r w:rsidR="002A104D" w:rsidRPr="00F91EC4">
        <w:rPr>
          <w:noProof/>
          <w:shd w:val="clear" w:color="auto" w:fill="FFFFFF"/>
        </w:rPr>
        <w:t>e</w:t>
      </w:r>
      <w:r w:rsidR="008F6B02" w:rsidRPr="00F91EC4">
        <w:rPr>
          <w:noProof/>
          <w:shd w:val="clear" w:color="auto" w:fill="FFFFFF"/>
        </w:rPr>
        <w:t>xhaust emissions</w:t>
      </w:r>
      <w:r w:rsidR="00C96D0A" w:rsidRPr="00F91EC4">
        <w:rPr>
          <w:noProof/>
        </w:rPr>
        <w:t>’</w:t>
      </w:r>
      <w:r w:rsidR="008F6B02" w:rsidRPr="00F91EC4">
        <w:rPr>
          <w:noProof/>
          <w:shd w:val="clear" w:color="auto" w:fill="FFFFFF"/>
        </w:rPr>
        <w:t xml:space="preserve"> means the emission </w:t>
      </w:r>
      <w:r w:rsidR="00435EF2" w:rsidRPr="00F91EC4">
        <w:rPr>
          <w:noProof/>
          <w:shd w:val="clear" w:color="auto" w:fill="FFFFFF"/>
        </w:rPr>
        <w:t>from the tailpipe</w:t>
      </w:r>
      <w:r w:rsidR="00855CC9" w:rsidRPr="00F91EC4">
        <w:rPr>
          <w:noProof/>
        </w:rPr>
        <w:t xml:space="preserve"> of the motor vehicle or engine</w:t>
      </w:r>
      <w:r w:rsidR="00435EF2" w:rsidRPr="00F91EC4">
        <w:rPr>
          <w:noProof/>
          <w:shd w:val="clear" w:color="auto" w:fill="FFFFFF"/>
        </w:rPr>
        <w:t xml:space="preserve"> </w:t>
      </w:r>
      <w:r w:rsidR="008F6B02" w:rsidRPr="00F91EC4">
        <w:rPr>
          <w:noProof/>
          <w:shd w:val="clear" w:color="auto" w:fill="FFFFFF"/>
        </w:rPr>
        <w:t xml:space="preserve">of </w:t>
      </w:r>
      <w:r w:rsidR="00306F97">
        <w:rPr>
          <w:noProof/>
          <w:shd w:val="clear" w:color="auto" w:fill="FFFFFF"/>
        </w:rPr>
        <w:t xml:space="preserve">all of the following: </w:t>
      </w:r>
      <w:r w:rsidR="008F6B02" w:rsidRPr="00F91EC4">
        <w:rPr>
          <w:noProof/>
          <w:shd w:val="clear" w:color="auto" w:fill="FFFFFF"/>
        </w:rPr>
        <w:t>CO</w:t>
      </w:r>
      <w:r w:rsidR="008F6B02" w:rsidRPr="00F91EC4">
        <w:rPr>
          <w:noProof/>
          <w:shd w:val="clear" w:color="auto" w:fill="FFFFFF"/>
          <w:vertAlign w:val="subscript"/>
        </w:rPr>
        <w:t>2</w:t>
      </w:r>
      <w:r w:rsidR="008F6B02" w:rsidRPr="00F91EC4">
        <w:rPr>
          <w:noProof/>
          <w:shd w:val="clear" w:color="auto" w:fill="FFFFFF"/>
        </w:rPr>
        <w:t>, gaseous</w:t>
      </w:r>
      <w:r w:rsidR="00B75054" w:rsidRPr="00F91EC4">
        <w:rPr>
          <w:noProof/>
          <w:shd w:val="clear" w:color="auto" w:fill="FFFFFF"/>
        </w:rPr>
        <w:t>,</w:t>
      </w:r>
      <w:r w:rsidR="008F6B02" w:rsidRPr="00F91EC4">
        <w:rPr>
          <w:noProof/>
          <w:shd w:val="clear" w:color="auto" w:fill="FFFFFF"/>
        </w:rPr>
        <w:t xml:space="preserve"> </w:t>
      </w:r>
      <w:r w:rsidR="00B75054" w:rsidRPr="00F91EC4">
        <w:rPr>
          <w:noProof/>
          <w:shd w:val="clear" w:color="auto" w:fill="FFFFFF"/>
        </w:rPr>
        <w:t>solid</w:t>
      </w:r>
      <w:r w:rsidR="00306F97">
        <w:rPr>
          <w:noProof/>
          <w:shd w:val="clear" w:color="auto" w:fill="FFFFFF"/>
        </w:rPr>
        <w:t>,</w:t>
      </w:r>
      <w:r w:rsidR="005806BB">
        <w:rPr>
          <w:noProof/>
          <w:shd w:val="clear" w:color="auto" w:fill="FFFFFF"/>
        </w:rPr>
        <w:t xml:space="preserve"> </w:t>
      </w:r>
      <w:r w:rsidR="00B75054" w:rsidRPr="00F91EC4">
        <w:rPr>
          <w:noProof/>
          <w:shd w:val="clear" w:color="auto" w:fill="FFFFFF"/>
        </w:rPr>
        <w:t xml:space="preserve">liquid compounds </w:t>
      </w:r>
      <w:r w:rsidR="00435EF2" w:rsidRPr="00F91EC4">
        <w:rPr>
          <w:noProof/>
          <w:shd w:val="clear" w:color="auto" w:fill="FFFFFF"/>
        </w:rPr>
        <w:t>and crankcase emissions</w:t>
      </w:r>
      <w:r w:rsidR="00453058" w:rsidRPr="00F91EC4">
        <w:rPr>
          <w:noProof/>
          <w:shd w:val="clear" w:color="auto" w:fill="FFFFFF"/>
        </w:rPr>
        <w:t>;</w:t>
      </w:r>
    </w:p>
    <w:p w14:paraId="25FF4BCB" w14:textId="522F4EA7" w:rsidR="00AD4143" w:rsidRPr="00F91EC4" w:rsidRDefault="00DD0F7B" w:rsidP="00DD0F7B">
      <w:pPr>
        <w:pStyle w:val="Point0"/>
        <w:rPr>
          <w:noProof/>
          <w:shd w:val="clear" w:color="auto" w:fill="FFFFFF"/>
        </w:rPr>
      </w:pPr>
      <w:r w:rsidRPr="00DD0F7B">
        <w:rPr>
          <w:noProof/>
        </w:rPr>
        <w:t>(8)</w:t>
      </w:r>
      <w:r w:rsidRPr="00DD0F7B">
        <w:rPr>
          <w:noProof/>
        </w:rPr>
        <w:tab/>
      </w:r>
      <w:r w:rsidR="00AD4143" w:rsidRPr="00F91EC4">
        <w:rPr>
          <w:noProof/>
          <w:shd w:val="clear" w:color="auto" w:fill="FFFFFF"/>
        </w:rPr>
        <w:t>‘</w:t>
      </w:r>
      <w:r w:rsidR="002A104D" w:rsidRPr="00F91EC4">
        <w:rPr>
          <w:noProof/>
          <w:shd w:val="clear" w:color="auto" w:fill="FFFFFF"/>
        </w:rPr>
        <w:t>g</w:t>
      </w:r>
      <w:r w:rsidR="00AD4143" w:rsidRPr="00F91EC4">
        <w:rPr>
          <w:noProof/>
          <w:shd w:val="clear" w:color="auto" w:fill="FFFFFF"/>
        </w:rPr>
        <w:t xml:space="preserve">aseous pollutants’ means the emissions of </w:t>
      </w:r>
      <w:r w:rsidR="008F6B02" w:rsidRPr="00F91EC4">
        <w:rPr>
          <w:noProof/>
          <w:shd w:val="clear" w:color="auto" w:fill="FFFFFF"/>
        </w:rPr>
        <w:t>gaseous chemical species</w:t>
      </w:r>
      <w:r w:rsidR="00C9190F" w:rsidRPr="00F91EC4">
        <w:rPr>
          <w:noProof/>
          <w:shd w:val="clear" w:color="auto" w:fill="FFFFFF"/>
        </w:rPr>
        <w:t>, excluding CO</w:t>
      </w:r>
      <w:r w:rsidR="00C9190F" w:rsidRPr="00F91EC4">
        <w:rPr>
          <w:noProof/>
          <w:shd w:val="clear" w:color="auto" w:fill="FFFFFF"/>
          <w:vertAlign w:val="subscript"/>
        </w:rPr>
        <w:t>2</w:t>
      </w:r>
      <w:r w:rsidR="00453058" w:rsidRPr="00F91EC4">
        <w:rPr>
          <w:noProof/>
          <w:shd w:val="clear" w:color="auto" w:fill="FFFFFF"/>
        </w:rPr>
        <w:t>;</w:t>
      </w:r>
    </w:p>
    <w:p w14:paraId="4E0B5EBF" w14:textId="7A776A20" w:rsidR="006E1131" w:rsidRDefault="00DD0F7B" w:rsidP="00DD0F7B">
      <w:pPr>
        <w:pStyle w:val="Point0"/>
        <w:rPr>
          <w:noProof/>
        </w:rPr>
      </w:pPr>
      <w:r w:rsidRPr="00DD0F7B">
        <w:rPr>
          <w:noProof/>
        </w:rPr>
        <w:t>(9)</w:t>
      </w:r>
      <w:r w:rsidRPr="00DD0F7B">
        <w:rPr>
          <w:noProof/>
        </w:rPr>
        <w:tab/>
      </w:r>
      <w:r w:rsidR="000D1ABF" w:rsidRPr="00F91EC4" w:rsidDel="000D1ABF">
        <w:rPr>
          <w:noProof/>
          <w:shd w:val="clear" w:color="auto" w:fill="FFFFFF"/>
        </w:rPr>
        <w:t xml:space="preserve"> </w:t>
      </w:r>
      <w:r w:rsidR="006E1131" w:rsidRPr="00F91EC4">
        <w:rPr>
          <w:noProof/>
        </w:rPr>
        <w:t>‘CO</w:t>
      </w:r>
      <w:r w:rsidR="006E1131" w:rsidRPr="00F91EC4">
        <w:rPr>
          <w:noProof/>
          <w:vertAlign w:val="subscript"/>
        </w:rPr>
        <w:t>2</w:t>
      </w:r>
      <w:r w:rsidR="006E1131" w:rsidRPr="00F91EC4">
        <w:rPr>
          <w:noProof/>
        </w:rPr>
        <w:t xml:space="preserve"> emissions’ </w:t>
      </w:r>
      <w:r w:rsidR="0008168F">
        <w:rPr>
          <w:noProof/>
        </w:rPr>
        <w:t>or ‘CO</w:t>
      </w:r>
      <w:r w:rsidR="0008168F" w:rsidRPr="006D52E1">
        <w:rPr>
          <w:noProof/>
          <w:vertAlign w:val="subscript"/>
        </w:rPr>
        <w:t>2</w:t>
      </w:r>
      <w:r w:rsidR="0008168F">
        <w:rPr>
          <w:noProof/>
        </w:rPr>
        <w:t xml:space="preserve">’ </w:t>
      </w:r>
      <w:r w:rsidR="006E1131" w:rsidRPr="00F91EC4">
        <w:rPr>
          <w:noProof/>
        </w:rPr>
        <w:t xml:space="preserve">means the emission of </w:t>
      </w:r>
      <w:r w:rsidR="00546A7D">
        <w:rPr>
          <w:noProof/>
        </w:rPr>
        <w:t>carbon dioxide</w:t>
      </w:r>
      <w:r w:rsidR="00546A7D" w:rsidRPr="00F91EC4">
        <w:rPr>
          <w:noProof/>
        </w:rPr>
        <w:t xml:space="preserve"> </w:t>
      </w:r>
      <w:r w:rsidR="006E1131" w:rsidRPr="00F91EC4">
        <w:rPr>
          <w:noProof/>
        </w:rPr>
        <w:t>from the tailpipe of the motor vehicle or engine;</w:t>
      </w:r>
    </w:p>
    <w:p w14:paraId="253EA17A" w14:textId="1A3EE8D8" w:rsidR="000D1ABF" w:rsidRPr="000D1ABF" w:rsidRDefault="00DD0F7B" w:rsidP="00DD0F7B">
      <w:pPr>
        <w:pStyle w:val="Point0"/>
        <w:rPr>
          <w:noProof/>
        </w:rPr>
      </w:pPr>
      <w:r w:rsidRPr="00DD0F7B">
        <w:rPr>
          <w:noProof/>
        </w:rPr>
        <w:t>(10)</w:t>
      </w:r>
      <w:r w:rsidRPr="00DD0F7B">
        <w:rPr>
          <w:noProof/>
        </w:rPr>
        <w:tab/>
      </w:r>
      <w:r w:rsidR="005806BB">
        <w:rPr>
          <w:noProof/>
        </w:rPr>
        <w:t>‘n</w:t>
      </w:r>
      <w:r w:rsidR="000D1ABF" w:rsidRPr="000D1ABF">
        <w:rPr>
          <w:noProof/>
        </w:rPr>
        <w:t>itrogen oxides</w:t>
      </w:r>
      <w:r w:rsidR="005806BB">
        <w:rPr>
          <w:noProof/>
        </w:rPr>
        <w:t>’</w:t>
      </w:r>
      <w:r w:rsidR="000D1ABF" w:rsidRPr="000D1ABF">
        <w:rPr>
          <w:noProof/>
        </w:rPr>
        <w:t xml:space="preserve"> or </w:t>
      </w:r>
      <w:r w:rsidR="005806BB">
        <w:rPr>
          <w:noProof/>
        </w:rPr>
        <w:t>‘</w:t>
      </w:r>
      <w:r w:rsidR="000D1ABF" w:rsidRPr="000D1ABF">
        <w:rPr>
          <w:noProof/>
        </w:rPr>
        <w:t>NOx</w:t>
      </w:r>
      <w:r w:rsidR="005806BB">
        <w:rPr>
          <w:noProof/>
        </w:rPr>
        <w:t>’</w:t>
      </w:r>
      <w:r w:rsidR="000D1ABF" w:rsidRPr="000D1ABF">
        <w:rPr>
          <w:noProof/>
        </w:rPr>
        <w:t xml:space="preserve"> means the sum of the oxides of nitrogen emitted </w:t>
      </w:r>
      <w:r w:rsidR="00985165">
        <w:rPr>
          <w:noProof/>
        </w:rPr>
        <w:t>from the tailpipe</w:t>
      </w:r>
      <w:r w:rsidR="005806BB">
        <w:rPr>
          <w:noProof/>
        </w:rPr>
        <w:t>;</w:t>
      </w:r>
    </w:p>
    <w:p w14:paraId="6EC581DC" w14:textId="7EC65885" w:rsidR="000D1ABF" w:rsidRPr="00BE1F3D" w:rsidRDefault="00DD0F7B" w:rsidP="00DD0F7B">
      <w:pPr>
        <w:pStyle w:val="Point0"/>
        <w:rPr>
          <w:noProof/>
        </w:rPr>
      </w:pPr>
      <w:r w:rsidRPr="00DD0F7B">
        <w:rPr>
          <w:noProof/>
        </w:rPr>
        <w:t>(11)</w:t>
      </w:r>
      <w:r w:rsidRPr="00DD0F7B">
        <w:rPr>
          <w:noProof/>
        </w:rPr>
        <w:tab/>
      </w:r>
      <w:r w:rsidR="000D1ABF" w:rsidRPr="00F91EC4">
        <w:rPr>
          <w:noProof/>
          <w:shd w:val="clear" w:color="auto" w:fill="FFFFFF"/>
        </w:rPr>
        <w:t>‘</w:t>
      </w:r>
      <w:r w:rsidR="000D1ABF" w:rsidRPr="00F91EC4">
        <w:rPr>
          <w:noProof/>
        </w:rPr>
        <w:t xml:space="preserve">particulate matter’ or </w:t>
      </w:r>
      <w:r w:rsidR="000D1ABF" w:rsidRPr="00F91EC4">
        <w:rPr>
          <w:noProof/>
          <w:shd w:val="clear" w:color="auto" w:fill="FFFFFF"/>
        </w:rPr>
        <w:t>‘</w:t>
      </w:r>
      <w:r w:rsidR="000D1ABF" w:rsidRPr="00F91EC4">
        <w:rPr>
          <w:noProof/>
        </w:rPr>
        <w:t xml:space="preserve">PM’ means any material </w:t>
      </w:r>
      <w:r w:rsidR="00306F97" w:rsidRPr="006D52E1">
        <w:rPr>
          <w:noProof/>
        </w:rPr>
        <w:t xml:space="preserve">emitted </w:t>
      </w:r>
      <w:r w:rsidR="00306F97">
        <w:rPr>
          <w:noProof/>
        </w:rPr>
        <w:t xml:space="preserve">from </w:t>
      </w:r>
      <w:r w:rsidR="00306F97" w:rsidRPr="006D52E1">
        <w:rPr>
          <w:noProof/>
        </w:rPr>
        <w:t>the tailpipe</w:t>
      </w:r>
      <w:r w:rsidR="00306F97">
        <w:rPr>
          <w:noProof/>
        </w:rPr>
        <w:t xml:space="preserve"> or </w:t>
      </w:r>
      <w:r w:rsidR="00306F97" w:rsidRPr="006D52E1">
        <w:rPr>
          <w:noProof/>
        </w:rPr>
        <w:t xml:space="preserve">the </w:t>
      </w:r>
      <w:r w:rsidR="00306F97" w:rsidRPr="00BE1F3D">
        <w:rPr>
          <w:noProof/>
        </w:rPr>
        <w:t>brakes</w:t>
      </w:r>
      <w:r w:rsidR="00CA2D9B">
        <w:rPr>
          <w:noProof/>
        </w:rPr>
        <w:t xml:space="preserve"> and</w:t>
      </w:r>
      <w:r w:rsidR="00306F97" w:rsidRPr="00BE1F3D">
        <w:rPr>
          <w:noProof/>
        </w:rPr>
        <w:t xml:space="preserve"> collected on a filter media</w:t>
      </w:r>
      <w:r w:rsidR="000D1ABF" w:rsidRPr="00BE1F3D">
        <w:rPr>
          <w:noProof/>
        </w:rPr>
        <w:t>;</w:t>
      </w:r>
    </w:p>
    <w:p w14:paraId="2A13CC22" w14:textId="62A2132C" w:rsidR="00306F97" w:rsidRPr="00BE1F3D" w:rsidRDefault="00DD0F7B" w:rsidP="00DD0F7B">
      <w:pPr>
        <w:pStyle w:val="Point0"/>
        <w:rPr>
          <w:noProof/>
        </w:rPr>
      </w:pPr>
      <w:r w:rsidRPr="00DD0F7B">
        <w:rPr>
          <w:noProof/>
        </w:rPr>
        <w:t>(12)</w:t>
      </w:r>
      <w:r w:rsidRPr="00DD0F7B">
        <w:rPr>
          <w:noProof/>
        </w:rPr>
        <w:tab/>
      </w:r>
      <w:r w:rsidR="00306F97" w:rsidRPr="00BE1F3D">
        <w:rPr>
          <w:noProof/>
        </w:rPr>
        <w:t>‘particulate matter</w:t>
      </w:r>
      <w:r w:rsidR="00D40BB3" w:rsidRPr="00BE1F3D">
        <w:rPr>
          <w:noProof/>
        </w:rPr>
        <w:t xml:space="preserve"> </w:t>
      </w:r>
      <w:r w:rsidR="00BE1F3D" w:rsidRPr="00BE1F3D">
        <w:rPr>
          <w:noProof/>
        </w:rPr>
        <w:t xml:space="preserve">less than </w:t>
      </w:r>
      <w:r w:rsidR="00D40BB3" w:rsidRPr="00BE1F3D">
        <w:rPr>
          <w:noProof/>
        </w:rPr>
        <w:t>10</w:t>
      </w:r>
      <w:r w:rsidR="00BE1F3D" w:rsidRPr="00BE1F3D">
        <w:rPr>
          <w:noProof/>
        </w:rPr>
        <w:t xml:space="preserve"> µm’</w:t>
      </w:r>
      <w:r w:rsidR="00D40BB3" w:rsidRPr="00BE1F3D">
        <w:rPr>
          <w:noProof/>
        </w:rPr>
        <w:t xml:space="preserve"> or </w:t>
      </w:r>
      <w:r w:rsidR="00BE1F3D" w:rsidRPr="00BE1F3D">
        <w:rPr>
          <w:noProof/>
        </w:rPr>
        <w:t>‘</w:t>
      </w:r>
      <w:r w:rsidR="00D40BB3" w:rsidRPr="00BE1F3D">
        <w:rPr>
          <w:noProof/>
        </w:rPr>
        <w:t>PM</w:t>
      </w:r>
      <w:r w:rsidR="00D40BB3" w:rsidRPr="00BE1F3D">
        <w:rPr>
          <w:noProof/>
          <w:vertAlign w:val="subscript"/>
        </w:rPr>
        <w:t>10</w:t>
      </w:r>
      <w:r w:rsidR="00BE1F3D" w:rsidRPr="00BE1F3D">
        <w:rPr>
          <w:noProof/>
        </w:rPr>
        <w:t>’</w:t>
      </w:r>
      <w:r w:rsidR="00D40BB3" w:rsidRPr="00BE1F3D">
        <w:rPr>
          <w:noProof/>
        </w:rPr>
        <w:t xml:space="preserve"> means the particulate matter </w:t>
      </w:r>
      <w:r w:rsidR="00AD04A5" w:rsidRPr="00BE1F3D">
        <w:rPr>
          <w:noProof/>
        </w:rPr>
        <w:t>with a diameter less than 10 µm;</w:t>
      </w:r>
      <w:r w:rsidR="00306F97" w:rsidRPr="00BE1F3D">
        <w:rPr>
          <w:noProof/>
        </w:rPr>
        <w:t xml:space="preserve"> </w:t>
      </w:r>
    </w:p>
    <w:p w14:paraId="548B0DE4" w14:textId="3337115E" w:rsidR="000D1ABF" w:rsidRPr="00F91EC4" w:rsidRDefault="00DD0F7B" w:rsidP="00DD0F7B">
      <w:pPr>
        <w:pStyle w:val="Point0"/>
        <w:rPr>
          <w:noProof/>
        </w:rPr>
      </w:pPr>
      <w:r w:rsidRPr="00DD0F7B">
        <w:rPr>
          <w:noProof/>
        </w:rPr>
        <w:t>(13)</w:t>
      </w:r>
      <w:r w:rsidRPr="00DD0F7B">
        <w:rPr>
          <w:noProof/>
        </w:rPr>
        <w:tab/>
      </w:r>
      <w:r w:rsidR="000D1ABF" w:rsidRPr="00F91EC4">
        <w:rPr>
          <w:noProof/>
          <w:shd w:val="clear" w:color="auto" w:fill="FFFFFF"/>
        </w:rPr>
        <w:t>‘</w:t>
      </w:r>
      <w:r w:rsidR="000D1ABF" w:rsidRPr="00F91EC4">
        <w:rPr>
          <w:noProof/>
        </w:rPr>
        <w:t xml:space="preserve">particle number’ or </w:t>
      </w:r>
      <w:r w:rsidR="000D1ABF" w:rsidRPr="00F91EC4">
        <w:rPr>
          <w:noProof/>
          <w:shd w:val="clear" w:color="auto" w:fill="FFFFFF"/>
        </w:rPr>
        <w:t>‘</w:t>
      </w:r>
      <w:r w:rsidR="000D1ABF" w:rsidRPr="00F91EC4">
        <w:rPr>
          <w:noProof/>
        </w:rPr>
        <w:t>PN’</w:t>
      </w:r>
      <w:r w:rsidR="000D1ABF" w:rsidRPr="00F91EC4">
        <w:rPr>
          <w:noProof/>
          <w:shd w:val="clear" w:color="auto" w:fill="FFFFFF"/>
        </w:rPr>
        <w:t xml:space="preserve"> </w:t>
      </w:r>
      <w:r w:rsidR="000D1ABF" w:rsidRPr="00F91EC4">
        <w:rPr>
          <w:noProof/>
        </w:rPr>
        <w:t xml:space="preserve"> means the total number of solid particles emitted from the </w:t>
      </w:r>
      <w:r w:rsidR="000D1ABF">
        <w:rPr>
          <w:noProof/>
        </w:rPr>
        <w:t>tailpipe</w:t>
      </w:r>
      <w:r w:rsidR="000D1ABF" w:rsidRPr="00F91EC4">
        <w:rPr>
          <w:noProof/>
        </w:rPr>
        <w:t xml:space="preserve"> </w:t>
      </w:r>
      <w:r w:rsidR="000D1ABF">
        <w:rPr>
          <w:noProof/>
        </w:rPr>
        <w:t xml:space="preserve">or </w:t>
      </w:r>
      <w:r w:rsidR="00306F97">
        <w:rPr>
          <w:noProof/>
        </w:rPr>
        <w:t xml:space="preserve">the </w:t>
      </w:r>
      <w:r w:rsidR="000D1ABF">
        <w:rPr>
          <w:noProof/>
        </w:rPr>
        <w:t>brakes</w:t>
      </w:r>
      <w:r w:rsidR="000D1ABF" w:rsidRPr="00F91EC4">
        <w:rPr>
          <w:noProof/>
        </w:rPr>
        <w:t>;</w:t>
      </w:r>
    </w:p>
    <w:p w14:paraId="75A0BFFD" w14:textId="1F62FAAA" w:rsidR="000D1ABF" w:rsidRPr="00F91EC4" w:rsidRDefault="00DD0F7B" w:rsidP="00DD0F7B">
      <w:pPr>
        <w:pStyle w:val="Point0"/>
        <w:rPr>
          <w:noProof/>
        </w:rPr>
      </w:pPr>
      <w:r w:rsidRPr="00DD0F7B">
        <w:rPr>
          <w:noProof/>
        </w:rPr>
        <w:t>(14)</w:t>
      </w:r>
      <w:r w:rsidRPr="00DD0F7B">
        <w:rPr>
          <w:noProof/>
        </w:rPr>
        <w:tab/>
      </w:r>
      <w:r w:rsidR="000D1ABF" w:rsidRPr="00F91EC4">
        <w:rPr>
          <w:noProof/>
          <w:shd w:val="clear" w:color="auto" w:fill="FFFFFF"/>
        </w:rPr>
        <w:t>‘</w:t>
      </w:r>
      <w:r w:rsidR="000D1ABF" w:rsidRPr="00F91EC4">
        <w:rPr>
          <w:noProof/>
        </w:rPr>
        <w:t>particle number</w:t>
      </w:r>
      <w:r w:rsidR="000D1ABF">
        <w:rPr>
          <w:noProof/>
        </w:rPr>
        <w:t xml:space="preserve"> above 10 nm</w:t>
      </w:r>
      <w:r w:rsidR="000D1ABF" w:rsidRPr="00F91EC4">
        <w:rPr>
          <w:noProof/>
        </w:rPr>
        <w:t xml:space="preserve">’ or </w:t>
      </w:r>
      <w:r w:rsidR="000D1ABF" w:rsidRPr="00F91EC4">
        <w:rPr>
          <w:noProof/>
          <w:shd w:val="clear" w:color="auto" w:fill="FFFFFF"/>
        </w:rPr>
        <w:t>‘</w:t>
      </w:r>
      <w:r w:rsidR="000D1ABF" w:rsidRPr="00F91EC4">
        <w:rPr>
          <w:noProof/>
        </w:rPr>
        <w:t>PN</w:t>
      </w:r>
      <w:r w:rsidR="000D1ABF" w:rsidRPr="00AD04A5">
        <w:rPr>
          <w:noProof/>
          <w:vertAlign w:val="subscript"/>
        </w:rPr>
        <w:t>10</w:t>
      </w:r>
      <w:r w:rsidR="000D1ABF" w:rsidRPr="00F91EC4">
        <w:rPr>
          <w:noProof/>
        </w:rPr>
        <w:t>’</w:t>
      </w:r>
      <w:r w:rsidR="000D1ABF" w:rsidRPr="00F91EC4">
        <w:rPr>
          <w:noProof/>
          <w:shd w:val="clear" w:color="auto" w:fill="FFFFFF"/>
        </w:rPr>
        <w:t xml:space="preserve"> </w:t>
      </w:r>
      <w:r w:rsidR="000D1ABF" w:rsidRPr="00F91EC4">
        <w:rPr>
          <w:noProof/>
        </w:rPr>
        <w:t xml:space="preserve"> means the total number of solid particles emitted from the </w:t>
      </w:r>
      <w:r w:rsidR="000D1ABF">
        <w:rPr>
          <w:noProof/>
        </w:rPr>
        <w:t>tailpipe</w:t>
      </w:r>
      <w:r w:rsidR="000D1ABF" w:rsidRPr="00F91EC4">
        <w:rPr>
          <w:noProof/>
        </w:rPr>
        <w:t xml:space="preserve"> </w:t>
      </w:r>
      <w:r w:rsidR="000D1ABF">
        <w:rPr>
          <w:noProof/>
        </w:rPr>
        <w:t>or</w:t>
      </w:r>
      <w:r w:rsidR="00306F97">
        <w:rPr>
          <w:noProof/>
        </w:rPr>
        <w:t xml:space="preserve"> the</w:t>
      </w:r>
      <w:r w:rsidR="000D1ABF">
        <w:rPr>
          <w:noProof/>
        </w:rPr>
        <w:t xml:space="preserve"> brakes that have a</w:t>
      </w:r>
      <w:r w:rsidR="00306F97">
        <w:rPr>
          <w:noProof/>
        </w:rPr>
        <w:t xml:space="preserve"> </w:t>
      </w:r>
      <w:r w:rsidR="000D1ABF">
        <w:rPr>
          <w:noProof/>
        </w:rPr>
        <w:t>diameter larger or equal than 10 nm</w:t>
      </w:r>
      <w:r w:rsidR="000D1ABF" w:rsidRPr="00F91EC4">
        <w:rPr>
          <w:noProof/>
        </w:rPr>
        <w:t>;</w:t>
      </w:r>
    </w:p>
    <w:p w14:paraId="32F236C9" w14:textId="25D60AA4" w:rsidR="000D1ABF" w:rsidRPr="00BE1F3D" w:rsidRDefault="00DD0F7B" w:rsidP="00DD0F7B">
      <w:pPr>
        <w:pStyle w:val="Point0"/>
        <w:rPr>
          <w:noProof/>
        </w:rPr>
      </w:pPr>
      <w:r w:rsidRPr="00DD0F7B">
        <w:rPr>
          <w:noProof/>
        </w:rPr>
        <w:t>(15)</w:t>
      </w:r>
      <w:r w:rsidRPr="00DD0F7B">
        <w:rPr>
          <w:noProof/>
        </w:rPr>
        <w:tab/>
      </w:r>
      <w:r w:rsidR="005806BB">
        <w:rPr>
          <w:noProof/>
        </w:rPr>
        <w:t>‘c</w:t>
      </w:r>
      <w:r w:rsidR="00306F97">
        <w:rPr>
          <w:noProof/>
        </w:rPr>
        <w:t>arbon monoxide</w:t>
      </w:r>
      <w:r w:rsidR="005806BB">
        <w:rPr>
          <w:noProof/>
        </w:rPr>
        <w:t>’</w:t>
      </w:r>
      <w:r w:rsidR="00306F97">
        <w:rPr>
          <w:noProof/>
        </w:rPr>
        <w:t xml:space="preserve"> or </w:t>
      </w:r>
      <w:r w:rsidR="005806BB">
        <w:rPr>
          <w:noProof/>
        </w:rPr>
        <w:t>‘</w:t>
      </w:r>
      <w:r w:rsidR="000D1ABF" w:rsidRPr="000D1ABF">
        <w:rPr>
          <w:noProof/>
        </w:rPr>
        <w:t>CO</w:t>
      </w:r>
      <w:r w:rsidR="005806BB">
        <w:rPr>
          <w:noProof/>
        </w:rPr>
        <w:t>’</w:t>
      </w:r>
      <w:r w:rsidR="00306F97">
        <w:rPr>
          <w:noProof/>
          <w:shd w:val="clear" w:color="auto" w:fill="FFFFFF"/>
        </w:rPr>
        <w:t xml:space="preserve"> </w:t>
      </w:r>
      <w:r w:rsidR="00306F97" w:rsidRPr="006D52E1">
        <w:rPr>
          <w:noProof/>
        </w:rPr>
        <w:t>means the carbon monoxide emitted from the tailpipe</w:t>
      </w:r>
      <w:r w:rsidR="005806BB" w:rsidRPr="006D52E1">
        <w:rPr>
          <w:noProof/>
        </w:rPr>
        <w:t>;</w:t>
      </w:r>
    </w:p>
    <w:p w14:paraId="112C89D3" w14:textId="4953905D" w:rsidR="00306F97" w:rsidRPr="000D1ABF" w:rsidRDefault="00DD0F7B" w:rsidP="00DD0F7B">
      <w:pPr>
        <w:pStyle w:val="Point0"/>
        <w:rPr>
          <w:noProof/>
        </w:rPr>
      </w:pPr>
      <w:r w:rsidRPr="00DD0F7B">
        <w:rPr>
          <w:noProof/>
        </w:rPr>
        <w:t>(16)</w:t>
      </w:r>
      <w:r w:rsidRPr="00DD0F7B">
        <w:rPr>
          <w:noProof/>
        </w:rPr>
        <w:tab/>
      </w:r>
      <w:r w:rsidR="005806BB" w:rsidRPr="006D52E1">
        <w:rPr>
          <w:noProof/>
        </w:rPr>
        <w:t>‘m</w:t>
      </w:r>
      <w:r w:rsidR="00306F97" w:rsidRPr="006D52E1">
        <w:rPr>
          <w:noProof/>
        </w:rPr>
        <w:t>ethane</w:t>
      </w:r>
      <w:r w:rsidR="005806BB" w:rsidRPr="006D52E1">
        <w:rPr>
          <w:noProof/>
        </w:rPr>
        <w:t>’</w:t>
      </w:r>
      <w:r w:rsidR="00306F97" w:rsidRPr="006D52E1">
        <w:rPr>
          <w:noProof/>
        </w:rPr>
        <w:t xml:space="preserve"> or </w:t>
      </w:r>
      <w:r w:rsidR="005806BB" w:rsidRPr="006D52E1">
        <w:rPr>
          <w:noProof/>
        </w:rPr>
        <w:t>‘</w:t>
      </w:r>
      <w:r w:rsidR="00306F97" w:rsidRPr="006D52E1">
        <w:rPr>
          <w:noProof/>
        </w:rPr>
        <w:t>CH</w:t>
      </w:r>
      <w:r w:rsidR="00306F97" w:rsidRPr="006D52E1">
        <w:rPr>
          <w:noProof/>
          <w:vertAlign w:val="subscript"/>
        </w:rPr>
        <w:t>4</w:t>
      </w:r>
      <w:r w:rsidR="005806BB" w:rsidRPr="006D52E1">
        <w:rPr>
          <w:noProof/>
        </w:rPr>
        <w:t>’</w:t>
      </w:r>
      <w:r w:rsidR="00306F97" w:rsidRPr="006D52E1">
        <w:rPr>
          <w:noProof/>
        </w:rPr>
        <w:t xml:space="preserve"> means the methane </w:t>
      </w:r>
      <w:r w:rsidR="00B20B2E">
        <w:rPr>
          <w:noProof/>
        </w:rPr>
        <w:t xml:space="preserve">emitted </w:t>
      </w:r>
      <w:r w:rsidR="00306F97" w:rsidRPr="006D52E1">
        <w:rPr>
          <w:noProof/>
        </w:rPr>
        <w:t>from the tailpipe</w:t>
      </w:r>
      <w:r w:rsidR="005806BB" w:rsidRPr="006D52E1">
        <w:rPr>
          <w:noProof/>
        </w:rPr>
        <w:t>;</w:t>
      </w:r>
    </w:p>
    <w:p w14:paraId="74B01E18" w14:textId="331BB74B" w:rsidR="000D1ABF" w:rsidRPr="000D1ABF" w:rsidRDefault="00DD0F7B" w:rsidP="00DD0F7B">
      <w:pPr>
        <w:pStyle w:val="Point0"/>
        <w:rPr>
          <w:noProof/>
        </w:rPr>
      </w:pPr>
      <w:r w:rsidRPr="00DD0F7B">
        <w:rPr>
          <w:noProof/>
        </w:rPr>
        <w:t>(17)</w:t>
      </w:r>
      <w:r w:rsidRPr="00DD0F7B">
        <w:rPr>
          <w:noProof/>
        </w:rPr>
        <w:tab/>
      </w:r>
      <w:r w:rsidR="000D1ABF" w:rsidRPr="000D1ABF">
        <w:rPr>
          <w:noProof/>
        </w:rPr>
        <w:t xml:space="preserve">‘total hydrocarbons’ or ‘THC’ means the total hydrocarbons emitted </w:t>
      </w:r>
      <w:r w:rsidR="00306F97">
        <w:rPr>
          <w:noProof/>
        </w:rPr>
        <w:t>from the tailpipe</w:t>
      </w:r>
      <w:r w:rsidR="005806BB">
        <w:rPr>
          <w:noProof/>
        </w:rPr>
        <w:t>;</w:t>
      </w:r>
    </w:p>
    <w:p w14:paraId="237F72A3" w14:textId="6A72044C" w:rsidR="000D1ABF" w:rsidRPr="000D1ABF" w:rsidRDefault="00DD0F7B" w:rsidP="00DD0F7B">
      <w:pPr>
        <w:pStyle w:val="Point0"/>
        <w:rPr>
          <w:noProof/>
        </w:rPr>
      </w:pPr>
      <w:r w:rsidRPr="00DD0F7B">
        <w:rPr>
          <w:noProof/>
        </w:rPr>
        <w:t>(18)</w:t>
      </w:r>
      <w:r w:rsidRPr="00DD0F7B">
        <w:rPr>
          <w:noProof/>
        </w:rPr>
        <w:tab/>
      </w:r>
      <w:r w:rsidR="000D1ABF" w:rsidRPr="000D1ABF">
        <w:rPr>
          <w:noProof/>
        </w:rPr>
        <w:t xml:space="preserve">‘non-methane hydrocarbons’ or ‘NHMC’ means the total hydrocarbons </w:t>
      </w:r>
      <w:r w:rsidR="00306F97">
        <w:rPr>
          <w:noProof/>
        </w:rPr>
        <w:t>emitted from the tailpipe</w:t>
      </w:r>
      <w:r w:rsidR="00306F97" w:rsidRPr="000D1ABF">
        <w:rPr>
          <w:noProof/>
        </w:rPr>
        <w:t xml:space="preserve"> </w:t>
      </w:r>
      <w:r w:rsidR="000D1ABF" w:rsidRPr="000D1ABF">
        <w:rPr>
          <w:noProof/>
        </w:rPr>
        <w:t>excluding methane</w:t>
      </w:r>
      <w:r w:rsidR="005806BB">
        <w:rPr>
          <w:noProof/>
        </w:rPr>
        <w:t>;</w:t>
      </w:r>
    </w:p>
    <w:p w14:paraId="6B5D8AB0" w14:textId="40F0A18A" w:rsidR="000D1ABF" w:rsidRPr="00D14650" w:rsidRDefault="00DD0F7B" w:rsidP="00DD0F7B">
      <w:pPr>
        <w:pStyle w:val="Point0"/>
        <w:rPr>
          <w:noProof/>
        </w:rPr>
      </w:pPr>
      <w:r w:rsidRPr="00DD0F7B">
        <w:rPr>
          <w:noProof/>
        </w:rPr>
        <w:t>(19)</w:t>
      </w:r>
      <w:r w:rsidRPr="00DD0F7B">
        <w:rPr>
          <w:noProof/>
        </w:rPr>
        <w:tab/>
      </w:r>
      <w:r w:rsidR="000D1ABF" w:rsidRPr="000D1ABF">
        <w:rPr>
          <w:noProof/>
        </w:rPr>
        <w:t xml:space="preserve">‘non-methane organic gases’ or ‘NMOG’ </w:t>
      </w:r>
      <w:r w:rsidR="00306F97">
        <w:rPr>
          <w:noProof/>
          <w:color w:val="000000"/>
        </w:rPr>
        <w:t xml:space="preserve">means the sum of non-oxygenated and oxygenated </w:t>
      </w:r>
      <w:r w:rsidR="00306F97" w:rsidRPr="006D52E1">
        <w:rPr>
          <w:noProof/>
        </w:rPr>
        <w:t>hydrocarbons emitted from the tailpipe</w:t>
      </w:r>
      <w:r w:rsidR="005806BB">
        <w:rPr>
          <w:noProof/>
        </w:rPr>
        <w:t>;</w:t>
      </w:r>
    </w:p>
    <w:p w14:paraId="7E9E79F8" w14:textId="3018C2A9" w:rsidR="000D1ABF" w:rsidRPr="00D14650" w:rsidRDefault="00DD0F7B" w:rsidP="00DD0F7B">
      <w:pPr>
        <w:pStyle w:val="Point0"/>
        <w:rPr>
          <w:noProof/>
        </w:rPr>
      </w:pPr>
      <w:r w:rsidRPr="00DD0F7B">
        <w:rPr>
          <w:noProof/>
        </w:rPr>
        <w:t>(20)</w:t>
      </w:r>
      <w:r w:rsidRPr="00DD0F7B">
        <w:rPr>
          <w:noProof/>
        </w:rPr>
        <w:tab/>
      </w:r>
      <w:r w:rsidR="005806BB">
        <w:rPr>
          <w:noProof/>
        </w:rPr>
        <w:t>’a</w:t>
      </w:r>
      <w:r w:rsidR="00306F97">
        <w:rPr>
          <w:noProof/>
        </w:rPr>
        <w:t>mmonia</w:t>
      </w:r>
      <w:r w:rsidR="005806BB">
        <w:rPr>
          <w:noProof/>
        </w:rPr>
        <w:t>’</w:t>
      </w:r>
      <w:r w:rsidR="00306F97">
        <w:rPr>
          <w:noProof/>
        </w:rPr>
        <w:t xml:space="preserve"> or </w:t>
      </w:r>
      <w:r w:rsidR="005806BB">
        <w:rPr>
          <w:noProof/>
        </w:rPr>
        <w:t>‘</w:t>
      </w:r>
      <w:r w:rsidR="000D1ABF" w:rsidRPr="000D1ABF">
        <w:rPr>
          <w:noProof/>
        </w:rPr>
        <w:t>NH</w:t>
      </w:r>
      <w:r w:rsidR="000D1ABF" w:rsidRPr="005806BB">
        <w:rPr>
          <w:noProof/>
          <w:vertAlign w:val="subscript"/>
        </w:rPr>
        <w:t>3</w:t>
      </w:r>
      <w:r w:rsidR="005806BB">
        <w:rPr>
          <w:noProof/>
        </w:rPr>
        <w:t>’</w:t>
      </w:r>
      <w:r w:rsidR="00306F97">
        <w:rPr>
          <w:noProof/>
        </w:rPr>
        <w:t xml:space="preserve"> means the ammonia emitted from the tailpipe</w:t>
      </w:r>
      <w:r w:rsidR="005806BB">
        <w:rPr>
          <w:noProof/>
        </w:rPr>
        <w:t>;</w:t>
      </w:r>
    </w:p>
    <w:p w14:paraId="20BA1F00" w14:textId="2B5D29C9" w:rsidR="000D1ABF" w:rsidRPr="00BE1F3D" w:rsidRDefault="00DD0F7B" w:rsidP="00DD0F7B">
      <w:pPr>
        <w:pStyle w:val="Point0"/>
        <w:rPr>
          <w:noProof/>
        </w:rPr>
      </w:pPr>
      <w:r w:rsidRPr="00DD0F7B">
        <w:rPr>
          <w:noProof/>
        </w:rPr>
        <w:t>(21)</w:t>
      </w:r>
      <w:r w:rsidRPr="00DD0F7B">
        <w:rPr>
          <w:noProof/>
        </w:rPr>
        <w:tab/>
      </w:r>
      <w:r w:rsidR="005806BB">
        <w:rPr>
          <w:noProof/>
        </w:rPr>
        <w:t>’f</w:t>
      </w:r>
      <w:r w:rsidR="00306F97">
        <w:rPr>
          <w:noProof/>
        </w:rPr>
        <w:t>ormaldehyde</w:t>
      </w:r>
      <w:r w:rsidR="005806BB">
        <w:rPr>
          <w:noProof/>
        </w:rPr>
        <w:t>’</w:t>
      </w:r>
      <w:r w:rsidR="00306F97">
        <w:rPr>
          <w:noProof/>
        </w:rPr>
        <w:t xml:space="preserve"> or </w:t>
      </w:r>
      <w:r w:rsidR="005806BB">
        <w:rPr>
          <w:noProof/>
        </w:rPr>
        <w:t>‘</w:t>
      </w:r>
      <w:r w:rsidR="000D1ABF" w:rsidRPr="000D1ABF">
        <w:rPr>
          <w:noProof/>
        </w:rPr>
        <w:t>HCHO</w:t>
      </w:r>
      <w:r w:rsidR="005806BB">
        <w:rPr>
          <w:noProof/>
        </w:rPr>
        <w:t>’</w:t>
      </w:r>
      <w:r w:rsidR="00306F97">
        <w:rPr>
          <w:noProof/>
        </w:rPr>
        <w:t xml:space="preserve"> means the formaldehyde emitted from the tailpipe</w:t>
      </w:r>
      <w:r w:rsidR="005806BB">
        <w:rPr>
          <w:noProof/>
        </w:rPr>
        <w:t>;</w:t>
      </w:r>
    </w:p>
    <w:p w14:paraId="1F43F8E0" w14:textId="47F55F7D" w:rsidR="001E55AF" w:rsidRPr="00BE1F3D" w:rsidRDefault="00DD0F7B" w:rsidP="00DD0F7B">
      <w:pPr>
        <w:pStyle w:val="Point0"/>
        <w:rPr>
          <w:noProof/>
        </w:rPr>
      </w:pPr>
      <w:r w:rsidRPr="00DD0F7B">
        <w:rPr>
          <w:noProof/>
        </w:rPr>
        <w:t>(22)</w:t>
      </w:r>
      <w:r w:rsidRPr="00DD0F7B">
        <w:rPr>
          <w:noProof/>
        </w:rPr>
        <w:tab/>
      </w:r>
      <w:r w:rsidR="005806BB">
        <w:rPr>
          <w:noProof/>
        </w:rPr>
        <w:t>‘</w:t>
      </w:r>
      <w:r w:rsidR="001E55AF">
        <w:rPr>
          <w:noProof/>
        </w:rPr>
        <w:t>WHTC</w:t>
      </w:r>
      <w:r w:rsidR="005806BB">
        <w:rPr>
          <w:noProof/>
        </w:rPr>
        <w:t>’</w:t>
      </w:r>
      <w:r w:rsidR="001E55AF">
        <w:rPr>
          <w:noProof/>
        </w:rPr>
        <w:t xml:space="preserve"> </w:t>
      </w:r>
      <w:r w:rsidR="00306F97" w:rsidRPr="006D52E1">
        <w:rPr>
          <w:noProof/>
        </w:rPr>
        <w:t>means the worldwide harmonised transient driving cycle in accordance with paragraph 7.2.1. of Annex 4 to UN Regulation No. 49</w:t>
      </w:r>
      <w:r w:rsidR="005806BB" w:rsidRPr="006D52E1">
        <w:rPr>
          <w:noProof/>
        </w:rPr>
        <w:t>;</w:t>
      </w:r>
    </w:p>
    <w:p w14:paraId="0DAF73DB" w14:textId="1C000610" w:rsidR="00306F97" w:rsidRPr="00BE1F3D" w:rsidRDefault="00DD0F7B" w:rsidP="00DD0F7B">
      <w:pPr>
        <w:pStyle w:val="Point0"/>
        <w:rPr>
          <w:noProof/>
        </w:rPr>
      </w:pPr>
      <w:r w:rsidRPr="00DD0F7B">
        <w:rPr>
          <w:noProof/>
        </w:rPr>
        <w:t>(23)</w:t>
      </w:r>
      <w:r w:rsidRPr="00DD0F7B">
        <w:rPr>
          <w:noProof/>
        </w:rPr>
        <w:tab/>
      </w:r>
      <w:r w:rsidR="005806BB" w:rsidRPr="006D52E1">
        <w:rPr>
          <w:noProof/>
        </w:rPr>
        <w:t>‘</w:t>
      </w:r>
      <w:r w:rsidR="00306F97" w:rsidRPr="006D52E1">
        <w:rPr>
          <w:noProof/>
        </w:rPr>
        <w:t>WHSC</w:t>
      </w:r>
      <w:r w:rsidR="005806BB" w:rsidRPr="006D52E1">
        <w:rPr>
          <w:noProof/>
        </w:rPr>
        <w:t>’</w:t>
      </w:r>
      <w:r w:rsidR="00306F97" w:rsidRPr="006D52E1">
        <w:rPr>
          <w:noProof/>
        </w:rPr>
        <w:t xml:space="preserve"> means the worldwide harmonised steady state driving cycle in accordance with paragraph 7.2.2. of Annex 4 to UN Regulation No. 49</w:t>
      </w:r>
      <w:r w:rsidR="005806BB" w:rsidRPr="006D52E1">
        <w:rPr>
          <w:noProof/>
        </w:rPr>
        <w:t>;</w:t>
      </w:r>
    </w:p>
    <w:p w14:paraId="1EFC612B" w14:textId="31E43CDF" w:rsidR="006E1131" w:rsidRPr="00F91EC4" w:rsidRDefault="00DD0F7B" w:rsidP="00DD0F7B">
      <w:pPr>
        <w:pStyle w:val="Point0"/>
        <w:rPr>
          <w:noProof/>
        </w:rPr>
      </w:pPr>
      <w:r w:rsidRPr="00DD0F7B">
        <w:rPr>
          <w:noProof/>
        </w:rPr>
        <w:t>(24)</w:t>
      </w:r>
      <w:r w:rsidRPr="00DD0F7B">
        <w:rPr>
          <w:noProof/>
        </w:rPr>
        <w:tab/>
      </w:r>
      <w:r w:rsidR="00306F97" w:rsidRPr="39627782">
        <w:rPr>
          <w:noProof/>
          <w:color w:val="000000" w:themeColor="text1"/>
        </w:rPr>
        <w:t>‘</w:t>
      </w:r>
      <w:r w:rsidR="00306F97">
        <w:rPr>
          <w:noProof/>
        </w:rPr>
        <w:t>vehicle energy consumption calculation tool’ or ‘</w:t>
      </w:r>
      <w:r w:rsidR="00306F97" w:rsidRPr="39627782">
        <w:rPr>
          <w:noProof/>
          <w:color w:val="000000" w:themeColor="text1"/>
        </w:rPr>
        <w:t xml:space="preserve">VECTO’ </w:t>
      </w:r>
      <w:r w:rsidR="00306F97">
        <w:rPr>
          <w:noProof/>
        </w:rPr>
        <w:t>means a simulation tool used for determining CO</w:t>
      </w:r>
      <w:r w:rsidR="00306F97">
        <w:rPr>
          <w:noProof/>
          <w:vertAlign w:val="subscript"/>
        </w:rPr>
        <w:t>2</w:t>
      </w:r>
      <w:r w:rsidR="00306F97">
        <w:rPr>
          <w:noProof/>
        </w:rPr>
        <w:t xml:space="preserve"> emissions, fuel consumption, electric energy consumption and the electric range from heavy duty vehicles</w:t>
      </w:r>
      <w:r w:rsidR="005806BB">
        <w:rPr>
          <w:noProof/>
        </w:rPr>
        <w:t>;</w:t>
      </w:r>
      <w:r w:rsidR="00BE1F3D">
        <w:rPr>
          <w:noProof/>
        </w:rPr>
        <w:t xml:space="preserve"> </w:t>
      </w:r>
      <w:r w:rsidR="006E1131" w:rsidRPr="00F91EC4">
        <w:rPr>
          <w:noProof/>
        </w:rPr>
        <w:t xml:space="preserve">‘energy consumption’ means the consumption of </w:t>
      </w:r>
      <w:r w:rsidR="00AD25DA">
        <w:rPr>
          <w:noProof/>
        </w:rPr>
        <w:t xml:space="preserve">electric </w:t>
      </w:r>
      <w:r w:rsidR="006E1131" w:rsidRPr="00F91EC4">
        <w:rPr>
          <w:noProof/>
        </w:rPr>
        <w:t xml:space="preserve">energy from </w:t>
      </w:r>
      <w:r w:rsidR="006E48C2" w:rsidRPr="00F91EC4">
        <w:rPr>
          <w:noProof/>
        </w:rPr>
        <w:t>each and all</w:t>
      </w:r>
      <w:r w:rsidR="006E1131" w:rsidRPr="00F91EC4">
        <w:rPr>
          <w:noProof/>
        </w:rPr>
        <w:t xml:space="preserve"> propulsion sources within </w:t>
      </w:r>
      <w:r w:rsidR="004D06D0" w:rsidRPr="00F91EC4">
        <w:rPr>
          <w:noProof/>
        </w:rPr>
        <w:t>a</w:t>
      </w:r>
      <w:r w:rsidR="006E1131" w:rsidRPr="00F91EC4">
        <w:rPr>
          <w:noProof/>
        </w:rPr>
        <w:t xml:space="preserve"> vehicle;</w:t>
      </w:r>
    </w:p>
    <w:p w14:paraId="53286278" w14:textId="7CC1CD0C" w:rsidR="004D06D0" w:rsidRPr="00F91EC4" w:rsidRDefault="00DD0F7B" w:rsidP="00DD0F7B">
      <w:pPr>
        <w:pStyle w:val="Point0"/>
        <w:rPr>
          <w:noProof/>
        </w:rPr>
      </w:pPr>
      <w:r w:rsidRPr="00DD0F7B">
        <w:rPr>
          <w:noProof/>
        </w:rPr>
        <w:t>(25)</w:t>
      </w:r>
      <w:r w:rsidRPr="00DD0F7B">
        <w:rPr>
          <w:noProof/>
        </w:rPr>
        <w:tab/>
      </w:r>
      <w:r w:rsidR="00C9190F" w:rsidRPr="00F91EC4">
        <w:rPr>
          <w:noProof/>
        </w:rPr>
        <w:t>‘</w:t>
      </w:r>
      <w:r w:rsidR="004D06D0" w:rsidRPr="00F91EC4">
        <w:rPr>
          <w:noProof/>
        </w:rPr>
        <w:t>fuel consumption</w:t>
      </w:r>
      <w:r w:rsidR="00C9190F" w:rsidRPr="00F91EC4">
        <w:rPr>
          <w:noProof/>
        </w:rPr>
        <w:t>’</w:t>
      </w:r>
      <w:r w:rsidR="004D06D0" w:rsidRPr="00F91EC4">
        <w:rPr>
          <w:noProof/>
        </w:rPr>
        <w:t xml:space="preserve"> means the consumption of fuel from each and all propulsion sources within a vehicle</w:t>
      </w:r>
      <w:r w:rsidR="00C9190F" w:rsidRPr="00F91EC4">
        <w:rPr>
          <w:noProof/>
        </w:rPr>
        <w:t>;</w:t>
      </w:r>
    </w:p>
    <w:p w14:paraId="4F568A1B" w14:textId="0672CA26" w:rsidR="008B3DCE" w:rsidRPr="00F91EC4" w:rsidRDefault="00DD0F7B" w:rsidP="00DD0F7B">
      <w:pPr>
        <w:pStyle w:val="Point0"/>
        <w:rPr>
          <w:noProof/>
          <w:shd w:val="clear" w:color="auto" w:fill="FFFFFF"/>
        </w:rPr>
      </w:pPr>
      <w:r w:rsidRPr="00DD0F7B">
        <w:rPr>
          <w:noProof/>
        </w:rPr>
        <w:t>(26)</w:t>
      </w:r>
      <w:r w:rsidRPr="00DD0F7B">
        <w:rPr>
          <w:noProof/>
        </w:rPr>
        <w:tab/>
      </w:r>
      <w:r w:rsidR="008B3DCE" w:rsidRPr="00F91EC4">
        <w:rPr>
          <w:noProof/>
        </w:rPr>
        <w:t>‘</w:t>
      </w:r>
      <w:r w:rsidR="002A104D" w:rsidRPr="00F91EC4">
        <w:rPr>
          <w:noProof/>
        </w:rPr>
        <w:t>e</w:t>
      </w:r>
      <w:r w:rsidR="008B3DCE" w:rsidRPr="00F91EC4">
        <w:rPr>
          <w:noProof/>
        </w:rPr>
        <w:t xml:space="preserve">vaporative emissions’ means the hydrocarbon </w:t>
      </w:r>
      <w:r w:rsidR="008B3DCE" w:rsidRPr="00515ACB">
        <w:rPr>
          <w:noProof/>
        </w:rPr>
        <w:t>vapours</w:t>
      </w:r>
      <w:r w:rsidR="008B3DCE" w:rsidRPr="00F91EC4">
        <w:rPr>
          <w:noProof/>
        </w:rPr>
        <w:t xml:space="preserve"> emitted from the fuel system of a vehicle </w:t>
      </w:r>
      <w:r w:rsidR="00A662E0" w:rsidRPr="00F91EC4">
        <w:rPr>
          <w:noProof/>
        </w:rPr>
        <w:t>excluding</w:t>
      </w:r>
      <w:r w:rsidR="008B3DCE" w:rsidRPr="00F91EC4">
        <w:rPr>
          <w:noProof/>
        </w:rPr>
        <w:t xml:space="preserve"> those from </w:t>
      </w:r>
      <w:r w:rsidR="00A662E0" w:rsidRPr="00F91EC4">
        <w:rPr>
          <w:noProof/>
        </w:rPr>
        <w:t xml:space="preserve">exhaust </w:t>
      </w:r>
      <w:r w:rsidR="008B3DCE" w:rsidRPr="00F91EC4">
        <w:rPr>
          <w:noProof/>
        </w:rPr>
        <w:t>emissions;</w:t>
      </w:r>
    </w:p>
    <w:p w14:paraId="45FD18F5" w14:textId="54095E48" w:rsidR="00AD4143" w:rsidRPr="00F91EC4" w:rsidRDefault="00DD0F7B" w:rsidP="00DD0F7B">
      <w:pPr>
        <w:pStyle w:val="Point0"/>
        <w:rPr>
          <w:noProof/>
          <w:shd w:val="clear" w:color="auto" w:fill="FFFFFF"/>
        </w:rPr>
      </w:pPr>
      <w:r w:rsidRPr="00DD0F7B">
        <w:rPr>
          <w:noProof/>
        </w:rPr>
        <w:t>(27)</w:t>
      </w:r>
      <w:r w:rsidRPr="00DD0F7B">
        <w:rPr>
          <w:noProof/>
        </w:rPr>
        <w:tab/>
      </w:r>
      <w:r w:rsidR="00AD4143" w:rsidRPr="00F91EC4">
        <w:rPr>
          <w:noProof/>
          <w:shd w:val="clear" w:color="auto" w:fill="FFFFFF"/>
        </w:rPr>
        <w:t>‘</w:t>
      </w:r>
      <w:r w:rsidR="002A104D" w:rsidRPr="00F91EC4">
        <w:rPr>
          <w:noProof/>
          <w:shd w:val="clear" w:color="auto" w:fill="FFFFFF"/>
        </w:rPr>
        <w:t>c</w:t>
      </w:r>
      <w:r w:rsidR="00AD4143" w:rsidRPr="00F91EC4">
        <w:rPr>
          <w:noProof/>
          <w:shd w:val="clear" w:color="auto" w:fill="FFFFFF"/>
        </w:rPr>
        <w:t>rankcase</w:t>
      </w:r>
      <w:r w:rsidR="00046CCD" w:rsidRPr="00F91EC4">
        <w:rPr>
          <w:noProof/>
          <w:shd w:val="clear" w:color="auto" w:fill="FFFFFF"/>
        </w:rPr>
        <w:t xml:space="preserve"> emissions</w:t>
      </w:r>
      <w:r w:rsidR="00AD4143" w:rsidRPr="00F91EC4">
        <w:rPr>
          <w:noProof/>
          <w:shd w:val="clear" w:color="auto" w:fill="FFFFFF"/>
        </w:rPr>
        <w:t xml:space="preserve">’ </w:t>
      </w:r>
      <w:r w:rsidR="00046CCD" w:rsidRPr="00F91EC4">
        <w:rPr>
          <w:noProof/>
          <w:shd w:val="clear" w:color="auto" w:fill="FFFFFF"/>
        </w:rPr>
        <w:t xml:space="preserve">means the gaseous pollutants emitted from </w:t>
      </w:r>
      <w:r w:rsidR="00AD4143" w:rsidRPr="00F91EC4">
        <w:rPr>
          <w:noProof/>
          <w:shd w:val="clear" w:color="auto" w:fill="FFFFFF"/>
        </w:rPr>
        <w:t>the spaces in, or external to, an engine which are connected to the oil sump by internal or external ducts;</w:t>
      </w:r>
    </w:p>
    <w:p w14:paraId="19B33F1B" w14:textId="5180C4C3" w:rsidR="009616FF" w:rsidRPr="00F91EC4" w:rsidRDefault="00DD0F7B" w:rsidP="00DD0F7B">
      <w:pPr>
        <w:pStyle w:val="Point0"/>
        <w:rPr>
          <w:noProof/>
        </w:rPr>
      </w:pPr>
      <w:r w:rsidRPr="00DD0F7B">
        <w:rPr>
          <w:noProof/>
        </w:rPr>
        <w:t>(28)</w:t>
      </w:r>
      <w:r w:rsidRPr="00DD0F7B">
        <w:rPr>
          <w:noProof/>
        </w:rPr>
        <w:tab/>
      </w:r>
      <w:r w:rsidR="00046CCD" w:rsidRPr="00F91EC4">
        <w:rPr>
          <w:noProof/>
          <w:shd w:val="clear" w:color="auto" w:fill="FFFFFF"/>
        </w:rPr>
        <w:t>‘</w:t>
      </w:r>
      <w:r w:rsidR="002A104D" w:rsidRPr="00F91EC4">
        <w:rPr>
          <w:noProof/>
          <w:shd w:val="clear" w:color="auto" w:fill="FFFFFF"/>
        </w:rPr>
        <w:t>b</w:t>
      </w:r>
      <w:r w:rsidR="00046CCD" w:rsidRPr="00F91EC4">
        <w:rPr>
          <w:noProof/>
          <w:shd w:val="clear" w:color="auto" w:fill="FFFFFF"/>
        </w:rPr>
        <w:t>rake particle emissions’ means the particles emitted from the brake system of a vehicle</w:t>
      </w:r>
      <w:r w:rsidR="00453058" w:rsidRPr="00F91EC4">
        <w:rPr>
          <w:noProof/>
          <w:shd w:val="clear" w:color="auto" w:fill="FFFFFF"/>
        </w:rPr>
        <w:t>;</w:t>
      </w:r>
    </w:p>
    <w:p w14:paraId="0C88A8F5" w14:textId="69A09BAA" w:rsidR="007515CC" w:rsidRPr="00F91EC4" w:rsidRDefault="00DD0F7B" w:rsidP="00DD0F7B">
      <w:pPr>
        <w:pStyle w:val="Point0"/>
        <w:rPr>
          <w:noProof/>
        </w:rPr>
      </w:pPr>
      <w:r w:rsidRPr="00DD0F7B">
        <w:rPr>
          <w:noProof/>
        </w:rPr>
        <w:t>(29)</w:t>
      </w:r>
      <w:r w:rsidRPr="00DD0F7B">
        <w:rPr>
          <w:noProof/>
        </w:rPr>
        <w:tab/>
      </w:r>
      <w:r w:rsidR="007515CC" w:rsidRPr="00F91EC4">
        <w:rPr>
          <w:noProof/>
        </w:rPr>
        <w:t>‘tyre abrasion’ means the mass of material lost from the tyre</w:t>
      </w:r>
      <w:r w:rsidR="00A905C7" w:rsidRPr="00F91EC4">
        <w:rPr>
          <w:noProof/>
        </w:rPr>
        <w:t xml:space="preserve"> due to the abrasion process</w:t>
      </w:r>
      <w:r w:rsidR="007515CC" w:rsidRPr="00F91EC4">
        <w:rPr>
          <w:noProof/>
        </w:rPr>
        <w:t xml:space="preserve"> and emitted to the environment;</w:t>
      </w:r>
    </w:p>
    <w:p w14:paraId="71C670AE" w14:textId="7D95746E" w:rsidR="009616FF" w:rsidRPr="00F91EC4" w:rsidRDefault="00DD0F7B" w:rsidP="00DD0F7B">
      <w:pPr>
        <w:pStyle w:val="Point0"/>
        <w:rPr>
          <w:noProof/>
        </w:rPr>
      </w:pPr>
      <w:r w:rsidRPr="00DD0F7B">
        <w:rPr>
          <w:noProof/>
        </w:rPr>
        <w:t>(30)</w:t>
      </w:r>
      <w:r w:rsidRPr="00DD0F7B">
        <w:rPr>
          <w:noProof/>
        </w:rPr>
        <w:tab/>
      </w:r>
      <w:r w:rsidR="007515CC" w:rsidRPr="00F91EC4">
        <w:rPr>
          <w:noProof/>
          <w:shd w:val="clear" w:color="auto" w:fill="FFFFFF"/>
        </w:rPr>
        <w:t xml:space="preserve"> </w:t>
      </w:r>
      <w:r w:rsidR="00A265FB" w:rsidRPr="00F91EC4">
        <w:rPr>
          <w:noProof/>
          <w:shd w:val="clear" w:color="auto" w:fill="FFFFFF"/>
        </w:rPr>
        <w:t>‘</w:t>
      </w:r>
      <w:r w:rsidR="002A104D" w:rsidRPr="00F91EC4">
        <w:rPr>
          <w:noProof/>
          <w:shd w:val="clear" w:color="auto" w:fill="FFFFFF"/>
        </w:rPr>
        <w:t>n</w:t>
      </w:r>
      <w:r w:rsidR="00030AEA" w:rsidRPr="00F91EC4">
        <w:rPr>
          <w:noProof/>
        </w:rPr>
        <w:t>on-exhaust emission</w:t>
      </w:r>
      <w:r w:rsidR="00D07D29" w:rsidRPr="00F91EC4">
        <w:rPr>
          <w:noProof/>
        </w:rPr>
        <w:t>s</w:t>
      </w:r>
      <w:r w:rsidR="00C96D0A" w:rsidRPr="00F91EC4">
        <w:rPr>
          <w:noProof/>
        </w:rPr>
        <w:t>’</w:t>
      </w:r>
      <w:r w:rsidR="00030AEA" w:rsidRPr="00F91EC4">
        <w:rPr>
          <w:noProof/>
        </w:rPr>
        <w:t xml:space="preserve"> means </w:t>
      </w:r>
      <w:r w:rsidR="00D82088" w:rsidRPr="00F91EC4">
        <w:rPr>
          <w:noProof/>
        </w:rPr>
        <w:t xml:space="preserve">evaporative, </w:t>
      </w:r>
      <w:r w:rsidR="00D07D29" w:rsidRPr="00F91EC4">
        <w:rPr>
          <w:noProof/>
        </w:rPr>
        <w:t>tyre</w:t>
      </w:r>
      <w:r w:rsidR="00030AEA" w:rsidRPr="00F91EC4">
        <w:rPr>
          <w:noProof/>
        </w:rPr>
        <w:t xml:space="preserve"> </w:t>
      </w:r>
      <w:r w:rsidR="007515CC" w:rsidRPr="00F91EC4">
        <w:rPr>
          <w:noProof/>
        </w:rPr>
        <w:t xml:space="preserve">abrasion, </w:t>
      </w:r>
      <w:r w:rsidR="00030AEA" w:rsidRPr="00F91EC4">
        <w:rPr>
          <w:noProof/>
        </w:rPr>
        <w:t>and brake emissions</w:t>
      </w:r>
      <w:r w:rsidR="00453058" w:rsidRPr="00F91EC4">
        <w:rPr>
          <w:noProof/>
        </w:rPr>
        <w:t>;</w:t>
      </w:r>
    </w:p>
    <w:p w14:paraId="64DDAD75" w14:textId="79A65846" w:rsidR="00B75054" w:rsidRPr="00F91EC4" w:rsidRDefault="00DD0F7B" w:rsidP="00DD0F7B">
      <w:pPr>
        <w:pStyle w:val="Point0"/>
        <w:rPr>
          <w:noProof/>
        </w:rPr>
      </w:pPr>
      <w:r w:rsidRPr="00DD0F7B">
        <w:rPr>
          <w:noProof/>
        </w:rPr>
        <w:t>(31)</w:t>
      </w:r>
      <w:r w:rsidRPr="00DD0F7B">
        <w:rPr>
          <w:noProof/>
        </w:rPr>
        <w:tab/>
      </w:r>
      <w:r w:rsidR="00B75054" w:rsidRPr="00F91EC4">
        <w:rPr>
          <w:noProof/>
        </w:rPr>
        <w:t xml:space="preserve">‘pollutant emissions’ means exhaust </w:t>
      </w:r>
      <w:r w:rsidR="00ED12F4" w:rsidRPr="00F91EC4">
        <w:rPr>
          <w:noProof/>
        </w:rPr>
        <w:t xml:space="preserve">and non-exhaust </w:t>
      </w:r>
      <w:r w:rsidR="00B75054" w:rsidRPr="00F91EC4">
        <w:rPr>
          <w:noProof/>
        </w:rPr>
        <w:t xml:space="preserve">emissions </w:t>
      </w:r>
      <w:r w:rsidR="00881585" w:rsidRPr="00F91EC4">
        <w:rPr>
          <w:noProof/>
        </w:rPr>
        <w:t xml:space="preserve">other than </w:t>
      </w:r>
      <w:r w:rsidR="00B75054" w:rsidRPr="00F91EC4">
        <w:rPr>
          <w:noProof/>
        </w:rPr>
        <w:t>CO</w:t>
      </w:r>
      <w:r w:rsidR="00B75054" w:rsidRPr="00F91EC4">
        <w:rPr>
          <w:noProof/>
          <w:vertAlign w:val="subscript"/>
        </w:rPr>
        <w:t>2</w:t>
      </w:r>
      <w:r w:rsidR="00B75054" w:rsidRPr="00F91EC4">
        <w:rPr>
          <w:noProof/>
        </w:rPr>
        <w:t xml:space="preserve"> emissions</w:t>
      </w:r>
      <w:r w:rsidR="00453058" w:rsidRPr="00F91EC4">
        <w:rPr>
          <w:noProof/>
        </w:rPr>
        <w:t>;</w:t>
      </w:r>
    </w:p>
    <w:p w14:paraId="27545139" w14:textId="41B93801" w:rsidR="00AD4143" w:rsidRPr="00F91EC4" w:rsidRDefault="00DD0F7B" w:rsidP="00DD0F7B">
      <w:pPr>
        <w:pStyle w:val="Point0"/>
        <w:rPr>
          <w:noProof/>
          <w:shd w:val="clear" w:color="auto" w:fill="FFFFFF"/>
        </w:rPr>
      </w:pPr>
      <w:r w:rsidRPr="00DD0F7B">
        <w:rPr>
          <w:noProof/>
        </w:rPr>
        <w:t>(32)</w:t>
      </w:r>
      <w:r w:rsidRPr="00DD0F7B">
        <w:rPr>
          <w:noProof/>
        </w:rPr>
        <w:tab/>
      </w:r>
      <w:r w:rsidR="00AD4143" w:rsidRPr="00F91EC4">
        <w:rPr>
          <w:noProof/>
          <w:shd w:val="clear" w:color="auto" w:fill="FFFFFF"/>
        </w:rPr>
        <w:t xml:space="preserve">‘pollution </w:t>
      </w:r>
      <w:r w:rsidR="00AD4143" w:rsidRPr="00F91EC4">
        <w:rPr>
          <w:noProof/>
        </w:rPr>
        <w:t>control</w:t>
      </w:r>
      <w:r w:rsidR="00AD4143" w:rsidRPr="00F91EC4">
        <w:rPr>
          <w:noProof/>
          <w:shd w:val="clear" w:color="auto" w:fill="FFFFFF"/>
        </w:rPr>
        <w:t xml:space="preserve"> device’ means those </w:t>
      </w:r>
      <w:r w:rsidR="00AF6D35" w:rsidRPr="00F91EC4">
        <w:rPr>
          <w:noProof/>
          <w:shd w:val="clear" w:color="auto" w:fill="FFFFFF"/>
        </w:rPr>
        <w:t xml:space="preserve">devices </w:t>
      </w:r>
      <w:r w:rsidR="00AD4143" w:rsidRPr="00F91EC4">
        <w:rPr>
          <w:noProof/>
          <w:shd w:val="clear" w:color="auto" w:fill="FFFFFF"/>
        </w:rPr>
        <w:t xml:space="preserve">of a vehicle that control or limit </w:t>
      </w:r>
      <w:r w:rsidR="00516515" w:rsidRPr="00F91EC4">
        <w:rPr>
          <w:noProof/>
          <w:shd w:val="clear" w:color="auto" w:fill="FFFFFF"/>
        </w:rPr>
        <w:t xml:space="preserve">pollutant </w:t>
      </w:r>
      <w:r w:rsidR="00AD4143" w:rsidRPr="00F91EC4">
        <w:rPr>
          <w:noProof/>
          <w:shd w:val="clear" w:color="auto" w:fill="FFFFFF"/>
        </w:rPr>
        <w:t>emissions;</w:t>
      </w:r>
    </w:p>
    <w:p w14:paraId="68BCCAE0" w14:textId="4D2FE6E2" w:rsidR="009070DA" w:rsidRPr="00F91EC4" w:rsidRDefault="00DD0F7B" w:rsidP="00DD0F7B">
      <w:pPr>
        <w:pStyle w:val="Point0"/>
        <w:rPr>
          <w:noProof/>
        </w:rPr>
      </w:pPr>
      <w:r w:rsidRPr="00DD0F7B">
        <w:rPr>
          <w:noProof/>
        </w:rPr>
        <w:t>(33)</w:t>
      </w:r>
      <w:r w:rsidRPr="00DD0F7B">
        <w:rPr>
          <w:noProof/>
        </w:rPr>
        <w:tab/>
      </w:r>
      <w:r w:rsidR="009070DA" w:rsidRPr="00F91EC4">
        <w:rPr>
          <w:noProof/>
        </w:rPr>
        <w:t>‘</w:t>
      </w:r>
      <w:r w:rsidR="00516515" w:rsidRPr="00F91EC4">
        <w:rPr>
          <w:noProof/>
        </w:rPr>
        <w:t>pollution</w:t>
      </w:r>
      <w:r w:rsidR="009070DA" w:rsidRPr="00F91EC4">
        <w:rPr>
          <w:noProof/>
        </w:rPr>
        <w:t xml:space="preserve"> control systems’ means the pollution control devices installed in a vehicle, </w:t>
      </w:r>
      <w:r w:rsidR="00B954DA" w:rsidRPr="00F91EC4">
        <w:rPr>
          <w:noProof/>
        </w:rPr>
        <w:t>including</w:t>
      </w:r>
      <w:r w:rsidR="009070DA" w:rsidRPr="00F91EC4">
        <w:rPr>
          <w:noProof/>
        </w:rPr>
        <w:t xml:space="preserve"> all control units and software that govern their use;</w:t>
      </w:r>
    </w:p>
    <w:p w14:paraId="2DBFE50B" w14:textId="31DB82A6" w:rsidR="00516515" w:rsidRPr="00F91EC4" w:rsidRDefault="00DD0F7B" w:rsidP="00DD0F7B">
      <w:pPr>
        <w:pStyle w:val="Point0"/>
        <w:rPr>
          <w:noProof/>
          <w:shd w:val="clear" w:color="auto" w:fill="FFFFFF"/>
        </w:rPr>
      </w:pPr>
      <w:r w:rsidRPr="00DD0F7B">
        <w:rPr>
          <w:noProof/>
        </w:rPr>
        <w:t>(34)</w:t>
      </w:r>
      <w:r w:rsidRPr="00DD0F7B">
        <w:rPr>
          <w:noProof/>
        </w:rPr>
        <w:tab/>
      </w:r>
      <w:r w:rsidR="00516515" w:rsidRPr="00F91EC4">
        <w:rPr>
          <w:noProof/>
          <w:shd w:val="clear" w:color="auto" w:fill="FFFFFF"/>
        </w:rPr>
        <w:t>‘original pollution control systems</w:t>
      </w:r>
      <w:r w:rsidR="00516515" w:rsidRPr="00F91EC4">
        <w:rPr>
          <w:noProof/>
        </w:rPr>
        <w:t>’</w:t>
      </w:r>
      <w:r w:rsidR="00516515" w:rsidRPr="00F91EC4">
        <w:rPr>
          <w:noProof/>
          <w:shd w:val="clear" w:color="auto" w:fill="FFFFFF"/>
        </w:rPr>
        <w:t xml:space="preserve"> means a pollution control system or an assembly of such systems covered by the type-approval granted for the vehicle concerned;</w:t>
      </w:r>
    </w:p>
    <w:p w14:paraId="35C29F87" w14:textId="5F4D41A0" w:rsidR="00516515" w:rsidRPr="00F91EC4" w:rsidRDefault="00DD0F7B" w:rsidP="00DD0F7B">
      <w:pPr>
        <w:pStyle w:val="Point0"/>
        <w:rPr>
          <w:noProof/>
        </w:rPr>
      </w:pPr>
      <w:r w:rsidRPr="00DD0F7B">
        <w:rPr>
          <w:noProof/>
        </w:rPr>
        <w:t>(35)</w:t>
      </w:r>
      <w:r w:rsidRPr="00DD0F7B">
        <w:rPr>
          <w:noProof/>
        </w:rPr>
        <w:tab/>
      </w:r>
      <w:r w:rsidR="00516515" w:rsidRPr="00F91EC4">
        <w:rPr>
          <w:noProof/>
        </w:rPr>
        <w:t>‘replacement pollution control systems’ means a pollution control system or an assembly of such systems intended to replace an original pollution control system and which can be approved as a separate technical unit;</w:t>
      </w:r>
    </w:p>
    <w:p w14:paraId="066ED14B" w14:textId="316A8A6D" w:rsidR="000B5D19" w:rsidRPr="00F91EC4" w:rsidRDefault="00DD0F7B" w:rsidP="00DD0F7B">
      <w:pPr>
        <w:pStyle w:val="Point0"/>
        <w:rPr>
          <w:noProof/>
        </w:rPr>
      </w:pPr>
      <w:r w:rsidRPr="00DD0F7B">
        <w:rPr>
          <w:noProof/>
        </w:rPr>
        <w:t>(36)</w:t>
      </w:r>
      <w:r w:rsidRPr="00DD0F7B">
        <w:rPr>
          <w:noProof/>
        </w:rPr>
        <w:tab/>
      </w:r>
      <w:r w:rsidR="000B5D19" w:rsidRPr="00F91EC4">
        <w:rPr>
          <w:noProof/>
        </w:rPr>
        <w:t>‘adaptive control</w:t>
      </w:r>
      <w:r w:rsidR="0006548E" w:rsidRPr="00F91EC4">
        <w:rPr>
          <w:noProof/>
        </w:rPr>
        <w:t xml:space="preserve"> function</w:t>
      </w:r>
      <w:r w:rsidR="000B5D19" w:rsidRPr="00F91EC4">
        <w:rPr>
          <w:noProof/>
        </w:rPr>
        <w:t xml:space="preserve">’ means a system that </w:t>
      </w:r>
      <w:r w:rsidR="00A03911" w:rsidRPr="00F91EC4">
        <w:rPr>
          <w:noProof/>
        </w:rPr>
        <w:t xml:space="preserve">adjusts </w:t>
      </w:r>
      <w:r w:rsidR="00314897">
        <w:rPr>
          <w:noProof/>
        </w:rPr>
        <w:t xml:space="preserve">engine, pollution control systems or other </w:t>
      </w:r>
      <w:r w:rsidR="00A6387D">
        <w:rPr>
          <w:noProof/>
        </w:rPr>
        <w:t xml:space="preserve">vehicle parameters with the purpose to improve fuel or energy consumption and the effectiveness of the pollution control system </w:t>
      </w:r>
      <w:r w:rsidR="00314897">
        <w:rPr>
          <w:noProof/>
        </w:rPr>
        <w:t>based on the expected usage of the vehicle</w:t>
      </w:r>
      <w:r w:rsidR="00B954DA" w:rsidRPr="00F91EC4">
        <w:rPr>
          <w:noProof/>
        </w:rPr>
        <w:t>;</w:t>
      </w:r>
    </w:p>
    <w:p w14:paraId="645FD627" w14:textId="1C3B7E57" w:rsidR="00AD4143" w:rsidRPr="00F91EC4" w:rsidRDefault="00DD0F7B" w:rsidP="00DD0F7B">
      <w:pPr>
        <w:pStyle w:val="Point0"/>
        <w:rPr>
          <w:noProof/>
          <w:shd w:val="clear" w:color="auto" w:fill="FFFFFF"/>
        </w:rPr>
      </w:pPr>
      <w:r w:rsidRPr="00DD0F7B">
        <w:rPr>
          <w:noProof/>
        </w:rPr>
        <w:t>(37)</w:t>
      </w:r>
      <w:r w:rsidRPr="00DD0F7B">
        <w:rPr>
          <w:noProof/>
        </w:rPr>
        <w:tab/>
      </w:r>
      <w:r w:rsidR="00AD4143" w:rsidRPr="00F91EC4">
        <w:rPr>
          <w:noProof/>
          <w:shd w:val="clear" w:color="auto" w:fill="FFFFFF"/>
        </w:rPr>
        <w:t xml:space="preserve">‘on-board diagnostic system’ </w:t>
      </w:r>
      <w:r w:rsidR="00881585" w:rsidRPr="00F91EC4">
        <w:rPr>
          <w:noProof/>
          <w:shd w:val="clear" w:color="auto" w:fill="FFFFFF"/>
        </w:rPr>
        <w:t xml:space="preserve">or ‘OBD’ </w:t>
      </w:r>
      <w:r w:rsidR="00AD4143" w:rsidRPr="00F91EC4">
        <w:rPr>
          <w:noProof/>
          <w:shd w:val="clear" w:color="auto" w:fill="FFFFFF"/>
        </w:rPr>
        <w:t xml:space="preserve">means a system </w:t>
      </w:r>
      <w:r w:rsidR="00E91D71" w:rsidRPr="00F91EC4">
        <w:rPr>
          <w:noProof/>
          <w:shd w:val="clear" w:color="auto" w:fill="FFFFFF"/>
        </w:rPr>
        <w:t>that can generate vehicle on-board diagnostic (OBD) information, as defined in Article 3, point 49</w:t>
      </w:r>
      <w:r w:rsidR="001B50B3" w:rsidRPr="00F91EC4">
        <w:rPr>
          <w:noProof/>
          <w:shd w:val="clear" w:color="auto" w:fill="FFFFFF"/>
        </w:rPr>
        <w:t>,</w:t>
      </w:r>
      <w:r w:rsidR="00E91D71" w:rsidRPr="00F91EC4">
        <w:rPr>
          <w:noProof/>
          <w:shd w:val="clear" w:color="auto" w:fill="FFFFFF"/>
        </w:rPr>
        <w:t xml:space="preserve"> of Regulation (EU) 2018/858</w:t>
      </w:r>
      <w:r w:rsidR="00DC7F7C" w:rsidRPr="00F91EC4">
        <w:rPr>
          <w:noProof/>
          <w:shd w:val="clear" w:color="auto" w:fill="FFFFFF"/>
        </w:rPr>
        <w:t xml:space="preserve"> and is capable of </w:t>
      </w:r>
      <w:r w:rsidR="00AD4143" w:rsidRPr="00F91EC4">
        <w:rPr>
          <w:noProof/>
          <w:shd w:val="clear" w:color="auto" w:fill="FFFFFF"/>
        </w:rPr>
        <w:t xml:space="preserve">communicating that information </w:t>
      </w:r>
      <w:r w:rsidR="00D51DFC" w:rsidRPr="00F91EC4">
        <w:rPr>
          <w:noProof/>
          <w:shd w:val="clear" w:color="auto" w:fill="FFFFFF"/>
        </w:rPr>
        <w:t>via the OBD port and over the air</w:t>
      </w:r>
      <w:r w:rsidR="00AD4143" w:rsidRPr="00F91EC4">
        <w:rPr>
          <w:noProof/>
          <w:shd w:val="clear" w:color="auto" w:fill="FFFFFF"/>
        </w:rPr>
        <w:t>;</w:t>
      </w:r>
    </w:p>
    <w:p w14:paraId="4BA780F1" w14:textId="152DE1C8" w:rsidR="00B93946" w:rsidRPr="00F91EC4" w:rsidRDefault="00DD0F7B" w:rsidP="00DD0F7B">
      <w:pPr>
        <w:pStyle w:val="Point0"/>
        <w:rPr>
          <w:noProof/>
          <w:shd w:val="clear" w:color="auto" w:fill="FFFFFF"/>
        </w:rPr>
      </w:pPr>
      <w:r w:rsidRPr="00DD0F7B">
        <w:rPr>
          <w:noProof/>
        </w:rPr>
        <w:t>(38)</w:t>
      </w:r>
      <w:r w:rsidRPr="00DD0F7B">
        <w:rPr>
          <w:noProof/>
        </w:rPr>
        <w:tab/>
      </w:r>
      <w:r w:rsidR="00B93946" w:rsidRPr="00F91EC4">
        <w:rPr>
          <w:noProof/>
          <w:shd w:val="clear" w:color="auto" w:fill="FFFFFF"/>
        </w:rPr>
        <w:t xml:space="preserve">‘on-board monitoring system’ </w:t>
      </w:r>
      <w:r w:rsidR="00881585" w:rsidRPr="00F91EC4">
        <w:rPr>
          <w:noProof/>
          <w:shd w:val="clear" w:color="auto" w:fill="FFFFFF"/>
        </w:rPr>
        <w:t xml:space="preserve">or ‘OBM’ </w:t>
      </w:r>
      <w:r w:rsidR="00B93946" w:rsidRPr="00F91EC4">
        <w:rPr>
          <w:noProof/>
          <w:shd w:val="clear" w:color="auto" w:fill="FFFFFF"/>
        </w:rPr>
        <w:t xml:space="preserve">means a system on board a vehicle </w:t>
      </w:r>
      <w:r w:rsidR="00E91D71" w:rsidRPr="00F91EC4">
        <w:rPr>
          <w:noProof/>
          <w:shd w:val="clear" w:color="auto" w:fill="FFFFFF"/>
        </w:rPr>
        <w:t xml:space="preserve">that is </w:t>
      </w:r>
      <w:r w:rsidR="00881585" w:rsidRPr="00F91EC4">
        <w:rPr>
          <w:noProof/>
          <w:shd w:val="clear" w:color="auto" w:fill="FFFFFF"/>
        </w:rPr>
        <w:t>capable</w:t>
      </w:r>
      <w:r w:rsidR="00B93946" w:rsidRPr="00F91EC4">
        <w:rPr>
          <w:noProof/>
          <w:shd w:val="clear" w:color="auto" w:fill="FFFFFF"/>
        </w:rPr>
        <w:t xml:space="preserve"> of detecting </w:t>
      </w:r>
      <w:r w:rsidR="00881585" w:rsidRPr="00F91EC4">
        <w:rPr>
          <w:noProof/>
          <w:shd w:val="clear" w:color="auto" w:fill="FFFFFF"/>
        </w:rPr>
        <w:t xml:space="preserve">either </w:t>
      </w:r>
      <w:r w:rsidR="00B93946" w:rsidRPr="00F91EC4">
        <w:rPr>
          <w:noProof/>
          <w:shd w:val="clear" w:color="auto" w:fill="FFFFFF"/>
        </w:rPr>
        <w:t xml:space="preserve">emission exceedances </w:t>
      </w:r>
      <w:r w:rsidR="00881585" w:rsidRPr="00F91EC4">
        <w:rPr>
          <w:noProof/>
          <w:shd w:val="clear" w:color="auto" w:fill="FFFFFF"/>
        </w:rPr>
        <w:t xml:space="preserve">or </w:t>
      </w:r>
      <w:r w:rsidR="00B93946" w:rsidRPr="00F91EC4">
        <w:rPr>
          <w:noProof/>
          <w:shd w:val="clear" w:color="auto" w:fill="FFFFFF"/>
        </w:rPr>
        <w:t xml:space="preserve">when a vehicle is </w:t>
      </w:r>
      <w:r w:rsidR="00E91D71" w:rsidRPr="00F91EC4">
        <w:rPr>
          <w:noProof/>
          <w:shd w:val="clear" w:color="auto" w:fill="FFFFFF"/>
        </w:rPr>
        <w:t xml:space="preserve">in </w:t>
      </w:r>
      <w:r w:rsidR="00C4028F" w:rsidRPr="00F91EC4">
        <w:rPr>
          <w:noProof/>
          <w:shd w:val="clear" w:color="auto" w:fill="FFFFFF"/>
        </w:rPr>
        <w:t>zero emission mode</w:t>
      </w:r>
      <w:r w:rsidR="00B93946" w:rsidRPr="00F91EC4">
        <w:rPr>
          <w:noProof/>
          <w:shd w:val="clear" w:color="auto" w:fill="FFFFFF"/>
        </w:rPr>
        <w:t xml:space="preserve"> if applicable, </w:t>
      </w:r>
      <w:r w:rsidR="00C4028F" w:rsidRPr="00F91EC4">
        <w:rPr>
          <w:noProof/>
          <w:shd w:val="clear" w:color="auto" w:fill="FFFFFF"/>
        </w:rPr>
        <w:t>and</w:t>
      </w:r>
      <w:r w:rsidR="00F00E8D" w:rsidRPr="00F91EC4">
        <w:rPr>
          <w:noProof/>
          <w:shd w:val="clear" w:color="auto" w:fill="FFFFFF"/>
        </w:rPr>
        <w:t xml:space="preserve"> </w:t>
      </w:r>
      <w:r w:rsidR="00881585" w:rsidRPr="00F91EC4">
        <w:rPr>
          <w:noProof/>
          <w:shd w:val="clear" w:color="auto" w:fill="FFFFFF"/>
        </w:rPr>
        <w:t xml:space="preserve">capable </w:t>
      </w:r>
      <w:r w:rsidR="00B93946" w:rsidRPr="00F91EC4">
        <w:rPr>
          <w:noProof/>
          <w:shd w:val="clear" w:color="auto" w:fill="FFFFFF"/>
        </w:rPr>
        <w:t>of indicating the occurrence</w:t>
      </w:r>
      <w:r w:rsidR="00E91D71" w:rsidRPr="00F91EC4">
        <w:rPr>
          <w:noProof/>
          <w:shd w:val="clear" w:color="auto" w:fill="FFFFFF"/>
        </w:rPr>
        <w:t xml:space="preserve"> of such exceedances</w:t>
      </w:r>
      <w:r w:rsidR="00B93946" w:rsidRPr="00F91EC4">
        <w:rPr>
          <w:noProof/>
          <w:shd w:val="clear" w:color="auto" w:fill="FFFFFF"/>
        </w:rPr>
        <w:t xml:space="preserve"> by means of information stored in </w:t>
      </w:r>
      <w:r w:rsidR="00E91D71" w:rsidRPr="00F91EC4">
        <w:rPr>
          <w:noProof/>
          <w:shd w:val="clear" w:color="auto" w:fill="FFFFFF"/>
        </w:rPr>
        <w:t xml:space="preserve">the </w:t>
      </w:r>
      <w:r w:rsidR="00D63B00" w:rsidRPr="00F91EC4">
        <w:rPr>
          <w:noProof/>
          <w:shd w:val="clear" w:color="auto" w:fill="FFFFFF"/>
        </w:rPr>
        <w:t>vehicle</w:t>
      </w:r>
      <w:r w:rsidR="00B93946" w:rsidRPr="00F91EC4">
        <w:rPr>
          <w:noProof/>
          <w:shd w:val="clear" w:color="auto" w:fill="FFFFFF"/>
        </w:rPr>
        <w:t xml:space="preserve">, and </w:t>
      </w:r>
      <w:r w:rsidR="00E91D71" w:rsidRPr="00F91EC4">
        <w:rPr>
          <w:noProof/>
          <w:shd w:val="clear" w:color="auto" w:fill="FFFFFF"/>
        </w:rPr>
        <w:t xml:space="preserve">of </w:t>
      </w:r>
      <w:r w:rsidR="00B93946" w:rsidRPr="00F91EC4">
        <w:rPr>
          <w:noProof/>
          <w:shd w:val="clear" w:color="auto" w:fill="FFFFFF"/>
        </w:rPr>
        <w:t xml:space="preserve">communicating that information </w:t>
      </w:r>
      <w:r w:rsidR="00D51DFC" w:rsidRPr="00F91EC4">
        <w:rPr>
          <w:noProof/>
          <w:shd w:val="clear" w:color="auto" w:fill="FFFFFF"/>
        </w:rPr>
        <w:t>via the OBD port and over the air</w:t>
      </w:r>
      <w:r w:rsidR="00B93946" w:rsidRPr="00F91EC4">
        <w:rPr>
          <w:noProof/>
          <w:shd w:val="clear" w:color="auto" w:fill="FFFFFF"/>
        </w:rPr>
        <w:t>;</w:t>
      </w:r>
    </w:p>
    <w:p w14:paraId="740A712B" w14:textId="079FB6A1" w:rsidR="001417FF" w:rsidRPr="00F91EC4" w:rsidRDefault="00DD0F7B" w:rsidP="00DD0F7B">
      <w:pPr>
        <w:pStyle w:val="Point0"/>
        <w:rPr>
          <w:noProof/>
        </w:rPr>
      </w:pPr>
      <w:r w:rsidRPr="00DD0F7B">
        <w:rPr>
          <w:noProof/>
        </w:rPr>
        <w:t>(39)</w:t>
      </w:r>
      <w:r w:rsidRPr="00DD0F7B">
        <w:rPr>
          <w:noProof/>
        </w:rPr>
        <w:tab/>
      </w:r>
      <w:r w:rsidR="001417FF" w:rsidRPr="00F91EC4">
        <w:rPr>
          <w:noProof/>
          <w:shd w:val="clear" w:color="auto" w:fill="FFFFFF"/>
        </w:rPr>
        <w:t xml:space="preserve">‘on-board </w:t>
      </w:r>
      <w:r w:rsidR="001731D5" w:rsidRPr="00F91EC4">
        <w:rPr>
          <w:noProof/>
          <w:shd w:val="clear" w:color="auto" w:fill="FFFFFF"/>
        </w:rPr>
        <w:t xml:space="preserve">fuel </w:t>
      </w:r>
      <w:r w:rsidR="00546A7D">
        <w:rPr>
          <w:noProof/>
          <w:shd w:val="clear" w:color="auto" w:fill="FFFFFF"/>
        </w:rPr>
        <w:t>and</w:t>
      </w:r>
      <w:r w:rsidR="00546A7D" w:rsidRPr="00F91EC4">
        <w:rPr>
          <w:noProof/>
          <w:shd w:val="clear" w:color="auto" w:fill="FFFFFF"/>
        </w:rPr>
        <w:t xml:space="preserve"> </w:t>
      </w:r>
      <w:r w:rsidR="001731D5" w:rsidRPr="00F91EC4">
        <w:rPr>
          <w:noProof/>
          <w:shd w:val="clear" w:color="auto" w:fill="FFFFFF"/>
        </w:rPr>
        <w:t xml:space="preserve">energy consumption monitoring </w:t>
      </w:r>
      <w:r w:rsidR="001417FF" w:rsidRPr="00F91EC4">
        <w:rPr>
          <w:noProof/>
          <w:shd w:val="clear" w:color="auto" w:fill="FFFFFF"/>
        </w:rPr>
        <w:t>device</w:t>
      </w:r>
      <w:r w:rsidR="003B04E6" w:rsidRPr="00F91EC4">
        <w:rPr>
          <w:noProof/>
          <w:shd w:val="clear" w:color="auto" w:fill="FFFFFF"/>
        </w:rPr>
        <w:t>’</w:t>
      </w:r>
      <w:r w:rsidR="001417FF" w:rsidRPr="00F91EC4">
        <w:rPr>
          <w:noProof/>
          <w:shd w:val="clear" w:color="auto" w:fill="FFFFFF"/>
        </w:rPr>
        <w:t xml:space="preserve"> </w:t>
      </w:r>
      <w:r w:rsidR="003B04E6" w:rsidRPr="00F91EC4">
        <w:rPr>
          <w:noProof/>
          <w:shd w:val="clear" w:color="auto" w:fill="FFFFFF"/>
        </w:rPr>
        <w:t>or ‘</w:t>
      </w:r>
      <w:r w:rsidR="001417FF" w:rsidRPr="00F91EC4">
        <w:rPr>
          <w:noProof/>
          <w:shd w:val="clear" w:color="auto" w:fill="FFFFFF"/>
        </w:rPr>
        <w:t xml:space="preserve">OBFCM device’ </w:t>
      </w:r>
      <w:r w:rsidR="001417FF" w:rsidRPr="00F91EC4">
        <w:rPr>
          <w:noProof/>
        </w:rPr>
        <w:t>means any software or hardware</w:t>
      </w:r>
      <w:r w:rsidR="00E91D71" w:rsidRPr="00F91EC4">
        <w:rPr>
          <w:noProof/>
        </w:rPr>
        <w:t xml:space="preserve"> that</w:t>
      </w:r>
      <w:r w:rsidR="001417FF" w:rsidRPr="00F91EC4">
        <w:rPr>
          <w:noProof/>
        </w:rPr>
        <w:t xml:space="preserve"> senses and uses vehicle, engine, fuel or electric energy </w:t>
      </w:r>
      <w:r w:rsidR="00546A7D">
        <w:rPr>
          <w:noProof/>
        </w:rPr>
        <w:t xml:space="preserve">and payload/mass </w:t>
      </w:r>
      <w:r w:rsidR="001417FF" w:rsidRPr="00F91EC4">
        <w:rPr>
          <w:noProof/>
        </w:rPr>
        <w:t xml:space="preserve">parameters to determine, store in the vehicle </w:t>
      </w:r>
      <w:r w:rsidR="00D82088" w:rsidRPr="00F91EC4">
        <w:rPr>
          <w:noProof/>
        </w:rPr>
        <w:t xml:space="preserve">the </w:t>
      </w:r>
      <w:r w:rsidR="001417FF" w:rsidRPr="00F91EC4">
        <w:rPr>
          <w:noProof/>
        </w:rPr>
        <w:t xml:space="preserve">fuel </w:t>
      </w:r>
      <w:r w:rsidR="00546A7D">
        <w:rPr>
          <w:noProof/>
        </w:rPr>
        <w:t>and</w:t>
      </w:r>
      <w:r w:rsidR="00546A7D" w:rsidRPr="00F91EC4">
        <w:rPr>
          <w:noProof/>
        </w:rPr>
        <w:t xml:space="preserve"> </w:t>
      </w:r>
      <w:r w:rsidR="001417FF" w:rsidRPr="00F91EC4">
        <w:rPr>
          <w:noProof/>
        </w:rPr>
        <w:t xml:space="preserve">energy consumption data and other parameters relevant for determining the fuel or energy consumption </w:t>
      </w:r>
      <w:r w:rsidR="00546A7D">
        <w:rPr>
          <w:noProof/>
        </w:rPr>
        <w:t xml:space="preserve">and </w:t>
      </w:r>
      <w:r w:rsidR="00B1022A">
        <w:rPr>
          <w:noProof/>
        </w:rPr>
        <w:t xml:space="preserve">energy </w:t>
      </w:r>
      <w:r w:rsidR="00546A7D">
        <w:rPr>
          <w:noProof/>
        </w:rPr>
        <w:t xml:space="preserve">efficiency </w:t>
      </w:r>
      <w:r w:rsidR="00E91D71" w:rsidRPr="00F91EC4">
        <w:rPr>
          <w:noProof/>
        </w:rPr>
        <w:t>of the vehicle</w:t>
      </w:r>
      <w:r w:rsidR="001417FF" w:rsidRPr="00F91EC4">
        <w:rPr>
          <w:noProof/>
        </w:rPr>
        <w:t>;</w:t>
      </w:r>
    </w:p>
    <w:p w14:paraId="4FA473BC" w14:textId="6FF43B9C" w:rsidR="00D26C9D" w:rsidRPr="00F91EC4" w:rsidRDefault="00DD0F7B" w:rsidP="00DD0F7B">
      <w:pPr>
        <w:pStyle w:val="Point0"/>
        <w:rPr>
          <w:noProof/>
          <w:shd w:val="clear" w:color="auto" w:fill="FFFFFF"/>
        </w:rPr>
      </w:pPr>
      <w:r w:rsidRPr="00DD0F7B">
        <w:rPr>
          <w:noProof/>
        </w:rPr>
        <w:t>(40)</w:t>
      </w:r>
      <w:r w:rsidRPr="00DD0F7B">
        <w:rPr>
          <w:noProof/>
        </w:rPr>
        <w:tab/>
      </w:r>
      <w:r w:rsidR="001417FF" w:rsidRPr="00F91EC4" w:rsidDel="001417FF">
        <w:rPr>
          <w:noProof/>
          <w:shd w:val="clear" w:color="auto" w:fill="FFFFFF"/>
        </w:rPr>
        <w:t xml:space="preserve"> </w:t>
      </w:r>
      <w:r w:rsidR="00D26C9D" w:rsidRPr="00F91EC4">
        <w:rPr>
          <w:noProof/>
          <w:shd w:val="clear" w:color="auto" w:fill="FFFFFF"/>
        </w:rPr>
        <w:t xml:space="preserve">‘defeat device’ means any </w:t>
      </w:r>
      <w:r w:rsidR="00236F7A" w:rsidRPr="00F91EC4">
        <w:rPr>
          <w:noProof/>
          <w:shd w:val="clear" w:color="auto" w:fill="FFFFFF"/>
        </w:rPr>
        <w:t>software or hardware that</w:t>
      </w:r>
      <w:r w:rsidR="00D26C9D" w:rsidRPr="00F91EC4">
        <w:rPr>
          <w:noProof/>
          <w:shd w:val="clear" w:color="auto" w:fill="FFFFFF"/>
        </w:rPr>
        <w:t xml:space="preserve"> senses temperature, vehicle speed, engine speed , transmission gear, manifold vacuum or any other parameter </w:t>
      </w:r>
      <w:r w:rsidR="00174285" w:rsidRPr="00F91EC4">
        <w:rPr>
          <w:noProof/>
          <w:shd w:val="clear" w:color="auto" w:fill="FFFFFF"/>
        </w:rPr>
        <w:t>to</w:t>
      </w:r>
      <w:r w:rsidR="00D26C9D" w:rsidRPr="00F91EC4">
        <w:rPr>
          <w:noProof/>
          <w:shd w:val="clear" w:color="auto" w:fill="FFFFFF"/>
        </w:rPr>
        <w:t xml:space="preserve"> </w:t>
      </w:r>
      <w:r w:rsidR="00174285" w:rsidRPr="00F91EC4">
        <w:rPr>
          <w:noProof/>
          <w:shd w:val="clear" w:color="auto" w:fill="FFFFFF"/>
        </w:rPr>
        <w:t>activate</w:t>
      </w:r>
      <w:r w:rsidR="00D26C9D" w:rsidRPr="00F91EC4">
        <w:rPr>
          <w:noProof/>
          <w:shd w:val="clear" w:color="auto" w:fill="FFFFFF"/>
        </w:rPr>
        <w:t xml:space="preserve">, </w:t>
      </w:r>
      <w:r w:rsidR="00174285" w:rsidRPr="00F91EC4">
        <w:rPr>
          <w:noProof/>
          <w:shd w:val="clear" w:color="auto" w:fill="FFFFFF"/>
        </w:rPr>
        <w:t>modulate</w:t>
      </w:r>
      <w:r w:rsidR="00D26C9D" w:rsidRPr="00F91EC4">
        <w:rPr>
          <w:noProof/>
          <w:shd w:val="clear" w:color="auto" w:fill="FFFFFF"/>
        </w:rPr>
        <w:t xml:space="preserve">, delay or </w:t>
      </w:r>
      <w:r w:rsidR="00174285" w:rsidRPr="00F91EC4">
        <w:rPr>
          <w:noProof/>
          <w:shd w:val="clear" w:color="auto" w:fill="FFFFFF"/>
        </w:rPr>
        <w:t xml:space="preserve">deactivate </w:t>
      </w:r>
      <w:r w:rsidR="00D26C9D" w:rsidRPr="00F91EC4">
        <w:rPr>
          <w:noProof/>
          <w:shd w:val="clear" w:color="auto" w:fill="FFFFFF"/>
        </w:rPr>
        <w:t xml:space="preserve">the operation of any part of the </w:t>
      </w:r>
      <w:r w:rsidR="00502DB3" w:rsidRPr="00F91EC4">
        <w:rPr>
          <w:noProof/>
          <w:shd w:val="clear" w:color="auto" w:fill="FFFFFF"/>
        </w:rPr>
        <w:t xml:space="preserve">pollution </w:t>
      </w:r>
      <w:r w:rsidR="00D26C9D" w:rsidRPr="00F91EC4">
        <w:rPr>
          <w:noProof/>
          <w:shd w:val="clear" w:color="auto" w:fill="FFFFFF"/>
        </w:rPr>
        <w:t xml:space="preserve">control system, </w:t>
      </w:r>
      <w:r w:rsidR="00174285" w:rsidRPr="00F91EC4">
        <w:rPr>
          <w:noProof/>
          <w:shd w:val="clear" w:color="auto" w:fill="FFFFFF"/>
        </w:rPr>
        <w:t xml:space="preserve">with the purpose of </w:t>
      </w:r>
      <w:r w:rsidR="00D26C9D" w:rsidRPr="00F91EC4">
        <w:rPr>
          <w:noProof/>
          <w:shd w:val="clear" w:color="auto" w:fill="FFFFFF"/>
        </w:rPr>
        <w:t>reduc</w:t>
      </w:r>
      <w:r w:rsidR="00174285" w:rsidRPr="00F91EC4">
        <w:rPr>
          <w:noProof/>
          <w:shd w:val="clear" w:color="auto" w:fill="FFFFFF"/>
        </w:rPr>
        <w:t>ing</w:t>
      </w:r>
      <w:r w:rsidR="00D26C9D" w:rsidRPr="00F91EC4">
        <w:rPr>
          <w:noProof/>
          <w:shd w:val="clear" w:color="auto" w:fill="FFFFFF"/>
        </w:rPr>
        <w:t xml:space="preserve"> the effectiveness of the </w:t>
      </w:r>
      <w:r w:rsidR="00502DB3" w:rsidRPr="00F91EC4">
        <w:rPr>
          <w:noProof/>
          <w:shd w:val="clear" w:color="auto" w:fill="FFFFFF"/>
        </w:rPr>
        <w:t xml:space="preserve">pollution </w:t>
      </w:r>
      <w:r w:rsidR="00D26C9D" w:rsidRPr="00F91EC4">
        <w:rPr>
          <w:noProof/>
          <w:shd w:val="clear" w:color="auto" w:fill="FFFFFF"/>
        </w:rPr>
        <w:t xml:space="preserve">control system </w:t>
      </w:r>
      <w:r w:rsidR="00174285" w:rsidRPr="00F91EC4">
        <w:rPr>
          <w:noProof/>
          <w:shd w:val="clear" w:color="auto" w:fill="FFFFFF"/>
        </w:rPr>
        <w:t>when the vehicle is driven</w:t>
      </w:r>
      <w:r w:rsidR="00D26C9D" w:rsidRPr="00F91EC4">
        <w:rPr>
          <w:noProof/>
          <w:shd w:val="clear" w:color="auto" w:fill="FFFFFF"/>
        </w:rPr>
        <w:t>;</w:t>
      </w:r>
    </w:p>
    <w:p w14:paraId="72F8C989" w14:textId="5083EBA7" w:rsidR="00AD4143" w:rsidRPr="00F91EC4" w:rsidRDefault="00DD0F7B" w:rsidP="00DD0F7B">
      <w:pPr>
        <w:pStyle w:val="Point0"/>
        <w:rPr>
          <w:noProof/>
          <w:shd w:val="clear" w:color="auto" w:fill="FFFFFF"/>
        </w:rPr>
      </w:pPr>
      <w:r w:rsidRPr="00DD0F7B">
        <w:rPr>
          <w:noProof/>
        </w:rPr>
        <w:t>(41)</w:t>
      </w:r>
      <w:r w:rsidRPr="00DD0F7B">
        <w:rPr>
          <w:noProof/>
        </w:rPr>
        <w:tab/>
      </w:r>
      <w:r w:rsidR="00AD4143" w:rsidRPr="00F91EC4">
        <w:rPr>
          <w:noProof/>
          <w:shd w:val="clear" w:color="auto" w:fill="FFFFFF"/>
        </w:rPr>
        <w:t xml:space="preserve">‘defeat strategy’ means a </w:t>
      </w:r>
      <w:r w:rsidR="00056C7B" w:rsidRPr="00F91EC4">
        <w:rPr>
          <w:noProof/>
        </w:rPr>
        <w:t>strategy</w:t>
      </w:r>
      <w:r w:rsidR="00AD4143" w:rsidRPr="00F91EC4">
        <w:rPr>
          <w:noProof/>
          <w:shd w:val="clear" w:color="auto" w:fill="FFFFFF"/>
        </w:rPr>
        <w:t xml:space="preserve"> that reduces the effectiveness of the </w:t>
      </w:r>
      <w:r w:rsidR="00502DB3" w:rsidRPr="00F91EC4">
        <w:rPr>
          <w:noProof/>
          <w:shd w:val="clear" w:color="auto" w:fill="FFFFFF"/>
        </w:rPr>
        <w:t xml:space="preserve">pollution </w:t>
      </w:r>
      <w:r w:rsidR="00AD4143" w:rsidRPr="00F91EC4">
        <w:rPr>
          <w:noProof/>
          <w:shd w:val="clear" w:color="auto" w:fill="FFFFFF"/>
        </w:rPr>
        <w:t>controls under ambient or engine operating conditions encountered either during vehicle operation or outside the type-approval test procedures</w:t>
      </w:r>
      <w:r w:rsidR="00056C7B" w:rsidRPr="00F91EC4">
        <w:rPr>
          <w:noProof/>
        </w:rPr>
        <w:t xml:space="preserve"> or falsifies data related to sensors, </w:t>
      </w:r>
      <w:r w:rsidR="00C9190F" w:rsidRPr="00F91EC4">
        <w:rPr>
          <w:noProof/>
        </w:rPr>
        <w:t xml:space="preserve">fuel or </w:t>
      </w:r>
      <w:r w:rsidR="00056C7B" w:rsidRPr="00F91EC4">
        <w:rPr>
          <w:noProof/>
        </w:rPr>
        <w:t>energy consumption,</w:t>
      </w:r>
      <w:r w:rsidR="00DF054C" w:rsidRPr="00F91EC4">
        <w:rPr>
          <w:noProof/>
        </w:rPr>
        <w:t xml:space="preserve"> electric</w:t>
      </w:r>
      <w:r w:rsidR="00056C7B" w:rsidRPr="00F91EC4">
        <w:rPr>
          <w:noProof/>
        </w:rPr>
        <w:t xml:space="preserve"> range or </w:t>
      </w:r>
      <w:r w:rsidR="008C6AEE" w:rsidRPr="00F91EC4">
        <w:rPr>
          <w:noProof/>
        </w:rPr>
        <w:t xml:space="preserve">battery </w:t>
      </w:r>
      <w:r w:rsidR="00056C7B" w:rsidRPr="00F91EC4">
        <w:rPr>
          <w:noProof/>
        </w:rPr>
        <w:t>durability</w:t>
      </w:r>
      <w:r w:rsidR="00AD4143" w:rsidRPr="00F91EC4">
        <w:rPr>
          <w:noProof/>
          <w:shd w:val="clear" w:color="auto" w:fill="FFFFFF"/>
        </w:rPr>
        <w:t>;</w:t>
      </w:r>
    </w:p>
    <w:p w14:paraId="4D588F98" w14:textId="617B4145" w:rsidR="00306CD8" w:rsidRPr="00F91EC4" w:rsidRDefault="00DD0F7B" w:rsidP="00DD0F7B">
      <w:pPr>
        <w:pStyle w:val="Point0"/>
        <w:rPr>
          <w:noProof/>
        </w:rPr>
      </w:pPr>
      <w:r w:rsidRPr="00DD0F7B">
        <w:rPr>
          <w:noProof/>
        </w:rPr>
        <w:t>(42)</w:t>
      </w:r>
      <w:r w:rsidRPr="00DD0F7B">
        <w:rPr>
          <w:noProof/>
        </w:rPr>
        <w:tab/>
      </w:r>
      <w:r w:rsidR="00306CD8" w:rsidRPr="00F91EC4">
        <w:rPr>
          <w:noProof/>
        </w:rPr>
        <w:t>‘</w:t>
      </w:r>
      <w:r w:rsidR="00234BF8" w:rsidRPr="00F91EC4">
        <w:rPr>
          <w:noProof/>
        </w:rPr>
        <w:t>r</w:t>
      </w:r>
      <w:r w:rsidR="00306CD8" w:rsidRPr="00F91EC4">
        <w:rPr>
          <w:noProof/>
        </w:rPr>
        <w:t xml:space="preserve">eal </w:t>
      </w:r>
      <w:r w:rsidR="00234BF8" w:rsidRPr="00F91EC4">
        <w:rPr>
          <w:noProof/>
        </w:rPr>
        <w:t>driving emissions’ or ‘</w:t>
      </w:r>
      <w:r w:rsidR="00306CD8" w:rsidRPr="00F91EC4">
        <w:rPr>
          <w:noProof/>
        </w:rPr>
        <w:t xml:space="preserve">RDE’ means the emissions of a vehicle under normal </w:t>
      </w:r>
      <w:r w:rsidR="00234BF8" w:rsidRPr="00F91EC4">
        <w:rPr>
          <w:noProof/>
        </w:rPr>
        <w:t xml:space="preserve">driving conditions </w:t>
      </w:r>
      <w:r w:rsidR="00306CD8" w:rsidRPr="00F91EC4">
        <w:rPr>
          <w:noProof/>
        </w:rPr>
        <w:t xml:space="preserve">and extended conditions as </w:t>
      </w:r>
      <w:r w:rsidR="00234BF8" w:rsidRPr="00F91EC4">
        <w:rPr>
          <w:noProof/>
        </w:rPr>
        <w:t xml:space="preserve">specified </w:t>
      </w:r>
      <w:r w:rsidR="00306CD8" w:rsidRPr="00F91EC4">
        <w:rPr>
          <w:noProof/>
        </w:rPr>
        <w:t xml:space="preserve">in </w:t>
      </w:r>
      <w:r w:rsidR="00234BF8" w:rsidRPr="00F91EC4">
        <w:rPr>
          <w:noProof/>
        </w:rPr>
        <w:t xml:space="preserve">Tables </w:t>
      </w:r>
      <w:r w:rsidR="00174285" w:rsidRPr="00F91EC4">
        <w:rPr>
          <w:noProof/>
        </w:rPr>
        <w:t>1 and 2</w:t>
      </w:r>
      <w:r w:rsidR="006C4894" w:rsidRPr="00F91EC4">
        <w:rPr>
          <w:noProof/>
        </w:rPr>
        <w:t xml:space="preserve"> of Annex III</w:t>
      </w:r>
      <w:r w:rsidR="00306CD8" w:rsidRPr="00F91EC4">
        <w:rPr>
          <w:noProof/>
        </w:rPr>
        <w:t>;</w:t>
      </w:r>
    </w:p>
    <w:p w14:paraId="598999C0" w14:textId="49872AA1" w:rsidR="008C0E2E" w:rsidRPr="00F91EC4" w:rsidRDefault="00DD0F7B" w:rsidP="00DD0F7B">
      <w:pPr>
        <w:pStyle w:val="Point0"/>
        <w:rPr>
          <w:rFonts w:ascii="inherit" w:hAnsi="inherit"/>
          <w:noProof/>
        </w:rPr>
      </w:pPr>
      <w:r w:rsidRPr="00DD0F7B">
        <w:rPr>
          <w:noProof/>
        </w:rPr>
        <w:t>(43)</w:t>
      </w:r>
      <w:r w:rsidRPr="00DD0F7B">
        <w:rPr>
          <w:noProof/>
        </w:rPr>
        <w:tab/>
      </w:r>
      <w:r w:rsidR="008C0E2E" w:rsidRPr="00F91EC4">
        <w:rPr>
          <w:noProof/>
        </w:rPr>
        <w:t>‘odometer’ means an instrument indicating the total distance driven by the vehicle since its production;</w:t>
      </w:r>
    </w:p>
    <w:p w14:paraId="0EDC4B4C" w14:textId="78D975BF" w:rsidR="008B3DCE" w:rsidRPr="00F91EC4" w:rsidRDefault="00DD0F7B" w:rsidP="00DD0F7B">
      <w:pPr>
        <w:pStyle w:val="Point0"/>
        <w:rPr>
          <w:noProof/>
        </w:rPr>
      </w:pPr>
      <w:r w:rsidRPr="00DD0F7B">
        <w:rPr>
          <w:noProof/>
        </w:rPr>
        <w:t>(44)</w:t>
      </w:r>
      <w:r w:rsidRPr="00DD0F7B">
        <w:rPr>
          <w:noProof/>
        </w:rPr>
        <w:tab/>
      </w:r>
      <w:r w:rsidR="008B3DCE" w:rsidRPr="00F91EC4">
        <w:rPr>
          <w:noProof/>
        </w:rPr>
        <w:t xml:space="preserve">‘tampering’ means </w:t>
      </w:r>
      <w:r w:rsidR="00315A4F" w:rsidRPr="00F91EC4">
        <w:rPr>
          <w:noProof/>
        </w:rPr>
        <w:t xml:space="preserve">the </w:t>
      </w:r>
      <w:r w:rsidR="008B3DCE" w:rsidRPr="00F91EC4">
        <w:rPr>
          <w:noProof/>
        </w:rPr>
        <w:t xml:space="preserve">inactivation, </w:t>
      </w:r>
      <w:r w:rsidR="00315A4F" w:rsidRPr="00F91EC4">
        <w:rPr>
          <w:noProof/>
        </w:rPr>
        <w:t>or</w:t>
      </w:r>
      <w:r w:rsidR="007A5A1E" w:rsidRPr="00F91EC4">
        <w:rPr>
          <w:noProof/>
        </w:rPr>
        <w:t xml:space="preserve"> </w:t>
      </w:r>
      <w:r w:rsidR="008B3DCE" w:rsidRPr="00F91EC4">
        <w:rPr>
          <w:noProof/>
        </w:rPr>
        <w:t>modification</w:t>
      </w:r>
      <w:r w:rsidR="00A67520" w:rsidRPr="00F91EC4">
        <w:rPr>
          <w:noProof/>
        </w:rPr>
        <w:t xml:space="preserve"> by the </w:t>
      </w:r>
      <w:r w:rsidR="00A67520" w:rsidRPr="00F91EC4">
        <w:rPr>
          <w:noProof/>
          <w:color w:val="000000" w:themeColor="text1"/>
        </w:rPr>
        <w:t>economic operators or independent operators</w:t>
      </w:r>
      <w:r w:rsidR="007A5A1E" w:rsidRPr="00F91EC4">
        <w:rPr>
          <w:noProof/>
        </w:rPr>
        <w:t>,</w:t>
      </w:r>
      <w:r w:rsidR="008B3DCE" w:rsidRPr="00F91EC4">
        <w:rPr>
          <w:noProof/>
        </w:rPr>
        <w:t xml:space="preserve"> of the </w:t>
      </w:r>
      <w:r w:rsidR="00315A4F" w:rsidRPr="00F91EC4">
        <w:rPr>
          <w:noProof/>
        </w:rPr>
        <w:t xml:space="preserve">engine, </w:t>
      </w:r>
      <w:r w:rsidR="008B3DCE" w:rsidRPr="00F91EC4">
        <w:rPr>
          <w:noProof/>
        </w:rPr>
        <w:t xml:space="preserve">vehicle </w:t>
      </w:r>
      <w:r w:rsidR="00315A4F" w:rsidRPr="00F91EC4">
        <w:rPr>
          <w:noProof/>
        </w:rPr>
        <w:t xml:space="preserve">pollution </w:t>
      </w:r>
      <w:r w:rsidR="008B3DCE" w:rsidRPr="00F91EC4">
        <w:rPr>
          <w:noProof/>
        </w:rPr>
        <w:t xml:space="preserve">control </w:t>
      </w:r>
      <w:r w:rsidR="007074A6">
        <w:rPr>
          <w:noProof/>
        </w:rPr>
        <w:t xml:space="preserve">device and </w:t>
      </w:r>
      <w:r w:rsidR="00236F7A" w:rsidRPr="00F91EC4">
        <w:rPr>
          <w:noProof/>
        </w:rPr>
        <w:t>system,</w:t>
      </w:r>
      <w:r w:rsidR="008B3DCE" w:rsidRPr="00F91EC4">
        <w:rPr>
          <w:noProof/>
        </w:rPr>
        <w:t xml:space="preserve"> propulsion system</w:t>
      </w:r>
      <w:r w:rsidR="00236F7A" w:rsidRPr="00F91EC4">
        <w:rPr>
          <w:noProof/>
        </w:rPr>
        <w:t>,</w:t>
      </w:r>
      <w:r w:rsidR="00F00E8D" w:rsidRPr="00F91EC4">
        <w:rPr>
          <w:noProof/>
        </w:rPr>
        <w:t xml:space="preserve"> </w:t>
      </w:r>
      <w:r w:rsidR="00A2291B" w:rsidRPr="00F91EC4">
        <w:rPr>
          <w:noProof/>
        </w:rPr>
        <w:t xml:space="preserve">traction </w:t>
      </w:r>
      <w:r w:rsidR="00F00E8D" w:rsidRPr="00F91EC4">
        <w:rPr>
          <w:noProof/>
        </w:rPr>
        <w:t>battery,</w:t>
      </w:r>
      <w:r w:rsidR="00056C7B" w:rsidRPr="00F91EC4">
        <w:rPr>
          <w:noProof/>
        </w:rPr>
        <w:t xml:space="preserve"> odometer</w:t>
      </w:r>
      <w:r w:rsidR="00315A4F" w:rsidRPr="00F91EC4">
        <w:rPr>
          <w:noProof/>
        </w:rPr>
        <w:t>, OBFCM</w:t>
      </w:r>
      <w:r w:rsidR="00056C7B" w:rsidRPr="00F91EC4">
        <w:rPr>
          <w:noProof/>
        </w:rPr>
        <w:t xml:space="preserve"> or OBD/OBM</w:t>
      </w:r>
      <w:r w:rsidR="008B3DCE" w:rsidRPr="00F91EC4">
        <w:rPr>
          <w:noProof/>
        </w:rPr>
        <w:t>, including any software or other logical control elements of those systems</w:t>
      </w:r>
      <w:r w:rsidR="00311BAB" w:rsidRPr="00F91EC4">
        <w:rPr>
          <w:noProof/>
        </w:rPr>
        <w:t xml:space="preserve"> and </w:t>
      </w:r>
      <w:r w:rsidR="00236F7A" w:rsidRPr="00F91EC4">
        <w:rPr>
          <w:noProof/>
        </w:rPr>
        <w:t xml:space="preserve">their </w:t>
      </w:r>
      <w:r w:rsidR="00311BAB" w:rsidRPr="00F91EC4">
        <w:rPr>
          <w:noProof/>
        </w:rPr>
        <w:t>data</w:t>
      </w:r>
      <w:r w:rsidR="00453058" w:rsidRPr="00F91EC4">
        <w:rPr>
          <w:noProof/>
        </w:rPr>
        <w:t>;</w:t>
      </w:r>
    </w:p>
    <w:p w14:paraId="34414F58" w14:textId="5B020DD4" w:rsidR="00D7763F" w:rsidRPr="00F91EC4" w:rsidRDefault="00DD0F7B" w:rsidP="00DD0F7B">
      <w:pPr>
        <w:pStyle w:val="Point0"/>
        <w:rPr>
          <w:noProof/>
        </w:rPr>
      </w:pPr>
      <w:r w:rsidRPr="00DD0F7B">
        <w:rPr>
          <w:noProof/>
        </w:rPr>
        <w:t>(45)</w:t>
      </w:r>
      <w:r w:rsidRPr="00DD0F7B">
        <w:rPr>
          <w:noProof/>
        </w:rPr>
        <w:tab/>
      </w:r>
      <w:r w:rsidR="003A4121" w:rsidRPr="00F91EC4" w:rsidDel="003A4121">
        <w:rPr>
          <w:noProof/>
        </w:rPr>
        <w:t xml:space="preserve"> </w:t>
      </w:r>
      <w:r w:rsidR="00D7763F" w:rsidRPr="00F91EC4">
        <w:rPr>
          <w:noProof/>
        </w:rPr>
        <w:t>‘own production facility’ means a manufacturing or assembly plant used by the manufacturer for the purpose of manufacturing or assembling new vehicles for that manufacturer, including, where relevant, vehicles which are intended for export;</w:t>
      </w:r>
    </w:p>
    <w:p w14:paraId="488DA74E" w14:textId="6323445A" w:rsidR="00B1022A" w:rsidRPr="00F91EC4" w:rsidRDefault="00DD0F7B" w:rsidP="00DD0F7B">
      <w:pPr>
        <w:pStyle w:val="Point0"/>
        <w:rPr>
          <w:noProof/>
        </w:rPr>
      </w:pPr>
      <w:r w:rsidRPr="00DD0F7B">
        <w:rPr>
          <w:noProof/>
        </w:rPr>
        <w:t>(46)</w:t>
      </w:r>
      <w:r w:rsidRPr="00DD0F7B">
        <w:rPr>
          <w:noProof/>
        </w:rPr>
        <w:tab/>
      </w:r>
      <w:r w:rsidR="00D7763F" w:rsidRPr="00F91EC4">
        <w:rPr>
          <w:noProof/>
        </w:rPr>
        <w:t>‘own design centre’ means a facility in which the whole vehicle is designed and developed, and which is under the control and use of the manufacturer;</w:t>
      </w:r>
    </w:p>
    <w:p w14:paraId="7D5827FC" w14:textId="719B0532" w:rsidR="008C0E2E" w:rsidRPr="00F91EC4" w:rsidRDefault="00DD0F7B" w:rsidP="00DD0F7B">
      <w:pPr>
        <w:pStyle w:val="Point0"/>
        <w:rPr>
          <w:noProof/>
        </w:rPr>
      </w:pPr>
      <w:r w:rsidRPr="00DD0F7B">
        <w:rPr>
          <w:noProof/>
        </w:rPr>
        <w:t>(47)</w:t>
      </w:r>
      <w:r w:rsidRPr="00DD0F7B">
        <w:rPr>
          <w:noProof/>
        </w:rPr>
        <w:tab/>
      </w:r>
      <w:r w:rsidR="008C0E2E" w:rsidRPr="00F91EC4">
        <w:rPr>
          <w:noProof/>
        </w:rPr>
        <w:t xml:space="preserve">‘small volume manufacturer’ means a manufacturer </w:t>
      </w:r>
      <w:r w:rsidR="00D16640" w:rsidRPr="00F91EC4">
        <w:rPr>
          <w:noProof/>
        </w:rPr>
        <w:t xml:space="preserve">of fewer than </w:t>
      </w:r>
      <w:r w:rsidR="00AA1A11" w:rsidRPr="00F91EC4">
        <w:rPr>
          <w:noProof/>
        </w:rPr>
        <w:t>10 000</w:t>
      </w:r>
      <w:r w:rsidR="00D16640" w:rsidRPr="00F91EC4">
        <w:rPr>
          <w:noProof/>
        </w:rPr>
        <w:t xml:space="preserve"> new </w:t>
      </w:r>
      <w:r w:rsidR="007E3C9A" w:rsidRPr="00F91EC4">
        <w:rPr>
          <w:noProof/>
          <w:color w:val="000000" w:themeColor="text1"/>
        </w:rPr>
        <w:t>motor vehicles of category M</w:t>
      </w:r>
      <w:r w:rsidR="007E3C9A" w:rsidRPr="00F91EC4">
        <w:rPr>
          <w:noProof/>
          <w:color w:val="000000" w:themeColor="text1"/>
          <w:vertAlign w:val="subscript"/>
        </w:rPr>
        <w:t>1</w:t>
      </w:r>
      <w:r w:rsidR="00D16640" w:rsidRPr="00F91EC4">
        <w:rPr>
          <w:noProof/>
        </w:rPr>
        <w:t xml:space="preserve"> or </w:t>
      </w:r>
      <w:r w:rsidR="00AA1A11" w:rsidRPr="00F91EC4">
        <w:rPr>
          <w:noProof/>
        </w:rPr>
        <w:t xml:space="preserve">22 000 </w:t>
      </w:r>
      <w:r w:rsidR="00D16640" w:rsidRPr="00F91EC4">
        <w:rPr>
          <w:noProof/>
        </w:rPr>
        <w:t xml:space="preserve">new </w:t>
      </w:r>
      <w:r w:rsidR="007E3C9A" w:rsidRPr="00F91EC4">
        <w:rPr>
          <w:noProof/>
          <w:color w:val="000000" w:themeColor="text1"/>
        </w:rPr>
        <w:t>motor vehicles of category N</w:t>
      </w:r>
      <w:r w:rsidR="007E3C9A" w:rsidRPr="00F91EC4">
        <w:rPr>
          <w:noProof/>
          <w:color w:val="000000" w:themeColor="text1"/>
          <w:vertAlign w:val="subscript"/>
        </w:rPr>
        <w:t>1</w:t>
      </w:r>
      <w:r w:rsidR="00D16640" w:rsidRPr="00F91EC4">
        <w:rPr>
          <w:noProof/>
        </w:rPr>
        <w:t xml:space="preserve"> registered in the Union per calendar year </w:t>
      </w:r>
      <w:r w:rsidR="008C0E2E" w:rsidRPr="00F91EC4">
        <w:rPr>
          <w:noProof/>
        </w:rPr>
        <w:t>and</w:t>
      </w:r>
      <w:r w:rsidR="007E3C9A" w:rsidRPr="00F91EC4">
        <w:rPr>
          <w:noProof/>
        </w:rPr>
        <w:t xml:space="preserve"> which</w:t>
      </w:r>
      <w:r w:rsidR="008C0E2E" w:rsidRPr="00F91EC4">
        <w:rPr>
          <w:noProof/>
        </w:rPr>
        <w:t>:</w:t>
      </w:r>
    </w:p>
    <w:p w14:paraId="3A02E7C8" w14:textId="49202793" w:rsidR="008C0E2E" w:rsidRPr="00F91EC4" w:rsidRDefault="00DD0F7B" w:rsidP="00DD0F7B">
      <w:pPr>
        <w:pStyle w:val="Point1"/>
        <w:rPr>
          <w:noProof/>
        </w:rPr>
      </w:pPr>
      <w:r w:rsidRPr="00DD0F7B">
        <w:rPr>
          <w:noProof/>
        </w:rPr>
        <w:t>(a)</w:t>
      </w:r>
      <w:r w:rsidRPr="00DD0F7B">
        <w:rPr>
          <w:noProof/>
        </w:rPr>
        <w:tab/>
      </w:r>
      <w:r w:rsidR="008C0E2E" w:rsidRPr="00F91EC4">
        <w:rPr>
          <w:noProof/>
        </w:rPr>
        <w:tab/>
        <w:t>is not part of a group of connected manufacturers; or</w:t>
      </w:r>
    </w:p>
    <w:p w14:paraId="1C82B99A" w14:textId="1845CEED" w:rsidR="008C0E2E" w:rsidRPr="00F91EC4" w:rsidRDefault="00DD0F7B" w:rsidP="00DD0F7B">
      <w:pPr>
        <w:pStyle w:val="Point1"/>
        <w:rPr>
          <w:noProof/>
        </w:rPr>
      </w:pPr>
      <w:r w:rsidRPr="00DD0F7B">
        <w:rPr>
          <w:noProof/>
        </w:rPr>
        <w:t>(b)</w:t>
      </w:r>
      <w:r w:rsidRPr="00DD0F7B">
        <w:rPr>
          <w:noProof/>
        </w:rPr>
        <w:tab/>
      </w:r>
      <w:r w:rsidR="008C0E2E" w:rsidRPr="00F91EC4">
        <w:rPr>
          <w:noProof/>
        </w:rPr>
        <w:tab/>
        <w:t xml:space="preserve">is part of a group of connected manufacturers </w:t>
      </w:r>
      <w:r w:rsidR="00D16640" w:rsidRPr="00F91EC4">
        <w:rPr>
          <w:noProof/>
        </w:rPr>
        <w:t xml:space="preserve">that is responsible in total for fewer than </w:t>
      </w:r>
      <w:r w:rsidR="00AA1A11" w:rsidRPr="00F91EC4">
        <w:rPr>
          <w:noProof/>
        </w:rPr>
        <w:t xml:space="preserve">10 000 </w:t>
      </w:r>
      <w:r w:rsidR="00D16640" w:rsidRPr="00F91EC4">
        <w:rPr>
          <w:noProof/>
        </w:rPr>
        <w:t xml:space="preserve">new </w:t>
      </w:r>
      <w:r w:rsidR="0021748C" w:rsidRPr="00F91EC4">
        <w:rPr>
          <w:noProof/>
        </w:rPr>
        <w:t>motor vehicles of category M</w:t>
      </w:r>
      <w:r w:rsidR="0021748C" w:rsidRPr="00F91EC4">
        <w:rPr>
          <w:noProof/>
          <w:vertAlign w:val="subscript"/>
        </w:rPr>
        <w:t>1</w:t>
      </w:r>
      <w:r w:rsidR="00D16640" w:rsidRPr="00F91EC4">
        <w:rPr>
          <w:noProof/>
        </w:rPr>
        <w:t xml:space="preserve"> or </w:t>
      </w:r>
      <w:r w:rsidR="00AA1A11" w:rsidRPr="00F91EC4">
        <w:rPr>
          <w:noProof/>
        </w:rPr>
        <w:t xml:space="preserve">22 000 </w:t>
      </w:r>
      <w:r w:rsidR="00D16640" w:rsidRPr="00F91EC4">
        <w:rPr>
          <w:noProof/>
        </w:rPr>
        <w:t xml:space="preserve">new </w:t>
      </w:r>
      <w:r w:rsidR="0021748C" w:rsidRPr="00F91EC4">
        <w:rPr>
          <w:noProof/>
        </w:rPr>
        <w:t>motor vehicles of category N</w:t>
      </w:r>
      <w:r w:rsidR="0021748C" w:rsidRPr="00F91EC4">
        <w:rPr>
          <w:noProof/>
          <w:vertAlign w:val="subscript"/>
        </w:rPr>
        <w:t>1</w:t>
      </w:r>
      <w:r w:rsidR="00D16640" w:rsidRPr="00F91EC4">
        <w:rPr>
          <w:noProof/>
        </w:rPr>
        <w:t xml:space="preserve"> registered in the Union per calendar year</w:t>
      </w:r>
      <w:r w:rsidR="008C0E2E" w:rsidRPr="00F91EC4">
        <w:rPr>
          <w:noProof/>
        </w:rPr>
        <w:t>; or</w:t>
      </w:r>
    </w:p>
    <w:p w14:paraId="5E170988" w14:textId="5C3FD7C7" w:rsidR="008C0E2E" w:rsidRPr="00F91EC4" w:rsidRDefault="00DD0F7B" w:rsidP="00DD0F7B">
      <w:pPr>
        <w:pStyle w:val="Point1"/>
        <w:rPr>
          <w:noProof/>
        </w:rPr>
      </w:pPr>
      <w:r w:rsidRPr="00DD0F7B">
        <w:rPr>
          <w:noProof/>
        </w:rPr>
        <w:t>(c)</w:t>
      </w:r>
      <w:r w:rsidRPr="00DD0F7B">
        <w:rPr>
          <w:noProof/>
        </w:rPr>
        <w:tab/>
      </w:r>
      <w:r w:rsidR="008C0E2E" w:rsidRPr="00F91EC4">
        <w:rPr>
          <w:noProof/>
        </w:rPr>
        <w:tab/>
        <w:t>is part of a group of connected manufacturers but operates its own production facilities and own design centre;</w:t>
      </w:r>
    </w:p>
    <w:p w14:paraId="34D59646" w14:textId="4D65FA4A" w:rsidR="008C0E2E" w:rsidRPr="00F91EC4" w:rsidRDefault="00DD0F7B" w:rsidP="00DD0F7B">
      <w:pPr>
        <w:pStyle w:val="Point0"/>
        <w:rPr>
          <w:noProof/>
        </w:rPr>
      </w:pPr>
      <w:r w:rsidRPr="00DD0F7B">
        <w:rPr>
          <w:noProof/>
        </w:rPr>
        <w:t>(48)</w:t>
      </w:r>
      <w:r w:rsidRPr="00DD0F7B">
        <w:rPr>
          <w:noProof/>
        </w:rPr>
        <w:tab/>
      </w:r>
      <w:r w:rsidR="008C0E2E" w:rsidRPr="00F91EC4">
        <w:rPr>
          <w:noProof/>
        </w:rPr>
        <w:t>‘ultra-small-volume manufacturer’ means a small volume manufacturer</w:t>
      </w:r>
      <w:r w:rsidR="00D7763F" w:rsidRPr="00F91EC4">
        <w:rPr>
          <w:noProof/>
        </w:rPr>
        <w:t xml:space="preserve"> </w:t>
      </w:r>
      <w:r w:rsidR="00A557F2" w:rsidRPr="00F91EC4">
        <w:rPr>
          <w:noProof/>
        </w:rPr>
        <w:t xml:space="preserve">that produces </w:t>
      </w:r>
      <w:r w:rsidR="00D16640" w:rsidRPr="00F91EC4">
        <w:rPr>
          <w:noProof/>
        </w:rPr>
        <w:t xml:space="preserve">fewer than </w:t>
      </w:r>
      <w:r w:rsidR="00AA1A11" w:rsidRPr="00F91EC4">
        <w:rPr>
          <w:noProof/>
        </w:rPr>
        <w:t>1 000</w:t>
      </w:r>
      <w:r w:rsidR="008516B0" w:rsidRPr="00F91EC4">
        <w:rPr>
          <w:noProof/>
        </w:rPr>
        <w:t xml:space="preserve"> </w:t>
      </w:r>
      <w:r w:rsidR="00D16640" w:rsidRPr="00F91EC4">
        <w:rPr>
          <w:noProof/>
        </w:rPr>
        <w:t xml:space="preserve">new </w:t>
      </w:r>
      <w:r w:rsidR="0021748C" w:rsidRPr="00F91EC4">
        <w:rPr>
          <w:noProof/>
          <w:color w:val="000000" w:themeColor="text1"/>
        </w:rPr>
        <w:t>motor vehicles of category M</w:t>
      </w:r>
      <w:r w:rsidR="0021748C" w:rsidRPr="00F91EC4">
        <w:rPr>
          <w:noProof/>
          <w:color w:val="000000" w:themeColor="text1"/>
          <w:vertAlign w:val="subscript"/>
        </w:rPr>
        <w:t>1</w:t>
      </w:r>
      <w:r w:rsidR="00D16640" w:rsidRPr="00F91EC4">
        <w:rPr>
          <w:noProof/>
        </w:rPr>
        <w:t xml:space="preserve"> or fewer than </w:t>
      </w:r>
      <w:r w:rsidR="00AA1A11" w:rsidRPr="00F91EC4">
        <w:rPr>
          <w:noProof/>
        </w:rPr>
        <w:t>1 000</w:t>
      </w:r>
      <w:r w:rsidR="008516B0" w:rsidRPr="00F91EC4">
        <w:rPr>
          <w:noProof/>
        </w:rPr>
        <w:t xml:space="preserve"> </w:t>
      </w:r>
      <w:r w:rsidR="00D16640" w:rsidRPr="00F91EC4">
        <w:rPr>
          <w:noProof/>
        </w:rPr>
        <w:t xml:space="preserve">new </w:t>
      </w:r>
      <w:r w:rsidR="0021748C" w:rsidRPr="00F91EC4">
        <w:rPr>
          <w:noProof/>
          <w:color w:val="000000" w:themeColor="text1"/>
        </w:rPr>
        <w:t>motor vehicles of category N</w:t>
      </w:r>
      <w:r w:rsidR="0021748C" w:rsidRPr="00F91EC4">
        <w:rPr>
          <w:noProof/>
          <w:color w:val="000000" w:themeColor="text1"/>
          <w:vertAlign w:val="subscript"/>
        </w:rPr>
        <w:t>1</w:t>
      </w:r>
      <w:r w:rsidR="00D16640" w:rsidRPr="00F91EC4">
        <w:rPr>
          <w:noProof/>
        </w:rPr>
        <w:t xml:space="preserve"> registered in the Union in the previous calendar year</w:t>
      </w:r>
      <w:r w:rsidR="008C0E2E" w:rsidRPr="00F91EC4">
        <w:rPr>
          <w:noProof/>
        </w:rPr>
        <w:t>;</w:t>
      </w:r>
    </w:p>
    <w:p w14:paraId="00F2DC8A" w14:textId="00476122" w:rsidR="00306CD8" w:rsidRPr="00F91EC4" w:rsidRDefault="00DD0F7B" w:rsidP="00DD0F7B">
      <w:pPr>
        <w:pStyle w:val="Point0"/>
        <w:rPr>
          <w:noProof/>
        </w:rPr>
      </w:pPr>
      <w:r w:rsidRPr="00DD0F7B">
        <w:rPr>
          <w:noProof/>
        </w:rPr>
        <w:t>(49)</w:t>
      </w:r>
      <w:r w:rsidRPr="00DD0F7B">
        <w:rPr>
          <w:noProof/>
        </w:rPr>
        <w:tab/>
      </w:r>
      <w:r w:rsidR="004D06D0" w:rsidRPr="00F91EC4">
        <w:rPr>
          <w:noProof/>
        </w:rPr>
        <w:t xml:space="preserve"> </w:t>
      </w:r>
      <w:r w:rsidR="00306CD8" w:rsidRPr="00F91EC4">
        <w:rPr>
          <w:noProof/>
        </w:rPr>
        <w:t xml:space="preserve">‘pure </w:t>
      </w:r>
      <w:r w:rsidR="00546A7D">
        <w:rPr>
          <w:noProof/>
        </w:rPr>
        <w:t>internal combustion engine</w:t>
      </w:r>
      <w:r w:rsidR="00546A7D" w:rsidRPr="00F91EC4">
        <w:rPr>
          <w:noProof/>
        </w:rPr>
        <w:t xml:space="preserve"> </w:t>
      </w:r>
      <w:r w:rsidR="00306CD8" w:rsidRPr="00F91EC4">
        <w:rPr>
          <w:noProof/>
        </w:rPr>
        <w:t xml:space="preserve">vehicle’ </w:t>
      </w:r>
      <w:r w:rsidR="00546A7D">
        <w:rPr>
          <w:noProof/>
        </w:rPr>
        <w:t xml:space="preserve">or </w:t>
      </w:r>
      <w:r w:rsidR="00546A7D" w:rsidRPr="00F91EC4">
        <w:rPr>
          <w:noProof/>
        </w:rPr>
        <w:t>‘</w:t>
      </w:r>
      <w:r w:rsidR="00546A7D">
        <w:rPr>
          <w:noProof/>
        </w:rPr>
        <w:t>ICEV</w:t>
      </w:r>
      <w:r w:rsidR="00546A7D" w:rsidRPr="00F91EC4">
        <w:rPr>
          <w:noProof/>
        </w:rPr>
        <w:t>’</w:t>
      </w:r>
      <w:r w:rsidR="00546A7D">
        <w:rPr>
          <w:noProof/>
        </w:rPr>
        <w:t xml:space="preserve"> </w:t>
      </w:r>
      <w:r w:rsidR="00306CD8" w:rsidRPr="00F91EC4">
        <w:rPr>
          <w:noProof/>
        </w:rPr>
        <w:t>means a vehicle where all of the propulsion energy converters are internal combustion engines</w:t>
      </w:r>
      <w:r w:rsidR="007074A6">
        <w:rPr>
          <w:noProof/>
        </w:rPr>
        <w:t>, including hydrogen powered ones</w:t>
      </w:r>
      <w:r w:rsidR="00306CD8" w:rsidRPr="00F91EC4">
        <w:rPr>
          <w:noProof/>
        </w:rPr>
        <w:t>;</w:t>
      </w:r>
    </w:p>
    <w:p w14:paraId="00035D33" w14:textId="20EB5C79" w:rsidR="00306CD8" w:rsidRPr="00F91EC4" w:rsidRDefault="00DD0F7B" w:rsidP="00DD0F7B">
      <w:pPr>
        <w:pStyle w:val="Point0"/>
        <w:rPr>
          <w:noProof/>
        </w:rPr>
      </w:pPr>
      <w:r w:rsidRPr="00DD0F7B">
        <w:rPr>
          <w:noProof/>
        </w:rPr>
        <w:t>(50)</w:t>
      </w:r>
      <w:r w:rsidRPr="00DD0F7B">
        <w:rPr>
          <w:noProof/>
        </w:rPr>
        <w:tab/>
      </w:r>
      <w:r w:rsidR="00306CD8" w:rsidRPr="00F91EC4">
        <w:rPr>
          <w:noProof/>
        </w:rPr>
        <w:t xml:space="preserve"> ‘</w:t>
      </w:r>
      <w:r w:rsidR="008742BB" w:rsidRPr="00F91EC4">
        <w:rPr>
          <w:noProof/>
        </w:rPr>
        <w:t>p</w:t>
      </w:r>
      <w:r w:rsidR="00306CD8" w:rsidRPr="00F91EC4">
        <w:rPr>
          <w:noProof/>
        </w:rPr>
        <w:t xml:space="preserve">ure </w:t>
      </w:r>
      <w:r w:rsidR="008742BB" w:rsidRPr="00F91EC4">
        <w:rPr>
          <w:noProof/>
        </w:rPr>
        <w:t>e</w:t>
      </w:r>
      <w:r w:rsidR="002A104D" w:rsidRPr="00F91EC4">
        <w:rPr>
          <w:noProof/>
        </w:rPr>
        <w:t xml:space="preserve">lectric </w:t>
      </w:r>
      <w:r w:rsidR="008742BB" w:rsidRPr="00F91EC4">
        <w:rPr>
          <w:noProof/>
        </w:rPr>
        <w:t>v</w:t>
      </w:r>
      <w:r w:rsidR="002A104D" w:rsidRPr="00F91EC4">
        <w:rPr>
          <w:noProof/>
        </w:rPr>
        <w:t xml:space="preserve">ehicle’ </w:t>
      </w:r>
      <w:r w:rsidR="008742BB" w:rsidRPr="00F91EC4">
        <w:rPr>
          <w:noProof/>
        </w:rPr>
        <w:t xml:space="preserve">or </w:t>
      </w:r>
      <w:r w:rsidR="00D7763F" w:rsidRPr="00F91EC4">
        <w:rPr>
          <w:noProof/>
        </w:rPr>
        <w:t>‘</w:t>
      </w:r>
      <w:r w:rsidR="00306CD8" w:rsidRPr="00F91EC4">
        <w:rPr>
          <w:noProof/>
        </w:rPr>
        <w:t>PEV</w:t>
      </w:r>
      <w:r w:rsidR="00D7763F" w:rsidRPr="00F91EC4">
        <w:rPr>
          <w:noProof/>
        </w:rPr>
        <w:t>’</w:t>
      </w:r>
      <w:r w:rsidR="00306CD8" w:rsidRPr="00F91EC4">
        <w:rPr>
          <w:noProof/>
        </w:rPr>
        <w:t xml:space="preserve"> means a vehicle equipped with a powertrain containing exclusively electric machines as propulsion energy converters and exclusively rechargeable electric energy storage systems as propulsion energy storage systems;</w:t>
      </w:r>
    </w:p>
    <w:p w14:paraId="1C1B1073" w14:textId="4A61B1B5" w:rsidR="00306CD8" w:rsidRPr="00F91EC4" w:rsidRDefault="00DD0F7B" w:rsidP="00DD0F7B">
      <w:pPr>
        <w:pStyle w:val="Point0"/>
        <w:rPr>
          <w:noProof/>
        </w:rPr>
      </w:pPr>
      <w:r w:rsidRPr="00DD0F7B">
        <w:rPr>
          <w:noProof/>
        </w:rPr>
        <w:t>(51)</w:t>
      </w:r>
      <w:r w:rsidRPr="00DD0F7B">
        <w:rPr>
          <w:noProof/>
        </w:rPr>
        <w:tab/>
      </w:r>
      <w:r w:rsidR="00306CD8" w:rsidRPr="00F91EC4">
        <w:rPr>
          <w:noProof/>
        </w:rPr>
        <w:t xml:space="preserve"> ‘</w:t>
      </w:r>
      <w:r w:rsidR="002A104D" w:rsidRPr="00F91EC4">
        <w:rPr>
          <w:noProof/>
        </w:rPr>
        <w:t xml:space="preserve">fuel </w:t>
      </w:r>
      <w:r w:rsidR="00306CD8" w:rsidRPr="00F91EC4">
        <w:rPr>
          <w:noProof/>
        </w:rPr>
        <w:t>cell’ means an energy converter transforming chemical energy (input) into electrical energy (output) or vice versa;</w:t>
      </w:r>
    </w:p>
    <w:p w14:paraId="5552BD1D" w14:textId="535DA3CC" w:rsidR="008C0E2E" w:rsidRPr="00F91EC4" w:rsidRDefault="00DD0F7B" w:rsidP="00DD0F7B">
      <w:pPr>
        <w:pStyle w:val="Point0"/>
        <w:rPr>
          <w:noProof/>
        </w:rPr>
      </w:pPr>
      <w:r w:rsidRPr="00DD0F7B">
        <w:rPr>
          <w:noProof/>
        </w:rPr>
        <w:t>(52)</w:t>
      </w:r>
      <w:r w:rsidRPr="00DD0F7B">
        <w:rPr>
          <w:noProof/>
        </w:rPr>
        <w:tab/>
      </w:r>
      <w:r w:rsidR="00306CD8" w:rsidRPr="00F91EC4">
        <w:rPr>
          <w:noProof/>
        </w:rPr>
        <w:t xml:space="preserve"> ‘</w:t>
      </w:r>
      <w:r w:rsidR="008742BB" w:rsidRPr="00F91EC4">
        <w:rPr>
          <w:noProof/>
        </w:rPr>
        <w:t>fuel c</w:t>
      </w:r>
      <w:r w:rsidR="002A104D" w:rsidRPr="00F91EC4">
        <w:rPr>
          <w:noProof/>
        </w:rPr>
        <w:t xml:space="preserve">ell </w:t>
      </w:r>
      <w:r w:rsidR="008742BB" w:rsidRPr="00F91EC4">
        <w:rPr>
          <w:noProof/>
        </w:rPr>
        <w:t xml:space="preserve">vehicle’ or </w:t>
      </w:r>
      <w:r w:rsidR="00306CD8" w:rsidRPr="00F91EC4">
        <w:rPr>
          <w:noProof/>
        </w:rPr>
        <w:t>(</w:t>
      </w:r>
      <w:r w:rsidR="008742BB" w:rsidRPr="00F91EC4">
        <w:rPr>
          <w:noProof/>
        </w:rPr>
        <w:t>‘</w:t>
      </w:r>
      <w:r w:rsidR="00306CD8" w:rsidRPr="00F91EC4">
        <w:rPr>
          <w:noProof/>
        </w:rPr>
        <w:t>FCV) means a vehicle equipped with a powertrain containing exclusively fuel cell(s) and electric machine(s) as propulsion energy converter(s);</w:t>
      </w:r>
    </w:p>
    <w:p w14:paraId="622DF154" w14:textId="1B20C621" w:rsidR="0047669A" w:rsidRPr="00F91EC4" w:rsidRDefault="00DD0F7B" w:rsidP="00DD0F7B">
      <w:pPr>
        <w:pStyle w:val="Point0"/>
        <w:rPr>
          <w:noProof/>
        </w:rPr>
      </w:pPr>
      <w:r w:rsidRPr="00DD0F7B">
        <w:rPr>
          <w:noProof/>
        </w:rPr>
        <w:t>(53)</w:t>
      </w:r>
      <w:r w:rsidRPr="00DD0F7B">
        <w:rPr>
          <w:noProof/>
        </w:rPr>
        <w:tab/>
      </w:r>
      <w:r w:rsidR="001F05B1" w:rsidRPr="00F91EC4">
        <w:rPr>
          <w:noProof/>
        </w:rPr>
        <w:t>‘</w:t>
      </w:r>
      <w:r w:rsidR="008742BB" w:rsidRPr="00F91EC4">
        <w:rPr>
          <w:noProof/>
        </w:rPr>
        <w:t>fuel cell hybrid</w:t>
      </w:r>
      <w:r w:rsidR="002A104D" w:rsidRPr="00F91EC4">
        <w:rPr>
          <w:noProof/>
        </w:rPr>
        <w:t xml:space="preserve"> </w:t>
      </w:r>
      <w:r w:rsidR="008742BB" w:rsidRPr="00F91EC4">
        <w:rPr>
          <w:noProof/>
        </w:rPr>
        <w:t xml:space="preserve">vehicle’ or </w:t>
      </w:r>
      <w:r w:rsidR="0047669A" w:rsidRPr="00F91EC4">
        <w:rPr>
          <w:noProof/>
        </w:rPr>
        <w:t>(</w:t>
      </w:r>
      <w:r w:rsidR="008742BB" w:rsidRPr="00F91EC4">
        <w:rPr>
          <w:noProof/>
        </w:rPr>
        <w:t>‘</w:t>
      </w:r>
      <w:r w:rsidR="0047669A" w:rsidRPr="00F91EC4">
        <w:rPr>
          <w:noProof/>
        </w:rPr>
        <w:t>FCHV</w:t>
      </w:r>
      <w:r w:rsidR="008742BB" w:rsidRPr="00F91EC4">
        <w:rPr>
          <w:rFonts w:eastAsia="Times New Roman"/>
          <w:noProof/>
        </w:rPr>
        <w:t>’</w:t>
      </w:r>
      <w:r w:rsidR="0047669A" w:rsidRPr="00F91EC4">
        <w:rPr>
          <w:noProof/>
        </w:rPr>
        <w:t>) means a fuel cell vehicle equipped with a powertrain containing at least one fuel storage system and at least one rechargeable electric energy storage system as propulsion energy storage systems</w:t>
      </w:r>
      <w:r w:rsidR="00453058" w:rsidRPr="00F91EC4">
        <w:rPr>
          <w:noProof/>
        </w:rPr>
        <w:t>;</w:t>
      </w:r>
    </w:p>
    <w:p w14:paraId="178FFDA8" w14:textId="07C7E820" w:rsidR="0047669A" w:rsidRPr="00F91EC4" w:rsidRDefault="00DD0F7B" w:rsidP="00DD0F7B">
      <w:pPr>
        <w:pStyle w:val="Point0"/>
        <w:rPr>
          <w:noProof/>
        </w:rPr>
      </w:pPr>
      <w:r w:rsidRPr="00DD0F7B">
        <w:rPr>
          <w:noProof/>
        </w:rPr>
        <w:t>(54)</w:t>
      </w:r>
      <w:r w:rsidRPr="00DD0F7B">
        <w:rPr>
          <w:noProof/>
        </w:rPr>
        <w:tab/>
      </w:r>
      <w:r w:rsidR="0047669A" w:rsidRPr="00F91EC4">
        <w:rPr>
          <w:noProof/>
        </w:rPr>
        <w:t>‘</w:t>
      </w:r>
      <w:r w:rsidR="008742BB" w:rsidRPr="00F91EC4">
        <w:rPr>
          <w:noProof/>
        </w:rPr>
        <w:t>h</w:t>
      </w:r>
      <w:r w:rsidR="0047669A" w:rsidRPr="00F91EC4">
        <w:rPr>
          <w:noProof/>
        </w:rPr>
        <w:t xml:space="preserve">ybrid </w:t>
      </w:r>
      <w:r w:rsidR="008742BB" w:rsidRPr="00F91EC4">
        <w:rPr>
          <w:noProof/>
        </w:rPr>
        <w:t>v</w:t>
      </w:r>
      <w:r w:rsidR="002A104D" w:rsidRPr="00F91EC4">
        <w:rPr>
          <w:noProof/>
        </w:rPr>
        <w:t xml:space="preserve">ehicle’ </w:t>
      </w:r>
      <w:r w:rsidR="008742BB" w:rsidRPr="00F91EC4">
        <w:rPr>
          <w:noProof/>
        </w:rPr>
        <w:t>or ‘</w:t>
      </w:r>
      <w:r w:rsidR="0047669A" w:rsidRPr="00F91EC4">
        <w:rPr>
          <w:noProof/>
        </w:rPr>
        <w:t>HV</w:t>
      </w:r>
      <w:r w:rsidR="008742BB" w:rsidRPr="00F91EC4">
        <w:rPr>
          <w:noProof/>
        </w:rPr>
        <w:t>’</w:t>
      </w:r>
      <w:r w:rsidR="0047669A" w:rsidRPr="00F91EC4">
        <w:rPr>
          <w:noProof/>
        </w:rPr>
        <w:t xml:space="preserve"> means a vehicle equipped with a powertrain containing at least two different categories of propulsion energy converters and at least two different categories of propulsion energy storage systems</w:t>
      </w:r>
      <w:r w:rsidR="00453058" w:rsidRPr="00F91EC4">
        <w:rPr>
          <w:noProof/>
        </w:rPr>
        <w:t>;</w:t>
      </w:r>
    </w:p>
    <w:p w14:paraId="0A02DD37" w14:textId="1F5B2C87" w:rsidR="00275882" w:rsidRPr="00F91EC4" w:rsidRDefault="00DD0F7B" w:rsidP="00DD0F7B">
      <w:pPr>
        <w:pStyle w:val="Point0"/>
        <w:rPr>
          <w:rFonts w:ascii="inherit" w:hAnsi="inherit"/>
          <w:noProof/>
        </w:rPr>
      </w:pPr>
      <w:r w:rsidRPr="00DD0F7B">
        <w:rPr>
          <w:noProof/>
        </w:rPr>
        <w:t>(55)</w:t>
      </w:r>
      <w:r w:rsidRPr="00DD0F7B">
        <w:rPr>
          <w:noProof/>
        </w:rPr>
        <w:tab/>
      </w:r>
      <w:r w:rsidR="001F05B1" w:rsidRPr="00F91EC4">
        <w:rPr>
          <w:noProof/>
        </w:rPr>
        <w:t>‘</w:t>
      </w:r>
      <w:r w:rsidR="008742BB" w:rsidRPr="00F91EC4">
        <w:rPr>
          <w:noProof/>
        </w:rPr>
        <w:t>h</w:t>
      </w:r>
      <w:r w:rsidR="001F05B1" w:rsidRPr="00F91EC4">
        <w:rPr>
          <w:noProof/>
        </w:rPr>
        <w:t xml:space="preserve">ybrid electric vehicle’ </w:t>
      </w:r>
      <w:r w:rsidR="008742BB" w:rsidRPr="00F91EC4">
        <w:rPr>
          <w:noProof/>
        </w:rPr>
        <w:t>or ‘</w:t>
      </w:r>
      <w:r w:rsidR="00275882" w:rsidRPr="00F91EC4">
        <w:rPr>
          <w:noProof/>
        </w:rPr>
        <w:t>HEV</w:t>
      </w:r>
      <w:r w:rsidR="008742BB" w:rsidRPr="00F91EC4">
        <w:rPr>
          <w:noProof/>
        </w:rPr>
        <w:t>’</w:t>
      </w:r>
      <w:r w:rsidR="001F05B1" w:rsidRPr="00F91EC4">
        <w:rPr>
          <w:noProof/>
        </w:rPr>
        <w:t xml:space="preserve"> means a hybrid vehicle where one of the propulsion energy converters is an electric machine</w:t>
      </w:r>
      <w:r w:rsidR="00453058" w:rsidRPr="00F91EC4">
        <w:rPr>
          <w:noProof/>
        </w:rPr>
        <w:t>;</w:t>
      </w:r>
    </w:p>
    <w:p w14:paraId="2AED4FE3" w14:textId="38C2AC5D" w:rsidR="00C31176" w:rsidRPr="00F91EC4" w:rsidRDefault="00DD0F7B" w:rsidP="00DD0F7B">
      <w:pPr>
        <w:pStyle w:val="Point0"/>
        <w:rPr>
          <w:rFonts w:ascii="inherit" w:hAnsi="inherit"/>
          <w:noProof/>
        </w:rPr>
      </w:pPr>
      <w:r w:rsidRPr="00DD0F7B">
        <w:rPr>
          <w:noProof/>
        </w:rPr>
        <w:t>(56)</w:t>
      </w:r>
      <w:r w:rsidRPr="00DD0F7B">
        <w:rPr>
          <w:noProof/>
        </w:rPr>
        <w:tab/>
      </w:r>
      <w:r w:rsidR="001F05B1" w:rsidRPr="00F91EC4">
        <w:rPr>
          <w:noProof/>
        </w:rPr>
        <w:t>‘</w:t>
      </w:r>
      <w:r w:rsidR="008742BB" w:rsidRPr="00F91EC4">
        <w:rPr>
          <w:noProof/>
        </w:rPr>
        <w:t>o</w:t>
      </w:r>
      <w:r w:rsidR="001F05B1" w:rsidRPr="00F91EC4">
        <w:rPr>
          <w:noProof/>
        </w:rPr>
        <w:t>ff-</w:t>
      </w:r>
      <w:r w:rsidR="008742BB" w:rsidRPr="00F91EC4">
        <w:rPr>
          <w:noProof/>
        </w:rPr>
        <w:t>v</w:t>
      </w:r>
      <w:r w:rsidR="001F05B1" w:rsidRPr="00F91EC4">
        <w:rPr>
          <w:noProof/>
        </w:rPr>
        <w:t xml:space="preserve">ehicle </w:t>
      </w:r>
      <w:r w:rsidR="008742BB" w:rsidRPr="00F91EC4">
        <w:rPr>
          <w:noProof/>
        </w:rPr>
        <w:t>c</w:t>
      </w:r>
      <w:r w:rsidR="001F05B1" w:rsidRPr="00F91EC4">
        <w:rPr>
          <w:noProof/>
        </w:rPr>
        <w:t xml:space="preserve">harging </w:t>
      </w:r>
      <w:r w:rsidR="008742BB" w:rsidRPr="00F91EC4">
        <w:rPr>
          <w:noProof/>
        </w:rPr>
        <w:t>h</w:t>
      </w:r>
      <w:r w:rsidR="001F05B1" w:rsidRPr="00F91EC4">
        <w:rPr>
          <w:noProof/>
        </w:rPr>
        <w:t xml:space="preserve">ybrid </w:t>
      </w:r>
      <w:r w:rsidR="008742BB" w:rsidRPr="00F91EC4">
        <w:rPr>
          <w:noProof/>
        </w:rPr>
        <w:t>e</w:t>
      </w:r>
      <w:r w:rsidR="001F05B1" w:rsidRPr="00F91EC4">
        <w:rPr>
          <w:noProof/>
        </w:rPr>
        <w:t xml:space="preserve">lectric </w:t>
      </w:r>
      <w:r w:rsidR="00D7763F" w:rsidRPr="00F91EC4">
        <w:rPr>
          <w:noProof/>
        </w:rPr>
        <w:t>v</w:t>
      </w:r>
      <w:r w:rsidR="001F05B1" w:rsidRPr="00F91EC4">
        <w:rPr>
          <w:noProof/>
        </w:rPr>
        <w:t>ehicle</w:t>
      </w:r>
      <w:r w:rsidR="00C96D0A" w:rsidRPr="00F91EC4">
        <w:rPr>
          <w:noProof/>
        </w:rPr>
        <w:t>’</w:t>
      </w:r>
      <w:r w:rsidR="001F05B1" w:rsidRPr="00F91EC4">
        <w:rPr>
          <w:noProof/>
        </w:rPr>
        <w:t xml:space="preserve"> </w:t>
      </w:r>
      <w:r w:rsidR="008742BB" w:rsidRPr="00F91EC4">
        <w:rPr>
          <w:noProof/>
        </w:rPr>
        <w:t>or ‘</w:t>
      </w:r>
      <w:r w:rsidR="001F05B1" w:rsidRPr="00F91EC4">
        <w:rPr>
          <w:noProof/>
        </w:rPr>
        <w:t>OVC-HEVs</w:t>
      </w:r>
      <w:r w:rsidR="008742BB" w:rsidRPr="00F91EC4">
        <w:rPr>
          <w:noProof/>
        </w:rPr>
        <w:t>’</w:t>
      </w:r>
      <w:r w:rsidR="001F05B1" w:rsidRPr="00F91EC4">
        <w:rPr>
          <w:noProof/>
        </w:rPr>
        <w:t xml:space="preserve"> means a </w:t>
      </w:r>
      <w:r w:rsidR="00DA2465" w:rsidRPr="00F91EC4">
        <w:rPr>
          <w:noProof/>
        </w:rPr>
        <w:t>hybrid electric vehicle that can be charged from an external source</w:t>
      </w:r>
      <w:r w:rsidR="00453058" w:rsidRPr="00F91EC4">
        <w:rPr>
          <w:noProof/>
        </w:rPr>
        <w:t>;</w:t>
      </w:r>
    </w:p>
    <w:p w14:paraId="6D1E8730" w14:textId="547F7545" w:rsidR="00C31176" w:rsidRPr="00F91EC4" w:rsidRDefault="00DD0F7B" w:rsidP="00DD0F7B">
      <w:pPr>
        <w:pStyle w:val="Point0"/>
        <w:rPr>
          <w:rFonts w:ascii="inherit" w:hAnsi="inherit"/>
          <w:noProof/>
        </w:rPr>
      </w:pPr>
      <w:r w:rsidRPr="00DD0F7B">
        <w:rPr>
          <w:noProof/>
        </w:rPr>
        <w:t>(57)</w:t>
      </w:r>
      <w:r w:rsidRPr="00DD0F7B">
        <w:rPr>
          <w:noProof/>
        </w:rPr>
        <w:tab/>
      </w:r>
      <w:r w:rsidR="00DA2465" w:rsidRPr="00F91EC4">
        <w:rPr>
          <w:noProof/>
        </w:rPr>
        <w:t>‘</w:t>
      </w:r>
      <w:r w:rsidR="008742BB" w:rsidRPr="00F91EC4">
        <w:rPr>
          <w:noProof/>
        </w:rPr>
        <w:t>n</w:t>
      </w:r>
      <w:r w:rsidR="00DA2465" w:rsidRPr="00F91EC4">
        <w:rPr>
          <w:noProof/>
        </w:rPr>
        <w:t xml:space="preserve">ot </w:t>
      </w:r>
      <w:r w:rsidR="008742BB" w:rsidRPr="00F91EC4">
        <w:rPr>
          <w:noProof/>
        </w:rPr>
        <w:t>off</w:t>
      </w:r>
      <w:r w:rsidR="00DA2465" w:rsidRPr="00F91EC4">
        <w:rPr>
          <w:noProof/>
        </w:rPr>
        <w:t>-</w:t>
      </w:r>
      <w:r w:rsidR="008742BB" w:rsidRPr="00F91EC4">
        <w:rPr>
          <w:noProof/>
        </w:rPr>
        <w:t>vehicle charging hybrid electric vehicle’ or ‘</w:t>
      </w:r>
      <w:r w:rsidR="001F05B1" w:rsidRPr="00F91EC4">
        <w:rPr>
          <w:noProof/>
        </w:rPr>
        <w:t>NOVC-HEV</w:t>
      </w:r>
      <w:r w:rsidR="008742BB" w:rsidRPr="00F91EC4">
        <w:rPr>
          <w:noProof/>
        </w:rPr>
        <w:t>’</w:t>
      </w:r>
      <w:r w:rsidR="001F05B1" w:rsidRPr="00F91EC4">
        <w:rPr>
          <w:noProof/>
        </w:rPr>
        <w:t xml:space="preserve"> means a </w:t>
      </w:r>
      <w:r w:rsidR="00DA2465" w:rsidRPr="00F91EC4">
        <w:rPr>
          <w:noProof/>
        </w:rPr>
        <w:t>vehicle with at least two different energy converters and two different energy storage systems that are used for the purpose of vehicle propulsion and that cannot be charged from an external source</w:t>
      </w:r>
      <w:r w:rsidR="00453058" w:rsidRPr="00F91EC4">
        <w:rPr>
          <w:noProof/>
        </w:rPr>
        <w:t>;</w:t>
      </w:r>
    </w:p>
    <w:p w14:paraId="47352077" w14:textId="53FAB85C" w:rsidR="003A4121" w:rsidRPr="00F91EC4" w:rsidRDefault="00DD0F7B" w:rsidP="00DD0F7B">
      <w:pPr>
        <w:pStyle w:val="Point0"/>
        <w:rPr>
          <w:noProof/>
        </w:rPr>
      </w:pPr>
      <w:r w:rsidRPr="00DD0F7B">
        <w:rPr>
          <w:noProof/>
        </w:rPr>
        <w:t>(58)</w:t>
      </w:r>
      <w:r w:rsidRPr="00DD0F7B">
        <w:rPr>
          <w:noProof/>
        </w:rPr>
        <w:tab/>
      </w:r>
      <w:r w:rsidR="003A4121" w:rsidRPr="00F91EC4">
        <w:rPr>
          <w:noProof/>
        </w:rPr>
        <w:t xml:space="preserve">‘geofencing technologies’ means technologies that </w:t>
      </w:r>
      <w:r w:rsidR="00546A7D">
        <w:rPr>
          <w:noProof/>
        </w:rPr>
        <w:t xml:space="preserve">do not </w:t>
      </w:r>
      <w:r w:rsidR="003A4121" w:rsidRPr="00F91EC4">
        <w:rPr>
          <w:noProof/>
        </w:rPr>
        <w:t xml:space="preserve">allow a hybrid vehicle </w:t>
      </w:r>
      <w:r w:rsidR="008C6AEE" w:rsidRPr="00F91EC4">
        <w:rPr>
          <w:noProof/>
        </w:rPr>
        <w:t xml:space="preserve">to run with the use of the internal combustion engine (i.e. </w:t>
      </w:r>
      <w:r w:rsidR="003A4121" w:rsidRPr="00F91EC4">
        <w:rPr>
          <w:noProof/>
        </w:rPr>
        <w:t>to enable zero-emission mode</w:t>
      </w:r>
      <w:r w:rsidR="008C6AEE" w:rsidRPr="00F91EC4">
        <w:rPr>
          <w:noProof/>
        </w:rPr>
        <w:t>)</w:t>
      </w:r>
      <w:r w:rsidR="003A4121" w:rsidRPr="00F91EC4">
        <w:rPr>
          <w:noProof/>
        </w:rPr>
        <w:t xml:space="preserve"> when driven inside a specific geographic area;</w:t>
      </w:r>
    </w:p>
    <w:p w14:paraId="5C2B61F3" w14:textId="0264115C" w:rsidR="00C76522" w:rsidRDefault="00DD0F7B" w:rsidP="00DD0F7B">
      <w:pPr>
        <w:pStyle w:val="Point0"/>
        <w:rPr>
          <w:noProof/>
        </w:rPr>
      </w:pPr>
      <w:r w:rsidRPr="00DD0F7B">
        <w:rPr>
          <w:noProof/>
        </w:rPr>
        <w:t>(59)</w:t>
      </w:r>
      <w:r w:rsidRPr="00DD0F7B">
        <w:rPr>
          <w:noProof/>
        </w:rPr>
        <w:tab/>
      </w:r>
      <w:r w:rsidR="00C76522" w:rsidRPr="00F91EC4">
        <w:rPr>
          <w:noProof/>
          <w:shd w:val="clear" w:color="auto" w:fill="FFFFFF"/>
        </w:rPr>
        <w:t>‘</w:t>
      </w:r>
      <w:r w:rsidR="00C76522" w:rsidRPr="00F91EC4">
        <w:rPr>
          <w:noProof/>
        </w:rPr>
        <w:t>zero-emission mode’ means a selectable mode, whereby a hybrid vehicle is driven without the use of the internal combustion engine;</w:t>
      </w:r>
    </w:p>
    <w:p w14:paraId="075996A0" w14:textId="43E34F40" w:rsidR="00DE2763" w:rsidRPr="00F91EC4" w:rsidRDefault="00DD0F7B" w:rsidP="00DD0F7B">
      <w:pPr>
        <w:pStyle w:val="Point0"/>
        <w:rPr>
          <w:noProof/>
        </w:rPr>
      </w:pPr>
      <w:r w:rsidRPr="00DD0F7B">
        <w:rPr>
          <w:noProof/>
        </w:rPr>
        <w:t>(60)</w:t>
      </w:r>
      <w:r w:rsidRPr="00DD0F7B">
        <w:rPr>
          <w:noProof/>
        </w:rPr>
        <w:tab/>
      </w:r>
      <w:r w:rsidR="00DE2763" w:rsidRPr="00F91EC4">
        <w:rPr>
          <w:rFonts w:eastAsia="Times New Roman"/>
          <w:noProof/>
        </w:rPr>
        <w:t>‘</w:t>
      </w:r>
      <w:r w:rsidR="002A104D" w:rsidRPr="00F91EC4">
        <w:rPr>
          <w:noProof/>
        </w:rPr>
        <w:t xml:space="preserve">net </w:t>
      </w:r>
      <w:r w:rsidR="00DE2763" w:rsidRPr="00F91EC4">
        <w:rPr>
          <w:noProof/>
        </w:rPr>
        <w:t xml:space="preserve">power’ means the power obtained on a test bench at the end of the crankshaft or its equivalent at the corresponding engine or motor speed with the auxiliaries, and </w:t>
      </w:r>
      <w:r w:rsidR="00A557F2" w:rsidRPr="00F91EC4">
        <w:rPr>
          <w:noProof/>
        </w:rPr>
        <w:t xml:space="preserve">which is </w:t>
      </w:r>
      <w:r w:rsidR="00DE2763" w:rsidRPr="00F91EC4">
        <w:rPr>
          <w:noProof/>
        </w:rPr>
        <w:t xml:space="preserve">determined under </w:t>
      </w:r>
      <w:r w:rsidR="00A557F2" w:rsidRPr="00F91EC4">
        <w:rPr>
          <w:noProof/>
        </w:rPr>
        <w:t xml:space="preserve">the </w:t>
      </w:r>
      <w:r w:rsidR="00DE2763" w:rsidRPr="00F91EC4">
        <w:rPr>
          <w:noProof/>
        </w:rPr>
        <w:t>reference atmospheric conditions</w:t>
      </w:r>
      <w:r w:rsidR="00453058" w:rsidRPr="00F91EC4">
        <w:rPr>
          <w:noProof/>
        </w:rPr>
        <w:t>;</w:t>
      </w:r>
    </w:p>
    <w:p w14:paraId="12F42875" w14:textId="739F5DED" w:rsidR="00162C0F" w:rsidRPr="00F91EC4" w:rsidRDefault="00DD0F7B" w:rsidP="00DD0F7B">
      <w:pPr>
        <w:pStyle w:val="Point0"/>
        <w:rPr>
          <w:rFonts w:ascii="inherit" w:eastAsia="Times New Roman" w:hAnsi="inherit"/>
          <w:noProof/>
        </w:rPr>
      </w:pPr>
      <w:r w:rsidRPr="00DD0F7B">
        <w:rPr>
          <w:noProof/>
        </w:rPr>
        <w:t>(61)</w:t>
      </w:r>
      <w:r w:rsidRPr="00DD0F7B">
        <w:rPr>
          <w:noProof/>
        </w:rPr>
        <w:tab/>
      </w:r>
      <w:r w:rsidR="00162C0F" w:rsidRPr="00F91EC4">
        <w:rPr>
          <w:rFonts w:eastAsia="Times New Roman"/>
          <w:noProof/>
        </w:rPr>
        <w:t>‘wheel power</w:t>
      </w:r>
      <w:r w:rsidR="00162C0F" w:rsidRPr="00F91EC4">
        <w:rPr>
          <w:noProof/>
        </w:rPr>
        <w:t>’ means the power measured at the wheels of a vehicle and used for its propulsion;</w:t>
      </w:r>
    </w:p>
    <w:p w14:paraId="3BC0CA0D" w14:textId="58955309" w:rsidR="00306CD8" w:rsidRPr="00F91EC4" w:rsidRDefault="00DD0F7B" w:rsidP="00DD0F7B">
      <w:pPr>
        <w:pStyle w:val="Point0"/>
        <w:rPr>
          <w:noProof/>
        </w:rPr>
      </w:pPr>
      <w:r w:rsidRPr="00DD0F7B">
        <w:rPr>
          <w:noProof/>
        </w:rPr>
        <w:t>(62)</w:t>
      </w:r>
      <w:r w:rsidRPr="00DD0F7B">
        <w:rPr>
          <w:noProof/>
        </w:rPr>
        <w:tab/>
      </w:r>
      <w:r w:rsidR="00A265FB" w:rsidRPr="00F91EC4">
        <w:rPr>
          <w:noProof/>
          <w:shd w:val="clear" w:color="auto" w:fill="FFFFFF"/>
        </w:rPr>
        <w:t>‘</w:t>
      </w:r>
      <w:r w:rsidR="002A104D" w:rsidRPr="00F91EC4">
        <w:rPr>
          <w:noProof/>
        </w:rPr>
        <w:t>power</w:t>
      </w:r>
      <w:r w:rsidR="00306CD8" w:rsidRPr="00F91EC4">
        <w:rPr>
          <w:noProof/>
        </w:rPr>
        <w:t>-to-mass-ratio</w:t>
      </w:r>
      <w:r w:rsidR="00C96D0A" w:rsidRPr="00F91EC4">
        <w:rPr>
          <w:noProof/>
        </w:rPr>
        <w:t>’</w:t>
      </w:r>
      <w:r w:rsidR="00306CD8" w:rsidRPr="00F91EC4">
        <w:rPr>
          <w:noProof/>
        </w:rPr>
        <w:t xml:space="preserve"> </w:t>
      </w:r>
      <w:r w:rsidR="00C13141">
        <w:rPr>
          <w:noProof/>
        </w:rPr>
        <w:t>means</w:t>
      </w:r>
      <w:r w:rsidR="00C13141" w:rsidRPr="00F91EC4">
        <w:rPr>
          <w:noProof/>
        </w:rPr>
        <w:t xml:space="preserve"> </w:t>
      </w:r>
      <w:r w:rsidR="00306CD8" w:rsidRPr="00F91EC4">
        <w:rPr>
          <w:noProof/>
        </w:rPr>
        <w:t>the ratio of rated power to the mass in running order</w:t>
      </w:r>
      <w:r w:rsidR="00453058" w:rsidRPr="00F91EC4">
        <w:rPr>
          <w:noProof/>
        </w:rPr>
        <w:t>;</w:t>
      </w:r>
    </w:p>
    <w:p w14:paraId="6E141B61" w14:textId="6964BC36" w:rsidR="00306CD8" w:rsidRPr="00F91EC4" w:rsidRDefault="00DD0F7B" w:rsidP="00DD0F7B">
      <w:pPr>
        <w:pStyle w:val="Point0"/>
        <w:rPr>
          <w:rFonts w:ascii="inherit" w:hAnsi="inherit"/>
          <w:noProof/>
        </w:rPr>
      </w:pPr>
      <w:r w:rsidRPr="00DD0F7B">
        <w:rPr>
          <w:noProof/>
        </w:rPr>
        <w:t>(63)</w:t>
      </w:r>
      <w:r w:rsidRPr="00DD0F7B">
        <w:rPr>
          <w:noProof/>
        </w:rPr>
        <w:tab/>
      </w:r>
      <w:r w:rsidR="00A265FB" w:rsidRPr="00F91EC4">
        <w:rPr>
          <w:noProof/>
          <w:shd w:val="clear" w:color="auto" w:fill="FFFFFF"/>
        </w:rPr>
        <w:t>‘</w:t>
      </w:r>
      <w:r w:rsidR="002A104D" w:rsidRPr="00F91EC4">
        <w:rPr>
          <w:noProof/>
        </w:rPr>
        <w:t xml:space="preserve">rated </w:t>
      </w:r>
      <w:r w:rsidR="00306CD8" w:rsidRPr="00F91EC4">
        <w:rPr>
          <w:noProof/>
        </w:rPr>
        <w:t>power</w:t>
      </w:r>
      <w:r w:rsidR="00C96D0A" w:rsidRPr="00F91EC4">
        <w:rPr>
          <w:noProof/>
        </w:rPr>
        <w:t>’</w:t>
      </w:r>
      <w:r w:rsidR="002A104D" w:rsidRPr="00F91EC4">
        <w:rPr>
          <w:noProof/>
        </w:rPr>
        <w:t xml:space="preserve"> </w:t>
      </w:r>
      <w:r w:rsidR="008742BB" w:rsidRPr="00F91EC4">
        <w:rPr>
          <w:noProof/>
        </w:rPr>
        <w:t>or ‘</w:t>
      </w:r>
      <w:r w:rsidR="00DE2763" w:rsidRPr="00F91EC4">
        <w:rPr>
          <w:noProof/>
        </w:rPr>
        <w:t>P</w:t>
      </w:r>
      <w:r w:rsidR="00DE2763" w:rsidRPr="00F91EC4">
        <w:rPr>
          <w:noProof/>
          <w:vertAlign w:val="subscript"/>
        </w:rPr>
        <w:t>rated</w:t>
      </w:r>
      <w:r w:rsidR="008742BB" w:rsidRPr="00F91EC4">
        <w:rPr>
          <w:noProof/>
        </w:rPr>
        <w:t>’</w:t>
      </w:r>
      <w:r w:rsidR="00DE2763" w:rsidRPr="00F91EC4">
        <w:rPr>
          <w:noProof/>
        </w:rPr>
        <w:t xml:space="preserve"> means the maximum net power of the engine or motor in kW</w:t>
      </w:r>
      <w:r w:rsidR="00F92A02" w:rsidRPr="00F91EC4">
        <w:rPr>
          <w:noProof/>
        </w:rPr>
        <w:t>;</w:t>
      </w:r>
    </w:p>
    <w:p w14:paraId="146B3D18" w14:textId="7FE75996" w:rsidR="00736BD6" w:rsidRPr="00F91EC4" w:rsidRDefault="00DD0F7B" w:rsidP="00DD0F7B">
      <w:pPr>
        <w:pStyle w:val="Point0"/>
        <w:rPr>
          <w:noProof/>
        </w:rPr>
      </w:pPr>
      <w:r w:rsidRPr="00DD0F7B">
        <w:rPr>
          <w:noProof/>
        </w:rPr>
        <w:t>(64)</w:t>
      </w:r>
      <w:r w:rsidRPr="00DD0F7B">
        <w:rPr>
          <w:noProof/>
        </w:rPr>
        <w:tab/>
      </w:r>
      <w:r w:rsidR="00C9190F" w:rsidRPr="00F91EC4">
        <w:rPr>
          <w:noProof/>
          <w:shd w:val="clear" w:color="auto" w:fill="FFFFFF"/>
        </w:rPr>
        <w:t>‘</w:t>
      </w:r>
      <w:r w:rsidR="00736BD6" w:rsidRPr="00F91EC4">
        <w:rPr>
          <w:noProof/>
        </w:rPr>
        <w:t>mass in running order</w:t>
      </w:r>
      <w:r w:rsidR="00C9190F" w:rsidRPr="00F91EC4">
        <w:rPr>
          <w:noProof/>
        </w:rPr>
        <w:t>’</w:t>
      </w:r>
      <w:r w:rsidR="00736BD6" w:rsidRPr="00F91EC4">
        <w:rPr>
          <w:noProof/>
        </w:rPr>
        <w:t xml:space="preserve"> means the mass of the vehicle, with its fuel tank(s) filled to at least 90 per cent of their capacities, including the mass of the driver, fuel and liquids, fitted with the standard equipment in accordance with the manufacturer’s specifications and, when they are fitted, the mass of the bodywork, the cabin, the coupling and the spare wheels as well as the tools</w:t>
      </w:r>
      <w:r w:rsidR="00162C0F" w:rsidRPr="00F91EC4">
        <w:rPr>
          <w:noProof/>
        </w:rPr>
        <w:t>;</w:t>
      </w:r>
    </w:p>
    <w:p w14:paraId="71138813" w14:textId="6F67E5CA" w:rsidR="002F1F6B" w:rsidRPr="00F91EC4" w:rsidRDefault="00DD0F7B" w:rsidP="00DD0F7B">
      <w:pPr>
        <w:pStyle w:val="Point0"/>
        <w:rPr>
          <w:rFonts w:ascii="inherit" w:hAnsi="inherit"/>
          <w:noProof/>
        </w:rPr>
      </w:pPr>
      <w:r w:rsidRPr="00DD0F7B">
        <w:rPr>
          <w:noProof/>
        </w:rPr>
        <w:t>(65)</w:t>
      </w:r>
      <w:r w:rsidRPr="00DD0F7B">
        <w:rPr>
          <w:noProof/>
        </w:rPr>
        <w:tab/>
      </w:r>
      <w:r w:rsidR="00A265FB" w:rsidRPr="00F91EC4">
        <w:rPr>
          <w:noProof/>
          <w:shd w:val="clear" w:color="auto" w:fill="FFFFFF"/>
        </w:rPr>
        <w:t>‘</w:t>
      </w:r>
      <w:r w:rsidR="002A104D" w:rsidRPr="00F91EC4">
        <w:rPr>
          <w:noProof/>
        </w:rPr>
        <w:t>t</w:t>
      </w:r>
      <w:r w:rsidR="00B82333" w:rsidRPr="00F91EC4">
        <w:rPr>
          <w:noProof/>
        </w:rPr>
        <w:t>raction battery</w:t>
      </w:r>
      <w:r w:rsidR="00C96D0A" w:rsidRPr="00F91EC4">
        <w:rPr>
          <w:noProof/>
        </w:rPr>
        <w:t>’</w:t>
      </w:r>
      <w:r w:rsidR="003A65E8" w:rsidRPr="00F91EC4">
        <w:rPr>
          <w:noProof/>
        </w:rPr>
        <w:t xml:space="preserve"> means a battery system that stores energy </w:t>
      </w:r>
      <w:r w:rsidR="006E4593" w:rsidRPr="00F91EC4">
        <w:rPr>
          <w:noProof/>
        </w:rPr>
        <w:t>with the</w:t>
      </w:r>
      <w:r w:rsidR="00272833" w:rsidRPr="00F91EC4">
        <w:rPr>
          <w:noProof/>
        </w:rPr>
        <w:t xml:space="preserve"> </w:t>
      </w:r>
      <w:r w:rsidR="007478A6" w:rsidRPr="00F91EC4">
        <w:rPr>
          <w:noProof/>
        </w:rPr>
        <w:t xml:space="preserve">main purpose </w:t>
      </w:r>
      <w:r w:rsidR="006E4593" w:rsidRPr="00F91EC4">
        <w:rPr>
          <w:noProof/>
        </w:rPr>
        <w:t>of</w:t>
      </w:r>
      <w:r w:rsidR="003A65E8" w:rsidRPr="00F91EC4">
        <w:rPr>
          <w:noProof/>
        </w:rPr>
        <w:t xml:space="preserve"> propel</w:t>
      </w:r>
      <w:r w:rsidR="006E4593" w:rsidRPr="00F91EC4">
        <w:rPr>
          <w:noProof/>
        </w:rPr>
        <w:t>ling</w:t>
      </w:r>
      <w:r w:rsidR="003A65E8" w:rsidRPr="00F91EC4">
        <w:rPr>
          <w:noProof/>
        </w:rPr>
        <w:t xml:space="preserve"> the vehicle</w:t>
      </w:r>
      <w:r w:rsidR="00453058" w:rsidRPr="00F91EC4">
        <w:rPr>
          <w:noProof/>
        </w:rPr>
        <w:t>;</w:t>
      </w:r>
    </w:p>
    <w:p w14:paraId="15583040" w14:textId="425C7100" w:rsidR="00C31176" w:rsidRPr="00F91EC4" w:rsidRDefault="00DD0F7B" w:rsidP="00DD0F7B">
      <w:pPr>
        <w:pStyle w:val="Point0"/>
        <w:rPr>
          <w:noProof/>
        </w:rPr>
      </w:pPr>
      <w:r w:rsidRPr="00DD0F7B">
        <w:rPr>
          <w:noProof/>
        </w:rPr>
        <w:t>(66)</w:t>
      </w:r>
      <w:r w:rsidRPr="00DD0F7B">
        <w:rPr>
          <w:noProof/>
        </w:rPr>
        <w:tab/>
      </w:r>
      <w:r w:rsidR="00A265FB" w:rsidRPr="00F91EC4">
        <w:rPr>
          <w:noProof/>
          <w:shd w:val="clear" w:color="auto" w:fill="FFFFFF"/>
        </w:rPr>
        <w:t>‘</w:t>
      </w:r>
      <w:r w:rsidR="002A104D" w:rsidRPr="00F91EC4">
        <w:rPr>
          <w:noProof/>
        </w:rPr>
        <w:t>e</w:t>
      </w:r>
      <w:r w:rsidR="00544F16" w:rsidRPr="00F91EC4">
        <w:rPr>
          <w:noProof/>
        </w:rPr>
        <w:t xml:space="preserve">lectric </w:t>
      </w:r>
      <w:r w:rsidR="002A104D" w:rsidRPr="00F91EC4">
        <w:rPr>
          <w:noProof/>
        </w:rPr>
        <w:t>r</w:t>
      </w:r>
      <w:r w:rsidR="00544F16" w:rsidRPr="00F91EC4">
        <w:rPr>
          <w:noProof/>
        </w:rPr>
        <w:t>ange</w:t>
      </w:r>
      <w:r w:rsidR="00C96D0A" w:rsidRPr="00F91EC4">
        <w:rPr>
          <w:noProof/>
        </w:rPr>
        <w:t>’</w:t>
      </w:r>
      <w:r w:rsidR="00544F16" w:rsidRPr="00F91EC4">
        <w:rPr>
          <w:noProof/>
        </w:rPr>
        <w:t xml:space="preserve"> </w:t>
      </w:r>
      <w:r w:rsidR="00632746" w:rsidRPr="00F91EC4">
        <w:rPr>
          <w:noProof/>
        </w:rPr>
        <w:t xml:space="preserve">means </w:t>
      </w:r>
      <w:r w:rsidR="00544F16" w:rsidRPr="00F91EC4">
        <w:rPr>
          <w:noProof/>
        </w:rPr>
        <w:t xml:space="preserve">the </w:t>
      </w:r>
      <w:r w:rsidR="00D83476" w:rsidRPr="00F91EC4">
        <w:rPr>
          <w:noProof/>
        </w:rPr>
        <w:t>distance travelled in charge-depleting operation condition until the traction battery is depleted</w:t>
      </w:r>
      <w:r w:rsidR="00453058" w:rsidRPr="00F91EC4">
        <w:rPr>
          <w:noProof/>
        </w:rPr>
        <w:t>;</w:t>
      </w:r>
    </w:p>
    <w:p w14:paraId="733FB7BA" w14:textId="074377ED" w:rsidR="00C76522" w:rsidRPr="00F91EC4" w:rsidRDefault="00DD0F7B" w:rsidP="00DD0F7B">
      <w:pPr>
        <w:pStyle w:val="Point0"/>
        <w:rPr>
          <w:noProof/>
        </w:rPr>
      </w:pPr>
      <w:r w:rsidRPr="00DD0F7B">
        <w:rPr>
          <w:noProof/>
        </w:rPr>
        <w:t>(67)</w:t>
      </w:r>
      <w:r w:rsidRPr="00DD0F7B">
        <w:rPr>
          <w:noProof/>
        </w:rPr>
        <w:tab/>
      </w:r>
      <w:r w:rsidR="00C76522" w:rsidRPr="00F91EC4">
        <w:rPr>
          <w:noProof/>
          <w:shd w:val="clear" w:color="auto" w:fill="FFFFFF"/>
        </w:rPr>
        <w:t>‘</w:t>
      </w:r>
      <w:r w:rsidR="00C76522" w:rsidRPr="00F91EC4">
        <w:rPr>
          <w:noProof/>
        </w:rPr>
        <w:t xml:space="preserve">zero-emission </w:t>
      </w:r>
      <w:r w:rsidR="00C76522">
        <w:rPr>
          <w:noProof/>
        </w:rPr>
        <w:t>range</w:t>
      </w:r>
      <w:r w:rsidR="00C76522" w:rsidRPr="00F91EC4">
        <w:rPr>
          <w:noProof/>
        </w:rPr>
        <w:t>’ means</w:t>
      </w:r>
      <w:r w:rsidR="00C76522">
        <w:rPr>
          <w:noProof/>
        </w:rPr>
        <w:t xml:space="preserve"> the maximum distance a zero-emission vehicle can travel until the traction battery or fuel tank is depleted, which for PEVs corresponds to the electric range;</w:t>
      </w:r>
    </w:p>
    <w:p w14:paraId="6E78486A" w14:textId="0C9D3D40" w:rsidR="00B17EF8" w:rsidRPr="00F91EC4" w:rsidRDefault="00DD0F7B" w:rsidP="00DD0F7B">
      <w:pPr>
        <w:pStyle w:val="Point0"/>
        <w:rPr>
          <w:rFonts w:ascii="inherit" w:hAnsi="inherit"/>
          <w:noProof/>
        </w:rPr>
      </w:pPr>
      <w:r w:rsidRPr="00DD0F7B">
        <w:rPr>
          <w:noProof/>
        </w:rPr>
        <w:t>(68)</w:t>
      </w:r>
      <w:r w:rsidRPr="00DD0F7B">
        <w:rPr>
          <w:noProof/>
        </w:rPr>
        <w:tab/>
      </w:r>
      <w:r w:rsidR="00A265FB" w:rsidRPr="00F91EC4">
        <w:rPr>
          <w:noProof/>
          <w:shd w:val="clear" w:color="auto" w:fill="FFFFFF"/>
        </w:rPr>
        <w:t>‘</w:t>
      </w:r>
      <w:r w:rsidR="002A104D" w:rsidRPr="00F91EC4">
        <w:rPr>
          <w:noProof/>
        </w:rPr>
        <w:t>d</w:t>
      </w:r>
      <w:r w:rsidR="00C31176" w:rsidRPr="00F91EC4">
        <w:rPr>
          <w:noProof/>
        </w:rPr>
        <w:t>ura</w:t>
      </w:r>
      <w:r w:rsidR="000A1542" w:rsidRPr="00F91EC4">
        <w:rPr>
          <w:noProof/>
        </w:rPr>
        <w:t>bility</w:t>
      </w:r>
      <w:r w:rsidR="00C96D0A" w:rsidRPr="00F91EC4">
        <w:rPr>
          <w:noProof/>
        </w:rPr>
        <w:t>’</w:t>
      </w:r>
      <w:r w:rsidR="000A1542" w:rsidRPr="00F91EC4">
        <w:rPr>
          <w:noProof/>
        </w:rPr>
        <w:t xml:space="preserve"> </w:t>
      </w:r>
      <w:r w:rsidR="0067362B" w:rsidRPr="00F91EC4">
        <w:rPr>
          <w:noProof/>
        </w:rPr>
        <w:t>means the</w:t>
      </w:r>
      <w:r w:rsidR="00B17EF8" w:rsidRPr="00F91EC4">
        <w:rPr>
          <w:noProof/>
        </w:rPr>
        <w:t xml:space="preserve"> </w:t>
      </w:r>
      <w:r w:rsidR="0067362B" w:rsidRPr="00F91EC4">
        <w:rPr>
          <w:noProof/>
        </w:rPr>
        <w:t>ability of a system or device, component or any part of the vehicle to maintain its required performance over a given time</w:t>
      </w:r>
      <w:r w:rsidR="00453058" w:rsidRPr="00F91EC4">
        <w:rPr>
          <w:noProof/>
        </w:rPr>
        <w:t>;</w:t>
      </w:r>
    </w:p>
    <w:p w14:paraId="177EEF70" w14:textId="724643A0" w:rsidR="007A1BAE" w:rsidRPr="00F91EC4" w:rsidRDefault="00DD0F7B" w:rsidP="00DD0F7B">
      <w:pPr>
        <w:pStyle w:val="Point0"/>
        <w:rPr>
          <w:noProof/>
        </w:rPr>
      </w:pPr>
      <w:r w:rsidRPr="00DD0F7B">
        <w:rPr>
          <w:noProof/>
        </w:rPr>
        <w:t>(69)</w:t>
      </w:r>
      <w:r w:rsidRPr="00DD0F7B">
        <w:rPr>
          <w:noProof/>
        </w:rPr>
        <w:tab/>
      </w:r>
      <w:r w:rsidR="007A1BAE" w:rsidRPr="00F91EC4">
        <w:rPr>
          <w:noProof/>
        </w:rPr>
        <w:t>‘</w:t>
      </w:r>
      <w:r w:rsidR="00A6763A" w:rsidRPr="00F91EC4">
        <w:rPr>
          <w:noProof/>
        </w:rPr>
        <w:t>b</w:t>
      </w:r>
      <w:r w:rsidR="007A1BAE" w:rsidRPr="00F91EC4">
        <w:rPr>
          <w:noProof/>
        </w:rPr>
        <w:t xml:space="preserve">attery </w:t>
      </w:r>
      <w:r w:rsidR="00A6763A" w:rsidRPr="00F91EC4">
        <w:rPr>
          <w:noProof/>
        </w:rPr>
        <w:t>d</w:t>
      </w:r>
      <w:r w:rsidR="007A1BAE" w:rsidRPr="00F91EC4">
        <w:rPr>
          <w:noProof/>
        </w:rPr>
        <w:t>urability’ means the durability of a traction battery measured in terms of its State of Health</w:t>
      </w:r>
      <w:r w:rsidR="00A662E0" w:rsidRPr="00F91EC4">
        <w:rPr>
          <w:noProof/>
        </w:rPr>
        <w:t>;</w:t>
      </w:r>
    </w:p>
    <w:p w14:paraId="7BB468EF" w14:textId="7704127D" w:rsidR="00CD4940" w:rsidRPr="00F91EC4" w:rsidRDefault="00DD0F7B" w:rsidP="00DD0F7B">
      <w:pPr>
        <w:pStyle w:val="Point0"/>
        <w:rPr>
          <w:rFonts w:ascii="inherit" w:hAnsi="inherit"/>
          <w:noProof/>
        </w:rPr>
      </w:pPr>
      <w:r w:rsidRPr="00DD0F7B">
        <w:rPr>
          <w:noProof/>
        </w:rPr>
        <w:t>(70)</w:t>
      </w:r>
      <w:r w:rsidRPr="00DD0F7B">
        <w:rPr>
          <w:noProof/>
        </w:rPr>
        <w:tab/>
      </w:r>
      <w:r w:rsidR="00CD4940" w:rsidRPr="00F91EC4">
        <w:rPr>
          <w:noProof/>
        </w:rPr>
        <w:t>‘</w:t>
      </w:r>
      <w:r w:rsidR="00824159" w:rsidRPr="00F91EC4">
        <w:rPr>
          <w:noProof/>
        </w:rPr>
        <w:t xml:space="preserve">state </w:t>
      </w:r>
      <w:r w:rsidR="00CD4940" w:rsidRPr="00F91EC4">
        <w:rPr>
          <w:noProof/>
        </w:rPr>
        <w:t xml:space="preserve">of </w:t>
      </w:r>
      <w:r w:rsidR="00824159" w:rsidRPr="00F91EC4">
        <w:rPr>
          <w:noProof/>
        </w:rPr>
        <w:t>health’ or ‘</w:t>
      </w:r>
      <w:r w:rsidR="00CD4940" w:rsidRPr="00F91EC4">
        <w:rPr>
          <w:noProof/>
        </w:rPr>
        <w:t>SOH</w:t>
      </w:r>
      <w:r w:rsidR="00824159" w:rsidRPr="00F91EC4">
        <w:rPr>
          <w:noProof/>
        </w:rPr>
        <w:t>’</w:t>
      </w:r>
      <w:r w:rsidR="00CD4940" w:rsidRPr="00F91EC4">
        <w:rPr>
          <w:noProof/>
        </w:rPr>
        <w:t xml:space="preserve"> means the measured or estimated state of a specific performance metric of a vehicle or </w:t>
      </w:r>
      <w:r w:rsidR="000A1542" w:rsidRPr="00F91EC4">
        <w:rPr>
          <w:noProof/>
        </w:rPr>
        <w:t>traction battery</w:t>
      </w:r>
      <w:r w:rsidR="00CD4940" w:rsidRPr="00F91EC4">
        <w:rPr>
          <w:noProof/>
        </w:rPr>
        <w:t xml:space="preserve"> at a specific point in its lifetime, expressed as a percentage of the performance that was determined when certified or new</w:t>
      </w:r>
      <w:r w:rsidR="00453058" w:rsidRPr="00F91EC4">
        <w:rPr>
          <w:noProof/>
        </w:rPr>
        <w:t>;</w:t>
      </w:r>
    </w:p>
    <w:p w14:paraId="532AA371" w14:textId="1EA6908C" w:rsidR="0064087D" w:rsidRPr="00F91EC4" w:rsidRDefault="00DD0F7B" w:rsidP="00DD0F7B">
      <w:pPr>
        <w:pStyle w:val="Point0"/>
        <w:rPr>
          <w:noProof/>
        </w:rPr>
      </w:pPr>
      <w:r w:rsidRPr="00DD0F7B">
        <w:rPr>
          <w:noProof/>
        </w:rPr>
        <w:t>(71)</w:t>
      </w:r>
      <w:r w:rsidRPr="00DD0F7B">
        <w:rPr>
          <w:noProof/>
        </w:rPr>
        <w:tab/>
      </w:r>
      <w:r w:rsidR="00C9190F" w:rsidRPr="00F91EC4">
        <w:rPr>
          <w:noProof/>
          <w:shd w:val="clear" w:color="auto" w:fill="FFFFFF"/>
        </w:rPr>
        <w:t>‘</w:t>
      </w:r>
      <w:r w:rsidR="00311BAB" w:rsidRPr="00F91EC4">
        <w:rPr>
          <w:noProof/>
        </w:rPr>
        <w:t xml:space="preserve">environmental vehicle passport’ or </w:t>
      </w:r>
      <w:r w:rsidR="00311BAB" w:rsidRPr="00F91EC4">
        <w:rPr>
          <w:noProof/>
          <w:shd w:val="clear" w:color="auto" w:fill="FFFFFF"/>
        </w:rPr>
        <w:t>‘</w:t>
      </w:r>
      <w:r w:rsidR="00311BAB" w:rsidRPr="00F91EC4">
        <w:rPr>
          <w:noProof/>
        </w:rPr>
        <w:t xml:space="preserve">EVP’ </w:t>
      </w:r>
      <w:r w:rsidR="0064087D" w:rsidRPr="00F91EC4">
        <w:rPr>
          <w:noProof/>
        </w:rPr>
        <w:t xml:space="preserve">means a </w:t>
      </w:r>
      <w:r w:rsidR="004960E0" w:rsidRPr="00F91EC4">
        <w:rPr>
          <w:noProof/>
        </w:rPr>
        <w:t xml:space="preserve">record on paper and digital form </w:t>
      </w:r>
      <w:r w:rsidR="0064087D" w:rsidRPr="00F91EC4">
        <w:rPr>
          <w:noProof/>
        </w:rPr>
        <w:t>contain</w:t>
      </w:r>
      <w:r w:rsidR="004960E0" w:rsidRPr="00F91EC4">
        <w:rPr>
          <w:noProof/>
        </w:rPr>
        <w:t>ing</w:t>
      </w:r>
      <w:r w:rsidR="0064087D" w:rsidRPr="00F91EC4">
        <w:rPr>
          <w:noProof/>
        </w:rPr>
        <w:t xml:space="preserve"> information on</w:t>
      </w:r>
      <w:r w:rsidR="00CA5CF2" w:rsidRPr="00F91EC4">
        <w:rPr>
          <w:noProof/>
        </w:rPr>
        <w:t xml:space="preserve"> the environmental performance of a vehicle</w:t>
      </w:r>
      <w:r w:rsidR="004960E0" w:rsidRPr="00F91EC4">
        <w:rPr>
          <w:noProof/>
        </w:rPr>
        <w:t xml:space="preserve"> at the moment of registration</w:t>
      </w:r>
      <w:r w:rsidR="00CA5CF2" w:rsidRPr="00F91EC4">
        <w:rPr>
          <w:noProof/>
        </w:rPr>
        <w:t xml:space="preserve">, </w:t>
      </w:r>
      <w:r w:rsidR="00CC5BC2" w:rsidRPr="00F91EC4">
        <w:rPr>
          <w:noProof/>
        </w:rPr>
        <w:t>including</w:t>
      </w:r>
      <w:r w:rsidR="0064087D" w:rsidRPr="00F91EC4">
        <w:rPr>
          <w:noProof/>
        </w:rPr>
        <w:t xml:space="preserve"> </w:t>
      </w:r>
      <w:r w:rsidR="004960E0" w:rsidRPr="00F91EC4">
        <w:rPr>
          <w:noProof/>
        </w:rPr>
        <w:t xml:space="preserve">the level of </w:t>
      </w:r>
      <w:r w:rsidR="0064087D" w:rsidRPr="00F91EC4">
        <w:rPr>
          <w:noProof/>
        </w:rPr>
        <w:t>pollutant emission limits,</w:t>
      </w:r>
      <w:r w:rsidR="006A0D10" w:rsidRPr="00F91EC4">
        <w:rPr>
          <w:noProof/>
        </w:rPr>
        <w:t xml:space="preserve"> </w:t>
      </w:r>
      <w:r w:rsidR="00CA5CF2" w:rsidRPr="00F91EC4">
        <w:rPr>
          <w:noProof/>
        </w:rPr>
        <w:t>CO</w:t>
      </w:r>
      <w:r w:rsidR="00CA5CF2" w:rsidRPr="00F91EC4">
        <w:rPr>
          <w:noProof/>
          <w:vertAlign w:val="subscript"/>
        </w:rPr>
        <w:t>2</w:t>
      </w:r>
      <w:r w:rsidR="00CA5CF2" w:rsidRPr="00F91EC4">
        <w:rPr>
          <w:noProof/>
        </w:rPr>
        <w:t xml:space="preserve"> emissions, fuel consumption, energy consumption, electric range and engine power, </w:t>
      </w:r>
      <w:r w:rsidR="0064087D" w:rsidRPr="00F91EC4">
        <w:rPr>
          <w:noProof/>
        </w:rPr>
        <w:t xml:space="preserve">and battery </w:t>
      </w:r>
      <w:r w:rsidR="00786BB1" w:rsidRPr="00F91EC4">
        <w:rPr>
          <w:noProof/>
        </w:rPr>
        <w:t>durability</w:t>
      </w:r>
      <w:r w:rsidR="00A6763A" w:rsidRPr="00F91EC4">
        <w:rPr>
          <w:noProof/>
        </w:rPr>
        <w:t xml:space="preserve"> </w:t>
      </w:r>
      <w:r w:rsidR="00CA5CF2" w:rsidRPr="00F91EC4">
        <w:rPr>
          <w:noProof/>
        </w:rPr>
        <w:t>and other related values</w:t>
      </w:r>
      <w:r w:rsidR="00A662E0" w:rsidRPr="00F91EC4">
        <w:rPr>
          <w:noProof/>
        </w:rPr>
        <w:t>;</w:t>
      </w:r>
      <w:r w:rsidR="0064087D" w:rsidRPr="00F91EC4">
        <w:rPr>
          <w:noProof/>
        </w:rPr>
        <w:t xml:space="preserve"> </w:t>
      </w:r>
    </w:p>
    <w:p w14:paraId="25CD0164" w14:textId="00F6FF23" w:rsidR="001225B1" w:rsidRPr="00F91EC4" w:rsidRDefault="00DD0F7B" w:rsidP="00DD0F7B">
      <w:pPr>
        <w:pStyle w:val="Point0"/>
        <w:rPr>
          <w:noProof/>
        </w:rPr>
      </w:pPr>
      <w:r w:rsidRPr="00DD0F7B">
        <w:rPr>
          <w:noProof/>
        </w:rPr>
        <w:t>(72)</w:t>
      </w:r>
      <w:r w:rsidRPr="00DD0F7B">
        <w:rPr>
          <w:noProof/>
        </w:rPr>
        <w:tab/>
      </w:r>
      <w:r w:rsidR="001225B1" w:rsidRPr="00F91EC4">
        <w:rPr>
          <w:noProof/>
          <w:shd w:val="clear" w:color="auto" w:fill="FFFFFF"/>
        </w:rPr>
        <w:t>‘</w:t>
      </w:r>
      <w:r w:rsidR="001225B1" w:rsidRPr="00F91EC4">
        <w:rPr>
          <w:noProof/>
        </w:rPr>
        <w:t>excess emissions driver warning system’ means a system designed, constructed and installed in a vehicle to provide information to the user about excess emissions and enforce repairs;</w:t>
      </w:r>
    </w:p>
    <w:p w14:paraId="44BB1CEA" w14:textId="37E5ABA7" w:rsidR="001225B1" w:rsidRPr="00F91EC4" w:rsidRDefault="00DD0F7B" w:rsidP="00DD0F7B">
      <w:pPr>
        <w:pStyle w:val="Point0"/>
        <w:rPr>
          <w:noProof/>
        </w:rPr>
      </w:pPr>
      <w:r w:rsidRPr="00DD0F7B">
        <w:rPr>
          <w:noProof/>
        </w:rPr>
        <w:t>(73)</w:t>
      </w:r>
      <w:r w:rsidRPr="00DD0F7B">
        <w:rPr>
          <w:noProof/>
        </w:rPr>
        <w:tab/>
      </w:r>
      <w:r w:rsidR="001225B1" w:rsidRPr="00F91EC4">
        <w:rPr>
          <w:noProof/>
          <w:shd w:val="clear" w:color="auto" w:fill="FFFFFF"/>
        </w:rPr>
        <w:t>‘</w:t>
      </w:r>
      <w:r w:rsidR="001225B1" w:rsidRPr="00F91EC4">
        <w:rPr>
          <w:noProof/>
        </w:rPr>
        <w:t>low-reagent driver warning system’ means a system designed, constructed and installed in a vehicle to warn the user of the low level of the consumable reagent, and enforce the use of the reagent;</w:t>
      </w:r>
    </w:p>
    <w:p w14:paraId="595110B4" w14:textId="697B3D25" w:rsidR="00EF37B8" w:rsidRPr="00F91EC4" w:rsidRDefault="00DD0F7B" w:rsidP="00DD0F7B">
      <w:pPr>
        <w:pStyle w:val="Point0"/>
        <w:rPr>
          <w:noProof/>
        </w:rPr>
      </w:pPr>
      <w:r w:rsidRPr="00DD0F7B">
        <w:rPr>
          <w:noProof/>
        </w:rPr>
        <w:t>(74)</w:t>
      </w:r>
      <w:r w:rsidRPr="00DD0F7B">
        <w:rPr>
          <w:noProof/>
        </w:rPr>
        <w:tab/>
      </w:r>
      <w:r w:rsidR="00C9190F" w:rsidRPr="00F91EC4">
        <w:rPr>
          <w:noProof/>
          <w:shd w:val="clear" w:color="auto" w:fill="FFFFFF"/>
        </w:rPr>
        <w:t>‘</w:t>
      </w:r>
      <w:r w:rsidR="00311BAB" w:rsidRPr="00F91EC4">
        <w:rPr>
          <w:noProof/>
        </w:rPr>
        <w:t xml:space="preserve">idle </w:t>
      </w:r>
      <w:r w:rsidR="00370E4E" w:rsidRPr="00F91EC4">
        <w:rPr>
          <w:noProof/>
        </w:rPr>
        <w:t>emissions</w:t>
      </w:r>
      <w:r w:rsidR="00C9190F" w:rsidRPr="00F91EC4">
        <w:rPr>
          <w:noProof/>
        </w:rPr>
        <w:t>’</w:t>
      </w:r>
      <w:r w:rsidR="00370E4E" w:rsidRPr="00F91EC4">
        <w:rPr>
          <w:noProof/>
        </w:rPr>
        <w:t xml:space="preserve"> means exhaust emissions </w:t>
      </w:r>
      <w:r w:rsidR="00AD57DE" w:rsidRPr="00F91EC4">
        <w:rPr>
          <w:noProof/>
        </w:rPr>
        <w:t>produced when</w:t>
      </w:r>
      <w:r w:rsidR="00370E4E" w:rsidRPr="00F91EC4">
        <w:rPr>
          <w:noProof/>
        </w:rPr>
        <w:t xml:space="preserve"> the internal combustion engine operates but is not under load for the purposes of propelling the vehicle</w:t>
      </w:r>
      <w:r w:rsidR="00D7763F" w:rsidRPr="00F91EC4">
        <w:rPr>
          <w:noProof/>
        </w:rPr>
        <w:t>;</w:t>
      </w:r>
    </w:p>
    <w:p w14:paraId="15FA9F1D" w14:textId="3E01E356" w:rsidR="00E7708C" w:rsidRPr="00BE1F3D" w:rsidRDefault="00DD0F7B" w:rsidP="00DD0F7B">
      <w:pPr>
        <w:pStyle w:val="Point0"/>
        <w:rPr>
          <w:noProof/>
        </w:rPr>
      </w:pPr>
      <w:r w:rsidRPr="00DD0F7B">
        <w:rPr>
          <w:noProof/>
        </w:rPr>
        <w:t>(75)</w:t>
      </w:r>
      <w:r w:rsidRPr="00DD0F7B">
        <w:rPr>
          <w:noProof/>
        </w:rPr>
        <w:tab/>
      </w:r>
      <w:r w:rsidR="00EF37B8" w:rsidRPr="00F91EC4">
        <w:rPr>
          <w:noProof/>
          <w:shd w:val="clear" w:color="auto" w:fill="FFFFFF"/>
        </w:rPr>
        <w:t>‘</w:t>
      </w:r>
      <w:r w:rsidR="00EF37B8" w:rsidRPr="00F91EC4">
        <w:rPr>
          <w:noProof/>
        </w:rPr>
        <w:t xml:space="preserve">declaration of conformity’ means a declaration by the manufacturer that a specific type or group of vehicles, </w:t>
      </w:r>
      <w:r w:rsidR="00AF6D35" w:rsidRPr="00F91EC4">
        <w:rPr>
          <w:noProof/>
        </w:rPr>
        <w:t xml:space="preserve">component or </w:t>
      </w:r>
      <w:r w:rsidR="00EF37B8" w:rsidRPr="00F91EC4">
        <w:rPr>
          <w:noProof/>
        </w:rPr>
        <w:t>separate technical unit is in conformity with th</w:t>
      </w:r>
      <w:r w:rsidR="00E050A3" w:rsidRPr="00F91EC4">
        <w:rPr>
          <w:noProof/>
        </w:rPr>
        <w:t>e requirements of th</w:t>
      </w:r>
      <w:r w:rsidR="00EF37B8" w:rsidRPr="00F91EC4">
        <w:rPr>
          <w:noProof/>
        </w:rPr>
        <w:t>is regulation</w:t>
      </w:r>
    </w:p>
    <w:p w14:paraId="4AB6C738" w14:textId="1B023041" w:rsidR="000A6594" w:rsidRDefault="00DD0F7B" w:rsidP="00DD0F7B">
      <w:pPr>
        <w:pStyle w:val="Point0"/>
        <w:rPr>
          <w:noProof/>
        </w:rPr>
      </w:pPr>
      <w:r w:rsidRPr="00DD0F7B">
        <w:rPr>
          <w:noProof/>
        </w:rPr>
        <w:t>(76)</w:t>
      </w:r>
      <w:r w:rsidRPr="00DD0F7B">
        <w:rPr>
          <w:noProof/>
        </w:rPr>
        <w:tab/>
      </w:r>
      <w:r w:rsidR="00546A7D">
        <w:rPr>
          <w:noProof/>
        </w:rPr>
        <w:t>‘energy efficiency of a trailer’ means the performance of a trailer with regard to its influence on the CO</w:t>
      </w:r>
      <w:r w:rsidR="00546A7D" w:rsidRPr="00C76522">
        <w:rPr>
          <w:noProof/>
          <w:vertAlign w:val="subscript"/>
        </w:rPr>
        <w:t xml:space="preserve">2 </w:t>
      </w:r>
      <w:r w:rsidR="00546A7D">
        <w:rPr>
          <w:noProof/>
        </w:rPr>
        <w:t>emissions, fuel and energy consumption, zero-emission range, electric range and engine power of a towing motor vehicle</w:t>
      </w:r>
      <w:r w:rsidR="000A6594">
        <w:rPr>
          <w:noProof/>
        </w:rPr>
        <w:t>;</w:t>
      </w:r>
    </w:p>
    <w:p w14:paraId="61058536" w14:textId="5673293F" w:rsidR="000A6594" w:rsidRDefault="00DD0F7B" w:rsidP="00DD0F7B">
      <w:pPr>
        <w:pStyle w:val="Point0"/>
        <w:rPr>
          <w:noProof/>
        </w:rPr>
      </w:pPr>
      <w:r w:rsidRPr="00DD0F7B">
        <w:rPr>
          <w:noProof/>
        </w:rPr>
        <w:t>(77)</w:t>
      </w:r>
      <w:r w:rsidRPr="00DD0F7B">
        <w:rPr>
          <w:noProof/>
        </w:rPr>
        <w:tab/>
      </w:r>
      <w:r w:rsidR="000A6594">
        <w:rPr>
          <w:noProof/>
        </w:rPr>
        <w:t>"</w:t>
      </w:r>
      <w:r w:rsidR="00855863">
        <w:rPr>
          <w:noProof/>
        </w:rPr>
        <w:t>s</w:t>
      </w:r>
      <w:r w:rsidR="000A6594">
        <w:rPr>
          <w:noProof/>
        </w:rPr>
        <w:t>now tyre" means a tyre whose tread pattern, tread compound or structure is primarily designed to achieve in snow conditions a performance better than that of a normal tyre with regard to its ability to initiate or maintain vehicle motion;</w:t>
      </w:r>
    </w:p>
    <w:p w14:paraId="2BD4489A" w14:textId="1CDFF2D2" w:rsidR="00546A7D" w:rsidRDefault="00DD0F7B" w:rsidP="00DD0F7B">
      <w:pPr>
        <w:pStyle w:val="Point0"/>
        <w:rPr>
          <w:noProof/>
        </w:rPr>
      </w:pPr>
      <w:r w:rsidRPr="00DD0F7B">
        <w:rPr>
          <w:noProof/>
        </w:rPr>
        <w:t>(78)</w:t>
      </w:r>
      <w:r w:rsidRPr="00DD0F7B">
        <w:rPr>
          <w:noProof/>
        </w:rPr>
        <w:tab/>
      </w:r>
      <w:r w:rsidR="000A6594">
        <w:rPr>
          <w:noProof/>
        </w:rPr>
        <w:t>"</w:t>
      </w:r>
      <w:r w:rsidR="2385E598">
        <w:rPr>
          <w:noProof/>
        </w:rPr>
        <w:t>s</w:t>
      </w:r>
      <w:r w:rsidR="14AD70E0">
        <w:rPr>
          <w:noProof/>
        </w:rPr>
        <w:t>pecial</w:t>
      </w:r>
      <w:r w:rsidR="000A6594">
        <w:rPr>
          <w:noProof/>
        </w:rPr>
        <w:t xml:space="preserve"> use tyre" means a tyre intended for mixed use both on- and off-road or for other special duty. These tyres are primarily designed to initiate and maintain the vehicle in motion in off-road conditions.</w:t>
      </w:r>
    </w:p>
    <w:p w14:paraId="09F20993" w14:textId="77777777" w:rsidR="00EB0FCC" w:rsidRPr="00F91EC4" w:rsidRDefault="00EB0FCC" w:rsidP="00EB0FCC">
      <w:pPr>
        <w:pStyle w:val="ChapterTitle"/>
        <w:rPr>
          <w:noProof/>
          <w:color w:val="000000" w:themeColor="text1"/>
        </w:rPr>
      </w:pPr>
      <w:r w:rsidRPr="00F91EC4">
        <w:rPr>
          <w:noProof/>
          <w:color w:val="000000" w:themeColor="text1"/>
        </w:rPr>
        <w:t>Chapter II – Manufacturers’ obligations</w:t>
      </w:r>
    </w:p>
    <w:p w14:paraId="256606C6" w14:textId="77777777" w:rsidR="00B56046" w:rsidRPr="00F91EC4" w:rsidRDefault="00B56046" w:rsidP="00D327FD">
      <w:pPr>
        <w:pStyle w:val="Titrearticle"/>
        <w:rPr>
          <w:noProof/>
          <w:color w:val="000000" w:themeColor="text1"/>
        </w:rPr>
      </w:pPr>
      <w:r w:rsidRPr="00F91EC4">
        <w:rPr>
          <w:noProof/>
          <w:color w:val="000000" w:themeColor="text1"/>
        </w:rPr>
        <w:t>Article 4</w:t>
      </w:r>
      <w:r w:rsidRPr="00F91EC4">
        <w:rPr>
          <w:noProof/>
          <w:color w:val="000000" w:themeColor="text1"/>
        </w:rPr>
        <w:br/>
      </w:r>
      <w:r w:rsidRPr="00F91EC4">
        <w:rPr>
          <w:b/>
          <w:i w:val="0"/>
          <w:noProof/>
          <w:color w:val="000000" w:themeColor="text1"/>
        </w:rPr>
        <w:t xml:space="preserve">Obligations of the </w:t>
      </w:r>
      <w:r w:rsidR="00A43086" w:rsidRPr="00F91EC4">
        <w:rPr>
          <w:b/>
          <w:i w:val="0"/>
          <w:noProof/>
          <w:color w:val="000000" w:themeColor="text1"/>
        </w:rPr>
        <w:t>m</w:t>
      </w:r>
      <w:r w:rsidRPr="00F91EC4">
        <w:rPr>
          <w:b/>
          <w:i w:val="0"/>
          <w:noProof/>
          <w:color w:val="000000" w:themeColor="text1"/>
        </w:rPr>
        <w:t>anufacturers</w:t>
      </w:r>
      <w:r w:rsidR="00F5774E" w:rsidRPr="00F91EC4">
        <w:rPr>
          <w:b/>
          <w:i w:val="0"/>
          <w:noProof/>
          <w:color w:val="000000" w:themeColor="text1"/>
        </w:rPr>
        <w:t xml:space="preserve"> </w:t>
      </w:r>
      <w:r w:rsidR="008A1FE4" w:rsidRPr="00F91EC4">
        <w:rPr>
          <w:b/>
          <w:i w:val="0"/>
          <w:noProof/>
          <w:color w:val="000000" w:themeColor="text1"/>
        </w:rPr>
        <w:t>concerning</w:t>
      </w:r>
      <w:r w:rsidR="00F5774E" w:rsidRPr="00F91EC4">
        <w:rPr>
          <w:b/>
          <w:i w:val="0"/>
          <w:noProof/>
          <w:color w:val="000000" w:themeColor="text1"/>
        </w:rPr>
        <w:t xml:space="preserve"> </w:t>
      </w:r>
      <w:r w:rsidR="001A3618" w:rsidRPr="00F91EC4">
        <w:rPr>
          <w:b/>
          <w:i w:val="0"/>
          <w:noProof/>
          <w:color w:val="000000" w:themeColor="text1"/>
        </w:rPr>
        <w:t>construction of vehicles</w:t>
      </w:r>
    </w:p>
    <w:p w14:paraId="561EA083" w14:textId="2CC501B9" w:rsidR="00E9478D" w:rsidRPr="00F91EC4" w:rsidRDefault="00DD0F7B" w:rsidP="00DD0F7B">
      <w:pPr>
        <w:pStyle w:val="ManualNumPar1"/>
        <w:rPr>
          <w:noProof/>
        </w:rPr>
      </w:pPr>
      <w:r w:rsidRPr="00DD0F7B">
        <w:rPr>
          <w:noProof/>
        </w:rPr>
        <w:t>1.</w:t>
      </w:r>
      <w:r w:rsidRPr="00DD0F7B">
        <w:rPr>
          <w:noProof/>
        </w:rPr>
        <w:tab/>
      </w:r>
      <w:r w:rsidR="00A43086" w:rsidRPr="00F91EC4">
        <w:rPr>
          <w:noProof/>
        </w:rPr>
        <w:t>M</w:t>
      </w:r>
      <w:r w:rsidR="00B56046" w:rsidRPr="00F91EC4">
        <w:rPr>
          <w:noProof/>
        </w:rPr>
        <w:t xml:space="preserve">anufacturers shall ensure that </w:t>
      </w:r>
      <w:r w:rsidR="007065B8">
        <w:rPr>
          <w:noProof/>
        </w:rPr>
        <w:t>the</w:t>
      </w:r>
      <w:r w:rsidR="007065B8" w:rsidRPr="00F91EC4">
        <w:rPr>
          <w:noProof/>
        </w:rPr>
        <w:t xml:space="preserve"> </w:t>
      </w:r>
      <w:r w:rsidR="00B56046" w:rsidRPr="00F91EC4">
        <w:rPr>
          <w:noProof/>
        </w:rPr>
        <w:t>new vehicles</w:t>
      </w:r>
      <w:r w:rsidR="0031648D" w:rsidRPr="00F91EC4">
        <w:rPr>
          <w:noProof/>
        </w:rPr>
        <w:t xml:space="preserve"> </w:t>
      </w:r>
      <w:r w:rsidR="007065B8">
        <w:rPr>
          <w:noProof/>
        </w:rPr>
        <w:t xml:space="preserve">they manufacture, </w:t>
      </w:r>
      <w:r w:rsidR="00316B5A">
        <w:rPr>
          <w:noProof/>
        </w:rPr>
        <w:t>which</w:t>
      </w:r>
      <w:r w:rsidR="007065B8">
        <w:rPr>
          <w:noProof/>
        </w:rPr>
        <w:t xml:space="preserve"> are </w:t>
      </w:r>
      <w:r w:rsidR="00B56046" w:rsidRPr="00F91EC4">
        <w:rPr>
          <w:noProof/>
        </w:rPr>
        <w:t>sold, registered or put into service in the Union</w:t>
      </w:r>
      <w:r w:rsidR="007065B8">
        <w:rPr>
          <w:noProof/>
        </w:rPr>
        <w:t>,</w:t>
      </w:r>
      <w:r w:rsidR="00B56046" w:rsidRPr="00F91EC4">
        <w:rPr>
          <w:noProof/>
        </w:rPr>
        <w:t xml:space="preserve"> are type approved in accordance with this Regulation</w:t>
      </w:r>
      <w:r w:rsidR="005B433E" w:rsidRPr="00F91EC4">
        <w:rPr>
          <w:noProof/>
        </w:rPr>
        <w:t xml:space="preserve">. </w:t>
      </w:r>
      <w:r w:rsidR="00A43086" w:rsidRPr="00F91EC4">
        <w:rPr>
          <w:noProof/>
        </w:rPr>
        <w:t>M</w:t>
      </w:r>
      <w:r w:rsidR="000836AA" w:rsidRPr="00F91EC4">
        <w:rPr>
          <w:noProof/>
        </w:rPr>
        <w:t xml:space="preserve">anufacturers </w:t>
      </w:r>
      <w:r w:rsidR="005B433E" w:rsidRPr="00F91EC4">
        <w:rPr>
          <w:noProof/>
        </w:rPr>
        <w:t>shall</w:t>
      </w:r>
      <w:r w:rsidR="00B56046" w:rsidRPr="00F91EC4">
        <w:rPr>
          <w:noProof/>
        </w:rPr>
        <w:t xml:space="preserve"> ensure that </w:t>
      </w:r>
      <w:r w:rsidR="007065B8">
        <w:rPr>
          <w:noProof/>
        </w:rPr>
        <w:t>the</w:t>
      </w:r>
      <w:r w:rsidR="007065B8" w:rsidRPr="00F91EC4">
        <w:rPr>
          <w:noProof/>
        </w:rPr>
        <w:t xml:space="preserve"> </w:t>
      </w:r>
      <w:r w:rsidR="00B56046" w:rsidRPr="00F91EC4">
        <w:rPr>
          <w:noProof/>
        </w:rPr>
        <w:t xml:space="preserve">new </w:t>
      </w:r>
      <w:r w:rsidR="0064440B" w:rsidRPr="00F91EC4">
        <w:rPr>
          <w:noProof/>
        </w:rPr>
        <w:t>components or separate technical units</w:t>
      </w:r>
      <w:r w:rsidR="00B56046" w:rsidRPr="00F91EC4">
        <w:rPr>
          <w:noProof/>
        </w:rPr>
        <w:t xml:space="preserve">, including </w:t>
      </w:r>
      <w:r w:rsidR="008A1FE4" w:rsidRPr="00F91EC4">
        <w:rPr>
          <w:noProof/>
        </w:rPr>
        <w:t xml:space="preserve">engines, </w:t>
      </w:r>
      <w:r w:rsidR="0064440B" w:rsidRPr="00F91EC4">
        <w:rPr>
          <w:noProof/>
        </w:rPr>
        <w:t xml:space="preserve">traction </w:t>
      </w:r>
      <w:r w:rsidR="008A1FE4" w:rsidRPr="00F91EC4">
        <w:rPr>
          <w:noProof/>
        </w:rPr>
        <w:t xml:space="preserve">batteries, </w:t>
      </w:r>
      <w:r w:rsidR="00B56046" w:rsidRPr="00F91EC4">
        <w:rPr>
          <w:noProof/>
        </w:rPr>
        <w:t xml:space="preserve">brake </w:t>
      </w:r>
      <w:r w:rsidR="00046CCD" w:rsidRPr="00F91EC4">
        <w:rPr>
          <w:noProof/>
        </w:rPr>
        <w:t xml:space="preserve">systems </w:t>
      </w:r>
      <w:r w:rsidR="00B56046" w:rsidRPr="00F91EC4">
        <w:rPr>
          <w:noProof/>
        </w:rPr>
        <w:t xml:space="preserve">and replacement pollution control </w:t>
      </w:r>
      <w:r w:rsidR="00046CCD" w:rsidRPr="00F91EC4">
        <w:rPr>
          <w:noProof/>
        </w:rPr>
        <w:t xml:space="preserve">systems </w:t>
      </w:r>
      <w:r w:rsidR="00B56046" w:rsidRPr="00F91EC4">
        <w:rPr>
          <w:noProof/>
        </w:rPr>
        <w:t xml:space="preserve">requiring </w:t>
      </w:r>
      <w:r w:rsidR="00976BDB" w:rsidRPr="00F91EC4">
        <w:rPr>
          <w:noProof/>
        </w:rPr>
        <w:t>type-approval</w:t>
      </w:r>
      <w:r w:rsidR="00A43086" w:rsidRPr="00F91EC4">
        <w:rPr>
          <w:noProof/>
        </w:rPr>
        <w:t xml:space="preserve"> </w:t>
      </w:r>
      <w:r w:rsidR="00B56046" w:rsidRPr="00F91EC4">
        <w:rPr>
          <w:noProof/>
        </w:rPr>
        <w:t xml:space="preserve">which </w:t>
      </w:r>
      <w:r w:rsidR="007065B8">
        <w:rPr>
          <w:noProof/>
        </w:rPr>
        <w:t xml:space="preserve">they manufacture and </w:t>
      </w:r>
      <w:r w:rsidR="00767659">
        <w:rPr>
          <w:noProof/>
        </w:rPr>
        <w:t>which</w:t>
      </w:r>
      <w:r w:rsidR="007065B8">
        <w:rPr>
          <w:noProof/>
        </w:rPr>
        <w:t xml:space="preserve"> </w:t>
      </w:r>
      <w:r w:rsidR="00B56046" w:rsidRPr="00F91EC4">
        <w:rPr>
          <w:noProof/>
        </w:rPr>
        <w:t>are sold or put into service in the Union are type approved in accordance with this Regulation</w:t>
      </w:r>
    </w:p>
    <w:p w14:paraId="70009F79" w14:textId="5139AD95" w:rsidR="001A3618" w:rsidRDefault="00DD0F7B" w:rsidP="00DD0F7B">
      <w:pPr>
        <w:pStyle w:val="ManualNumPar1"/>
        <w:rPr>
          <w:noProof/>
        </w:rPr>
      </w:pPr>
      <w:r w:rsidRPr="00DD0F7B">
        <w:rPr>
          <w:noProof/>
        </w:rPr>
        <w:t>2.</w:t>
      </w:r>
      <w:r w:rsidRPr="00DD0F7B">
        <w:rPr>
          <w:noProof/>
        </w:rPr>
        <w:tab/>
      </w:r>
      <w:r w:rsidR="00A43086" w:rsidRPr="00F91EC4">
        <w:rPr>
          <w:noProof/>
        </w:rPr>
        <w:t>M</w:t>
      </w:r>
      <w:r w:rsidR="001A3618" w:rsidRPr="00F91EC4">
        <w:rPr>
          <w:noProof/>
        </w:rPr>
        <w:t>anufacturer</w:t>
      </w:r>
      <w:r w:rsidR="000836AA" w:rsidRPr="00F91EC4">
        <w:rPr>
          <w:noProof/>
        </w:rPr>
        <w:t>s</w:t>
      </w:r>
      <w:r w:rsidR="001A3618" w:rsidRPr="00F91EC4">
        <w:rPr>
          <w:noProof/>
        </w:rPr>
        <w:t xml:space="preserve"> shall </w:t>
      </w:r>
      <w:r w:rsidR="00A33540" w:rsidRPr="00F91EC4">
        <w:rPr>
          <w:noProof/>
        </w:rPr>
        <w:t xml:space="preserve">design, construct and assemble </w:t>
      </w:r>
      <w:r w:rsidR="001A3618" w:rsidRPr="00F91EC4">
        <w:rPr>
          <w:noProof/>
        </w:rPr>
        <w:t xml:space="preserve">vehicles </w:t>
      </w:r>
      <w:r w:rsidR="00A33540" w:rsidRPr="00F91EC4">
        <w:rPr>
          <w:noProof/>
        </w:rPr>
        <w:t xml:space="preserve">to </w:t>
      </w:r>
      <w:r w:rsidR="001A3618" w:rsidRPr="00F91EC4">
        <w:rPr>
          <w:noProof/>
        </w:rPr>
        <w:t xml:space="preserve">comply with this Regulation, including </w:t>
      </w:r>
      <w:r w:rsidR="00823106">
        <w:rPr>
          <w:noProof/>
        </w:rPr>
        <w:t xml:space="preserve">complying with the </w:t>
      </w:r>
      <w:r w:rsidR="00823106" w:rsidRPr="00F91EC4">
        <w:rPr>
          <w:noProof/>
        </w:rPr>
        <w:t xml:space="preserve">emission limits set out in Annex </w:t>
      </w:r>
      <w:r w:rsidR="00D66001">
        <w:rPr>
          <w:noProof/>
        </w:rPr>
        <w:t>I</w:t>
      </w:r>
      <w:r w:rsidR="003C2588">
        <w:rPr>
          <w:noProof/>
        </w:rPr>
        <w:t xml:space="preserve"> </w:t>
      </w:r>
      <w:r w:rsidR="00823106">
        <w:rPr>
          <w:noProof/>
        </w:rPr>
        <w:t xml:space="preserve">and </w:t>
      </w:r>
      <w:r w:rsidR="001A3618" w:rsidRPr="00F91EC4">
        <w:rPr>
          <w:noProof/>
        </w:rPr>
        <w:t xml:space="preserve">respecting the values declared in the </w:t>
      </w:r>
      <w:r w:rsidR="00377628" w:rsidRPr="00F91EC4">
        <w:rPr>
          <w:noProof/>
        </w:rPr>
        <w:t xml:space="preserve">certificate </w:t>
      </w:r>
      <w:r w:rsidR="001A3618" w:rsidRPr="00F91EC4">
        <w:rPr>
          <w:noProof/>
        </w:rPr>
        <w:t xml:space="preserve">of </w:t>
      </w:r>
      <w:r w:rsidR="00377628" w:rsidRPr="00F91EC4">
        <w:rPr>
          <w:noProof/>
        </w:rPr>
        <w:t xml:space="preserve">conformity </w:t>
      </w:r>
      <w:r w:rsidR="001A3618" w:rsidRPr="00F91EC4">
        <w:rPr>
          <w:noProof/>
        </w:rPr>
        <w:t xml:space="preserve">and in the </w:t>
      </w:r>
      <w:r w:rsidR="00976BDB" w:rsidRPr="00F91EC4">
        <w:rPr>
          <w:noProof/>
        </w:rPr>
        <w:t>type-approval</w:t>
      </w:r>
      <w:r w:rsidR="001A3618" w:rsidRPr="00F91EC4">
        <w:rPr>
          <w:noProof/>
        </w:rPr>
        <w:t xml:space="preserve"> documentation for the lifetime of the vehicle</w:t>
      </w:r>
      <w:r w:rsidR="00D66001">
        <w:rPr>
          <w:noProof/>
        </w:rPr>
        <w:t xml:space="preserve"> as set out in </w:t>
      </w:r>
      <w:r w:rsidR="00E84CC1">
        <w:rPr>
          <w:noProof/>
        </w:rPr>
        <w:t>t</w:t>
      </w:r>
      <w:r w:rsidR="00D66001">
        <w:rPr>
          <w:noProof/>
        </w:rPr>
        <w:t>able 1 of Annex IV</w:t>
      </w:r>
      <w:r w:rsidR="001A3618" w:rsidRPr="00F91EC4">
        <w:rPr>
          <w:noProof/>
        </w:rPr>
        <w:t>.</w:t>
      </w:r>
      <w:r w:rsidR="00D66001" w:rsidRPr="00D66001">
        <w:rPr>
          <w:noProof/>
        </w:rPr>
        <w:t xml:space="preserve"> </w:t>
      </w:r>
      <w:r w:rsidR="00D66001" w:rsidRPr="00F91EC4">
        <w:rPr>
          <w:noProof/>
        </w:rPr>
        <w:t xml:space="preserve">These vehicles shall be </w:t>
      </w:r>
      <w:r w:rsidR="00D66001">
        <w:rPr>
          <w:noProof/>
        </w:rPr>
        <w:t>designated</w:t>
      </w:r>
      <w:r w:rsidR="00D66001" w:rsidRPr="00F91EC4">
        <w:rPr>
          <w:noProof/>
        </w:rPr>
        <w:t xml:space="preserve"> as “Euro 7” vehicles.</w:t>
      </w:r>
    </w:p>
    <w:p w14:paraId="62F2D5A6" w14:textId="1B135F3F" w:rsidR="00533ABA" w:rsidRDefault="00DD0F7B" w:rsidP="00DD0F7B">
      <w:pPr>
        <w:pStyle w:val="ManualNumPar1"/>
        <w:rPr>
          <w:noProof/>
        </w:rPr>
      </w:pPr>
      <w:r w:rsidRPr="00DD0F7B">
        <w:rPr>
          <w:noProof/>
        </w:rPr>
        <w:t>3.</w:t>
      </w:r>
      <w:r w:rsidRPr="00DD0F7B">
        <w:rPr>
          <w:noProof/>
        </w:rPr>
        <w:tab/>
      </w:r>
      <w:r w:rsidR="00E84CC1">
        <w:rPr>
          <w:noProof/>
        </w:rPr>
        <w:t>When</w:t>
      </w:r>
      <w:r w:rsidR="009503EA">
        <w:rPr>
          <w:noProof/>
        </w:rPr>
        <w:t xml:space="preserve"> </w:t>
      </w:r>
      <w:r w:rsidR="00E84CC1">
        <w:rPr>
          <w:noProof/>
        </w:rPr>
        <w:t>verifying</w:t>
      </w:r>
      <w:r w:rsidR="009503EA">
        <w:rPr>
          <w:noProof/>
        </w:rPr>
        <w:t xml:space="preserve"> compliance with the exhaust emission limits, where the testing is performed in extended driving conditions</w:t>
      </w:r>
      <w:r w:rsidR="00E84CC1">
        <w:rPr>
          <w:noProof/>
        </w:rPr>
        <w:t>,</w:t>
      </w:r>
      <w:r w:rsidR="009503EA">
        <w:rPr>
          <w:noProof/>
        </w:rPr>
        <w:t xml:space="preserve"> </w:t>
      </w:r>
      <w:r w:rsidR="006156D8">
        <w:rPr>
          <w:noProof/>
        </w:rPr>
        <w:t xml:space="preserve">the emissions </w:t>
      </w:r>
      <w:r w:rsidR="009503EA">
        <w:rPr>
          <w:noProof/>
        </w:rPr>
        <w:t xml:space="preserve">shall be divided by the extended driving divider set out in Annex III. </w:t>
      </w:r>
    </w:p>
    <w:p w14:paraId="18FB2257" w14:textId="77777777" w:rsidR="00B5636F" w:rsidRPr="00E83594" w:rsidRDefault="00B5636F" w:rsidP="00E83594">
      <w:pPr>
        <w:pStyle w:val="Text1"/>
        <w:rPr>
          <w:noProof/>
        </w:rPr>
      </w:pPr>
      <w:r>
        <w:rPr>
          <w:noProof/>
          <w:color w:val="000000" w:themeColor="text1"/>
        </w:rPr>
        <w:t xml:space="preserve">The emissions during regeneration </w:t>
      </w:r>
      <w:r>
        <w:rPr>
          <w:noProof/>
        </w:rPr>
        <w:t>of pollution control systems will be included as a weighted average based on the frequency and duration of the regeneration events.</w:t>
      </w:r>
    </w:p>
    <w:p w14:paraId="75611FB2" w14:textId="2B6349CF" w:rsidR="003C2588" w:rsidRPr="00E84CC1" w:rsidRDefault="00DD0F7B" w:rsidP="00DD0F7B">
      <w:pPr>
        <w:pStyle w:val="ManualNumPar1"/>
        <w:rPr>
          <w:noProof/>
        </w:rPr>
      </w:pPr>
      <w:r w:rsidRPr="00DD0F7B">
        <w:rPr>
          <w:noProof/>
        </w:rPr>
        <w:t>4.</w:t>
      </w:r>
      <w:r w:rsidRPr="00DD0F7B">
        <w:rPr>
          <w:noProof/>
        </w:rPr>
        <w:tab/>
      </w:r>
      <w:r w:rsidR="003C2588">
        <w:rPr>
          <w:noProof/>
        </w:rPr>
        <w:t xml:space="preserve">Manufacturers shall design and construct </w:t>
      </w:r>
      <w:r w:rsidR="003C2588" w:rsidRPr="00F91EC4">
        <w:rPr>
          <w:noProof/>
        </w:rPr>
        <w:t>components or separate technical units, including engines, traction batteries, brake systems and replacement pollution control systems</w:t>
      </w:r>
      <w:r w:rsidR="003C2588">
        <w:rPr>
          <w:noProof/>
        </w:rPr>
        <w:t xml:space="preserve"> </w:t>
      </w:r>
      <w:r w:rsidR="003C2588" w:rsidRPr="00F91EC4">
        <w:rPr>
          <w:noProof/>
        </w:rPr>
        <w:t xml:space="preserve">to comply with this Regulation, including </w:t>
      </w:r>
      <w:r w:rsidR="003C2588">
        <w:rPr>
          <w:noProof/>
        </w:rPr>
        <w:t xml:space="preserve">complying with the </w:t>
      </w:r>
      <w:r w:rsidR="003C2588" w:rsidRPr="00F91EC4">
        <w:rPr>
          <w:noProof/>
        </w:rPr>
        <w:t xml:space="preserve">emission limits set out in Annex </w:t>
      </w:r>
      <w:r w:rsidR="009503EA">
        <w:rPr>
          <w:noProof/>
        </w:rPr>
        <w:t>I</w:t>
      </w:r>
      <w:r w:rsidR="003C2588">
        <w:rPr>
          <w:noProof/>
        </w:rPr>
        <w:t>.</w:t>
      </w:r>
      <w:r w:rsidR="006156D8">
        <w:rPr>
          <w:noProof/>
        </w:rPr>
        <w:t xml:space="preserve"> </w:t>
      </w:r>
    </w:p>
    <w:p w14:paraId="2A09E36E" w14:textId="40B99A5A" w:rsidR="002B57A0" w:rsidRPr="00F91EC4" w:rsidRDefault="00DD0F7B" w:rsidP="00DD0F7B">
      <w:pPr>
        <w:pStyle w:val="ManualNumPar1"/>
        <w:rPr>
          <w:noProof/>
        </w:rPr>
      </w:pPr>
      <w:r w:rsidRPr="00DD0F7B">
        <w:rPr>
          <w:noProof/>
        </w:rPr>
        <w:t>5.</w:t>
      </w:r>
      <w:r w:rsidRPr="00DD0F7B">
        <w:rPr>
          <w:noProof/>
        </w:rPr>
        <w:tab/>
      </w:r>
      <w:r w:rsidR="00377628" w:rsidRPr="00F91EC4">
        <w:rPr>
          <w:noProof/>
        </w:rPr>
        <w:t>Manufacturers shall not</w:t>
      </w:r>
      <w:r w:rsidR="001A3618" w:rsidRPr="00F91EC4">
        <w:rPr>
          <w:noProof/>
        </w:rPr>
        <w:t xml:space="preserve"> </w:t>
      </w:r>
      <w:r w:rsidR="00823106">
        <w:rPr>
          <w:noProof/>
        </w:rPr>
        <w:t>design, construct and assemble vehicles with</w:t>
      </w:r>
      <w:r w:rsidR="00823106" w:rsidRPr="00F91EC4">
        <w:rPr>
          <w:noProof/>
        </w:rPr>
        <w:t xml:space="preserve"> </w:t>
      </w:r>
      <w:r w:rsidR="001A3618" w:rsidRPr="00F91EC4">
        <w:rPr>
          <w:noProof/>
        </w:rPr>
        <w:t xml:space="preserve">defeat devices </w:t>
      </w:r>
      <w:r w:rsidR="00AF6D35" w:rsidRPr="00F91EC4">
        <w:rPr>
          <w:noProof/>
        </w:rPr>
        <w:t xml:space="preserve">or </w:t>
      </w:r>
      <w:r w:rsidR="004F1A31" w:rsidRPr="00F91EC4">
        <w:rPr>
          <w:noProof/>
        </w:rPr>
        <w:t>defeat strategies</w:t>
      </w:r>
      <w:r w:rsidR="001A3618" w:rsidRPr="00F91EC4">
        <w:rPr>
          <w:noProof/>
        </w:rPr>
        <w:t>.</w:t>
      </w:r>
    </w:p>
    <w:p w14:paraId="5866BEDD" w14:textId="2B4CE9FF" w:rsidR="00377628" w:rsidRPr="00F91EC4" w:rsidRDefault="00DD0F7B" w:rsidP="00DD0F7B">
      <w:pPr>
        <w:pStyle w:val="ManualNumPar1"/>
        <w:rPr>
          <w:noProof/>
        </w:rPr>
      </w:pPr>
      <w:r w:rsidRPr="00DD0F7B">
        <w:rPr>
          <w:noProof/>
        </w:rPr>
        <w:t>6.</w:t>
      </w:r>
      <w:r w:rsidRPr="00DD0F7B">
        <w:rPr>
          <w:noProof/>
        </w:rPr>
        <w:tab/>
      </w:r>
      <w:r w:rsidR="00D66001">
        <w:rPr>
          <w:noProof/>
        </w:rPr>
        <w:t>M</w:t>
      </w:r>
      <w:r w:rsidR="00E96E63" w:rsidRPr="00F91EC4">
        <w:rPr>
          <w:noProof/>
        </w:rPr>
        <w:t>anufacturer</w:t>
      </w:r>
      <w:r w:rsidR="000836AA" w:rsidRPr="00F91EC4">
        <w:rPr>
          <w:noProof/>
        </w:rPr>
        <w:t>s</w:t>
      </w:r>
      <w:r w:rsidR="00E96E63" w:rsidRPr="00F91EC4">
        <w:rPr>
          <w:noProof/>
        </w:rPr>
        <w:t xml:space="preserve"> shall </w:t>
      </w:r>
      <w:r w:rsidR="00D7763F" w:rsidRPr="00F91EC4">
        <w:rPr>
          <w:noProof/>
        </w:rPr>
        <w:t xml:space="preserve">design, </w:t>
      </w:r>
      <w:r w:rsidR="00A434BB" w:rsidRPr="00F91EC4">
        <w:rPr>
          <w:noProof/>
        </w:rPr>
        <w:t>construct and assemble</w:t>
      </w:r>
      <w:r w:rsidR="00377628" w:rsidRPr="00F91EC4">
        <w:rPr>
          <w:noProof/>
        </w:rPr>
        <w:t xml:space="preserve"> </w:t>
      </w:r>
      <w:r w:rsidR="00F71CD4" w:rsidRPr="00F91EC4">
        <w:rPr>
          <w:noProof/>
        </w:rPr>
        <w:t>vehicles</w:t>
      </w:r>
      <w:r w:rsidR="00A434BB" w:rsidRPr="00F91EC4">
        <w:rPr>
          <w:noProof/>
        </w:rPr>
        <w:t xml:space="preserve"> of categories </w:t>
      </w:r>
      <w:r w:rsidR="00A434BB" w:rsidRPr="00F91EC4">
        <w:rPr>
          <w:noProof/>
          <w:color w:val="000000" w:themeColor="text1"/>
        </w:rPr>
        <w:t>M</w:t>
      </w:r>
      <w:r w:rsidR="00A434BB" w:rsidRPr="00F91EC4">
        <w:rPr>
          <w:noProof/>
          <w:color w:val="000000" w:themeColor="text1"/>
          <w:vertAlign w:val="subscript"/>
        </w:rPr>
        <w:t>1</w:t>
      </w:r>
      <w:r w:rsidR="00A434BB" w:rsidRPr="00F91EC4">
        <w:rPr>
          <w:noProof/>
          <w:color w:val="000000" w:themeColor="text1"/>
        </w:rPr>
        <w:t>, M</w:t>
      </w:r>
      <w:r w:rsidR="00A434BB" w:rsidRPr="00F91EC4">
        <w:rPr>
          <w:noProof/>
          <w:color w:val="000000" w:themeColor="text1"/>
          <w:vertAlign w:val="subscript"/>
        </w:rPr>
        <w:t>2</w:t>
      </w:r>
      <w:r w:rsidR="00A434BB" w:rsidRPr="00F91EC4">
        <w:rPr>
          <w:noProof/>
          <w:color w:val="000000" w:themeColor="text1"/>
        </w:rPr>
        <w:t>, M</w:t>
      </w:r>
      <w:r w:rsidR="00A434BB" w:rsidRPr="00F91EC4">
        <w:rPr>
          <w:noProof/>
          <w:color w:val="000000" w:themeColor="text1"/>
          <w:vertAlign w:val="subscript"/>
        </w:rPr>
        <w:t>3</w:t>
      </w:r>
      <w:r w:rsidR="00A434BB" w:rsidRPr="00F91EC4">
        <w:rPr>
          <w:noProof/>
          <w:color w:val="000000" w:themeColor="text1"/>
        </w:rPr>
        <w:t>, N</w:t>
      </w:r>
      <w:r w:rsidR="00A434BB" w:rsidRPr="00F91EC4">
        <w:rPr>
          <w:noProof/>
          <w:color w:val="000000" w:themeColor="text1"/>
          <w:vertAlign w:val="subscript"/>
        </w:rPr>
        <w:t>1</w:t>
      </w:r>
      <w:r w:rsidR="00A434BB" w:rsidRPr="00F91EC4">
        <w:rPr>
          <w:noProof/>
          <w:color w:val="000000" w:themeColor="text1"/>
        </w:rPr>
        <w:t>, N</w:t>
      </w:r>
      <w:r w:rsidR="00A434BB" w:rsidRPr="00F91EC4">
        <w:rPr>
          <w:noProof/>
          <w:color w:val="000000" w:themeColor="text1"/>
          <w:vertAlign w:val="subscript"/>
        </w:rPr>
        <w:t>2</w:t>
      </w:r>
      <w:r w:rsidR="00A434BB" w:rsidRPr="00F91EC4">
        <w:rPr>
          <w:noProof/>
          <w:color w:val="000000" w:themeColor="text1"/>
        </w:rPr>
        <w:t xml:space="preserve"> and N</w:t>
      </w:r>
      <w:r w:rsidR="00A434BB" w:rsidRPr="00F91EC4">
        <w:rPr>
          <w:noProof/>
          <w:color w:val="000000" w:themeColor="text1"/>
          <w:vertAlign w:val="subscript"/>
        </w:rPr>
        <w:t xml:space="preserve">3 </w:t>
      </w:r>
      <w:r w:rsidR="00A33540" w:rsidRPr="00F91EC4">
        <w:rPr>
          <w:noProof/>
        </w:rPr>
        <w:t>with</w:t>
      </w:r>
      <w:r w:rsidR="00377628" w:rsidRPr="00F91EC4">
        <w:rPr>
          <w:noProof/>
        </w:rPr>
        <w:t>:</w:t>
      </w:r>
    </w:p>
    <w:p w14:paraId="78B4FE32" w14:textId="45F6E21A" w:rsidR="00A33540" w:rsidRPr="00F91EC4" w:rsidRDefault="00DD0F7B" w:rsidP="00DD0F7B">
      <w:pPr>
        <w:pStyle w:val="Point1"/>
        <w:rPr>
          <w:noProof/>
        </w:rPr>
      </w:pPr>
      <w:r w:rsidRPr="00DD0F7B">
        <w:rPr>
          <w:noProof/>
        </w:rPr>
        <w:t>(a)</w:t>
      </w:r>
      <w:r w:rsidRPr="00DD0F7B">
        <w:rPr>
          <w:noProof/>
        </w:rPr>
        <w:tab/>
      </w:r>
      <w:r w:rsidR="00A33540" w:rsidRPr="00F91EC4">
        <w:rPr>
          <w:noProof/>
        </w:rPr>
        <w:t xml:space="preserve">OBD systems </w:t>
      </w:r>
      <w:r w:rsidR="00D66001">
        <w:rPr>
          <w:noProof/>
        </w:rPr>
        <w:t>capable of</w:t>
      </w:r>
      <w:r w:rsidR="00A33540" w:rsidRPr="00F91EC4">
        <w:rPr>
          <w:noProof/>
        </w:rPr>
        <w:t xml:space="preserve"> detect</w:t>
      </w:r>
      <w:r w:rsidR="00D66001">
        <w:rPr>
          <w:noProof/>
        </w:rPr>
        <w:t>ing</w:t>
      </w:r>
      <w:r w:rsidR="00A33540" w:rsidRPr="00F91EC4">
        <w:rPr>
          <w:noProof/>
        </w:rPr>
        <w:t xml:space="preserve"> malfunctioning systems </w:t>
      </w:r>
      <w:r w:rsidR="00D66001">
        <w:rPr>
          <w:noProof/>
        </w:rPr>
        <w:t xml:space="preserve">which </w:t>
      </w:r>
      <w:r w:rsidR="00A33540" w:rsidRPr="00F91EC4">
        <w:rPr>
          <w:noProof/>
        </w:rPr>
        <w:t>lead to emission exceedances in order to facilitate repairs</w:t>
      </w:r>
      <w:r w:rsidR="00B2797A" w:rsidRPr="00F91EC4">
        <w:rPr>
          <w:noProof/>
        </w:rPr>
        <w:t>;</w:t>
      </w:r>
      <w:r w:rsidR="00A33540" w:rsidRPr="00F91EC4">
        <w:rPr>
          <w:noProof/>
        </w:rPr>
        <w:t xml:space="preserve"> </w:t>
      </w:r>
    </w:p>
    <w:p w14:paraId="5288C32B" w14:textId="3163350C" w:rsidR="00377628" w:rsidRPr="00F91EC4" w:rsidRDefault="00DD0F7B" w:rsidP="00DD0F7B">
      <w:pPr>
        <w:pStyle w:val="Point1"/>
        <w:rPr>
          <w:noProof/>
        </w:rPr>
      </w:pPr>
      <w:r w:rsidRPr="00DD0F7B">
        <w:rPr>
          <w:noProof/>
        </w:rPr>
        <w:t>(b)</w:t>
      </w:r>
      <w:r w:rsidRPr="00DD0F7B">
        <w:rPr>
          <w:noProof/>
        </w:rPr>
        <w:tab/>
      </w:r>
      <w:r w:rsidR="00E96E63" w:rsidRPr="00F91EC4">
        <w:rPr>
          <w:noProof/>
        </w:rPr>
        <w:t xml:space="preserve">OBM systems </w:t>
      </w:r>
      <w:r w:rsidR="00D66001">
        <w:rPr>
          <w:noProof/>
        </w:rPr>
        <w:t xml:space="preserve">capable of </w:t>
      </w:r>
      <w:r w:rsidR="00E96E63" w:rsidRPr="00F91EC4">
        <w:rPr>
          <w:noProof/>
        </w:rPr>
        <w:t>detect</w:t>
      </w:r>
      <w:r w:rsidR="00D66001">
        <w:rPr>
          <w:noProof/>
        </w:rPr>
        <w:t>ing</w:t>
      </w:r>
      <w:r w:rsidR="00E96E63" w:rsidRPr="00F91EC4">
        <w:rPr>
          <w:noProof/>
        </w:rPr>
        <w:t xml:space="preserve"> </w:t>
      </w:r>
      <w:r w:rsidR="001225B1" w:rsidRPr="00F91EC4">
        <w:rPr>
          <w:noProof/>
        </w:rPr>
        <w:t xml:space="preserve">emissions above the emission limits due to </w:t>
      </w:r>
      <w:r w:rsidR="00E96E63" w:rsidRPr="00F91EC4">
        <w:rPr>
          <w:noProof/>
        </w:rPr>
        <w:t>malfunctions, increased degradation or other situations that increase</w:t>
      </w:r>
      <w:r w:rsidR="001225B1" w:rsidRPr="00F91EC4">
        <w:rPr>
          <w:noProof/>
        </w:rPr>
        <w:t xml:space="preserve"> emissions</w:t>
      </w:r>
      <w:r w:rsidR="00377628" w:rsidRPr="00F91EC4">
        <w:rPr>
          <w:noProof/>
        </w:rPr>
        <w:t>;</w:t>
      </w:r>
      <w:r w:rsidR="00E96E63" w:rsidRPr="00F91EC4">
        <w:rPr>
          <w:noProof/>
        </w:rPr>
        <w:t xml:space="preserve"> </w:t>
      </w:r>
    </w:p>
    <w:p w14:paraId="63B41DF6" w14:textId="67AEA0FF" w:rsidR="00A33540" w:rsidRPr="00F91EC4" w:rsidRDefault="00DD0F7B" w:rsidP="00DD0F7B">
      <w:pPr>
        <w:pStyle w:val="Point1"/>
        <w:rPr>
          <w:noProof/>
        </w:rPr>
      </w:pPr>
      <w:r w:rsidRPr="00DD0F7B">
        <w:rPr>
          <w:noProof/>
        </w:rPr>
        <w:t>(c)</w:t>
      </w:r>
      <w:r w:rsidRPr="00DD0F7B">
        <w:rPr>
          <w:noProof/>
        </w:rPr>
        <w:tab/>
      </w:r>
      <w:r w:rsidR="00A33540" w:rsidRPr="00F91EC4">
        <w:rPr>
          <w:noProof/>
        </w:rPr>
        <w:t>OBFCM device to monitor their real</w:t>
      </w:r>
      <w:r w:rsidR="00823106">
        <w:rPr>
          <w:noProof/>
        </w:rPr>
        <w:t>-world</w:t>
      </w:r>
      <w:r w:rsidR="00A33540" w:rsidRPr="00F91EC4">
        <w:rPr>
          <w:noProof/>
        </w:rPr>
        <w:t xml:space="preserve"> fuel and energy consumption and other relevant parameters</w:t>
      </w:r>
      <w:r w:rsidR="00823106">
        <w:rPr>
          <w:noProof/>
        </w:rPr>
        <w:t xml:space="preserve"> such as payload/mass which are needed to determine their real-world fuel and energy efficiency;</w:t>
      </w:r>
    </w:p>
    <w:p w14:paraId="0FEE624D" w14:textId="5BC31FFA" w:rsidR="00A33540" w:rsidRPr="00F91EC4" w:rsidRDefault="00DD0F7B" w:rsidP="00DD0F7B">
      <w:pPr>
        <w:pStyle w:val="Point1"/>
        <w:rPr>
          <w:noProof/>
        </w:rPr>
      </w:pPr>
      <w:r w:rsidRPr="00DD0F7B">
        <w:rPr>
          <w:noProof/>
        </w:rPr>
        <w:t>(d)</w:t>
      </w:r>
      <w:r w:rsidRPr="00DD0F7B">
        <w:rPr>
          <w:noProof/>
        </w:rPr>
        <w:tab/>
      </w:r>
      <w:r w:rsidR="00824159" w:rsidRPr="00F91EC4">
        <w:rPr>
          <w:noProof/>
        </w:rPr>
        <w:t>SOH</w:t>
      </w:r>
      <w:r w:rsidR="00A33540" w:rsidRPr="00F91EC4">
        <w:rPr>
          <w:noProof/>
        </w:rPr>
        <w:t xml:space="preserve"> monitors of the </w:t>
      </w:r>
      <w:r w:rsidR="00A2291B" w:rsidRPr="00F91EC4">
        <w:rPr>
          <w:noProof/>
        </w:rPr>
        <w:t xml:space="preserve">traction </w:t>
      </w:r>
      <w:r w:rsidR="00A33540" w:rsidRPr="00F91EC4">
        <w:rPr>
          <w:noProof/>
        </w:rPr>
        <w:t>battery and emission systems;</w:t>
      </w:r>
    </w:p>
    <w:p w14:paraId="473DE815" w14:textId="32C5726A" w:rsidR="00377628" w:rsidRPr="00F91EC4" w:rsidRDefault="00DD0F7B" w:rsidP="00DD0F7B">
      <w:pPr>
        <w:pStyle w:val="Point1"/>
        <w:rPr>
          <w:noProof/>
        </w:rPr>
      </w:pPr>
      <w:r w:rsidRPr="00DD0F7B">
        <w:rPr>
          <w:noProof/>
        </w:rPr>
        <w:t>(e)</w:t>
      </w:r>
      <w:r w:rsidRPr="00DD0F7B">
        <w:rPr>
          <w:noProof/>
        </w:rPr>
        <w:tab/>
      </w:r>
      <w:r w:rsidR="00377628" w:rsidRPr="00F91EC4">
        <w:rPr>
          <w:noProof/>
        </w:rPr>
        <w:t xml:space="preserve">excess emissions </w:t>
      </w:r>
      <w:r w:rsidR="00E96E63" w:rsidRPr="00F91EC4">
        <w:rPr>
          <w:noProof/>
        </w:rPr>
        <w:t>driver warning systems</w:t>
      </w:r>
      <w:r w:rsidR="00377628" w:rsidRPr="00F91EC4">
        <w:rPr>
          <w:noProof/>
        </w:rPr>
        <w:t>;</w:t>
      </w:r>
      <w:r w:rsidR="00C87916" w:rsidRPr="00F91EC4">
        <w:rPr>
          <w:noProof/>
        </w:rPr>
        <w:t xml:space="preserve"> </w:t>
      </w:r>
    </w:p>
    <w:p w14:paraId="2CFD4BBE" w14:textId="1D828217" w:rsidR="00A33540" w:rsidRPr="00F91EC4" w:rsidRDefault="00DD0F7B" w:rsidP="00DD0F7B">
      <w:pPr>
        <w:pStyle w:val="Point1"/>
        <w:rPr>
          <w:noProof/>
        </w:rPr>
      </w:pPr>
      <w:r w:rsidRPr="00DD0F7B">
        <w:rPr>
          <w:noProof/>
        </w:rPr>
        <w:t>(f)</w:t>
      </w:r>
      <w:r w:rsidRPr="00DD0F7B">
        <w:rPr>
          <w:noProof/>
        </w:rPr>
        <w:tab/>
      </w:r>
      <w:r w:rsidR="00377628" w:rsidRPr="00F91EC4">
        <w:rPr>
          <w:noProof/>
        </w:rPr>
        <w:t xml:space="preserve">low-reagent </w:t>
      </w:r>
      <w:r w:rsidR="00C87916" w:rsidRPr="00F91EC4">
        <w:rPr>
          <w:noProof/>
        </w:rPr>
        <w:t>driver warning systems</w:t>
      </w:r>
      <w:r w:rsidR="00A33540" w:rsidRPr="00F91EC4">
        <w:rPr>
          <w:noProof/>
        </w:rPr>
        <w:t>;</w:t>
      </w:r>
      <w:r w:rsidR="00A33540" w:rsidRPr="00F91EC4">
        <w:rPr>
          <w:noProof/>
          <w:color w:val="000000" w:themeColor="text1"/>
        </w:rPr>
        <w:t xml:space="preserve"> </w:t>
      </w:r>
    </w:p>
    <w:p w14:paraId="0C4F70E6" w14:textId="42B4648E" w:rsidR="00C87916" w:rsidRPr="00F91EC4" w:rsidRDefault="00DD0F7B" w:rsidP="00DD0F7B">
      <w:pPr>
        <w:pStyle w:val="Point1"/>
        <w:rPr>
          <w:noProof/>
        </w:rPr>
      </w:pPr>
      <w:r w:rsidRPr="00DD0F7B">
        <w:rPr>
          <w:noProof/>
        </w:rPr>
        <w:t>(g)</w:t>
      </w:r>
      <w:r w:rsidRPr="00DD0F7B">
        <w:rPr>
          <w:noProof/>
        </w:rPr>
        <w:tab/>
      </w:r>
      <w:r w:rsidR="00A33540" w:rsidRPr="00F91EC4">
        <w:rPr>
          <w:noProof/>
        </w:rPr>
        <w:t xml:space="preserve">devices communicating </w:t>
      </w:r>
      <w:r w:rsidR="004F5AB9">
        <w:rPr>
          <w:noProof/>
        </w:rPr>
        <w:t xml:space="preserve">vehicle generated </w:t>
      </w:r>
      <w:r w:rsidR="00A33540" w:rsidRPr="00F91EC4">
        <w:rPr>
          <w:noProof/>
        </w:rPr>
        <w:t>data used for compliance with this regulation</w:t>
      </w:r>
      <w:r w:rsidR="007D4B9E">
        <w:rPr>
          <w:noProof/>
        </w:rPr>
        <w:t xml:space="preserve"> and OBFCM data</w:t>
      </w:r>
      <w:r w:rsidR="00252D73">
        <w:rPr>
          <w:noProof/>
        </w:rPr>
        <w:t>, for the purpose of periodic roadworthiness tests and tec</w:t>
      </w:r>
      <w:r w:rsidR="004F5AB9">
        <w:rPr>
          <w:noProof/>
        </w:rPr>
        <w:t>hnical roadside inspection</w:t>
      </w:r>
      <w:r w:rsidR="00A33540" w:rsidRPr="00F91EC4">
        <w:rPr>
          <w:noProof/>
        </w:rPr>
        <w:t xml:space="preserve"> </w:t>
      </w:r>
      <w:r w:rsidR="00A33540" w:rsidRPr="00F91EC4">
        <w:rPr>
          <w:noProof/>
          <w:shd w:val="clear" w:color="auto" w:fill="FFFFFF"/>
        </w:rPr>
        <w:t>over the air</w:t>
      </w:r>
      <w:r w:rsidR="004F5AB9">
        <w:rPr>
          <w:noProof/>
          <w:shd w:val="clear" w:color="auto" w:fill="FFFFFF"/>
        </w:rPr>
        <w:t xml:space="preserve">, and for </w:t>
      </w:r>
      <w:r w:rsidR="00465568">
        <w:rPr>
          <w:noProof/>
          <w:shd w:val="clear" w:color="auto" w:fill="FFFFFF"/>
        </w:rPr>
        <w:t xml:space="preserve">the purposes of </w:t>
      </w:r>
      <w:r w:rsidR="004F5AB9">
        <w:rPr>
          <w:noProof/>
        </w:rPr>
        <w:t>communicati</w:t>
      </w:r>
      <w:r w:rsidR="00465568">
        <w:rPr>
          <w:noProof/>
        </w:rPr>
        <w:t>ng</w:t>
      </w:r>
      <w:r w:rsidR="004F5AB9" w:rsidRPr="00126241">
        <w:rPr>
          <w:noProof/>
        </w:rPr>
        <w:t xml:space="preserve"> with recharging infrastructure and stationary power systems</w:t>
      </w:r>
      <w:r w:rsidR="00BF137B" w:rsidRPr="00BF137B">
        <w:rPr>
          <w:noProof/>
        </w:rPr>
        <w:t xml:space="preserve"> </w:t>
      </w:r>
      <w:r w:rsidR="00BF137B" w:rsidRPr="00D43277">
        <w:rPr>
          <w:noProof/>
        </w:rPr>
        <w:t>capable of supporting smart and bidirectional charging functionalities</w:t>
      </w:r>
      <w:r w:rsidR="00824159" w:rsidRPr="00F91EC4">
        <w:rPr>
          <w:noProof/>
          <w:shd w:val="clear" w:color="auto" w:fill="FFFFFF"/>
        </w:rPr>
        <w:t>.</w:t>
      </w:r>
    </w:p>
    <w:p w14:paraId="5EAAD5DC" w14:textId="057A5FA8" w:rsidR="00D117F5" w:rsidRDefault="00DD0F7B" w:rsidP="00DD0F7B">
      <w:pPr>
        <w:pStyle w:val="ManualNumPar1"/>
        <w:rPr>
          <w:noProof/>
        </w:rPr>
      </w:pPr>
      <w:r w:rsidRPr="00DD0F7B">
        <w:rPr>
          <w:noProof/>
        </w:rPr>
        <w:t>7.</w:t>
      </w:r>
      <w:r w:rsidRPr="00DD0F7B">
        <w:rPr>
          <w:noProof/>
        </w:rPr>
        <w:tab/>
      </w:r>
      <w:r w:rsidR="00A434BB" w:rsidRPr="00F91EC4">
        <w:rPr>
          <w:noProof/>
        </w:rPr>
        <w:t>M</w:t>
      </w:r>
      <w:r w:rsidR="001A3618" w:rsidRPr="00F91EC4">
        <w:rPr>
          <w:noProof/>
        </w:rPr>
        <w:t>anufacturer</w:t>
      </w:r>
      <w:r w:rsidR="000836AA" w:rsidRPr="00F91EC4">
        <w:rPr>
          <w:noProof/>
        </w:rPr>
        <w:t>s</w:t>
      </w:r>
      <w:r w:rsidR="001A3618" w:rsidRPr="00F91EC4">
        <w:rPr>
          <w:noProof/>
        </w:rPr>
        <w:t xml:space="preserve"> shall design</w:t>
      </w:r>
      <w:r w:rsidR="00D7763F" w:rsidRPr="00F91EC4">
        <w:rPr>
          <w:noProof/>
        </w:rPr>
        <w:t>,</w:t>
      </w:r>
      <w:r w:rsidR="004F1A31" w:rsidRPr="00F91EC4">
        <w:rPr>
          <w:noProof/>
        </w:rPr>
        <w:t xml:space="preserve"> construct</w:t>
      </w:r>
      <w:r w:rsidR="00BB50D9" w:rsidRPr="00F91EC4">
        <w:rPr>
          <w:noProof/>
        </w:rPr>
        <w:t xml:space="preserve"> </w:t>
      </w:r>
      <w:r w:rsidR="00D7763F" w:rsidRPr="00F91EC4">
        <w:rPr>
          <w:noProof/>
        </w:rPr>
        <w:t xml:space="preserve">and assemble </w:t>
      </w:r>
      <w:r w:rsidR="001A3618" w:rsidRPr="00F91EC4">
        <w:rPr>
          <w:noProof/>
        </w:rPr>
        <w:t>vehicles</w:t>
      </w:r>
      <w:r w:rsidR="00A434BB" w:rsidRPr="00F91EC4">
        <w:rPr>
          <w:noProof/>
        </w:rPr>
        <w:t xml:space="preserve"> of categories M</w:t>
      </w:r>
      <w:r w:rsidR="00A434BB" w:rsidRPr="00F91EC4">
        <w:rPr>
          <w:noProof/>
          <w:vertAlign w:val="subscript"/>
        </w:rPr>
        <w:t>1</w:t>
      </w:r>
      <w:r w:rsidR="00A434BB" w:rsidRPr="00F91EC4">
        <w:rPr>
          <w:noProof/>
        </w:rPr>
        <w:t>, M</w:t>
      </w:r>
      <w:r w:rsidR="00A434BB" w:rsidRPr="00F91EC4">
        <w:rPr>
          <w:noProof/>
          <w:vertAlign w:val="subscript"/>
        </w:rPr>
        <w:t>2</w:t>
      </w:r>
      <w:r w:rsidR="00A434BB" w:rsidRPr="00F91EC4">
        <w:rPr>
          <w:noProof/>
        </w:rPr>
        <w:t>, M</w:t>
      </w:r>
      <w:r w:rsidR="00A434BB" w:rsidRPr="00F91EC4">
        <w:rPr>
          <w:noProof/>
          <w:vertAlign w:val="subscript"/>
        </w:rPr>
        <w:t>3</w:t>
      </w:r>
      <w:r w:rsidR="00A434BB" w:rsidRPr="00F91EC4">
        <w:rPr>
          <w:noProof/>
        </w:rPr>
        <w:t>, N</w:t>
      </w:r>
      <w:r w:rsidR="00A434BB" w:rsidRPr="00F91EC4">
        <w:rPr>
          <w:noProof/>
          <w:vertAlign w:val="subscript"/>
        </w:rPr>
        <w:t>1</w:t>
      </w:r>
      <w:r w:rsidR="00A434BB" w:rsidRPr="00F91EC4">
        <w:rPr>
          <w:noProof/>
        </w:rPr>
        <w:t>, N</w:t>
      </w:r>
      <w:r w:rsidR="00A434BB" w:rsidRPr="00F91EC4">
        <w:rPr>
          <w:noProof/>
          <w:vertAlign w:val="subscript"/>
        </w:rPr>
        <w:t>2</w:t>
      </w:r>
      <w:r w:rsidR="00A434BB" w:rsidRPr="00F91EC4">
        <w:rPr>
          <w:noProof/>
        </w:rPr>
        <w:t xml:space="preserve"> and N</w:t>
      </w:r>
      <w:r w:rsidR="00A434BB" w:rsidRPr="00F91EC4">
        <w:rPr>
          <w:noProof/>
          <w:vertAlign w:val="subscript"/>
        </w:rPr>
        <w:t>3</w:t>
      </w:r>
      <w:r w:rsidR="00A434BB" w:rsidRPr="00F91EC4">
        <w:rPr>
          <w:noProof/>
        </w:rPr>
        <w:t xml:space="preserve"> in such a way</w:t>
      </w:r>
      <w:r w:rsidR="001A3618" w:rsidRPr="00F91EC4">
        <w:rPr>
          <w:noProof/>
        </w:rPr>
        <w:t xml:space="preserve"> </w:t>
      </w:r>
      <w:r w:rsidR="00E96E63" w:rsidRPr="00F91EC4">
        <w:rPr>
          <w:noProof/>
        </w:rPr>
        <w:t>to minimise</w:t>
      </w:r>
      <w:r w:rsidR="001A3618" w:rsidRPr="00F91EC4">
        <w:rPr>
          <w:noProof/>
        </w:rPr>
        <w:t xml:space="preserve"> vulnerabilities</w:t>
      </w:r>
      <w:r w:rsidR="00D117F5">
        <w:rPr>
          <w:noProof/>
        </w:rPr>
        <w:t>,</w:t>
      </w:r>
      <w:r w:rsidR="001A3618" w:rsidRPr="00F91EC4">
        <w:rPr>
          <w:noProof/>
        </w:rPr>
        <w:t xml:space="preserve"> </w:t>
      </w:r>
      <w:r w:rsidR="00D117F5" w:rsidRPr="00F91EC4">
        <w:rPr>
          <w:noProof/>
        </w:rPr>
        <w:t>arising in all phases of their life-cycle</w:t>
      </w:r>
      <w:r w:rsidR="00D117F5">
        <w:rPr>
          <w:noProof/>
        </w:rPr>
        <w:t>,</w:t>
      </w:r>
      <w:r w:rsidR="00D117F5" w:rsidRPr="00F91EC4">
        <w:rPr>
          <w:noProof/>
        </w:rPr>
        <w:t xml:space="preserve"> </w:t>
      </w:r>
      <w:r w:rsidR="00760BAC" w:rsidRPr="00F91EC4">
        <w:rPr>
          <w:noProof/>
        </w:rPr>
        <w:t xml:space="preserve">that may lead to tampering with </w:t>
      </w:r>
      <w:r w:rsidR="00BB50D9" w:rsidRPr="00F91EC4">
        <w:rPr>
          <w:noProof/>
        </w:rPr>
        <w:t xml:space="preserve">the </w:t>
      </w:r>
      <w:r w:rsidR="00D117F5">
        <w:rPr>
          <w:noProof/>
        </w:rPr>
        <w:t xml:space="preserve">following: </w:t>
      </w:r>
    </w:p>
    <w:p w14:paraId="5ADB3C80" w14:textId="584C62E2" w:rsidR="00D117F5" w:rsidRDefault="00DD0F7B" w:rsidP="00DD0F7B">
      <w:pPr>
        <w:pStyle w:val="Point1"/>
        <w:rPr>
          <w:noProof/>
        </w:rPr>
      </w:pPr>
      <w:r w:rsidRPr="00DD0F7B">
        <w:rPr>
          <w:noProof/>
        </w:rPr>
        <w:t>(a)</w:t>
      </w:r>
      <w:r w:rsidRPr="00DD0F7B">
        <w:rPr>
          <w:noProof/>
        </w:rPr>
        <w:tab/>
      </w:r>
      <w:r w:rsidR="00BB50D9" w:rsidRPr="00F91EC4">
        <w:rPr>
          <w:noProof/>
        </w:rPr>
        <w:t xml:space="preserve">fuel and </w:t>
      </w:r>
      <w:r w:rsidR="00E96E63" w:rsidRPr="00F91EC4">
        <w:rPr>
          <w:noProof/>
        </w:rPr>
        <w:t>reagent</w:t>
      </w:r>
      <w:r w:rsidR="00BB50D9" w:rsidRPr="00F91EC4">
        <w:rPr>
          <w:noProof/>
        </w:rPr>
        <w:t xml:space="preserve"> injection system, </w:t>
      </w:r>
    </w:p>
    <w:p w14:paraId="27ACE3B3" w14:textId="169E771D" w:rsidR="00D117F5" w:rsidRDefault="00DD0F7B" w:rsidP="00DD0F7B">
      <w:pPr>
        <w:pStyle w:val="Point1"/>
        <w:rPr>
          <w:noProof/>
        </w:rPr>
      </w:pPr>
      <w:r w:rsidRPr="00DD0F7B">
        <w:rPr>
          <w:noProof/>
        </w:rPr>
        <w:t>(b)</w:t>
      </w:r>
      <w:r w:rsidRPr="00DD0F7B">
        <w:rPr>
          <w:noProof/>
        </w:rPr>
        <w:tab/>
      </w:r>
      <w:r w:rsidR="00BB50D9" w:rsidRPr="00F91EC4">
        <w:rPr>
          <w:noProof/>
        </w:rPr>
        <w:t>engin</w:t>
      </w:r>
      <w:r w:rsidR="00D117F5">
        <w:rPr>
          <w:noProof/>
        </w:rPr>
        <w:t>e and engine control unit</w:t>
      </w:r>
      <w:r w:rsidR="00D117F5" w:rsidRPr="00F91EC4">
        <w:rPr>
          <w:noProof/>
        </w:rPr>
        <w:t>s</w:t>
      </w:r>
    </w:p>
    <w:p w14:paraId="2EA824C4" w14:textId="7E68D41E" w:rsidR="00D117F5" w:rsidRDefault="00DD0F7B" w:rsidP="00DD0F7B">
      <w:pPr>
        <w:pStyle w:val="Point1"/>
        <w:rPr>
          <w:noProof/>
        </w:rPr>
      </w:pPr>
      <w:r w:rsidRPr="00DD0F7B">
        <w:rPr>
          <w:noProof/>
        </w:rPr>
        <w:t>(c)</w:t>
      </w:r>
      <w:r w:rsidRPr="00DD0F7B">
        <w:rPr>
          <w:noProof/>
        </w:rPr>
        <w:tab/>
      </w:r>
      <w:r w:rsidR="00014266">
        <w:rPr>
          <w:noProof/>
        </w:rPr>
        <w:t>traction batteries,</w:t>
      </w:r>
    </w:p>
    <w:p w14:paraId="03974BC6" w14:textId="4E03AF4C" w:rsidR="00D117F5" w:rsidRDefault="00DD0F7B" w:rsidP="00DD0F7B">
      <w:pPr>
        <w:pStyle w:val="Point1"/>
        <w:rPr>
          <w:noProof/>
        </w:rPr>
      </w:pPr>
      <w:r w:rsidRPr="00DD0F7B">
        <w:rPr>
          <w:noProof/>
        </w:rPr>
        <w:t>(d)</w:t>
      </w:r>
      <w:r w:rsidRPr="00DD0F7B">
        <w:rPr>
          <w:noProof/>
        </w:rPr>
        <w:tab/>
      </w:r>
      <w:r w:rsidR="00BB50D9" w:rsidRPr="00F91EC4">
        <w:rPr>
          <w:noProof/>
        </w:rPr>
        <w:t xml:space="preserve">odometer and </w:t>
      </w:r>
    </w:p>
    <w:p w14:paraId="5E4292DD" w14:textId="1B37FD78" w:rsidR="00D117F5" w:rsidRDefault="00DD0F7B" w:rsidP="00DD0F7B">
      <w:pPr>
        <w:pStyle w:val="Point1"/>
        <w:rPr>
          <w:noProof/>
        </w:rPr>
      </w:pPr>
      <w:r w:rsidRPr="00DD0F7B">
        <w:rPr>
          <w:noProof/>
        </w:rPr>
        <w:t>(e)</w:t>
      </w:r>
      <w:r w:rsidRPr="00DD0F7B">
        <w:rPr>
          <w:noProof/>
        </w:rPr>
        <w:tab/>
      </w:r>
      <w:r w:rsidR="00046CCD" w:rsidRPr="00F91EC4">
        <w:rPr>
          <w:noProof/>
        </w:rPr>
        <w:t>pollution</w:t>
      </w:r>
      <w:r w:rsidR="00BB50D9" w:rsidRPr="00F91EC4">
        <w:rPr>
          <w:noProof/>
        </w:rPr>
        <w:t xml:space="preserve"> control systems</w:t>
      </w:r>
      <w:r w:rsidR="004240DF" w:rsidRPr="00F91EC4">
        <w:rPr>
          <w:noProof/>
        </w:rPr>
        <w:t xml:space="preserve">. </w:t>
      </w:r>
    </w:p>
    <w:p w14:paraId="3B09215F" w14:textId="244F8F45" w:rsidR="001A3618" w:rsidRPr="00F91EC4" w:rsidRDefault="00DD0F7B" w:rsidP="00DD0F7B">
      <w:pPr>
        <w:pStyle w:val="ManualNumPar1"/>
        <w:rPr>
          <w:noProof/>
        </w:rPr>
      </w:pPr>
      <w:r w:rsidRPr="00DD0F7B">
        <w:rPr>
          <w:noProof/>
        </w:rPr>
        <w:t>8.</w:t>
      </w:r>
      <w:r w:rsidRPr="00DD0F7B">
        <w:rPr>
          <w:noProof/>
        </w:rPr>
        <w:tab/>
      </w:r>
      <w:r w:rsidR="004240DF" w:rsidRPr="00F91EC4">
        <w:rPr>
          <w:noProof/>
        </w:rPr>
        <w:t>The manufacturer</w:t>
      </w:r>
      <w:r w:rsidR="001A3618" w:rsidRPr="00F91EC4">
        <w:rPr>
          <w:noProof/>
        </w:rPr>
        <w:t xml:space="preserve"> shall prevent the possib</w:t>
      </w:r>
      <w:r w:rsidR="00D117F5">
        <w:rPr>
          <w:noProof/>
        </w:rPr>
        <w:t>ility of</w:t>
      </w:r>
      <w:r w:rsidR="001A3618" w:rsidRPr="00F91EC4">
        <w:rPr>
          <w:noProof/>
        </w:rPr>
        <w:t xml:space="preserve"> exploit</w:t>
      </w:r>
      <w:r w:rsidR="00D117F5">
        <w:rPr>
          <w:noProof/>
        </w:rPr>
        <w:t>ing</w:t>
      </w:r>
      <w:r w:rsidR="00501ACD" w:rsidRPr="00F91EC4">
        <w:rPr>
          <w:noProof/>
        </w:rPr>
        <w:t xml:space="preserve"> </w:t>
      </w:r>
      <w:r w:rsidR="004240DF" w:rsidRPr="00F91EC4">
        <w:rPr>
          <w:noProof/>
        </w:rPr>
        <w:t xml:space="preserve">vulnerabilities </w:t>
      </w:r>
      <w:r w:rsidR="00D117F5">
        <w:rPr>
          <w:noProof/>
        </w:rPr>
        <w:t>referred to in paragraph</w:t>
      </w:r>
      <w:r w:rsidR="00BF137B">
        <w:rPr>
          <w:noProof/>
        </w:rPr>
        <w:t xml:space="preserve"> 7</w:t>
      </w:r>
      <w:r w:rsidR="00341F26">
        <w:rPr>
          <w:noProof/>
        </w:rPr>
        <w:t>.</w:t>
      </w:r>
      <w:r w:rsidR="005B0B55">
        <w:rPr>
          <w:noProof/>
        </w:rPr>
        <w:t xml:space="preserve"> </w:t>
      </w:r>
      <w:r w:rsidR="00E84CC1">
        <w:rPr>
          <w:noProof/>
        </w:rPr>
        <w:t xml:space="preserve">When such a vulnerability is </w:t>
      </w:r>
      <w:r w:rsidR="00341F26">
        <w:rPr>
          <w:noProof/>
        </w:rPr>
        <w:t>found</w:t>
      </w:r>
      <w:r w:rsidR="00E84CC1">
        <w:rPr>
          <w:noProof/>
        </w:rPr>
        <w:t>,</w:t>
      </w:r>
      <w:r w:rsidR="00E84CC1" w:rsidDel="00E84CC1">
        <w:rPr>
          <w:noProof/>
        </w:rPr>
        <w:t xml:space="preserve"> </w:t>
      </w:r>
      <w:r w:rsidR="00E84CC1">
        <w:rPr>
          <w:noProof/>
        </w:rPr>
        <w:t>the manufacturer shall</w:t>
      </w:r>
      <w:r w:rsidR="005B0B55">
        <w:rPr>
          <w:noProof/>
        </w:rPr>
        <w:t xml:space="preserve"> </w:t>
      </w:r>
      <w:r w:rsidR="00341F26">
        <w:rPr>
          <w:noProof/>
        </w:rPr>
        <w:t>remove the vulnerability</w:t>
      </w:r>
      <w:r w:rsidR="005B0B55">
        <w:rPr>
          <w:noProof/>
        </w:rPr>
        <w:t xml:space="preserve">, </w:t>
      </w:r>
      <w:r w:rsidR="00341F26">
        <w:rPr>
          <w:noProof/>
        </w:rPr>
        <w:t>by</w:t>
      </w:r>
      <w:r w:rsidR="005B0B55">
        <w:rPr>
          <w:noProof/>
        </w:rPr>
        <w:t xml:space="preserve"> software </w:t>
      </w:r>
      <w:r w:rsidR="00341F26">
        <w:rPr>
          <w:noProof/>
        </w:rPr>
        <w:t xml:space="preserve">update </w:t>
      </w:r>
      <w:r w:rsidR="005B0B55">
        <w:rPr>
          <w:noProof/>
        </w:rPr>
        <w:t xml:space="preserve">or </w:t>
      </w:r>
      <w:r w:rsidR="00341F26">
        <w:rPr>
          <w:noProof/>
        </w:rPr>
        <w:t>any other</w:t>
      </w:r>
      <w:r w:rsidR="005B0B55">
        <w:rPr>
          <w:noProof/>
        </w:rPr>
        <w:t xml:space="preserve"> </w:t>
      </w:r>
      <w:r w:rsidR="00341F26">
        <w:rPr>
          <w:noProof/>
        </w:rPr>
        <w:t xml:space="preserve">appropriate </w:t>
      </w:r>
      <w:r w:rsidR="005B0B55">
        <w:rPr>
          <w:noProof/>
        </w:rPr>
        <w:t>means</w:t>
      </w:r>
      <w:r w:rsidR="001A3618" w:rsidRPr="00F91EC4">
        <w:rPr>
          <w:noProof/>
        </w:rPr>
        <w:t xml:space="preserve">. </w:t>
      </w:r>
    </w:p>
    <w:p w14:paraId="6852015E" w14:textId="14F55F23" w:rsidR="0059377F" w:rsidRPr="00F91EC4" w:rsidRDefault="00DD0F7B" w:rsidP="00DD0F7B">
      <w:pPr>
        <w:pStyle w:val="ManualNumPar1"/>
        <w:rPr>
          <w:noProof/>
        </w:rPr>
      </w:pPr>
      <w:r w:rsidRPr="00DD0F7B">
        <w:rPr>
          <w:noProof/>
        </w:rPr>
        <w:t>9.</w:t>
      </w:r>
      <w:r w:rsidRPr="00DD0F7B">
        <w:rPr>
          <w:noProof/>
        </w:rPr>
        <w:tab/>
      </w:r>
      <w:r w:rsidR="001A3618" w:rsidRPr="00F91EC4">
        <w:rPr>
          <w:noProof/>
        </w:rPr>
        <w:t>The manufacturer</w:t>
      </w:r>
      <w:r w:rsidR="000836AA" w:rsidRPr="00F91EC4">
        <w:rPr>
          <w:noProof/>
        </w:rPr>
        <w:t>s</w:t>
      </w:r>
      <w:r w:rsidR="001A3618" w:rsidRPr="00F91EC4">
        <w:rPr>
          <w:noProof/>
        </w:rPr>
        <w:t xml:space="preserve"> shall </w:t>
      </w:r>
      <w:r w:rsidR="00D117F5" w:rsidRPr="00F91EC4">
        <w:rPr>
          <w:noProof/>
        </w:rPr>
        <w:t xml:space="preserve">ensure the secure transmission of data related to emissions and battery durability </w:t>
      </w:r>
      <w:r w:rsidR="00D117F5">
        <w:rPr>
          <w:noProof/>
        </w:rPr>
        <w:t>by taking</w:t>
      </w:r>
      <w:r w:rsidR="00D117F5" w:rsidRPr="00F91EC4">
        <w:rPr>
          <w:noProof/>
        </w:rPr>
        <w:t xml:space="preserve"> </w:t>
      </w:r>
      <w:r w:rsidR="001A3618" w:rsidRPr="00F91EC4">
        <w:rPr>
          <w:noProof/>
        </w:rPr>
        <w:t xml:space="preserve">cybersecurity measures </w:t>
      </w:r>
      <w:r w:rsidR="00BF4CEE" w:rsidRPr="00F91EC4">
        <w:rPr>
          <w:noProof/>
        </w:rPr>
        <w:t>in accordance with UN Regulation 155</w:t>
      </w:r>
      <w:r w:rsidR="00C705F2" w:rsidRPr="00F91EC4">
        <w:rPr>
          <w:rStyle w:val="FootnoteReference"/>
          <w:noProof/>
          <w:color w:val="000000" w:themeColor="text1"/>
        </w:rPr>
        <w:footnoteReference w:id="55"/>
      </w:r>
      <w:r w:rsidR="001A3618" w:rsidRPr="00F91EC4">
        <w:rPr>
          <w:noProof/>
        </w:rPr>
        <w:t>.</w:t>
      </w:r>
    </w:p>
    <w:p w14:paraId="2D0B5468" w14:textId="7D287AA1" w:rsidR="001A3618" w:rsidRPr="00F91EC4" w:rsidRDefault="00DD0F7B" w:rsidP="00DD0F7B">
      <w:pPr>
        <w:pStyle w:val="ManualNumPar1"/>
        <w:rPr>
          <w:noProof/>
          <w:color w:val="000000" w:themeColor="text1"/>
        </w:rPr>
      </w:pPr>
      <w:r w:rsidRPr="00DD0F7B">
        <w:rPr>
          <w:noProof/>
        </w:rPr>
        <w:t>10.</w:t>
      </w:r>
      <w:r w:rsidRPr="00DD0F7B">
        <w:rPr>
          <w:noProof/>
        </w:rPr>
        <w:tab/>
      </w:r>
      <w:r w:rsidR="0059377F" w:rsidRPr="00F91EC4">
        <w:rPr>
          <w:noProof/>
        </w:rPr>
        <w:t>The Commission shall adopt, by means of implementing acts, detailed rules on the procedures</w:t>
      </w:r>
      <w:r w:rsidR="00BD0EDD" w:rsidRPr="00F91EC4">
        <w:rPr>
          <w:noProof/>
        </w:rPr>
        <w:t>, tests and methodologies</w:t>
      </w:r>
      <w:r w:rsidR="0059377F" w:rsidRPr="00F91EC4">
        <w:rPr>
          <w:noProof/>
        </w:rPr>
        <w:t xml:space="preserve"> </w:t>
      </w:r>
      <w:r w:rsidR="00BD0EDD" w:rsidRPr="00F91EC4">
        <w:rPr>
          <w:noProof/>
        </w:rPr>
        <w:t xml:space="preserve">to </w:t>
      </w:r>
      <w:r w:rsidR="00D117F5">
        <w:rPr>
          <w:noProof/>
        </w:rPr>
        <w:t>verify</w:t>
      </w:r>
      <w:r w:rsidR="00D117F5" w:rsidRPr="00F91EC4">
        <w:rPr>
          <w:noProof/>
        </w:rPr>
        <w:t xml:space="preserve"> </w:t>
      </w:r>
      <w:r w:rsidR="00A7443E" w:rsidRPr="00F91EC4">
        <w:rPr>
          <w:noProof/>
        </w:rPr>
        <w:t xml:space="preserve">compliance with the </w:t>
      </w:r>
      <w:r w:rsidR="00F52893" w:rsidRPr="00F91EC4">
        <w:rPr>
          <w:noProof/>
        </w:rPr>
        <w:t xml:space="preserve">requirements </w:t>
      </w:r>
      <w:r w:rsidR="00D117F5">
        <w:rPr>
          <w:noProof/>
        </w:rPr>
        <w:t>laid down in</w:t>
      </w:r>
      <w:r w:rsidR="00D117F5" w:rsidRPr="00F91EC4">
        <w:rPr>
          <w:noProof/>
        </w:rPr>
        <w:t xml:space="preserve"> </w:t>
      </w:r>
      <w:r w:rsidR="00A7443E" w:rsidRPr="00F91EC4">
        <w:rPr>
          <w:noProof/>
        </w:rPr>
        <w:t>paragraphs</w:t>
      </w:r>
      <w:r w:rsidR="00746BC2" w:rsidRPr="00F91EC4">
        <w:rPr>
          <w:noProof/>
        </w:rPr>
        <w:t xml:space="preserve"> 1 to </w:t>
      </w:r>
      <w:r w:rsidR="00BF137B">
        <w:rPr>
          <w:noProof/>
        </w:rPr>
        <w:t>9</w:t>
      </w:r>
      <w:r w:rsidR="0059377F" w:rsidRPr="00F91EC4">
        <w:rPr>
          <w:noProof/>
        </w:rPr>
        <w:t xml:space="preserve">. Those implementing acts shall be adopted in accordance with the examination procedure referred to in Article </w:t>
      </w:r>
      <w:r w:rsidR="004E2A19" w:rsidRPr="00F91EC4">
        <w:rPr>
          <w:noProof/>
        </w:rPr>
        <w:t>1</w:t>
      </w:r>
      <w:r w:rsidR="00421302" w:rsidRPr="00F91EC4">
        <w:rPr>
          <w:noProof/>
        </w:rPr>
        <w:t>7</w:t>
      </w:r>
      <w:r w:rsidR="0059377F" w:rsidRPr="00F91EC4">
        <w:rPr>
          <w:noProof/>
        </w:rPr>
        <w:t>(2).</w:t>
      </w:r>
      <w:r w:rsidR="001A3618" w:rsidRPr="00F91EC4">
        <w:rPr>
          <w:noProof/>
          <w:color w:val="000000" w:themeColor="text1"/>
        </w:rPr>
        <w:t xml:space="preserve"> </w:t>
      </w:r>
    </w:p>
    <w:p w14:paraId="26B1EAC8" w14:textId="77777777" w:rsidR="001A3618" w:rsidRPr="00F91EC4" w:rsidRDefault="00DD0D2E" w:rsidP="007949D0">
      <w:pPr>
        <w:pStyle w:val="Titrearticle"/>
        <w:rPr>
          <w:noProof/>
        </w:rPr>
      </w:pPr>
      <w:r w:rsidRPr="00F91EC4">
        <w:rPr>
          <w:noProof/>
        </w:rPr>
        <w:t xml:space="preserve">Article </w:t>
      </w:r>
      <w:r w:rsidR="002F2845" w:rsidRPr="00F91EC4">
        <w:rPr>
          <w:noProof/>
        </w:rPr>
        <w:t>5</w:t>
      </w:r>
      <w:r w:rsidRPr="00F91EC4">
        <w:rPr>
          <w:noProof/>
        </w:rPr>
        <w:br/>
      </w:r>
      <w:r w:rsidRPr="00F91EC4">
        <w:rPr>
          <w:b/>
          <w:i w:val="0"/>
          <w:noProof/>
        </w:rPr>
        <w:t xml:space="preserve">Options of the </w:t>
      </w:r>
      <w:r w:rsidR="00A7443E" w:rsidRPr="00F91EC4">
        <w:rPr>
          <w:b/>
          <w:i w:val="0"/>
          <w:noProof/>
        </w:rPr>
        <w:t>m</w:t>
      </w:r>
      <w:r w:rsidRPr="00F91EC4">
        <w:rPr>
          <w:b/>
          <w:i w:val="0"/>
          <w:noProof/>
        </w:rPr>
        <w:t xml:space="preserve">anufacturers concerning </w:t>
      </w:r>
      <w:r w:rsidR="00A7443E" w:rsidRPr="00F91EC4">
        <w:rPr>
          <w:b/>
          <w:i w:val="0"/>
          <w:noProof/>
        </w:rPr>
        <w:t xml:space="preserve">the </w:t>
      </w:r>
      <w:r w:rsidRPr="00F91EC4">
        <w:rPr>
          <w:b/>
          <w:i w:val="0"/>
          <w:noProof/>
        </w:rPr>
        <w:t xml:space="preserve">construction </w:t>
      </w:r>
      <w:r w:rsidR="006759ED">
        <w:rPr>
          <w:b/>
          <w:i w:val="0"/>
          <w:noProof/>
        </w:rPr>
        <w:t xml:space="preserve">and designation </w:t>
      </w:r>
      <w:r w:rsidRPr="00F91EC4">
        <w:rPr>
          <w:b/>
          <w:i w:val="0"/>
          <w:noProof/>
        </w:rPr>
        <w:t>of vehicles</w:t>
      </w:r>
    </w:p>
    <w:p w14:paraId="1288BBB2" w14:textId="00C41363" w:rsidR="00F07E11" w:rsidRDefault="00DD0F7B" w:rsidP="00DD0F7B">
      <w:pPr>
        <w:pStyle w:val="ManualNumPar1"/>
        <w:rPr>
          <w:noProof/>
        </w:rPr>
      </w:pPr>
      <w:r w:rsidRPr="00DD0F7B">
        <w:rPr>
          <w:noProof/>
        </w:rPr>
        <w:t>1.</w:t>
      </w:r>
      <w:r w:rsidRPr="00DD0F7B">
        <w:rPr>
          <w:noProof/>
        </w:rPr>
        <w:tab/>
      </w:r>
      <w:r w:rsidR="00BC0FB3" w:rsidRPr="00BC0FB3">
        <w:rPr>
          <w:noProof/>
        </w:rPr>
        <w:t xml:space="preserve">Manufacturers may designate </w:t>
      </w:r>
      <w:r w:rsidR="00376C4C">
        <w:rPr>
          <w:noProof/>
        </w:rPr>
        <w:t xml:space="preserve">the </w:t>
      </w:r>
      <w:r w:rsidR="00F07E11">
        <w:rPr>
          <w:noProof/>
        </w:rPr>
        <w:t>vehicles</w:t>
      </w:r>
      <w:r w:rsidR="00F07E11" w:rsidRPr="00BC0FB3">
        <w:rPr>
          <w:noProof/>
        </w:rPr>
        <w:t xml:space="preserve"> </w:t>
      </w:r>
      <w:r w:rsidR="00376C4C">
        <w:rPr>
          <w:noProof/>
        </w:rPr>
        <w:t xml:space="preserve">they manufacture </w:t>
      </w:r>
      <w:r w:rsidR="00BC0FB3" w:rsidRPr="00BC0FB3">
        <w:rPr>
          <w:noProof/>
        </w:rPr>
        <w:t xml:space="preserve">as “Euro 7+ vehicle” </w:t>
      </w:r>
      <w:r w:rsidR="00F07E11">
        <w:rPr>
          <w:noProof/>
        </w:rPr>
        <w:t>where those vehicles</w:t>
      </w:r>
      <w:r w:rsidR="00F07E11" w:rsidRPr="00BC0FB3">
        <w:rPr>
          <w:noProof/>
        </w:rPr>
        <w:t xml:space="preserve"> </w:t>
      </w:r>
      <w:r w:rsidR="00376C4C">
        <w:rPr>
          <w:noProof/>
        </w:rPr>
        <w:t>comply with the following</w:t>
      </w:r>
      <w:r w:rsidR="00F07E11">
        <w:rPr>
          <w:noProof/>
        </w:rPr>
        <w:t>:</w:t>
      </w:r>
    </w:p>
    <w:p w14:paraId="2295689E" w14:textId="5055A5BD" w:rsidR="00F07E11" w:rsidRDefault="00DD0F7B" w:rsidP="00DD0F7B">
      <w:pPr>
        <w:pStyle w:val="Point1"/>
        <w:rPr>
          <w:noProof/>
        </w:rPr>
      </w:pPr>
      <w:r w:rsidRPr="00DD0F7B">
        <w:rPr>
          <w:noProof/>
        </w:rPr>
        <w:t>(a)</w:t>
      </w:r>
      <w:r w:rsidRPr="00DD0F7B">
        <w:rPr>
          <w:noProof/>
        </w:rPr>
        <w:tab/>
      </w:r>
      <w:r w:rsidR="00F07E11">
        <w:rPr>
          <w:noProof/>
        </w:rPr>
        <w:t>for ICE</w:t>
      </w:r>
      <w:r w:rsidR="007B6C4A">
        <w:rPr>
          <w:noProof/>
        </w:rPr>
        <w:t>V and NOV</w:t>
      </w:r>
      <w:r w:rsidR="00811DFF">
        <w:rPr>
          <w:noProof/>
        </w:rPr>
        <w:t>C</w:t>
      </w:r>
      <w:r w:rsidR="007B6C4A">
        <w:rPr>
          <w:noProof/>
        </w:rPr>
        <w:t>-HEV</w:t>
      </w:r>
      <w:r w:rsidR="00F07E11">
        <w:rPr>
          <w:noProof/>
        </w:rPr>
        <w:t xml:space="preserve"> </w:t>
      </w:r>
      <w:r w:rsidR="00BC0FB3" w:rsidRPr="00BC0FB3">
        <w:rPr>
          <w:noProof/>
        </w:rPr>
        <w:t xml:space="preserve">by declaring compliance with at least </w:t>
      </w:r>
      <w:r w:rsidR="00F81C42">
        <w:rPr>
          <w:noProof/>
        </w:rPr>
        <w:t>2</w:t>
      </w:r>
      <w:r w:rsidR="00BC0FB3" w:rsidRPr="00BC0FB3">
        <w:rPr>
          <w:noProof/>
        </w:rPr>
        <w:t xml:space="preserve">0 % lower emission limits than those set out in Annex I </w:t>
      </w:r>
      <w:r w:rsidR="00F07E11">
        <w:rPr>
          <w:noProof/>
        </w:rPr>
        <w:t xml:space="preserve">for gaseous pollutants and </w:t>
      </w:r>
      <w:r w:rsidR="00533ABA">
        <w:rPr>
          <w:noProof/>
        </w:rPr>
        <w:t xml:space="preserve">one order of magnitude </w:t>
      </w:r>
      <w:r w:rsidR="00465568">
        <w:rPr>
          <w:noProof/>
        </w:rPr>
        <w:t xml:space="preserve">lower emission limits </w:t>
      </w:r>
      <w:r w:rsidR="00F07E11" w:rsidRPr="416C1E09">
        <w:rPr>
          <w:noProof/>
        </w:rPr>
        <w:t>for particle number emissions</w:t>
      </w:r>
      <w:r w:rsidR="00F07E11">
        <w:rPr>
          <w:noProof/>
        </w:rPr>
        <w:t>;</w:t>
      </w:r>
    </w:p>
    <w:p w14:paraId="58DB3DC7" w14:textId="0B9438D9" w:rsidR="007B6C4A" w:rsidRDefault="00DD0F7B" w:rsidP="00DD0F7B">
      <w:pPr>
        <w:pStyle w:val="Point1"/>
        <w:rPr>
          <w:noProof/>
        </w:rPr>
      </w:pPr>
      <w:r w:rsidRPr="00DD0F7B">
        <w:rPr>
          <w:noProof/>
        </w:rPr>
        <w:t>(b)</w:t>
      </w:r>
      <w:r w:rsidRPr="00DD0F7B">
        <w:rPr>
          <w:noProof/>
        </w:rPr>
        <w:tab/>
      </w:r>
      <w:r w:rsidR="000D2D5F">
        <w:rPr>
          <w:noProof/>
        </w:rPr>
        <w:t>f</w:t>
      </w:r>
      <w:r w:rsidR="007B6C4A">
        <w:rPr>
          <w:noProof/>
        </w:rPr>
        <w:t xml:space="preserve">or OVC-HEV </w:t>
      </w:r>
      <w:r w:rsidR="007B6C4A" w:rsidRPr="00BC0FB3">
        <w:rPr>
          <w:noProof/>
        </w:rPr>
        <w:t xml:space="preserve">by declaring compliance with at least </w:t>
      </w:r>
      <w:r w:rsidR="00F81C42">
        <w:rPr>
          <w:noProof/>
        </w:rPr>
        <w:t>2</w:t>
      </w:r>
      <w:r w:rsidR="007B6C4A" w:rsidRPr="00BC0FB3">
        <w:rPr>
          <w:noProof/>
        </w:rPr>
        <w:t xml:space="preserve">0 % lower emission limits than those set out in Annex I </w:t>
      </w:r>
      <w:r w:rsidR="007B6C4A">
        <w:rPr>
          <w:noProof/>
        </w:rPr>
        <w:t>for gaseous pollutants</w:t>
      </w:r>
      <w:r w:rsidR="00B5636F">
        <w:rPr>
          <w:noProof/>
        </w:rPr>
        <w:t>,</w:t>
      </w:r>
      <w:r w:rsidR="007B6C4A">
        <w:rPr>
          <w:noProof/>
        </w:rPr>
        <w:t xml:space="preserve"> </w:t>
      </w:r>
      <w:r w:rsidR="00533ABA">
        <w:rPr>
          <w:noProof/>
        </w:rPr>
        <w:t>one order of magnitude</w:t>
      </w:r>
      <w:r w:rsidR="00465568">
        <w:rPr>
          <w:noProof/>
        </w:rPr>
        <w:t xml:space="preserve"> lower</w:t>
      </w:r>
      <w:r w:rsidR="007B6C4A" w:rsidRPr="416C1E09">
        <w:rPr>
          <w:noProof/>
        </w:rPr>
        <w:t xml:space="preserve"> emission limits for particle number emissions</w:t>
      </w:r>
      <w:r w:rsidR="007B6C4A">
        <w:rPr>
          <w:noProof/>
        </w:rPr>
        <w:t xml:space="preserve"> and </w:t>
      </w:r>
      <w:r w:rsidR="007B6C4A" w:rsidRPr="6D5D704F">
        <w:rPr>
          <w:noProof/>
        </w:rPr>
        <w:t xml:space="preserve">battery durability that is </w:t>
      </w:r>
      <w:r w:rsidR="007B6C4A" w:rsidRPr="416C1E09">
        <w:rPr>
          <w:noProof/>
        </w:rPr>
        <w:t>at least 10 </w:t>
      </w:r>
      <w:r w:rsidR="007B6C4A" w:rsidRPr="6D5D704F">
        <w:rPr>
          <w:noProof/>
        </w:rPr>
        <w:t>percentage points higher than the requirements</w:t>
      </w:r>
      <w:r w:rsidR="007B6C4A" w:rsidRPr="416C1E09">
        <w:rPr>
          <w:noProof/>
        </w:rPr>
        <w:t xml:space="preserve"> set out in Annex II</w:t>
      </w:r>
      <w:r w:rsidR="007B6C4A">
        <w:rPr>
          <w:noProof/>
        </w:rPr>
        <w:t>;</w:t>
      </w:r>
    </w:p>
    <w:p w14:paraId="6DDDE6F6" w14:textId="232989B2" w:rsidR="00F07E11" w:rsidRDefault="00DD0F7B" w:rsidP="00DD0F7B">
      <w:pPr>
        <w:pStyle w:val="Point1"/>
        <w:rPr>
          <w:noProof/>
        </w:rPr>
      </w:pPr>
      <w:r w:rsidRPr="00DD0F7B">
        <w:rPr>
          <w:noProof/>
        </w:rPr>
        <w:t>(c)</w:t>
      </w:r>
      <w:r w:rsidRPr="00DD0F7B">
        <w:rPr>
          <w:noProof/>
        </w:rPr>
        <w:tab/>
      </w:r>
      <w:r w:rsidR="00F07E11">
        <w:rPr>
          <w:noProof/>
        </w:rPr>
        <w:t>f</w:t>
      </w:r>
      <w:r w:rsidR="00F07E11" w:rsidRPr="39627782">
        <w:rPr>
          <w:noProof/>
        </w:rPr>
        <w:t>or PEV</w:t>
      </w:r>
      <w:r w:rsidR="00F07E11" w:rsidRPr="416C1E09">
        <w:rPr>
          <w:noProof/>
        </w:rPr>
        <w:t xml:space="preserve"> </w:t>
      </w:r>
      <w:r w:rsidR="003A06A3">
        <w:rPr>
          <w:noProof/>
        </w:rPr>
        <w:t xml:space="preserve">by </w:t>
      </w:r>
      <w:r w:rsidR="00F07E11" w:rsidRPr="6D5D704F">
        <w:rPr>
          <w:noProof/>
        </w:rPr>
        <w:t>declar</w:t>
      </w:r>
      <w:r w:rsidR="003A06A3">
        <w:rPr>
          <w:noProof/>
        </w:rPr>
        <w:t>ing</w:t>
      </w:r>
      <w:r w:rsidR="00F07E11" w:rsidRPr="6D5D704F">
        <w:rPr>
          <w:noProof/>
        </w:rPr>
        <w:t xml:space="preserve"> battery durability that is </w:t>
      </w:r>
      <w:r w:rsidR="00F07E11" w:rsidRPr="416C1E09">
        <w:rPr>
          <w:noProof/>
        </w:rPr>
        <w:t>at least 10 </w:t>
      </w:r>
      <w:r w:rsidR="00F07E11" w:rsidRPr="6D5D704F">
        <w:rPr>
          <w:noProof/>
        </w:rPr>
        <w:t>percentage points higher than the requirements</w:t>
      </w:r>
      <w:r w:rsidR="00F07E11" w:rsidRPr="416C1E09">
        <w:rPr>
          <w:noProof/>
        </w:rPr>
        <w:t xml:space="preserve"> set out in Annex II</w:t>
      </w:r>
      <w:r w:rsidR="00465568">
        <w:rPr>
          <w:noProof/>
        </w:rPr>
        <w:t>.</w:t>
      </w:r>
    </w:p>
    <w:p w14:paraId="74F26C3E" w14:textId="5CCF98E6" w:rsidR="00BC0FB3" w:rsidRPr="00BC0FB3" w:rsidRDefault="00DD0F7B" w:rsidP="00DD0F7B">
      <w:pPr>
        <w:pStyle w:val="ManualNumPar1"/>
        <w:rPr>
          <w:noProof/>
        </w:rPr>
      </w:pPr>
      <w:r w:rsidRPr="00DD0F7B">
        <w:rPr>
          <w:noProof/>
        </w:rPr>
        <w:t>2.</w:t>
      </w:r>
      <w:r w:rsidRPr="00DD0F7B">
        <w:rPr>
          <w:noProof/>
        </w:rPr>
        <w:tab/>
      </w:r>
      <w:r w:rsidR="00BC0FB3" w:rsidRPr="00BC0FB3">
        <w:rPr>
          <w:noProof/>
        </w:rPr>
        <w:t xml:space="preserve">Compliance of these vehicles </w:t>
      </w:r>
      <w:r w:rsidR="00376C4C">
        <w:rPr>
          <w:noProof/>
        </w:rPr>
        <w:t xml:space="preserve">with the requirements under paragraph 1 </w:t>
      </w:r>
      <w:r w:rsidR="00BC0FB3" w:rsidRPr="00BC0FB3">
        <w:rPr>
          <w:noProof/>
        </w:rPr>
        <w:t xml:space="preserve">shall be checked against the declared values. </w:t>
      </w:r>
    </w:p>
    <w:p w14:paraId="132F708D" w14:textId="5D0325D7" w:rsidR="00DD0D2E" w:rsidRPr="00F91EC4" w:rsidRDefault="00DD0F7B" w:rsidP="00DD0F7B">
      <w:pPr>
        <w:pStyle w:val="ManualNumPar1"/>
        <w:rPr>
          <w:noProof/>
        </w:rPr>
      </w:pPr>
      <w:r w:rsidRPr="00DD0F7B">
        <w:rPr>
          <w:noProof/>
        </w:rPr>
        <w:t>3.</w:t>
      </w:r>
      <w:r w:rsidRPr="00DD0F7B">
        <w:rPr>
          <w:noProof/>
        </w:rPr>
        <w:tab/>
      </w:r>
      <w:r w:rsidR="00571DF2" w:rsidRPr="00F91EC4">
        <w:rPr>
          <w:noProof/>
        </w:rPr>
        <w:t>M</w:t>
      </w:r>
      <w:r w:rsidR="000B5D19" w:rsidRPr="00F91EC4">
        <w:rPr>
          <w:noProof/>
        </w:rPr>
        <w:t>anufacturer</w:t>
      </w:r>
      <w:r w:rsidR="00571DF2" w:rsidRPr="00F91EC4">
        <w:rPr>
          <w:noProof/>
        </w:rPr>
        <w:t>s</w:t>
      </w:r>
      <w:r w:rsidR="000B5D19" w:rsidRPr="00F91EC4">
        <w:rPr>
          <w:noProof/>
        </w:rPr>
        <w:t xml:space="preserve"> may </w:t>
      </w:r>
      <w:r w:rsidR="000A25E3" w:rsidRPr="00F91EC4">
        <w:rPr>
          <w:noProof/>
        </w:rPr>
        <w:t xml:space="preserve">designate </w:t>
      </w:r>
      <w:r w:rsidR="006759ED">
        <w:rPr>
          <w:noProof/>
        </w:rPr>
        <w:t>vehicles</w:t>
      </w:r>
      <w:r w:rsidR="006759ED" w:rsidRPr="00F91EC4">
        <w:rPr>
          <w:noProof/>
        </w:rPr>
        <w:t xml:space="preserve"> </w:t>
      </w:r>
      <w:r w:rsidR="000A25E3" w:rsidRPr="00F91EC4">
        <w:rPr>
          <w:noProof/>
        </w:rPr>
        <w:t xml:space="preserve">as </w:t>
      </w:r>
      <w:r w:rsidR="00405371" w:rsidRPr="00F91EC4">
        <w:rPr>
          <w:noProof/>
        </w:rPr>
        <w:t xml:space="preserve">“Euro 7A </w:t>
      </w:r>
      <w:r w:rsidR="000B5D19" w:rsidRPr="00F91EC4">
        <w:rPr>
          <w:noProof/>
        </w:rPr>
        <w:t>vehicle</w:t>
      </w:r>
      <w:r w:rsidR="00405371" w:rsidRPr="00F91EC4">
        <w:rPr>
          <w:noProof/>
        </w:rPr>
        <w:t>”</w:t>
      </w:r>
      <w:r w:rsidR="000B5D19" w:rsidRPr="00F91EC4">
        <w:rPr>
          <w:noProof/>
        </w:rPr>
        <w:t xml:space="preserve"> </w:t>
      </w:r>
      <w:r w:rsidR="006759ED">
        <w:rPr>
          <w:noProof/>
        </w:rPr>
        <w:t xml:space="preserve">where those vehicles are </w:t>
      </w:r>
      <w:r w:rsidR="00571DF2" w:rsidRPr="00F91EC4">
        <w:rPr>
          <w:noProof/>
        </w:rPr>
        <w:t xml:space="preserve">equipped </w:t>
      </w:r>
      <w:r w:rsidR="000B5D19" w:rsidRPr="00F91EC4">
        <w:rPr>
          <w:noProof/>
        </w:rPr>
        <w:t>with adaptive control</w:t>
      </w:r>
      <w:r w:rsidR="0006548E" w:rsidRPr="00F91EC4">
        <w:rPr>
          <w:noProof/>
        </w:rPr>
        <w:t xml:space="preserve"> functions</w:t>
      </w:r>
      <w:r w:rsidR="000B5D19" w:rsidRPr="00F91EC4">
        <w:rPr>
          <w:noProof/>
        </w:rPr>
        <w:t xml:space="preserve">. </w:t>
      </w:r>
      <w:r w:rsidR="00571DF2" w:rsidRPr="00F91EC4">
        <w:rPr>
          <w:noProof/>
        </w:rPr>
        <w:t>T</w:t>
      </w:r>
      <w:r w:rsidR="000B5D19" w:rsidRPr="00F91EC4">
        <w:rPr>
          <w:noProof/>
        </w:rPr>
        <w:t>he use of adaptive control</w:t>
      </w:r>
      <w:r w:rsidR="0006548E" w:rsidRPr="00F91EC4">
        <w:rPr>
          <w:noProof/>
        </w:rPr>
        <w:t xml:space="preserve"> functions</w:t>
      </w:r>
      <w:r w:rsidR="000B5D19" w:rsidRPr="00F91EC4">
        <w:rPr>
          <w:noProof/>
        </w:rPr>
        <w:t xml:space="preserve"> shall be demonstrated to the </w:t>
      </w:r>
      <w:r w:rsidR="00976BDB" w:rsidRPr="00F91EC4">
        <w:rPr>
          <w:noProof/>
        </w:rPr>
        <w:t>type-approval</w:t>
      </w:r>
      <w:r w:rsidR="000B5D19" w:rsidRPr="00F91EC4">
        <w:rPr>
          <w:noProof/>
        </w:rPr>
        <w:t xml:space="preserve"> authorities during </w:t>
      </w:r>
      <w:r w:rsidR="00976BDB" w:rsidRPr="00F91EC4">
        <w:rPr>
          <w:noProof/>
        </w:rPr>
        <w:t>type-approval</w:t>
      </w:r>
      <w:r w:rsidR="00405371" w:rsidRPr="00F91EC4">
        <w:rPr>
          <w:noProof/>
        </w:rPr>
        <w:t xml:space="preserve"> and </w:t>
      </w:r>
      <w:r w:rsidR="00641B6B" w:rsidRPr="00F91EC4">
        <w:rPr>
          <w:noProof/>
        </w:rPr>
        <w:t>verified</w:t>
      </w:r>
      <w:r w:rsidR="00405371" w:rsidRPr="00F91EC4">
        <w:rPr>
          <w:noProof/>
        </w:rPr>
        <w:t xml:space="preserve"> during the lifetime of the vehicle</w:t>
      </w:r>
      <w:r w:rsidR="006759ED">
        <w:rPr>
          <w:noProof/>
        </w:rPr>
        <w:t xml:space="preserve"> as set out in table 1, Annex IV</w:t>
      </w:r>
      <w:r w:rsidR="00DD0D2E" w:rsidRPr="00F91EC4">
        <w:rPr>
          <w:noProof/>
        </w:rPr>
        <w:t>.</w:t>
      </w:r>
    </w:p>
    <w:p w14:paraId="1DFD859A" w14:textId="55C40BBD" w:rsidR="00DD0D2E" w:rsidRPr="00F91EC4" w:rsidRDefault="00DD0F7B" w:rsidP="00DD0F7B">
      <w:pPr>
        <w:pStyle w:val="ManualNumPar1"/>
        <w:rPr>
          <w:noProof/>
        </w:rPr>
      </w:pPr>
      <w:r w:rsidRPr="00DD0F7B">
        <w:rPr>
          <w:noProof/>
        </w:rPr>
        <w:t>4.</w:t>
      </w:r>
      <w:r w:rsidRPr="00DD0F7B">
        <w:rPr>
          <w:noProof/>
        </w:rPr>
        <w:tab/>
      </w:r>
      <w:r w:rsidR="00405371" w:rsidRPr="00F91EC4">
        <w:rPr>
          <w:noProof/>
        </w:rPr>
        <w:t xml:space="preserve">Manufacturers may </w:t>
      </w:r>
      <w:r w:rsidR="00571DF2" w:rsidRPr="00F91EC4">
        <w:rPr>
          <w:noProof/>
        </w:rPr>
        <w:t xml:space="preserve">designate </w:t>
      </w:r>
      <w:r w:rsidR="006759ED">
        <w:rPr>
          <w:noProof/>
        </w:rPr>
        <w:t>vehicles</w:t>
      </w:r>
      <w:r w:rsidR="006759ED" w:rsidRPr="00F91EC4">
        <w:rPr>
          <w:noProof/>
        </w:rPr>
        <w:t xml:space="preserve"> </w:t>
      </w:r>
      <w:r w:rsidR="00571DF2" w:rsidRPr="00F91EC4">
        <w:rPr>
          <w:noProof/>
        </w:rPr>
        <w:t xml:space="preserve">as </w:t>
      </w:r>
      <w:r w:rsidR="00405371" w:rsidRPr="00F91EC4">
        <w:rPr>
          <w:noProof/>
        </w:rPr>
        <w:t xml:space="preserve">“Euro 7G vehicle” </w:t>
      </w:r>
      <w:r w:rsidR="00571DF2" w:rsidRPr="00F91EC4">
        <w:rPr>
          <w:noProof/>
        </w:rPr>
        <w:t>whe</w:t>
      </w:r>
      <w:r w:rsidR="006759ED">
        <w:rPr>
          <w:noProof/>
        </w:rPr>
        <w:t xml:space="preserve">re those vehicles are </w:t>
      </w:r>
      <w:r w:rsidR="00571DF2" w:rsidRPr="00F91EC4">
        <w:rPr>
          <w:noProof/>
        </w:rPr>
        <w:t xml:space="preserve">equipped with </w:t>
      </w:r>
      <w:r w:rsidR="00DD0D2E" w:rsidRPr="00F91EC4">
        <w:rPr>
          <w:noProof/>
        </w:rPr>
        <w:t>internal combustion engines with</w:t>
      </w:r>
      <w:r w:rsidR="007E764E" w:rsidRPr="00F91EC4">
        <w:rPr>
          <w:noProof/>
        </w:rPr>
        <w:t xml:space="preserve"> geofencing</w:t>
      </w:r>
      <w:r w:rsidR="00DD0D2E" w:rsidRPr="00F91EC4">
        <w:rPr>
          <w:noProof/>
        </w:rPr>
        <w:t xml:space="preserve"> technologies. </w:t>
      </w:r>
      <w:r w:rsidR="00501ACD" w:rsidRPr="00F91EC4">
        <w:rPr>
          <w:noProof/>
        </w:rPr>
        <w:t>The manufacture</w:t>
      </w:r>
      <w:r w:rsidR="00D03BCB" w:rsidRPr="00F91EC4">
        <w:rPr>
          <w:noProof/>
        </w:rPr>
        <w:t>r</w:t>
      </w:r>
      <w:r w:rsidR="00501ACD" w:rsidRPr="00F91EC4">
        <w:rPr>
          <w:noProof/>
        </w:rPr>
        <w:t xml:space="preserve"> shall install a driver warning system</w:t>
      </w:r>
      <w:r w:rsidR="00805056" w:rsidRPr="00F91EC4">
        <w:rPr>
          <w:noProof/>
        </w:rPr>
        <w:t xml:space="preserve"> on </w:t>
      </w:r>
      <w:r w:rsidR="006759ED">
        <w:rPr>
          <w:noProof/>
        </w:rPr>
        <w:t xml:space="preserve">those </w:t>
      </w:r>
      <w:r w:rsidR="00805056" w:rsidRPr="00F91EC4">
        <w:rPr>
          <w:noProof/>
        </w:rPr>
        <w:t xml:space="preserve">vehicles </w:t>
      </w:r>
      <w:r w:rsidR="00501ACD" w:rsidRPr="00F91EC4">
        <w:rPr>
          <w:noProof/>
        </w:rPr>
        <w:t xml:space="preserve">to inform the user </w:t>
      </w:r>
      <w:r w:rsidR="006759ED">
        <w:rPr>
          <w:noProof/>
        </w:rPr>
        <w:t xml:space="preserve">when </w:t>
      </w:r>
      <w:r w:rsidR="00501ACD" w:rsidRPr="00F91EC4">
        <w:rPr>
          <w:noProof/>
        </w:rPr>
        <w:t>the</w:t>
      </w:r>
      <w:r w:rsidR="00DD0D2E" w:rsidRPr="00F91EC4">
        <w:rPr>
          <w:noProof/>
        </w:rPr>
        <w:t xml:space="preserve"> traction batteries </w:t>
      </w:r>
      <w:r w:rsidR="00501ACD" w:rsidRPr="00F91EC4">
        <w:rPr>
          <w:noProof/>
        </w:rPr>
        <w:t xml:space="preserve">are nearly empty and </w:t>
      </w:r>
      <w:r w:rsidR="006759ED">
        <w:rPr>
          <w:noProof/>
        </w:rPr>
        <w:t xml:space="preserve">to </w:t>
      </w:r>
      <w:r w:rsidR="00DD0D2E" w:rsidRPr="00F91EC4">
        <w:rPr>
          <w:noProof/>
        </w:rPr>
        <w:t>stop</w:t>
      </w:r>
      <w:r w:rsidR="006759ED">
        <w:rPr>
          <w:noProof/>
        </w:rPr>
        <w:t xml:space="preserve"> the vehicle</w:t>
      </w:r>
      <w:r w:rsidR="00DD0D2E" w:rsidRPr="00F91EC4">
        <w:rPr>
          <w:noProof/>
        </w:rPr>
        <w:t xml:space="preserve"> if not charged within 5 km</w:t>
      </w:r>
      <w:r w:rsidR="00805056" w:rsidRPr="00F91EC4">
        <w:rPr>
          <w:noProof/>
        </w:rPr>
        <w:t xml:space="preserve"> </w:t>
      </w:r>
      <w:r w:rsidR="006759ED">
        <w:rPr>
          <w:noProof/>
        </w:rPr>
        <w:t xml:space="preserve">from the first warning </w:t>
      </w:r>
      <w:r w:rsidR="00805056" w:rsidRPr="00F91EC4">
        <w:rPr>
          <w:noProof/>
        </w:rPr>
        <w:t>while on zero</w:t>
      </w:r>
      <w:r w:rsidR="00414DAB" w:rsidRPr="00F91EC4">
        <w:rPr>
          <w:noProof/>
        </w:rPr>
        <w:t>-</w:t>
      </w:r>
      <w:r w:rsidR="00805056" w:rsidRPr="00F91EC4">
        <w:rPr>
          <w:noProof/>
        </w:rPr>
        <w:t>emission mode</w:t>
      </w:r>
      <w:r w:rsidR="00DD0D2E" w:rsidRPr="00F91EC4">
        <w:rPr>
          <w:noProof/>
        </w:rPr>
        <w:t xml:space="preserve">. The application of such </w:t>
      </w:r>
      <w:r w:rsidR="00ED7481" w:rsidRPr="00F91EC4">
        <w:rPr>
          <w:noProof/>
        </w:rPr>
        <w:t xml:space="preserve">geofencing </w:t>
      </w:r>
      <w:r w:rsidR="00DD0D2E" w:rsidRPr="00F91EC4">
        <w:rPr>
          <w:noProof/>
        </w:rPr>
        <w:t>technologies may be verified during the lifetime of the vehicle.</w:t>
      </w:r>
    </w:p>
    <w:p w14:paraId="21FB1726" w14:textId="333D67CE" w:rsidR="00414DAB" w:rsidRPr="00F91EC4" w:rsidRDefault="00DD0F7B" w:rsidP="00DD0F7B">
      <w:pPr>
        <w:pStyle w:val="ManualNumPar1"/>
        <w:rPr>
          <w:noProof/>
        </w:rPr>
      </w:pPr>
      <w:r w:rsidRPr="00DD0F7B">
        <w:rPr>
          <w:noProof/>
        </w:rPr>
        <w:t>5.</w:t>
      </w:r>
      <w:r w:rsidRPr="00DD0F7B">
        <w:rPr>
          <w:noProof/>
        </w:rPr>
        <w:tab/>
      </w:r>
      <w:r w:rsidR="00414DAB" w:rsidRPr="00F91EC4">
        <w:rPr>
          <w:noProof/>
        </w:rPr>
        <w:t>Manufacturers may construct vehicles combining two or more of the characteristics referred to in paragraphs 1, 2</w:t>
      </w:r>
      <w:r w:rsidR="00FC5AB8" w:rsidRPr="00F91EC4">
        <w:rPr>
          <w:noProof/>
        </w:rPr>
        <w:t xml:space="preserve"> </w:t>
      </w:r>
      <w:r w:rsidR="00414DAB" w:rsidRPr="00F91EC4">
        <w:rPr>
          <w:noProof/>
        </w:rPr>
        <w:t xml:space="preserve">or </w:t>
      </w:r>
      <w:r w:rsidR="00FC5AB8" w:rsidRPr="00F91EC4">
        <w:rPr>
          <w:noProof/>
        </w:rPr>
        <w:t xml:space="preserve">3 </w:t>
      </w:r>
      <w:r w:rsidR="00414DAB" w:rsidRPr="00F91EC4">
        <w:rPr>
          <w:noProof/>
        </w:rPr>
        <w:t xml:space="preserve">and designate them </w:t>
      </w:r>
      <w:r w:rsidR="003A4121" w:rsidRPr="00F91EC4">
        <w:rPr>
          <w:noProof/>
        </w:rPr>
        <w:t xml:space="preserve">using </w:t>
      </w:r>
      <w:r w:rsidR="00E63E8D" w:rsidRPr="00F91EC4">
        <w:rPr>
          <w:noProof/>
        </w:rPr>
        <w:t>a</w:t>
      </w:r>
      <w:r w:rsidR="003A4121" w:rsidRPr="00F91EC4">
        <w:rPr>
          <w:noProof/>
        </w:rPr>
        <w:t xml:space="preserve"> combination of symbols and letters</w:t>
      </w:r>
      <w:r w:rsidR="00E63E8D" w:rsidRPr="00F91EC4">
        <w:rPr>
          <w:noProof/>
        </w:rPr>
        <w:t xml:space="preserve"> such as</w:t>
      </w:r>
      <w:r w:rsidR="00414DAB" w:rsidRPr="00F91EC4">
        <w:rPr>
          <w:noProof/>
        </w:rPr>
        <w:t xml:space="preserve"> “Euro 7+A”, “Euro 7+G”, “Euro 7</w:t>
      </w:r>
      <w:r w:rsidR="002326C8" w:rsidRPr="00F91EC4">
        <w:rPr>
          <w:noProof/>
        </w:rPr>
        <w:t>+AG” or “Euro 7AG” vehicles</w:t>
      </w:r>
      <w:r w:rsidR="00414DAB" w:rsidRPr="00F91EC4">
        <w:rPr>
          <w:noProof/>
        </w:rPr>
        <w:t xml:space="preserve">. </w:t>
      </w:r>
    </w:p>
    <w:p w14:paraId="38B3DB1B" w14:textId="02207BE3" w:rsidR="00A536D1" w:rsidRPr="00F91EC4" w:rsidRDefault="00DD0F7B" w:rsidP="00DD0F7B">
      <w:pPr>
        <w:pStyle w:val="ManualNumPar1"/>
        <w:rPr>
          <w:noProof/>
        </w:rPr>
      </w:pPr>
      <w:r w:rsidRPr="00DD0F7B">
        <w:rPr>
          <w:noProof/>
        </w:rPr>
        <w:t>6.</w:t>
      </w:r>
      <w:r w:rsidRPr="00DD0F7B">
        <w:rPr>
          <w:noProof/>
        </w:rPr>
        <w:tab/>
      </w:r>
      <w:r w:rsidR="00A536D1" w:rsidRPr="00F91EC4">
        <w:rPr>
          <w:noProof/>
        </w:rPr>
        <w:t xml:space="preserve">At the manufacturer’s request, </w:t>
      </w:r>
      <w:r w:rsidR="007065B8">
        <w:rPr>
          <w:noProof/>
        </w:rPr>
        <w:t xml:space="preserve">for </w:t>
      </w:r>
      <w:r w:rsidR="00A536D1" w:rsidRPr="00F91EC4">
        <w:rPr>
          <w:noProof/>
        </w:rPr>
        <w:t>N</w:t>
      </w:r>
      <w:r w:rsidR="00A536D1" w:rsidRPr="00F91EC4">
        <w:rPr>
          <w:noProof/>
          <w:vertAlign w:val="subscript"/>
        </w:rPr>
        <w:t>2</w:t>
      </w:r>
      <w:r w:rsidR="00A536D1" w:rsidRPr="00F91EC4">
        <w:rPr>
          <w:noProof/>
        </w:rPr>
        <w:t xml:space="preserve"> vehicles between 3.5 and 4.0 tonnes maximum mass originating from an N</w:t>
      </w:r>
      <w:r w:rsidR="00A536D1" w:rsidRPr="00F91EC4">
        <w:rPr>
          <w:noProof/>
          <w:vertAlign w:val="subscript"/>
        </w:rPr>
        <w:t>1</w:t>
      </w:r>
      <w:r w:rsidR="00A536D1" w:rsidRPr="00F91EC4">
        <w:rPr>
          <w:noProof/>
        </w:rPr>
        <w:t xml:space="preserve"> vehicle type, </w:t>
      </w:r>
      <w:r w:rsidR="00311018" w:rsidRPr="00F91EC4">
        <w:rPr>
          <w:noProof/>
        </w:rPr>
        <w:t xml:space="preserve">the </w:t>
      </w:r>
      <w:r w:rsidR="00976BDB" w:rsidRPr="00F91EC4">
        <w:rPr>
          <w:noProof/>
        </w:rPr>
        <w:t>type-approval</w:t>
      </w:r>
      <w:r w:rsidR="00311018" w:rsidRPr="00F91EC4">
        <w:rPr>
          <w:noProof/>
        </w:rPr>
        <w:t xml:space="preserve"> authority may grant</w:t>
      </w:r>
      <w:r w:rsidR="00A536D1" w:rsidRPr="00F91EC4">
        <w:rPr>
          <w:noProof/>
        </w:rPr>
        <w:t xml:space="preserve"> an emission </w:t>
      </w:r>
      <w:r w:rsidR="00976BDB" w:rsidRPr="00F91EC4">
        <w:rPr>
          <w:noProof/>
        </w:rPr>
        <w:t>type-approval</w:t>
      </w:r>
      <w:r w:rsidR="007065B8">
        <w:rPr>
          <w:noProof/>
        </w:rPr>
        <w:t xml:space="preserve"> for N</w:t>
      </w:r>
      <w:r w:rsidR="007065B8" w:rsidRPr="007065B8">
        <w:rPr>
          <w:noProof/>
          <w:vertAlign w:val="subscript"/>
        </w:rPr>
        <w:t>1</w:t>
      </w:r>
      <w:r w:rsidR="007065B8">
        <w:rPr>
          <w:noProof/>
        </w:rPr>
        <w:t xml:space="preserve"> vehicle type</w:t>
      </w:r>
      <w:r w:rsidR="00A536D1" w:rsidRPr="00F91EC4">
        <w:rPr>
          <w:noProof/>
        </w:rPr>
        <w:t xml:space="preserve">. Such vehicles shall be designated as “Euro 7ext vehicle”. </w:t>
      </w:r>
    </w:p>
    <w:p w14:paraId="66E96D87" w14:textId="0CF084BA" w:rsidR="00BD0EDD" w:rsidRPr="00F91EC4" w:rsidRDefault="00DD0F7B" w:rsidP="00DD0F7B">
      <w:pPr>
        <w:pStyle w:val="ManualNumPar1"/>
        <w:rPr>
          <w:noProof/>
          <w:color w:val="000000" w:themeColor="text1"/>
        </w:rPr>
      </w:pPr>
      <w:r w:rsidRPr="00DD0F7B">
        <w:rPr>
          <w:noProof/>
        </w:rPr>
        <w:t>7.</w:t>
      </w:r>
      <w:r w:rsidRPr="00DD0F7B">
        <w:rPr>
          <w:noProof/>
        </w:rPr>
        <w:tab/>
      </w:r>
      <w:r w:rsidR="00BD0EDD" w:rsidRPr="00F91EC4">
        <w:rPr>
          <w:noProof/>
        </w:rPr>
        <w:t xml:space="preserve">The Commission shall adopt, by means of implementing acts, detailed rules on the procedures, tests and methodologies </w:t>
      </w:r>
      <w:r w:rsidR="000A4E39">
        <w:rPr>
          <w:noProof/>
        </w:rPr>
        <w:t>to verify compliance with the requirements laid down</w:t>
      </w:r>
      <w:r w:rsidR="000A4E39" w:rsidRPr="00F91EC4">
        <w:rPr>
          <w:noProof/>
        </w:rPr>
        <w:t xml:space="preserve"> </w:t>
      </w:r>
      <w:r w:rsidR="000A4E39">
        <w:rPr>
          <w:noProof/>
        </w:rPr>
        <w:t>in</w:t>
      </w:r>
      <w:r w:rsidR="000A4E39" w:rsidRPr="00F91EC4">
        <w:rPr>
          <w:noProof/>
        </w:rPr>
        <w:t xml:space="preserve"> </w:t>
      </w:r>
      <w:r w:rsidR="00BD0EDD" w:rsidRPr="00F91EC4">
        <w:rPr>
          <w:noProof/>
        </w:rPr>
        <w:t xml:space="preserve">paragraphs </w:t>
      </w:r>
      <w:r w:rsidR="00F561FE">
        <w:rPr>
          <w:noProof/>
        </w:rPr>
        <w:t>1</w:t>
      </w:r>
      <w:r w:rsidR="00F561FE" w:rsidRPr="00F91EC4">
        <w:rPr>
          <w:noProof/>
        </w:rPr>
        <w:t xml:space="preserve"> </w:t>
      </w:r>
      <w:r w:rsidR="00F561FE">
        <w:rPr>
          <w:noProof/>
        </w:rPr>
        <w:t xml:space="preserve">to </w:t>
      </w:r>
      <w:r w:rsidR="007B6C4A">
        <w:rPr>
          <w:noProof/>
        </w:rPr>
        <w:t>6</w:t>
      </w:r>
      <w:r w:rsidR="00BD0EDD" w:rsidRPr="00F91EC4">
        <w:rPr>
          <w:noProof/>
        </w:rPr>
        <w:t xml:space="preserve">. Those implementing acts shall be adopted in accordance with the examination procedure referred to in Article </w:t>
      </w:r>
      <w:r w:rsidR="004E2A19" w:rsidRPr="00F91EC4">
        <w:rPr>
          <w:noProof/>
        </w:rPr>
        <w:t>1</w:t>
      </w:r>
      <w:r w:rsidR="00421302" w:rsidRPr="00F91EC4">
        <w:rPr>
          <w:noProof/>
        </w:rPr>
        <w:t>7</w:t>
      </w:r>
      <w:r w:rsidR="00BD0EDD" w:rsidRPr="00F91EC4">
        <w:rPr>
          <w:noProof/>
        </w:rPr>
        <w:t>(2).</w:t>
      </w:r>
      <w:r w:rsidR="00BD0EDD" w:rsidRPr="00F91EC4">
        <w:rPr>
          <w:noProof/>
          <w:color w:val="000000" w:themeColor="text1"/>
        </w:rPr>
        <w:t xml:space="preserve"> </w:t>
      </w:r>
    </w:p>
    <w:p w14:paraId="241BC244" w14:textId="77777777" w:rsidR="00082CA0" w:rsidRPr="00F91EC4" w:rsidRDefault="00082CA0" w:rsidP="00082CA0">
      <w:pPr>
        <w:pStyle w:val="Titrearticle"/>
        <w:rPr>
          <w:b/>
          <w:i w:val="0"/>
          <w:noProof/>
        </w:rPr>
      </w:pPr>
      <w:r w:rsidRPr="00F91EC4">
        <w:rPr>
          <w:noProof/>
          <w:color w:val="000000" w:themeColor="text1"/>
        </w:rPr>
        <w:t>Article</w:t>
      </w:r>
      <w:r w:rsidRPr="00F91EC4">
        <w:rPr>
          <w:noProof/>
        </w:rPr>
        <w:t xml:space="preserve"> 6</w:t>
      </w:r>
      <w:r w:rsidRPr="00F91EC4">
        <w:rPr>
          <w:noProof/>
        </w:rPr>
        <w:br/>
      </w:r>
      <w:r w:rsidRPr="00F91EC4">
        <w:rPr>
          <w:b/>
          <w:i w:val="0"/>
          <w:noProof/>
        </w:rPr>
        <w:t xml:space="preserve">Durability </w:t>
      </w:r>
      <w:r w:rsidR="00B65031" w:rsidRPr="00F91EC4">
        <w:rPr>
          <w:b/>
          <w:i w:val="0"/>
          <w:noProof/>
        </w:rPr>
        <w:t>requirements for vehicles</w:t>
      </w:r>
      <w:r w:rsidR="00E84858" w:rsidRPr="00F91EC4">
        <w:rPr>
          <w:b/>
          <w:i w:val="0"/>
          <w:noProof/>
        </w:rPr>
        <w:t xml:space="preserve">, </w:t>
      </w:r>
      <w:r w:rsidR="00985DA1" w:rsidRPr="00F91EC4">
        <w:rPr>
          <w:b/>
          <w:i w:val="0"/>
          <w:noProof/>
        </w:rPr>
        <w:t xml:space="preserve">systems, components and </w:t>
      </w:r>
      <w:r w:rsidR="00E84858" w:rsidRPr="00F91EC4">
        <w:rPr>
          <w:b/>
          <w:i w:val="0"/>
          <w:noProof/>
        </w:rPr>
        <w:t>separate technical units</w:t>
      </w:r>
      <w:r w:rsidR="00B65031" w:rsidRPr="00F91EC4">
        <w:rPr>
          <w:b/>
          <w:i w:val="0"/>
          <w:noProof/>
        </w:rPr>
        <w:t xml:space="preserve"> </w:t>
      </w:r>
    </w:p>
    <w:p w14:paraId="57F86598" w14:textId="017BFEF4" w:rsidR="00082CA0" w:rsidRPr="00014266" w:rsidRDefault="00DD0F7B" w:rsidP="00DD0F7B">
      <w:pPr>
        <w:pStyle w:val="ManualNumPar1"/>
        <w:rPr>
          <w:noProof/>
        </w:rPr>
      </w:pPr>
      <w:r w:rsidRPr="00DD0F7B">
        <w:rPr>
          <w:noProof/>
        </w:rPr>
        <w:t>1.</w:t>
      </w:r>
      <w:r w:rsidRPr="00DD0F7B">
        <w:rPr>
          <w:noProof/>
        </w:rPr>
        <w:tab/>
      </w:r>
      <w:r w:rsidR="00082CA0" w:rsidRPr="00014266">
        <w:rPr>
          <w:noProof/>
        </w:rPr>
        <w:t>Manufacturers shall ensure</w:t>
      </w:r>
      <w:r w:rsidR="00664D45" w:rsidRPr="00014266">
        <w:rPr>
          <w:noProof/>
        </w:rPr>
        <w:t xml:space="preserve"> that </w:t>
      </w:r>
      <w:r w:rsidR="004621F9">
        <w:rPr>
          <w:noProof/>
        </w:rPr>
        <w:t xml:space="preserve">the </w:t>
      </w:r>
      <w:r w:rsidR="00664D45" w:rsidRPr="00014266">
        <w:rPr>
          <w:noProof/>
        </w:rPr>
        <w:t>vehicles</w:t>
      </w:r>
      <w:r w:rsidR="00082CA0" w:rsidRPr="00014266">
        <w:rPr>
          <w:noProof/>
        </w:rPr>
        <w:t xml:space="preserve"> </w:t>
      </w:r>
      <w:r w:rsidR="004621F9">
        <w:rPr>
          <w:noProof/>
        </w:rPr>
        <w:t xml:space="preserve">they manufacture, which are </w:t>
      </w:r>
      <w:r w:rsidR="004621F9" w:rsidRPr="00F91EC4">
        <w:rPr>
          <w:noProof/>
        </w:rPr>
        <w:t>sold, registered or put into service in the Union</w:t>
      </w:r>
      <w:r w:rsidR="004621F9">
        <w:rPr>
          <w:noProof/>
        </w:rPr>
        <w:t>,</w:t>
      </w:r>
      <w:r w:rsidR="00082CA0" w:rsidRPr="00014266">
        <w:rPr>
          <w:noProof/>
        </w:rPr>
        <w:t xml:space="preserve"> compl</w:t>
      </w:r>
      <w:r w:rsidR="00664D45" w:rsidRPr="00014266">
        <w:rPr>
          <w:noProof/>
        </w:rPr>
        <w:t>y</w:t>
      </w:r>
      <w:r w:rsidR="00082CA0" w:rsidRPr="00014266">
        <w:rPr>
          <w:noProof/>
        </w:rPr>
        <w:t xml:space="preserve"> with the emission limits set out in Annex I </w:t>
      </w:r>
      <w:r w:rsidR="00796D33">
        <w:rPr>
          <w:noProof/>
        </w:rPr>
        <w:t>when driven</w:t>
      </w:r>
      <w:r w:rsidR="00082CA0" w:rsidRPr="00014266">
        <w:rPr>
          <w:noProof/>
        </w:rPr>
        <w:t xml:space="preserve"> under the</w:t>
      </w:r>
      <w:r w:rsidR="00664D45" w:rsidRPr="00014266">
        <w:rPr>
          <w:noProof/>
        </w:rPr>
        <w:t xml:space="preserve"> normal and extended driving</w:t>
      </w:r>
      <w:r w:rsidR="00082CA0" w:rsidRPr="00014266">
        <w:rPr>
          <w:noProof/>
        </w:rPr>
        <w:t xml:space="preserve"> conditions</w:t>
      </w:r>
      <w:r w:rsidR="00796D33">
        <w:rPr>
          <w:noProof/>
        </w:rPr>
        <w:t xml:space="preserve"> as</w:t>
      </w:r>
      <w:r w:rsidR="00082CA0" w:rsidRPr="00014266">
        <w:rPr>
          <w:noProof/>
        </w:rPr>
        <w:t xml:space="preserve"> set out in Annex II</w:t>
      </w:r>
      <w:r w:rsidR="00B82591" w:rsidRPr="00014266">
        <w:rPr>
          <w:noProof/>
        </w:rPr>
        <w:t>I</w:t>
      </w:r>
      <w:r w:rsidR="00082CA0" w:rsidRPr="00014266">
        <w:rPr>
          <w:noProof/>
        </w:rPr>
        <w:t xml:space="preserve">, </w:t>
      </w:r>
      <w:r w:rsidR="00D83476" w:rsidRPr="00014266">
        <w:rPr>
          <w:noProof/>
        </w:rPr>
        <w:t xml:space="preserve">for the lifetime of the vehicle as set out in </w:t>
      </w:r>
      <w:r w:rsidR="00796D33">
        <w:rPr>
          <w:noProof/>
        </w:rPr>
        <w:t xml:space="preserve">table 1 of </w:t>
      </w:r>
      <w:r w:rsidR="00D83476" w:rsidRPr="00014266">
        <w:rPr>
          <w:noProof/>
        </w:rPr>
        <w:t>Annex IV</w:t>
      </w:r>
      <w:r w:rsidR="00664D45" w:rsidRPr="00014266">
        <w:rPr>
          <w:noProof/>
        </w:rPr>
        <w:t>,</w:t>
      </w:r>
      <w:r w:rsidR="00D83476" w:rsidRPr="00014266">
        <w:rPr>
          <w:noProof/>
        </w:rPr>
        <w:t xml:space="preserve"> </w:t>
      </w:r>
      <w:r w:rsidR="00664D45" w:rsidRPr="00014266">
        <w:rPr>
          <w:noProof/>
        </w:rPr>
        <w:t xml:space="preserve">and </w:t>
      </w:r>
      <w:r w:rsidR="00DB5F56">
        <w:rPr>
          <w:noProof/>
        </w:rPr>
        <w:t xml:space="preserve">comply </w:t>
      </w:r>
      <w:r w:rsidR="00082CA0" w:rsidRPr="00014266">
        <w:rPr>
          <w:noProof/>
        </w:rPr>
        <w:t>with the minimum performance requirements on battery durability as set out in Annex I</w:t>
      </w:r>
      <w:r w:rsidR="00664D45" w:rsidRPr="00014266">
        <w:rPr>
          <w:noProof/>
        </w:rPr>
        <w:t>I</w:t>
      </w:r>
      <w:r w:rsidR="00082CA0" w:rsidRPr="00014266">
        <w:rPr>
          <w:noProof/>
        </w:rPr>
        <w:t>.</w:t>
      </w:r>
      <w:r w:rsidR="005C4406" w:rsidRPr="00014266">
        <w:rPr>
          <w:noProof/>
        </w:rPr>
        <w:t xml:space="preserve"> </w:t>
      </w:r>
    </w:p>
    <w:p w14:paraId="6F5E6F94" w14:textId="42138256" w:rsidR="00823106" w:rsidRPr="00823106" w:rsidRDefault="00DD0F7B" w:rsidP="00DD0F7B">
      <w:pPr>
        <w:pStyle w:val="ManualNumPar1"/>
        <w:rPr>
          <w:noProof/>
        </w:rPr>
      </w:pPr>
      <w:r w:rsidRPr="00DD0F7B">
        <w:rPr>
          <w:noProof/>
        </w:rPr>
        <w:t>2.</w:t>
      </w:r>
      <w:r w:rsidRPr="00DD0F7B">
        <w:rPr>
          <w:noProof/>
        </w:rPr>
        <w:tab/>
      </w:r>
      <w:r w:rsidR="00823106" w:rsidRPr="00C73768">
        <w:rPr>
          <w:noProof/>
        </w:rPr>
        <w:t xml:space="preserve">Manufacturers shall ensure that </w:t>
      </w:r>
      <w:r w:rsidR="004621F9">
        <w:rPr>
          <w:noProof/>
        </w:rPr>
        <w:t xml:space="preserve">these </w:t>
      </w:r>
      <w:r w:rsidR="00823106" w:rsidRPr="00C73768">
        <w:rPr>
          <w:noProof/>
        </w:rPr>
        <w:t>vehicles comply with the values regarding CO</w:t>
      </w:r>
      <w:r w:rsidR="00823106" w:rsidRPr="00C73768">
        <w:rPr>
          <w:noProof/>
          <w:vertAlign w:val="subscript"/>
        </w:rPr>
        <w:t>2</w:t>
      </w:r>
      <w:r w:rsidR="00823106" w:rsidRPr="00C73768">
        <w:rPr>
          <w:noProof/>
        </w:rPr>
        <w:t xml:space="preserve"> emissions, fuel and energy consumption and energy efficiency declared under the provisions of this Regulation </w:t>
      </w:r>
      <w:r w:rsidR="00823106" w:rsidRPr="00823106">
        <w:rPr>
          <w:noProof/>
        </w:rPr>
        <w:t>for the lifetime of the vehicle as set out in Annex IV, Table 1.</w:t>
      </w:r>
    </w:p>
    <w:p w14:paraId="14EB682B" w14:textId="42834C50" w:rsidR="00823106" w:rsidRPr="00823106" w:rsidRDefault="00DD0F7B" w:rsidP="00DD0F7B">
      <w:pPr>
        <w:pStyle w:val="ManualNumPar1"/>
        <w:rPr>
          <w:noProof/>
        </w:rPr>
      </w:pPr>
      <w:r w:rsidRPr="00DD0F7B">
        <w:rPr>
          <w:noProof/>
        </w:rPr>
        <w:t>3.</w:t>
      </w:r>
      <w:r w:rsidRPr="00DD0F7B">
        <w:rPr>
          <w:noProof/>
        </w:rPr>
        <w:tab/>
      </w:r>
      <w:r w:rsidR="00823106" w:rsidRPr="00615D42">
        <w:rPr>
          <w:noProof/>
        </w:rPr>
        <w:t>Manufacturers shall ensure that OBFCM, OBD and O</w:t>
      </w:r>
      <w:r w:rsidR="00C73768">
        <w:rPr>
          <w:noProof/>
        </w:rPr>
        <w:t>B</w:t>
      </w:r>
      <w:r w:rsidR="00823106" w:rsidRPr="00615D42">
        <w:rPr>
          <w:noProof/>
        </w:rPr>
        <w:t>M devices</w:t>
      </w:r>
      <w:r w:rsidR="00DB5F56">
        <w:rPr>
          <w:noProof/>
        </w:rPr>
        <w:t xml:space="preserve"> and anti-tampering measures</w:t>
      </w:r>
      <w:r w:rsidR="00823106" w:rsidRPr="00615D42">
        <w:rPr>
          <w:noProof/>
        </w:rPr>
        <w:t xml:space="preserve"> </w:t>
      </w:r>
      <w:r w:rsidR="00376C4C">
        <w:rPr>
          <w:noProof/>
        </w:rPr>
        <w:t xml:space="preserve">installed in these vehicles </w:t>
      </w:r>
      <w:r w:rsidR="00823106" w:rsidRPr="00615D42">
        <w:rPr>
          <w:noProof/>
        </w:rPr>
        <w:t>comply with the provisions of this Regulation</w:t>
      </w:r>
      <w:r w:rsidR="00DB5F56">
        <w:rPr>
          <w:noProof/>
        </w:rPr>
        <w:t xml:space="preserve"> as long as</w:t>
      </w:r>
      <w:r w:rsidR="00823106" w:rsidRPr="00823106">
        <w:rPr>
          <w:noProof/>
        </w:rPr>
        <w:t xml:space="preserve"> the vehicle</w:t>
      </w:r>
      <w:r w:rsidR="00DB5F56">
        <w:rPr>
          <w:noProof/>
        </w:rPr>
        <w:t xml:space="preserve"> is in use</w:t>
      </w:r>
      <w:r w:rsidR="00823106" w:rsidRPr="00823106">
        <w:rPr>
          <w:noProof/>
        </w:rPr>
        <w:t>.</w:t>
      </w:r>
    </w:p>
    <w:p w14:paraId="26080693" w14:textId="212278DC" w:rsidR="008A45AC" w:rsidRPr="00014266" w:rsidRDefault="00DD0F7B" w:rsidP="00DD0F7B">
      <w:pPr>
        <w:pStyle w:val="ManualNumPar1"/>
        <w:rPr>
          <w:noProof/>
        </w:rPr>
      </w:pPr>
      <w:r w:rsidRPr="00DD0F7B">
        <w:rPr>
          <w:noProof/>
        </w:rPr>
        <w:t>4.</w:t>
      </w:r>
      <w:r w:rsidRPr="00DD0F7B">
        <w:rPr>
          <w:noProof/>
        </w:rPr>
        <w:tab/>
      </w:r>
      <w:r w:rsidR="008A45AC" w:rsidRPr="00615D42">
        <w:rPr>
          <w:noProof/>
        </w:rPr>
        <w:t xml:space="preserve">The requirements </w:t>
      </w:r>
      <w:r w:rsidR="00664D45" w:rsidRPr="00615D42">
        <w:rPr>
          <w:noProof/>
        </w:rPr>
        <w:t xml:space="preserve">referred </w:t>
      </w:r>
      <w:r w:rsidR="00664D45" w:rsidRPr="00014266">
        <w:rPr>
          <w:noProof/>
        </w:rPr>
        <w:t xml:space="preserve">to in </w:t>
      </w:r>
      <w:r w:rsidR="00823106" w:rsidRPr="00014266">
        <w:rPr>
          <w:noProof/>
        </w:rPr>
        <w:t xml:space="preserve">points 1 to 3 </w:t>
      </w:r>
      <w:r w:rsidR="008A45AC" w:rsidRPr="00014266">
        <w:rPr>
          <w:noProof/>
        </w:rPr>
        <w:t>shall apply to vehicles for all types of fuels</w:t>
      </w:r>
      <w:r w:rsidR="00A31961" w:rsidRPr="00014266">
        <w:rPr>
          <w:noProof/>
        </w:rPr>
        <w:t xml:space="preserve"> or energy sources</w:t>
      </w:r>
      <w:r w:rsidR="008A45AC" w:rsidRPr="00014266">
        <w:rPr>
          <w:noProof/>
        </w:rPr>
        <w:t xml:space="preserve"> by which they are powered.</w:t>
      </w:r>
      <w:r w:rsidR="00664D45" w:rsidRPr="00014266">
        <w:rPr>
          <w:noProof/>
        </w:rPr>
        <w:t xml:space="preserve"> The same requirements shall also apply to all separate technical units and components</w:t>
      </w:r>
      <w:r w:rsidR="00B82591" w:rsidRPr="00014266">
        <w:rPr>
          <w:noProof/>
        </w:rPr>
        <w:t xml:space="preserve"> intended for such vehicles</w:t>
      </w:r>
      <w:r w:rsidR="00664D45" w:rsidRPr="00014266">
        <w:rPr>
          <w:noProof/>
        </w:rPr>
        <w:t xml:space="preserve">. </w:t>
      </w:r>
    </w:p>
    <w:p w14:paraId="1CF0FDC9" w14:textId="5CD637AB" w:rsidR="0089262D" w:rsidRPr="00014266" w:rsidRDefault="00DD0F7B" w:rsidP="00DD0F7B">
      <w:pPr>
        <w:pStyle w:val="ManualNumPar1"/>
        <w:rPr>
          <w:noProof/>
        </w:rPr>
      </w:pPr>
      <w:r w:rsidRPr="00DD0F7B">
        <w:rPr>
          <w:noProof/>
        </w:rPr>
        <w:t>5.</w:t>
      </w:r>
      <w:r w:rsidRPr="00DD0F7B">
        <w:rPr>
          <w:noProof/>
        </w:rPr>
        <w:tab/>
      </w:r>
      <w:r w:rsidR="002A19CA" w:rsidRPr="00014266">
        <w:rPr>
          <w:noProof/>
        </w:rPr>
        <w:t xml:space="preserve">In order to </w:t>
      </w:r>
      <w:r w:rsidR="00796D33">
        <w:rPr>
          <w:noProof/>
        </w:rPr>
        <w:t>verify</w:t>
      </w:r>
      <w:r w:rsidR="00796D33" w:rsidRPr="00014266">
        <w:rPr>
          <w:noProof/>
        </w:rPr>
        <w:t xml:space="preserve"> </w:t>
      </w:r>
      <w:r w:rsidR="002A19CA" w:rsidRPr="00014266">
        <w:rPr>
          <w:noProof/>
        </w:rPr>
        <w:t xml:space="preserve">compliance with the requirements referred to in the first </w:t>
      </w:r>
      <w:r w:rsidR="00EF2507" w:rsidRPr="00014266">
        <w:rPr>
          <w:noProof/>
        </w:rPr>
        <w:t>paragraph</w:t>
      </w:r>
      <w:r w:rsidR="002A19CA" w:rsidRPr="00014266">
        <w:rPr>
          <w:noProof/>
        </w:rPr>
        <w:t xml:space="preserve"> during the </w:t>
      </w:r>
      <w:r w:rsidR="00796D33">
        <w:rPr>
          <w:noProof/>
        </w:rPr>
        <w:t>additional</w:t>
      </w:r>
      <w:r w:rsidR="00796D33" w:rsidRPr="00014266">
        <w:rPr>
          <w:noProof/>
        </w:rPr>
        <w:t xml:space="preserve"> </w:t>
      </w:r>
      <w:r w:rsidR="002A19CA" w:rsidRPr="00014266">
        <w:rPr>
          <w:noProof/>
        </w:rPr>
        <w:t>lifetime of a vehicle, t</w:t>
      </w:r>
      <w:r w:rsidR="0089262D" w:rsidRPr="00014266">
        <w:rPr>
          <w:noProof/>
        </w:rPr>
        <w:t xml:space="preserve">he gaseous </w:t>
      </w:r>
      <w:r w:rsidR="00A31961" w:rsidRPr="00014266">
        <w:rPr>
          <w:noProof/>
        </w:rPr>
        <w:t xml:space="preserve">pollutant </w:t>
      </w:r>
      <w:r w:rsidR="0089262D" w:rsidRPr="00014266">
        <w:rPr>
          <w:noProof/>
        </w:rPr>
        <w:t xml:space="preserve">emission limits set out in Annex </w:t>
      </w:r>
      <w:r w:rsidR="00BB20E2" w:rsidRPr="00014266">
        <w:rPr>
          <w:noProof/>
        </w:rPr>
        <w:t xml:space="preserve">I </w:t>
      </w:r>
      <w:r w:rsidR="0089262D" w:rsidRPr="00014266">
        <w:rPr>
          <w:noProof/>
        </w:rPr>
        <w:t xml:space="preserve">shall be adjusted by using the </w:t>
      </w:r>
      <w:r w:rsidR="00B82591" w:rsidRPr="00014266">
        <w:rPr>
          <w:noProof/>
        </w:rPr>
        <w:t xml:space="preserve">durability </w:t>
      </w:r>
      <w:r w:rsidR="0089262D" w:rsidRPr="00014266">
        <w:rPr>
          <w:noProof/>
        </w:rPr>
        <w:t xml:space="preserve">multipliers, set out in </w:t>
      </w:r>
      <w:r w:rsidR="00796D33">
        <w:rPr>
          <w:noProof/>
        </w:rPr>
        <w:t xml:space="preserve">table 2 of </w:t>
      </w:r>
      <w:r w:rsidR="0089262D" w:rsidRPr="00014266">
        <w:rPr>
          <w:noProof/>
        </w:rPr>
        <w:t>Annex IV</w:t>
      </w:r>
      <w:r w:rsidR="002B647A" w:rsidRPr="00014266">
        <w:rPr>
          <w:noProof/>
        </w:rPr>
        <w:t>.</w:t>
      </w:r>
    </w:p>
    <w:p w14:paraId="6444CD54" w14:textId="79416540" w:rsidR="00A31961" w:rsidRPr="00F91EC4" w:rsidRDefault="00DD0F7B" w:rsidP="00DD0F7B">
      <w:pPr>
        <w:pStyle w:val="ManualNumPar1"/>
        <w:rPr>
          <w:noProof/>
        </w:rPr>
      </w:pPr>
      <w:r w:rsidRPr="00DD0F7B">
        <w:rPr>
          <w:noProof/>
        </w:rPr>
        <w:t>6.</w:t>
      </w:r>
      <w:r w:rsidRPr="00DD0F7B">
        <w:rPr>
          <w:noProof/>
        </w:rPr>
        <w:tab/>
      </w:r>
      <w:r w:rsidR="00082CA0" w:rsidRPr="00F91EC4">
        <w:rPr>
          <w:noProof/>
        </w:rPr>
        <w:t>The OBM system</w:t>
      </w:r>
      <w:r w:rsidR="001C7941" w:rsidRPr="00F91EC4">
        <w:rPr>
          <w:noProof/>
        </w:rPr>
        <w:t>s</w:t>
      </w:r>
      <w:r w:rsidR="00A31961" w:rsidRPr="00F91EC4">
        <w:rPr>
          <w:noProof/>
        </w:rPr>
        <w:t xml:space="preserve"> installed by the manufacturer</w:t>
      </w:r>
      <w:r w:rsidR="00082CA0" w:rsidRPr="00F91EC4">
        <w:rPr>
          <w:noProof/>
        </w:rPr>
        <w:t xml:space="preserve"> </w:t>
      </w:r>
      <w:r w:rsidR="00376C4C">
        <w:rPr>
          <w:noProof/>
        </w:rPr>
        <w:t xml:space="preserve">in these vehicles </w:t>
      </w:r>
      <w:r w:rsidR="00082CA0" w:rsidRPr="00F91EC4">
        <w:rPr>
          <w:noProof/>
        </w:rPr>
        <w:t>shall</w:t>
      </w:r>
      <w:r w:rsidR="00A31961" w:rsidRPr="00F91EC4">
        <w:rPr>
          <w:noProof/>
        </w:rPr>
        <w:t xml:space="preserve"> be capable of all of the following:</w:t>
      </w:r>
      <w:r w:rsidR="00082CA0" w:rsidRPr="00F91EC4">
        <w:rPr>
          <w:noProof/>
        </w:rPr>
        <w:t xml:space="preserve"> </w:t>
      </w:r>
    </w:p>
    <w:p w14:paraId="3E85EA08" w14:textId="1EF6B318" w:rsidR="00A31961" w:rsidRPr="00F91EC4" w:rsidRDefault="00DD0F7B" w:rsidP="00DD0F7B">
      <w:pPr>
        <w:pStyle w:val="Point1"/>
        <w:rPr>
          <w:noProof/>
        </w:rPr>
      </w:pPr>
      <w:r w:rsidRPr="00DD0F7B">
        <w:rPr>
          <w:noProof/>
        </w:rPr>
        <w:t>(a)</w:t>
      </w:r>
      <w:r w:rsidRPr="00DD0F7B">
        <w:rPr>
          <w:noProof/>
        </w:rPr>
        <w:tab/>
      </w:r>
      <w:r w:rsidR="00082CA0" w:rsidRPr="00615D42">
        <w:rPr>
          <w:noProof/>
          <w:color w:val="000000" w:themeColor="text1"/>
        </w:rPr>
        <w:t>register</w:t>
      </w:r>
      <w:r w:rsidR="009A252B" w:rsidRPr="00615D42">
        <w:rPr>
          <w:noProof/>
          <w:color w:val="000000" w:themeColor="text1"/>
        </w:rPr>
        <w:t>ing</w:t>
      </w:r>
      <w:r w:rsidR="00082CA0" w:rsidRPr="00615D42">
        <w:rPr>
          <w:noProof/>
          <w:color w:val="000000" w:themeColor="text1"/>
        </w:rPr>
        <w:t xml:space="preserve"> the </w:t>
      </w:r>
      <w:r w:rsidR="00082CA0" w:rsidRPr="00F91EC4">
        <w:rPr>
          <w:noProof/>
        </w:rPr>
        <w:t>magnitude and duration of all emission exceedances</w:t>
      </w:r>
      <w:r w:rsidR="00A31961" w:rsidRPr="00F91EC4">
        <w:rPr>
          <w:noProof/>
        </w:rPr>
        <w:t>;</w:t>
      </w:r>
    </w:p>
    <w:p w14:paraId="326FF891" w14:textId="63F090FA" w:rsidR="005B0B55" w:rsidRDefault="00DD0F7B" w:rsidP="00DD0F7B">
      <w:pPr>
        <w:pStyle w:val="Point1"/>
        <w:rPr>
          <w:noProof/>
        </w:rPr>
      </w:pPr>
      <w:r w:rsidRPr="00DD0F7B">
        <w:rPr>
          <w:noProof/>
        </w:rPr>
        <w:t>(b)</w:t>
      </w:r>
      <w:r w:rsidRPr="00DD0F7B">
        <w:rPr>
          <w:noProof/>
        </w:rPr>
        <w:tab/>
      </w:r>
      <w:r w:rsidR="00A31961" w:rsidRPr="00F91EC4">
        <w:rPr>
          <w:noProof/>
        </w:rPr>
        <w:t>communicat</w:t>
      </w:r>
      <w:r w:rsidR="009A252B">
        <w:rPr>
          <w:noProof/>
        </w:rPr>
        <w:t>ing</w:t>
      </w:r>
      <w:r w:rsidR="00A31961" w:rsidRPr="00F91EC4">
        <w:rPr>
          <w:noProof/>
        </w:rPr>
        <w:t xml:space="preserve"> </w:t>
      </w:r>
      <w:r w:rsidR="00082CA0" w:rsidRPr="00F91EC4">
        <w:rPr>
          <w:noProof/>
        </w:rPr>
        <w:t xml:space="preserve">the </w:t>
      </w:r>
      <w:r w:rsidR="001225B1" w:rsidRPr="00F91EC4">
        <w:rPr>
          <w:noProof/>
        </w:rPr>
        <w:t>data</w:t>
      </w:r>
      <w:r w:rsidR="00082CA0" w:rsidRPr="00F91EC4">
        <w:rPr>
          <w:noProof/>
        </w:rPr>
        <w:t xml:space="preserve"> of the emission behaviour of the vehicle</w:t>
      </w:r>
      <w:r w:rsidR="00EC0685">
        <w:rPr>
          <w:noProof/>
        </w:rPr>
        <w:t>, including pollutant sensor and exhaust flow data,</w:t>
      </w:r>
      <w:r w:rsidR="00082CA0" w:rsidRPr="00F91EC4">
        <w:rPr>
          <w:noProof/>
        </w:rPr>
        <w:t xml:space="preserve"> via the OBD port and </w:t>
      </w:r>
      <w:r w:rsidR="00D51DFC" w:rsidRPr="00F91EC4">
        <w:rPr>
          <w:noProof/>
        </w:rPr>
        <w:t>over the air</w:t>
      </w:r>
      <w:r w:rsidR="003D5D9E" w:rsidRPr="00F91EC4">
        <w:rPr>
          <w:noProof/>
        </w:rPr>
        <w:t xml:space="preserve">, including for the purpose of </w:t>
      </w:r>
      <w:r w:rsidR="007074A6" w:rsidRPr="00F91EC4">
        <w:rPr>
          <w:noProof/>
        </w:rPr>
        <w:t xml:space="preserve">roadworthiness </w:t>
      </w:r>
      <w:r w:rsidR="007074A6">
        <w:rPr>
          <w:noProof/>
        </w:rPr>
        <w:t>test</w:t>
      </w:r>
      <w:r w:rsidR="007074A6" w:rsidRPr="00F91EC4">
        <w:rPr>
          <w:noProof/>
        </w:rPr>
        <w:t>s</w:t>
      </w:r>
      <w:r w:rsidR="007074A6">
        <w:rPr>
          <w:noProof/>
        </w:rPr>
        <w:t xml:space="preserve"> and technical roadside inspections</w:t>
      </w:r>
      <w:r w:rsidR="003D5D9E" w:rsidRPr="00F91EC4">
        <w:rPr>
          <w:rStyle w:val="FootnoteReference"/>
          <w:noProof/>
          <w:color w:val="000000" w:themeColor="text1"/>
        </w:rPr>
        <w:footnoteReference w:id="56"/>
      </w:r>
      <w:r w:rsidR="003D5D9E" w:rsidRPr="00F91EC4">
        <w:rPr>
          <w:noProof/>
        </w:rPr>
        <w:t xml:space="preserve">, </w:t>
      </w:r>
      <w:r w:rsidR="003D5D9E" w:rsidRPr="00F91EC4">
        <w:rPr>
          <w:rStyle w:val="FootnoteReference"/>
          <w:noProof/>
          <w:color w:val="000000" w:themeColor="text1"/>
        </w:rPr>
        <w:footnoteReference w:id="57"/>
      </w:r>
      <w:r w:rsidR="005B0B55">
        <w:rPr>
          <w:noProof/>
        </w:rPr>
        <w:t>;</w:t>
      </w:r>
    </w:p>
    <w:p w14:paraId="0C9FAD58" w14:textId="68F396E4" w:rsidR="00A31961" w:rsidRDefault="00DD0F7B" w:rsidP="00DD0F7B">
      <w:pPr>
        <w:pStyle w:val="Point1"/>
        <w:rPr>
          <w:noProof/>
          <w:color w:val="000000" w:themeColor="text1"/>
        </w:rPr>
      </w:pPr>
      <w:r w:rsidRPr="00DD0F7B">
        <w:rPr>
          <w:noProof/>
        </w:rPr>
        <w:t>(c)</w:t>
      </w:r>
      <w:r w:rsidRPr="00DD0F7B">
        <w:rPr>
          <w:noProof/>
        </w:rPr>
        <w:tab/>
      </w:r>
      <w:r w:rsidR="00347D10">
        <w:rPr>
          <w:noProof/>
        </w:rPr>
        <w:t>trigger</w:t>
      </w:r>
      <w:r w:rsidR="00AA776F">
        <w:rPr>
          <w:noProof/>
        </w:rPr>
        <w:t>ing</w:t>
      </w:r>
      <w:r w:rsidR="005B0B55">
        <w:rPr>
          <w:noProof/>
        </w:rPr>
        <w:t xml:space="preserve"> </w:t>
      </w:r>
      <w:r w:rsidR="009503EA">
        <w:rPr>
          <w:noProof/>
        </w:rPr>
        <w:t xml:space="preserve">repair of the vehicle </w:t>
      </w:r>
      <w:r w:rsidR="00347D10">
        <w:rPr>
          <w:noProof/>
        </w:rPr>
        <w:t>when</w:t>
      </w:r>
      <w:r w:rsidR="009503EA">
        <w:rPr>
          <w:noProof/>
        </w:rPr>
        <w:t xml:space="preserve"> the </w:t>
      </w:r>
      <w:r w:rsidR="009503EA" w:rsidRPr="00F91EC4">
        <w:rPr>
          <w:noProof/>
        </w:rPr>
        <w:t>driver warning system</w:t>
      </w:r>
      <w:r w:rsidR="00347D10">
        <w:rPr>
          <w:noProof/>
        </w:rPr>
        <w:t xml:space="preserve"> notifies significantly excess emissions</w:t>
      </w:r>
      <w:r w:rsidR="009503EA">
        <w:rPr>
          <w:noProof/>
        </w:rPr>
        <w:t>.</w:t>
      </w:r>
    </w:p>
    <w:p w14:paraId="64C9B433" w14:textId="539A7E7E" w:rsidR="00823106" w:rsidRDefault="00DD0F7B" w:rsidP="00DD0F7B">
      <w:pPr>
        <w:pStyle w:val="ManualNumPar1"/>
        <w:rPr>
          <w:noProof/>
        </w:rPr>
      </w:pPr>
      <w:r w:rsidRPr="00DD0F7B">
        <w:rPr>
          <w:noProof/>
        </w:rPr>
        <w:t>7.</w:t>
      </w:r>
      <w:r w:rsidRPr="00DD0F7B">
        <w:rPr>
          <w:noProof/>
        </w:rPr>
        <w:tab/>
      </w:r>
      <w:r w:rsidR="00823106">
        <w:rPr>
          <w:noProof/>
        </w:rPr>
        <w:t xml:space="preserve">The OBFCM devices installed by the manufacturer </w:t>
      </w:r>
      <w:r w:rsidR="00376C4C">
        <w:rPr>
          <w:noProof/>
        </w:rPr>
        <w:t xml:space="preserve">in these vehicles </w:t>
      </w:r>
      <w:r w:rsidR="00823106">
        <w:rPr>
          <w:noProof/>
        </w:rPr>
        <w:t xml:space="preserve">shall be capable of communicating the vehicle data they record via the OBD port and over the air. </w:t>
      </w:r>
    </w:p>
    <w:p w14:paraId="29130150" w14:textId="3DDC9DB2" w:rsidR="00BB761D" w:rsidRPr="00BB761D" w:rsidRDefault="00DD0F7B" w:rsidP="00DD0F7B">
      <w:pPr>
        <w:pStyle w:val="ManualNumPar1"/>
        <w:rPr>
          <w:noProof/>
        </w:rPr>
      </w:pPr>
      <w:r w:rsidRPr="00DD0F7B">
        <w:rPr>
          <w:noProof/>
        </w:rPr>
        <w:t>8.</w:t>
      </w:r>
      <w:r w:rsidRPr="00DD0F7B">
        <w:rPr>
          <w:noProof/>
        </w:rPr>
        <w:tab/>
      </w:r>
      <w:r w:rsidR="00EA019A" w:rsidRPr="00F91EC4">
        <w:rPr>
          <w:noProof/>
        </w:rPr>
        <w:t>For vehicles, systems, components and separate technical units presenting a serious risk or non-compliance</w:t>
      </w:r>
      <w:r w:rsidR="009A252B">
        <w:rPr>
          <w:noProof/>
        </w:rPr>
        <w:t xml:space="preserve"> with </w:t>
      </w:r>
      <w:r w:rsidR="00BB761D">
        <w:rPr>
          <w:noProof/>
        </w:rPr>
        <w:t xml:space="preserve">the requirements laid down in </w:t>
      </w:r>
      <w:r w:rsidR="009A252B">
        <w:rPr>
          <w:noProof/>
        </w:rPr>
        <w:t>this regulation</w:t>
      </w:r>
      <w:r w:rsidR="00EA019A" w:rsidRPr="00F91EC4">
        <w:rPr>
          <w:noProof/>
        </w:rPr>
        <w:t>, m</w:t>
      </w:r>
      <w:r w:rsidR="005866B2" w:rsidRPr="00F91EC4">
        <w:rPr>
          <w:noProof/>
        </w:rPr>
        <w:t>anufacturers shall</w:t>
      </w:r>
      <w:r w:rsidR="00BB761D">
        <w:rPr>
          <w:noProof/>
        </w:rPr>
        <w:t xml:space="preserve"> immediately</w:t>
      </w:r>
      <w:r w:rsidR="005866B2" w:rsidRPr="00F91EC4">
        <w:rPr>
          <w:noProof/>
        </w:rPr>
        <w:t xml:space="preserve"> take the necessary corrective measures</w:t>
      </w:r>
      <w:r w:rsidR="009A252B">
        <w:rPr>
          <w:noProof/>
        </w:rPr>
        <w:t>,</w:t>
      </w:r>
      <w:r w:rsidR="005866B2" w:rsidRPr="00F91EC4">
        <w:rPr>
          <w:noProof/>
        </w:rPr>
        <w:t xml:space="preserve"> including repairs or modifications </w:t>
      </w:r>
      <w:r w:rsidR="009A252B">
        <w:rPr>
          <w:noProof/>
        </w:rPr>
        <w:t>of those vehicles, systems, components and separate technical units as appropriate</w:t>
      </w:r>
      <w:r w:rsidR="005866B2" w:rsidRPr="00F91EC4">
        <w:rPr>
          <w:noProof/>
        </w:rPr>
        <w:t xml:space="preserve">, to ensure compliance </w:t>
      </w:r>
      <w:r w:rsidR="00EA019A" w:rsidRPr="00F91EC4">
        <w:rPr>
          <w:noProof/>
        </w:rPr>
        <w:t>with this regulation</w:t>
      </w:r>
      <w:r w:rsidR="005866B2" w:rsidRPr="00F91EC4">
        <w:rPr>
          <w:noProof/>
        </w:rPr>
        <w:t xml:space="preserve">. Manufacturers </w:t>
      </w:r>
      <w:r w:rsidR="00BB761D">
        <w:rPr>
          <w:noProof/>
        </w:rPr>
        <w:t xml:space="preserve">or any other economic operator </w:t>
      </w:r>
      <w:r w:rsidR="005866B2" w:rsidRPr="00F91EC4">
        <w:rPr>
          <w:noProof/>
        </w:rPr>
        <w:t>shall withdraw it from the market or recall it, as appropriate.</w:t>
      </w:r>
      <w:r w:rsidR="00BB761D">
        <w:rPr>
          <w:noProof/>
        </w:rPr>
        <w:t xml:space="preserve"> The manufacturer shall immediately inform the</w:t>
      </w:r>
      <w:r w:rsidR="00376C4C">
        <w:rPr>
          <w:noProof/>
        </w:rPr>
        <w:t xml:space="preserve"> type approval</w:t>
      </w:r>
      <w:r w:rsidR="00BB761D">
        <w:rPr>
          <w:noProof/>
        </w:rPr>
        <w:t xml:space="preserve"> authority that granted the type-approval of the non-conformity</w:t>
      </w:r>
      <w:r w:rsidR="00376C4C">
        <w:rPr>
          <w:noProof/>
        </w:rPr>
        <w:t xml:space="preserve"> with appropriate details</w:t>
      </w:r>
      <w:r w:rsidR="00BB761D">
        <w:rPr>
          <w:noProof/>
        </w:rPr>
        <w:t>.</w:t>
      </w:r>
    </w:p>
    <w:p w14:paraId="59262C68" w14:textId="1C107170" w:rsidR="00DD0D2E" w:rsidRPr="00F91EC4" w:rsidRDefault="00DD0F7B" w:rsidP="00DD0F7B">
      <w:pPr>
        <w:pStyle w:val="ManualNumPar1"/>
        <w:rPr>
          <w:noProof/>
          <w:color w:val="000000" w:themeColor="text1"/>
        </w:rPr>
      </w:pPr>
      <w:r w:rsidRPr="00DD0F7B">
        <w:rPr>
          <w:noProof/>
        </w:rPr>
        <w:t>9.</w:t>
      </w:r>
      <w:r w:rsidRPr="00DD0F7B">
        <w:rPr>
          <w:noProof/>
        </w:rPr>
        <w:tab/>
      </w:r>
      <w:r w:rsidR="005F4BEE" w:rsidRPr="00F91EC4">
        <w:rPr>
          <w:noProof/>
        </w:rPr>
        <w:t>The Commission shall adopt, by means of implementing acts, detailed rules on requirements, tests</w:t>
      </w:r>
      <w:r w:rsidR="006F728E" w:rsidRPr="00F91EC4">
        <w:rPr>
          <w:noProof/>
        </w:rPr>
        <w:t>,</w:t>
      </w:r>
      <w:r w:rsidR="005F4BEE" w:rsidRPr="00F91EC4">
        <w:rPr>
          <w:noProof/>
        </w:rPr>
        <w:t xml:space="preserve"> methods</w:t>
      </w:r>
      <w:r w:rsidR="006F728E" w:rsidRPr="00F91EC4">
        <w:rPr>
          <w:noProof/>
        </w:rPr>
        <w:t xml:space="preserve"> and corrective measures</w:t>
      </w:r>
      <w:r w:rsidR="005F4BEE" w:rsidRPr="00F91EC4">
        <w:rPr>
          <w:noProof/>
        </w:rPr>
        <w:t xml:space="preserve"> related to </w:t>
      </w:r>
      <w:r w:rsidR="00BB761D">
        <w:rPr>
          <w:noProof/>
        </w:rPr>
        <w:t xml:space="preserve">the obligations </w:t>
      </w:r>
      <w:r w:rsidR="006F728E" w:rsidRPr="00F91EC4">
        <w:rPr>
          <w:noProof/>
        </w:rPr>
        <w:t>referred to</w:t>
      </w:r>
      <w:r w:rsidR="005F4BEE" w:rsidRPr="00F91EC4">
        <w:rPr>
          <w:noProof/>
        </w:rPr>
        <w:t xml:space="preserve"> </w:t>
      </w:r>
      <w:r w:rsidR="006F728E" w:rsidRPr="00F91EC4">
        <w:rPr>
          <w:noProof/>
        </w:rPr>
        <w:t xml:space="preserve">in </w:t>
      </w:r>
      <w:r w:rsidR="005F4BEE" w:rsidRPr="00F91EC4">
        <w:rPr>
          <w:noProof/>
        </w:rPr>
        <w:t xml:space="preserve">paragraphs 1 to </w:t>
      </w:r>
      <w:r w:rsidR="00C257E1">
        <w:rPr>
          <w:noProof/>
        </w:rPr>
        <w:t>8</w:t>
      </w:r>
      <w:r w:rsidR="005F4BEE" w:rsidRPr="00F91EC4">
        <w:rPr>
          <w:noProof/>
        </w:rPr>
        <w:t xml:space="preserve">. Those implementing acts shall be adopted in accordance with the examination procedure referred to in Article </w:t>
      </w:r>
      <w:r w:rsidR="004E2A19" w:rsidRPr="00F91EC4">
        <w:rPr>
          <w:noProof/>
        </w:rPr>
        <w:t>1</w:t>
      </w:r>
      <w:r w:rsidR="00421302" w:rsidRPr="00F91EC4">
        <w:rPr>
          <w:noProof/>
        </w:rPr>
        <w:t>7</w:t>
      </w:r>
      <w:r w:rsidR="005F4BEE" w:rsidRPr="00F91EC4">
        <w:rPr>
          <w:noProof/>
        </w:rPr>
        <w:t>(2).</w:t>
      </w:r>
      <w:r w:rsidR="005F4BEE" w:rsidRPr="00F91EC4">
        <w:rPr>
          <w:noProof/>
          <w:color w:val="000000" w:themeColor="text1"/>
        </w:rPr>
        <w:t xml:space="preserve"> </w:t>
      </w:r>
    </w:p>
    <w:p w14:paraId="28828386" w14:textId="77777777" w:rsidR="001A3618" w:rsidRPr="00F91EC4" w:rsidRDefault="001A3618" w:rsidP="007949D0">
      <w:pPr>
        <w:pStyle w:val="Titrearticle"/>
        <w:rPr>
          <w:b/>
          <w:noProof/>
        </w:rPr>
      </w:pPr>
      <w:r w:rsidRPr="00F91EC4">
        <w:rPr>
          <w:noProof/>
        </w:rPr>
        <w:t xml:space="preserve">Article </w:t>
      </w:r>
      <w:r w:rsidR="00082CA0" w:rsidRPr="00F91EC4">
        <w:rPr>
          <w:noProof/>
        </w:rPr>
        <w:t>7</w:t>
      </w:r>
      <w:r w:rsidRPr="00F91EC4">
        <w:rPr>
          <w:noProof/>
        </w:rPr>
        <w:br/>
      </w:r>
      <w:r w:rsidRPr="00F91EC4">
        <w:rPr>
          <w:b/>
          <w:i w:val="0"/>
          <w:noProof/>
        </w:rPr>
        <w:t xml:space="preserve">Obligations of the </w:t>
      </w:r>
      <w:r w:rsidR="006F728E" w:rsidRPr="00F91EC4">
        <w:rPr>
          <w:b/>
          <w:i w:val="0"/>
          <w:noProof/>
        </w:rPr>
        <w:t>m</w:t>
      </w:r>
      <w:r w:rsidRPr="00F91EC4">
        <w:rPr>
          <w:b/>
          <w:i w:val="0"/>
          <w:noProof/>
        </w:rPr>
        <w:t xml:space="preserve">anufacturers </w:t>
      </w:r>
      <w:r w:rsidR="008A1FE4" w:rsidRPr="00F91EC4">
        <w:rPr>
          <w:b/>
          <w:i w:val="0"/>
          <w:noProof/>
        </w:rPr>
        <w:t>concerning</w:t>
      </w:r>
      <w:r w:rsidRPr="00F91EC4">
        <w:rPr>
          <w:b/>
          <w:i w:val="0"/>
          <w:noProof/>
        </w:rPr>
        <w:t xml:space="preserve"> </w:t>
      </w:r>
      <w:r w:rsidR="00963F15">
        <w:rPr>
          <w:b/>
          <w:i w:val="0"/>
          <w:noProof/>
        </w:rPr>
        <w:t xml:space="preserve">emission </w:t>
      </w:r>
      <w:r w:rsidR="00976BDB" w:rsidRPr="00F91EC4">
        <w:rPr>
          <w:b/>
          <w:i w:val="0"/>
          <w:noProof/>
        </w:rPr>
        <w:t>type-approval</w:t>
      </w:r>
    </w:p>
    <w:p w14:paraId="31FC7B2E" w14:textId="32A5C201" w:rsidR="00B550C1" w:rsidRPr="00F91EC4" w:rsidRDefault="00DD0F7B" w:rsidP="00DD0F7B">
      <w:pPr>
        <w:pStyle w:val="ManualNumPar1"/>
        <w:rPr>
          <w:noProof/>
        </w:rPr>
      </w:pPr>
      <w:r w:rsidRPr="00DD0F7B">
        <w:rPr>
          <w:noProof/>
        </w:rPr>
        <w:t>1.</w:t>
      </w:r>
      <w:r w:rsidRPr="00DD0F7B">
        <w:rPr>
          <w:noProof/>
        </w:rPr>
        <w:tab/>
      </w:r>
      <w:r w:rsidR="00B56046" w:rsidRPr="00F91EC4">
        <w:rPr>
          <w:noProof/>
        </w:rPr>
        <w:t xml:space="preserve">In order to demonstrate compliance with the </w:t>
      </w:r>
      <w:r w:rsidR="00EF2507" w:rsidRPr="00F91EC4">
        <w:rPr>
          <w:noProof/>
        </w:rPr>
        <w:t xml:space="preserve">emission </w:t>
      </w:r>
      <w:r w:rsidR="00976BDB" w:rsidRPr="00F91EC4">
        <w:rPr>
          <w:noProof/>
        </w:rPr>
        <w:t>type-approval</w:t>
      </w:r>
      <w:r w:rsidR="00B56046" w:rsidRPr="00F91EC4">
        <w:rPr>
          <w:noProof/>
        </w:rPr>
        <w:t xml:space="preserve"> rules</w:t>
      </w:r>
      <w:r w:rsidR="00F8127E" w:rsidRPr="00F91EC4">
        <w:rPr>
          <w:noProof/>
        </w:rPr>
        <w:t xml:space="preserve"> during </w:t>
      </w:r>
      <w:r w:rsidR="008926A5" w:rsidRPr="00F91EC4">
        <w:rPr>
          <w:noProof/>
        </w:rPr>
        <w:t xml:space="preserve">emission </w:t>
      </w:r>
      <w:r w:rsidR="00976BDB" w:rsidRPr="00F91EC4">
        <w:rPr>
          <w:noProof/>
        </w:rPr>
        <w:t>type-approval</w:t>
      </w:r>
      <w:r w:rsidR="00B56046" w:rsidRPr="00F91EC4">
        <w:rPr>
          <w:noProof/>
        </w:rPr>
        <w:t xml:space="preserve">, the manufacturer shall perform the tests </w:t>
      </w:r>
      <w:r w:rsidR="0075282B" w:rsidRPr="00F91EC4">
        <w:rPr>
          <w:noProof/>
        </w:rPr>
        <w:t xml:space="preserve">specified </w:t>
      </w:r>
      <w:r w:rsidR="00B56046" w:rsidRPr="00F91EC4">
        <w:rPr>
          <w:noProof/>
        </w:rPr>
        <w:t xml:space="preserve">in </w:t>
      </w:r>
      <w:r w:rsidR="00B627A1">
        <w:rPr>
          <w:noProof/>
        </w:rPr>
        <w:t>t</w:t>
      </w:r>
      <w:r w:rsidR="00B627A1" w:rsidRPr="00F91EC4">
        <w:rPr>
          <w:noProof/>
        </w:rPr>
        <w:t>ables 1, 3, 5 7 and 9</w:t>
      </w:r>
      <w:r w:rsidR="00B627A1">
        <w:rPr>
          <w:noProof/>
        </w:rPr>
        <w:t xml:space="preserve"> of </w:t>
      </w:r>
      <w:r w:rsidR="00B56046" w:rsidRPr="00F91EC4">
        <w:rPr>
          <w:noProof/>
        </w:rPr>
        <w:t>Annex</w:t>
      </w:r>
      <w:r w:rsidR="005E7FB2" w:rsidRPr="00F91EC4">
        <w:rPr>
          <w:noProof/>
        </w:rPr>
        <w:t xml:space="preserve"> V</w:t>
      </w:r>
      <w:r w:rsidR="00F8127E" w:rsidRPr="00F91EC4">
        <w:rPr>
          <w:noProof/>
        </w:rPr>
        <w:t xml:space="preserve">. </w:t>
      </w:r>
      <w:r w:rsidR="00B550C1" w:rsidRPr="00F91EC4">
        <w:rPr>
          <w:noProof/>
        </w:rPr>
        <w:t xml:space="preserve">For the purpose of </w:t>
      </w:r>
      <w:r w:rsidR="00BB761D">
        <w:rPr>
          <w:noProof/>
        </w:rPr>
        <w:t>verifying</w:t>
      </w:r>
      <w:r w:rsidR="00BB761D" w:rsidRPr="00F91EC4">
        <w:rPr>
          <w:noProof/>
        </w:rPr>
        <w:t xml:space="preserve"> </w:t>
      </w:r>
      <w:r w:rsidR="00B550C1" w:rsidRPr="00F91EC4">
        <w:rPr>
          <w:noProof/>
        </w:rPr>
        <w:t xml:space="preserve">the conformity of production with the requirements of this Regulation vehicles, </w:t>
      </w:r>
      <w:r w:rsidR="00045206" w:rsidRPr="00F91EC4">
        <w:rPr>
          <w:noProof/>
        </w:rPr>
        <w:t xml:space="preserve">components and </w:t>
      </w:r>
      <w:r w:rsidR="00B550C1" w:rsidRPr="00F91EC4">
        <w:rPr>
          <w:noProof/>
        </w:rPr>
        <w:t>separate technical units shall be selected at the premises</w:t>
      </w:r>
      <w:r w:rsidR="00B627A1">
        <w:rPr>
          <w:noProof/>
        </w:rPr>
        <w:t xml:space="preserve"> of the manufacturer by the type approval authority or the manufacturer</w:t>
      </w:r>
      <w:r w:rsidR="00B550C1" w:rsidRPr="00F91EC4">
        <w:rPr>
          <w:noProof/>
        </w:rPr>
        <w:t xml:space="preserve">. In-service conformity shall be checked for the periods prescribed in </w:t>
      </w:r>
      <w:r w:rsidR="00B627A1">
        <w:rPr>
          <w:noProof/>
        </w:rPr>
        <w:t>t</w:t>
      </w:r>
      <w:r w:rsidR="00B627A1" w:rsidRPr="00F91EC4">
        <w:rPr>
          <w:noProof/>
        </w:rPr>
        <w:t>able 1</w:t>
      </w:r>
      <w:r w:rsidR="00B627A1">
        <w:rPr>
          <w:noProof/>
        </w:rPr>
        <w:t xml:space="preserve"> of </w:t>
      </w:r>
      <w:r w:rsidR="00B550C1" w:rsidRPr="00F91EC4">
        <w:rPr>
          <w:noProof/>
        </w:rPr>
        <w:t xml:space="preserve">Annex </w:t>
      </w:r>
      <w:r w:rsidR="00C13A27">
        <w:rPr>
          <w:noProof/>
        </w:rPr>
        <w:t>I</w:t>
      </w:r>
      <w:r w:rsidR="00B550C1" w:rsidRPr="00F91EC4">
        <w:rPr>
          <w:noProof/>
        </w:rPr>
        <w:t>V.</w:t>
      </w:r>
    </w:p>
    <w:p w14:paraId="3E0E62D6" w14:textId="275CEABB" w:rsidR="008C508B" w:rsidRPr="00014266" w:rsidRDefault="00DD0F7B" w:rsidP="00DD0F7B">
      <w:pPr>
        <w:pStyle w:val="ManualNumPar1"/>
        <w:rPr>
          <w:noProof/>
        </w:rPr>
      </w:pPr>
      <w:r w:rsidRPr="00DD0F7B">
        <w:rPr>
          <w:noProof/>
        </w:rPr>
        <w:t>2.</w:t>
      </w:r>
      <w:r w:rsidRPr="00DD0F7B">
        <w:rPr>
          <w:noProof/>
        </w:rPr>
        <w:tab/>
      </w:r>
      <w:r w:rsidR="00F8127E" w:rsidRPr="00341F26">
        <w:rPr>
          <w:noProof/>
        </w:rPr>
        <w:t xml:space="preserve">The manufacturer shall provide the </w:t>
      </w:r>
      <w:r w:rsidR="00976BDB" w:rsidRPr="00341F26">
        <w:rPr>
          <w:noProof/>
        </w:rPr>
        <w:t>type-approval</w:t>
      </w:r>
      <w:r w:rsidR="00F8127E" w:rsidRPr="00341F26">
        <w:rPr>
          <w:noProof/>
        </w:rPr>
        <w:t xml:space="preserve"> authorit</w:t>
      </w:r>
      <w:r w:rsidR="000B5A98" w:rsidRPr="00341F26">
        <w:rPr>
          <w:noProof/>
        </w:rPr>
        <w:t>y</w:t>
      </w:r>
      <w:r w:rsidR="0075282B" w:rsidRPr="00341F26">
        <w:rPr>
          <w:noProof/>
        </w:rPr>
        <w:t xml:space="preserve"> with</w:t>
      </w:r>
      <w:r w:rsidR="00F8127E" w:rsidRPr="000A048A">
        <w:rPr>
          <w:noProof/>
        </w:rPr>
        <w:t xml:space="preserve"> a </w:t>
      </w:r>
      <w:r w:rsidR="0075282B" w:rsidRPr="003B6DEC">
        <w:rPr>
          <w:noProof/>
        </w:rPr>
        <w:t>s</w:t>
      </w:r>
      <w:r w:rsidR="0075282B" w:rsidRPr="005631BF">
        <w:rPr>
          <w:noProof/>
        </w:rPr>
        <w:t xml:space="preserve">igned </w:t>
      </w:r>
      <w:r w:rsidR="00F8127E" w:rsidRPr="005631BF">
        <w:rPr>
          <w:noProof/>
        </w:rPr>
        <w:t xml:space="preserve">declaration </w:t>
      </w:r>
      <w:r w:rsidR="00F8127E" w:rsidRPr="00341F26">
        <w:rPr>
          <w:noProof/>
        </w:rPr>
        <w:t xml:space="preserve">of conformity </w:t>
      </w:r>
      <w:r w:rsidR="0075282B" w:rsidRPr="00341F26">
        <w:rPr>
          <w:noProof/>
        </w:rPr>
        <w:t xml:space="preserve">as regards </w:t>
      </w:r>
      <w:r w:rsidR="00F8127E" w:rsidRPr="00341F26">
        <w:rPr>
          <w:noProof/>
        </w:rPr>
        <w:t xml:space="preserve">the RDE, </w:t>
      </w:r>
      <w:r w:rsidR="00615D42">
        <w:rPr>
          <w:noProof/>
        </w:rPr>
        <w:t>CO</w:t>
      </w:r>
      <w:r w:rsidR="00615D42" w:rsidRPr="00615D42">
        <w:rPr>
          <w:noProof/>
          <w:vertAlign w:val="subscript"/>
        </w:rPr>
        <w:t>2</w:t>
      </w:r>
      <w:r w:rsidR="00615D42">
        <w:rPr>
          <w:noProof/>
        </w:rPr>
        <w:t xml:space="preserve"> ambient temperature correction, </w:t>
      </w:r>
      <w:r w:rsidR="00F8127E" w:rsidRPr="00341F26">
        <w:rPr>
          <w:noProof/>
        </w:rPr>
        <w:t>OBD</w:t>
      </w:r>
      <w:r w:rsidR="00615D42">
        <w:rPr>
          <w:noProof/>
        </w:rPr>
        <w:t xml:space="preserve">, </w:t>
      </w:r>
      <w:r w:rsidR="000B5A98" w:rsidRPr="00341F26">
        <w:rPr>
          <w:noProof/>
        </w:rPr>
        <w:t>OBM</w:t>
      </w:r>
      <w:r w:rsidR="00963F15" w:rsidRPr="000A048A">
        <w:rPr>
          <w:noProof/>
        </w:rPr>
        <w:t xml:space="preserve">, </w:t>
      </w:r>
      <w:r w:rsidR="00615D42">
        <w:rPr>
          <w:noProof/>
        </w:rPr>
        <w:t xml:space="preserve">emission </w:t>
      </w:r>
      <w:r w:rsidR="00591E3D" w:rsidRPr="00341F26">
        <w:rPr>
          <w:noProof/>
        </w:rPr>
        <w:t>and batter</w:t>
      </w:r>
      <w:r w:rsidR="00615D42">
        <w:rPr>
          <w:noProof/>
        </w:rPr>
        <w:t>y durability</w:t>
      </w:r>
      <w:r w:rsidR="00F8127E" w:rsidRPr="00341F26">
        <w:rPr>
          <w:noProof/>
        </w:rPr>
        <w:t xml:space="preserve">, </w:t>
      </w:r>
      <w:r w:rsidR="00615D42">
        <w:rPr>
          <w:noProof/>
        </w:rPr>
        <w:t>continuous</w:t>
      </w:r>
      <w:r w:rsidR="00BF137B">
        <w:rPr>
          <w:noProof/>
        </w:rPr>
        <w:t xml:space="preserve"> or </w:t>
      </w:r>
      <w:r w:rsidR="00615D42">
        <w:rPr>
          <w:noProof/>
        </w:rPr>
        <w:t xml:space="preserve">periodic regeneration, </w:t>
      </w:r>
      <w:r w:rsidR="00BD47AA" w:rsidRPr="00341F26">
        <w:rPr>
          <w:noProof/>
        </w:rPr>
        <w:t>anti-tampering</w:t>
      </w:r>
      <w:r w:rsidR="00E84858" w:rsidRPr="00341F26">
        <w:rPr>
          <w:noProof/>
        </w:rPr>
        <w:t xml:space="preserve"> and</w:t>
      </w:r>
      <w:r w:rsidR="00BD47AA" w:rsidRPr="00341F26">
        <w:rPr>
          <w:noProof/>
        </w:rPr>
        <w:t xml:space="preserve"> </w:t>
      </w:r>
      <w:r w:rsidR="00F8127E" w:rsidRPr="00341F26">
        <w:rPr>
          <w:noProof/>
        </w:rPr>
        <w:t xml:space="preserve">crankcase requirements as </w:t>
      </w:r>
      <w:r w:rsidR="00B627A1" w:rsidRPr="00341F26">
        <w:rPr>
          <w:noProof/>
        </w:rPr>
        <w:t xml:space="preserve">specified </w:t>
      </w:r>
      <w:r w:rsidR="00F30AF3" w:rsidRPr="000A048A">
        <w:rPr>
          <w:noProof/>
        </w:rPr>
        <w:t xml:space="preserve">in Annex </w:t>
      </w:r>
      <w:r w:rsidR="00BB20E2" w:rsidRPr="003B6DEC">
        <w:rPr>
          <w:noProof/>
        </w:rPr>
        <w:t>V</w:t>
      </w:r>
      <w:r w:rsidR="00B56046" w:rsidRPr="003B6DEC">
        <w:rPr>
          <w:noProof/>
        </w:rPr>
        <w:t>.</w:t>
      </w:r>
      <w:r w:rsidR="00BD47AA" w:rsidRPr="003B6DEC">
        <w:rPr>
          <w:noProof/>
        </w:rPr>
        <w:t xml:space="preserve"> </w:t>
      </w:r>
      <w:r w:rsidR="00BD47AA" w:rsidRPr="005631BF">
        <w:rPr>
          <w:noProof/>
        </w:rPr>
        <w:t xml:space="preserve"> </w:t>
      </w:r>
      <w:r w:rsidR="00B627A1" w:rsidRPr="005806BB">
        <w:rPr>
          <w:noProof/>
        </w:rPr>
        <w:t>T</w:t>
      </w:r>
      <w:r w:rsidR="00BD47AA" w:rsidRPr="005806BB">
        <w:rPr>
          <w:noProof/>
        </w:rPr>
        <w:t xml:space="preserve">he manufacturer shall provide to the </w:t>
      </w:r>
      <w:r w:rsidR="00976BDB" w:rsidRPr="005806BB">
        <w:rPr>
          <w:noProof/>
        </w:rPr>
        <w:t>type-approval</w:t>
      </w:r>
      <w:r w:rsidR="00BD47AA" w:rsidRPr="005806BB">
        <w:rPr>
          <w:noProof/>
        </w:rPr>
        <w:t xml:space="preserve"> authority a </w:t>
      </w:r>
      <w:r w:rsidR="0075282B" w:rsidRPr="005806BB">
        <w:rPr>
          <w:noProof/>
        </w:rPr>
        <w:t xml:space="preserve">signed </w:t>
      </w:r>
      <w:r w:rsidR="00BD47AA" w:rsidRPr="005806BB">
        <w:rPr>
          <w:noProof/>
        </w:rPr>
        <w:t>declaration of conformity on the use of</w:t>
      </w:r>
      <w:r w:rsidR="00045206" w:rsidRPr="005806BB">
        <w:rPr>
          <w:noProof/>
        </w:rPr>
        <w:t xml:space="preserve"> </w:t>
      </w:r>
      <w:r w:rsidR="00BD47AA" w:rsidRPr="00AD04A5">
        <w:rPr>
          <w:noProof/>
        </w:rPr>
        <w:t>adaptive controls and geofencing options</w:t>
      </w:r>
      <w:r w:rsidR="00B627A1" w:rsidRPr="00BE1F3D">
        <w:rPr>
          <w:noProof/>
        </w:rPr>
        <w:t xml:space="preserve"> when </w:t>
      </w:r>
      <w:r w:rsidR="006359B0" w:rsidRPr="00BE1F3D">
        <w:rPr>
          <w:noProof/>
        </w:rPr>
        <w:t>the manufactur</w:t>
      </w:r>
      <w:r w:rsidR="00B627A1" w:rsidRPr="00BE1F3D">
        <w:rPr>
          <w:noProof/>
        </w:rPr>
        <w:t>e</w:t>
      </w:r>
      <w:r w:rsidR="006359B0" w:rsidRPr="00014266">
        <w:rPr>
          <w:noProof/>
        </w:rPr>
        <w:t>r selects these</w:t>
      </w:r>
      <w:r w:rsidR="00B627A1" w:rsidRPr="00014266">
        <w:rPr>
          <w:noProof/>
        </w:rPr>
        <w:t xml:space="preserve"> options</w:t>
      </w:r>
      <w:r w:rsidR="00BD47AA" w:rsidRPr="00014266">
        <w:rPr>
          <w:noProof/>
        </w:rPr>
        <w:t xml:space="preserve">. </w:t>
      </w:r>
    </w:p>
    <w:p w14:paraId="48F27E63" w14:textId="66FD8825" w:rsidR="00B56046" w:rsidRPr="00F91EC4" w:rsidRDefault="00DD0F7B" w:rsidP="00DD0F7B">
      <w:pPr>
        <w:pStyle w:val="ManualNumPar1"/>
        <w:rPr>
          <w:noProof/>
        </w:rPr>
      </w:pPr>
      <w:r w:rsidRPr="00DD0F7B">
        <w:rPr>
          <w:noProof/>
        </w:rPr>
        <w:t>3.</w:t>
      </w:r>
      <w:r w:rsidRPr="00DD0F7B">
        <w:rPr>
          <w:noProof/>
        </w:rPr>
        <w:tab/>
      </w:r>
      <w:r w:rsidR="008C508B" w:rsidRPr="00F91EC4">
        <w:rPr>
          <w:noProof/>
        </w:rPr>
        <w:t xml:space="preserve">The </w:t>
      </w:r>
      <w:r w:rsidR="00BF137B">
        <w:rPr>
          <w:noProof/>
        </w:rPr>
        <w:t xml:space="preserve">national </w:t>
      </w:r>
      <w:r w:rsidR="008C508B" w:rsidRPr="00F91EC4">
        <w:rPr>
          <w:noProof/>
        </w:rPr>
        <w:t xml:space="preserve">authorities may test the vehicle type to </w:t>
      </w:r>
      <w:r w:rsidR="00D40BB3">
        <w:rPr>
          <w:noProof/>
        </w:rPr>
        <w:t>verify</w:t>
      </w:r>
      <w:r w:rsidR="00D40BB3" w:rsidRPr="00F91EC4">
        <w:rPr>
          <w:noProof/>
        </w:rPr>
        <w:t xml:space="preserve"> </w:t>
      </w:r>
      <w:r w:rsidR="008C508B" w:rsidRPr="00F91EC4">
        <w:rPr>
          <w:noProof/>
        </w:rPr>
        <w:t>its conformity during conformity of production, in-service conformity or market surveillance</w:t>
      </w:r>
      <w:r w:rsidR="00D40BB3">
        <w:rPr>
          <w:noProof/>
        </w:rPr>
        <w:t xml:space="preserve"> as specified in Annex V</w:t>
      </w:r>
      <w:r w:rsidR="008C508B" w:rsidRPr="00F91EC4">
        <w:rPr>
          <w:noProof/>
        </w:rPr>
        <w:t xml:space="preserve">. </w:t>
      </w:r>
    </w:p>
    <w:p w14:paraId="19E78338" w14:textId="3950ACAF" w:rsidR="006610AB" w:rsidRPr="00F91EC4" w:rsidRDefault="00DD0F7B" w:rsidP="00DD0F7B">
      <w:pPr>
        <w:pStyle w:val="ManualNumPar1"/>
        <w:rPr>
          <w:noProof/>
        </w:rPr>
      </w:pPr>
      <w:r w:rsidRPr="00DD0F7B">
        <w:rPr>
          <w:noProof/>
        </w:rPr>
        <w:t>4.</w:t>
      </w:r>
      <w:r w:rsidRPr="00DD0F7B">
        <w:rPr>
          <w:noProof/>
        </w:rPr>
        <w:tab/>
      </w:r>
      <w:r w:rsidR="006610AB" w:rsidRPr="00F91EC4">
        <w:rPr>
          <w:noProof/>
        </w:rPr>
        <w:t xml:space="preserve">Manufacturers shall </w:t>
      </w:r>
      <w:r w:rsidR="00D528B3" w:rsidRPr="00F91EC4">
        <w:rPr>
          <w:noProof/>
        </w:rPr>
        <w:t>issue</w:t>
      </w:r>
      <w:r w:rsidR="004960E0" w:rsidRPr="00F91EC4">
        <w:rPr>
          <w:noProof/>
        </w:rPr>
        <w:t xml:space="preserve"> </w:t>
      </w:r>
      <w:r w:rsidR="00EA4958" w:rsidRPr="00F91EC4">
        <w:rPr>
          <w:noProof/>
        </w:rPr>
        <w:t xml:space="preserve">the </w:t>
      </w:r>
      <w:r w:rsidR="001C1457" w:rsidRPr="00F91EC4">
        <w:rPr>
          <w:noProof/>
        </w:rPr>
        <w:t>e</w:t>
      </w:r>
      <w:r w:rsidR="009C2429" w:rsidRPr="00F91EC4">
        <w:rPr>
          <w:noProof/>
        </w:rPr>
        <w:t xml:space="preserve">nvironmental </w:t>
      </w:r>
      <w:r w:rsidR="001C1457" w:rsidRPr="00F91EC4">
        <w:rPr>
          <w:noProof/>
        </w:rPr>
        <w:t>v</w:t>
      </w:r>
      <w:r w:rsidR="004960E0" w:rsidRPr="00F91EC4">
        <w:rPr>
          <w:noProof/>
        </w:rPr>
        <w:t xml:space="preserve">ehicle </w:t>
      </w:r>
      <w:r w:rsidR="001C1457" w:rsidRPr="00F91EC4">
        <w:rPr>
          <w:noProof/>
        </w:rPr>
        <w:t>p</w:t>
      </w:r>
      <w:r w:rsidR="004960E0" w:rsidRPr="00F91EC4">
        <w:rPr>
          <w:noProof/>
        </w:rPr>
        <w:t>assport</w:t>
      </w:r>
      <w:r w:rsidR="001C1457" w:rsidRPr="00F91EC4">
        <w:rPr>
          <w:noProof/>
        </w:rPr>
        <w:t xml:space="preserve"> (EVP)</w:t>
      </w:r>
      <w:r w:rsidR="004960E0" w:rsidRPr="00F91EC4">
        <w:rPr>
          <w:noProof/>
        </w:rPr>
        <w:t xml:space="preserve"> for each vehicle </w:t>
      </w:r>
      <w:r w:rsidR="00D528B3" w:rsidRPr="00F91EC4">
        <w:rPr>
          <w:noProof/>
        </w:rPr>
        <w:t xml:space="preserve">and deliver </w:t>
      </w:r>
      <w:r w:rsidR="00C02B76" w:rsidRPr="00F91EC4">
        <w:rPr>
          <w:noProof/>
        </w:rPr>
        <w:t xml:space="preserve">that passport </w:t>
      </w:r>
      <w:r w:rsidR="006610AB" w:rsidRPr="00F91EC4">
        <w:rPr>
          <w:noProof/>
        </w:rPr>
        <w:t xml:space="preserve">to the purchaser of the vehicle </w:t>
      </w:r>
      <w:r w:rsidR="00C02B76" w:rsidRPr="00F91EC4">
        <w:rPr>
          <w:noProof/>
        </w:rPr>
        <w:t>together with the vehicle</w:t>
      </w:r>
      <w:r w:rsidR="00EA4958" w:rsidRPr="00F91EC4">
        <w:rPr>
          <w:noProof/>
        </w:rPr>
        <w:t xml:space="preserve">, extracting the relevant data from </w:t>
      </w:r>
      <w:r w:rsidR="001E5C40" w:rsidRPr="00F91EC4">
        <w:rPr>
          <w:noProof/>
        </w:rPr>
        <w:t xml:space="preserve">sources such as </w:t>
      </w:r>
      <w:r w:rsidR="00EA4958" w:rsidRPr="00F91EC4">
        <w:rPr>
          <w:noProof/>
        </w:rPr>
        <w:t xml:space="preserve">the </w:t>
      </w:r>
      <w:r w:rsidR="001C1457" w:rsidRPr="00F91EC4">
        <w:rPr>
          <w:noProof/>
        </w:rPr>
        <w:t xml:space="preserve">certificate </w:t>
      </w:r>
      <w:r w:rsidR="00EA4958" w:rsidRPr="00F91EC4">
        <w:rPr>
          <w:noProof/>
        </w:rPr>
        <w:t xml:space="preserve">of </w:t>
      </w:r>
      <w:r w:rsidR="001C1457" w:rsidRPr="00F91EC4">
        <w:rPr>
          <w:noProof/>
        </w:rPr>
        <w:t>conformity</w:t>
      </w:r>
      <w:r w:rsidR="008C6AEE" w:rsidRPr="00F91EC4">
        <w:rPr>
          <w:noProof/>
        </w:rPr>
        <w:t xml:space="preserve"> and the type-approval documentation</w:t>
      </w:r>
      <w:r w:rsidR="006610AB" w:rsidRPr="00F91EC4">
        <w:rPr>
          <w:noProof/>
        </w:rPr>
        <w:t>.</w:t>
      </w:r>
      <w:r w:rsidR="00BE6E11" w:rsidRPr="00F91EC4">
        <w:rPr>
          <w:noProof/>
        </w:rPr>
        <w:t xml:space="preserve"> </w:t>
      </w:r>
      <w:r w:rsidR="004960E0" w:rsidRPr="00F91EC4">
        <w:rPr>
          <w:noProof/>
        </w:rPr>
        <w:t xml:space="preserve">The </w:t>
      </w:r>
      <w:r w:rsidR="00C02B76" w:rsidRPr="00F91EC4">
        <w:rPr>
          <w:noProof/>
        </w:rPr>
        <w:t xml:space="preserve">manufacturer shall ensure that </w:t>
      </w:r>
      <w:r w:rsidR="001C1457" w:rsidRPr="00F91EC4">
        <w:rPr>
          <w:noProof/>
        </w:rPr>
        <w:t>EVP</w:t>
      </w:r>
      <w:r w:rsidR="00D528B3" w:rsidRPr="00F91EC4">
        <w:rPr>
          <w:noProof/>
        </w:rPr>
        <w:t xml:space="preserve"> </w:t>
      </w:r>
      <w:r w:rsidR="004960E0" w:rsidRPr="00F91EC4">
        <w:rPr>
          <w:noProof/>
        </w:rPr>
        <w:t xml:space="preserve">data </w:t>
      </w:r>
      <w:r w:rsidR="00C02B76" w:rsidRPr="00F91EC4">
        <w:rPr>
          <w:noProof/>
        </w:rPr>
        <w:t>are</w:t>
      </w:r>
      <w:r w:rsidR="004960E0" w:rsidRPr="00F91EC4">
        <w:rPr>
          <w:noProof/>
        </w:rPr>
        <w:t xml:space="preserve"> available for display in the vehicle electronic systems and </w:t>
      </w:r>
      <w:r w:rsidR="00C02B76" w:rsidRPr="00F91EC4">
        <w:rPr>
          <w:noProof/>
        </w:rPr>
        <w:t xml:space="preserve">can be </w:t>
      </w:r>
      <w:r w:rsidR="004960E0" w:rsidRPr="00F91EC4">
        <w:rPr>
          <w:noProof/>
        </w:rPr>
        <w:t xml:space="preserve">transmitted from on- to off- board. </w:t>
      </w:r>
    </w:p>
    <w:p w14:paraId="61A1BA5B" w14:textId="01BC8BED" w:rsidR="00BE6E11" w:rsidRPr="00F91EC4" w:rsidRDefault="00DD0F7B" w:rsidP="00DD0F7B">
      <w:pPr>
        <w:pStyle w:val="ManualNumPar1"/>
        <w:rPr>
          <w:noProof/>
        </w:rPr>
      </w:pPr>
      <w:r w:rsidRPr="00DD0F7B">
        <w:rPr>
          <w:noProof/>
        </w:rPr>
        <w:t>5.</w:t>
      </w:r>
      <w:r w:rsidRPr="00DD0F7B">
        <w:rPr>
          <w:noProof/>
        </w:rPr>
        <w:tab/>
      </w:r>
      <w:r w:rsidR="00051A51" w:rsidRPr="00F91EC4">
        <w:rPr>
          <w:noProof/>
        </w:rPr>
        <w:t xml:space="preserve">The Commission shall adopt </w:t>
      </w:r>
      <w:r w:rsidR="005F4BEE" w:rsidRPr="00F91EC4">
        <w:rPr>
          <w:noProof/>
        </w:rPr>
        <w:t>implementing acts</w:t>
      </w:r>
      <w:r w:rsidR="00051A51" w:rsidRPr="00F91EC4">
        <w:rPr>
          <w:noProof/>
        </w:rPr>
        <w:t xml:space="preserve"> laying down</w:t>
      </w:r>
      <w:r w:rsidR="005F4BEE" w:rsidRPr="00F91EC4">
        <w:rPr>
          <w:noProof/>
        </w:rPr>
        <w:t xml:space="preserve"> the </w:t>
      </w:r>
      <w:r w:rsidR="000A3010" w:rsidRPr="00F91EC4">
        <w:rPr>
          <w:noProof/>
        </w:rPr>
        <w:t xml:space="preserve">testing and compliance </w:t>
      </w:r>
      <w:r w:rsidR="006359B0">
        <w:rPr>
          <w:noProof/>
        </w:rPr>
        <w:t>verifications</w:t>
      </w:r>
      <w:r w:rsidR="006359B0" w:rsidRPr="00F91EC4">
        <w:rPr>
          <w:noProof/>
        </w:rPr>
        <w:t xml:space="preserve"> </w:t>
      </w:r>
      <w:r w:rsidR="000A3010" w:rsidRPr="00F91EC4">
        <w:rPr>
          <w:noProof/>
        </w:rPr>
        <w:t>as well as procedures</w:t>
      </w:r>
      <w:r w:rsidR="00051A51" w:rsidRPr="00F91EC4">
        <w:rPr>
          <w:noProof/>
        </w:rPr>
        <w:t xml:space="preserve">, </w:t>
      </w:r>
      <w:r w:rsidR="000A3010" w:rsidRPr="00F91EC4">
        <w:rPr>
          <w:noProof/>
        </w:rPr>
        <w:t xml:space="preserve">related to emission </w:t>
      </w:r>
      <w:r w:rsidR="00976BDB" w:rsidRPr="00F91EC4">
        <w:rPr>
          <w:noProof/>
        </w:rPr>
        <w:t>type-approval</w:t>
      </w:r>
      <w:r w:rsidR="000A3010" w:rsidRPr="00F91EC4">
        <w:rPr>
          <w:noProof/>
        </w:rPr>
        <w:t xml:space="preserve">, conformity of production, in-service conformity, declaration of conformity and EVP under </w:t>
      </w:r>
      <w:r w:rsidR="007506D5" w:rsidRPr="00F91EC4">
        <w:rPr>
          <w:noProof/>
        </w:rPr>
        <w:t>paragraphs</w:t>
      </w:r>
      <w:r w:rsidR="00BE6E11" w:rsidRPr="00F91EC4">
        <w:rPr>
          <w:noProof/>
          <w:color w:val="000000" w:themeColor="text1"/>
        </w:rPr>
        <w:t xml:space="preserve"> </w:t>
      </w:r>
      <w:r w:rsidR="000A3010" w:rsidRPr="00F91EC4">
        <w:rPr>
          <w:noProof/>
          <w:color w:val="000000" w:themeColor="text1"/>
        </w:rPr>
        <w:t>1</w:t>
      </w:r>
      <w:r w:rsidR="00BF137B">
        <w:rPr>
          <w:noProof/>
          <w:color w:val="000000" w:themeColor="text1"/>
        </w:rPr>
        <w:t>to</w:t>
      </w:r>
      <w:r w:rsidR="000A3010" w:rsidRPr="00F91EC4">
        <w:rPr>
          <w:noProof/>
          <w:color w:val="000000" w:themeColor="text1"/>
        </w:rPr>
        <w:t xml:space="preserve"> 4</w:t>
      </w:r>
      <w:r w:rsidR="005F4BEE" w:rsidRPr="00F91EC4">
        <w:rPr>
          <w:noProof/>
          <w:color w:val="000000" w:themeColor="text1"/>
        </w:rPr>
        <w:t>.</w:t>
      </w:r>
      <w:r w:rsidR="005F4BEE" w:rsidRPr="00F91EC4">
        <w:rPr>
          <w:noProof/>
        </w:rPr>
        <w:t xml:space="preserve"> Those implementing acts shall be adopted in accordance with the examination procedure referred to in Article </w:t>
      </w:r>
      <w:r w:rsidR="004E2A19" w:rsidRPr="00F91EC4">
        <w:rPr>
          <w:noProof/>
        </w:rPr>
        <w:t>1</w:t>
      </w:r>
      <w:r w:rsidR="00421302" w:rsidRPr="00F91EC4">
        <w:rPr>
          <w:noProof/>
        </w:rPr>
        <w:t>7</w:t>
      </w:r>
      <w:r w:rsidR="005F4BEE" w:rsidRPr="00F91EC4">
        <w:rPr>
          <w:noProof/>
        </w:rPr>
        <w:t>(2).</w:t>
      </w:r>
    </w:p>
    <w:p w14:paraId="14772C0C" w14:textId="77777777" w:rsidR="00F63B74" w:rsidRPr="00F91EC4" w:rsidRDefault="00F63B74" w:rsidP="004023C2">
      <w:pPr>
        <w:pStyle w:val="Titrearticle"/>
        <w:rPr>
          <w:b/>
          <w:i w:val="0"/>
          <w:noProof/>
          <w:color w:val="000000" w:themeColor="text1"/>
        </w:rPr>
      </w:pPr>
      <w:r w:rsidRPr="00F91EC4">
        <w:rPr>
          <w:noProof/>
          <w:color w:val="000000" w:themeColor="text1"/>
        </w:rPr>
        <w:t xml:space="preserve">Article </w:t>
      </w:r>
      <w:r w:rsidR="007248FF" w:rsidRPr="00F91EC4">
        <w:rPr>
          <w:noProof/>
          <w:color w:val="000000" w:themeColor="text1"/>
        </w:rPr>
        <w:t>8</w:t>
      </w:r>
      <w:r w:rsidR="001A054E" w:rsidRPr="00F91EC4">
        <w:rPr>
          <w:noProof/>
          <w:color w:val="000000" w:themeColor="text1"/>
        </w:rPr>
        <w:br/>
      </w:r>
      <w:r w:rsidRPr="00F91EC4">
        <w:rPr>
          <w:b/>
          <w:i w:val="0"/>
          <w:noProof/>
          <w:color w:val="000000" w:themeColor="text1"/>
        </w:rPr>
        <w:t xml:space="preserve">Special </w:t>
      </w:r>
      <w:r w:rsidR="000A3010" w:rsidRPr="00F91EC4">
        <w:rPr>
          <w:b/>
          <w:i w:val="0"/>
          <w:noProof/>
          <w:color w:val="000000" w:themeColor="text1"/>
        </w:rPr>
        <w:t xml:space="preserve">rules </w:t>
      </w:r>
      <w:r w:rsidRPr="00F91EC4">
        <w:rPr>
          <w:b/>
          <w:i w:val="0"/>
          <w:noProof/>
          <w:color w:val="000000" w:themeColor="text1"/>
        </w:rPr>
        <w:t xml:space="preserve">for </w:t>
      </w:r>
      <w:r w:rsidR="000A3010" w:rsidRPr="00F91EC4">
        <w:rPr>
          <w:b/>
          <w:i w:val="0"/>
          <w:noProof/>
          <w:color w:val="000000" w:themeColor="text1"/>
        </w:rPr>
        <w:t>small volume manufacturers</w:t>
      </w:r>
    </w:p>
    <w:p w14:paraId="3AE18CEB" w14:textId="1D91E9A1" w:rsidR="00F63B74" w:rsidRPr="00F91EC4" w:rsidRDefault="00DD0F7B" w:rsidP="00DD0F7B">
      <w:pPr>
        <w:pStyle w:val="ManualNumPar1"/>
        <w:rPr>
          <w:noProof/>
        </w:rPr>
      </w:pPr>
      <w:r w:rsidRPr="00DD0F7B">
        <w:rPr>
          <w:noProof/>
        </w:rPr>
        <w:t>1.</w:t>
      </w:r>
      <w:r w:rsidRPr="00DD0F7B">
        <w:rPr>
          <w:noProof/>
        </w:rPr>
        <w:tab/>
      </w:r>
      <w:r w:rsidR="008348EB" w:rsidRPr="00F91EC4">
        <w:rPr>
          <w:noProof/>
        </w:rPr>
        <w:t>As regards pollutant emissions, s</w:t>
      </w:r>
      <w:r w:rsidR="00F63B74" w:rsidRPr="00F91EC4">
        <w:rPr>
          <w:noProof/>
        </w:rPr>
        <w:t>mall volume man</w:t>
      </w:r>
      <w:r w:rsidR="00B46917" w:rsidRPr="00F91EC4">
        <w:rPr>
          <w:noProof/>
        </w:rPr>
        <w:t>ufacturers may substitute tests</w:t>
      </w:r>
      <w:r w:rsidR="00E72302" w:rsidRPr="00F91EC4">
        <w:rPr>
          <w:noProof/>
        </w:rPr>
        <w:t xml:space="preserve"> </w:t>
      </w:r>
      <w:r w:rsidR="001C54CD" w:rsidRPr="00F91EC4">
        <w:rPr>
          <w:noProof/>
        </w:rPr>
        <w:t xml:space="preserve">set out </w:t>
      </w:r>
      <w:r w:rsidR="00E72302" w:rsidRPr="00F91EC4">
        <w:rPr>
          <w:noProof/>
        </w:rPr>
        <w:t xml:space="preserve">in </w:t>
      </w:r>
      <w:r w:rsidR="006359B0">
        <w:rPr>
          <w:noProof/>
        </w:rPr>
        <w:t>t</w:t>
      </w:r>
      <w:r w:rsidR="006359B0" w:rsidRPr="00F91EC4">
        <w:rPr>
          <w:noProof/>
        </w:rPr>
        <w:t>ables 1, 3, 5, 7 and 9</w:t>
      </w:r>
      <w:r w:rsidR="006359B0">
        <w:rPr>
          <w:noProof/>
        </w:rPr>
        <w:t xml:space="preserve"> of</w:t>
      </w:r>
      <w:r w:rsidR="006359B0" w:rsidRPr="00F91EC4">
        <w:rPr>
          <w:noProof/>
        </w:rPr>
        <w:t xml:space="preserve"> </w:t>
      </w:r>
      <w:r w:rsidR="00E72302" w:rsidRPr="00F91EC4">
        <w:rPr>
          <w:noProof/>
        </w:rPr>
        <w:t>Annex V</w:t>
      </w:r>
      <w:r w:rsidR="00D40BB3">
        <w:rPr>
          <w:noProof/>
        </w:rPr>
        <w:t xml:space="preserve"> </w:t>
      </w:r>
      <w:r w:rsidR="00F63B74" w:rsidRPr="00F91EC4">
        <w:rPr>
          <w:noProof/>
        </w:rPr>
        <w:t xml:space="preserve">with declarations of </w:t>
      </w:r>
      <w:r w:rsidR="00E72302" w:rsidRPr="00F91EC4">
        <w:rPr>
          <w:noProof/>
        </w:rPr>
        <w:t>conformity</w:t>
      </w:r>
      <w:r w:rsidR="00F63B74" w:rsidRPr="00F91EC4">
        <w:rPr>
          <w:noProof/>
        </w:rPr>
        <w:t>. The compliance of vehicles constructed and put into the market by small volume manufacturers may be tested for in service conformity and market surveillance</w:t>
      </w:r>
      <w:r w:rsidR="00AA271F" w:rsidRPr="00F91EC4">
        <w:rPr>
          <w:noProof/>
        </w:rPr>
        <w:t xml:space="preserve"> in accordance with </w:t>
      </w:r>
      <w:r w:rsidR="006359B0">
        <w:rPr>
          <w:noProof/>
        </w:rPr>
        <w:t>t</w:t>
      </w:r>
      <w:r w:rsidR="006359B0" w:rsidRPr="00F91EC4">
        <w:rPr>
          <w:noProof/>
        </w:rPr>
        <w:t>ables 2, 4, 6, 8 and 10</w:t>
      </w:r>
      <w:r w:rsidR="006359B0">
        <w:rPr>
          <w:noProof/>
        </w:rPr>
        <w:t xml:space="preserve"> of </w:t>
      </w:r>
      <w:r w:rsidR="00AA271F" w:rsidRPr="00F91EC4">
        <w:rPr>
          <w:noProof/>
        </w:rPr>
        <w:t>Annex V</w:t>
      </w:r>
      <w:r w:rsidR="00F63B74" w:rsidRPr="00F91EC4">
        <w:rPr>
          <w:noProof/>
        </w:rPr>
        <w:t xml:space="preserve">. </w:t>
      </w:r>
      <w:r w:rsidR="00864F18" w:rsidRPr="00F91EC4">
        <w:rPr>
          <w:noProof/>
        </w:rPr>
        <w:t>Conformity of production tests</w:t>
      </w:r>
      <w:r w:rsidR="001C54CD" w:rsidRPr="00F91EC4">
        <w:rPr>
          <w:noProof/>
        </w:rPr>
        <w:t xml:space="preserve"> set out in Annex V</w:t>
      </w:r>
      <w:r w:rsidR="00864F18" w:rsidRPr="00F91EC4">
        <w:rPr>
          <w:noProof/>
        </w:rPr>
        <w:t xml:space="preserve"> shall not be required.</w:t>
      </w:r>
      <w:r w:rsidR="001A230D" w:rsidRPr="00F91EC4">
        <w:rPr>
          <w:noProof/>
        </w:rPr>
        <w:t xml:space="preserve"> Article 4(4)</w:t>
      </w:r>
      <w:r w:rsidR="00A21E8D">
        <w:rPr>
          <w:noProof/>
        </w:rPr>
        <w:t xml:space="preserve"> point </w:t>
      </w:r>
      <w:r w:rsidR="001A230D" w:rsidRPr="00F91EC4">
        <w:rPr>
          <w:noProof/>
        </w:rPr>
        <w:t>(b)</w:t>
      </w:r>
      <w:r w:rsidR="00A21E8D">
        <w:rPr>
          <w:noProof/>
        </w:rPr>
        <w:t xml:space="preserve"> shall not apply to small volume manufacturers</w:t>
      </w:r>
      <w:r w:rsidR="001A230D" w:rsidRPr="00F91EC4">
        <w:rPr>
          <w:noProof/>
        </w:rPr>
        <w:t xml:space="preserve">. </w:t>
      </w:r>
    </w:p>
    <w:p w14:paraId="79E7F4ED" w14:textId="0BF0524C" w:rsidR="00051A51" w:rsidRPr="00F91EC4" w:rsidRDefault="00DD0F7B" w:rsidP="00DD0F7B">
      <w:pPr>
        <w:pStyle w:val="ManualNumPar1"/>
        <w:rPr>
          <w:noProof/>
        </w:rPr>
      </w:pPr>
      <w:r w:rsidRPr="00DD0F7B">
        <w:rPr>
          <w:noProof/>
        </w:rPr>
        <w:t>2.</w:t>
      </w:r>
      <w:r w:rsidRPr="00DD0F7B">
        <w:rPr>
          <w:noProof/>
        </w:rPr>
        <w:tab/>
      </w:r>
      <w:r w:rsidR="001354FB" w:rsidRPr="00F91EC4">
        <w:rPr>
          <w:noProof/>
        </w:rPr>
        <w:t>U</w:t>
      </w:r>
      <w:r w:rsidR="00F63B74" w:rsidRPr="00F91EC4">
        <w:rPr>
          <w:noProof/>
        </w:rPr>
        <w:t>ltra</w:t>
      </w:r>
      <w:r w:rsidR="00864F18" w:rsidRPr="00F91EC4">
        <w:rPr>
          <w:noProof/>
        </w:rPr>
        <w:t>-</w:t>
      </w:r>
      <w:r w:rsidR="00F63B74" w:rsidRPr="00F91EC4">
        <w:rPr>
          <w:noProof/>
        </w:rPr>
        <w:t xml:space="preserve">small volume manufacturers shall comply with the emission limits </w:t>
      </w:r>
      <w:r w:rsidR="00AA271F" w:rsidRPr="00F91EC4">
        <w:rPr>
          <w:noProof/>
        </w:rPr>
        <w:t xml:space="preserve">set out </w:t>
      </w:r>
      <w:r w:rsidR="00F63B74" w:rsidRPr="00F91EC4">
        <w:rPr>
          <w:noProof/>
        </w:rPr>
        <w:t xml:space="preserve">in Annex I in laboratory tests based on </w:t>
      </w:r>
      <w:r w:rsidR="00642F20" w:rsidRPr="00F91EC4">
        <w:rPr>
          <w:noProof/>
        </w:rPr>
        <w:t xml:space="preserve">random </w:t>
      </w:r>
      <w:r w:rsidR="00A03911" w:rsidRPr="00F91EC4">
        <w:rPr>
          <w:noProof/>
        </w:rPr>
        <w:t>real-driving cycles</w:t>
      </w:r>
      <w:r w:rsidR="00671A28" w:rsidRPr="00F91EC4">
        <w:rPr>
          <w:noProof/>
        </w:rPr>
        <w:t xml:space="preserve"> </w:t>
      </w:r>
      <w:r w:rsidR="00132E6F" w:rsidRPr="00F91EC4">
        <w:rPr>
          <w:noProof/>
        </w:rPr>
        <w:t xml:space="preserve">for </w:t>
      </w:r>
      <w:r w:rsidR="00671A28" w:rsidRPr="00F91EC4">
        <w:rPr>
          <w:noProof/>
        </w:rPr>
        <w:t>in</w:t>
      </w:r>
      <w:r w:rsidR="00AA271F" w:rsidRPr="00F91EC4">
        <w:rPr>
          <w:noProof/>
        </w:rPr>
        <w:t>-</w:t>
      </w:r>
      <w:r w:rsidR="00671A28" w:rsidRPr="00F91EC4">
        <w:rPr>
          <w:noProof/>
        </w:rPr>
        <w:t>service conformity and market surveillance</w:t>
      </w:r>
      <w:r w:rsidR="00132E6F" w:rsidRPr="00F91EC4">
        <w:rPr>
          <w:noProof/>
        </w:rPr>
        <w:t xml:space="preserve"> purposes</w:t>
      </w:r>
      <w:r w:rsidR="00F63B74" w:rsidRPr="00F91EC4">
        <w:rPr>
          <w:noProof/>
        </w:rPr>
        <w:t>.</w:t>
      </w:r>
    </w:p>
    <w:p w14:paraId="52AC14F8" w14:textId="77777777" w:rsidR="00F63B74" w:rsidRPr="00F91EC4" w:rsidRDefault="00F63B74" w:rsidP="004023C2">
      <w:pPr>
        <w:pStyle w:val="Titrearticle"/>
        <w:rPr>
          <w:b/>
          <w:i w:val="0"/>
          <w:noProof/>
          <w:color w:val="000000" w:themeColor="text1"/>
        </w:rPr>
      </w:pPr>
      <w:r w:rsidRPr="00F91EC4">
        <w:rPr>
          <w:noProof/>
          <w:color w:val="000000" w:themeColor="text1"/>
        </w:rPr>
        <w:t xml:space="preserve">Article </w:t>
      </w:r>
      <w:r w:rsidR="007248FF" w:rsidRPr="00F91EC4">
        <w:rPr>
          <w:noProof/>
          <w:color w:val="000000" w:themeColor="text1"/>
        </w:rPr>
        <w:t>9</w:t>
      </w:r>
      <w:r w:rsidR="001A054E" w:rsidRPr="00F91EC4">
        <w:rPr>
          <w:noProof/>
          <w:color w:val="000000" w:themeColor="text1"/>
        </w:rPr>
        <w:br/>
      </w:r>
      <w:r w:rsidRPr="00F91EC4">
        <w:rPr>
          <w:b/>
          <w:i w:val="0"/>
          <w:noProof/>
          <w:color w:val="000000" w:themeColor="text1"/>
        </w:rPr>
        <w:t xml:space="preserve">Special </w:t>
      </w:r>
      <w:r w:rsidR="001C54CD" w:rsidRPr="00F91EC4">
        <w:rPr>
          <w:b/>
          <w:i w:val="0"/>
          <w:noProof/>
          <w:color w:val="000000" w:themeColor="text1"/>
        </w:rPr>
        <w:t xml:space="preserve">rules </w:t>
      </w:r>
      <w:r w:rsidRPr="00F91EC4">
        <w:rPr>
          <w:b/>
          <w:i w:val="0"/>
          <w:noProof/>
          <w:color w:val="000000" w:themeColor="text1"/>
        </w:rPr>
        <w:t xml:space="preserve">for </w:t>
      </w:r>
      <w:r w:rsidR="001C54CD" w:rsidRPr="00F91EC4">
        <w:rPr>
          <w:b/>
          <w:i w:val="0"/>
          <w:noProof/>
          <w:color w:val="000000" w:themeColor="text1"/>
        </w:rPr>
        <w:t xml:space="preserve">multistage </w:t>
      </w:r>
      <w:r w:rsidRPr="00F91EC4">
        <w:rPr>
          <w:b/>
          <w:i w:val="0"/>
          <w:noProof/>
          <w:color w:val="000000" w:themeColor="text1"/>
        </w:rPr>
        <w:t>vehicles</w:t>
      </w:r>
    </w:p>
    <w:p w14:paraId="2EAD4516" w14:textId="042B4B31" w:rsidR="00F91ECB" w:rsidRPr="00F91EC4" w:rsidRDefault="00DD0F7B" w:rsidP="00DD0F7B">
      <w:pPr>
        <w:pStyle w:val="ManualNumPar1"/>
        <w:rPr>
          <w:noProof/>
        </w:rPr>
      </w:pPr>
      <w:r w:rsidRPr="00DD0F7B">
        <w:rPr>
          <w:noProof/>
        </w:rPr>
        <w:t>1.</w:t>
      </w:r>
      <w:r w:rsidRPr="00DD0F7B">
        <w:rPr>
          <w:noProof/>
        </w:rPr>
        <w:tab/>
      </w:r>
      <w:r w:rsidR="00E238D5" w:rsidRPr="00F91EC4">
        <w:rPr>
          <w:noProof/>
          <w:color w:val="000000" w:themeColor="text1"/>
        </w:rPr>
        <w:t>I</w:t>
      </w:r>
      <w:r w:rsidR="005B480E" w:rsidRPr="00F91EC4">
        <w:rPr>
          <w:noProof/>
        </w:rPr>
        <w:t>n multistage type-approvals, manufacturers of the second or subsequent stages</w:t>
      </w:r>
      <w:r w:rsidR="00811A40" w:rsidRPr="00F91EC4">
        <w:rPr>
          <w:noProof/>
        </w:rPr>
        <w:t xml:space="preserve"> shall be </w:t>
      </w:r>
      <w:r w:rsidR="00312C5C" w:rsidRPr="00F91EC4">
        <w:rPr>
          <w:noProof/>
        </w:rPr>
        <w:t>responsible</w:t>
      </w:r>
      <w:r w:rsidR="00811A40" w:rsidRPr="00F91EC4">
        <w:rPr>
          <w:noProof/>
        </w:rPr>
        <w:t xml:space="preserve"> for the emission </w:t>
      </w:r>
      <w:r w:rsidR="00976BDB" w:rsidRPr="00F91EC4">
        <w:rPr>
          <w:noProof/>
        </w:rPr>
        <w:t>type-approval</w:t>
      </w:r>
      <w:r w:rsidR="00312C5C" w:rsidRPr="00F91EC4">
        <w:rPr>
          <w:noProof/>
        </w:rPr>
        <w:t xml:space="preserve"> </w:t>
      </w:r>
      <w:r w:rsidR="00592DF3" w:rsidRPr="00F91EC4">
        <w:rPr>
          <w:noProof/>
        </w:rPr>
        <w:t xml:space="preserve">where </w:t>
      </w:r>
      <w:r w:rsidR="00811A40" w:rsidRPr="00F91EC4">
        <w:rPr>
          <w:noProof/>
        </w:rPr>
        <w:t>they</w:t>
      </w:r>
      <w:r w:rsidR="005B480E" w:rsidRPr="00F91EC4">
        <w:rPr>
          <w:noProof/>
        </w:rPr>
        <w:t xml:space="preserve"> modify any part of the vehicle that</w:t>
      </w:r>
      <w:r w:rsidR="00592DF3" w:rsidRPr="00F91EC4">
        <w:rPr>
          <w:noProof/>
        </w:rPr>
        <w:t>,</w:t>
      </w:r>
      <w:r w:rsidR="005B480E" w:rsidRPr="00F91EC4">
        <w:rPr>
          <w:noProof/>
        </w:rPr>
        <w:t xml:space="preserve"> </w:t>
      </w:r>
      <w:r w:rsidR="00592DF3" w:rsidRPr="00F91EC4">
        <w:rPr>
          <w:noProof/>
        </w:rPr>
        <w:t xml:space="preserve">according to the </w:t>
      </w:r>
      <w:r w:rsidR="003D5D9E" w:rsidRPr="00F91EC4">
        <w:rPr>
          <w:noProof/>
        </w:rPr>
        <w:t xml:space="preserve">data </w:t>
      </w:r>
      <w:r w:rsidR="00592DF3" w:rsidRPr="00F91EC4">
        <w:rPr>
          <w:noProof/>
        </w:rPr>
        <w:t xml:space="preserve">provided by the manufacturers of the previous stage, </w:t>
      </w:r>
      <w:r w:rsidR="005B480E" w:rsidRPr="00F91EC4">
        <w:rPr>
          <w:noProof/>
        </w:rPr>
        <w:t>might affect emissions</w:t>
      </w:r>
      <w:r w:rsidR="003D700B" w:rsidRPr="00F91EC4">
        <w:rPr>
          <w:noProof/>
        </w:rPr>
        <w:t xml:space="preserve"> or battery durability</w:t>
      </w:r>
      <w:r w:rsidR="00312C5C" w:rsidRPr="00F91EC4">
        <w:rPr>
          <w:noProof/>
        </w:rPr>
        <w:t>.</w:t>
      </w:r>
      <w:r w:rsidR="00592DF3" w:rsidRPr="00F91EC4">
        <w:rPr>
          <w:noProof/>
        </w:rPr>
        <w:t xml:space="preserve"> </w:t>
      </w:r>
    </w:p>
    <w:p w14:paraId="48403269" w14:textId="079898D1" w:rsidR="00F91ECB" w:rsidRPr="00F91EC4" w:rsidRDefault="00DD0F7B" w:rsidP="00DD0F7B">
      <w:pPr>
        <w:pStyle w:val="ManualNumPar1"/>
        <w:rPr>
          <w:noProof/>
          <w:color w:val="000000" w:themeColor="text1"/>
        </w:rPr>
      </w:pPr>
      <w:r w:rsidRPr="00DD0F7B">
        <w:rPr>
          <w:noProof/>
        </w:rPr>
        <w:t>2.</w:t>
      </w:r>
      <w:r w:rsidRPr="00DD0F7B">
        <w:rPr>
          <w:noProof/>
        </w:rPr>
        <w:tab/>
      </w:r>
      <w:r w:rsidR="00F91ECB" w:rsidRPr="00F91EC4">
        <w:rPr>
          <w:noProof/>
        </w:rPr>
        <w:t xml:space="preserve">The Commission shall adopt implementing acts laying down the </w:t>
      </w:r>
      <w:r w:rsidR="00E238D5" w:rsidRPr="00F91EC4">
        <w:rPr>
          <w:noProof/>
        </w:rPr>
        <w:t xml:space="preserve">administrative </w:t>
      </w:r>
      <w:r w:rsidR="00F91ECB" w:rsidRPr="00F91EC4">
        <w:rPr>
          <w:noProof/>
        </w:rPr>
        <w:t>requirements</w:t>
      </w:r>
      <w:r w:rsidR="007506D5" w:rsidRPr="00F91EC4">
        <w:rPr>
          <w:noProof/>
        </w:rPr>
        <w:t xml:space="preserve"> and</w:t>
      </w:r>
      <w:r w:rsidR="00F91ECB" w:rsidRPr="00F91EC4">
        <w:rPr>
          <w:noProof/>
        </w:rPr>
        <w:t xml:space="preserve"> </w:t>
      </w:r>
      <w:r w:rsidR="003D5D9E" w:rsidRPr="00F91EC4">
        <w:rPr>
          <w:noProof/>
        </w:rPr>
        <w:t xml:space="preserve">data </w:t>
      </w:r>
      <w:r w:rsidR="00F91ECB" w:rsidRPr="00F91EC4">
        <w:rPr>
          <w:noProof/>
        </w:rPr>
        <w:t xml:space="preserve">to be provided by manufacturers of the previous stage </w:t>
      </w:r>
      <w:r w:rsidR="00CA253A" w:rsidRPr="00F91EC4">
        <w:rPr>
          <w:noProof/>
          <w:color w:val="000000" w:themeColor="text1"/>
        </w:rPr>
        <w:t xml:space="preserve">in accordance with paragraph 1 </w:t>
      </w:r>
      <w:r w:rsidR="00F91ECB" w:rsidRPr="00F91EC4">
        <w:rPr>
          <w:noProof/>
        </w:rPr>
        <w:t xml:space="preserve">and </w:t>
      </w:r>
      <w:r w:rsidR="00DA7985" w:rsidRPr="00F91EC4">
        <w:rPr>
          <w:noProof/>
          <w:color w:val="000000" w:themeColor="text1"/>
        </w:rPr>
        <w:t xml:space="preserve">procedures </w:t>
      </w:r>
      <w:r w:rsidR="00460FA3" w:rsidRPr="00F91EC4">
        <w:rPr>
          <w:noProof/>
          <w:color w:val="000000" w:themeColor="text1"/>
        </w:rPr>
        <w:t>for the determination of</w:t>
      </w:r>
      <w:r w:rsidR="00DA7985" w:rsidRPr="00F91EC4">
        <w:rPr>
          <w:noProof/>
          <w:color w:val="000000" w:themeColor="text1"/>
        </w:rPr>
        <w:t xml:space="preserve"> CO</w:t>
      </w:r>
      <w:r w:rsidR="00DA7985" w:rsidRPr="00F91EC4">
        <w:rPr>
          <w:noProof/>
          <w:color w:val="000000" w:themeColor="text1"/>
          <w:vertAlign w:val="subscript"/>
        </w:rPr>
        <w:t>2</w:t>
      </w:r>
      <w:r w:rsidR="00DA7985" w:rsidRPr="00F91EC4">
        <w:rPr>
          <w:noProof/>
          <w:color w:val="000000" w:themeColor="text1"/>
        </w:rPr>
        <w:t xml:space="preserve"> </w:t>
      </w:r>
      <w:r w:rsidR="00736BD6" w:rsidRPr="00F91EC4">
        <w:rPr>
          <w:noProof/>
          <w:color w:val="000000" w:themeColor="text1"/>
        </w:rPr>
        <w:t>emissions</w:t>
      </w:r>
      <w:r w:rsidR="00CA253A" w:rsidRPr="00F91EC4">
        <w:rPr>
          <w:noProof/>
          <w:color w:val="000000" w:themeColor="text1"/>
        </w:rPr>
        <w:t xml:space="preserve"> of such vehicles</w:t>
      </w:r>
      <w:r w:rsidR="00F91ECB" w:rsidRPr="00F91EC4">
        <w:rPr>
          <w:noProof/>
          <w:color w:val="000000" w:themeColor="text1"/>
        </w:rPr>
        <w:t>.</w:t>
      </w:r>
      <w:r w:rsidR="00F91ECB" w:rsidRPr="00F91EC4">
        <w:rPr>
          <w:noProof/>
        </w:rPr>
        <w:t xml:space="preserve"> Those implementing acts shall be adopted in accordance with the examination procedure referred to in Article </w:t>
      </w:r>
      <w:r w:rsidR="004E2A19" w:rsidRPr="00F91EC4">
        <w:rPr>
          <w:noProof/>
        </w:rPr>
        <w:t>1</w:t>
      </w:r>
      <w:r w:rsidR="00421302" w:rsidRPr="00F91EC4">
        <w:rPr>
          <w:noProof/>
        </w:rPr>
        <w:t>7</w:t>
      </w:r>
      <w:r w:rsidR="00F91ECB" w:rsidRPr="00F91EC4">
        <w:rPr>
          <w:noProof/>
        </w:rPr>
        <w:t>(2).</w:t>
      </w:r>
      <w:r w:rsidR="00F91ECB" w:rsidRPr="00F91EC4">
        <w:rPr>
          <w:noProof/>
          <w:color w:val="000000" w:themeColor="text1"/>
        </w:rPr>
        <w:t xml:space="preserve"> </w:t>
      </w:r>
    </w:p>
    <w:p w14:paraId="61DAC2AE" w14:textId="77777777" w:rsidR="000E4E55" w:rsidRPr="00F91EC4" w:rsidRDefault="000E4E55" w:rsidP="001A74A5">
      <w:pPr>
        <w:pStyle w:val="ChapterTitle"/>
        <w:rPr>
          <w:noProof/>
          <w:color w:val="000000" w:themeColor="text1"/>
        </w:rPr>
      </w:pPr>
      <w:r w:rsidRPr="00F91EC4">
        <w:rPr>
          <w:noProof/>
          <w:color w:val="000000" w:themeColor="text1"/>
        </w:rPr>
        <w:t>Chapter I</w:t>
      </w:r>
      <w:r w:rsidR="001A74A5" w:rsidRPr="00F91EC4">
        <w:rPr>
          <w:noProof/>
          <w:color w:val="000000" w:themeColor="text1"/>
        </w:rPr>
        <w:t>I</w:t>
      </w:r>
      <w:r w:rsidRPr="00F91EC4">
        <w:rPr>
          <w:noProof/>
          <w:color w:val="000000" w:themeColor="text1"/>
        </w:rPr>
        <w:t xml:space="preserve">I – </w:t>
      </w:r>
      <w:r w:rsidR="001A74A5" w:rsidRPr="00F91EC4">
        <w:rPr>
          <w:noProof/>
          <w:color w:val="000000" w:themeColor="text1"/>
        </w:rPr>
        <w:t>Obligations of Member States</w:t>
      </w:r>
      <w:r w:rsidR="00074085" w:rsidRPr="00F91EC4">
        <w:rPr>
          <w:noProof/>
          <w:color w:val="000000" w:themeColor="text1"/>
        </w:rPr>
        <w:t xml:space="preserve"> for emission </w:t>
      </w:r>
      <w:r w:rsidR="00976BDB" w:rsidRPr="00F91EC4">
        <w:rPr>
          <w:noProof/>
          <w:color w:val="000000" w:themeColor="text1"/>
        </w:rPr>
        <w:t>type-approval</w:t>
      </w:r>
      <w:r w:rsidR="00074085" w:rsidRPr="00F91EC4">
        <w:rPr>
          <w:noProof/>
          <w:color w:val="000000" w:themeColor="text1"/>
        </w:rPr>
        <w:t xml:space="preserve"> and market surveillance</w:t>
      </w:r>
    </w:p>
    <w:p w14:paraId="206B7391" w14:textId="77777777" w:rsidR="000E4E55" w:rsidRPr="00F91EC4" w:rsidRDefault="000E4E55" w:rsidP="000E4E55">
      <w:pPr>
        <w:pStyle w:val="Titrearticle"/>
        <w:rPr>
          <w:noProof/>
          <w:color w:val="000000" w:themeColor="text1"/>
        </w:rPr>
      </w:pPr>
      <w:r w:rsidRPr="00F91EC4">
        <w:rPr>
          <w:noProof/>
          <w:color w:val="000000" w:themeColor="text1"/>
        </w:rPr>
        <w:t xml:space="preserve">Article </w:t>
      </w:r>
      <w:r w:rsidR="007248FF" w:rsidRPr="00F91EC4">
        <w:rPr>
          <w:noProof/>
          <w:color w:val="000000" w:themeColor="text1"/>
        </w:rPr>
        <w:t>10</w:t>
      </w:r>
      <w:r w:rsidRPr="00F91EC4">
        <w:rPr>
          <w:noProof/>
          <w:color w:val="000000" w:themeColor="text1"/>
        </w:rPr>
        <w:br/>
      </w:r>
      <w:r w:rsidR="00951D6A" w:rsidRPr="00F91EC4">
        <w:rPr>
          <w:b/>
          <w:i w:val="0"/>
          <w:noProof/>
          <w:color w:val="000000" w:themeColor="text1"/>
        </w:rPr>
        <w:t xml:space="preserve">Emission </w:t>
      </w:r>
      <w:r w:rsidR="00976BDB" w:rsidRPr="00F91EC4">
        <w:rPr>
          <w:b/>
          <w:i w:val="0"/>
          <w:noProof/>
          <w:color w:val="000000" w:themeColor="text1"/>
        </w:rPr>
        <w:t>type-approval</w:t>
      </w:r>
      <w:r w:rsidR="00074085" w:rsidRPr="00F91EC4">
        <w:rPr>
          <w:b/>
          <w:i w:val="0"/>
          <w:noProof/>
          <w:color w:val="000000" w:themeColor="text1"/>
        </w:rPr>
        <w:t xml:space="preserve">, conformity of production, in-service conformity </w:t>
      </w:r>
      <w:r w:rsidR="00952AB5" w:rsidRPr="00F91EC4">
        <w:rPr>
          <w:b/>
          <w:i w:val="0"/>
          <w:noProof/>
          <w:color w:val="000000" w:themeColor="text1"/>
        </w:rPr>
        <w:t>and market surveillance</w:t>
      </w:r>
      <w:r w:rsidR="00EB4845" w:rsidRPr="00F91EC4">
        <w:rPr>
          <w:b/>
          <w:i w:val="0"/>
          <w:noProof/>
          <w:color w:val="000000" w:themeColor="text1"/>
        </w:rPr>
        <w:t xml:space="preserve"> </w:t>
      </w:r>
    </w:p>
    <w:p w14:paraId="553D39CC" w14:textId="58747AD1" w:rsidR="000E4E55" w:rsidRPr="00F91EC4" w:rsidRDefault="00DD0F7B" w:rsidP="00DD0F7B">
      <w:pPr>
        <w:pStyle w:val="ManualNumPar1"/>
        <w:rPr>
          <w:noProof/>
        </w:rPr>
      </w:pPr>
      <w:r w:rsidRPr="00DD0F7B">
        <w:rPr>
          <w:noProof/>
        </w:rPr>
        <w:t>1.</w:t>
      </w:r>
      <w:r w:rsidRPr="00DD0F7B">
        <w:rPr>
          <w:noProof/>
        </w:rPr>
        <w:tab/>
      </w:r>
      <w:r w:rsidR="00032A0C" w:rsidRPr="00F91EC4">
        <w:rPr>
          <w:noProof/>
        </w:rPr>
        <w:t>N</w:t>
      </w:r>
      <w:r w:rsidR="001A74A5" w:rsidRPr="00F91EC4">
        <w:rPr>
          <w:noProof/>
        </w:rPr>
        <w:t xml:space="preserve">ational approval authorities shall put in place measures to </w:t>
      </w:r>
      <w:r w:rsidR="00032A0C" w:rsidRPr="00F91EC4">
        <w:rPr>
          <w:noProof/>
        </w:rPr>
        <w:t xml:space="preserve">grant </w:t>
      </w:r>
      <w:r w:rsidR="00951D6A" w:rsidRPr="00F91EC4">
        <w:rPr>
          <w:noProof/>
        </w:rPr>
        <w:t xml:space="preserve">emission </w:t>
      </w:r>
      <w:r w:rsidR="00976BDB" w:rsidRPr="00F91EC4">
        <w:rPr>
          <w:noProof/>
        </w:rPr>
        <w:t>type-approval</w:t>
      </w:r>
      <w:r w:rsidR="00032A0C" w:rsidRPr="00F91EC4">
        <w:rPr>
          <w:noProof/>
        </w:rPr>
        <w:t>s to</w:t>
      </w:r>
      <w:r w:rsidR="001A74A5" w:rsidRPr="00F91EC4">
        <w:rPr>
          <w:noProof/>
        </w:rPr>
        <w:t xml:space="preserve"> vehicle types</w:t>
      </w:r>
      <w:r w:rsidR="00C045AE" w:rsidRPr="00F91EC4">
        <w:rPr>
          <w:noProof/>
        </w:rPr>
        <w:t>, components and separate technical units</w:t>
      </w:r>
      <w:r w:rsidR="00951D6A" w:rsidRPr="00F91EC4">
        <w:rPr>
          <w:noProof/>
        </w:rPr>
        <w:t xml:space="preserve"> and to </w:t>
      </w:r>
      <w:r w:rsidR="001A74A5" w:rsidRPr="00F91EC4">
        <w:rPr>
          <w:noProof/>
        </w:rPr>
        <w:t xml:space="preserve">perform </w:t>
      </w:r>
      <w:r w:rsidR="003D5D9E" w:rsidRPr="00F91EC4">
        <w:rPr>
          <w:noProof/>
        </w:rPr>
        <w:t xml:space="preserve">tests, </w:t>
      </w:r>
      <w:r w:rsidR="001A74A5" w:rsidRPr="00F91EC4">
        <w:rPr>
          <w:noProof/>
        </w:rPr>
        <w:t xml:space="preserve">checks and inspections </w:t>
      </w:r>
      <w:r w:rsidR="000D13FB" w:rsidRPr="00F91EC4">
        <w:rPr>
          <w:noProof/>
        </w:rPr>
        <w:t>for verifying whether the manufacturers comply with the requirements for</w:t>
      </w:r>
      <w:r w:rsidR="001A74A5" w:rsidRPr="00F91EC4">
        <w:rPr>
          <w:noProof/>
        </w:rPr>
        <w:t xml:space="preserve"> conformity of production and in-service conformity</w:t>
      </w:r>
      <w:r w:rsidR="00951D6A" w:rsidRPr="00F91EC4">
        <w:rPr>
          <w:noProof/>
        </w:rPr>
        <w:t xml:space="preserve"> in accordance with Annex V</w:t>
      </w:r>
      <w:r w:rsidR="001A74A5" w:rsidRPr="00F91EC4">
        <w:rPr>
          <w:noProof/>
        </w:rPr>
        <w:t>.</w:t>
      </w:r>
      <w:r w:rsidR="000D13FB" w:rsidRPr="00F91EC4">
        <w:rPr>
          <w:noProof/>
        </w:rPr>
        <w:t xml:space="preserve"> </w:t>
      </w:r>
    </w:p>
    <w:p w14:paraId="28DF22D3" w14:textId="52DF3802" w:rsidR="001A3618" w:rsidRPr="00F91EC4" w:rsidRDefault="00DD0F7B" w:rsidP="00DD0F7B">
      <w:pPr>
        <w:pStyle w:val="ManualNumPar1"/>
        <w:rPr>
          <w:noProof/>
        </w:rPr>
      </w:pPr>
      <w:r w:rsidRPr="00DD0F7B">
        <w:rPr>
          <w:noProof/>
        </w:rPr>
        <w:t>2.</w:t>
      </w:r>
      <w:r w:rsidRPr="00DD0F7B">
        <w:rPr>
          <w:noProof/>
        </w:rPr>
        <w:tab/>
      </w:r>
      <w:r w:rsidR="001A3618" w:rsidRPr="00F91EC4">
        <w:rPr>
          <w:noProof/>
        </w:rPr>
        <w:t xml:space="preserve">National market surveillance authorities shall </w:t>
      </w:r>
      <w:r w:rsidR="005B433E" w:rsidRPr="00F91EC4">
        <w:rPr>
          <w:noProof/>
        </w:rPr>
        <w:t>perform</w:t>
      </w:r>
      <w:r w:rsidR="001A3618" w:rsidRPr="00F91EC4">
        <w:rPr>
          <w:noProof/>
        </w:rPr>
        <w:t xml:space="preserve"> market surveillance checks </w:t>
      </w:r>
      <w:r w:rsidR="00A007F7" w:rsidRPr="00F91EC4">
        <w:rPr>
          <w:noProof/>
        </w:rPr>
        <w:t>in accordance with</w:t>
      </w:r>
      <w:r w:rsidR="001A3618" w:rsidRPr="00F91EC4">
        <w:rPr>
          <w:noProof/>
        </w:rPr>
        <w:t xml:space="preserve"> </w:t>
      </w:r>
      <w:r w:rsidR="00A007F7" w:rsidRPr="00F91EC4">
        <w:rPr>
          <w:noProof/>
        </w:rPr>
        <w:t xml:space="preserve">Article </w:t>
      </w:r>
      <w:r w:rsidR="00966BD0" w:rsidRPr="00F91EC4">
        <w:rPr>
          <w:noProof/>
        </w:rPr>
        <w:t>8</w:t>
      </w:r>
      <w:r w:rsidR="00A007F7" w:rsidRPr="00F91EC4">
        <w:rPr>
          <w:noProof/>
        </w:rPr>
        <w:t xml:space="preserve"> of </w:t>
      </w:r>
      <w:r w:rsidR="00B354AD" w:rsidRPr="00F91EC4">
        <w:rPr>
          <w:noProof/>
        </w:rPr>
        <w:t>Regulation (E</w:t>
      </w:r>
      <w:r w:rsidR="000D13FB" w:rsidRPr="00F91EC4">
        <w:rPr>
          <w:noProof/>
        </w:rPr>
        <w:t>U</w:t>
      </w:r>
      <w:r w:rsidR="00B354AD" w:rsidRPr="00F91EC4">
        <w:rPr>
          <w:noProof/>
        </w:rPr>
        <w:t xml:space="preserve">) 2018/858 and </w:t>
      </w:r>
      <w:r w:rsidR="00A21E8D" w:rsidRPr="00F91EC4">
        <w:rPr>
          <w:noProof/>
        </w:rPr>
        <w:t>tables 2, 4, 6, 8 and 10</w:t>
      </w:r>
      <w:r w:rsidR="00A21E8D">
        <w:rPr>
          <w:noProof/>
        </w:rPr>
        <w:t xml:space="preserve"> of </w:t>
      </w:r>
      <w:r w:rsidR="00951D6A" w:rsidRPr="00F91EC4">
        <w:rPr>
          <w:noProof/>
        </w:rPr>
        <w:t>Annex V</w:t>
      </w:r>
      <w:r w:rsidR="001A3618" w:rsidRPr="00F91EC4">
        <w:rPr>
          <w:noProof/>
        </w:rPr>
        <w:t>.</w:t>
      </w:r>
    </w:p>
    <w:p w14:paraId="1347B8B8" w14:textId="5714C53A" w:rsidR="001A74A5" w:rsidRPr="00F91EC4" w:rsidRDefault="00DD0F7B" w:rsidP="00DD0F7B">
      <w:pPr>
        <w:pStyle w:val="ManualNumPar1"/>
        <w:rPr>
          <w:noProof/>
        </w:rPr>
      </w:pPr>
      <w:r w:rsidRPr="00DD0F7B">
        <w:rPr>
          <w:noProof/>
        </w:rPr>
        <w:t>3.</w:t>
      </w:r>
      <w:r w:rsidRPr="00DD0F7B">
        <w:rPr>
          <w:noProof/>
        </w:rPr>
        <w:tab/>
      </w:r>
      <w:r w:rsidR="001A74A5" w:rsidRPr="00F91EC4">
        <w:rPr>
          <w:noProof/>
        </w:rPr>
        <w:t xml:space="preserve">With effect from </w:t>
      </w:r>
      <w:r w:rsidR="005629B4" w:rsidRPr="00F91EC4">
        <w:rPr>
          <w:noProof/>
        </w:rPr>
        <w:t>… [</w:t>
      </w:r>
      <w:r w:rsidR="005629B4" w:rsidRPr="00F91EC4">
        <w:rPr>
          <w:i/>
          <w:iCs/>
          <w:noProof/>
        </w:rPr>
        <w:t>OP please insert the date = the date of entry into force of this Regulation</w:t>
      </w:r>
      <w:r w:rsidR="005629B4" w:rsidRPr="00F91EC4">
        <w:rPr>
          <w:noProof/>
        </w:rPr>
        <w:t>]</w:t>
      </w:r>
      <w:r w:rsidR="001A74A5" w:rsidRPr="00F91EC4">
        <w:rPr>
          <w:noProof/>
        </w:rPr>
        <w:t xml:space="preserve">, </w:t>
      </w:r>
      <w:r w:rsidR="000D13FB" w:rsidRPr="00F91EC4">
        <w:rPr>
          <w:noProof/>
        </w:rPr>
        <w:t xml:space="preserve">where </w:t>
      </w:r>
      <w:r w:rsidR="001A74A5" w:rsidRPr="00F91EC4">
        <w:rPr>
          <w:noProof/>
        </w:rPr>
        <w:t xml:space="preserve">a manufacturer so requests, the national </w:t>
      </w:r>
      <w:r w:rsidR="00CB3257" w:rsidRPr="00F91EC4">
        <w:rPr>
          <w:noProof/>
        </w:rPr>
        <w:t xml:space="preserve">approval </w:t>
      </w:r>
      <w:r w:rsidR="001A74A5" w:rsidRPr="00F91EC4">
        <w:rPr>
          <w:noProof/>
        </w:rPr>
        <w:t>authorities shall not refuse to grant E</w:t>
      </w:r>
      <w:r w:rsidR="0011513F">
        <w:rPr>
          <w:noProof/>
        </w:rPr>
        <w:t>U</w:t>
      </w:r>
      <w:r w:rsidR="001A74A5" w:rsidRPr="00F91EC4">
        <w:rPr>
          <w:noProof/>
        </w:rPr>
        <w:t xml:space="preserve"> </w:t>
      </w:r>
      <w:r w:rsidR="00963F15">
        <w:rPr>
          <w:noProof/>
        </w:rPr>
        <w:t xml:space="preserve">emission </w:t>
      </w:r>
      <w:r w:rsidR="00976BDB" w:rsidRPr="00F91EC4">
        <w:rPr>
          <w:noProof/>
        </w:rPr>
        <w:t>type-approval</w:t>
      </w:r>
      <w:r w:rsidR="001A74A5" w:rsidRPr="00F91EC4">
        <w:rPr>
          <w:noProof/>
        </w:rPr>
        <w:t xml:space="preserve"> or national </w:t>
      </w:r>
      <w:r w:rsidR="00963F15">
        <w:rPr>
          <w:noProof/>
        </w:rPr>
        <w:t xml:space="preserve">emission </w:t>
      </w:r>
      <w:r w:rsidR="00976BDB" w:rsidRPr="00F91EC4">
        <w:rPr>
          <w:noProof/>
        </w:rPr>
        <w:t>type-approval</w:t>
      </w:r>
      <w:r w:rsidR="001A74A5" w:rsidRPr="00F91EC4">
        <w:rPr>
          <w:noProof/>
        </w:rPr>
        <w:t xml:space="preserve"> for a new type of vehicle or engine, or prohibit the registration, sale or entry into service of a new vehicle</w:t>
      </w:r>
      <w:r w:rsidR="002C10E2" w:rsidRPr="00F91EC4">
        <w:rPr>
          <w:noProof/>
        </w:rPr>
        <w:t xml:space="preserve"> complying with this regulation</w:t>
      </w:r>
      <w:r w:rsidR="001A74A5" w:rsidRPr="00F91EC4">
        <w:rPr>
          <w:noProof/>
        </w:rPr>
        <w:t>.</w:t>
      </w:r>
    </w:p>
    <w:p w14:paraId="418629EF" w14:textId="40174091" w:rsidR="001A74A5" w:rsidRPr="00F91EC4" w:rsidRDefault="00DD0F7B" w:rsidP="00DD0F7B">
      <w:pPr>
        <w:pStyle w:val="ManualNumPar1"/>
        <w:rPr>
          <w:noProof/>
        </w:rPr>
      </w:pPr>
      <w:r w:rsidRPr="00DD0F7B">
        <w:rPr>
          <w:noProof/>
        </w:rPr>
        <w:t>4.</w:t>
      </w:r>
      <w:r w:rsidRPr="00DD0F7B">
        <w:rPr>
          <w:noProof/>
        </w:rPr>
        <w:tab/>
      </w:r>
      <w:r w:rsidR="001A74A5" w:rsidRPr="00F91EC4">
        <w:rPr>
          <w:noProof/>
        </w:rPr>
        <w:t xml:space="preserve">With effect from 1 </w:t>
      </w:r>
      <w:r w:rsidR="00B15B35" w:rsidRPr="00F91EC4">
        <w:rPr>
          <w:noProof/>
        </w:rPr>
        <w:t xml:space="preserve">July </w:t>
      </w:r>
      <w:r w:rsidR="00BF6838" w:rsidRPr="00F91EC4">
        <w:rPr>
          <w:noProof/>
        </w:rPr>
        <w:t>202</w:t>
      </w:r>
      <w:r w:rsidR="00276646">
        <w:rPr>
          <w:noProof/>
        </w:rPr>
        <w:t>5,</w:t>
      </w:r>
      <w:r w:rsidR="00BF6838" w:rsidRPr="00F91EC4">
        <w:rPr>
          <w:noProof/>
        </w:rPr>
        <w:t xml:space="preserve"> </w:t>
      </w:r>
      <w:r w:rsidR="001A74A5" w:rsidRPr="00F91EC4">
        <w:rPr>
          <w:noProof/>
        </w:rPr>
        <w:t xml:space="preserve">national authorities shall, in the case of new </w:t>
      </w:r>
      <w:r w:rsidR="0011534D" w:rsidRPr="00F91EC4">
        <w:rPr>
          <w:noProof/>
        </w:rPr>
        <w:t>M</w:t>
      </w:r>
      <w:r w:rsidR="0011534D" w:rsidRPr="00F91EC4">
        <w:rPr>
          <w:noProof/>
          <w:vertAlign w:val="subscript"/>
        </w:rPr>
        <w:t>1</w:t>
      </w:r>
      <w:r w:rsidR="0011534D" w:rsidRPr="00F91EC4">
        <w:rPr>
          <w:noProof/>
        </w:rPr>
        <w:t>, N</w:t>
      </w:r>
      <w:r w:rsidR="0011534D" w:rsidRPr="00F91EC4">
        <w:rPr>
          <w:noProof/>
          <w:vertAlign w:val="subscript"/>
        </w:rPr>
        <w:t>1</w:t>
      </w:r>
      <w:r w:rsidR="0011534D" w:rsidRPr="00F91EC4">
        <w:rPr>
          <w:noProof/>
        </w:rPr>
        <w:t xml:space="preserve"> </w:t>
      </w:r>
      <w:r w:rsidR="001A74A5" w:rsidRPr="00F91EC4">
        <w:rPr>
          <w:noProof/>
        </w:rPr>
        <w:t xml:space="preserve">vehicles which do not comply with this Regulation consider certificates of conformity to be no longer valid for the purposes </w:t>
      </w:r>
      <w:r w:rsidR="005D7839">
        <w:rPr>
          <w:noProof/>
        </w:rPr>
        <w:t xml:space="preserve">of </w:t>
      </w:r>
      <w:r w:rsidR="001A74A5" w:rsidRPr="00F91EC4">
        <w:rPr>
          <w:noProof/>
        </w:rPr>
        <w:t xml:space="preserve">registration and shall, on grounds relating to </w:t>
      </w:r>
      <w:r w:rsidR="00963F15">
        <w:rPr>
          <w:noProof/>
        </w:rPr>
        <w:t>CO</w:t>
      </w:r>
      <w:r w:rsidR="00963F15" w:rsidRPr="00C257E1">
        <w:rPr>
          <w:noProof/>
          <w:vertAlign w:val="subscript"/>
        </w:rPr>
        <w:t>2</w:t>
      </w:r>
      <w:r w:rsidR="00963F15">
        <w:rPr>
          <w:noProof/>
        </w:rPr>
        <w:t xml:space="preserve"> and </w:t>
      </w:r>
      <w:r w:rsidR="00C045AE" w:rsidRPr="00F91EC4">
        <w:rPr>
          <w:noProof/>
        </w:rPr>
        <w:t xml:space="preserve">pollutant </w:t>
      </w:r>
      <w:r w:rsidR="001A74A5" w:rsidRPr="00F91EC4">
        <w:rPr>
          <w:noProof/>
        </w:rPr>
        <w:t>emissions</w:t>
      </w:r>
      <w:r w:rsidR="00DA7985" w:rsidRPr="00F91EC4">
        <w:rPr>
          <w:noProof/>
        </w:rPr>
        <w:t xml:space="preserve">, </w:t>
      </w:r>
      <w:r w:rsidR="00DF054C" w:rsidRPr="00F91EC4">
        <w:rPr>
          <w:noProof/>
        </w:rPr>
        <w:t xml:space="preserve">fuel and </w:t>
      </w:r>
      <w:r w:rsidR="00DA7985" w:rsidRPr="00F91EC4">
        <w:rPr>
          <w:noProof/>
        </w:rPr>
        <w:t xml:space="preserve">energy consumption </w:t>
      </w:r>
      <w:r w:rsidR="001A74A5" w:rsidRPr="00F91EC4">
        <w:rPr>
          <w:noProof/>
        </w:rPr>
        <w:t xml:space="preserve">or </w:t>
      </w:r>
      <w:r w:rsidR="00C045AE" w:rsidRPr="00F91EC4">
        <w:rPr>
          <w:noProof/>
        </w:rPr>
        <w:t xml:space="preserve">battery </w:t>
      </w:r>
      <w:r w:rsidR="00F92A02" w:rsidRPr="00F91EC4">
        <w:rPr>
          <w:noProof/>
        </w:rPr>
        <w:t>durability</w:t>
      </w:r>
      <w:r w:rsidR="001A74A5" w:rsidRPr="00F91EC4">
        <w:rPr>
          <w:noProof/>
        </w:rPr>
        <w:t>, prohibit the registration, sale or entry into service of such vehicles.</w:t>
      </w:r>
    </w:p>
    <w:p w14:paraId="53038D6A" w14:textId="788C7952" w:rsidR="00A2291B" w:rsidRPr="00F91EC4" w:rsidRDefault="00DD0F7B" w:rsidP="00DD0F7B">
      <w:pPr>
        <w:pStyle w:val="ManualNumPar1"/>
        <w:rPr>
          <w:noProof/>
        </w:rPr>
      </w:pPr>
      <w:r w:rsidRPr="00DD0F7B">
        <w:rPr>
          <w:noProof/>
        </w:rPr>
        <w:t>5.</w:t>
      </w:r>
      <w:r w:rsidRPr="00DD0F7B">
        <w:rPr>
          <w:noProof/>
        </w:rPr>
        <w:tab/>
      </w:r>
      <w:r w:rsidR="0011534D" w:rsidRPr="00F91EC4">
        <w:rPr>
          <w:noProof/>
        </w:rPr>
        <w:t xml:space="preserve">With effect from 1 </w:t>
      </w:r>
      <w:r w:rsidR="0038705B">
        <w:rPr>
          <w:noProof/>
        </w:rPr>
        <w:t>July</w:t>
      </w:r>
      <w:r w:rsidR="0038705B" w:rsidRPr="00F91EC4">
        <w:rPr>
          <w:noProof/>
        </w:rPr>
        <w:t xml:space="preserve"> </w:t>
      </w:r>
      <w:r w:rsidR="0011534D" w:rsidRPr="00F91EC4">
        <w:rPr>
          <w:noProof/>
        </w:rPr>
        <w:t>202</w:t>
      </w:r>
      <w:r w:rsidR="005D7839">
        <w:rPr>
          <w:noProof/>
        </w:rPr>
        <w:t>7</w:t>
      </w:r>
      <w:r w:rsidR="00276646">
        <w:rPr>
          <w:noProof/>
        </w:rPr>
        <w:t>,</w:t>
      </w:r>
      <w:r w:rsidR="0011534D" w:rsidRPr="00F91EC4">
        <w:rPr>
          <w:noProof/>
        </w:rPr>
        <w:t xml:space="preserve"> national authorities shall, in the case of new M</w:t>
      </w:r>
      <w:r w:rsidR="0011534D" w:rsidRPr="00F91EC4">
        <w:rPr>
          <w:noProof/>
          <w:vertAlign w:val="subscript"/>
        </w:rPr>
        <w:t>2</w:t>
      </w:r>
      <w:r w:rsidR="0011534D" w:rsidRPr="00F91EC4">
        <w:rPr>
          <w:noProof/>
        </w:rPr>
        <w:t>, M</w:t>
      </w:r>
      <w:r w:rsidR="0011534D" w:rsidRPr="00F91EC4">
        <w:rPr>
          <w:noProof/>
          <w:vertAlign w:val="subscript"/>
        </w:rPr>
        <w:t>3</w:t>
      </w:r>
      <w:r w:rsidR="0011534D" w:rsidRPr="00F91EC4">
        <w:rPr>
          <w:noProof/>
        </w:rPr>
        <w:t>, N</w:t>
      </w:r>
      <w:r w:rsidR="0011534D" w:rsidRPr="00F91EC4">
        <w:rPr>
          <w:noProof/>
          <w:vertAlign w:val="subscript"/>
        </w:rPr>
        <w:t>2</w:t>
      </w:r>
      <w:r w:rsidR="0011534D" w:rsidRPr="00F91EC4">
        <w:rPr>
          <w:noProof/>
        </w:rPr>
        <w:t>, N</w:t>
      </w:r>
      <w:r w:rsidR="0011534D" w:rsidRPr="00F91EC4">
        <w:rPr>
          <w:noProof/>
          <w:vertAlign w:val="subscript"/>
        </w:rPr>
        <w:t>3</w:t>
      </w:r>
      <w:r w:rsidR="0011534D" w:rsidRPr="00F91EC4">
        <w:rPr>
          <w:noProof/>
        </w:rPr>
        <w:t xml:space="preserve"> vehicles </w:t>
      </w:r>
      <w:r w:rsidR="00DA7985" w:rsidRPr="00F91EC4">
        <w:rPr>
          <w:noProof/>
        </w:rPr>
        <w:t>and new O</w:t>
      </w:r>
      <w:r w:rsidR="00DA7985" w:rsidRPr="00F91EC4">
        <w:rPr>
          <w:noProof/>
          <w:vertAlign w:val="subscript"/>
        </w:rPr>
        <w:t>3</w:t>
      </w:r>
      <w:r w:rsidR="00DA7985" w:rsidRPr="00F91EC4">
        <w:rPr>
          <w:noProof/>
        </w:rPr>
        <w:t>, O</w:t>
      </w:r>
      <w:r w:rsidR="00DA7985" w:rsidRPr="00F91EC4">
        <w:rPr>
          <w:noProof/>
          <w:vertAlign w:val="subscript"/>
        </w:rPr>
        <w:t>4</w:t>
      </w:r>
      <w:r w:rsidR="00DA7985" w:rsidRPr="00F91EC4">
        <w:rPr>
          <w:noProof/>
        </w:rPr>
        <w:t xml:space="preserve"> trailers, </w:t>
      </w:r>
      <w:r w:rsidR="0011534D" w:rsidRPr="00F91EC4">
        <w:rPr>
          <w:noProof/>
        </w:rPr>
        <w:t>which do not comply with this Regulation consider certificates of conformity to be no longer valid for the purposes</w:t>
      </w:r>
      <w:r w:rsidR="005D7839">
        <w:rPr>
          <w:noProof/>
        </w:rPr>
        <w:t xml:space="preserve"> of</w:t>
      </w:r>
      <w:r w:rsidR="0011534D" w:rsidRPr="00F91EC4">
        <w:rPr>
          <w:noProof/>
        </w:rPr>
        <w:t xml:space="preserve"> registration and shall, on grounds relating to </w:t>
      </w:r>
      <w:r w:rsidR="00963F15">
        <w:rPr>
          <w:noProof/>
        </w:rPr>
        <w:t>CO</w:t>
      </w:r>
      <w:r w:rsidR="00963F15" w:rsidRPr="007E35A9">
        <w:rPr>
          <w:noProof/>
          <w:vertAlign w:val="subscript"/>
        </w:rPr>
        <w:t>2</w:t>
      </w:r>
      <w:r w:rsidR="00963F15">
        <w:rPr>
          <w:noProof/>
        </w:rPr>
        <w:t xml:space="preserve"> and </w:t>
      </w:r>
      <w:r w:rsidR="00C045AE" w:rsidRPr="00F91EC4">
        <w:rPr>
          <w:noProof/>
        </w:rPr>
        <w:t xml:space="preserve">pollutant </w:t>
      </w:r>
      <w:r w:rsidR="0011534D" w:rsidRPr="00F91EC4">
        <w:rPr>
          <w:noProof/>
        </w:rPr>
        <w:t>emissions</w:t>
      </w:r>
      <w:r w:rsidR="00DA7985" w:rsidRPr="00F91EC4">
        <w:rPr>
          <w:noProof/>
        </w:rPr>
        <w:t xml:space="preserve">, </w:t>
      </w:r>
      <w:r w:rsidR="00DF054C" w:rsidRPr="00F91EC4">
        <w:rPr>
          <w:noProof/>
        </w:rPr>
        <w:t xml:space="preserve">fuel and </w:t>
      </w:r>
      <w:r w:rsidR="00DA7985" w:rsidRPr="00F91EC4">
        <w:rPr>
          <w:noProof/>
        </w:rPr>
        <w:t>energy consumption</w:t>
      </w:r>
      <w:r w:rsidR="00963F15">
        <w:rPr>
          <w:noProof/>
        </w:rPr>
        <w:t>, energy efficiency</w:t>
      </w:r>
      <w:r w:rsidR="0011534D" w:rsidRPr="00F91EC4">
        <w:rPr>
          <w:noProof/>
        </w:rPr>
        <w:t xml:space="preserve"> or </w:t>
      </w:r>
      <w:r w:rsidR="00C045AE" w:rsidRPr="00F91EC4">
        <w:rPr>
          <w:noProof/>
        </w:rPr>
        <w:t xml:space="preserve">battery </w:t>
      </w:r>
      <w:r w:rsidR="00F92A02" w:rsidRPr="00F91EC4">
        <w:rPr>
          <w:noProof/>
        </w:rPr>
        <w:t>durability</w:t>
      </w:r>
      <w:r w:rsidR="0011534D" w:rsidRPr="00F91EC4">
        <w:rPr>
          <w:noProof/>
        </w:rPr>
        <w:t>, prohibit the registration, sale or entry into service of such vehicles.</w:t>
      </w:r>
      <w:r w:rsidR="007A1BAE" w:rsidRPr="00F91EC4">
        <w:rPr>
          <w:noProof/>
        </w:rPr>
        <w:t xml:space="preserve"> </w:t>
      </w:r>
    </w:p>
    <w:p w14:paraId="4A55024F" w14:textId="631A0707" w:rsidR="00646A80" w:rsidRPr="00F91EC4" w:rsidRDefault="00DD0F7B" w:rsidP="00DD0F7B">
      <w:pPr>
        <w:pStyle w:val="ManualNumPar1"/>
        <w:rPr>
          <w:noProof/>
        </w:rPr>
      </w:pPr>
      <w:r w:rsidRPr="00DD0F7B">
        <w:rPr>
          <w:noProof/>
        </w:rPr>
        <w:t>6.</w:t>
      </w:r>
      <w:r w:rsidRPr="00DD0F7B">
        <w:rPr>
          <w:noProof/>
        </w:rPr>
        <w:tab/>
      </w:r>
      <w:r w:rsidR="00276646">
        <w:rPr>
          <w:noProof/>
        </w:rPr>
        <w:t xml:space="preserve">With effect from 1 July 2030, </w:t>
      </w:r>
      <w:r w:rsidR="00646A80" w:rsidRPr="00F91EC4">
        <w:rPr>
          <w:noProof/>
        </w:rPr>
        <w:t>national authorities shall, in the case of new M</w:t>
      </w:r>
      <w:r w:rsidR="00646A80" w:rsidRPr="00F91EC4">
        <w:rPr>
          <w:noProof/>
          <w:vertAlign w:val="subscript"/>
        </w:rPr>
        <w:t>1</w:t>
      </w:r>
      <w:r w:rsidR="00646A80" w:rsidRPr="00F91EC4">
        <w:rPr>
          <w:noProof/>
        </w:rPr>
        <w:t>, N</w:t>
      </w:r>
      <w:r w:rsidR="00646A80" w:rsidRPr="00F91EC4">
        <w:rPr>
          <w:noProof/>
          <w:vertAlign w:val="subscript"/>
        </w:rPr>
        <w:t>1</w:t>
      </w:r>
      <w:r w:rsidR="00646A80" w:rsidRPr="00F91EC4">
        <w:rPr>
          <w:noProof/>
        </w:rPr>
        <w:t xml:space="preserve"> vehicles </w:t>
      </w:r>
      <w:r w:rsidR="003D5D9E" w:rsidRPr="00F91EC4">
        <w:rPr>
          <w:noProof/>
        </w:rPr>
        <w:t xml:space="preserve">constructed by small volume manufacturers </w:t>
      </w:r>
      <w:r w:rsidR="00646A80" w:rsidRPr="00F91EC4">
        <w:rPr>
          <w:noProof/>
        </w:rPr>
        <w:t xml:space="preserve">which do not comply with this Regulation consider certificates of conformity to be no longer valid for the purposes </w:t>
      </w:r>
      <w:r w:rsidR="005D7839">
        <w:rPr>
          <w:noProof/>
        </w:rPr>
        <w:t xml:space="preserve">of </w:t>
      </w:r>
      <w:r w:rsidR="00646A80" w:rsidRPr="00F91EC4">
        <w:rPr>
          <w:noProof/>
        </w:rPr>
        <w:t xml:space="preserve">registration and shall, on grounds relating to </w:t>
      </w:r>
      <w:r w:rsidR="00963F15">
        <w:rPr>
          <w:noProof/>
        </w:rPr>
        <w:t>CO</w:t>
      </w:r>
      <w:r w:rsidR="00963F15" w:rsidRPr="007E35A9">
        <w:rPr>
          <w:noProof/>
          <w:vertAlign w:val="subscript"/>
        </w:rPr>
        <w:t>2</w:t>
      </w:r>
      <w:r w:rsidR="00963F15">
        <w:rPr>
          <w:noProof/>
        </w:rPr>
        <w:t xml:space="preserve"> and </w:t>
      </w:r>
      <w:r w:rsidR="00646A80" w:rsidRPr="00F91EC4">
        <w:rPr>
          <w:noProof/>
        </w:rPr>
        <w:t>pollutant emissions, fuel and energy consumption</w:t>
      </w:r>
      <w:r w:rsidR="00963F15">
        <w:rPr>
          <w:noProof/>
        </w:rPr>
        <w:t>, energy efficiency</w:t>
      </w:r>
      <w:r w:rsidR="00646A80" w:rsidRPr="00F91EC4">
        <w:rPr>
          <w:noProof/>
        </w:rPr>
        <w:t xml:space="preserve"> or battery durability, prohibit the registration, sale or entry into service of such vehicles.</w:t>
      </w:r>
    </w:p>
    <w:p w14:paraId="3A4672A2" w14:textId="240807A5" w:rsidR="0011534D" w:rsidRPr="00F91EC4" w:rsidRDefault="00DD0F7B" w:rsidP="00DD0F7B">
      <w:pPr>
        <w:pStyle w:val="ManualNumPar1"/>
        <w:rPr>
          <w:noProof/>
        </w:rPr>
      </w:pPr>
      <w:r w:rsidRPr="00DD0F7B">
        <w:rPr>
          <w:noProof/>
        </w:rPr>
        <w:t>7.</w:t>
      </w:r>
      <w:r w:rsidRPr="00DD0F7B">
        <w:rPr>
          <w:noProof/>
        </w:rPr>
        <w:tab/>
      </w:r>
      <w:r w:rsidR="00276646">
        <w:rPr>
          <w:noProof/>
        </w:rPr>
        <w:t>With effect from 1 July 2031</w:t>
      </w:r>
      <w:r w:rsidR="00646A80" w:rsidRPr="00F91EC4">
        <w:rPr>
          <w:noProof/>
        </w:rPr>
        <w:t>, national authorities shall, in the case of new M</w:t>
      </w:r>
      <w:r w:rsidR="00646A80" w:rsidRPr="00F91EC4">
        <w:rPr>
          <w:noProof/>
          <w:vertAlign w:val="subscript"/>
        </w:rPr>
        <w:t>2</w:t>
      </w:r>
      <w:r w:rsidR="00646A80" w:rsidRPr="00F91EC4">
        <w:rPr>
          <w:noProof/>
        </w:rPr>
        <w:t>, M</w:t>
      </w:r>
      <w:r w:rsidR="00646A80" w:rsidRPr="00F91EC4">
        <w:rPr>
          <w:noProof/>
          <w:vertAlign w:val="subscript"/>
        </w:rPr>
        <w:t>3</w:t>
      </w:r>
      <w:r w:rsidR="00646A80" w:rsidRPr="00F91EC4">
        <w:rPr>
          <w:noProof/>
        </w:rPr>
        <w:t>, N</w:t>
      </w:r>
      <w:r w:rsidR="00646A80" w:rsidRPr="00F91EC4">
        <w:rPr>
          <w:noProof/>
          <w:vertAlign w:val="subscript"/>
        </w:rPr>
        <w:t>2</w:t>
      </w:r>
      <w:r w:rsidR="00646A80" w:rsidRPr="00F91EC4">
        <w:rPr>
          <w:noProof/>
        </w:rPr>
        <w:t>, N</w:t>
      </w:r>
      <w:r w:rsidR="00646A80" w:rsidRPr="00F91EC4">
        <w:rPr>
          <w:noProof/>
          <w:vertAlign w:val="subscript"/>
        </w:rPr>
        <w:t>3</w:t>
      </w:r>
      <w:r w:rsidR="00646A80" w:rsidRPr="00F91EC4">
        <w:rPr>
          <w:noProof/>
        </w:rPr>
        <w:t xml:space="preserve"> vehicles </w:t>
      </w:r>
      <w:r w:rsidR="003D5D9E" w:rsidRPr="00F91EC4">
        <w:rPr>
          <w:noProof/>
        </w:rPr>
        <w:t>constructed by small volume manufacturers</w:t>
      </w:r>
      <w:r w:rsidR="00646A80" w:rsidRPr="00F91EC4">
        <w:rPr>
          <w:noProof/>
        </w:rPr>
        <w:t xml:space="preserve">, which do not comply with this Regulation consider certificates of conformity to be no longer valid for the purposes </w:t>
      </w:r>
      <w:r w:rsidR="005D7839">
        <w:rPr>
          <w:noProof/>
        </w:rPr>
        <w:t xml:space="preserve">of </w:t>
      </w:r>
      <w:r w:rsidR="00646A80" w:rsidRPr="00F91EC4">
        <w:rPr>
          <w:noProof/>
        </w:rPr>
        <w:t xml:space="preserve">registration and shall, on grounds relating to </w:t>
      </w:r>
      <w:r w:rsidR="00963F15">
        <w:rPr>
          <w:noProof/>
        </w:rPr>
        <w:t>CO</w:t>
      </w:r>
      <w:r w:rsidR="00963F15" w:rsidRPr="007E35A9">
        <w:rPr>
          <w:noProof/>
          <w:vertAlign w:val="subscript"/>
        </w:rPr>
        <w:t>2</w:t>
      </w:r>
      <w:r w:rsidR="00963F15">
        <w:rPr>
          <w:noProof/>
        </w:rPr>
        <w:t xml:space="preserve"> and </w:t>
      </w:r>
      <w:r w:rsidR="00646A80" w:rsidRPr="00F91EC4">
        <w:rPr>
          <w:noProof/>
        </w:rPr>
        <w:t>pollutant emissions, fuel and energy consumption</w:t>
      </w:r>
      <w:r w:rsidR="00963F15">
        <w:rPr>
          <w:noProof/>
        </w:rPr>
        <w:t>, energy efficiency</w:t>
      </w:r>
      <w:r w:rsidR="00646A80" w:rsidRPr="00F91EC4">
        <w:rPr>
          <w:noProof/>
        </w:rPr>
        <w:t xml:space="preserve"> or battery durability, prohibit the registration, sale or entry into service of such vehicles. </w:t>
      </w:r>
    </w:p>
    <w:p w14:paraId="3BA873D7" w14:textId="68E7E9FA" w:rsidR="00715EB7" w:rsidRPr="00F91EC4" w:rsidRDefault="00DD0F7B" w:rsidP="00DD0F7B">
      <w:pPr>
        <w:pStyle w:val="ManualNumPar1"/>
        <w:rPr>
          <w:noProof/>
        </w:rPr>
      </w:pPr>
      <w:r w:rsidRPr="00DD0F7B">
        <w:rPr>
          <w:noProof/>
        </w:rPr>
        <w:t>8.</w:t>
      </w:r>
      <w:r w:rsidRPr="00DD0F7B">
        <w:rPr>
          <w:noProof/>
        </w:rPr>
        <w:tab/>
      </w:r>
      <w:r w:rsidR="00715EB7" w:rsidRPr="00F91EC4">
        <w:rPr>
          <w:noProof/>
        </w:rPr>
        <w:t xml:space="preserve">The Commission shall adopt implementing acts laying down </w:t>
      </w:r>
      <w:r w:rsidR="00DE7523" w:rsidRPr="00F91EC4">
        <w:rPr>
          <w:noProof/>
        </w:rPr>
        <w:t xml:space="preserve">the administrative and </w:t>
      </w:r>
      <w:r w:rsidR="003D5D9E" w:rsidRPr="00F91EC4">
        <w:rPr>
          <w:noProof/>
        </w:rPr>
        <w:t xml:space="preserve">technical elements required for performing tests, checks and inspections for the purposes of </w:t>
      </w:r>
      <w:r w:rsidR="0011513F">
        <w:rPr>
          <w:noProof/>
        </w:rPr>
        <w:t>verifying</w:t>
      </w:r>
      <w:r w:rsidR="0011513F" w:rsidRPr="00F91EC4">
        <w:rPr>
          <w:noProof/>
        </w:rPr>
        <w:t xml:space="preserve"> </w:t>
      </w:r>
      <w:r w:rsidR="003D5D9E" w:rsidRPr="00F91EC4">
        <w:rPr>
          <w:noProof/>
        </w:rPr>
        <w:t xml:space="preserve">compliance with paragraph 1, as well as the technical elements required for </w:t>
      </w:r>
      <w:r w:rsidR="00715EB7" w:rsidRPr="00F91EC4">
        <w:rPr>
          <w:noProof/>
        </w:rPr>
        <w:t>market surveillance check</w:t>
      </w:r>
      <w:r w:rsidR="005955D5" w:rsidRPr="00F91EC4">
        <w:rPr>
          <w:noProof/>
        </w:rPr>
        <w:t>s</w:t>
      </w:r>
      <w:r w:rsidR="00715EB7" w:rsidRPr="00F91EC4">
        <w:rPr>
          <w:noProof/>
        </w:rPr>
        <w:t xml:space="preserve"> under paragraph</w:t>
      </w:r>
      <w:r w:rsidR="00715EB7" w:rsidRPr="00F91EC4">
        <w:rPr>
          <w:noProof/>
          <w:color w:val="000000" w:themeColor="text1"/>
        </w:rPr>
        <w:t xml:space="preserve"> 2.</w:t>
      </w:r>
      <w:r w:rsidR="00715EB7" w:rsidRPr="00F91EC4">
        <w:rPr>
          <w:noProof/>
        </w:rPr>
        <w:t xml:space="preserve"> Those implementing acts shall be adopted in accordance with the examination procedure referred to in Article 17(2).</w:t>
      </w:r>
    </w:p>
    <w:p w14:paraId="4870C16B" w14:textId="77777777" w:rsidR="002D5D3A" w:rsidRPr="00F91EC4" w:rsidRDefault="002D5D3A" w:rsidP="002D5D3A">
      <w:pPr>
        <w:pStyle w:val="Titrearticle"/>
        <w:rPr>
          <w:noProof/>
          <w:color w:val="000000" w:themeColor="text1"/>
        </w:rPr>
      </w:pPr>
      <w:r w:rsidRPr="00F91EC4">
        <w:rPr>
          <w:noProof/>
          <w:color w:val="000000" w:themeColor="text1"/>
        </w:rPr>
        <w:t xml:space="preserve">Article </w:t>
      </w:r>
      <w:r w:rsidR="007248FF" w:rsidRPr="00F91EC4">
        <w:rPr>
          <w:noProof/>
          <w:color w:val="000000" w:themeColor="text1"/>
        </w:rPr>
        <w:t>11</w:t>
      </w:r>
      <w:r w:rsidRPr="00F91EC4">
        <w:rPr>
          <w:noProof/>
          <w:color w:val="000000" w:themeColor="text1"/>
        </w:rPr>
        <w:br/>
      </w:r>
      <w:r w:rsidR="00950152" w:rsidRPr="00F91EC4">
        <w:rPr>
          <w:b/>
          <w:i w:val="0"/>
          <w:noProof/>
          <w:color w:val="000000" w:themeColor="text1"/>
        </w:rPr>
        <w:t>Specific o</w:t>
      </w:r>
      <w:r w:rsidRPr="00F91EC4">
        <w:rPr>
          <w:b/>
          <w:i w:val="0"/>
          <w:noProof/>
          <w:color w:val="000000" w:themeColor="text1"/>
        </w:rPr>
        <w:t xml:space="preserve">bligations </w:t>
      </w:r>
      <w:r w:rsidR="00F72810" w:rsidRPr="00F91EC4">
        <w:rPr>
          <w:b/>
          <w:i w:val="0"/>
          <w:noProof/>
          <w:color w:val="000000" w:themeColor="text1"/>
        </w:rPr>
        <w:t xml:space="preserve">of Member States concerning </w:t>
      </w:r>
      <w:r w:rsidR="00950152" w:rsidRPr="00F91EC4">
        <w:rPr>
          <w:b/>
          <w:i w:val="0"/>
          <w:noProof/>
          <w:color w:val="000000" w:themeColor="text1"/>
        </w:rPr>
        <w:t xml:space="preserve">the </w:t>
      </w:r>
      <w:r w:rsidR="000D13FB" w:rsidRPr="00F91EC4">
        <w:rPr>
          <w:b/>
          <w:i w:val="0"/>
          <w:noProof/>
          <w:color w:val="000000" w:themeColor="text1"/>
        </w:rPr>
        <w:t xml:space="preserve">emission </w:t>
      </w:r>
      <w:r w:rsidR="00976BDB" w:rsidRPr="00F91EC4">
        <w:rPr>
          <w:b/>
          <w:i w:val="0"/>
          <w:noProof/>
          <w:color w:val="000000" w:themeColor="text1"/>
        </w:rPr>
        <w:t>type-approval</w:t>
      </w:r>
      <w:r w:rsidR="00F72810" w:rsidRPr="00F91EC4">
        <w:rPr>
          <w:b/>
          <w:i w:val="0"/>
          <w:noProof/>
          <w:color w:val="000000" w:themeColor="text1"/>
        </w:rPr>
        <w:t xml:space="preserve"> of </w:t>
      </w:r>
      <w:r w:rsidR="001E5C40" w:rsidRPr="00F91EC4">
        <w:rPr>
          <w:b/>
          <w:i w:val="0"/>
          <w:noProof/>
          <w:color w:val="000000" w:themeColor="text1"/>
        </w:rPr>
        <w:t>systems, components</w:t>
      </w:r>
      <w:r w:rsidR="00DD61F3" w:rsidRPr="00F91EC4">
        <w:rPr>
          <w:b/>
          <w:i w:val="0"/>
          <w:noProof/>
          <w:color w:val="000000" w:themeColor="text1"/>
        </w:rPr>
        <w:t xml:space="preserve"> and</w:t>
      </w:r>
      <w:r w:rsidR="001E5C40" w:rsidRPr="00F91EC4">
        <w:rPr>
          <w:b/>
          <w:i w:val="0"/>
          <w:noProof/>
          <w:color w:val="000000" w:themeColor="text1"/>
        </w:rPr>
        <w:t xml:space="preserve"> separate technical units</w:t>
      </w:r>
      <w:r w:rsidR="00B549AF" w:rsidRPr="00F91EC4">
        <w:rPr>
          <w:b/>
          <w:i w:val="0"/>
          <w:noProof/>
          <w:color w:val="000000" w:themeColor="text1"/>
        </w:rPr>
        <w:t xml:space="preserve"> </w:t>
      </w:r>
    </w:p>
    <w:p w14:paraId="28B8F632" w14:textId="745B2D5B" w:rsidR="00F72810" w:rsidRPr="00F91EC4" w:rsidRDefault="00DD0F7B" w:rsidP="00DD0F7B">
      <w:pPr>
        <w:pStyle w:val="ManualNumPar1"/>
        <w:rPr>
          <w:noProof/>
        </w:rPr>
      </w:pPr>
      <w:r w:rsidRPr="00DD0F7B">
        <w:rPr>
          <w:noProof/>
        </w:rPr>
        <w:t>1.</w:t>
      </w:r>
      <w:r w:rsidRPr="00DD0F7B">
        <w:rPr>
          <w:noProof/>
        </w:rPr>
        <w:tab/>
      </w:r>
      <w:r w:rsidR="001E5C40" w:rsidRPr="00F91EC4">
        <w:rPr>
          <w:noProof/>
        </w:rPr>
        <w:t>With effect from 1 July 202</w:t>
      </w:r>
      <w:r w:rsidR="00276646">
        <w:rPr>
          <w:noProof/>
        </w:rPr>
        <w:t>5</w:t>
      </w:r>
      <w:r w:rsidR="001E5C40" w:rsidRPr="00F91EC4">
        <w:rPr>
          <w:noProof/>
        </w:rPr>
        <w:t>, t</w:t>
      </w:r>
      <w:r w:rsidR="00F72810" w:rsidRPr="00F91EC4">
        <w:rPr>
          <w:noProof/>
        </w:rPr>
        <w:t>he sale or installation</w:t>
      </w:r>
      <w:r w:rsidR="00B549AF" w:rsidRPr="00F91EC4">
        <w:rPr>
          <w:noProof/>
        </w:rPr>
        <w:t xml:space="preserve"> of a system, component or separate technical</w:t>
      </w:r>
      <w:r w:rsidR="00F72810" w:rsidRPr="00F91EC4">
        <w:rPr>
          <w:noProof/>
        </w:rPr>
        <w:t xml:space="preserve"> </w:t>
      </w:r>
      <w:r w:rsidR="00B549AF" w:rsidRPr="00F91EC4">
        <w:rPr>
          <w:noProof/>
        </w:rPr>
        <w:t xml:space="preserve">unit </w:t>
      </w:r>
      <w:r w:rsidR="00F72810" w:rsidRPr="00F91EC4">
        <w:rPr>
          <w:noProof/>
        </w:rPr>
        <w:t xml:space="preserve">intended to be fitted on </w:t>
      </w:r>
      <w:r w:rsidR="00B549AF" w:rsidRPr="00F91EC4">
        <w:rPr>
          <w:noProof/>
        </w:rPr>
        <w:t>an M</w:t>
      </w:r>
      <w:r w:rsidR="00B549AF" w:rsidRPr="00F91EC4">
        <w:rPr>
          <w:noProof/>
          <w:vertAlign w:val="subscript"/>
        </w:rPr>
        <w:t>1</w:t>
      </w:r>
      <w:r w:rsidR="00B549AF" w:rsidRPr="00F91EC4">
        <w:rPr>
          <w:noProof/>
        </w:rPr>
        <w:t>, N</w:t>
      </w:r>
      <w:r w:rsidR="00B549AF" w:rsidRPr="00F91EC4">
        <w:rPr>
          <w:noProof/>
          <w:vertAlign w:val="subscript"/>
        </w:rPr>
        <w:t>1</w:t>
      </w:r>
      <w:r w:rsidR="001E5C40" w:rsidRPr="00F91EC4">
        <w:rPr>
          <w:noProof/>
        </w:rPr>
        <w:t xml:space="preserve"> </w:t>
      </w:r>
      <w:r w:rsidR="00F72810" w:rsidRPr="00F91EC4">
        <w:rPr>
          <w:noProof/>
        </w:rPr>
        <w:t>vehicle approved under this Regulation</w:t>
      </w:r>
      <w:r w:rsidR="00B549AF" w:rsidRPr="00F91EC4">
        <w:rPr>
          <w:noProof/>
        </w:rPr>
        <w:t>,</w:t>
      </w:r>
      <w:r w:rsidR="00F72810" w:rsidRPr="00F91EC4">
        <w:rPr>
          <w:noProof/>
        </w:rPr>
        <w:t xml:space="preserve"> shall be prohibited if </w:t>
      </w:r>
      <w:r w:rsidR="002C10E2" w:rsidRPr="00F91EC4">
        <w:rPr>
          <w:noProof/>
        </w:rPr>
        <w:t xml:space="preserve">the </w:t>
      </w:r>
      <w:r w:rsidR="00B549AF" w:rsidRPr="00F91EC4">
        <w:rPr>
          <w:noProof/>
        </w:rPr>
        <w:t xml:space="preserve">system, component </w:t>
      </w:r>
      <w:r w:rsidR="00DD61F3" w:rsidRPr="00F91EC4">
        <w:rPr>
          <w:noProof/>
        </w:rPr>
        <w:t>and</w:t>
      </w:r>
      <w:r w:rsidR="00B549AF" w:rsidRPr="00F91EC4">
        <w:rPr>
          <w:noProof/>
        </w:rPr>
        <w:t xml:space="preserve"> separate technical unit</w:t>
      </w:r>
      <w:r w:rsidR="00B549AF" w:rsidRPr="00F91EC4" w:rsidDel="00B549AF">
        <w:rPr>
          <w:noProof/>
        </w:rPr>
        <w:t xml:space="preserve"> </w:t>
      </w:r>
      <w:r w:rsidR="00B549AF" w:rsidRPr="00F91EC4">
        <w:rPr>
          <w:noProof/>
        </w:rPr>
        <w:t xml:space="preserve">is </w:t>
      </w:r>
      <w:r w:rsidR="00F72810" w:rsidRPr="00F91EC4">
        <w:rPr>
          <w:noProof/>
        </w:rPr>
        <w:t xml:space="preserve">not of </w:t>
      </w:r>
      <w:r w:rsidR="00ED7481" w:rsidRPr="00F91EC4">
        <w:rPr>
          <w:noProof/>
        </w:rPr>
        <w:t>type approved</w:t>
      </w:r>
      <w:r w:rsidR="00F72810" w:rsidRPr="00F91EC4">
        <w:rPr>
          <w:noProof/>
        </w:rPr>
        <w:t xml:space="preserve"> in compliance with this Regulation.</w:t>
      </w:r>
    </w:p>
    <w:p w14:paraId="5AC9AB36" w14:textId="11D6B144" w:rsidR="00DD61F3" w:rsidRPr="00F91EC4" w:rsidRDefault="00DD0F7B" w:rsidP="00DD0F7B">
      <w:pPr>
        <w:pStyle w:val="ManualNumPar1"/>
        <w:rPr>
          <w:noProof/>
        </w:rPr>
      </w:pPr>
      <w:r w:rsidRPr="00DD0F7B">
        <w:rPr>
          <w:noProof/>
        </w:rPr>
        <w:t>2.</w:t>
      </w:r>
      <w:r w:rsidRPr="00DD0F7B">
        <w:rPr>
          <w:noProof/>
        </w:rPr>
        <w:tab/>
      </w:r>
      <w:r w:rsidR="00DD61F3" w:rsidRPr="00F91EC4">
        <w:rPr>
          <w:noProof/>
        </w:rPr>
        <w:t xml:space="preserve">With effect from 1 </w:t>
      </w:r>
      <w:r w:rsidR="0038705B">
        <w:rPr>
          <w:noProof/>
        </w:rPr>
        <w:t>July</w:t>
      </w:r>
      <w:r w:rsidR="0038705B" w:rsidRPr="00F91EC4">
        <w:rPr>
          <w:noProof/>
        </w:rPr>
        <w:t xml:space="preserve"> </w:t>
      </w:r>
      <w:r w:rsidR="005D7839" w:rsidRPr="00F91EC4">
        <w:rPr>
          <w:noProof/>
        </w:rPr>
        <w:t>202</w:t>
      </w:r>
      <w:r w:rsidR="005D7839">
        <w:rPr>
          <w:noProof/>
        </w:rPr>
        <w:t>7</w:t>
      </w:r>
      <w:r w:rsidR="00DD61F3" w:rsidRPr="00F91EC4">
        <w:rPr>
          <w:noProof/>
        </w:rPr>
        <w:t>, the sale or installation of a system, component or separate technical unit intended to be fitted on an M</w:t>
      </w:r>
      <w:r w:rsidR="00DD61F3" w:rsidRPr="00F91EC4">
        <w:rPr>
          <w:noProof/>
          <w:vertAlign w:val="subscript"/>
        </w:rPr>
        <w:t>2</w:t>
      </w:r>
      <w:r w:rsidR="00DD61F3" w:rsidRPr="00F91EC4">
        <w:rPr>
          <w:noProof/>
        </w:rPr>
        <w:t>, M</w:t>
      </w:r>
      <w:r w:rsidR="00DD61F3" w:rsidRPr="00F91EC4">
        <w:rPr>
          <w:noProof/>
          <w:vertAlign w:val="subscript"/>
        </w:rPr>
        <w:t>3</w:t>
      </w:r>
      <w:r w:rsidR="00DD61F3" w:rsidRPr="00F91EC4">
        <w:rPr>
          <w:noProof/>
        </w:rPr>
        <w:t>, N</w:t>
      </w:r>
      <w:r w:rsidR="00DD61F3" w:rsidRPr="00F91EC4">
        <w:rPr>
          <w:noProof/>
          <w:vertAlign w:val="subscript"/>
        </w:rPr>
        <w:t>2</w:t>
      </w:r>
      <w:r w:rsidR="00DD61F3" w:rsidRPr="00F91EC4">
        <w:rPr>
          <w:noProof/>
        </w:rPr>
        <w:t>, N</w:t>
      </w:r>
      <w:r w:rsidR="00DD61F3" w:rsidRPr="00F91EC4">
        <w:rPr>
          <w:noProof/>
          <w:vertAlign w:val="subscript"/>
        </w:rPr>
        <w:t>3</w:t>
      </w:r>
      <w:r w:rsidR="00DD61F3" w:rsidRPr="00F91EC4">
        <w:rPr>
          <w:noProof/>
        </w:rPr>
        <w:t xml:space="preserve"> vehicle approved under this Regulation, shall be prohibited if the system, component and separate technical unit</w:t>
      </w:r>
      <w:r w:rsidR="00DD61F3" w:rsidRPr="00F91EC4" w:rsidDel="00B549AF">
        <w:rPr>
          <w:noProof/>
        </w:rPr>
        <w:t xml:space="preserve"> </w:t>
      </w:r>
      <w:r w:rsidR="00DD61F3" w:rsidRPr="00F91EC4">
        <w:rPr>
          <w:noProof/>
        </w:rPr>
        <w:t>is not type approved in compliance with this Regulation.</w:t>
      </w:r>
    </w:p>
    <w:p w14:paraId="05BA28A9" w14:textId="3F8FFC81" w:rsidR="00F72810" w:rsidRPr="00F91EC4" w:rsidRDefault="00DD0F7B" w:rsidP="00DD0F7B">
      <w:pPr>
        <w:pStyle w:val="ManualNumPar1"/>
        <w:rPr>
          <w:noProof/>
        </w:rPr>
      </w:pPr>
      <w:r w:rsidRPr="00DD0F7B">
        <w:rPr>
          <w:noProof/>
        </w:rPr>
        <w:t>3.</w:t>
      </w:r>
      <w:r w:rsidRPr="00DD0F7B">
        <w:rPr>
          <w:noProof/>
        </w:rPr>
        <w:tab/>
      </w:r>
      <w:r w:rsidR="00F72810" w:rsidRPr="00F91EC4">
        <w:rPr>
          <w:noProof/>
        </w:rPr>
        <w:t>National</w:t>
      </w:r>
      <w:r w:rsidR="00F41F4F" w:rsidRPr="00F91EC4">
        <w:rPr>
          <w:noProof/>
        </w:rPr>
        <w:t xml:space="preserve"> approval</w:t>
      </w:r>
      <w:r w:rsidR="00F72810" w:rsidRPr="00F91EC4">
        <w:rPr>
          <w:noProof/>
        </w:rPr>
        <w:t xml:space="preserve"> authorities may continue to grant extensions</w:t>
      </w:r>
      <w:r w:rsidR="00950152" w:rsidRPr="00F91EC4">
        <w:rPr>
          <w:noProof/>
        </w:rPr>
        <w:t xml:space="preserve">, </w:t>
      </w:r>
      <w:r w:rsidR="00F72810" w:rsidRPr="00F91EC4">
        <w:rPr>
          <w:noProof/>
        </w:rPr>
        <w:t>to E</w:t>
      </w:r>
      <w:r w:rsidR="001656B6" w:rsidRPr="00F91EC4">
        <w:rPr>
          <w:noProof/>
        </w:rPr>
        <w:t>U</w:t>
      </w:r>
      <w:r w:rsidR="00F72810" w:rsidRPr="00F91EC4">
        <w:rPr>
          <w:noProof/>
        </w:rPr>
        <w:t xml:space="preserve"> </w:t>
      </w:r>
      <w:r w:rsidR="00963F15">
        <w:rPr>
          <w:noProof/>
        </w:rPr>
        <w:t xml:space="preserve">emission </w:t>
      </w:r>
      <w:r w:rsidR="00976BDB" w:rsidRPr="00F91EC4">
        <w:rPr>
          <w:noProof/>
        </w:rPr>
        <w:t>type-approval</w:t>
      </w:r>
      <w:r w:rsidR="00F72810" w:rsidRPr="00F91EC4">
        <w:rPr>
          <w:noProof/>
        </w:rPr>
        <w:t>s</w:t>
      </w:r>
      <w:r w:rsidR="00950152" w:rsidRPr="00F91EC4">
        <w:rPr>
          <w:noProof/>
        </w:rPr>
        <w:t xml:space="preserve"> of replacement pollution control systems granted before this regulation </w:t>
      </w:r>
      <w:r w:rsidR="00CD5B0E" w:rsidRPr="00F91EC4">
        <w:rPr>
          <w:noProof/>
        </w:rPr>
        <w:t>applies</w:t>
      </w:r>
      <w:r w:rsidR="00F72810" w:rsidRPr="00F91EC4">
        <w:rPr>
          <w:noProof/>
        </w:rPr>
        <w:t xml:space="preserve"> under the terms which applied</w:t>
      </w:r>
      <w:r w:rsidR="00391B91" w:rsidRPr="00F91EC4">
        <w:rPr>
          <w:noProof/>
        </w:rPr>
        <w:t xml:space="preserve"> at the time of the initial </w:t>
      </w:r>
      <w:r w:rsidR="00963F15">
        <w:rPr>
          <w:noProof/>
        </w:rPr>
        <w:t xml:space="preserve">emission </w:t>
      </w:r>
      <w:r w:rsidR="00976BDB" w:rsidRPr="00F91EC4">
        <w:rPr>
          <w:noProof/>
        </w:rPr>
        <w:t>type-approval</w:t>
      </w:r>
      <w:r w:rsidR="00F72810" w:rsidRPr="00F91EC4">
        <w:rPr>
          <w:noProof/>
        </w:rPr>
        <w:t xml:space="preserve">. National authorities shall prohibit the sale or installation on a vehicle of such replacement pollution control </w:t>
      </w:r>
      <w:r w:rsidR="00046CCD" w:rsidRPr="00F91EC4">
        <w:rPr>
          <w:noProof/>
        </w:rPr>
        <w:t xml:space="preserve">systems </w:t>
      </w:r>
      <w:r w:rsidR="00F72810" w:rsidRPr="00F91EC4">
        <w:rPr>
          <w:noProof/>
        </w:rPr>
        <w:t xml:space="preserve">unless they are </w:t>
      </w:r>
      <w:r w:rsidR="001656B6" w:rsidRPr="00F91EC4">
        <w:rPr>
          <w:noProof/>
        </w:rPr>
        <w:t>type approved</w:t>
      </w:r>
      <w:r w:rsidR="00F72810" w:rsidRPr="00F91EC4">
        <w:rPr>
          <w:noProof/>
        </w:rPr>
        <w:t>.</w:t>
      </w:r>
    </w:p>
    <w:p w14:paraId="51B6A067" w14:textId="77777777" w:rsidR="000302F5" w:rsidRPr="00F91EC4" w:rsidRDefault="004F1A31">
      <w:pPr>
        <w:pStyle w:val="Titrearticle"/>
        <w:rPr>
          <w:noProof/>
          <w:color w:val="000000" w:themeColor="text1"/>
        </w:rPr>
      </w:pPr>
      <w:r w:rsidRPr="00F91EC4">
        <w:rPr>
          <w:noProof/>
          <w:color w:val="000000" w:themeColor="text1"/>
        </w:rPr>
        <w:t>Article 12</w:t>
      </w:r>
    </w:p>
    <w:p w14:paraId="6634746B" w14:textId="77777777" w:rsidR="005E0F8D" w:rsidRPr="00F91EC4" w:rsidRDefault="00980BDF">
      <w:pPr>
        <w:pStyle w:val="Titrearticle"/>
        <w:rPr>
          <w:noProof/>
          <w:color w:val="000000" w:themeColor="text1"/>
        </w:rPr>
      </w:pPr>
      <w:r w:rsidRPr="00F91EC4">
        <w:rPr>
          <w:b/>
          <w:i w:val="0"/>
          <w:noProof/>
          <w:color w:val="000000" w:themeColor="text1"/>
        </w:rPr>
        <w:t>C</w:t>
      </w:r>
      <w:r w:rsidR="00C87916" w:rsidRPr="00F91EC4">
        <w:rPr>
          <w:b/>
          <w:i w:val="0"/>
          <w:noProof/>
          <w:color w:val="000000" w:themeColor="text1"/>
        </w:rPr>
        <w:t xml:space="preserve">orrect operation of </w:t>
      </w:r>
      <w:r w:rsidR="005E0F8D" w:rsidRPr="00F91EC4">
        <w:rPr>
          <w:b/>
          <w:i w:val="0"/>
          <w:noProof/>
          <w:color w:val="000000" w:themeColor="text1"/>
        </w:rPr>
        <w:t xml:space="preserve">systems using a consumable reagent </w:t>
      </w:r>
      <w:r w:rsidR="00C87916" w:rsidRPr="00F91EC4">
        <w:rPr>
          <w:b/>
          <w:i w:val="0"/>
          <w:noProof/>
          <w:color w:val="000000" w:themeColor="text1"/>
        </w:rPr>
        <w:t>and pollution control systems</w:t>
      </w:r>
      <w:r w:rsidR="005E0F8D" w:rsidRPr="00F91EC4">
        <w:rPr>
          <w:b/>
          <w:i w:val="0"/>
          <w:noProof/>
          <w:color w:val="000000" w:themeColor="text1"/>
        </w:rPr>
        <w:t xml:space="preserve"> </w:t>
      </w:r>
    </w:p>
    <w:p w14:paraId="05632762" w14:textId="660DEED3" w:rsidR="00980BDF" w:rsidRPr="00F91EC4" w:rsidRDefault="00DD0F7B" w:rsidP="00DD0F7B">
      <w:pPr>
        <w:pStyle w:val="ManualNumPar1"/>
        <w:rPr>
          <w:noProof/>
        </w:rPr>
      </w:pPr>
      <w:r w:rsidRPr="00DD0F7B">
        <w:rPr>
          <w:noProof/>
        </w:rPr>
        <w:t>1.</w:t>
      </w:r>
      <w:r w:rsidRPr="00DD0F7B">
        <w:rPr>
          <w:noProof/>
        </w:rPr>
        <w:tab/>
      </w:r>
      <w:r w:rsidR="00980BDF" w:rsidRPr="00F91EC4">
        <w:rPr>
          <w:noProof/>
        </w:rPr>
        <w:t xml:space="preserve">Economic operators and </w:t>
      </w:r>
      <w:r w:rsidR="00B77906" w:rsidRPr="00F91EC4">
        <w:rPr>
          <w:noProof/>
        </w:rPr>
        <w:t>independent operators</w:t>
      </w:r>
      <w:r w:rsidR="00980BDF" w:rsidRPr="00F91EC4">
        <w:rPr>
          <w:noProof/>
        </w:rPr>
        <w:t xml:space="preserve"> sha</w:t>
      </w:r>
      <w:r w:rsidR="00F91EC4" w:rsidRPr="00F91EC4">
        <w:rPr>
          <w:noProof/>
        </w:rPr>
        <w:t>ll not tamper with the vehicle and its systems</w:t>
      </w:r>
      <w:r w:rsidR="00980BDF" w:rsidRPr="00F91EC4">
        <w:rPr>
          <w:noProof/>
        </w:rPr>
        <w:t xml:space="preserve">. </w:t>
      </w:r>
    </w:p>
    <w:p w14:paraId="47EA8D67" w14:textId="0521357F" w:rsidR="00980BDF" w:rsidRPr="00F91EC4" w:rsidRDefault="00DD0F7B" w:rsidP="00DD0F7B">
      <w:pPr>
        <w:pStyle w:val="ManualNumPar1"/>
        <w:rPr>
          <w:noProof/>
        </w:rPr>
      </w:pPr>
      <w:r w:rsidRPr="00DD0F7B">
        <w:rPr>
          <w:noProof/>
        </w:rPr>
        <w:t>2.</w:t>
      </w:r>
      <w:r w:rsidRPr="00DD0F7B">
        <w:rPr>
          <w:noProof/>
        </w:rPr>
        <w:tab/>
      </w:r>
      <w:r w:rsidR="001262E3" w:rsidRPr="00F91EC4">
        <w:rPr>
          <w:noProof/>
        </w:rPr>
        <w:t xml:space="preserve">National authorities </w:t>
      </w:r>
      <w:r w:rsidR="00863B73" w:rsidRPr="00F91EC4">
        <w:rPr>
          <w:noProof/>
        </w:rPr>
        <w:t>shall</w:t>
      </w:r>
      <w:r w:rsidR="00980BDF" w:rsidRPr="00F91EC4">
        <w:rPr>
          <w:noProof/>
        </w:rPr>
        <w:t xml:space="preserve">, during in-service conformity or market surveillance checks, verify whether manufacturers of vehicles have correctly installed </w:t>
      </w:r>
      <w:r w:rsidR="00523F94" w:rsidRPr="00F91EC4">
        <w:rPr>
          <w:noProof/>
        </w:rPr>
        <w:t>excess e</w:t>
      </w:r>
      <w:r w:rsidR="00F91EC4" w:rsidRPr="00F91EC4">
        <w:rPr>
          <w:noProof/>
        </w:rPr>
        <w:t xml:space="preserve">missions driver warning systems, </w:t>
      </w:r>
      <w:r w:rsidR="00523F94" w:rsidRPr="00F91EC4">
        <w:rPr>
          <w:noProof/>
        </w:rPr>
        <w:t>low-reagent driver warning systems</w:t>
      </w:r>
      <w:r w:rsidR="00F91EC4" w:rsidRPr="00F91EC4">
        <w:rPr>
          <w:noProof/>
        </w:rPr>
        <w:t xml:space="preserve"> and whether vehicles can be tampered. </w:t>
      </w:r>
    </w:p>
    <w:p w14:paraId="0C3F881B" w14:textId="77777777" w:rsidR="0011513F" w:rsidRDefault="001A3618" w:rsidP="00481CFE">
      <w:pPr>
        <w:pStyle w:val="ChapterTitle"/>
        <w:rPr>
          <w:noProof/>
          <w:color w:val="000000" w:themeColor="text1"/>
        </w:rPr>
      </w:pPr>
      <w:r w:rsidRPr="00F91EC4">
        <w:rPr>
          <w:noProof/>
          <w:color w:val="000000" w:themeColor="text1"/>
        </w:rPr>
        <w:t>Chapter IV</w:t>
      </w:r>
    </w:p>
    <w:p w14:paraId="7C55258F" w14:textId="77777777" w:rsidR="00A87365" w:rsidRPr="00F91EC4" w:rsidRDefault="00A87365" w:rsidP="00481CFE">
      <w:pPr>
        <w:pStyle w:val="ChapterTitle"/>
        <w:rPr>
          <w:noProof/>
          <w:color w:val="000000" w:themeColor="text1"/>
        </w:rPr>
      </w:pPr>
      <w:r w:rsidRPr="00F91EC4">
        <w:rPr>
          <w:noProof/>
          <w:color w:val="000000" w:themeColor="text1"/>
        </w:rPr>
        <w:t>Role of the Commission and third parties</w:t>
      </w:r>
      <w:r w:rsidR="00D44444" w:rsidRPr="00F91EC4">
        <w:rPr>
          <w:noProof/>
          <w:color w:val="000000" w:themeColor="text1"/>
        </w:rPr>
        <w:t xml:space="preserve"> for in-service conformity and market surveillance</w:t>
      </w:r>
    </w:p>
    <w:p w14:paraId="698ED02A" w14:textId="77777777" w:rsidR="00D44444" w:rsidRPr="00F91EC4" w:rsidRDefault="00D44444" w:rsidP="00413217">
      <w:pPr>
        <w:pStyle w:val="Titrearticle"/>
        <w:rPr>
          <w:noProof/>
        </w:rPr>
      </w:pPr>
      <w:r w:rsidRPr="00F91EC4">
        <w:rPr>
          <w:noProof/>
          <w:color w:val="000000" w:themeColor="text1"/>
        </w:rPr>
        <w:t>Article 13</w:t>
      </w:r>
      <w:r w:rsidRPr="00F91EC4">
        <w:rPr>
          <w:noProof/>
          <w:color w:val="000000" w:themeColor="text1"/>
        </w:rPr>
        <w:br/>
      </w:r>
      <w:r w:rsidRPr="00F91EC4">
        <w:rPr>
          <w:b/>
          <w:i w:val="0"/>
          <w:noProof/>
          <w:color w:val="000000" w:themeColor="text1"/>
        </w:rPr>
        <w:t>Application of test requirements for Commission and third parties</w:t>
      </w:r>
    </w:p>
    <w:p w14:paraId="26D4C6C8" w14:textId="7E184BCF" w:rsidR="00A87365" w:rsidRPr="00F91EC4" w:rsidRDefault="00DD0F7B" w:rsidP="00DD0F7B">
      <w:pPr>
        <w:pStyle w:val="ManualNumPar1"/>
        <w:rPr>
          <w:noProof/>
        </w:rPr>
      </w:pPr>
      <w:r w:rsidRPr="00DD0F7B">
        <w:rPr>
          <w:noProof/>
        </w:rPr>
        <w:t>1.</w:t>
      </w:r>
      <w:r w:rsidRPr="00DD0F7B">
        <w:rPr>
          <w:noProof/>
        </w:rPr>
        <w:tab/>
      </w:r>
      <w:r w:rsidR="00A87365" w:rsidRPr="00F91EC4">
        <w:rPr>
          <w:noProof/>
        </w:rPr>
        <w:t xml:space="preserve">The Commission </w:t>
      </w:r>
      <w:r w:rsidR="005D7839">
        <w:rPr>
          <w:noProof/>
        </w:rPr>
        <w:t>or</w:t>
      </w:r>
      <w:r w:rsidR="005D7839" w:rsidRPr="00F91EC4">
        <w:rPr>
          <w:noProof/>
        </w:rPr>
        <w:t xml:space="preserve"> </w:t>
      </w:r>
      <w:r w:rsidR="00EB4EF9" w:rsidRPr="00F91EC4">
        <w:rPr>
          <w:noProof/>
        </w:rPr>
        <w:t>third parties</w:t>
      </w:r>
      <w:r w:rsidR="00181F32" w:rsidRPr="00F91EC4">
        <w:rPr>
          <w:noProof/>
        </w:rPr>
        <w:t xml:space="preserve">, in accordance with Article </w:t>
      </w:r>
      <w:r w:rsidR="00635416" w:rsidRPr="00F91EC4">
        <w:rPr>
          <w:noProof/>
        </w:rPr>
        <w:t xml:space="preserve">9 </w:t>
      </w:r>
      <w:r w:rsidR="004219F1" w:rsidRPr="00F91EC4">
        <w:rPr>
          <w:noProof/>
        </w:rPr>
        <w:t xml:space="preserve">and 13(10) </w:t>
      </w:r>
      <w:r w:rsidR="00181F32" w:rsidRPr="00F91EC4">
        <w:rPr>
          <w:noProof/>
        </w:rPr>
        <w:t xml:space="preserve">of </w:t>
      </w:r>
      <w:r w:rsidR="004219F1" w:rsidRPr="00F91EC4">
        <w:rPr>
          <w:noProof/>
        </w:rPr>
        <w:t>Regulation (EU) 2018/858</w:t>
      </w:r>
      <w:r w:rsidR="0011513F">
        <w:rPr>
          <w:noProof/>
        </w:rPr>
        <w:t>,</w:t>
      </w:r>
      <w:r w:rsidR="00DE7523" w:rsidRPr="00F91EC4">
        <w:rPr>
          <w:noProof/>
        </w:rPr>
        <w:t xml:space="preserve"> </w:t>
      </w:r>
      <w:r w:rsidR="00A87365" w:rsidRPr="00F91EC4">
        <w:rPr>
          <w:noProof/>
        </w:rPr>
        <w:t>may perform in</w:t>
      </w:r>
      <w:r w:rsidR="00EB4EF9" w:rsidRPr="00F91EC4">
        <w:rPr>
          <w:noProof/>
        </w:rPr>
        <w:t>-</w:t>
      </w:r>
      <w:r w:rsidR="00A87365" w:rsidRPr="00F91EC4">
        <w:rPr>
          <w:noProof/>
        </w:rPr>
        <w:t>service conformity</w:t>
      </w:r>
      <w:r w:rsidR="00EB4EF9" w:rsidRPr="00F91EC4">
        <w:rPr>
          <w:noProof/>
        </w:rPr>
        <w:t xml:space="preserve"> and market surveillance checks </w:t>
      </w:r>
      <w:r w:rsidR="00181F32" w:rsidRPr="00F91EC4">
        <w:rPr>
          <w:noProof/>
        </w:rPr>
        <w:t xml:space="preserve">set out in </w:t>
      </w:r>
      <w:r w:rsidR="0011513F" w:rsidRPr="00F91EC4">
        <w:rPr>
          <w:noProof/>
        </w:rPr>
        <w:t xml:space="preserve">Tables 2, 4, 6, 8, and 10 </w:t>
      </w:r>
      <w:r w:rsidR="0011513F">
        <w:rPr>
          <w:noProof/>
        </w:rPr>
        <w:t xml:space="preserve">of </w:t>
      </w:r>
      <w:r w:rsidR="00181F32" w:rsidRPr="00F91EC4">
        <w:rPr>
          <w:noProof/>
        </w:rPr>
        <w:t>Annex V</w:t>
      </w:r>
      <w:r w:rsidR="00D44444" w:rsidRPr="00F91EC4">
        <w:rPr>
          <w:noProof/>
        </w:rPr>
        <w:t xml:space="preserve">, </w:t>
      </w:r>
      <w:r w:rsidR="00C737E9" w:rsidRPr="00F91EC4">
        <w:rPr>
          <w:noProof/>
        </w:rPr>
        <w:t xml:space="preserve">to </w:t>
      </w:r>
      <w:r w:rsidR="004219F1" w:rsidRPr="00F91EC4">
        <w:rPr>
          <w:noProof/>
        </w:rPr>
        <w:t xml:space="preserve">verify compliance of </w:t>
      </w:r>
      <w:r w:rsidR="00310BEA" w:rsidRPr="00F91EC4">
        <w:rPr>
          <w:noProof/>
        </w:rPr>
        <w:t xml:space="preserve">vehicles, components and separate technical units </w:t>
      </w:r>
      <w:r w:rsidR="00C737E9" w:rsidRPr="00F91EC4">
        <w:rPr>
          <w:noProof/>
        </w:rPr>
        <w:t>with</w:t>
      </w:r>
      <w:r w:rsidR="00EB4EF9" w:rsidRPr="00F91EC4">
        <w:rPr>
          <w:noProof/>
        </w:rPr>
        <w:t xml:space="preserve"> this </w:t>
      </w:r>
      <w:r w:rsidR="009150E2">
        <w:rPr>
          <w:noProof/>
        </w:rPr>
        <w:t>R</w:t>
      </w:r>
      <w:r w:rsidR="009150E2" w:rsidRPr="00F91EC4">
        <w:rPr>
          <w:noProof/>
        </w:rPr>
        <w:t>egulation</w:t>
      </w:r>
      <w:r w:rsidR="00EB4EF9" w:rsidRPr="00F91EC4">
        <w:rPr>
          <w:noProof/>
        </w:rPr>
        <w:t xml:space="preserve">. </w:t>
      </w:r>
    </w:p>
    <w:p w14:paraId="4BDAB33C" w14:textId="35725449" w:rsidR="00A87365" w:rsidRPr="00F91EC4" w:rsidRDefault="00DD0F7B" w:rsidP="00DD0F7B">
      <w:pPr>
        <w:pStyle w:val="ManualNumPar1"/>
        <w:rPr>
          <w:noProof/>
          <w:color w:val="000000" w:themeColor="text1"/>
        </w:rPr>
      </w:pPr>
      <w:r w:rsidRPr="00DD0F7B">
        <w:rPr>
          <w:noProof/>
        </w:rPr>
        <w:t>2.</w:t>
      </w:r>
      <w:r w:rsidRPr="00DD0F7B">
        <w:rPr>
          <w:noProof/>
        </w:rPr>
        <w:tab/>
      </w:r>
      <w:r w:rsidR="005955D5" w:rsidRPr="00F91EC4">
        <w:rPr>
          <w:noProof/>
        </w:rPr>
        <w:t>Manufacturers shall make available t</w:t>
      </w:r>
      <w:r w:rsidR="00EB4EF9" w:rsidRPr="00F91EC4">
        <w:rPr>
          <w:noProof/>
        </w:rPr>
        <w:t>he data required to perform such checks</w:t>
      </w:r>
      <w:r w:rsidR="007A3741" w:rsidRPr="00F91EC4">
        <w:rPr>
          <w:noProof/>
        </w:rPr>
        <w:t xml:space="preserve"> </w:t>
      </w:r>
      <w:r w:rsidR="005955D5" w:rsidRPr="00F91EC4">
        <w:rPr>
          <w:noProof/>
        </w:rPr>
        <w:t xml:space="preserve">to the </w:t>
      </w:r>
      <w:r w:rsidR="00DE7523" w:rsidRPr="00F91EC4">
        <w:rPr>
          <w:noProof/>
        </w:rPr>
        <w:t>Co</w:t>
      </w:r>
      <w:r w:rsidR="00045206" w:rsidRPr="00F91EC4">
        <w:rPr>
          <w:noProof/>
        </w:rPr>
        <w:t>m</w:t>
      </w:r>
      <w:r w:rsidR="007A3741" w:rsidRPr="00F91EC4">
        <w:rPr>
          <w:noProof/>
        </w:rPr>
        <w:t>mission and third parties</w:t>
      </w:r>
      <w:r w:rsidR="009D26A6" w:rsidRPr="00F91EC4">
        <w:rPr>
          <w:noProof/>
        </w:rPr>
        <w:t xml:space="preserve"> </w:t>
      </w:r>
      <w:r w:rsidR="00EB4EF9" w:rsidRPr="00F91EC4">
        <w:rPr>
          <w:noProof/>
        </w:rPr>
        <w:t xml:space="preserve">in </w:t>
      </w:r>
      <w:r w:rsidR="00310BEA" w:rsidRPr="00F91EC4">
        <w:rPr>
          <w:noProof/>
        </w:rPr>
        <w:t xml:space="preserve">accordance with </w:t>
      </w:r>
      <w:r w:rsidR="00635416" w:rsidRPr="00F91EC4">
        <w:rPr>
          <w:noProof/>
        </w:rPr>
        <w:t>Articles 9(5) and 13(10</w:t>
      </w:r>
      <w:r w:rsidR="009D26A6" w:rsidRPr="00F91EC4">
        <w:rPr>
          <w:noProof/>
        </w:rPr>
        <w:t>)</w:t>
      </w:r>
      <w:r w:rsidR="00635416" w:rsidRPr="00F91EC4">
        <w:rPr>
          <w:noProof/>
        </w:rPr>
        <w:t xml:space="preserve"> of Regulation (EU) 2018/858</w:t>
      </w:r>
      <w:r w:rsidR="00C737E9" w:rsidRPr="00F91EC4">
        <w:rPr>
          <w:noProof/>
        </w:rPr>
        <w:t xml:space="preserve">. </w:t>
      </w:r>
    </w:p>
    <w:p w14:paraId="201AD0B4" w14:textId="77777777" w:rsidR="009150E2" w:rsidRDefault="001A3618" w:rsidP="00481CFE">
      <w:pPr>
        <w:pStyle w:val="ChapterTitle"/>
        <w:rPr>
          <w:noProof/>
          <w:color w:val="000000" w:themeColor="text1"/>
        </w:rPr>
      </w:pPr>
      <w:r w:rsidRPr="00F91EC4">
        <w:rPr>
          <w:noProof/>
          <w:color w:val="000000" w:themeColor="text1"/>
        </w:rPr>
        <w:t xml:space="preserve">Chapter V </w:t>
      </w:r>
    </w:p>
    <w:p w14:paraId="3FC53CF1" w14:textId="77777777" w:rsidR="001A3618" w:rsidRPr="00F91EC4" w:rsidRDefault="001A3618" w:rsidP="00481CFE">
      <w:pPr>
        <w:pStyle w:val="ChapterTitle"/>
        <w:rPr>
          <w:noProof/>
          <w:color w:val="000000" w:themeColor="text1"/>
        </w:rPr>
      </w:pPr>
      <w:r w:rsidRPr="00F91EC4">
        <w:rPr>
          <w:noProof/>
          <w:color w:val="000000" w:themeColor="text1"/>
        </w:rPr>
        <w:t>Tests and declarations</w:t>
      </w:r>
    </w:p>
    <w:p w14:paraId="0CBFC232" w14:textId="77777777" w:rsidR="001A3618" w:rsidRPr="00F91EC4" w:rsidRDefault="001A3618" w:rsidP="001A3618">
      <w:pPr>
        <w:pStyle w:val="Titrearticle"/>
        <w:rPr>
          <w:noProof/>
          <w:color w:val="000000" w:themeColor="text1"/>
        </w:rPr>
      </w:pPr>
      <w:r w:rsidRPr="00F91EC4">
        <w:rPr>
          <w:noProof/>
          <w:color w:val="000000" w:themeColor="text1"/>
        </w:rPr>
        <w:t xml:space="preserve">Article </w:t>
      </w:r>
      <w:r w:rsidR="004023C2" w:rsidRPr="00F91EC4">
        <w:rPr>
          <w:noProof/>
          <w:color w:val="000000" w:themeColor="text1"/>
        </w:rPr>
        <w:t>1</w:t>
      </w:r>
      <w:r w:rsidR="00C57AEF" w:rsidRPr="00F91EC4">
        <w:rPr>
          <w:noProof/>
          <w:color w:val="000000" w:themeColor="text1"/>
        </w:rPr>
        <w:t>4</w:t>
      </w:r>
      <w:r w:rsidRPr="00F91EC4">
        <w:rPr>
          <w:noProof/>
          <w:color w:val="000000" w:themeColor="text1"/>
        </w:rPr>
        <w:br/>
      </w:r>
      <w:r w:rsidR="00D44444" w:rsidRPr="00F91EC4">
        <w:rPr>
          <w:b/>
          <w:i w:val="0"/>
          <w:noProof/>
          <w:color w:val="000000" w:themeColor="text1"/>
        </w:rPr>
        <w:t xml:space="preserve">Procedures </w:t>
      </w:r>
      <w:r w:rsidR="009070DA" w:rsidRPr="00F91EC4">
        <w:rPr>
          <w:b/>
          <w:i w:val="0"/>
          <w:noProof/>
          <w:color w:val="000000" w:themeColor="text1"/>
        </w:rPr>
        <w:t>and t</w:t>
      </w:r>
      <w:r w:rsidRPr="00F91EC4">
        <w:rPr>
          <w:b/>
          <w:i w:val="0"/>
          <w:noProof/>
          <w:color w:val="000000" w:themeColor="text1"/>
        </w:rPr>
        <w:t>ests</w:t>
      </w:r>
    </w:p>
    <w:p w14:paraId="3389A712" w14:textId="3F4E2F1D" w:rsidR="00042769" w:rsidRPr="00F91EC4" w:rsidRDefault="00DD0F7B" w:rsidP="00DD0F7B">
      <w:pPr>
        <w:pStyle w:val="ManualNumPar1"/>
        <w:rPr>
          <w:noProof/>
        </w:rPr>
      </w:pPr>
      <w:r w:rsidRPr="00DD0F7B">
        <w:rPr>
          <w:noProof/>
        </w:rPr>
        <w:t>1.</w:t>
      </w:r>
      <w:r w:rsidRPr="00DD0F7B">
        <w:rPr>
          <w:noProof/>
        </w:rPr>
        <w:tab/>
      </w:r>
      <w:r w:rsidR="00042769" w:rsidRPr="00F91EC4">
        <w:rPr>
          <w:noProof/>
        </w:rPr>
        <w:t xml:space="preserve">Procedures </w:t>
      </w:r>
      <w:r w:rsidR="00957E7B" w:rsidRPr="00F91EC4">
        <w:rPr>
          <w:noProof/>
        </w:rPr>
        <w:t xml:space="preserve">for </w:t>
      </w:r>
      <w:r w:rsidR="005955D5" w:rsidRPr="00F91EC4">
        <w:rPr>
          <w:noProof/>
        </w:rPr>
        <w:t xml:space="preserve">the emission </w:t>
      </w:r>
      <w:r w:rsidR="00976BDB" w:rsidRPr="00F91EC4">
        <w:rPr>
          <w:noProof/>
        </w:rPr>
        <w:t>type-approval</w:t>
      </w:r>
      <w:r w:rsidR="00957E7B" w:rsidRPr="00F91EC4">
        <w:rPr>
          <w:noProof/>
        </w:rPr>
        <w:t xml:space="preserve"> shall include </w:t>
      </w:r>
      <w:r w:rsidR="005955D5" w:rsidRPr="00F91EC4">
        <w:rPr>
          <w:noProof/>
        </w:rPr>
        <w:t xml:space="preserve">tests and checks </w:t>
      </w:r>
      <w:r w:rsidR="001A230D" w:rsidRPr="00F91EC4">
        <w:rPr>
          <w:noProof/>
        </w:rPr>
        <w:t>as well as</w:t>
      </w:r>
      <w:r w:rsidR="005955D5" w:rsidRPr="00F91EC4">
        <w:rPr>
          <w:noProof/>
        </w:rPr>
        <w:t xml:space="preserve"> </w:t>
      </w:r>
      <w:r w:rsidR="00957E7B" w:rsidRPr="00F91EC4">
        <w:rPr>
          <w:noProof/>
        </w:rPr>
        <w:t xml:space="preserve">the application </w:t>
      </w:r>
      <w:r w:rsidR="005955D5" w:rsidRPr="00F91EC4">
        <w:rPr>
          <w:noProof/>
        </w:rPr>
        <w:t>of all administrative procedures</w:t>
      </w:r>
      <w:r w:rsidR="00957E7B" w:rsidRPr="00F91EC4">
        <w:rPr>
          <w:noProof/>
        </w:rPr>
        <w:t xml:space="preserve"> and documentation requirements</w:t>
      </w:r>
      <w:r w:rsidR="00447471" w:rsidRPr="00F91EC4">
        <w:rPr>
          <w:noProof/>
        </w:rPr>
        <w:t xml:space="preserve"> as specified </w:t>
      </w:r>
      <w:r w:rsidR="009150E2">
        <w:rPr>
          <w:noProof/>
        </w:rPr>
        <w:t>in</w:t>
      </w:r>
      <w:r w:rsidR="009150E2" w:rsidRPr="00F91EC4">
        <w:rPr>
          <w:noProof/>
        </w:rPr>
        <w:t xml:space="preserve"> </w:t>
      </w:r>
      <w:r w:rsidR="00447471" w:rsidRPr="00F91EC4">
        <w:rPr>
          <w:noProof/>
        </w:rPr>
        <w:t>Annex V</w:t>
      </w:r>
      <w:r w:rsidR="00957E7B" w:rsidRPr="00F91EC4">
        <w:rPr>
          <w:noProof/>
        </w:rPr>
        <w:t>.</w:t>
      </w:r>
      <w:r w:rsidR="00042769" w:rsidRPr="00F91EC4">
        <w:rPr>
          <w:noProof/>
        </w:rPr>
        <w:t xml:space="preserve"> </w:t>
      </w:r>
      <w:r w:rsidR="00957E7B" w:rsidRPr="00F91EC4">
        <w:rPr>
          <w:noProof/>
          <w:color w:val="000000" w:themeColor="text1"/>
        </w:rPr>
        <w:t xml:space="preserve">For the requirements specified in Annex V, </w:t>
      </w:r>
      <w:r w:rsidR="00E17088" w:rsidRPr="00F91EC4">
        <w:rPr>
          <w:noProof/>
          <w:color w:val="000000" w:themeColor="text1"/>
        </w:rPr>
        <w:t xml:space="preserve">where applicable </w:t>
      </w:r>
      <w:r w:rsidR="009150E2">
        <w:rPr>
          <w:noProof/>
          <w:color w:val="000000" w:themeColor="text1"/>
        </w:rPr>
        <w:t xml:space="preserve">the manufacturer shall provide </w:t>
      </w:r>
      <w:r w:rsidR="00957E7B" w:rsidRPr="00F91EC4">
        <w:rPr>
          <w:noProof/>
          <w:color w:val="000000" w:themeColor="text1"/>
        </w:rPr>
        <w:t xml:space="preserve">a declaration of conformity to the </w:t>
      </w:r>
      <w:r w:rsidR="00976BDB" w:rsidRPr="00F91EC4">
        <w:rPr>
          <w:noProof/>
          <w:color w:val="000000" w:themeColor="text1"/>
        </w:rPr>
        <w:t>type-approval</w:t>
      </w:r>
      <w:r w:rsidR="00957E7B" w:rsidRPr="00F91EC4">
        <w:rPr>
          <w:noProof/>
          <w:color w:val="000000" w:themeColor="text1"/>
        </w:rPr>
        <w:t xml:space="preserve"> authority. </w:t>
      </w:r>
    </w:p>
    <w:p w14:paraId="42DB2C24" w14:textId="0C1FE984" w:rsidR="00460FA3" w:rsidRPr="00F91EC4" w:rsidRDefault="00DD0F7B" w:rsidP="00DD0F7B">
      <w:pPr>
        <w:pStyle w:val="ManualNumPar1"/>
        <w:rPr>
          <w:noProof/>
        </w:rPr>
      </w:pPr>
      <w:r w:rsidRPr="00DD0F7B">
        <w:rPr>
          <w:noProof/>
        </w:rPr>
        <w:t>2.</w:t>
      </w:r>
      <w:r w:rsidRPr="00DD0F7B">
        <w:rPr>
          <w:noProof/>
        </w:rPr>
        <w:tab/>
      </w:r>
      <w:r w:rsidR="001A3618" w:rsidRPr="00F91EC4">
        <w:rPr>
          <w:noProof/>
        </w:rPr>
        <w:t xml:space="preserve">Tests </w:t>
      </w:r>
      <w:r w:rsidR="001262E3" w:rsidRPr="00F91EC4">
        <w:rPr>
          <w:noProof/>
        </w:rPr>
        <w:t xml:space="preserve">to prove compliance </w:t>
      </w:r>
      <w:r w:rsidR="009150E2">
        <w:rPr>
          <w:noProof/>
        </w:rPr>
        <w:t>with</w:t>
      </w:r>
      <w:r w:rsidR="009150E2" w:rsidRPr="00F91EC4">
        <w:rPr>
          <w:noProof/>
        </w:rPr>
        <w:t xml:space="preserve"> </w:t>
      </w:r>
      <w:r w:rsidR="001262E3" w:rsidRPr="00F91EC4">
        <w:rPr>
          <w:noProof/>
        </w:rPr>
        <w:t>the requirements of Article 4</w:t>
      </w:r>
      <w:r w:rsidR="001A3618" w:rsidRPr="00F91EC4">
        <w:rPr>
          <w:noProof/>
        </w:rPr>
        <w:t xml:space="preserve"> shall be applied by manufacturers and </w:t>
      </w:r>
      <w:r w:rsidR="00F41F4F" w:rsidRPr="00F91EC4">
        <w:rPr>
          <w:noProof/>
        </w:rPr>
        <w:t xml:space="preserve">national </w:t>
      </w:r>
      <w:r w:rsidR="001A3618" w:rsidRPr="00F91EC4">
        <w:rPr>
          <w:noProof/>
        </w:rPr>
        <w:t>authorities as specified in Annex V</w:t>
      </w:r>
      <w:r w:rsidR="00F571A2" w:rsidRPr="00F91EC4">
        <w:rPr>
          <w:noProof/>
        </w:rPr>
        <w:t xml:space="preserve">. </w:t>
      </w:r>
      <w:r w:rsidR="00460FA3" w:rsidRPr="00F91EC4">
        <w:rPr>
          <w:noProof/>
        </w:rPr>
        <w:t xml:space="preserve">Tests to prove compliance </w:t>
      </w:r>
      <w:r w:rsidR="009150E2">
        <w:rPr>
          <w:noProof/>
        </w:rPr>
        <w:t>with</w:t>
      </w:r>
      <w:r w:rsidR="009150E2" w:rsidRPr="00F91EC4">
        <w:rPr>
          <w:noProof/>
        </w:rPr>
        <w:t xml:space="preserve"> </w:t>
      </w:r>
      <w:r w:rsidR="00460FA3" w:rsidRPr="00F91EC4">
        <w:rPr>
          <w:noProof/>
        </w:rPr>
        <w:t xml:space="preserve">the requirements of Article 4 may be applied by the Commission and third parties also as specified in Annex V. </w:t>
      </w:r>
    </w:p>
    <w:p w14:paraId="6D39294E" w14:textId="77BF9765" w:rsidR="00386FAB" w:rsidRPr="00F91EC4" w:rsidRDefault="00DD0F7B" w:rsidP="00DD0F7B">
      <w:pPr>
        <w:pStyle w:val="ManualNumPar1"/>
        <w:rPr>
          <w:noProof/>
        </w:rPr>
      </w:pPr>
      <w:r w:rsidRPr="00DD0F7B">
        <w:rPr>
          <w:noProof/>
        </w:rPr>
        <w:t>3.</w:t>
      </w:r>
      <w:r w:rsidRPr="00DD0F7B">
        <w:rPr>
          <w:noProof/>
        </w:rPr>
        <w:tab/>
      </w:r>
      <w:r w:rsidR="00386FAB" w:rsidRPr="00F91EC4">
        <w:rPr>
          <w:noProof/>
        </w:rPr>
        <w:t xml:space="preserve">The Commission shall adopt </w:t>
      </w:r>
      <w:r w:rsidR="00E96565" w:rsidRPr="00F91EC4">
        <w:rPr>
          <w:noProof/>
        </w:rPr>
        <w:t>implementing acts</w:t>
      </w:r>
      <w:r w:rsidR="00DC4A3B" w:rsidRPr="00F91EC4">
        <w:rPr>
          <w:noProof/>
        </w:rPr>
        <w:t xml:space="preserve"> for all </w:t>
      </w:r>
      <w:r w:rsidR="00033DF2" w:rsidRPr="00F91EC4">
        <w:rPr>
          <w:noProof/>
        </w:rPr>
        <w:t xml:space="preserve">the </w:t>
      </w:r>
      <w:r w:rsidR="00DC4A3B" w:rsidRPr="00F91EC4">
        <w:rPr>
          <w:noProof/>
        </w:rPr>
        <w:t xml:space="preserve">phases of </w:t>
      </w:r>
      <w:r w:rsidR="00985EEA" w:rsidRPr="00F91EC4">
        <w:rPr>
          <w:noProof/>
        </w:rPr>
        <w:t xml:space="preserve">emission </w:t>
      </w:r>
      <w:r w:rsidR="00976BDB" w:rsidRPr="00F91EC4">
        <w:rPr>
          <w:noProof/>
        </w:rPr>
        <w:t>type-approval</w:t>
      </w:r>
      <w:r w:rsidR="00DC4A3B" w:rsidRPr="00F91EC4">
        <w:rPr>
          <w:noProof/>
        </w:rPr>
        <w:t xml:space="preserve">, </w:t>
      </w:r>
      <w:r w:rsidR="00985EEA" w:rsidRPr="00F91EC4">
        <w:rPr>
          <w:noProof/>
        </w:rPr>
        <w:t xml:space="preserve">including </w:t>
      </w:r>
      <w:r w:rsidR="00DC4A3B" w:rsidRPr="00F91EC4">
        <w:rPr>
          <w:noProof/>
        </w:rPr>
        <w:t>conformity of production, in-service conformity and market surveillance</w:t>
      </w:r>
      <w:r w:rsidR="00D44444" w:rsidRPr="00F91EC4">
        <w:rPr>
          <w:noProof/>
        </w:rPr>
        <w:t xml:space="preserve">, addressing </w:t>
      </w:r>
      <w:r w:rsidR="00DE6C64" w:rsidRPr="00F91EC4">
        <w:rPr>
          <w:noProof/>
        </w:rPr>
        <w:t xml:space="preserve"> procedures </w:t>
      </w:r>
      <w:r w:rsidR="001A230D" w:rsidRPr="00F91EC4">
        <w:rPr>
          <w:noProof/>
        </w:rPr>
        <w:t xml:space="preserve">and tests </w:t>
      </w:r>
      <w:r w:rsidR="00DE6C64" w:rsidRPr="00F91EC4">
        <w:rPr>
          <w:noProof/>
        </w:rPr>
        <w:t xml:space="preserve">for </w:t>
      </w:r>
      <w:r w:rsidR="00033DF2" w:rsidRPr="00F91EC4">
        <w:rPr>
          <w:noProof/>
        </w:rPr>
        <w:t xml:space="preserve">emission </w:t>
      </w:r>
      <w:r w:rsidR="00976BDB" w:rsidRPr="00F91EC4">
        <w:rPr>
          <w:noProof/>
        </w:rPr>
        <w:t>type-approval</w:t>
      </w:r>
      <w:r w:rsidR="00DE6C64" w:rsidRPr="00F91EC4">
        <w:rPr>
          <w:noProof/>
        </w:rPr>
        <w:t>,</w:t>
      </w:r>
      <w:r w:rsidR="00D44444" w:rsidRPr="00F91EC4">
        <w:rPr>
          <w:noProof/>
        </w:rPr>
        <w:t xml:space="preserve"> testing methodologies,</w:t>
      </w:r>
      <w:r w:rsidR="00DE6C64" w:rsidRPr="00F91EC4">
        <w:rPr>
          <w:noProof/>
        </w:rPr>
        <w:t xml:space="preserve"> administrative provisions, amending and extending emission </w:t>
      </w:r>
      <w:r w:rsidR="00976BDB" w:rsidRPr="00F91EC4">
        <w:rPr>
          <w:noProof/>
        </w:rPr>
        <w:t>type-approval</w:t>
      </w:r>
      <w:r w:rsidR="00DE6C64" w:rsidRPr="00F91EC4">
        <w:rPr>
          <w:noProof/>
        </w:rPr>
        <w:t>s, data access, documentation requirements and templates for all of the following</w:t>
      </w:r>
      <w:r w:rsidR="00386FAB" w:rsidRPr="00F91EC4">
        <w:rPr>
          <w:noProof/>
        </w:rPr>
        <w:t>:</w:t>
      </w:r>
    </w:p>
    <w:p w14:paraId="44F2996F" w14:textId="18AE74B2" w:rsidR="001262E3" w:rsidRPr="00F91EC4" w:rsidRDefault="00DD0F7B" w:rsidP="00DD0F7B">
      <w:pPr>
        <w:pStyle w:val="Point1"/>
        <w:rPr>
          <w:noProof/>
        </w:rPr>
      </w:pPr>
      <w:r w:rsidRPr="00DD0F7B">
        <w:rPr>
          <w:noProof/>
        </w:rPr>
        <w:t>(a)</w:t>
      </w:r>
      <w:r w:rsidRPr="00DD0F7B">
        <w:rPr>
          <w:noProof/>
        </w:rPr>
        <w:tab/>
      </w:r>
      <w:r w:rsidR="00B62D9D" w:rsidRPr="00F91EC4">
        <w:rPr>
          <w:noProof/>
        </w:rPr>
        <w:t>M</w:t>
      </w:r>
      <w:r w:rsidR="00B62D9D" w:rsidRPr="00F91EC4">
        <w:rPr>
          <w:noProof/>
          <w:vertAlign w:val="subscript"/>
        </w:rPr>
        <w:t>1</w:t>
      </w:r>
      <w:r w:rsidR="00B62D9D" w:rsidRPr="00F91EC4">
        <w:rPr>
          <w:noProof/>
        </w:rPr>
        <w:t>, N</w:t>
      </w:r>
      <w:r w:rsidR="00B62D9D" w:rsidRPr="00F91EC4">
        <w:rPr>
          <w:noProof/>
          <w:vertAlign w:val="subscript"/>
        </w:rPr>
        <w:t>1</w:t>
      </w:r>
      <w:r w:rsidR="001262E3" w:rsidRPr="00F91EC4">
        <w:rPr>
          <w:noProof/>
        </w:rPr>
        <w:t xml:space="preserve"> vehicle</w:t>
      </w:r>
      <w:r w:rsidR="001448C7" w:rsidRPr="00F91EC4">
        <w:rPr>
          <w:noProof/>
        </w:rPr>
        <w:t xml:space="preserve"> type</w:t>
      </w:r>
      <w:r w:rsidR="001262E3" w:rsidRPr="00F91EC4">
        <w:rPr>
          <w:noProof/>
        </w:rPr>
        <w:t>s</w:t>
      </w:r>
      <w:r w:rsidR="00D61A93" w:rsidRPr="00F91EC4">
        <w:rPr>
          <w:noProof/>
        </w:rPr>
        <w:t>;</w:t>
      </w:r>
    </w:p>
    <w:p w14:paraId="29F51A28" w14:textId="4BE7DA4C" w:rsidR="001262E3" w:rsidRPr="00F91EC4" w:rsidRDefault="00DD0F7B" w:rsidP="00DD0F7B">
      <w:pPr>
        <w:pStyle w:val="Point1"/>
        <w:rPr>
          <w:noProof/>
        </w:rPr>
      </w:pPr>
      <w:r w:rsidRPr="00DD0F7B">
        <w:rPr>
          <w:noProof/>
        </w:rPr>
        <w:t>(b)</w:t>
      </w:r>
      <w:r w:rsidRPr="00DD0F7B">
        <w:rPr>
          <w:noProof/>
        </w:rPr>
        <w:tab/>
      </w:r>
      <w:r w:rsidR="00B62D9D" w:rsidRPr="00F91EC4">
        <w:rPr>
          <w:noProof/>
        </w:rPr>
        <w:t>M</w:t>
      </w:r>
      <w:r w:rsidR="00B62D9D" w:rsidRPr="00F91EC4">
        <w:rPr>
          <w:noProof/>
          <w:vertAlign w:val="subscript"/>
        </w:rPr>
        <w:t>2</w:t>
      </w:r>
      <w:r w:rsidR="00B62D9D" w:rsidRPr="00F91EC4">
        <w:rPr>
          <w:noProof/>
        </w:rPr>
        <w:t>, M</w:t>
      </w:r>
      <w:r w:rsidR="00B62D9D" w:rsidRPr="00F91EC4">
        <w:rPr>
          <w:noProof/>
          <w:vertAlign w:val="subscript"/>
        </w:rPr>
        <w:t>3</w:t>
      </w:r>
      <w:r w:rsidR="00B62D9D" w:rsidRPr="00F91EC4">
        <w:rPr>
          <w:noProof/>
        </w:rPr>
        <w:t>, N</w:t>
      </w:r>
      <w:r w:rsidR="00B62D9D" w:rsidRPr="00F91EC4">
        <w:rPr>
          <w:noProof/>
          <w:vertAlign w:val="subscript"/>
        </w:rPr>
        <w:t>2</w:t>
      </w:r>
      <w:r w:rsidR="00B62D9D" w:rsidRPr="00F91EC4">
        <w:rPr>
          <w:noProof/>
        </w:rPr>
        <w:t>, N</w:t>
      </w:r>
      <w:r w:rsidR="00B62D9D" w:rsidRPr="00F91EC4">
        <w:rPr>
          <w:noProof/>
          <w:vertAlign w:val="subscript"/>
        </w:rPr>
        <w:t>3</w:t>
      </w:r>
      <w:r w:rsidR="001262E3" w:rsidRPr="00F91EC4">
        <w:rPr>
          <w:noProof/>
        </w:rPr>
        <w:t xml:space="preserve"> vehicle</w:t>
      </w:r>
      <w:r w:rsidR="001448C7" w:rsidRPr="00F91EC4">
        <w:rPr>
          <w:noProof/>
        </w:rPr>
        <w:t xml:space="preserve"> type</w:t>
      </w:r>
      <w:r w:rsidR="001262E3" w:rsidRPr="00F91EC4">
        <w:rPr>
          <w:noProof/>
        </w:rPr>
        <w:t>s</w:t>
      </w:r>
      <w:r w:rsidR="00D61A93" w:rsidRPr="00F91EC4">
        <w:rPr>
          <w:noProof/>
        </w:rPr>
        <w:t>;</w:t>
      </w:r>
    </w:p>
    <w:p w14:paraId="3AF93A69" w14:textId="6EAF088C" w:rsidR="00DC4A3B" w:rsidRPr="00F91EC4" w:rsidRDefault="00DD0F7B" w:rsidP="00DD0F7B">
      <w:pPr>
        <w:pStyle w:val="Point1"/>
        <w:rPr>
          <w:noProof/>
        </w:rPr>
      </w:pPr>
      <w:r w:rsidRPr="00DD0F7B">
        <w:rPr>
          <w:noProof/>
        </w:rPr>
        <w:t>(c)</w:t>
      </w:r>
      <w:r w:rsidRPr="00DD0F7B">
        <w:rPr>
          <w:noProof/>
        </w:rPr>
        <w:tab/>
      </w:r>
      <w:r w:rsidR="001262E3" w:rsidRPr="00F91EC4">
        <w:rPr>
          <w:noProof/>
        </w:rPr>
        <w:t>engine</w:t>
      </w:r>
      <w:r w:rsidR="00C86E3C" w:rsidRPr="00F91EC4">
        <w:rPr>
          <w:noProof/>
        </w:rPr>
        <w:t>s used in</w:t>
      </w:r>
      <w:r w:rsidR="001262E3" w:rsidRPr="00F91EC4">
        <w:rPr>
          <w:noProof/>
        </w:rPr>
        <w:t xml:space="preserve"> </w:t>
      </w:r>
      <w:r w:rsidR="00A20A75" w:rsidRPr="00F91EC4">
        <w:rPr>
          <w:noProof/>
        </w:rPr>
        <w:t>M</w:t>
      </w:r>
      <w:r w:rsidR="00A20A75" w:rsidRPr="00F91EC4">
        <w:rPr>
          <w:noProof/>
          <w:vertAlign w:val="subscript"/>
        </w:rPr>
        <w:t>2</w:t>
      </w:r>
      <w:r w:rsidR="00A20A75" w:rsidRPr="00F91EC4">
        <w:rPr>
          <w:noProof/>
        </w:rPr>
        <w:t>, M</w:t>
      </w:r>
      <w:r w:rsidR="00A20A75" w:rsidRPr="00F91EC4">
        <w:rPr>
          <w:noProof/>
          <w:vertAlign w:val="subscript"/>
        </w:rPr>
        <w:t>3</w:t>
      </w:r>
      <w:r w:rsidR="00A20A75" w:rsidRPr="00F91EC4">
        <w:rPr>
          <w:noProof/>
        </w:rPr>
        <w:t>, N</w:t>
      </w:r>
      <w:r w:rsidR="00A20A75" w:rsidRPr="00F91EC4">
        <w:rPr>
          <w:noProof/>
          <w:vertAlign w:val="subscript"/>
        </w:rPr>
        <w:t>2</w:t>
      </w:r>
      <w:r w:rsidR="00A20A75" w:rsidRPr="00F91EC4">
        <w:rPr>
          <w:noProof/>
        </w:rPr>
        <w:t>, N</w:t>
      </w:r>
      <w:r w:rsidR="00A20A75" w:rsidRPr="00F91EC4">
        <w:rPr>
          <w:noProof/>
          <w:vertAlign w:val="subscript"/>
        </w:rPr>
        <w:t>3</w:t>
      </w:r>
      <w:r w:rsidR="00A20A75" w:rsidRPr="00F91EC4">
        <w:rPr>
          <w:noProof/>
        </w:rPr>
        <w:t xml:space="preserve"> </w:t>
      </w:r>
      <w:r w:rsidR="00B62D9D" w:rsidRPr="00F91EC4">
        <w:rPr>
          <w:noProof/>
        </w:rPr>
        <w:t>vehicle</w:t>
      </w:r>
      <w:r w:rsidR="001448C7" w:rsidRPr="00F91EC4">
        <w:rPr>
          <w:noProof/>
        </w:rPr>
        <w:t xml:space="preserve"> type</w:t>
      </w:r>
      <w:r w:rsidR="00B62D9D" w:rsidRPr="00F91EC4">
        <w:rPr>
          <w:noProof/>
        </w:rPr>
        <w:t>s</w:t>
      </w:r>
      <w:r w:rsidR="00D61A93" w:rsidRPr="00F91EC4">
        <w:rPr>
          <w:noProof/>
        </w:rPr>
        <w:t>;</w:t>
      </w:r>
    </w:p>
    <w:p w14:paraId="0642ABBC" w14:textId="03304AB7" w:rsidR="00805056" w:rsidRPr="00F91EC4" w:rsidRDefault="00DD0F7B" w:rsidP="00DD0F7B">
      <w:pPr>
        <w:pStyle w:val="Point1"/>
        <w:rPr>
          <w:noProof/>
        </w:rPr>
      </w:pPr>
      <w:r w:rsidRPr="00DD0F7B">
        <w:rPr>
          <w:noProof/>
        </w:rPr>
        <w:t>(d)</w:t>
      </w:r>
      <w:r w:rsidRPr="00DD0F7B">
        <w:rPr>
          <w:noProof/>
        </w:rPr>
        <w:tab/>
      </w:r>
      <w:r w:rsidR="00805056" w:rsidRPr="00F91EC4">
        <w:rPr>
          <w:noProof/>
        </w:rPr>
        <w:t>OBM/OBD systems</w:t>
      </w:r>
      <w:r w:rsidR="00D61A93" w:rsidRPr="00F91EC4">
        <w:rPr>
          <w:noProof/>
        </w:rPr>
        <w:t>;</w:t>
      </w:r>
    </w:p>
    <w:p w14:paraId="46C2F9C1" w14:textId="52A0F052" w:rsidR="00805056" w:rsidRPr="00F91EC4" w:rsidRDefault="00DD0F7B" w:rsidP="00DD0F7B">
      <w:pPr>
        <w:pStyle w:val="Point1"/>
        <w:rPr>
          <w:noProof/>
        </w:rPr>
      </w:pPr>
      <w:r w:rsidRPr="00DD0F7B">
        <w:rPr>
          <w:noProof/>
        </w:rPr>
        <w:t>(e)</w:t>
      </w:r>
      <w:r w:rsidRPr="00DD0F7B">
        <w:rPr>
          <w:noProof/>
        </w:rPr>
        <w:tab/>
      </w:r>
      <w:r w:rsidR="00E96565" w:rsidRPr="00F91EC4">
        <w:rPr>
          <w:noProof/>
        </w:rPr>
        <w:t>anti-tampering, security and cybersecurity</w:t>
      </w:r>
      <w:r w:rsidR="00DE6C64" w:rsidRPr="00F91EC4">
        <w:rPr>
          <w:noProof/>
        </w:rPr>
        <w:t xml:space="preserve"> systems</w:t>
      </w:r>
      <w:r w:rsidR="00D61A93" w:rsidRPr="00F91EC4">
        <w:rPr>
          <w:noProof/>
        </w:rPr>
        <w:t>;</w:t>
      </w:r>
    </w:p>
    <w:p w14:paraId="40F42C44" w14:textId="4B994961" w:rsidR="001262E3" w:rsidRPr="00F91EC4" w:rsidRDefault="00DD0F7B" w:rsidP="00DD0F7B">
      <w:pPr>
        <w:pStyle w:val="Point1"/>
        <w:rPr>
          <w:noProof/>
        </w:rPr>
      </w:pPr>
      <w:r w:rsidRPr="00DD0F7B">
        <w:rPr>
          <w:noProof/>
        </w:rPr>
        <w:t>(f)</w:t>
      </w:r>
      <w:r w:rsidRPr="00DD0F7B">
        <w:rPr>
          <w:noProof/>
        </w:rPr>
        <w:tab/>
      </w:r>
      <w:r w:rsidR="00CD2A1A" w:rsidRPr="00F91EC4">
        <w:rPr>
          <w:noProof/>
        </w:rPr>
        <w:t xml:space="preserve">replacement </w:t>
      </w:r>
      <w:r w:rsidR="008D6160" w:rsidRPr="00F91EC4">
        <w:rPr>
          <w:noProof/>
        </w:rPr>
        <w:t xml:space="preserve">pollution </w:t>
      </w:r>
      <w:r w:rsidR="007928B5" w:rsidRPr="00F91EC4">
        <w:rPr>
          <w:noProof/>
        </w:rPr>
        <w:t>control systems</w:t>
      </w:r>
      <w:r w:rsidR="001448C7" w:rsidRPr="00F91EC4">
        <w:rPr>
          <w:noProof/>
        </w:rPr>
        <w:t xml:space="preserve"> types</w:t>
      </w:r>
      <w:r w:rsidR="007928B5" w:rsidRPr="00F91EC4">
        <w:rPr>
          <w:noProof/>
        </w:rPr>
        <w:t xml:space="preserve"> and their </w:t>
      </w:r>
      <w:r w:rsidR="001262E3" w:rsidRPr="00F91EC4">
        <w:rPr>
          <w:noProof/>
        </w:rPr>
        <w:t>parts</w:t>
      </w:r>
      <w:r w:rsidR="00D61A93" w:rsidRPr="00F91EC4">
        <w:rPr>
          <w:noProof/>
        </w:rPr>
        <w:t>;</w:t>
      </w:r>
    </w:p>
    <w:p w14:paraId="72530DA8" w14:textId="0DDBFD83" w:rsidR="007928B5" w:rsidRPr="00F91EC4" w:rsidRDefault="00DD0F7B" w:rsidP="00DD0F7B">
      <w:pPr>
        <w:pStyle w:val="Point1"/>
        <w:rPr>
          <w:noProof/>
        </w:rPr>
      </w:pPr>
      <w:r w:rsidRPr="00DD0F7B">
        <w:rPr>
          <w:noProof/>
        </w:rPr>
        <w:t>(g)</w:t>
      </w:r>
      <w:r w:rsidRPr="00DD0F7B">
        <w:rPr>
          <w:noProof/>
        </w:rPr>
        <w:tab/>
      </w:r>
      <w:r w:rsidR="001448C7" w:rsidRPr="00F91EC4">
        <w:rPr>
          <w:noProof/>
        </w:rPr>
        <w:t xml:space="preserve">brake </w:t>
      </w:r>
      <w:r w:rsidR="00CD2A1A" w:rsidRPr="00F91EC4">
        <w:rPr>
          <w:noProof/>
        </w:rPr>
        <w:t xml:space="preserve">system </w:t>
      </w:r>
      <w:r w:rsidR="001448C7" w:rsidRPr="00F91EC4">
        <w:rPr>
          <w:noProof/>
        </w:rPr>
        <w:t>types</w:t>
      </w:r>
      <w:r w:rsidR="007928B5" w:rsidRPr="00F91EC4">
        <w:rPr>
          <w:noProof/>
        </w:rPr>
        <w:t xml:space="preserve"> and their replacement parts</w:t>
      </w:r>
      <w:r w:rsidR="00D61A93" w:rsidRPr="00F91EC4">
        <w:rPr>
          <w:noProof/>
        </w:rPr>
        <w:t>;</w:t>
      </w:r>
    </w:p>
    <w:p w14:paraId="773FE7E1" w14:textId="32EB745E" w:rsidR="007928B5" w:rsidRPr="00F91EC4" w:rsidRDefault="00DD0F7B" w:rsidP="00DD0F7B">
      <w:pPr>
        <w:pStyle w:val="Point1"/>
        <w:rPr>
          <w:noProof/>
        </w:rPr>
      </w:pPr>
      <w:r w:rsidRPr="00DD0F7B">
        <w:rPr>
          <w:noProof/>
        </w:rPr>
        <w:t>(h)</w:t>
      </w:r>
      <w:r w:rsidRPr="00DD0F7B">
        <w:rPr>
          <w:noProof/>
        </w:rPr>
        <w:tab/>
      </w:r>
      <w:r w:rsidR="001448C7" w:rsidRPr="00F91EC4">
        <w:rPr>
          <w:noProof/>
        </w:rPr>
        <w:t>tyre types</w:t>
      </w:r>
      <w:r w:rsidR="00185D12" w:rsidRPr="00F91EC4">
        <w:rPr>
          <w:noProof/>
        </w:rPr>
        <w:t xml:space="preserve"> in respect to </w:t>
      </w:r>
      <w:r w:rsidR="00CD09C1" w:rsidRPr="00F91EC4">
        <w:rPr>
          <w:noProof/>
        </w:rPr>
        <w:t>tyre abrasion</w:t>
      </w:r>
      <w:r w:rsidR="00D61A93" w:rsidRPr="00F91EC4">
        <w:rPr>
          <w:noProof/>
        </w:rPr>
        <w:t>;</w:t>
      </w:r>
    </w:p>
    <w:p w14:paraId="69AF9AB2" w14:textId="3180BD50" w:rsidR="007E223B" w:rsidRPr="00F91EC4" w:rsidRDefault="00DD0F7B" w:rsidP="00DD0F7B">
      <w:pPr>
        <w:pStyle w:val="Point1"/>
        <w:rPr>
          <w:noProof/>
        </w:rPr>
      </w:pPr>
      <w:r w:rsidRPr="00DD0F7B">
        <w:rPr>
          <w:noProof/>
        </w:rPr>
        <w:t>(i)</w:t>
      </w:r>
      <w:r w:rsidRPr="00DD0F7B">
        <w:rPr>
          <w:noProof/>
        </w:rPr>
        <w:tab/>
      </w:r>
      <w:r w:rsidR="007928B5" w:rsidRPr="00F91EC4">
        <w:rPr>
          <w:noProof/>
        </w:rPr>
        <w:t>other component</w:t>
      </w:r>
      <w:r w:rsidR="001448C7" w:rsidRPr="00F91EC4">
        <w:rPr>
          <w:noProof/>
        </w:rPr>
        <w:t xml:space="preserve"> type</w:t>
      </w:r>
      <w:r w:rsidR="007928B5" w:rsidRPr="00F91EC4">
        <w:rPr>
          <w:noProof/>
        </w:rPr>
        <w:t>s and their replacement parts</w:t>
      </w:r>
      <w:r w:rsidR="00D61A93" w:rsidRPr="00F91EC4">
        <w:rPr>
          <w:noProof/>
        </w:rPr>
        <w:t>;</w:t>
      </w:r>
    </w:p>
    <w:p w14:paraId="10CE9787" w14:textId="0241CDCC" w:rsidR="001448C7" w:rsidRPr="00F91EC4" w:rsidRDefault="00DD0F7B" w:rsidP="00DD0F7B">
      <w:pPr>
        <w:pStyle w:val="Point1"/>
        <w:rPr>
          <w:noProof/>
        </w:rPr>
      </w:pPr>
      <w:r w:rsidRPr="00DD0F7B">
        <w:rPr>
          <w:noProof/>
        </w:rPr>
        <w:t>(j)</w:t>
      </w:r>
      <w:r w:rsidRPr="00DD0F7B">
        <w:rPr>
          <w:noProof/>
        </w:rPr>
        <w:tab/>
      </w:r>
      <w:r w:rsidR="007E223B" w:rsidRPr="00F91EC4">
        <w:rPr>
          <w:noProof/>
        </w:rPr>
        <w:t>CO</w:t>
      </w:r>
      <w:r w:rsidR="007E223B" w:rsidRPr="00F91EC4">
        <w:rPr>
          <w:noProof/>
          <w:vertAlign w:val="subscript"/>
        </w:rPr>
        <w:t>2</w:t>
      </w:r>
      <w:r w:rsidR="00A62266" w:rsidRPr="00F91EC4">
        <w:rPr>
          <w:noProof/>
          <w:vertAlign w:val="subscript"/>
        </w:rPr>
        <w:t>,</w:t>
      </w:r>
      <w:r w:rsidR="00A62266" w:rsidRPr="00F91EC4">
        <w:rPr>
          <w:noProof/>
        </w:rPr>
        <w:t xml:space="preserve"> fuel and energy consumption, </w:t>
      </w:r>
      <w:r w:rsidR="00DF054C" w:rsidRPr="00F91EC4">
        <w:rPr>
          <w:noProof/>
        </w:rPr>
        <w:t xml:space="preserve">electric </w:t>
      </w:r>
      <w:r w:rsidR="00A62266" w:rsidRPr="00F91EC4">
        <w:rPr>
          <w:noProof/>
        </w:rPr>
        <w:t xml:space="preserve">range and engine power determination for </w:t>
      </w:r>
      <w:r w:rsidR="00D20776" w:rsidRPr="00F91EC4">
        <w:rPr>
          <w:noProof/>
        </w:rPr>
        <w:t>M</w:t>
      </w:r>
      <w:r w:rsidR="00D20776" w:rsidRPr="00F91EC4">
        <w:rPr>
          <w:noProof/>
          <w:vertAlign w:val="subscript"/>
        </w:rPr>
        <w:t>1</w:t>
      </w:r>
      <w:r w:rsidR="00D20776" w:rsidRPr="00F91EC4">
        <w:rPr>
          <w:noProof/>
        </w:rPr>
        <w:t>, N</w:t>
      </w:r>
      <w:r w:rsidR="00D20776" w:rsidRPr="00F91EC4">
        <w:rPr>
          <w:noProof/>
          <w:vertAlign w:val="subscript"/>
        </w:rPr>
        <w:t>1</w:t>
      </w:r>
      <w:r w:rsidR="007E223B" w:rsidRPr="00F91EC4">
        <w:rPr>
          <w:noProof/>
        </w:rPr>
        <w:t xml:space="preserve"> vehicle</w:t>
      </w:r>
      <w:r w:rsidR="00A62266" w:rsidRPr="00F91EC4">
        <w:rPr>
          <w:noProof/>
        </w:rPr>
        <w:t>s</w:t>
      </w:r>
      <w:r w:rsidR="00F91EC4" w:rsidRPr="00F91EC4">
        <w:rPr>
          <w:noProof/>
        </w:rPr>
        <w:t>, provisions for OBFCM</w:t>
      </w:r>
      <w:r w:rsidR="00D61A93" w:rsidRPr="00F91EC4">
        <w:rPr>
          <w:noProof/>
        </w:rPr>
        <w:t>;</w:t>
      </w:r>
    </w:p>
    <w:p w14:paraId="6097C8FE" w14:textId="24CDB267" w:rsidR="00D20776" w:rsidRPr="00F91EC4" w:rsidRDefault="00DD0F7B" w:rsidP="00DD0F7B">
      <w:pPr>
        <w:pStyle w:val="Point1"/>
        <w:rPr>
          <w:noProof/>
        </w:rPr>
      </w:pPr>
      <w:r w:rsidRPr="00DD0F7B">
        <w:rPr>
          <w:noProof/>
        </w:rPr>
        <w:t>(k)</w:t>
      </w:r>
      <w:r w:rsidRPr="00DD0F7B">
        <w:rPr>
          <w:noProof/>
        </w:rPr>
        <w:tab/>
      </w:r>
      <w:r w:rsidR="00A62266" w:rsidRPr="00F91EC4">
        <w:rPr>
          <w:noProof/>
        </w:rPr>
        <w:t>CO</w:t>
      </w:r>
      <w:r w:rsidR="00A62266" w:rsidRPr="00F91EC4">
        <w:rPr>
          <w:noProof/>
          <w:vertAlign w:val="subscript"/>
        </w:rPr>
        <w:t>2,</w:t>
      </w:r>
      <w:r w:rsidR="00A62266" w:rsidRPr="00F91EC4">
        <w:rPr>
          <w:noProof/>
        </w:rPr>
        <w:t xml:space="preserve"> fuel and energy consumption, </w:t>
      </w:r>
      <w:r w:rsidR="00963F15">
        <w:rPr>
          <w:noProof/>
        </w:rPr>
        <w:t xml:space="preserve">zero-emission range, </w:t>
      </w:r>
      <w:r w:rsidR="00DF054C" w:rsidRPr="00F91EC4">
        <w:rPr>
          <w:noProof/>
        </w:rPr>
        <w:t xml:space="preserve">electric </w:t>
      </w:r>
      <w:r w:rsidR="00A62266" w:rsidRPr="00F91EC4">
        <w:rPr>
          <w:noProof/>
        </w:rPr>
        <w:t xml:space="preserve">range and engine power </w:t>
      </w:r>
      <w:r w:rsidR="00D20776" w:rsidRPr="00F91EC4">
        <w:rPr>
          <w:noProof/>
        </w:rPr>
        <w:t>determination for M</w:t>
      </w:r>
      <w:r w:rsidR="00D20776" w:rsidRPr="00F91EC4">
        <w:rPr>
          <w:noProof/>
          <w:vertAlign w:val="subscript"/>
        </w:rPr>
        <w:t>2</w:t>
      </w:r>
      <w:r w:rsidR="00D20776" w:rsidRPr="00F91EC4">
        <w:rPr>
          <w:noProof/>
        </w:rPr>
        <w:t>, M</w:t>
      </w:r>
      <w:r w:rsidR="00D20776" w:rsidRPr="00F91EC4">
        <w:rPr>
          <w:noProof/>
          <w:vertAlign w:val="subscript"/>
        </w:rPr>
        <w:t>3</w:t>
      </w:r>
      <w:r w:rsidR="00D20776" w:rsidRPr="00F91EC4">
        <w:rPr>
          <w:noProof/>
        </w:rPr>
        <w:t>, N</w:t>
      </w:r>
      <w:r w:rsidR="00D20776" w:rsidRPr="00F91EC4">
        <w:rPr>
          <w:noProof/>
          <w:vertAlign w:val="subscript"/>
        </w:rPr>
        <w:t>2</w:t>
      </w:r>
      <w:r w:rsidR="00D20776" w:rsidRPr="00F91EC4">
        <w:rPr>
          <w:noProof/>
        </w:rPr>
        <w:t>, N</w:t>
      </w:r>
      <w:r w:rsidR="00D20776" w:rsidRPr="00F91EC4">
        <w:rPr>
          <w:noProof/>
          <w:vertAlign w:val="subscript"/>
        </w:rPr>
        <w:t>3</w:t>
      </w:r>
      <w:r w:rsidR="00D20776" w:rsidRPr="00F91EC4">
        <w:rPr>
          <w:noProof/>
        </w:rPr>
        <w:t xml:space="preserve"> vehicle</w:t>
      </w:r>
      <w:r w:rsidR="009401C2" w:rsidRPr="00F91EC4">
        <w:rPr>
          <w:noProof/>
        </w:rPr>
        <w:t>s</w:t>
      </w:r>
      <w:r w:rsidR="00963F15">
        <w:rPr>
          <w:noProof/>
        </w:rPr>
        <w:t xml:space="preserve">, energy efficiency </w:t>
      </w:r>
      <w:r w:rsidR="00A62266" w:rsidRPr="00F91EC4">
        <w:rPr>
          <w:noProof/>
        </w:rPr>
        <w:t>of O</w:t>
      </w:r>
      <w:r w:rsidR="00A62266" w:rsidRPr="00F91EC4">
        <w:rPr>
          <w:noProof/>
          <w:vertAlign w:val="subscript"/>
        </w:rPr>
        <w:t>3</w:t>
      </w:r>
      <w:r w:rsidR="00A62266" w:rsidRPr="00F91EC4">
        <w:rPr>
          <w:noProof/>
        </w:rPr>
        <w:t>, O</w:t>
      </w:r>
      <w:r w:rsidR="00A62266" w:rsidRPr="00F91EC4">
        <w:rPr>
          <w:noProof/>
          <w:vertAlign w:val="subscript"/>
        </w:rPr>
        <w:t>4</w:t>
      </w:r>
      <w:r w:rsidR="00A62266" w:rsidRPr="00F91EC4">
        <w:rPr>
          <w:noProof/>
        </w:rPr>
        <w:t xml:space="preserve"> trailers</w:t>
      </w:r>
      <w:r w:rsidR="00F91EC4" w:rsidRPr="00F91EC4">
        <w:rPr>
          <w:noProof/>
        </w:rPr>
        <w:t>, provisions for OBFCM</w:t>
      </w:r>
      <w:r w:rsidR="00D20776" w:rsidRPr="00F91EC4">
        <w:rPr>
          <w:noProof/>
        </w:rPr>
        <w:t>.</w:t>
      </w:r>
    </w:p>
    <w:p w14:paraId="3A06A5E5" w14:textId="220494D0" w:rsidR="001A3618" w:rsidRPr="00014266" w:rsidRDefault="00DD0F7B" w:rsidP="00DD0F7B">
      <w:pPr>
        <w:pStyle w:val="ManualNumPar1"/>
        <w:rPr>
          <w:noProof/>
        </w:rPr>
      </w:pPr>
      <w:r w:rsidRPr="00DD0F7B">
        <w:rPr>
          <w:noProof/>
        </w:rPr>
        <w:t>4.</w:t>
      </w:r>
      <w:r w:rsidRPr="00DD0F7B">
        <w:rPr>
          <w:noProof/>
        </w:rPr>
        <w:tab/>
      </w:r>
      <w:r w:rsidR="001A3618" w:rsidRPr="00014266">
        <w:rPr>
          <w:noProof/>
        </w:rPr>
        <w:t xml:space="preserve">The Commission </w:t>
      </w:r>
      <w:r w:rsidR="00787D9D" w:rsidRPr="00014266">
        <w:rPr>
          <w:noProof/>
        </w:rPr>
        <w:t xml:space="preserve">shall be empowered to </w:t>
      </w:r>
      <w:r w:rsidR="001A3618" w:rsidRPr="00014266">
        <w:rPr>
          <w:noProof/>
        </w:rPr>
        <w:t xml:space="preserve">adopt </w:t>
      </w:r>
      <w:r w:rsidR="009150E2" w:rsidRPr="00014266">
        <w:rPr>
          <w:noProof/>
        </w:rPr>
        <w:t>implementing acts</w:t>
      </w:r>
      <w:r w:rsidR="001A3618" w:rsidRPr="00014266">
        <w:rPr>
          <w:noProof/>
        </w:rPr>
        <w:t xml:space="preserve"> </w:t>
      </w:r>
      <w:r w:rsidR="001A230D" w:rsidRPr="00014266">
        <w:rPr>
          <w:noProof/>
        </w:rPr>
        <w:t xml:space="preserve">for </w:t>
      </w:r>
      <w:r w:rsidR="00715EB7" w:rsidRPr="00014266">
        <w:rPr>
          <w:noProof/>
        </w:rPr>
        <w:t xml:space="preserve">all phases of the emission </w:t>
      </w:r>
      <w:r w:rsidR="00976BDB" w:rsidRPr="00014266">
        <w:rPr>
          <w:noProof/>
        </w:rPr>
        <w:t>type-approval</w:t>
      </w:r>
      <w:r w:rsidR="00033DF2" w:rsidRPr="00014266">
        <w:rPr>
          <w:noProof/>
        </w:rPr>
        <w:t>,</w:t>
      </w:r>
      <w:r w:rsidR="00715EB7" w:rsidRPr="00014266">
        <w:rPr>
          <w:noProof/>
        </w:rPr>
        <w:t xml:space="preserve"> including in-service conformity, conformity of production and market surveillance</w:t>
      </w:r>
      <w:r w:rsidR="00033DF2" w:rsidRPr="00014266">
        <w:rPr>
          <w:noProof/>
        </w:rPr>
        <w:t>,</w:t>
      </w:r>
      <w:r w:rsidR="00715EB7" w:rsidRPr="00014266">
        <w:rPr>
          <w:noProof/>
        </w:rPr>
        <w:t xml:space="preserve"> </w:t>
      </w:r>
      <w:r w:rsidR="00033DF2" w:rsidRPr="00014266">
        <w:rPr>
          <w:noProof/>
        </w:rPr>
        <w:t xml:space="preserve">to lay down the </w:t>
      </w:r>
      <w:r w:rsidR="001A3618" w:rsidRPr="00014266">
        <w:rPr>
          <w:noProof/>
        </w:rPr>
        <w:t>following:</w:t>
      </w:r>
    </w:p>
    <w:p w14:paraId="2C171211" w14:textId="64E78C77" w:rsidR="001A3618" w:rsidRPr="00F91EC4" w:rsidRDefault="00DD0F7B" w:rsidP="00DD0F7B">
      <w:pPr>
        <w:pStyle w:val="Point1"/>
        <w:rPr>
          <w:noProof/>
        </w:rPr>
      </w:pPr>
      <w:r w:rsidRPr="00DD0F7B">
        <w:rPr>
          <w:noProof/>
        </w:rPr>
        <w:t>(a)</w:t>
      </w:r>
      <w:r w:rsidRPr="00DD0F7B">
        <w:rPr>
          <w:noProof/>
        </w:rPr>
        <w:tab/>
      </w:r>
      <w:r w:rsidR="00033DF2" w:rsidRPr="00F91EC4">
        <w:rPr>
          <w:noProof/>
        </w:rPr>
        <w:t xml:space="preserve">the </w:t>
      </w:r>
      <w:r w:rsidR="00787D9D" w:rsidRPr="00F91EC4">
        <w:rPr>
          <w:noProof/>
        </w:rPr>
        <w:t>m</w:t>
      </w:r>
      <w:r w:rsidR="00FB67FB" w:rsidRPr="00F91EC4">
        <w:rPr>
          <w:noProof/>
        </w:rPr>
        <w:t xml:space="preserve">ethods to measure </w:t>
      </w:r>
      <w:r w:rsidR="00A662E0" w:rsidRPr="00F91EC4">
        <w:rPr>
          <w:noProof/>
        </w:rPr>
        <w:t xml:space="preserve">exhaust </w:t>
      </w:r>
      <w:r w:rsidR="001A3618" w:rsidRPr="00F91EC4">
        <w:rPr>
          <w:noProof/>
        </w:rPr>
        <w:t>emissions</w:t>
      </w:r>
      <w:r w:rsidR="00AC1EB1" w:rsidRPr="00F91EC4">
        <w:rPr>
          <w:noProof/>
        </w:rPr>
        <w:t xml:space="preserve"> in the lab and on the road</w:t>
      </w:r>
      <w:r w:rsidR="001A3618" w:rsidRPr="00F91EC4">
        <w:rPr>
          <w:noProof/>
        </w:rPr>
        <w:t xml:space="preserve">, including </w:t>
      </w:r>
      <w:r w:rsidR="00F46FBE" w:rsidRPr="00F91EC4">
        <w:rPr>
          <w:noProof/>
        </w:rPr>
        <w:t xml:space="preserve">random </w:t>
      </w:r>
      <w:r w:rsidR="00806060" w:rsidRPr="00F91EC4">
        <w:rPr>
          <w:noProof/>
        </w:rPr>
        <w:t xml:space="preserve">and worst-case </w:t>
      </w:r>
      <w:r w:rsidR="00F46FBE" w:rsidRPr="00F91EC4">
        <w:rPr>
          <w:noProof/>
        </w:rPr>
        <w:t xml:space="preserve">RDE </w:t>
      </w:r>
      <w:r w:rsidR="001A3618" w:rsidRPr="00F91EC4">
        <w:rPr>
          <w:noProof/>
        </w:rPr>
        <w:t xml:space="preserve">test cycles, the use of portable emissions measurement systems for verifying real driving emissions, </w:t>
      </w:r>
      <w:r w:rsidR="00FB67FB" w:rsidRPr="00F91EC4">
        <w:rPr>
          <w:noProof/>
        </w:rPr>
        <w:t xml:space="preserve">and </w:t>
      </w:r>
      <w:r w:rsidR="00787D9D" w:rsidRPr="00F91EC4">
        <w:rPr>
          <w:noProof/>
        </w:rPr>
        <w:t xml:space="preserve">idle </w:t>
      </w:r>
      <w:r w:rsidR="001A3618" w:rsidRPr="00F91EC4">
        <w:rPr>
          <w:noProof/>
        </w:rPr>
        <w:t>emissions;</w:t>
      </w:r>
    </w:p>
    <w:p w14:paraId="0C1CE1C8" w14:textId="2D49023C" w:rsidR="002D33FD" w:rsidRPr="00F91EC4" w:rsidRDefault="00DD0F7B" w:rsidP="00DD0F7B">
      <w:pPr>
        <w:pStyle w:val="Point1"/>
        <w:rPr>
          <w:noProof/>
        </w:rPr>
      </w:pPr>
      <w:r w:rsidRPr="00DD0F7B">
        <w:rPr>
          <w:noProof/>
        </w:rPr>
        <w:t>(b)</w:t>
      </w:r>
      <w:r w:rsidRPr="00DD0F7B">
        <w:rPr>
          <w:noProof/>
        </w:rPr>
        <w:tab/>
      </w:r>
      <w:r w:rsidR="00033DF2" w:rsidRPr="00F91EC4">
        <w:rPr>
          <w:noProof/>
        </w:rPr>
        <w:t xml:space="preserve">the </w:t>
      </w:r>
      <w:r w:rsidR="00787D9D" w:rsidRPr="00F91EC4">
        <w:rPr>
          <w:noProof/>
        </w:rPr>
        <w:t xml:space="preserve">methods </w:t>
      </w:r>
      <w:r w:rsidR="00901C57" w:rsidRPr="00F91EC4">
        <w:rPr>
          <w:noProof/>
        </w:rPr>
        <w:t xml:space="preserve">to </w:t>
      </w:r>
      <w:r w:rsidR="00DA7985" w:rsidRPr="00F91EC4">
        <w:rPr>
          <w:noProof/>
        </w:rPr>
        <w:t xml:space="preserve">determine </w:t>
      </w:r>
      <w:r w:rsidR="00787D9D" w:rsidRPr="00F91EC4">
        <w:rPr>
          <w:noProof/>
        </w:rPr>
        <w:t xml:space="preserve">the </w:t>
      </w:r>
      <w:r w:rsidR="008D6160" w:rsidRPr="00F91EC4">
        <w:rPr>
          <w:noProof/>
        </w:rPr>
        <w:t>CO</w:t>
      </w:r>
      <w:r w:rsidR="008D6160" w:rsidRPr="00F91EC4">
        <w:rPr>
          <w:noProof/>
          <w:vertAlign w:val="subscript"/>
        </w:rPr>
        <w:t>2</w:t>
      </w:r>
      <w:r w:rsidR="00787D9D" w:rsidRPr="00F91EC4">
        <w:rPr>
          <w:noProof/>
        </w:rPr>
        <w:t xml:space="preserve"> emissions</w:t>
      </w:r>
      <w:r w:rsidR="008D6160" w:rsidRPr="00F91EC4">
        <w:rPr>
          <w:noProof/>
          <w:vertAlign w:val="subscript"/>
        </w:rPr>
        <w:t>,</w:t>
      </w:r>
      <w:r w:rsidR="008D6160" w:rsidRPr="00F91EC4">
        <w:rPr>
          <w:noProof/>
        </w:rPr>
        <w:t xml:space="preserve"> fuel and energy consumption, </w:t>
      </w:r>
      <w:r w:rsidR="00963F15">
        <w:rPr>
          <w:noProof/>
        </w:rPr>
        <w:t xml:space="preserve">zero-emission range, </w:t>
      </w:r>
      <w:r w:rsidR="008D6160" w:rsidRPr="00F91EC4">
        <w:rPr>
          <w:noProof/>
        </w:rPr>
        <w:t>electric range and engine power of a motor vehicle</w:t>
      </w:r>
      <w:r w:rsidR="002D33FD" w:rsidRPr="00F91EC4">
        <w:rPr>
          <w:noProof/>
        </w:rPr>
        <w:t xml:space="preserve">; </w:t>
      </w:r>
    </w:p>
    <w:p w14:paraId="4B0E73B2" w14:textId="20C47F01" w:rsidR="00901C57" w:rsidRPr="00F91EC4" w:rsidRDefault="00DD0F7B" w:rsidP="00DD0F7B">
      <w:pPr>
        <w:pStyle w:val="Point1"/>
        <w:rPr>
          <w:noProof/>
        </w:rPr>
      </w:pPr>
      <w:r w:rsidRPr="00DD0F7B">
        <w:rPr>
          <w:noProof/>
        </w:rPr>
        <w:t>(c)</w:t>
      </w:r>
      <w:r w:rsidRPr="00DD0F7B">
        <w:rPr>
          <w:noProof/>
        </w:rPr>
        <w:tab/>
      </w:r>
      <w:r w:rsidR="00033DF2" w:rsidRPr="00F91EC4">
        <w:rPr>
          <w:noProof/>
        </w:rPr>
        <w:t xml:space="preserve">the </w:t>
      </w:r>
      <w:r w:rsidR="00D61A93" w:rsidRPr="00F91EC4">
        <w:rPr>
          <w:noProof/>
        </w:rPr>
        <w:t>m</w:t>
      </w:r>
      <w:r w:rsidR="002D33FD" w:rsidRPr="00F91EC4">
        <w:rPr>
          <w:noProof/>
        </w:rPr>
        <w:t xml:space="preserve">ethods, requirements and technical specifications for </w:t>
      </w:r>
      <w:r w:rsidR="00033DF2" w:rsidRPr="00F91EC4">
        <w:rPr>
          <w:noProof/>
        </w:rPr>
        <w:t>g</w:t>
      </w:r>
      <w:r w:rsidR="002D33FD" w:rsidRPr="00F91EC4">
        <w:rPr>
          <w:noProof/>
        </w:rPr>
        <w:t xml:space="preserve">ear </w:t>
      </w:r>
      <w:r w:rsidR="00033DF2" w:rsidRPr="00F91EC4">
        <w:rPr>
          <w:noProof/>
        </w:rPr>
        <w:t>s</w:t>
      </w:r>
      <w:r w:rsidR="002D33FD" w:rsidRPr="00F91EC4">
        <w:rPr>
          <w:noProof/>
        </w:rPr>
        <w:t xml:space="preserve">hift </w:t>
      </w:r>
      <w:r w:rsidR="00033DF2" w:rsidRPr="00F91EC4">
        <w:rPr>
          <w:noProof/>
        </w:rPr>
        <w:t>i</w:t>
      </w:r>
      <w:r w:rsidR="002D33FD" w:rsidRPr="00F91EC4">
        <w:rPr>
          <w:noProof/>
        </w:rPr>
        <w:t>ndicator</w:t>
      </w:r>
      <w:r w:rsidR="00635416" w:rsidRPr="00F91EC4">
        <w:rPr>
          <w:noProof/>
        </w:rPr>
        <w:t>s</w:t>
      </w:r>
      <w:r w:rsidR="00901C57" w:rsidRPr="00F91EC4">
        <w:rPr>
          <w:noProof/>
        </w:rPr>
        <w:t>;</w:t>
      </w:r>
    </w:p>
    <w:p w14:paraId="04795CCB" w14:textId="5305CE34" w:rsidR="00DA7985" w:rsidRPr="00F91EC4" w:rsidRDefault="00DD0F7B" w:rsidP="00DD0F7B">
      <w:pPr>
        <w:pStyle w:val="Point1"/>
        <w:rPr>
          <w:noProof/>
        </w:rPr>
      </w:pPr>
      <w:r w:rsidRPr="00DD0F7B">
        <w:rPr>
          <w:noProof/>
        </w:rPr>
        <w:t>(d)</w:t>
      </w:r>
      <w:r w:rsidRPr="00DD0F7B">
        <w:rPr>
          <w:noProof/>
        </w:rPr>
        <w:tab/>
      </w:r>
      <w:r w:rsidR="00033DF2" w:rsidRPr="00F91EC4">
        <w:rPr>
          <w:noProof/>
        </w:rPr>
        <w:t xml:space="preserve">the </w:t>
      </w:r>
      <w:r w:rsidR="00787D9D" w:rsidRPr="00F91EC4">
        <w:rPr>
          <w:noProof/>
        </w:rPr>
        <w:t xml:space="preserve">methods </w:t>
      </w:r>
      <w:r w:rsidR="00901C57" w:rsidRPr="00F91EC4">
        <w:rPr>
          <w:noProof/>
        </w:rPr>
        <w:t xml:space="preserve">to determine the </w:t>
      </w:r>
      <w:r w:rsidR="00963F15">
        <w:rPr>
          <w:noProof/>
        </w:rPr>
        <w:t>energy efficiency</w:t>
      </w:r>
      <w:r w:rsidR="00963F15" w:rsidRPr="00F91EC4">
        <w:rPr>
          <w:noProof/>
        </w:rPr>
        <w:t xml:space="preserve"> </w:t>
      </w:r>
      <w:r w:rsidR="00901C57" w:rsidRPr="00F91EC4">
        <w:rPr>
          <w:noProof/>
        </w:rPr>
        <w:t xml:space="preserve">of </w:t>
      </w:r>
      <w:r w:rsidR="008D6160" w:rsidRPr="00F91EC4">
        <w:rPr>
          <w:noProof/>
        </w:rPr>
        <w:t>O</w:t>
      </w:r>
      <w:r w:rsidR="008D6160" w:rsidRPr="00F91EC4">
        <w:rPr>
          <w:noProof/>
          <w:vertAlign w:val="subscript"/>
        </w:rPr>
        <w:t>3</w:t>
      </w:r>
      <w:r w:rsidR="008D6160" w:rsidRPr="00F91EC4">
        <w:rPr>
          <w:noProof/>
        </w:rPr>
        <w:t>, O</w:t>
      </w:r>
      <w:r w:rsidR="008D6160" w:rsidRPr="00F91EC4">
        <w:rPr>
          <w:noProof/>
          <w:vertAlign w:val="subscript"/>
        </w:rPr>
        <w:t>4</w:t>
      </w:r>
      <w:r w:rsidR="00901C57" w:rsidRPr="00F91EC4">
        <w:rPr>
          <w:noProof/>
        </w:rPr>
        <w:t xml:space="preserve"> </w:t>
      </w:r>
      <w:r w:rsidR="008D6160" w:rsidRPr="00F91EC4">
        <w:rPr>
          <w:noProof/>
        </w:rPr>
        <w:t>trailers</w:t>
      </w:r>
      <w:r w:rsidR="00DA7985" w:rsidRPr="00F91EC4">
        <w:rPr>
          <w:noProof/>
        </w:rPr>
        <w:t xml:space="preserve">; </w:t>
      </w:r>
    </w:p>
    <w:p w14:paraId="3EE98527" w14:textId="362560F8" w:rsidR="001A3618" w:rsidRPr="00F91EC4" w:rsidRDefault="00DD0F7B" w:rsidP="00DD0F7B">
      <w:pPr>
        <w:pStyle w:val="Point1"/>
        <w:rPr>
          <w:noProof/>
        </w:rPr>
      </w:pPr>
      <w:r w:rsidRPr="00DD0F7B">
        <w:rPr>
          <w:noProof/>
        </w:rPr>
        <w:t>(e)</w:t>
      </w:r>
      <w:r w:rsidRPr="00DD0F7B">
        <w:rPr>
          <w:noProof/>
        </w:rPr>
        <w:tab/>
      </w:r>
      <w:r w:rsidR="00033DF2" w:rsidRPr="00F91EC4">
        <w:rPr>
          <w:noProof/>
        </w:rPr>
        <w:t xml:space="preserve">the </w:t>
      </w:r>
      <w:r w:rsidR="00787D9D" w:rsidRPr="00F91EC4">
        <w:rPr>
          <w:noProof/>
        </w:rPr>
        <w:t xml:space="preserve">methods </w:t>
      </w:r>
      <w:r w:rsidR="00FB67FB" w:rsidRPr="00F91EC4">
        <w:rPr>
          <w:noProof/>
        </w:rPr>
        <w:t xml:space="preserve">to measure </w:t>
      </w:r>
      <w:r w:rsidR="001A3618" w:rsidRPr="00F91EC4">
        <w:rPr>
          <w:noProof/>
        </w:rPr>
        <w:t>crankcase emissions;</w:t>
      </w:r>
    </w:p>
    <w:p w14:paraId="1FA605DB" w14:textId="357A769E" w:rsidR="001A3618" w:rsidRPr="00F91EC4" w:rsidRDefault="00DD0F7B" w:rsidP="00DD0F7B">
      <w:pPr>
        <w:pStyle w:val="Point1"/>
        <w:rPr>
          <w:noProof/>
        </w:rPr>
      </w:pPr>
      <w:r w:rsidRPr="00DD0F7B">
        <w:rPr>
          <w:noProof/>
        </w:rPr>
        <w:t>(f)</w:t>
      </w:r>
      <w:r w:rsidRPr="00DD0F7B">
        <w:rPr>
          <w:noProof/>
        </w:rPr>
        <w:tab/>
      </w:r>
      <w:r w:rsidR="00033DF2" w:rsidRPr="00F91EC4">
        <w:rPr>
          <w:noProof/>
        </w:rPr>
        <w:t xml:space="preserve">the </w:t>
      </w:r>
      <w:r w:rsidR="00787D9D" w:rsidRPr="00F91EC4">
        <w:rPr>
          <w:noProof/>
        </w:rPr>
        <w:t xml:space="preserve">methods </w:t>
      </w:r>
      <w:r w:rsidR="00AC1EB1" w:rsidRPr="00F91EC4">
        <w:rPr>
          <w:noProof/>
        </w:rPr>
        <w:t xml:space="preserve">to measure </w:t>
      </w:r>
      <w:r w:rsidR="001A3618" w:rsidRPr="00F91EC4">
        <w:rPr>
          <w:noProof/>
        </w:rPr>
        <w:t>evaporative emissions;</w:t>
      </w:r>
    </w:p>
    <w:p w14:paraId="3F3B707C" w14:textId="5FAAC5FD" w:rsidR="001A3618" w:rsidRDefault="00DD0F7B" w:rsidP="00DD0F7B">
      <w:pPr>
        <w:pStyle w:val="Point1"/>
        <w:rPr>
          <w:noProof/>
        </w:rPr>
      </w:pPr>
      <w:r w:rsidRPr="00DD0F7B">
        <w:rPr>
          <w:noProof/>
        </w:rPr>
        <w:t>(g)</w:t>
      </w:r>
      <w:r w:rsidRPr="00DD0F7B">
        <w:rPr>
          <w:noProof/>
        </w:rPr>
        <w:tab/>
      </w:r>
      <w:r w:rsidR="00033DF2" w:rsidRPr="00F91EC4">
        <w:rPr>
          <w:noProof/>
        </w:rPr>
        <w:t xml:space="preserve">the </w:t>
      </w:r>
      <w:r w:rsidR="00787D9D" w:rsidRPr="00F91EC4">
        <w:rPr>
          <w:noProof/>
        </w:rPr>
        <w:t xml:space="preserve">methods </w:t>
      </w:r>
      <w:r w:rsidR="00AC1EB1" w:rsidRPr="00F91EC4">
        <w:rPr>
          <w:noProof/>
        </w:rPr>
        <w:t xml:space="preserve">to measure </w:t>
      </w:r>
      <w:r w:rsidR="001A3618" w:rsidRPr="00F91EC4">
        <w:rPr>
          <w:noProof/>
        </w:rPr>
        <w:t xml:space="preserve">brake </w:t>
      </w:r>
      <w:r w:rsidR="00963F15">
        <w:rPr>
          <w:noProof/>
        </w:rPr>
        <w:t xml:space="preserve">particle </w:t>
      </w:r>
      <w:r w:rsidR="001A3618" w:rsidRPr="00F91EC4">
        <w:rPr>
          <w:noProof/>
        </w:rPr>
        <w:t>emissions</w:t>
      </w:r>
      <w:r w:rsidR="00F63C1E" w:rsidRPr="00F91EC4">
        <w:rPr>
          <w:noProof/>
        </w:rPr>
        <w:t>, including</w:t>
      </w:r>
      <w:r w:rsidR="00370DAA" w:rsidRPr="00F91EC4">
        <w:rPr>
          <w:noProof/>
        </w:rPr>
        <w:t xml:space="preserve"> </w:t>
      </w:r>
      <w:r w:rsidR="00F63C1E" w:rsidRPr="00F91EC4">
        <w:rPr>
          <w:noProof/>
        </w:rPr>
        <w:t xml:space="preserve">methods for HDV, real driving </w:t>
      </w:r>
      <w:r w:rsidR="00370DAA" w:rsidRPr="00F91EC4">
        <w:rPr>
          <w:noProof/>
        </w:rPr>
        <w:t xml:space="preserve">brake </w:t>
      </w:r>
      <w:r w:rsidR="00963F15">
        <w:rPr>
          <w:noProof/>
        </w:rPr>
        <w:t xml:space="preserve">particle </w:t>
      </w:r>
      <w:r w:rsidR="00F63C1E" w:rsidRPr="00F91EC4">
        <w:rPr>
          <w:noProof/>
        </w:rPr>
        <w:t>emissions and regenerative braking</w:t>
      </w:r>
      <w:r w:rsidR="001A3618" w:rsidRPr="00F91EC4">
        <w:rPr>
          <w:noProof/>
        </w:rPr>
        <w:t>;</w:t>
      </w:r>
    </w:p>
    <w:p w14:paraId="66571B4A" w14:textId="6E4ECA10" w:rsidR="005A05DE" w:rsidRPr="00F91EC4" w:rsidRDefault="00DD0F7B" w:rsidP="00DD0F7B">
      <w:pPr>
        <w:pStyle w:val="Point1"/>
        <w:rPr>
          <w:noProof/>
        </w:rPr>
      </w:pPr>
      <w:r w:rsidRPr="00DD0F7B">
        <w:rPr>
          <w:noProof/>
        </w:rPr>
        <w:t>(h)</w:t>
      </w:r>
      <w:r w:rsidRPr="00DD0F7B">
        <w:rPr>
          <w:noProof/>
        </w:rPr>
        <w:tab/>
      </w:r>
      <w:r w:rsidR="005A05DE">
        <w:rPr>
          <w:noProof/>
        </w:rPr>
        <w:t>the methods to measure tyre abrasion in order to monitor tyre abrasion rates;</w:t>
      </w:r>
    </w:p>
    <w:p w14:paraId="36BEC258" w14:textId="4EE6260E" w:rsidR="001A3618" w:rsidRPr="00F91EC4" w:rsidRDefault="00DD0F7B" w:rsidP="00DD0F7B">
      <w:pPr>
        <w:pStyle w:val="Point1"/>
        <w:rPr>
          <w:noProof/>
        </w:rPr>
      </w:pPr>
      <w:r w:rsidRPr="00DD0F7B">
        <w:rPr>
          <w:noProof/>
        </w:rPr>
        <w:t>(i)</w:t>
      </w:r>
      <w:r w:rsidRPr="00DD0F7B">
        <w:rPr>
          <w:noProof/>
        </w:rPr>
        <w:tab/>
      </w:r>
      <w:r w:rsidR="0095787D" w:rsidRPr="00F91EC4">
        <w:rPr>
          <w:noProof/>
        </w:rPr>
        <w:t xml:space="preserve">the </w:t>
      </w:r>
      <w:r w:rsidR="00787D9D" w:rsidRPr="00F91EC4">
        <w:rPr>
          <w:noProof/>
        </w:rPr>
        <w:t xml:space="preserve">methods </w:t>
      </w:r>
      <w:r w:rsidR="00AC1EB1" w:rsidRPr="00F91EC4">
        <w:rPr>
          <w:noProof/>
        </w:rPr>
        <w:t>to evaluate compliance with minimum performance requirements</w:t>
      </w:r>
      <w:r w:rsidR="00A6763A" w:rsidRPr="00F91EC4">
        <w:rPr>
          <w:noProof/>
        </w:rPr>
        <w:t xml:space="preserve"> of battery durability</w:t>
      </w:r>
      <w:r w:rsidR="001A3618" w:rsidRPr="00F91EC4">
        <w:rPr>
          <w:noProof/>
        </w:rPr>
        <w:t>;</w:t>
      </w:r>
    </w:p>
    <w:p w14:paraId="4F32895A" w14:textId="41F0D347" w:rsidR="001A3618" w:rsidRPr="00F91EC4" w:rsidRDefault="00DD0F7B" w:rsidP="00DD0F7B">
      <w:pPr>
        <w:pStyle w:val="Point1"/>
        <w:rPr>
          <w:noProof/>
        </w:rPr>
      </w:pPr>
      <w:r w:rsidRPr="00DD0F7B">
        <w:rPr>
          <w:noProof/>
        </w:rPr>
        <w:t>(j)</w:t>
      </w:r>
      <w:r w:rsidRPr="00DD0F7B">
        <w:rPr>
          <w:noProof/>
        </w:rPr>
        <w:tab/>
      </w:r>
      <w:r w:rsidR="00DA7985" w:rsidRPr="00F91EC4">
        <w:rPr>
          <w:noProof/>
        </w:rPr>
        <w:t>OBFCM</w:t>
      </w:r>
      <w:r w:rsidR="002E1F88" w:rsidRPr="00F91EC4">
        <w:rPr>
          <w:noProof/>
        </w:rPr>
        <w:t xml:space="preserve"> device</w:t>
      </w:r>
      <w:r w:rsidR="00DA7985" w:rsidRPr="00F91EC4">
        <w:rPr>
          <w:noProof/>
        </w:rPr>
        <w:t xml:space="preserve">, </w:t>
      </w:r>
      <w:r w:rsidR="001A3618" w:rsidRPr="00F91EC4">
        <w:rPr>
          <w:noProof/>
        </w:rPr>
        <w:t>OB</w:t>
      </w:r>
      <w:r w:rsidR="00EB4EF9" w:rsidRPr="00F91EC4">
        <w:rPr>
          <w:noProof/>
        </w:rPr>
        <w:t>D and OB</w:t>
      </w:r>
      <w:r w:rsidR="001A3618" w:rsidRPr="00F91EC4">
        <w:rPr>
          <w:noProof/>
        </w:rPr>
        <w:t>M systems</w:t>
      </w:r>
      <w:r w:rsidR="0095787D" w:rsidRPr="00F91EC4">
        <w:rPr>
          <w:noProof/>
        </w:rPr>
        <w:t>,</w:t>
      </w:r>
      <w:r w:rsidR="00F63C1E" w:rsidRPr="00F91EC4">
        <w:rPr>
          <w:noProof/>
        </w:rPr>
        <w:t xml:space="preserve"> </w:t>
      </w:r>
      <w:r w:rsidR="00924433" w:rsidRPr="00F91EC4">
        <w:rPr>
          <w:noProof/>
        </w:rPr>
        <w:t xml:space="preserve">including </w:t>
      </w:r>
      <w:r w:rsidR="005A4977" w:rsidRPr="00F91EC4">
        <w:rPr>
          <w:noProof/>
        </w:rPr>
        <w:t xml:space="preserve">compliance thresholds, </w:t>
      </w:r>
      <w:r w:rsidR="00F63C1E" w:rsidRPr="00F91EC4">
        <w:rPr>
          <w:noProof/>
        </w:rPr>
        <w:t>performance requirements and tests, methods</w:t>
      </w:r>
      <w:r w:rsidR="00F346A8" w:rsidRPr="00F91EC4">
        <w:rPr>
          <w:noProof/>
        </w:rPr>
        <w:t xml:space="preserve"> to ensure performance of sensors</w:t>
      </w:r>
      <w:r w:rsidR="00924433" w:rsidRPr="00F91EC4">
        <w:rPr>
          <w:noProof/>
        </w:rPr>
        <w:t xml:space="preserve"> and</w:t>
      </w:r>
      <w:r w:rsidR="004F715E" w:rsidRPr="00F91EC4">
        <w:rPr>
          <w:noProof/>
        </w:rPr>
        <w:t xml:space="preserve"> </w:t>
      </w:r>
      <w:r w:rsidR="00D51DFC" w:rsidRPr="00F91EC4">
        <w:rPr>
          <w:noProof/>
        </w:rPr>
        <w:t>over the air</w:t>
      </w:r>
      <w:r w:rsidR="004F715E" w:rsidRPr="00F91EC4">
        <w:rPr>
          <w:noProof/>
        </w:rPr>
        <w:t xml:space="preserve"> communication of data </w:t>
      </w:r>
      <w:r w:rsidR="00A7221C" w:rsidRPr="00F91EC4">
        <w:rPr>
          <w:noProof/>
        </w:rPr>
        <w:t>recorded</w:t>
      </w:r>
      <w:r w:rsidR="004F715E" w:rsidRPr="00F91EC4">
        <w:rPr>
          <w:noProof/>
        </w:rPr>
        <w:t xml:space="preserve"> by these </w:t>
      </w:r>
      <w:r w:rsidR="00963F15">
        <w:rPr>
          <w:noProof/>
        </w:rPr>
        <w:t xml:space="preserve">devices and </w:t>
      </w:r>
      <w:r w:rsidR="004F715E" w:rsidRPr="00F91EC4">
        <w:rPr>
          <w:noProof/>
        </w:rPr>
        <w:t>systems</w:t>
      </w:r>
      <w:r w:rsidR="001A3618" w:rsidRPr="00F91EC4">
        <w:rPr>
          <w:noProof/>
        </w:rPr>
        <w:t>;</w:t>
      </w:r>
    </w:p>
    <w:p w14:paraId="60CC244D" w14:textId="26EBDFAE" w:rsidR="00CD2A1A" w:rsidRPr="00F91EC4" w:rsidRDefault="00DD0F7B" w:rsidP="00DD0F7B">
      <w:pPr>
        <w:pStyle w:val="Point1"/>
        <w:rPr>
          <w:noProof/>
        </w:rPr>
      </w:pPr>
      <w:r w:rsidRPr="00DD0F7B">
        <w:rPr>
          <w:noProof/>
        </w:rPr>
        <w:t>(k)</w:t>
      </w:r>
      <w:r w:rsidRPr="00DD0F7B">
        <w:rPr>
          <w:noProof/>
        </w:rPr>
        <w:tab/>
      </w:r>
      <w:r w:rsidR="00CD2A1A" w:rsidRPr="00F91EC4">
        <w:rPr>
          <w:noProof/>
        </w:rPr>
        <w:t>characteristics and performance of driver warning systems and inducement methods and method to assess their correct operation;</w:t>
      </w:r>
    </w:p>
    <w:p w14:paraId="12997950" w14:textId="7564610B" w:rsidR="001A3618" w:rsidRPr="00F91EC4" w:rsidRDefault="00DD0F7B" w:rsidP="00DD0F7B">
      <w:pPr>
        <w:pStyle w:val="Point1"/>
        <w:rPr>
          <w:noProof/>
        </w:rPr>
      </w:pPr>
      <w:r w:rsidRPr="00DD0F7B">
        <w:rPr>
          <w:noProof/>
        </w:rPr>
        <w:t>(l)</w:t>
      </w:r>
      <w:r w:rsidRPr="00DD0F7B">
        <w:rPr>
          <w:noProof/>
        </w:rPr>
        <w:tab/>
      </w:r>
      <w:r w:rsidR="0090197C" w:rsidRPr="00F91EC4">
        <w:rPr>
          <w:noProof/>
        </w:rPr>
        <w:t xml:space="preserve">the </w:t>
      </w:r>
      <w:r w:rsidR="00787D9D" w:rsidRPr="00F91EC4">
        <w:rPr>
          <w:noProof/>
        </w:rPr>
        <w:t xml:space="preserve">methods </w:t>
      </w:r>
      <w:r w:rsidR="00F346A8" w:rsidRPr="00F91EC4">
        <w:rPr>
          <w:noProof/>
        </w:rPr>
        <w:t xml:space="preserve">to assess the </w:t>
      </w:r>
      <w:r w:rsidR="008D6160" w:rsidRPr="00F91EC4">
        <w:rPr>
          <w:noProof/>
        </w:rPr>
        <w:t xml:space="preserve">correct operation, </w:t>
      </w:r>
      <w:r w:rsidR="00F346A8" w:rsidRPr="00F91EC4">
        <w:rPr>
          <w:noProof/>
        </w:rPr>
        <w:t>effectiveness</w:t>
      </w:r>
      <w:r w:rsidR="008D6160" w:rsidRPr="00F91EC4">
        <w:rPr>
          <w:noProof/>
        </w:rPr>
        <w:t>, regeneration</w:t>
      </w:r>
      <w:r w:rsidR="00F346A8" w:rsidRPr="00F91EC4">
        <w:rPr>
          <w:noProof/>
        </w:rPr>
        <w:t xml:space="preserve"> and durability of </w:t>
      </w:r>
      <w:r w:rsidR="008D6160" w:rsidRPr="00F91EC4">
        <w:rPr>
          <w:noProof/>
        </w:rPr>
        <w:t xml:space="preserve">original and </w:t>
      </w:r>
      <w:r w:rsidR="001A3618" w:rsidRPr="00F91EC4">
        <w:rPr>
          <w:noProof/>
        </w:rPr>
        <w:t xml:space="preserve">replacement </w:t>
      </w:r>
      <w:r w:rsidR="00502DB3" w:rsidRPr="00F91EC4">
        <w:rPr>
          <w:noProof/>
        </w:rPr>
        <w:t xml:space="preserve">pollution </w:t>
      </w:r>
      <w:r w:rsidR="00EB4EF9" w:rsidRPr="00F91EC4">
        <w:rPr>
          <w:noProof/>
        </w:rPr>
        <w:t>control systems</w:t>
      </w:r>
      <w:r w:rsidR="00CD2A1A" w:rsidRPr="00F91EC4">
        <w:rPr>
          <w:noProof/>
        </w:rPr>
        <w:t>;</w:t>
      </w:r>
      <w:r w:rsidR="001A3618" w:rsidRPr="00F91EC4">
        <w:rPr>
          <w:noProof/>
        </w:rPr>
        <w:t xml:space="preserve"> </w:t>
      </w:r>
    </w:p>
    <w:p w14:paraId="24CFB5A6" w14:textId="0E3A809B" w:rsidR="00F63C1E" w:rsidRPr="00F91EC4" w:rsidRDefault="00DD0F7B" w:rsidP="00DD0F7B">
      <w:pPr>
        <w:pStyle w:val="Point1"/>
        <w:rPr>
          <w:noProof/>
        </w:rPr>
      </w:pPr>
      <w:r w:rsidRPr="00DD0F7B">
        <w:rPr>
          <w:noProof/>
        </w:rPr>
        <w:t>(m)</w:t>
      </w:r>
      <w:r w:rsidRPr="00DD0F7B">
        <w:rPr>
          <w:noProof/>
        </w:rPr>
        <w:tab/>
      </w:r>
      <w:r w:rsidR="00787D9D" w:rsidRPr="00F91EC4">
        <w:rPr>
          <w:noProof/>
        </w:rPr>
        <w:t xml:space="preserve">methods </w:t>
      </w:r>
      <w:r w:rsidR="00F346A8" w:rsidRPr="00F91EC4">
        <w:rPr>
          <w:noProof/>
        </w:rPr>
        <w:t>to ensure and assess security measures</w:t>
      </w:r>
      <w:r w:rsidR="004139B4" w:rsidRPr="00F91EC4">
        <w:rPr>
          <w:noProof/>
        </w:rPr>
        <w:t xml:space="preserve"> </w:t>
      </w:r>
      <w:r w:rsidR="0090197C" w:rsidRPr="00F91EC4">
        <w:rPr>
          <w:noProof/>
        </w:rPr>
        <w:t>referred to in</w:t>
      </w:r>
      <w:r w:rsidR="00EF2507" w:rsidRPr="00F91EC4">
        <w:rPr>
          <w:noProof/>
        </w:rPr>
        <w:t xml:space="preserve"> Article 4(</w:t>
      </w:r>
      <w:r w:rsidR="004139B4" w:rsidRPr="00F91EC4">
        <w:rPr>
          <w:noProof/>
        </w:rPr>
        <w:t>5</w:t>
      </w:r>
      <w:r w:rsidR="00EF2507" w:rsidRPr="00F91EC4">
        <w:rPr>
          <w:noProof/>
        </w:rPr>
        <w:t>)</w:t>
      </w:r>
      <w:r w:rsidR="00F346A8" w:rsidRPr="00F91EC4">
        <w:rPr>
          <w:noProof/>
        </w:rPr>
        <w:t xml:space="preserve">, including the </w:t>
      </w:r>
      <w:r w:rsidR="004C40F6" w:rsidRPr="00F91EC4">
        <w:rPr>
          <w:noProof/>
        </w:rPr>
        <w:t xml:space="preserve">methodology for </w:t>
      </w:r>
      <w:r w:rsidR="00F346A8" w:rsidRPr="00F91EC4">
        <w:rPr>
          <w:noProof/>
        </w:rPr>
        <w:t>the vulnerability analysis and t</w:t>
      </w:r>
      <w:r w:rsidR="00F63C1E" w:rsidRPr="00F91EC4">
        <w:rPr>
          <w:noProof/>
        </w:rPr>
        <w:t>ampering protection</w:t>
      </w:r>
      <w:r w:rsidR="00CD2A1A" w:rsidRPr="00F91EC4">
        <w:rPr>
          <w:noProof/>
        </w:rPr>
        <w:t>;</w:t>
      </w:r>
      <w:r w:rsidR="00F63C1E" w:rsidRPr="00F91EC4">
        <w:rPr>
          <w:noProof/>
        </w:rPr>
        <w:t xml:space="preserve"> </w:t>
      </w:r>
    </w:p>
    <w:p w14:paraId="4F787500" w14:textId="0D0B86AE" w:rsidR="00F346A8" w:rsidRPr="00F91EC4" w:rsidRDefault="00DD0F7B" w:rsidP="00DD0F7B">
      <w:pPr>
        <w:pStyle w:val="Point1"/>
        <w:rPr>
          <w:noProof/>
        </w:rPr>
      </w:pPr>
      <w:r w:rsidRPr="00DD0F7B">
        <w:rPr>
          <w:noProof/>
        </w:rPr>
        <w:t>(n)</w:t>
      </w:r>
      <w:r w:rsidRPr="00DD0F7B">
        <w:rPr>
          <w:noProof/>
        </w:rPr>
        <w:tab/>
      </w:r>
      <w:r w:rsidR="0090197C" w:rsidRPr="00F91EC4">
        <w:rPr>
          <w:noProof/>
        </w:rPr>
        <w:t xml:space="preserve">the </w:t>
      </w:r>
      <w:r w:rsidR="00787D9D" w:rsidRPr="00F91EC4">
        <w:rPr>
          <w:noProof/>
        </w:rPr>
        <w:t xml:space="preserve">criteria </w:t>
      </w:r>
      <w:r w:rsidR="00A82CA2" w:rsidRPr="00F91EC4">
        <w:rPr>
          <w:noProof/>
        </w:rPr>
        <w:t xml:space="preserve">for emission </w:t>
      </w:r>
      <w:r w:rsidR="00976BDB" w:rsidRPr="00F91EC4">
        <w:rPr>
          <w:noProof/>
        </w:rPr>
        <w:t>type-approval</w:t>
      </w:r>
      <w:r w:rsidR="001A3618" w:rsidRPr="00F91EC4">
        <w:rPr>
          <w:noProof/>
        </w:rPr>
        <w:t>s</w:t>
      </w:r>
      <w:r w:rsidR="00A82CA2" w:rsidRPr="00F91EC4">
        <w:rPr>
          <w:noProof/>
        </w:rPr>
        <w:t xml:space="preserve"> </w:t>
      </w:r>
      <w:r w:rsidR="00F52F59" w:rsidRPr="00F91EC4">
        <w:rPr>
          <w:noProof/>
        </w:rPr>
        <w:t xml:space="preserve">and </w:t>
      </w:r>
      <w:r w:rsidR="00B46917" w:rsidRPr="00F91EC4">
        <w:rPr>
          <w:noProof/>
        </w:rPr>
        <w:t xml:space="preserve">implementation of special rules </w:t>
      </w:r>
      <w:r w:rsidR="00F52F59" w:rsidRPr="00F91EC4">
        <w:rPr>
          <w:noProof/>
        </w:rPr>
        <w:t xml:space="preserve">for small </w:t>
      </w:r>
      <w:r w:rsidR="0012207E" w:rsidRPr="00F91EC4">
        <w:rPr>
          <w:noProof/>
        </w:rPr>
        <w:t xml:space="preserve">and ultra-small </w:t>
      </w:r>
      <w:r w:rsidR="00F52F59" w:rsidRPr="00F91EC4">
        <w:rPr>
          <w:noProof/>
        </w:rPr>
        <w:t>volume manufacturers</w:t>
      </w:r>
      <w:r w:rsidR="00B46917" w:rsidRPr="00F91EC4">
        <w:rPr>
          <w:noProof/>
        </w:rPr>
        <w:t xml:space="preserve"> set out</w:t>
      </w:r>
      <w:r w:rsidR="00413217" w:rsidRPr="00F91EC4">
        <w:rPr>
          <w:noProof/>
        </w:rPr>
        <w:t xml:space="preserve"> in Article </w:t>
      </w:r>
      <w:r w:rsidR="00C83D00" w:rsidRPr="00F91EC4">
        <w:rPr>
          <w:noProof/>
        </w:rPr>
        <w:t>8</w:t>
      </w:r>
      <w:r w:rsidR="00F346A8" w:rsidRPr="00F91EC4">
        <w:rPr>
          <w:noProof/>
        </w:rPr>
        <w:t>;</w:t>
      </w:r>
    </w:p>
    <w:p w14:paraId="5B2D56B7" w14:textId="0DEE60FD" w:rsidR="000302F5" w:rsidRPr="00F91EC4" w:rsidRDefault="00DD0F7B" w:rsidP="00DD0F7B">
      <w:pPr>
        <w:pStyle w:val="Point1"/>
        <w:rPr>
          <w:noProof/>
        </w:rPr>
      </w:pPr>
      <w:r w:rsidRPr="00DD0F7B">
        <w:rPr>
          <w:noProof/>
        </w:rPr>
        <w:t>(o)</w:t>
      </w:r>
      <w:r w:rsidRPr="00DD0F7B">
        <w:rPr>
          <w:noProof/>
        </w:rPr>
        <w:tab/>
      </w:r>
      <w:r w:rsidR="00B97429" w:rsidRPr="00F91EC4">
        <w:rPr>
          <w:noProof/>
        </w:rPr>
        <w:t xml:space="preserve">the </w:t>
      </w:r>
      <w:r w:rsidR="000302F5" w:rsidRPr="00F91EC4">
        <w:rPr>
          <w:noProof/>
        </w:rPr>
        <w:t>methods to assess the correct functioning of vehicle</w:t>
      </w:r>
      <w:r w:rsidR="009150E2">
        <w:rPr>
          <w:noProof/>
        </w:rPr>
        <w:t xml:space="preserve"> types approved under the designations in Article 5</w:t>
      </w:r>
    </w:p>
    <w:p w14:paraId="7564A2E3" w14:textId="6B3290EA" w:rsidR="001A3618" w:rsidRPr="00F91EC4" w:rsidRDefault="00DD0F7B" w:rsidP="00DD0F7B">
      <w:pPr>
        <w:pStyle w:val="Point1"/>
        <w:rPr>
          <w:noProof/>
        </w:rPr>
      </w:pPr>
      <w:r w:rsidRPr="00DD0F7B">
        <w:rPr>
          <w:noProof/>
        </w:rPr>
        <w:t>(p)</w:t>
      </w:r>
      <w:r w:rsidRPr="00DD0F7B">
        <w:rPr>
          <w:noProof/>
        </w:rPr>
        <w:tab/>
      </w:r>
      <w:r w:rsidR="00787D9D" w:rsidRPr="00F91EC4">
        <w:rPr>
          <w:noProof/>
        </w:rPr>
        <w:t>checks</w:t>
      </w:r>
      <w:r w:rsidR="009150E2">
        <w:rPr>
          <w:noProof/>
        </w:rPr>
        <w:t xml:space="preserve"> for compliance with the provisions of Article 9 (1)</w:t>
      </w:r>
      <w:r w:rsidR="00787D9D" w:rsidRPr="00F91EC4">
        <w:rPr>
          <w:noProof/>
        </w:rPr>
        <w:t xml:space="preserve"> </w:t>
      </w:r>
      <w:r w:rsidR="00E73654" w:rsidRPr="00F91EC4">
        <w:rPr>
          <w:noProof/>
        </w:rPr>
        <w:t>and test procedures</w:t>
      </w:r>
      <w:r w:rsidR="001A3618" w:rsidRPr="00F91EC4">
        <w:rPr>
          <w:noProof/>
        </w:rPr>
        <w:t xml:space="preserve"> for </w:t>
      </w:r>
      <w:r w:rsidR="69AD619B" w:rsidRPr="00F91EC4">
        <w:rPr>
          <w:noProof/>
        </w:rPr>
        <w:t>multistage vehicles</w:t>
      </w:r>
      <w:r w:rsidR="001A3618" w:rsidRPr="00F91EC4">
        <w:rPr>
          <w:noProof/>
        </w:rPr>
        <w:t>;</w:t>
      </w:r>
    </w:p>
    <w:p w14:paraId="30C9DAB2" w14:textId="37163D18" w:rsidR="001A3618" w:rsidRPr="00F91EC4" w:rsidRDefault="00DD0F7B" w:rsidP="00DD0F7B">
      <w:pPr>
        <w:pStyle w:val="Point1"/>
        <w:rPr>
          <w:noProof/>
        </w:rPr>
      </w:pPr>
      <w:r w:rsidRPr="00DD0F7B">
        <w:rPr>
          <w:noProof/>
        </w:rPr>
        <w:t>(q)</w:t>
      </w:r>
      <w:r w:rsidRPr="00DD0F7B">
        <w:rPr>
          <w:noProof/>
        </w:rPr>
        <w:tab/>
      </w:r>
      <w:r w:rsidR="00787D9D" w:rsidRPr="00F91EC4">
        <w:rPr>
          <w:noProof/>
        </w:rPr>
        <w:t xml:space="preserve">performance </w:t>
      </w:r>
      <w:r w:rsidR="00F9573A" w:rsidRPr="00F91EC4">
        <w:rPr>
          <w:noProof/>
        </w:rPr>
        <w:t xml:space="preserve">requirements for </w:t>
      </w:r>
      <w:r w:rsidR="001A3618" w:rsidRPr="00F91EC4">
        <w:rPr>
          <w:noProof/>
        </w:rPr>
        <w:t>test equipment;</w:t>
      </w:r>
    </w:p>
    <w:p w14:paraId="4AD7BECC" w14:textId="36640B67" w:rsidR="001A3618" w:rsidRPr="00F91EC4" w:rsidRDefault="00DD0F7B" w:rsidP="00DD0F7B">
      <w:pPr>
        <w:pStyle w:val="Point1"/>
        <w:rPr>
          <w:noProof/>
        </w:rPr>
      </w:pPr>
      <w:r w:rsidRPr="00DD0F7B">
        <w:rPr>
          <w:noProof/>
        </w:rPr>
        <w:t>(r)</w:t>
      </w:r>
      <w:r w:rsidRPr="00DD0F7B">
        <w:rPr>
          <w:noProof/>
        </w:rPr>
        <w:tab/>
      </w:r>
      <w:r w:rsidR="00787D9D" w:rsidRPr="00F91EC4">
        <w:rPr>
          <w:noProof/>
        </w:rPr>
        <w:t xml:space="preserve">specifications </w:t>
      </w:r>
      <w:r w:rsidR="009070DA" w:rsidRPr="00F91EC4">
        <w:rPr>
          <w:noProof/>
        </w:rPr>
        <w:t xml:space="preserve">of </w:t>
      </w:r>
      <w:r w:rsidR="001A3618" w:rsidRPr="00F91EC4">
        <w:rPr>
          <w:noProof/>
        </w:rPr>
        <w:t>reference fuels</w:t>
      </w:r>
      <w:r w:rsidR="000302F5" w:rsidRPr="00F91EC4">
        <w:rPr>
          <w:noProof/>
        </w:rPr>
        <w:t xml:space="preserve"> for testing</w:t>
      </w:r>
      <w:r w:rsidR="001A3618" w:rsidRPr="00F91EC4">
        <w:rPr>
          <w:noProof/>
        </w:rPr>
        <w:t>;</w:t>
      </w:r>
    </w:p>
    <w:p w14:paraId="51BF73AC" w14:textId="313E1979" w:rsidR="009070DA" w:rsidRPr="00F91EC4" w:rsidRDefault="00DD0F7B" w:rsidP="00DD0F7B">
      <w:pPr>
        <w:pStyle w:val="Point1"/>
        <w:rPr>
          <w:noProof/>
        </w:rPr>
      </w:pPr>
      <w:r w:rsidRPr="00DD0F7B">
        <w:rPr>
          <w:noProof/>
        </w:rPr>
        <w:t>(s)</w:t>
      </w:r>
      <w:r w:rsidRPr="00DD0F7B">
        <w:rPr>
          <w:noProof/>
        </w:rPr>
        <w:tab/>
      </w:r>
      <w:r w:rsidR="00787D9D" w:rsidRPr="00F91EC4">
        <w:rPr>
          <w:noProof/>
        </w:rPr>
        <w:t xml:space="preserve">methods </w:t>
      </w:r>
      <w:r w:rsidR="009070DA" w:rsidRPr="00F91EC4">
        <w:rPr>
          <w:noProof/>
        </w:rPr>
        <w:t xml:space="preserve">for </w:t>
      </w:r>
      <w:r w:rsidR="009150E2">
        <w:rPr>
          <w:noProof/>
        </w:rPr>
        <w:t>establishing</w:t>
      </w:r>
      <w:r w:rsidR="009150E2" w:rsidRPr="00F91EC4">
        <w:rPr>
          <w:noProof/>
        </w:rPr>
        <w:t xml:space="preserve"> </w:t>
      </w:r>
      <w:r w:rsidR="009070DA" w:rsidRPr="00F91EC4">
        <w:rPr>
          <w:noProof/>
        </w:rPr>
        <w:t>the absence of defeat devices</w:t>
      </w:r>
      <w:r w:rsidR="008D6160" w:rsidRPr="00F91EC4">
        <w:rPr>
          <w:noProof/>
        </w:rPr>
        <w:t xml:space="preserve"> and defeat strategies</w:t>
      </w:r>
      <w:r w:rsidR="009070DA" w:rsidRPr="00F91EC4">
        <w:rPr>
          <w:noProof/>
        </w:rPr>
        <w:t>;</w:t>
      </w:r>
    </w:p>
    <w:p w14:paraId="38C565FA" w14:textId="49829294" w:rsidR="00370DAA" w:rsidRPr="00F91EC4" w:rsidRDefault="00DD0F7B" w:rsidP="00DD0F7B">
      <w:pPr>
        <w:pStyle w:val="Point1"/>
        <w:rPr>
          <w:noProof/>
        </w:rPr>
      </w:pPr>
      <w:r w:rsidRPr="00DD0F7B">
        <w:rPr>
          <w:noProof/>
        </w:rPr>
        <w:t>(t)</w:t>
      </w:r>
      <w:r w:rsidRPr="00DD0F7B">
        <w:rPr>
          <w:noProof/>
        </w:rPr>
        <w:tab/>
      </w:r>
      <w:r w:rsidR="00787D9D" w:rsidRPr="00F91EC4">
        <w:rPr>
          <w:noProof/>
        </w:rPr>
        <w:t xml:space="preserve">methods </w:t>
      </w:r>
      <w:r w:rsidR="00E62A21" w:rsidRPr="00F91EC4">
        <w:rPr>
          <w:noProof/>
        </w:rPr>
        <w:t xml:space="preserve">to measure tyre </w:t>
      </w:r>
      <w:r w:rsidR="00CD09C1" w:rsidRPr="00F91EC4">
        <w:rPr>
          <w:noProof/>
        </w:rPr>
        <w:t>abrasion</w:t>
      </w:r>
      <w:r w:rsidR="00CD2A1A" w:rsidRPr="00F91EC4">
        <w:rPr>
          <w:noProof/>
        </w:rPr>
        <w:t>;</w:t>
      </w:r>
    </w:p>
    <w:p w14:paraId="07E5EF28" w14:textId="21515DA7" w:rsidR="004960E0" w:rsidRPr="00F91EC4" w:rsidRDefault="00DD0F7B" w:rsidP="00DD0F7B">
      <w:pPr>
        <w:pStyle w:val="Point1"/>
        <w:rPr>
          <w:noProof/>
        </w:rPr>
      </w:pPr>
      <w:r w:rsidRPr="00DD0F7B">
        <w:rPr>
          <w:noProof/>
        </w:rPr>
        <w:t>(u)</w:t>
      </w:r>
      <w:r w:rsidRPr="00DD0F7B">
        <w:rPr>
          <w:noProof/>
        </w:rPr>
        <w:tab/>
      </w:r>
      <w:r w:rsidR="00787D9D" w:rsidRPr="00F91EC4">
        <w:rPr>
          <w:noProof/>
        </w:rPr>
        <w:t>format</w:t>
      </w:r>
      <w:r w:rsidR="00136C68" w:rsidRPr="00F91EC4">
        <w:rPr>
          <w:noProof/>
        </w:rPr>
        <w:t xml:space="preserve"> and</w:t>
      </w:r>
      <w:r w:rsidR="004960E0" w:rsidRPr="00F91EC4">
        <w:rPr>
          <w:noProof/>
        </w:rPr>
        <w:t xml:space="preserve"> data and </w:t>
      </w:r>
      <w:r w:rsidR="00D51DFC" w:rsidRPr="00F91EC4">
        <w:rPr>
          <w:noProof/>
        </w:rPr>
        <w:t>over the air</w:t>
      </w:r>
      <w:r w:rsidR="004960E0" w:rsidRPr="00F91EC4">
        <w:rPr>
          <w:noProof/>
        </w:rPr>
        <w:t xml:space="preserve"> communication methods for the </w:t>
      </w:r>
      <w:r w:rsidR="009150E2">
        <w:rPr>
          <w:noProof/>
        </w:rPr>
        <w:t>EVP</w:t>
      </w:r>
      <w:r w:rsidR="004960E0" w:rsidRPr="00F91EC4">
        <w:rPr>
          <w:noProof/>
        </w:rPr>
        <w:t>;</w:t>
      </w:r>
    </w:p>
    <w:p w14:paraId="1B148203" w14:textId="5FE64E29" w:rsidR="008B787A" w:rsidRPr="00F91EC4" w:rsidRDefault="00DD0F7B" w:rsidP="00DD0F7B">
      <w:pPr>
        <w:pStyle w:val="Point1"/>
        <w:rPr>
          <w:noProof/>
        </w:rPr>
      </w:pPr>
      <w:r w:rsidRPr="00DD0F7B">
        <w:rPr>
          <w:noProof/>
        </w:rPr>
        <w:t>(v)</w:t>
      </w:r>
      <w:r w:rsidRPr="00DD0F7B">
        <w:rPr>
          <w:noProof/>
        </w:rPr>
        <w:tab/>
      </w:r>
      <w:r w:rsidR="00787D9D" w:rsidRPr="00F91EC4">
        <w:rPr>
          <w:noProof/>
        </w:rPr>
        <w:t xml:space="preserve">administrative </w:t>
      </w:r>
      <w:r w:rsidR="008B787A" w:rsidRPr="00F91EC4">
        <w:rPr>
          <w:noProof/>
        </w:rPr>
        <w:t xml:space="preserve">requirements </w:t>
      </w:r>
      <w:r w:rsidR="00787D9D" w:rsidRPr="00F91EC4">
        <w:rPr>
          <w:noProof/>
        </w:rPr>
        <w:t xml:space="preserve">and documentation </w:t>
      </w:r>
      <w:r w:rsidR="008B787A" w:rsidRPr="00F91EC4">
        <w:rPr>
          <w:noProof/>
        </w:rPr>
        <w:t>for</w:t>
      </w:r>
      <w:r w:rsidR="00787D9D" w:rsidRPr="00F91EC4">
        <w:rPr>
          <w:noProof/>
        </w:rPr>
        <w:t xml:space="preserve"> emission</w:t>
      </w:r>
      <w:r w:rsidR="008B787A" w:rsidRPr="00F91EC4">
        <w:rPr>
          <w:noProof/>
        </w:rPr>
        <w:t xml:space="preserve"> </w:t>
      </w:r>
      <w:r w:rsidR="00976BDB" w:rsidRPr="00F91EC4">
        <w:rPr>
          <w:noProof/>
        </w:rPr>
        <w:t>type-approval</w:t>
      </w:r>
      <w:r w:rsidR="008B787A" w:rsidRPr="00F91EC4">
        <w:rPr>
          <w:noProof/>
        </w:rPr>
        <w:t xml:space="preserve">; </w:t>
      </w:r>
    </w:p>
    <w:p w14:paraId="7CCC7491" w14:textId="40F3B151" w:rsidR="00E62A21" w:rsidRPr="00F91EC4" w:rsidRDefault="00DD0F7B" w:rsidP="00DD0F7B">
      <w:pPr>
        <w:pStyle w:val="Point1"/>
        <w:rPr>
          <w:noProof/>
        </w:rPr>
      </w:pPr>
      <w:r w:rsidRPr="00DD0F7B">
        <w:rPr>
          <w:noProof/>
        </w:rPr>
        <w:t>(w)</w:t>
      </w:r>
      <w:r w:rsidRPr="00DD0F7B">
        <w:rPr>
          <w:noProof/>
        </w:rPr>
        <w:tab/>
      </w:r>
      <w:r w:rsidR="00787D9D" w:rsidRPr="00F91EC4">
        <w:rPr>
          <w:noProof/>
        </w:rPr>
        <w:t xml:space="preserve">reporting </w:t>
      </w:r>
      <w:r w:rsidR="00614319" w:rsidRPr="00F91EC4">
        <w:rPr>
          <w:noProof/>
        </w:rPr>
        <w:t>obligations</w:t>
      </w:r>
      <w:r w:rsidR="00096401">
        <w:rPr>
          <w:noProof/>
        </w:rPr>
        <w:t xml:space="preserve"> where appropriate</w:t>
      </w:r>
      <w:r w:rsidR="00E62A21" w:rsidRPr="00F91EC4">
        <w:rPr>
          <w:noProof/>
        </w:rPr>
        <w:t>.</w:t>
      </w:r>
    </w:p>
    <w:p w14:paraId="4AA0E9D1" w14:textId="77777777" w:rsidR="00F91ECB" w:rsidRPr="00F91EC4" w:rsidRDefault="00F91ECB" w:rsidP="00805C27">
      <w:pPr>
        <w:rPr>
          <w:noProof/>
        </w:rPr>
      </w:pPr>
      <w:r w:rsidRPr="00F91EC4">
        <w:rPr>
          <w:noProof/>
        </w:rPr>
        <w:t xml:space="preserve">Those implementing acts shall be adopted in accordance with </w:t>
      </w:r>
      <w:r w:rsidR="008750D9" w:rsidRPr="00F91EC4">
        <w:rPr>
          <w:noProof/>
        </w:rPr>
        <w:t>the examination procedure referred to in Article 17(2).</w:t>
      </w:r>
    </w:p>
    <w:p w14:paraId="1A36DC9B" w14:textId="77777777" w:rsidR="0090414C" w:rsidRPr="00F91EC4" w:rsidRDefault="0090414C" w:rsidP="00FD4C43">
      <w:pPr>
        <w:pStyle w:val="Titrearticle"/>
        <w:rPr>
          <w:noProof/>
          <w:color w:val="000000" w:themeColor="text1"/>
        </w:rPr>
      </w:pPr>
      <w:r w:rsidRPr="00F91EC4">
        <w:rPr>
          <w:noProof/>
          <w:color w:val="000000" w:themeColor="text1"/>
        </w:rPr>
        <w:t>Article 1</w:t>
      </w:r>
      <w:r w:rsidR="00C57AEF" w:rsidRPr="00F91EC4">
        <w:rPr>
          <w:noProof/>
          <w:color w:val="000000" w:themeColor="text1"/>
        </w:rPr>
        <w:t>5</w:t>
      </w:r>
      <w:r w:rsidRPr="00F91EC4">
        <w:rPr>
          <w:noProof/>
          <w:color w:val="000000" w:themeColor="text1"/>
        </w:rPr>
        <w:br/>
      </w:r>
      <w:r w:rsidR="00FD4C43" w:rsidRPr="00F91EC4">
        <w:rPr>
          <w:b/>
          <w:i w:val="0"/>
          <w:noProof/>
          <w:color w:val="000000" w:themeColor="text1"/>
        </w:rPr>
        <w:t>Adaptation to technical progress</w:t>
      </w:r>
    </w:p>
    <w:p w14:paraId="45B9EC71" w14:textId="1B8B100E" w:rsidR="009A06C2" w:rsidRPr="00F91EC4" w:rsidRDefault="00DD0F7B" w:rsidP="00DD0F7B">
      <w:pPr>
        <w:pStyle w:val="ManualNumPar1"/>
        <w:rPr>
          <w:noProof/>
        </w:rPr>
      </w:pPr>
      <w:r w:rsidRPr="00DD0F7B">
        <w:rPr>
          <w:noProof/>
        </w:rPr>
        <w:t>1.</w:t>
      </w:r>
      <w:r w:rsidRPr="00DD0F7B">
        <w:rPr>
          <w:noProof/>
        </w:rPr>
        <w:tab/>
      </w:r>
      <w:r w:rsidR="0090414C" w:rsidRPr="00F91EC4">
        <w:rPr>
          <w:noProof/>
        </w:rPr>
        <w:t xml:space="preserve">The Commission </w:t>
      </w:r>
      <w:r w:rsidR="00A62703" w:rsidRPr="00F91EC4">
        <w:rPr>
          <w:noProof/>
        </w:rPr>
        <w:t xml:space="preserve">shall be </w:t>
      </w:r>
      <w:r w:rsidR="0090414C" w:rsidRPr="00F91EC4">
        <w:rPr>
          <w:noProof/>
        </w:rPr>
        <w:t xml:space="preserve">empowered to adopt delegated acts in accordance with Article </w:t>
      </w:r>
      <w:r w:rsidR="004E2A19" w:rsidRPr="00F91EC4">
        <w:rPr>
          <w:noProof/>
        </w:rPr>
        <w:t>1</w:t>
      </w:r>
      <w:r w:rsidR="00C57AEF" w:rsidRPr="00F91EC4">
        <w:rPr>
          <w:noProof/>
        </w:rPr>
        <w:t>6</w:t>
      </w:r>
      <w:r w:rsidR="004E2A19" w:rsidRPr="00F91EC4">
        <w:rPr>
          <w:noProof/>
        </w:rPr>
        <w:t xml:space="preserve"> </w:t>
      </w:r>
      <w:r w:rsidR="009A06C2" w:rsidRPr="00F91EC4">
        <w:rPr>
          <w:noProof/>
        </w:rPr>
        <w:t xml:space="preserve">in order to take </w:t>
      </w:r>
      <w:r w:rsidR="00FD4C43" w:rsidRPr="00F91EC4">
        <w:rPr>
          <w:noProof/>
        </w:rPr>
        <w:t>into account technical progress</w:t>
      </w:r>
      <w:r w:rsidR="00096401">
        <w:rPr>
          <w:noProof/>
        </w:rPr>
        <w:t xml:space="preserve"> to amend the following</w:t>
      </w:r>
      <w:r w:rsidR="009A06C2" w:rsidRPr="00F91EC4">
        <w:rPr>
          <w:noProof/>
        </w:rPr>
        <w:t>:</w:t>
      </w:r>
    </w:p>
    <w:p w14:paraId="08B0857E" w14:textId="1A49C804" w:rsidR="009A06C2" w:rsidRDefault="00DD0F7B" w:rsidP="00DD0F7B">
      <w:pPr>
        <w:pStyle w:val="Point1"/>
        <w:rPr>
          <w:noProof/>
        </w:rPr>
      </w:pPr>
      <w:r w:rsidRPr="00DD0F7B">
        <w:rPr>
          <w:noProof/>
        </w:rPr>
        <w:t>(a)</w:t>
      </w:r>
      <w:r w:rsidRPr="00DD0F7B">
        <w:rPr>
          <w:noProof/>
        </w:rPr>
        <w:tab/>
      </w:r>
      <w:r w:rsidR="006D244F" w:rsidRPr="00A22981">
        <w:rPr>
          <w:noProof/>
        </w:rPr>
        <w:t>Annex III</w:t>
      </w:r>
      <w:r w:rsidR="006D244F">
        <w:rPr>
          <w:noProof/>
        </w:rPr>
        <w:t>,</w:t>
      </w:r>
      <w:r w:rsidR="006D244F" w:rsidRPr="00A22981" w:rsidDel="006D244F">
        <w:rPr>
          <w:noProof/>
        </w:rPr>
        <w:t xml:space="preserve"> </w:t>
      </w:r>
      <w:r w:rsidR="006D244F">
        <w:rPr>
          <w:noProof/>
        </w:rPr>
        <w:t xml:space="preserve">as regards the </w:t>
      </w:r>
      <w:r w:rsidR="00C36C7F" w:rsidRPr="00321B6C">
        <w:rPr>
          <w:noProof/>
        </w:rPr>
        <w:t xml:space="preserve">test </w:t>
      </w:r>
      <w:r w:rsidR="009A06C2" w:rsidRPr="00321B6C">
        <w:rPr>
          <w:noProof/>
        </w:rPr>
        <w:t>conditions</w:t>
      </w:r>
      <w:r w:rsidR="00FA3C6F">
        <w:rPr>
          <w:noProof/>
        </w:rPr>
        <w:t xml:space="preserve"> for </w:t>
      </w:r>
      <w:r w:rsidR="00FA3C6F" w:rsidRPr="00321B6C">
        <w:rPr>
          <w:noProof/>
        </w:rPr>
        <w:t>M</w:t>
      </w:r>
      <w:r w:rsidR="00FA3C6F" w:rsidRPr="00321B6C">
        <w:rPr>
          <w:noProof/>
          <w:vertAlign w:val="subscript"/>
        </w:rPr>
        <w:t>2</w:t>
      </w:r>
      <w:r w:rsidR="00FA3C6F" w:rsidRPr="00321B6C">
        <w:rPr>
          <w:noProof/>
        </w:rPr>
        <w:t>, M</w:t>
      </w:r>
      <w:r w:rsidR="00FA3C6F" w:rsidRPr="00321B6C">
        <w:rPr>
          <w:noProof/>
          <w:vertAlign w:val="subscript"/>
        </w:rPr>
        <w:t>3</w:t>
      </w:r>
      <w:r w:rsidR="00FA3C6F" w:rsidRPr="00321B6C">
        <w:rPr>
          <w:noProof/>
        </w:rPr>
        <w:t>, N</w:t>
      </w:r>
      <w:r w:rsidR="00FA3C6F" w:rsidRPr="00321B6C">
        <w:rPr>
          <w:noProof/>
          <w:vertAlign w:val="subscript"/>
        </w:rPr>
        <w:t>2</w:t>
      </w:r>
      <w:r w:rsidR="00FA3C6F" w:rsidRPr="00321B6C">
        <w:rPr>
          <w:noProof/>
        </w:rPr>
        <w:t>, N</w:t>
      </w:r>
      <w:r w:rsidR="00FA3C6F" w:rsidRPr="00321B6C">
        <w:rPr>
          <w:noProof/>
          <w:vertAlign w:val="subscript"/>
        </w:rPr>
        <w:t xml:space="preserve">3 </w:t>
      </w:r>
      <w:r w:rsidR="00FA3C6F" w:rsidRPr="00321B6C">
        <w:rPr>
          <w:noProof/>
        </w:rPr>
        <w:t>vehicles</w:t>
      </w:r>
      <w:r w:rsidR="006F4999" w:rsidRPr="00A22981">
        <w:rPr>
          <w:noProof/>
        </w:rPr>
        <w:t xml:space="preserve">, based on </w:t>
      </w:r>
      <w:r w:rsidR="009E3739" w:rsidRPr="00A22981">
        <w:rPr>
          <w:noProof/>
        </w:rPr>
        <w:t xml:space="preserve">data collected </w:t>
      </w:r>
      <w:r w:rsidR="00A62703" w:rsidRPr="00A22981">
        <w:rPr>
          <w:noProof/>
        </w:rPr>
        <w:t>when testing</w:t>
      </w:r>
      <w:r w:rsidR="009E3739" w:rsidRPr="00A22981">
        <w:rPr>
          <w:noProof/>
        </w:rPr>
        <w:t xml:space="preserve"> Euro 7 vehicles</w:t>
      </w:r>
      <w:r w:rsidR="001A4674" w:rsidRPr="00A22981">
        <w:rPr>
          <w:noProof/>
        </w:rPr>
        <w:t>;</w:t>
      </w:r>
    </w:p>
    <w:p w14:paraId="76FDEF76" w14:textId="29C233CB" w:rsidR="00533ABA" w:rsidRPr="00A22981" w:rsidRDefault="00DD0F7B" w:rsidP="00DD0F7B">
      <w:pPr>
        <w:pStyle w:val="Point1"/>
        <w:rPr>
          <w:noProof/>
        </w:rPr>
      </w:pPr>
      <w:r w:rsidRPr="00DD0F7B">
        <w:rPr>
          <w:noProof/>
        </w:rPr>
        <w:t>(b)</w:t>
      </w:r>
      <w:r w:rsidRPr="00DD0F7B">
        <w:rPr>
          <w:noProof/>
        </w:rPr>
        <w:tab/>
      </w:r>
      <w:r w:rsidR="00533ABA" w:rsidRPr="00A22981">
        <w:rPr>
          <w:noProof/>
        </w:rPr>
        <w:t>Annex III</w:t>
      </w:r>
      <w:r w:rsidR="00533ABA">
        <w:rPr>
          <w:noProof/>
        </w:rPr>
        <w:t>,</w:t>
      </w:r>
      <w:r w:rsidR="00533ABA" w:rsidRPr="00A22981" w:rsidDel="006D244F">
        <w:rPr>
          <w:noProof/>
        </w:rPr>
        <w:t xml:space="preserve"> </w:t>
      </w:r>
      <w:r w:rsidR="00533ABA">
        <w:rPr>
          <w:noProof/>
        </w:rPr>
        <w:t xml:space="preserve">as regards the </w:t>
      </w:r>
      <w:r w:rsidR="00533ABA" w:rsidRPr="00321B6C">
        <w:rPr>
          <w:noProof/>
        </w:rPr>
        <w:t>test conditions</w:t>
      </w:r>
      <w:r w:rsidR="00533ABA" w:rsidRPr="00A22981">
        <w:rPr>
          <w:noProof/>
        </w:rPr>
        <w:t xml:space="preserve">, based on data collected when testing Euro 7 </w:t>
      </w:r>
      <w:r w:rsidR="00533ABA">
        <w:rPr>
          <w:noProof/>
        </w:rPr>
        <w:t>brakes or tyres</w:t>
      </w:r>
      <w:r w:rsidR="00533ABA" w:rsidRPr="00A22981">
        <w:rPr>
          <w:noProof/>
        </w:rPr>
        <w:t>;</w:t>
      </w:r>
    </w:p>
    <w:p w14:paraId="06D88705" w14:textId="6587E752" w:rsidR="007E13AE" w:rsidRPr="00F91EC4" w:rsidRDefault="00DD0F7B" w:rsidP="00DD0F7B">
      <w:pPr>
        <w:pStyle w:val="Point1"/>
        <w:rPr>
          <w:noProof/>
        </w:rPr>
      </w:pPr>
      <w:r w:rsidRPr="00DD0F7B">
        <w:rPr>
          <w:noProof/>
        </w:rPr>
        <w:t>(c)</w:t>
      </w:r>
      <w:r w:rsidRPr="00DD0F7B">
        <w:rPr>
          <w:noProof/>
        </w:rPr>
        <w:tab/>
      </w:r>
      <w:r w:rsidR="006D244F">
        <w:rPr>
          <w:noProof/>
        </w:rPr>
        <w:t>Annex V, as regards</w:t>
      </w:r>
      <w:r w:rsidR="006D244F" w:rsidRPr="00F91EC4">
        <w:rPr>
          <w:noProof/>
        </w:rPr>
        <w:t xml:space="preserve"> </w:t>
      </w:r>
      <w:r w:rsidR="0076270D" w:rsidRPr="00F91EC4">
        <w:rPr>
          <w:noProof/>
        </w:rPr>
        <w:t xml:space="preserve">the </w:t>
      </w:r>
      <w:r w:rsidR="00644676" w:rsidRPr="00F91EC4">
        <w:rPr>
          <w:noProof/>
        </w:rPr>
        <w:t xml:space="preserve">application of </w:t>
      </w:r>
      <w:r w:rsidR="0076270D" w:rsidRPr="00F91EC4">
        <w:rPr>
          <w:noProof/>
        </w:rPr>
        <w:t>test requirements</w:t>
      </w:r>
      <w:r w:rsidR="00966957" w:rsidRPr="00F91EC4">
        <w:rPr>
          <w:noProof/>
        </w:rPr>
        <w:t xml:space="preserve"> and declarations</w:t>
      </w:r>
      <w:r w:rsidR="009E3739" w:rsidRPr="00F91EC4">
        <w:rPr>
          <w:noProof/>
        </w:rPr>
        <w:t xml:space="preserve">, based on </w:t>
      </w:r>
      <w:r w:rsidR="00A62703" w:rsidRPr="00F91EC4">
        <w:rPr>
          <w:noProof/>
        </w:rPr>
        <w:t>technical progress</w:t>
      </w:r>
      <w:r w:rsidR="007E13AE" w:rsidRPr="00F91EC4">
        <w:rPr>
          <w:noProof/>
        </w:rPr>
        <w:t>;</w:t>
      </w:r>
    </w:p>
    <w:p w14:paraId="3BC075C0" w14:textId="56A07A7D" w:rsidR="006C03B5" w:rsidRPr="00F91EC4" w:rsidRDefault="00DD0F7B" w:rsidP="00DD0F7B">
      <w:pPr>
        <w:pStyle w:val="Point1"/>
        <w:rPr>
          <w:noProof/>
        </w:rPr>
      </w:pPr>
      <w:r w:rsidRPr="00DD0F7B">
        <w:rPr>
          <w:noProof/>
        </w:rPr>
        <w:t>(d)</w:t>
      </w:r>
      <w:r w:rsidRPr="00DD0F7B">
        <w:rPr>
          <w:noProof/>
        </w:rPr>
        <w:tab/>
      </w:r>
      <w:r w:rsidR="00966957" w:rsidRPr="00F91EC4">
        <w:rPr>
          <w:noProof/>
        </w:rPr>
        <w:t xml:space="preserve">Article 5 </w:t>
      </w:r>
      <w:r w:rsidR="00A45860">
        <w:rPr>
          <w:noProof/>
        </w:rPr>
        <w:t>by</w:t>
      </w:r>
      <w:r w:rsidR="00A45860" w:rsidRPr="00F91EC4">
        <w:rPr>
          <w:noProof/>
        </w:rPr>
        <w:t xml:space="preserve"> </w:t>
      </w:r>
      <w:r w:rsidR="007E13AE" w:rsidRPr="00F91EC4">
        <w:rPr>
          <w:noProof/>
        </w:rPr>
        <w:t>introduc</w:t>
      </w:r>
      <w:r w:rsidR="00A45860">
        <w:rPr>
          <w:noProof/>
        </w:rPr>
        <w:t>ing</w:t>
      </w:r>
      <w:r w:rsidR="007E13AE" w:rsidRPr="00F91EC4">
        <w:rPr>
          <w:noProof/>
        </w:rPr>
        <w:t xml:space="preserve"> </w:t>
      </w:r>
      <w:r w:rsidR="00864E0B">
        <w:rPr>
          <w:noProof/>
        </w:rPr>
        <w:t>options and designations</w:t>
      </w:r>
      <w:r w:rsidR="00D41148">
        <w:rPr>
          <w:noProof/>
        </w:rPr>
        <w:t xml:space="preserve"> </w:t>
      </w:r>
      <w:r w:rsidR="00A3572A">
        <w:rPr>
          <w:noProof/>
        </w:rPr>
        <w:t>based on innovative technologies</w:t>
      </w:r>
      <w:r w:rsidR="00A45860">
        <w:rPr>
          <w:noProof/>
        </w:rPr>
        <w:t xml:space="preserve"> </w:t>
      </w:r>
      <w:r w:rsidR="00A45860" w:rsidRPr="00F91EC4">
        <w:rPr>
          <w:noProof/>
        </w:rPr>
        <w:t>for manufacturers</w:t>
      </w:r>
      <w:r w:rsidR="00460FA3" w:rsidRPr="00C36C7F">
        <w:rPr>
          <w:noProof/>
        </w:rPr>
        <w:t>.</w:t>
      </w:r>
      <w:r w:rsidR="006C03B5" w:rsidRPr="00F91EC4">
        <w:rPr>
          <w:noProof/>
        </w:rPr>
        <w:t xml:space="preserve"> </w:t>
      </w:r>
    </w:p>
    <w:p w14:paraId="617223A9" w14:textId="15E3938E" w:rsidR="00C00BF4" w:rsidRPr="00F91EC4" w:rsidRDefault="00DD0F7B" w:rsidP="00DD0F7B">
      <w:pPr>
        <w:pStyle w:val="ManualNumPar1"/>
        <w:rPr>
          <w:noProof/>
        </w:rPr>
      </w:pPr>
      <w:r w:rsidRPr="00DD0F7B">
        <w:rPr>
          <w:noProof/>
        </w:rPr>
        <w:t>2.</w:t>
      </w:r>
      <w:r w:rsidRPr="00DD0F7B">
        <w:rPr>
          <w:noProof/>
        </w:rPr>
        <w:tab/>
      </w:r>
      <w:r w:rsidR="00C00BF4" w:rsidRPr="00F91EC4">
        <w:rPr>
          <w:noProof/>
        </w:rPr>
        <w:t xml:space="preserve">The Commission shall be empowered to adopt delegated acts to supplement </w:t>
      </w:r>
      <w:r w:rsidR="00A45860">
        <w:rPr>
          <w:noProof/>
        </w:rPr>
        <w:t>this Regulation</w:t>
      </w:r>
      <w:r w:rsidR="00C00BF4" w:rsidRPr="00F91EC4">
        <w:rPr>
          <w:noProof/>
        </w:rPr>
        <w:t xml:space="preserve"> in accordance with Article 16 in order to take into account technical progress</w:t>
      </w:r>
      <w:r w:rsidR="00321B6C">
        <w:rPr>
          <w:noProof/>
        </w:rPr>
        <w:t xml:space="preserve"> by</w:t>
      </w:r>
      <w:r w:rsidR="00C00BF4" w:rsidRPr="00F91EC4">
        <w:rPr>
          <w:noProof/>
        </w:rPr>
        <w:t>:</w:t>
      </w:r>
    </w:p>
    <w:p w14:paraId="72CEED39" w14:textId="690C3F41" w:rsidR="006C03B5" w:rsidRPr="004B5B73" w:rsidRDefault="00DD0F7B" w:rsidP="00DD0F7B">
      <w:pPr>
        <w:pStyle w:val="Point1"/>
        <w:rPr>
          <w:noProof/>
        </w:rPr>
      </w:pPr>
      <w:r w:rsidRPr="00DD0F7B">
        <w:rPr>
          <w:noProof/>
        </w:rPr>
        <w:t>(a)</w:t>
      </w:r>
      <w:r w:rsidRPr="00DD0F7B">
        <w:rPr>
          <w:noProof/>
        </w:rPr>
        <w:tab/>
      </w:r>
      <w:r w:rsidR="006C03B5" w:rsidRPr="004B5B73">
        <w:rPr>
          <w:noProof/>
        </w:rPr>
        <w:t xml:space="preserve">setting </w:t>
      </w:r>
      <w:r w:rsidR="00A45860">
        <w:rPr>
          <w:noProof/>
        </w:rPr>
        <w:t xml:space="preserve">out </w:t>
      </w:r>
      <w:r w:rsidR="009A650E" w:rsidRPr="004B5B73">
        <w:rPr>
          <w:noProof/>
        </w:rPr>
        <w:t>brake particle emission limits</w:t>
      </w:r>
      <w:r w:rsidR="00A07FD2" w:rsidRPr="004B5B73">
        <w:rPr>
          <w:noProof/>
        </w:rPr>
        <w:t xml:space="preserve"> in Annex I</w:t>
      </w:r>
      <w:r w:rsidR="006C03B5" w:rsidRPr="004B5B73">
        <w:rPr>
          <w:noProof/>
        </w:rPr>
        <w:t xml:space="preserve"> referring to the work performed in the UN </w:t>
      </w:r>
      <w:r w:rsidR="00C36C7F">
        <w:rPr>
          <w:noProof/>
        </w:rPr>
        <w:t>World Forum for Harmonisation of Vehicle Regulations (WP29)</w:t>
      </w:r>
      <w:r w:rsidR="006C03B5" w:rsidRPr="004B5B73">
        <w:rPr>
          <w:noProof/>
        </w:rPr>
        <w:t>;</w:t>
      </w:r>
    </w:p>
    <w:p w14:paraId="076F93F4" w14:textId="1CE06EED" w:rsidR="009A650E" w:rsidRPr="004B5B73" w:rsidRDefault="00DD0F7B" w:rsidP="00DD0F7B">
      <w:pPr>
        <w:pStyle w:val="Point1"/>
        <w:rPr>
          <w:noProof/>
        </w:rPr>
      </w:pPr>
      <w:r w:rsidRPr="00DD0F7B">
        <w:rPr>
          <w:noProof/>
        </w:rPr>
        <w:t>(b)</w:t>
      </w:r>
      <w:r w:rsidRPr="00DD0F7B">
        <w:rPr>
          <w:noProof/>
        </w:rPr>
        <w:tab/>
      </w:r>
      <w:r w:rsidR="009A650E" w:rsidRPr="004B5B73">
        <w:rPr>
          <w:noProof/>
        </w:rPr>
        <w:t xml:space="preserve">setting </w:t>
      </w:r>
      <w:r w:rsidR="00A45860">
        <w:rPr>
          <w:noProof/>
        </w:rPr>
        <w:t xml:space="preserve">out </w:t>
      </w:r>
      <w:r w:rsidR="009A650E" w:rsidRPr="004B5B73">
        <w:rPr>
          <w:noProof/>
        </w:rPr>
        <w:t xml:space="preserve">abrasion limits for tyre types </w:t>
      </w:r>
      <w:r w:rsidR="00566FF5" w:rsidRPr="004B5B73">
        <w:rPr>
          <w:noProof/>
        </w:rPr>
        <w:t xml:space="preserve">in Annex I </w:t>
      </w:r>
      <w:r w:rsidR="009A650E" w:rsidRPr="004B5B73">
        <w:rPr>
          <w:noProof/>
        </w:rPr>
        <w:t xml:space="preserve">referring to the work performed in the UN </w:t>
      </w:r>
      <w:r w:rsidR="00C36C7F">
        <w:rPr>
          <w:noProof/>
        </w:rPr>
        <w:t>World Forum for Harmonisation of Vehicle Regulations (WP29)</w:t>
      </w:r>
      <w:r w:rsidR="009A650E" w:rsidRPr="004B5B73">
        <w:rPr>
          <w:noProof/>
        </w:rPr>
        <w:t>;</w:t>
      </w:r>
    </w:p>
    <w:p w14:paraId="5E8BAF03" w14:textId="212B8029" w:rsidR="009A650E" w:rsidRPr="00F91EC4" w:rsidRDefault="00DD0F7B" w:rsidP="00DD0F7B">
      <w:pPr>
        <w:pStyle w:val="Point1"/>
        <w:rPr>
          <w:noProof/>
        </w:rPr>
      </w:pPr>
      <w:r w:rsidRPr="00DD0F7B">
        <w:rPr>
          <w:noProof/>
        </w:rPr>
        <w:t>(c)</w:t>
      </w:r>
      <w:r w:rsidRPr="00DD0F7B">
        <w:rPr>
          <w:noProof/>
        </w:rPr>
        <w:tab/>
      </w:r>
      <w:r w:rsidR="009A650E" w:rsidRPr="004B5B73">
        <w:rPr>
          <w:noProof/>
        </w:rPr>
        <w:t xml:space="preserve">setting </w:t>
      </w:r>
      <w:r w:rsidR="00A45860">
        <w:rPr>
          <w:noProof/>
        </w:rPr>
        <w:t xml:space="preserve">out </w:t>
      </w:r>
      <w:r w:rsidR="009A650E" w:rsidRPr="004B5B73">
        <w:rPr>
          <w:noProof/>
        </w:rPr>
        <w:t xml:space="preserve">the minimum performance requirements of batteries laid down in Annex II, referring to the work performed in the UN </w:t>
      </w:r>
      <w:r w:rsidR="00C36C7F">
        <w:rPr>
          <w:noProof/>
        </w:rPr>
        <w:t>World Forum for Harmonisation of Vehicle Regulations (WP29)</w:t>
      </w:r>
      <w:r w:rsidR="009A650E" w:rsidRPr="00F91EC4">
        <w:rPr>
          <w:noProof/>
        </w:rPr>
        <w:t>;</w:t>
      </w:r>
    </w:p>
    <w:p w14:paraId="2FC5E8D9" w14:textId="1245F743" w:rsidR="009A650E" w:rsidRPr="00321B6C" w:rsidRDefault="00DD0F7B" w:rsidP="00DD0F7B">
      <w:pPr>
        <w:pStyle w:val="Point1"/>
        <w:rPr>
          <w:noProof/>
        </w:rPr>
      </w:pPr>
      <w:r w:rsidRPr="00DD0F7B">
        <w:rPr>
          <w:noProof/>
        </w:rPr>
        <w:t>(d)</w:t>
      </w:r>
      <w:r w:rsidRPr="00DD0F7B">
        <w:rPr>
          <w:noProof/>
        </w:rPr>
        <w:tab/>
      </w:r>
      <w:r w:rsidR="009A650E" w:rsidRPr="00321B6C">
        <w:rPr>
          <w:noProof/>
        </w:rPr>
        <w:t xml:space="preserve">setting </w:t>
      </w:r>
      <w:r w:rsidR="00A45860" w:rsidRPr="00321B6C">
        <w:rPr>
          <w:noProof/>
        </w:rPr>
        <w:t xml:space="preserve">out </w:t>
      </w:r>
      <w:r w:rsidR="00644676" w:rsidRPr="00321B6C">
        <w:rPr>
          <w:noProof/>
        </w:rPr>
        <w:t xml:space="preserve">durability multipliers </w:t>
      </w:r>
      <w:r w:rsidR="00566FF5" w:rsidRPr="00321B6C">
        <w:rPr>
          <w:noProof/>
        </w:rPr>
        <w:t xml:space="preserve">in Annex IV </w:t>
      </w:r>
      <w:r w:rsidR="00644676" w:rsidRPr="00321B6C">
        <w:rPr>
          <w:noProof/>
        </w:rPr>
        <w:t xml:space="preserve">based on data collected when testing Euro 7 </w:t>
      </w:r>
      <w:r w:rsidR="00C36C7F" w:rsidRPr="00321B6C">
        <w:rPr>
          <w:noProof/>
        </w:rPr>
        <w:t>M</w:t>
      </w:r>
      <w:r w:rsidR="00C36C7F" w:rsidRPr="00321B6C">
        <w:rPr>
          <w:noProof/>
          <w:vertAlign w:val="subscript"/>
        </w:rPr>
        <w:t>2</w:t>
      </w:r>
      <w:r w:rsidR="00C36C7F" w:rsidRPr="00321B6C">
        <w:rPr>
          <w:noProof/>
        </w:rPr>
        <w:t>, M</w:t>
      </w:r>
      <w:r w:rsidR="00C36C7F" w:rsidRPr="00321B6C">
        <w:rPr>
          <w:noProof/>
          <w:vertAlign w:val="subscript"/>
        </w:rPr>
        <w:t>3</w:t>
      </w:r>
      <w:r w:rsidR="00C36C7F" w:rsidRPr="00321B6C">
        <w:rPr>
          <w:noProof/>
        </w:rPr>
        <w:t>, N</w:t>
      </w:r>
      <w:r w:rsidR="00C36C7F" w:rsidRPr="00321B6C">
        <w:rPr>
          <w:noProof/>
          <w:vertAlign w:val="subscript"/>
        </w:rPr>
        <w:t>2</w:t>
      </w:r>
      <w:r w:rsidR="00C36C7F" w:rsidRPr="00321B6C">
        <w:rPr>
          <w:noProof/>
        </w:rPr>
        <w:t>, N</w:t>
      </w:r>
      <w:r w:rsidR="00C36C7F" w:rsidRPr="00321B6C">
        <w:rPr>
          <w:noProof/>
          <w:vertAlign w:val="subscript"/>
        </w:rPr>
        <w:t xml:space="preserve">3 </w:t>
      </w:r>
      <w:r w:rsidR="00644676" w:rsidRPr="00321B6C">
        <w:rPr>
          <w:noProof/>
        </w:rPr>
        <w:t xml:space="preserve">vehicles and </w:t>
      </w:r>
      <w:r w:rsidR="00C36C7F" w:rsidRPr="00321B6C">
        <w:rPr>
          <w:noProof/>
        </w:rPr>
        <w:t xml:space="preserve">a report </w:t>
      </w:r>
      <w:r w:rsidR="0011513F" w:rsidRPr="00321B6C">
        <w:rPr>
          <w:noProof/>
        </w:rPr>
        <w:t xml:space="preserve">on the durability of heavy duty vehicles </w:t>
      </w:r>
      <w:r w:rsidR="00C36C7F" w:rsidRPr="00321B6C">
        <w:rPr>
          <w:noProof/>
        </w:rPr>
        <w:t>submitted to the European Parliament and Council</w:t>
      </w:r>
      <w:r w:rsidR="009A650E" w:rsidRPr="00321B6C">
        <w:rPr>
          <w:noProof/>
        </w:rPr>
        <w:t>;</w:t>
      </w:r>
    </w:p>
    <w:p w14:paraId="56828FBE" w14:textId="630357A3" w:rsidR="00F85C17" w:rsidRDefault="00DD0F7B" w:rsidP="00DD0F7B">
      <w:pPr>
        <w:pStyle w:val="Point1"/>
        <w:rPr>
          <w:noProof/>
        </w:rPr>
      </w:pPr>
      <w:r w:rsidRPr="00DD0F7B">
        <w:rPr>
          <w:noProof/>
        </w:rPr>
        <w:t>(e)</w:t>
      </w:r>
      <w:r w:rsidRPr="00DD0F7B">
        <w:rPr>
          <w:noProof/>
        </w:rPr>
        <w:tab/>
      </w:r>
      <w:r w:rsidR="00A45860">
        <w:rPr>
          <w:noProof/>
        </w:rPr>
        <w:t xml:space="preserve">setting out </w:t>
      </w:r>
      <w:r w:rsidR="00C36C7F">
        <w:rPr>
          <w:noProof/>
        </w:rPr>
        <w:t xml:space="preserve">definitions and </w:t>
      </w:r>
      <w:r w:rsidR="00F85C17" w:rsidRPr="00F91EC4">
        <w:rPr>
          <w:noProof/>
        </w:rPr>
        <w:t>special rules for small volume manufacturers for vehicle categories M</w:t>
      </w:r>
      <w:r w:rsidR="00F85C17" w:rsidRPr="00F91EC4">
        <w:rPr>
          <w:noProof/>
          <w:vertAlign w:val="subscript"/>
        </w:rPr>
        <w:t>2</w:t>
      </w:r>
      <w:r w:rsidR="00F85C17" w:rsidRPr="00F91EC4">
        <w:rPr>
          <w:noProof/>
        </w:rPr>
        <w:t>, M</w:t>
      </w:r>
      <w:r w:rsidR="00F85C17" w:rsidRPr="00F91EC4">
        <w:rPr>
          <w:noProof/>
          <w:vertAlign w:val="subscript"/>
        </w:rPr>
        <w:t>3</w:t>
      </w:r>
      <w:r w:rsidR="00F85C17" w:rsidRPr="00F91EC4">
        <w:rPr>
          <w:noProof/>
        </w:rPr>
        <w:t>, N</w:t>
      </w:r>
      <w:r w:rsidR="00F85C17" w:rsidRPr="00F91EC4">
        <w:rPr>
          <w:noProof/>
          <w:vertAlign w:val="subscript"/>
        </w:rPr>
        <w:t>2</w:t>
      </w:r>
      <w:r w:rsidR="00F85C17" w:rsidRPr="00F91EC4">
        <w:rPr>
          <w:noProof/>
        </w:rPr>
        <w:t>, N</w:t>
      </w:r>
      <w:r w:rsidR="00F85C17" w:rsidRPr="00F91EC4">
        <w:rPr>
          <w:noProof/>
          <w:vertAlign w:val="subscript"/>
        </w:rPr>
        <w:t>3</w:t>
      </w:r>
      <w:r w:rsidR="00A45860">
        <w:rPr>
          <w:noProof/>
          <w:vertAlign w:val="subscript"/>
        </w:rPr>
        <w:t xml:space="preserve"> </w:t>
      </w:r>
      <w:r w:rsidR="00A45860" w:rsidRPr="00321B6C">
        <w:rPr>
          <w:noProof/>
        </w:rPr>
        <w:t>under</w:t>
      </w:r>
      <w:r w:rsidR="00A45860">
        <w:rPr>
          <w:noProof/>
        </w:rPr>
        <w:t xml:space="preserve"> A</w:t>
      </w:r>
      <w:r w:rsidR="00A45860" w:rsidRPr="00F91EC4">
        <w:rPr>
          <w:noProof/>
        </w:rPr>
        <w:t>rticle</w:t>
      </w:r>
      <w:r w:rsidR="00A45860">
        <w:rPr>
          <w:noProof/>
        </w:rPr>
        <w:t xml:space="preserve"> 3 and Article 8 of this Regulation</w:t>
      </w:r>
      <w:r w:rsidR="00F85C17" w:rsidRPr="00F91EC4">
        <w:rPr>
          <w:noProof/>
        </w:rPr>
        <w:t xml:space="preserve">. </w:t>
      </w:r>
    </w:p>
    <w:p w14:paraId="69D14DBA" w14:textId="77777777" w:rsidR="002A783F" w:rsidRPr="00F91EC4" w:rsidRDefault="002A783F" w:rsidP="00481CFE">
      <w:pPr>
        <w:pStyle w:val="ChapterTitle"/>
        <w:rPr>
          <w:noProof/>
          <w:color w:val="000000" w:themeColor="text1"/>
        </w:rPr>
      </w:pPr>
      <w:r w:rsidRPr="00F91EC4">
        <w:rPr>
          <w:noProof/>
          <w:color w:val="000000" w:themeColor="text1"/>
        </w:rPr>
        <w:t xml:space="preserve">Chapter </w:t>
      </w:r>
      <w:r w:rsidR="002F0446" w:rsidRPr="00F91EC4">
        <w:rPr>
          <w:noProof/>
          <w:color w:val="000000" w:themeColor="text1"/>
        </w:rPr>
        <w:t>VI</w:t>
      </w:r>
      <w:r w:rsidR="00CB7FF2" w:rsidRPr="00F91EC4">
        <w:rPr>
          <w:noProof/>
          <w:color w:val="000000" w:themeColor="text1"/>
        </w:rPr>
        <w:t xml:space="preserve">- </w:t>
      </w:r>
      <w:r w:rsidR="00CD5B0E" w:rsidRPr="00F91EC4">
        <w:rPr>
          <w:noProof/>
          <w:color w:val="000000" w:themeColor="text1"/>
        </w:rPr>
        <w:t xml:space="preserve">General </w:t>
      </w:r>
      <w:r w:rsidR="002F0446" w:rsidRPr="00F91EC4">
        <w:rPr>
          <w:noProof/>
          <w:color w:val="000000" w:themeColor="text1"/>
        </w:rPr>
        <w:t>Provisions</w:t>
      </w:r>
    </w:p>
    <w:p w14:paraId="1D9FD361" w14:textId="77777777" w:rsidR="00F63C1E" w:rsidRPr="00F91EC4" w:rsidRDefault="00E92819" w:rsidP="00E92819">
      <w:pPr>
        <w:pStyle w:val="Titrearticle"/>
        <w:rPr>
          <w:b/>
          <w:i w:val="0"/>
          <w:noProof/>
          <w:color w:val="000000" w:themeColor="text1"/>
        </w:rPr>
      </w:pPr>
      <w:r w:rsidRPr="00F91EC4">
        <w:rPr>
          <w:noProof/>
          <w:color w:val="000000" w:themeColor="text1"/>
        </w:rPr>
        <w:t xml:space="preserve">Article </w:t>
      </w:r>
      <w:r w:rsidR="004023C2" w:rsidRPr="00F91EC4">
        <w:rPr>
          <w:noProof/>
          <w:color w:val="000000" w:themeColor="text1"/>
        </w:rPr>
        <w:t>1</w:t>
      </w:r>
      <w:r w:rsidR="00C57AEF" w:rsidRPr="00F91EC4">
        <w:rPr>
          <w:noProof/>
          <w:color w:val="000000" w:themeColor="text1"/>
        </w:rPr>
        <w:t>6</w:t>
      </w:r>
      <w:r w:rsidRPr="00F91EC4">
        <w:rPr>
          <w:noProof/>
          <w:color w:val="000000" w:themeColor="text1"/>
        </w:rPr>
        <w:br/>
      </w:r>
      <w:r w:rsidR="00F63C1E" w:rsidRPr="00F91EC4">
        <w:rPr>
          <w:b/>
          <w:i w:val="0"/>
          <w:noProof/>
          <w:color w:val="000000" w:themeColor="text1"/>
        </w:rPr>
        <w:t xml:space="preserve">Exercise of the </w:t>
      </w:r>
      <w:r w:rsidR="00F51830" w:rsidRPr="00F91EC4">
        <w:rPr>
          <w:b/>
          <w:i w:val="0"/>
          <w:noProof/>
          <w:color w:val="000000" w:themeColor="text1"/>
        </w:rPr>
        <w:t>delegation</w:t>
      </w:r>
    </w:p>
    <w:p w14:paraId="177CFEEA" w14:textId="36046E2C" w:rsidR="00300823" w:rsidRPr="00F91EC4" w:rsidRDefault="00DD0F7B" w:rsidP="00DD0F7B">
      <w:pPr>
        <w:pStyle w:val="ManualNumPar1"/>
        <w:rPr>
          <w:noProof/>
        </w:rPr>
      </w:pPr>
      <w:r w:rsidRPr="00DD0F7B">
        <w:rPr>
          <w:noProof/>
        </w:rPr>
        <w:t>1.</w:t>
      </w:r>
      <w:r w:rsidRPr="00DD0F7B">
        <w:rPr>
          <w:noProof/>
        </w:rPr>
        <w:tab/>
      </w:r>
      <w:r w:rsidR="00300823" w:rsidRPr="00F91EC4">
        <w:rPr>
          <w:noProof/>
        </w:rPr>
        <w:t>The power to adopt delegated acts is conferred on the Commission subject to the conditions laid down in this Article.</w:t>
      </w:r>
    </w:p>
    <w:p w14:paraId="314C2635" w14:textId="7ED7C097" w:rsidR="00300823" w:rsidRPr="00F91EC4" w:rsidRDefault="00DD0F7B" w:rsidP="00DD0F7B">
      <w:pPr>
        <w:pStyle w:val="ManualNumPar1"/>
        <w:rPr>
          <w:noProof/>
        </w:rPr>
      </w:pPr>
      <w:r w:rsidRPr="00DD0F7B">
        <w:rPr>
          <w:noProof/>
        </w:rPr>
        <w:t>2.</w:t>
      </w:r>
      <w:r w:rsidRPr="00DD0F7B">
        <w:rPr>
          <w:noProof/>
        </w:rPr>
        <w:tab/>
      </w:r>
      <w:r w:rsidR="00300823" w:rsidRPr="00F91EC4">
        <w:rPr>
          <w:noProof/>
        </w:rPr>
        <w:t>The power to adopt delegated acts referred to in Article</w:t>
      </w:r>
      <w:r w:rsidR="00144EF9" w:rsidRPr="00F91EC4">
        <w:rPr>
          <w:noProof/>
        </w:rPr>
        <w:t xml:space="preserve"> </w:t>
      </w:r>
      <w:r w:rsidR="00873330" w:rsidRPr="00F91EC4">
        <w:rPr>
          <w:noProof/>
        </w:rPr>
        <w:t xml:space="preserve">15 </w:t>
      </w:r>
      <w:r w:rsidR="00300823" w:rsidRPr="00F91EC4">
        <w:rPr>
          <w:noProof/>
        </w:rPr>
        <w:t>shall be conferred on the Commission for a period of five</w:t>
      </w:r>
      <w:r w:rsidR="00F57E19" w:rsidRPr="00F91EC4">
        <w:rPr>
          <w:noProof/>
        </w:rPr>
        <w:t xml:space="preserve"> </w:t>
      </w:r>
      <w:r w:rsidR="00300823" w:rsidRPr="00F91EC4">
        <w:rPr>
          <w:noProof/>
        </w:rPr>
        <w:t xml:space="preserve">years from... </w:t>
      </w:r>
      <w:r w:rsidR="00300823" w:rsidRPr="00F91EC4">
        <w:rPr>
          <w:i/>
          <w:noProof/>
        </w:rPr>
        <w:t>[</w:t>
      </w:r>
      <w:r w:rsidR="00C13A47" w:rsidRPr="00F91EC4">
        <w:rPr>
          <w:i/>
          <w:noProof/>
        </w:rPr>
        <w:t xml:space="preserve">OP please insert the date = the </w:t>
      </w:r>
      <w:r w:rsidR="0061465A" w:rsidRPr="00F91EC4">
        <w:rPr>
          <w:i/>
          <w:noProof/>
        </w:rPr>
        <w:t xml:space="preserve">date </w:t>
      </w:r>
      <w:r w:rsidR="00454560" w:rsidRPr="00F91EC4">
        <w:rPr>
          <w:i/>
          <w:noProof/>
        </w:rPr>
        <w:t>of</w:t>
      </w:r>
      <w:r w:rsidR="00300823" w:rsidRPr="00F91EC4">
        <w:rPr>
          <w:i/>
          <w:noProof/>
        </w:rPr>
        <w:t xml:space="preserve"> entry into force </w:t>
      </w:r>
      <w:r w:rsidR="00C13A47" w:rsidRPr="00F91EC4">
        <w:rPr>
          <w:i/>
          <w:noProof/>
        </w:rPr>
        <w:t>of this Regulation</w:t>
      </w:r>
      <w:r w:rsidR="00300823" w:rsidRPr="00F91EC4">
        <w:rPr>
          <w:i/>
          <w:noProof/>
        </w:rPr>
        <w:t>]</w:t>
      </w:r>
      <w:r w:rsidR="00300823" w:rsidRPr="00F91EC4">
        <w:rPr>
          <w:noProof/>
        </w:rPr>
        <w:t>. The Commission shall draw up a report in respect of the delegation of power not later than</w:t>
      </w:r>
      <w:r w:rsidR="00F36FD8" w:rsidRPr="00F91EC4">
        <w:rPr>
          <w:noProof/>
        </w:rPr>
        <w:t xml:space="preserve"> </w:t>
      </w:r>
      <w:r w:rsidR="00300823" w:rsidRPr="00F91EC4">
        <w:rPr>
          <w:noProof/>
        </w:rPr>
        <w:t xml:space="preserve">nine months before the end of the five-year period. The delegation of power shall be tacitly extended for periods of an identical duration, unless the European Parliament or the Council </w:t>
      </w:r>
      <w:r w:rsidR="00F36FD8" w:rsidRPr="00F91EC4">
        <w:rPr>
          <w:noProof/>
        </w:rPr>
        <w:t>o</w:t>
      </w:r>
      <w:r w:rsidR="00300823" w:rsidRPr="00F91EC4">
        <w:rPr>
          <w:noProof/>
        </w:rPr>
        <w:t>pposes such extension not later than three months before the end of each period.</w:t>
      </w:r>
    </w:p>
    <w:p w14:paraId="516298DE" w14:textId="0F8BBCD4" w:rsidR="00300823" w:rsidRPr="00F91EC4" w:rsidRDefault="00DD0F7B" w:rsidP="00DD0F7B">
      <w:pPr>
        <w:pStyle w:val="ManualNumPar1"/>
        <w:rPr>
          <w:noProof/>
        </w:rPr>
      </w:pPr>
      <w:r w:rsidRPr="00DD0F7B">
        <w:rPr>
          <w:noProof/>
        </w:rPr>
        <w:t>3.</w:t>
      </w:r>
      <w:r w:rsidRPr="00DD0F7B">
        <w:rPr>
          <w:noProof/>
        </w:rPr>
        <w:tab/>
      </w:r>
      <w:r w:rsidR="00300823" w:rsidRPr="00F91EC4">
        <w:rPr>
          <w:noProof/>
        </w:rPr>
        <w:t xml:space="preserve">The delegation of power referred to </w:t>
      </w:r>
      <w:r w:rsidR="00C3046A" w:rsidRPr="00F91EC4">
        <w:rPr>
          <w:noProof/>
        </w:rPr>
        <w:t>in Ar</w:t>
      </w:r>
      <w:r w:rsidR="00144EF9" w:rsidRPr="00F91EC4">
        <w:rPr>
          <w:noProof/>
        </w:rPr>
        <w:t xml:space="preserve">ticle </w:t>
      </w:r>
      <w:r w:rsidR="00873330" w:rsidRPr="00F91EC4">
        <w:rPr>
          <w:noProof/>
        </w:rPr>
        <w:t xml:space="preserve">15 </w:t>
      </w:r>
      <w:r w:rsidR="00300823" w:rsidRPr="00F91EC4">
        <w:rPr>
          <w:noProof/>
        </w:rPr>
        <w:t>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4E8F5FC7" w14:textId="6C0B7B72" w:rsidR="00300823" w:rsidRPr="00F91EC4" w:rsidRDefault="00DD0F7B" w:rsidP="00DD0F7B">
      <w:pPr>
        <w:pStyle w:val="ManualNumPar1"/>
        <w:rPr>
          <w:noProof/>
        </w:rPr>
      </w:pPr>
      <w:r w:rsidRPr="00DD0F7B">
        <w:rPr>
          <w:noProof/>
        </w:rPr>
        <w:t>4.</w:t>
      </w:r>
      <w:r w:rsidRPr="00DD0F7B">
        <w:rPr>
          <w:noProof/>
        </w:rPr>
        <w:tab/>
      </w:r>
      <w:r w:rsidR="00300823" w:rsidRPr="00F91EC4">
        <w:rPr>
          <w:noProof/>
        </w:rPr>
        <w:t>Before adopting a delegated act, the Commission shall consult experts designated by each Member State in accordance with the principles laid down in the Interinstitutional Agreement on Better Law-Making of 13 April 2016.</w:t>
      </w:r>
    </w:p>
    <w:p w14:paraId="6D5A3B0B" w14:textId="7FF81A07" w:rsidR="00300823" w:rsidRPr="00F91EC4" w:rsidRDefault="00DD0F7B" w:rsidP="00DD0F7B">
      <w:pPr>
        <w:pStyle w:val="ManualNumPar1"/>
        <w:rPr>
          <w:noProof/>
        </w:rPr>
      </w:pPr>
      <w:r w:rsidRPr="00DD0F7B">
        <w:rPr>
          <w:noProof/>
        </w:rPr>
        <w:t>5.</w:t>
      </w:r>
      <w:r w:rsidRPr="00DD0F7B">
        <w:rPr>
          <w:noProof/>
        </w:rPr>
        <w:tab/>
      </w:r>
      <w:r w:rsidR="00300823" w:rsidRPr="00F91EC4">
        <w:rPr>
          <w:noProof/>
        </w:rPr>
        <w:t>As soon as it adopts a delegated act, the Commission shall notify it simultaneously to the European Parliament and to the Council.</w:t>
      </w:r>
    </w:p>
    <w:p w14:paraId="39980876" w14:textId="6745E892" w:rsidR="00300823" w:rsidRPr="00F91EC4" w:rsidRDefault="00DD0F7B" w:rsidP="00DD0F7B">
      <w:pPr>
        <w:pStyle w:val="ManualNumPar1"/>
        <w:rPr>
          <w:noProof/>
        </w:rPr>
      </w:pPr>
      <w:r w:rsidRPr="00DD0F7B">
        <w:rPr>
          <w:noProof/>
        </w:rPr>
        <w:t>6.</w:t>
      </w:r>
      <w:r w:rsidRPr="00DD0F7B">
        <w:rPr>
          <w:noProof/>
        </w:rPr>
        <w:tab/>
      </w:r>
      <w:r w:rsidR="00300823" w:rsidRPr="00F91EC4">
        <w:rPr>
          <w:noProof/>
        </w:rPr>
        <w:t xml:space="preserve">A delegated act adopted pursuant to </w:t>
      </w:r>
      <w:r w:rsidR="006C6377" w:rsidRPr="00F91EC4">
        <w:rPr>
          <w:noProof/>
        </w:rPr>
        <w:t>Ar</w:t>
      </w:r>
      <w:r w:rsidR="00144EF9" w:rsidRPr="00F91EC4">
        <w:rPr>
          <w:noProof/>
        </w:rPr>
        <w:t xml:space="preserve">ticle </w:t>
      </w:r>
      <w:r w:rsidR="00873330" w:rsidRPr="00F91EC4">
        <w:rPr>
          <w:noProof/>
        </w:rPr>
        <w:t xml:space="preserve">15 </w:t>
      </w:r>
      <w:r w:rsidR="00300823" w:rsidRPr="00F91EC4">
        <w:rPr>
          <w:noProof/>
        </w:rPr>
        <w:t>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18896D43" w14:textId="77777777" w:rsidR="00E92819" w:rsidRPr="00F91EC4" w:rsidRDefault="00F63C1E" w:rsidP="00E92819">
      <w:pPr>
        <w:pStyle w:val="Titrearticle"/>
        <w:rPr>
          <w:b/>
          <w:i w:val="0"/>
          <w:noProof/>
          <w:color w:val="000000" w:themeColor="text1"/>
        </w:rPr>
      </w:pPr>
      <w:r w:rsidRPr="00F91EC4">
        <w:rPr>
          <w:noProof/>
          <w:color w:val="000000" w:themeColor="text1"/>
        </w:rPr>
        <w:t xml:space="preserve">Article </w:t>
      </w:r>
      <w:r w:rsidR="00421302" w:rsidRPr="00F91EC4">
        <w:rPr>
          <w:noProof/>
          <w:color w:val="000000" w:themeColor="text1"/>
        </w:rPr>
        <w:t>17</w:t>
      </w:r>
      <w:r w:rsidR="001A054E" w:rsidRPr="00F91EC4">
        <w:rPr>
          <w:noProof/>
          <w:color w:val="000000" w:themeColor="text1"/>
        </w:rPr>
        <w:br/>
      </w:r>
      <w:r w:rsidRPr="00F91EC4">
        <w:rPr>
          <w:b/>
          <w:i w:val="0"/>
          <w:noProof/>
          <w:color w:val="000000" w:themeColor="text1"/>
        </w:rPr>
        <w:t>Committee Procedure</w:t>
      </w:r>
    </w:p>
    <w:p w14:paraId="6B31675F" w14:textId="3228EE2C" w:rsidR="00300823" w:rsidRPr="00F91EC4" w:rsidRDefault="00DD0F7B" w:rsidP="00DD0F7B">
      <w:pPr>
        <w:pStyle w:val="ManualNumPar1"/>
        <w:rPr>
          <w:noProof/>
        </w:rPr>
      </w:pPr>
      <w:r w:rsidRPr="00DD0F7B">
        <w:rPr>
          <w:noProof/>
        </w:rPr>
        <w:t>1.</w:t>
      </w:r>
      <w:r w:rsidRPr="00DD0F7B">
        <w:rPr>
          <w:noProof/>
        </w:rPr>
        <w:tab/>
      </w:r>
      <w:r w:rsidR="00E92819" w:rsidRPr="00F91EC4">
        <w:rPr>
          <w:noProof/>
        </w:rPr>
        <w:t xml:space="preserve">The Commission shall be assisted by </w:t>
      </w:r>
      <w:r w:rsidR="00300823" w:rsidRPr="00F91EC4">
        <w:rPr>
          <w:noProof/>
        </w:rPr>
        <w:t>the Technical C</w:t>
      </w:r>
      <w:r w:rsidR="00E92819" w:rsidRPr="00F91EC4">
        <w:rPr>
          <w:noProof/>
        </w:rPr>
        <w:t>ommittee</w:t>
      </w:r>
      <w:r w:rsidR="00300823" w:rsidRPr="00F91EC4">
        <w:rPr>
          <w:noProof/>
        </w:rPr>
        <w:t xml:space="preserve"> –Motor Vehicles</w:t>
      </w:r>
      <w:r w:rsidR="00461B99" w:rsidRPr="00F91EC4">
        <w:rPr>
          <w:noProof/>
        </w:rPr>
        <w:t>.</w:t>
      </w:r>
      <w:r w:rsidR="00300823" w:rsidRPr="00F91EC4">
        <w:rPr>
          <w:noProof/>
        </w:rPr>
        <w:t xml:space="preserve"> That committee shall be a committee within the meaning of Regulation (EU) No 182/2011. </w:t>
      </w:r>
    </w:p>
    <w:p w14:paraId="6157A504" w14:textId="21A0D570" w:rsidR="00FD4C43" w:rsidRPr="00F91EC4" w:rsidRDefault="00DD0F7B" w:rsidP="00DD0F7B">
      <w:pPr>
        <w:pStyle w:val="ManualNumPar1"/>
        <w:rPr>
          <w:noProof/>
        </w:rPr>
      </w:pPr>
      <w:r w:rsidRPr="00DD0F7B">
        <w:rPr>
          <w:noProof/>
        </w:rPr>
        <w:t>2.</w:t>
      </w:r>
      <w:r w:rsidRPr="00DD0F7B">
        <w:rPr>
          <w:noProof/>
        </w:rPr>
        <w:tab/>
      </w:r>
      <w:r w:rsidR="00300823" w:rsidRPr="00F91EC4">
        <w:rPr>
          <w:noProof/>
        </w:rPr>
        <w:t>Where reference is made to this paragraph, Article 5 of Regulation (EU) No 182/2011 shall apply.</w:t>
      </w:r>
    </w:p>
    <w:p w14:paraId="7A626DE1" w14:textId="77777777" w:rsidR="00DF0290" w:rsidRPr="00F91EC4" w:rsidRDefault="00DF0290" w:rsidP="00DF0290">
      <w:pPr>
        <w:pStyle w:val="Titrearticle"/>
        <w:rPr>
          <w:b/>
          <w:i w:val="0"/>
          <w:noProof/>
          <w:color w:val="000000" w:themeColor="text1"/>
        </w:rPr>
      </w:pPr>
      <w:r w:rsidRPr="00F91EC4">
        <w:rPr>
          <w:noProof/>
          <w:color w:val="000000" w:themeColor="text1"/>
        </w:rPr>
        <w:t xml:space="preserve">Article </w:t>
      </w:r>
      <w:r w:rsidR="00421302" w:rsidRPr="00F91EC4">
        <w:rPr>
          <w:noProof/>
          <w:color w:val="000000" w:themeColor="text1"/>
        </w:rPr>
        <w:t xml:space="preserve">18 </w:t>
      </w:r>
      <w:r w:rsidR="001A054E" w:rsidRPr="00F91EC4">
        <w:rPr>
          <w:noProof/>
          <w:color w:val="000000" w:themeColor="text1"/>
        </w:rPr>
        <w:br/>
      </w:r>
      <w:r w:rsidRPr="00F91EC4">
        <w:rPr>
          <w:b/>
          <w:i w:val="0"/>
          <w:noProof/>
          <w:color w:val="000000" w:themeColor="text1"/>
        </w:rPr>
        <w:t>Reporting</w:t>
      </w:r>
    </w:p>
    <w:p w14:paraId="2D1E525E" w14:textId="1B763A21" w:rsidR="007916CC" w:rsidRPr="00F91EC4" w:rsidRDefault="00DD0F7B" w:rsidP="00DD0F7B">
      <w:pPr>
        <w:pStyle w:val="ManualNumPar1"/>
        <w:rPr>
          <w:noProof/>
        </w:rPr>
      </w:pPr>
      <w:r w:rsidRPr="00DD0F7B">
        <w:rPr>
          <w:noProof/>
        </w:rPr>
        <w:t>1.</w:t>
      </w:r>
      <w:r w:rsidRPr="00DD0F7B">
        <w:rPr>
          <w:noProof/>
        </w:rPr>
        <w:tab/>
      </w:r>
      <w:r w:rsidR="007916CC" w:rsidRPr="00F91EC4">
        <w:rPr>
          <w:noProof/>
        </w:rPr>
        <w:t>By 1 September 20</w:t>
      </w:r>
      <w:r w:rsidR="0076270D" w:rsidRPr="00F91EC4">
        <w:rPr>
          <w:noProof/>
        </w:rPr>
        <w:t>30</w:t>
      </w:r>
      <w:r w:rsidR="007916CC" w:rsidRPr="00F91EC4">
        <w:rPr>
          <w:noProof/>
        </w:rPr>
        <w:t xml:space="preserve">, Member States shall inform the Commission of the application </w:t>
      </w:r>
      <w:r w:rsidR="001E7319" w:rsidRPr="00F91EC4">
        <w:rPr>
          <w:noProof/>
        </w:rPr>
        <w:t xml:space="preserve">of </w:t>
      </w:r>
      <w:r w:rsidR="007916CC" w:rsidRPr="00F91EC4">
        <w:rPr>
          <w:noProof/>
        </w:rPr>
        <w:t xml:space="preserve">this Regulation. </w:t>
      </w:r>
    </w:p>
    <w:p w14:paraId="7F4A9CE9" w14:textId="12853606" w:rsidR="00CD5B0E" w:rsidRPr="00F91EC4" w:rsidRDefault="00DD0F7B" w:rsidP="00DD0F7B">
      <w:pPr>
        <w:pStyle w:val="ManualNumPar1"/>
        <w:rPr>
          <w:noProof/>
        </w:rPr>
      </w:pPr>
      <w:r w:rsidRPr="00DD0F7B">
        <w:rPr>
          <w:noProof/>
        </w:rPr>
        <w:t>2.</w:t>
      </w:r>
      <w:r w:rsidRPr="00DD0F7B">
        <w:rPr>
          <w:noProof/>
        </w:rPr>
        <w:tab/>
      </w:r>
      <w:r w:rsidR="007916CC" w:rsidRPr="00F91EC4">
        <w:rPr>
          <w:noProof/>
        </w:rPr>
        <w:t>By 1 September 20</w:t>
      </w:r>
      <w:r w:rsidR="0076270D" w:rsidRPr="00F91EC4">
        <w:rPr>
          <w:noProof/>
        </w:rPr>
        <w:t>31</w:t>
      </w:r>
      <w:r w:rsidR="007916CC" w:rsidRPr="00F91EC4">
        <w:rPr>
          <w:noProof/>
        </w:rPr>
        <w:t xml:space="preserve">, on the basis of the information supplied </w:t>
      </w:r>
      <w:r w:rsidR="0000249A" w:rsidRPr="00F91EC4">
        <w:rPr>
          <w:noProof/>
        </w:rPr>
        <w:t xml:space="preserve">in accordance with </w:t>
      </w:r>
      <w:r w:rsidR="007916CC" w:rsidRPr="00F91EC4">
        <w:rPr>
          <w:noProof/>
        </w:rPr>
        <w:t xml:space="preserve">paragraph 1, the Commission shall submit </w:t>
      </w:r>
      <w:r w:rsidR="0000249A" w:rsidRPr="00F91EC4">
        <w:rPr>
          <w:noProof/>
        </w:rPr>
        <w:t xml:space="preserve">to the European Parliament and to the Council </w:t>
      </w:r>
      <w:r w:rsidR="007916CC" w:rsidRPr="00F91EC4">
        <w:rPr>
          <w:noProof/>
        </w:rPr>
        <w:t>an evaluation report on the</w:t>
      </w:r>
      <w:r w:rsidR="0076270D" w:rsidRPr="00F91EC4">
        <w:rPr>
          <w:noProof/>
        </w:rPr>
        <w:t xml:space="preserve"> application of this Regulation</w:t>
      </w:r>
      <w:r w:rsidR="007916CC" w:rsidRPr="00F91EC4">
        <w:rPr>
          <w:noProof/>
        </w:rPr>
        <w:t>.</w:t>
      </w:r>
    </w:p>
    <w:p w14:paraId="6C72A2C2" w14:textId="77777777" w:rsidR="00CD5B0E" w:rsidRPr="00F91EC4" w:rsidRDefault="00CD5B0E" w:rsidP="00876E51">
      <w:pPr>
        <w:pStyle w:val="ChapterTitle"/>
        <w:rPr>
          <w:noProof/>
          <w:color w:val="000000" w:themeColor="text1"/>
        </w:rPr>
      </w:pPr>
      <w:r w:rsidRPr="00F91EC4">
        <w:rPr>
          <w:noProof/>
          <w:color w:val="000000" w:themeColor="text1"/>
        </w:rPr>
        <w:t>Chapter VI- Final Provisions</w:t>
      </w:r>
    </w:p>
    <w:p w14:paraId="04DAE018" w14:textId="77777777" w:rsidR="00DF0290" w:rsidRPr="00F91EC4" w:rsidRDefault="00DF0290" w:rsidP="00DF0290">
      <w:pPr>
        <w:pStyle w:val="Titrearticle"/>
        <w:rPr>
          <w:b/>
          <w:i w:val="0"/>
          <w:noProof/>
          <w:color w:val="000000" w:themeColor="text1"/>
        </w:rPr>
      </w:pPr>
      <w:r w:rsidRPr="00F91EC4">
        <w:rPr>
          <w:noProof/>
          <w:color w:val="000000" w:themeColor="text1"/>
        </w:rPr>
        <w:t xml:space="preserve">Article </w:t>
      </w:r>
      <w:r w:rsidR="00C57AEF" w:rsidRPr="00F91EC4">
        <w:rPr>
          <w:noProof/>
          <w:color w:val="000000" w:themeColor="text1"/>
        </w:rPr>
        <w:t>19</w:t>
      </w:r>
      <w:r w:rsidR="001A054E" w:rsidRPr="00F91EC4">
        <w:rPr>
          <w:noProof/>
          <w:color w:val="000000" w:themeColor="text1"/>
        </w:rPr>
        <w:br/>
      </w:r>
      <w:r w:rsidRPr="00F91EC4">
        <w:rPr>
          <w:b/>
          <w:i w:val="0"/>
          <w:noProof/>
          <w:color w:val="000000" w:themeColor="text1"/>
        </w:rPr>
        <w:t>Repeal of Regulation (EC) 715/2007 and Regulation (EC) 595/2009</w:t>
      </w:r>
    </w:p>
    <w:p w14:paraId="5BD3B6AF" w14:textId="77777777" w:rsidR="00D16D64" w:rsidRPr="00F91EC4" w:rsidRDefault="00DF0290" w:rsidP="00DA4E0C">
      <w:pPr>
        <w:rPr>
          <w:noProof/>
        </w:rPr>
      </w:pPr>
      <w:r w:rsidRPr="00F91EC4">
        <w:rPr>
          <w:noProof/>
        </w:rPr>
        <w:t xml:space="preserve">Regulation (EC) 715/2007 </w:t>
      </w:r>
      <w:r w:rsidR="00D16D64" w:rsidRPr="00F91EC4">
        <w:rPr>
          <w:noProof/>
        </w:rPr>
        <w:t xml:space="preserve">is repealed with effect from </w:t>
      </w:r>
      <w:r w:rsidR="00096401">
        <w:rPr>
          <w:noProof/>
        </w:rPr>
        <w:t>1 July</w:t>
      </w:r>
      <w:r w:rsidR="00894028" w:rsidRPr="00F91EC4">
        <w:rPr>
          <w:noProof/>
        </w:rPr>
        <w:t xml:space="preserve"> </w:t>
      </w:r>
      <w:r w:rsidR="00D16D64" w:rsidRPr="00F91EC4">
        <w:rPr>
          <w:noProof/>
        </w:rPr>
        <w:t>202</w:t>
      </w:r>
      <w:r w:rsidR="00161E18">
        <w:rPr>
          <w:noProof/>
        </w:rPr>
        <w:t>5.</w:t>
      </w:r>
    </w:p>
    <w:p w14:paraId="641439BA" w14:textId="542BD63B" w:rsidR="00DF0290" w:rsidRPr="00F91EC4" w:rsidRDefault="00DF0290" w:rsidP="00DA4E0C">
      <w:pPr>
        <w:rPr>
          <w:noProof/>
        </w:rPr>
      </w:pPr>
      <w:r w:rsidRPr="00F91EC4">
        <w:rPr>
          <w:noProof/>
        </w:rPr>
        <w:t xml:space="preserve">Regulation (EC) 595/2009 </w:t>
      </w:r>
      <w:r w:rsidR="00D16D64" w:rsidRPr="00F91EC4">
        <w:rPr>
          <w:noProof/>
        </w:rPr>
        <w:t xml:space="preserve">is </w:t>
      </w:r>
      <w:r w:rsidRPr="00F91EC4">
        <w:rPr>
          <w:noProof/>
        </w:rPr>
        <w:t xml:space="preserve">repealed with effect from </w:t>
      </w:r>
      <w:r w:rsidR="00096401">
        <w:rPr>
          <w:noProof/>
        </w:rPr>
        <w:t xml:space="preserve">1 </w:t>
      </w:r>
      <w:r w:rsidR="0038705B">
        <w:rPr>
          <w:noProof/>
        </w:rPr>
        <w:t>July</w:t>
      </w:r>
      <w:r w:rsidR="0038705B" w:rsidRPr="00F91EC4">
        <w:rPr>
          <w:noProof/>
        </w:rPr>
        <w:t xml:space="preserve"> </w:t>
      </w:r>
      <w:r w:rsidR="005D7839" w:rsidRPr="00F91EC4">
        <w:rPr>
          <w:noProof/>
        </w:rPr>
        <w:t>202</w:t>
      </w:r>
      <w:r w:rsidR="005D7839">
        <w:rPr>
          <w:noProof/>
        </w:rPr>
        <w:t>7</w:t>
      </w:r>
      <w:r w:rsidR="0000249A" w:rsidRPr="00F91EC4">
        <w:rPr>
          <w:noProof/>
        </w:rPr>
        <w:t>.</w:t>
      </w:r>
    </w:p>
    <w:p w14:paraId="76F792D2" w14:textId="77777777" w:rsidR="0081773A" w:rsidRPr="00F91EC4" w:rsidRDefault="002C4B47" w:rsidP="00DA4E0C">
      <w:pPr>
        <w:rPr>
          <w:noProof/>
        </w:rPr>
      </w:pPr>
      <w:r w:rsidRPr="00F91EC4">
        <w:rPr>
          <w:noProof/>
        </w:rPr>
        <w:t>References to Regulation</w:t>
      </w:r>
      <w:r w:rsidR="00EE6880" w:rsidRPr="00F91EC4">
        <w:rPr>
          <w:noProof/>
        </w:rPr>
        <w:t>s</w:t>
      </w:r>
      <w:r w:rsidRPr="00F91EC4">
        <w:rPr>
          <w:noProof/>
        </w:rPr>
        <w:t xml:space="preserve"> (EC) 715/2007 and 595/2009 shall be construed as references to this Regulation and shall be read in accordance with the correlation table set out </w:t>
      </w:r>
      <w:r w:rsidR="000455E1" w:rsidRPr="00F91EC4">
        <w:rPr>
          <w:noProof/>
        </w:rPr>
        <w:t xml:space="preserve">in </w:t>
      </w:r>
      <w:r w:rsidRPr="00F91EC4">
        <w:rPr>
          <w:noProof/>
        </w:rPr>
        <w:t xml:space="preserve">Annex </w:t>
      </w:r>
      <w:r w:rsidR="00B31CE4" w:rsidRPr="00F91EC4">
        <w:rPr>
          <w:noProof/>
        </w:rPr>
        <w:t xml:space="preserve">VI </w:t>
      </w:r>
      <w:r w:rsidRPr="00F91EC4">
        <w:rPr>
          <w:noProof/>
        </w:rPr>
        <w:t>to this Regulation.</w:t>
      </w:r>
    </w:p>
    <w:p w14:paraId="12C884F8" w14:textId="77777777" w:rsidR="00DF0290" w:rsidRPr="00F91EC4" w:rsidRDefault="009439C4" w:rsidP="00DF0290">
      <w:pPr>
        <w:pStyle w:val="Titrearticle"/>
        <w:rPr>
          <w:b/>
          <w:i w:val="0"/>
          <w:noProof/>
          <w:color w:val="000000" w:themeColor="text1"/>
        </w:rPr>
      </w:pPr>
      <w:r w:rsidRPr="00F91EC4">
        <w:rPr>
          <w:noProof/>
          <w:color w:val="000000" w:themeColor="text1"/>
        </w:rPr>
        <w:t xml:space="preserve">Article </w:t>
      </w:r>
      <w:r w:rsidR="00DF0290" w:rsidRPr="00F91EC4">
        <w:rPr>
          <w:noProof/>
        </w:rPr>
        <w:t>2</w:t>
      </w:r>
      <w:r w:rsidR="00C57AEF" w:rsidRPr="00F91EC4">
        <w:rPr>
          <w:noProof/>
        </w:rPr>
        <w:t>0</w:t>
      </w:r>
      <w:r w:rsidR="001A054E" w:rsidRPr="00F91EC4">
        <w:rPr>
          <w:noProof/>
        </w:rPr>
        <w:br/>
      </w:r>
      <w:r w:rsidR="00DF0290" w:rsidRPr="00F91EC4">
        <w:rPr>
          <w:b/>
          <w:i w:val="0"/>
          <w:noProof/>
          <w:color w:val="000000" w:themeColor="text1"/>
        </w:rPr>
        <w:t>Entry into force and application</w:t>
      </w:r>
    </w:p>
    <w:p w14:paraId="31A1C92E" w14:textId="77777777" w:rsidR="00567FE5" w:rsidRPr="00F91EC4" w:rsidRDefault="009439C4" w:rsidP="00DA4E0C">
      <w:pPr>
        <w:rPr>
          <w:noProof/>
        </w:rPr>
      </w:pPr>
      <w:r w:rsidRPr="00F91EC4">
        <w:rPr>
          <w:noProof/>
        </w:rPr>
        <w:t xml:space="preserve">This Regulation shall enter into force on the </w:t>
      </w:r>
      <w:r w:rsidR="00993131" w:rsidRPr="00F91EC4">
        <w:rPr>
          <w:noProof/>
        </w:rPr>
        <w:t>twentieth</w:t>
      </w:r>
      <w:r w:rsidRPr="00F91EC4">
        <w:rPr>
          <w:noProof/>
        </w:rPr>
        <w:t xml:space="preserve"> day following that of its publication in the </w:t>
      </w:r>
      <w:r w:rsidRPr="00F91EC4">
        <w:rPr>
          <w:i/>
          <w:noProof/>
        </w:rPr>
        <w:t>Official Journal of the European Union</w:t>
      </w:r>
      <w:r w:rsidRPr="00F91EC4">
        <w:rPr>
          <w:noProof/>
        </w:rPr>
        <w:t>.</w:t>
      </w:r>
      <w:r w:rsidR="00B37F36" w:rsidRPr="00F91EC4">
        <w:rPr>
          <w:noProof/>
        </w:rPr>
        <w:t xml:space="preserve"> </w:t>
      </w:r>
    </w:p>
    <w:p w14:paraId="26AFAE33" w14:textId="486279B2" w:rsidR="00567FE5" w:rsidRDefault="00567FE5" w:rsidP="00DA4E0C">
      <w:pPr>
        <w:rPr>
          <w:noProof/>
        </w:rPr>
      </w:pPr>
      <w:r w:rsidRPr="00F91EC4">
        <w:rPr>
          <w:noProof/>
        </w:rPr>
        <w:t xml:space="preserve">It shall apply from 1 </w:t>
      </w:r>
      <w:r w:rsidR="00B15B35" w:rsidRPr="00F91EC4">
        <w:rPr>
          <w:noProof/>
        </w:rPr>
        <w:t xml:space="preserve">July </w:t>
      </w:r>
      <w:r w:rsidRPr="00F91EC4">
        <w:rPr>
          <w:noProof/>
        </w:rPr>
        <w:t>202</w:t>
      </w:r>
      <w:r w:rsidR="00161E18">
        <w:rPr>
          <w:noProof/>
        </w:rPr>
        <w:t>5</w:t>
      </w:r>
      <w:r w:rsidR="008516B0" w:rsidRPr="00F91EC4">
        <w:rPr>
          <w:noProof/>
        </w:rPr>
        <w:t xml:space="preserve"> </w:t>
      </w:r>
      <w:r w:rsidR="00480E0E" w:rsidRPr="00F91EC4">
        <w:rPr>
          <w:noProof/>
        </w:rPr>
        <w:t>for M</w:t>
      </w:r>
      <w:r w:rsidR="00480E0E" w:rsidRPr="00F91EC4">
        <w:rPr>
          <w:noProof/>
          <w:vertAlign w:val="subscript"/>
        </w:rPr>
        <w:t>1</w:t>
      </w:r>
      <w:r w:rsidR="00480E0E" w:rsidRPr="00F91EC4">
        <w:rPr>
          <w:noProof/>
        </w:rPr>
        <w:t>, N</w:t>
      </w:r>
      <w:r w:rsidR="00480E0E" w:rsidRPr="00F91EC4">
        <w:rPr>
          <w:noProof/>
          <w:vertAlign w:val="subscript"/>
        </w:rPr>
        <w:t>1</w:t>
      </w:r>
      <w:r w:rsidR="00480E0E" w:rsidRPr="00F91EC4">
        <w:rPr>
          <w:noProof/>
        </w:rPr>
        <w:t xml:space="preserve"> vehicles</w:t>
      </w:r>
      <w:r w:rsidR="00C045AE" w:rsidRPr="00F91EC4">
        <w:rPr>
          <w:noProof/>
        </w:rPr>
        <w:t xml:space="preserve"> </w:t>
      </w:r>
      <w:r w:rsidR="00D72CAF" w:rsidRPr="00F91EC4">
        <w:rPr>
          <w:noProof/>
        </w:rPr>
        <w:t>and components and separate technical units</w:t>
      </w:r>
      <w:r w:rsidR="00D72CAF" w:rsidRPr="00F91EC4">
        <w:rPr>
          <w:noProof/>
          <w:color w:val="000000" w:themeColor="text1"/>
        </w:rPr>
        <w:t xml:space="preserve"> </w:t>
      </w:r>
      <w:r w:rsidR="00045206" w:rsidRPr="00F91EC4">
        <w:rPr>
          <w:noProof/>
          <w:color w:val="000000" w:themeColor="text1"/>
        </w:rPr>
        <w:t xml:space="preserve">for those vehicles </w:t>
      </w:r>
      <w:r w:rsidR="00480E0E" w:rsidRPr="00F91EC4">
        <w:rPr>
          <w:noProof/>
        </w:rPr>
        <w:t xml:space="preserve">and </w:t>
      </w:r>
      <w:r w:rsidR="00096401">
        <w:rPr>
          <w:noProof/>
        </w:rPr>
        <w:t>from</w:t>
      </w:r>
      <w:r w:rsidR="00096401" w:rsidRPr="00F91EC4">
        <w:rPr>
          <w:noProof/>
        </w:rPr>
        <w:t xml:space="preserve"> </w:t>
      </w:r>
      <w:r w:rsidR="00480E0E" w:rsidRPr="00F91EC4">
        <w:rPr>
          <w:noProof/>
        </w:rPr>
        <w:t xml:space="preserve">1 </w:t>
      </w:r>
      <w:r w:rsidR="0038705B">
        <w:rPr>
          <w:noProof/>
        </w:rPr>
        <w:t>July</w:t>
      </w:r>
      <w:r w:rsidR="0038705B" w:rsidRPr="00F91EC4">
        <w:rPr>
          <w:noProof/>
        </w:rPr>
        <w:t xml:space="preserve"> </w:t>
      </w:r>
      <w:r w:rsidR="005D7839" w:rsidRPr="00F91EC4">
        <w:rPr>
          <w:noProof/>
        </w:rPr>
        <w:t>202</w:t>
      </w:r>
      <w:r w:rsidR="005D7839">
        <w:rPr>
          <w:noProof/>
        </w:rPr>
        <w:t>7</w:t>
      </w:r>
      <w:r w:rsidR="005D7839" w:rsidRPr="00F91EC4">
        <w:rPr>
          <w:noProof/>
        </w:rPr>
        <w:t xml:space="preserve"> </w:t>
      </w:r>
      <w:r w:rsidR="00480E0E" w:rsidRPr="00F91EC4">
        <w:rPr>
          <w:noProof/>
        </w:rPr>
        <w:t xml:space="preserve">for </w:t>
      </w:r>
      <w:r w:rsidR="00A20A75" w:rsidRPr="00F91EC4">
        <w:rPr>
          <w:noProof/>
          <w:color w:val="000000" w:themeColor="text1"/>
        </w:rPr>
        <w:t>M</w:t>
      </w:r>
      <w:r w:rsidR="00A20A75" w:rsidRPr="00F91EC4">
        <w:rPr>
          <w:noProof/>
          <w:color w:val="000000" w:themeColor="text1"/>
          <w:vertAlign w:val="subscript"/>
        </w:rPr>
        <w:t>2</w:t>
      </w:r>
      <w:r w:rsidR="00A20A75" w:rsidRPr="00F91EC4">
        <w:rPr>
          <w:noProof/>
          <w:color w:val="000000" w:themeColor="text1"/>
        </w:rPr>
        <w:t>, M</w:t>
      </w:r>
      <w:r w:rsidR="00A20A75" w:rsidRPr="00F91EC4">
        <w:rPr>
          <w:noProof/>
          <w:color w:val="000000" w:themeColor="text1"/>
          <w:vertAlign w:val="subscript"/>
        </w:rPr>
        <w:t>3</w:t>
      </w:r>
      <w:r w:rsidR="00A20A75" w:rsidRPr="00F91EC4">
        <w:rPr>
          <w:noProof/>
          <w:color w:val="000000" w:themeColor="text1"/>
        </w:rPr>
        <w:t>, N</w:t>
      </w:r>
      <w:r w:rsidR="00A20A75" w:rsidRPr="00F91EC4">
        <w:rPr>
          <w:noProof/>
          <w:color w:val="000000" w:themeColor="text1"/>
          <w:vertAlign w:val="subscript"/>
        </w:rPr>
        <w:t>2</w:t>
      </w:r>
      <w:r w:rsidR="00A20A75" w:rsidRPr="00F91EC4">
        <w:rPr>
          <w:noProof/>
          <w:color w:val="000000" w:themeColor="text1"/>
        </w:rPr>
        <w:t>, N</w:t>
      </w:r>
      <w:r w:rsidR="00A20A75" w:rsidRPr="00F91EC4">
        <w:rPr>
          <w:noProof/>
          <w:color w:val="000000" w:themeColor="text1"/>
          <w:vertAlign w:val="subscript"/>
        </w:rPr>
        <w:t>3</w:t>
      </w:r>
      <w:r w:rsidR="00C045AE" w:rsidRPr="00F91EC4">
        <w:rPr>
          <w:noProof/>
        </w:rPr>
        <w:t xml:space="preserve"> vehicles</w:t>
      </w:r>
      <w:r w:rsidR="00D72CAF" w:rsidRPr="00F91EC4">
        <w:rPr>
          <w:noProof/>
        </w:rPr>
        <w:t xml:space="preserve"> and components and separate technical units</w:t>
      </w:r>
      <w:r w:rsidR="00460FA3" w:rsidRPr="00F91EC4">
        <w:rPr>
          <w:noProof/>
        </w:rPr>
        <w:t xml:space="preserve"> </w:t>
      </w:r>
      <w:r w:rsidR="00045206" w:rsidRPr="00F91EC4">
        <w:rPr>
          <w:noProof/>
        </w:rPr>
        <w:t xml:space="preserve">for those vehicles </w:t>
      </w:r>
      <w:r w:rsidR="00460FA3" w:rsidRPr="00F91EC4">
        <w:rPr>
          <w:noProof/>
        </w:rPr>
        <w:t>and O</w:t>
      </w:r>
      <w:r w:rsidR="00460FA3" w:rsidRPr="00F91EC4">
        <w:rPr>
          <w:noProof/>
          <w:vertAlign w:val="subscript"/>
        </w:rPr>
        <w:t>3</w:t>
      </w:r>
      <w:r w:rsidR="00460FA3" w:rsidRPr="00F91EC4">
        <w:rPr>
          <w:noProof/>
        </w:rPr>
        <w:t>, O</w:t>
      </w:r>
      <w:r w:rsidR="00460FA3" w:rsidRPr="00F91EC4">
        <w:rPr>
          <w:noProof/>
          <w:vertAlign w:val="subscript"/>
        </w:rPr>
        <w:t>4</w:t>
      </w:r>
      <w:r w:rsidR="00460FA3" w:rsidRPr="00F91EC4">
        <w:rPr>
          <w:noProof/>
        </w:rPr>
        <w:t xml:space="preserve"> trailers</w:t>
      </w:r>
      <w:r w:rsidRPr="00F91EC4">
        <w:rPr>
          <w:noProof/>
        </w:rPr>
        <w:t xml:space="preserve">. </w:t>
      </w:r>
    </w:p>
    <w:p w14:paraId="3CBA8EC1" w14:textId="77777777" w:rsidR="00276646" w:rsidRPr="00F91EC4" w:rsidRDefault="00276646" w:rsidP="00DA4E0C">
      <w:pPr>
        <w:rPr>
          <w:noProof/>
        </w:rPr>
      </w:pPr>
      <w:r w:rsidRPr="00F91EC4">
        <w:rPr>
          <w:noProof/>
        </w:rPr>
        <w:t xml:space="preserve">It shall apply from 1 July </w:t>
      </w:r>
      <w:r>
        <w:rPr>
          <w:noProof/>
        </w:rPr>
        <w:t>2030</w:t>
      </w:r>
      <w:r w:rsidRPr="00F91EC4">
        <w:rPr>
          <w:noProof/>
        </w:rPr>
        <w:t xml:space="preserve"> for M</w:t>
      </w:r>
      <w:r w:rsidRPr="00F91EC4">
        <w:rPr>
          <w:noProof/>
          <w:vertAlign w:val="subscript"/>
        </w:rPr>
        <w:t>1</w:t>
      </w:r>
      <w:r w:rsidRPr="00F91EC4">
        <w:rPr>
          <w:noProof/>
        </w:rPr>
        <w:t>, N</w:t>
      </w:r>
      <w:r w:rsidRPr="00F91EC4">
        <w:rPr>
          <w:noProof/>
          <w:vertAlign w:val="subscript"/>
        </w:rPr>
        <w:t>1</w:t>
      </w:r>
      <w:r w:rsidRPr="00F91EC4">
        <w:rPr>
          <w:noProof/>
        </w:rPr>
        <w:t xml:space="preserve"> vehicles </w:t>
      </w:r>
      <w:r>
        <w:rPr>
          <w:noProof/>
        </w:rPr>
        <w:t>constructed by small volume manufacturers</w:t>
      </w:r>
      <w:r w:rsidRPr="00F91EC4">
        <w:rPr>
          <w:noProof/>
        </w:rPr>
        <w:t xml:space="preserve">. </w:t>
      </w:r>
    </w:p>
    <w:p w14:paraId="5C034CBE" w14:textId="77777777" w:rsidR="00B15B35" w:rsidRPr="00F91EC4" w:rsidRDefault="00096401" w:rsidP="00DA4E0C">
      <w:pPr>
        <w:rPr>
          <w:noProof/>
        </w:rPr>
      </w:pPr>
      <w:r>
        <w:rPr>
          <w:noProof/>
        </w:rPr>
        <w:t>Notwi</w:t>
      </w:r>
      <w:r w:rsidR="00276646">
        <w:rPr>
          <w:noProof/>
        </w:rPr>
        <w:t xml:space="preserve">thstanding paragraph 2, Article </w:t>
      </w:r>
      <w:r>
        <w:rPr>
          <w:noProof/>
        </w:rPr>
        <w:t>11(3) shall apply from the entry into force of this regulation.</w:t>
      </w:r>
    </w:p>
    <w:p w14:paraId="05A3EB92" w14:textId="77777777" w:rsidR="009439C4" w:rsidRPr="00F91EC4" w:rsidRDefault="009439C4" w:rsidP="00C24E66">
      <w:pPr>
        <w:pStyle w:val="Applicationdirecte"/>
        <w:rPr>
          <w:noProof/>
        </w:rPr>
      </w:pPr>
      <w:r w:rsidRPr="00F91EC4">
        <w:rPr>
          <w:noProof/>
        </w:rPr>
        <w:t>This Regulation shall be binding in its entirety and directly applicable in all Member States.</w:t>
      </w:r>
    </w:p>
    <w:p w14:paraId="7C90EBA5" w14:textId="65ACE952" w:rsidR="009439C4" w:rsidRPr="00F91EC4" w:rsidRDefault="00C33B2C" w:rsidP="009E7EFF">
      <w:pPr>
        <w:pStyle w:val="Fait"/>
        <w:rPr>
          <w:noProof/>
        </w:rPr>
      </w:pPr>
      <w:r w:rsidRPr="00C33B2C">
        <w:t>Done at Brussels,</w:t>
      </w:r>
    </w:p>
    <w:p w14:paraId="5EAD0E34" w14:textId="77777777" w:rsidR="009439C4" w:rsidRPr="00F91EC4" w:rsidRDefault="009439C4" w:rsidP="009E7EFF">
      <w:pPr>
        <w:pStyle w:val="Institutionquisigne"/>
        <w:rPr>
          <w:noProof/>
        </w:rPr>
      </w:pPr>
      <w:r w:rsidRPr="00F91EC4">
        <w:rPr>
          <w:noProof/>
        </w:rPr>
        <w:t>For the European Parliament</w:t>
      </w:r>
      <w:r w:rsidRPr="00F91EC4">
        <w:rPr>
          <w:noProof/>
        </w:rPr>
        <w:tab/>
        <w:t>For the Council</w:t>
      </w:r>
    </w:p>
    <w:p w14:paraId="3006C512" w14:textId="77777777" w:rsidR="009439C4" w:rsidRPr="00F91EC4" w:rsidRDefault="009439C4" w:rsidP="009439C4">
      <w:pPr>
        <w:pStyle w:val="Personnequisigne"/>
        <w:rPr>
          <w:noProof/>
        </w:rPr>
      </w:pPr>
      <w:r w:rsidRPr="00F91EC4">
        <w:rPr>
          <w:noProof/>
        </w:rPr>
        <w:t>The President</w:t>
      </w:r>
      <w:r w:rsidRPr="00F91EC4">
        <w:rPr>
          <w:noProof/>
        </w:rPr>
        <w:tab/>
        <w:t>The President</w:t>
      </w:r>
    </w:p>
    <w:p w14:paraId="0EC317C3" w14:textId="77777777" w:rsidR="009439C4" w:rsidRPr="00F91EC4" w:rsidRDefault="009439C4" w:rsidP="009439C4">
      <w:pPr>
        <w:rPr>
          <w:noProof/>
        </w:rPr>
        <w:sectPr w:rsidR="009439C4" w:rsidRPr="00F91EC4" w:rsidSect="00E50DA1">
          <w:pgSz w:w="11907" w:h="16839"/>
          <w:pgMar w:top="1134" w:right="1417" w:bottom="1134" w:left="1417" w:header="709" w:footer="709" w:gutter="0"/>
          <w:cols w:space="708"/>
          <w:docGrid w:linePitch="360"/>
        </w:sectPr>
      </w:pPr>
    </w:p>
    <w:p w14:paraId="6D734D9B" w14:textId="77777777" w:rsidR="00FE7778" w:rsidRPr="00F91EC4" w:rsidRDefault="00FE7778" w:rsidP="00FE7778">
      <w:pPr>
        <w:pStyle w:val="Fichefinanciretitre"/>
        <w:keepNext/>
        <w:rPr>
          <w:noProof/>
        </w:rPr>
      </w:pPr>
      <w:r w:rsidRPr="00F91EC4">
        <w:rPr>
          <w:noProof/>
        </w:rPr>
        <w:t>LEGISLATIVE FINANCIAL STATEMENT</w:t>
      </w:r>
    </w:p>
    <w:p w14:paraId="7B75353B" w14:textId="77777777" w:rsidR="00FE7778" w:rsidRPr="00F91EC4" w:rsidRDefault="00FE7778" w:rsidP="00FE7778">
      <w:pPr>
        <w:pStyle w:val="ManualHeading1"/>
        <w:rPr>
          <w:noProof/>
        </w:rPr>
      </w:pPr>
      <w:r w:rsidRPr="00F91EC4">
        <w:rPr>
          <w:noProof/>
        </w:rPr>
        <w:t>1.</w:t>
      </w:r>
      <w:r w:rsidRPr="00F91EC4">
        <w:rPr>
          <w:noProof/>
        </w:rPr>
        <w:tab/>
        <w:t>FRAMEWORK OF THE PROPOSAL/INITIATIVE</w:t>
      </w:r>
    </w:p>
    <w:p w14:paraId="5A881770" w14:textId="77777777" w:rsidR="00FE7778" w:rsidRPr="00F91EC4" w:rsidRDefault="00FE7778" w:rsidP="00FE7778">
      <w:pPr>
        <w:pStyle w:val="ManualHeading2"/>
        <w:rPr>
          <w:noProof/>
        </w:rPr>
      </w:pPr>
      <w:r w:rsidRPr="00F91EC4">
        <w:rPr>
          <w:noProof/>
        </w:rPr>
        <w:tab/>
        <w:t>1.1.</w:t>
      </w:r>
      <w:r w:rsidRPr="00F91EC4">
        <w:rPr>
          <w:noProof/>
        </w:rPr>
        <w:tab/>
        <w:t>Title of the proposal/initiative</w:t>
      </w:r>
    </w:p>
    <w:p w14:paraId="31F7F908" w14:textId="77777777" w:rsidR="00FE7778" w:rsidRPr="00F91EC4" w:rsidRDefault="00FE7778" w:rsidP="00FE7778">
      <w:pPr>
        <w:pStyle w:val="ManualHeading2"/>
        <w:rPr>
          <w:noProof/>
        </w:rPr>
      </w:pPr>
      <w:r w:rsidRPr="00F91EC4">
        <w:rPr>
          <w:noProof/>
        </w:rPr>
        <w:tab/>
        <w:t>1.2.</w:t>
      </w:r>
      <w:r w:rsidRPr="00F91EC4">
        <w:rPr>
          <w:noProof/>
        </w:rPr>
        <w:tab/>
        <w:t>Policy area(s) concerned</w:t>
      </w:r>
    </w:p>
    <w:p w14:paraId="11197D7A" w14:textId="77777777" w:rsidR="00FE7778" w:rsidRPr="00F91EC4" w:rsidRDefault="00FE7778" w:rsidP="00FE7778">
      <w:pPr>
        <w:pStyle w:val="ManualHeading2"/>
        <w:rPr>
          <w:noProof/>
        </w:rPr>
      </w:pPr>
      <w:r w:rsidRPr="00F91EC4">
        <w:rPr>
          <w:noProof/>
        </w:rPr>
        <w:tab/>
        <w:t>1.3.</w:t>
      </w:r>
      <w:r w:rsidRPr="00F91EC4">
        <w:rPr>
          <w:noProof/>
        </w:rPr>
        <w:tab/>
        <w:t>The proposal/initiative relates to:</w:t>
      </w:r>
    </w:p>
    <w:p w14:paraId="19EF756F" w14:textId="77777777" w:rsidR="00FE7778" w:rsidRPr="00F91EC4" w:rsidRDefault="00FE7778" w:rsidP="00FE7778">
      <w:pPr>
        <w:pStyle w:val="ManualHeading2"/>
        <w:rPr>
          <w:noProof/>
        </w:rPr>
      </w:pPr>
      <w:r w:rsidRPr="00F91EC4">
        <w:rPr>
          <w:noProof/>
        </w:rPr>
        <w:tab/>
        <w:t>1.4.</w:t>
      </w:r>
      <w:r w:rsidRPr="00F91EC4">
        <w:rPr>
          <w:noProof/>
        </w:rPr>
        <w:tab/>
        <w:t>Objective(s)</w:t>
      </w:r>
    </w:p>
    <w:p w14:paraId="1278DB13" w14:textId="77777777" w:rsidR="00FE7778" w:rsidRPr="00F91EC4" w:rsidRDefault="00FE7778" w:rsidP="00FE7778">
      <w:pPr>
        <w:pStyle w:val="ManualHeading3"/>
        <w:rPr>
          <w:noProof/>
        </w:rPr>
      </w:pPr>
      <w:r w:rsidRPr="00F91EC4">
        <w:rPr>
          <w:noProof/>
        </w:rPr>
        <w:tab/>
        <w:t>1.4.1.</w:t>
      </w:r>
      <w:r w:rsidRPr="00F91EC4">
        <w:rPr>
          <w:noProof/>
        </w:rPr>
        <w:tab/>
        <w:t>General objective(s)</w:t>
      </w:r>
    </w:p>
    <w:p w14:paraId="417920C6" w14:textId="77777777" w:rsidR="00FE7778" w:rsidRPr="00F91EC4" w:rsidRDefault="00FE7778" w:rsidP="00FE7778">
      <w:pPr>
        <w:pStyle w:val="ManualHeading3"/>
        <w:rPr>
          <w:noProof/>
        </w:rPr>
      </w:pPr>
      <w:r w:rsidRPr="00F91EC4">
        <w:rPr>
          <w:noProof/>
        </w:rPr>
        <w:tab/>
        <w:t>1.4.2.</w:t>
      </w:r>
      <w:r w:rsidRPr="00F91EC4">
        <w:rPr>
          <w:noProof/>
        </w:rPr>
        <w:tab/>
        <w:t>Specific objective(s)</w:t>
      </w:r>
    </w:p>
    <w:p w14:paraId="5EEB2099" w14:textId="77777777" w:rsidR="00FE7778" w:rsidRPr="00F91EC4" w:rsidRDefault="00FE7778" w:rsidP="00FE7778">
      <w:pPr>
        <w:pStyle w:val="ManualHeading3"/>
        <w:rPr>
          <w:noProof/>
        </w:rPr>
      </w:pPr>
      <w:r w:rsidRPr="00F91EC4">
        <w:rPr>
          <w:noProof/>
        </w:rPr>
        <w:tab/>
        <w:t>1.4.3.</w:t>
      </w:r>
      <w:r w:rsidRPr="00F91EC4">
        <w:rPr>
          <w:noProof/>
        </w:rPr>
        <w:tab/>
        <w:t>Expected result(s) and impact</w:t>
      </w:r>
    </w:p>
    <w:p w14:paraId="7D4E7129" w14:textId="77777777" w:rsidR="00FE7778" w:rsidRPr="00F91EC4" w:rsidRDefault="00FE7778" w:rsidP="00FE7778">
      <w:pPr>
        <w:pStyle w:val="ManualHeading3"/>
        <w:rPr>
          <w:noProof/>
        </w:rPr>
      </w:pPr>
      <w:r w:rsidRPr="00F91EC4">
        <w:rPr>
          <w:noProof/>
        </w:rPr>
        <w:tab/>
        <w:t>1.4.4.</w:t>
      </w:r>
      <w:r w:rsidRPr="00F91EC4">
        <w:rPr>
          <w:noProof/>
        </w:rPr>
        <w:tab/>
        <w:t>Indicators of performance</w:t>
      </w:r>
    </w:p>
    <w:p w14:paraId="45581B18" w14:textId="77777777" w:rsidR="00FE7778" w:rsidRPr="00F91EC4" w:rsidRDefault="00FE7778" w:rsidP="00FE7778">
      <w:pPr>
        <w:pStyle w:val="ManualHeading2"/>
        <w:rPr>
          <w:noProof/>
        </w:rPr>
      </w:pPr>
      <w:r w:rsidRPr="00F91EC4">
        <w:rPr>
          <w:noProof/>
        </w:rPr>
        <w:tab/>
        <w:t>1.5.</w:t>
      </w:r>
      <w:r w:rsidRPr="00F91EC4">
        <w:rPr>
          <w:noProof/>
        </w:rPr>
        <w:tab/>
        <w:t>Grounds for the proposal/initiative</w:t>
      </w:r>
    </w:p>
    <w:p w14:paraId="60144275" w14:textId="77777777" w:rsidR="00FE7778" w:rsidRPr="00F91EC4" w:rsidRDefault="00FE7778" w:rsidP="00FE7778">
      <w:pPr>
        <w:pStyle w:val="ManualHeading3"/>
        <w:rPr>
          <w:noProof/>
        </w:rPr>
      </w:pPr>
      <w:r w:rsidRPr="00F91EC4">
        <w:rPr>
          <w:noProof/>
        </w:rPr>
        <w:tab/>
        <w:t>1.5.1.</w:t>
      </w:r>
      <w:r w:rsidRPr="00F91EC4">
        <w:rPr>
          <w:noProof/>
        </w:rPr>
        <w:tab/>
        <w:t>Requirement(s) to be met in the short or long term including a detailed timeline for roll-out of the implementation of the initiative</w:t>
      </w:r>
    </w:p>
    <w:p w14:paraId="04465B13" w14:textId="77777777" w:rsidR="00FE7778" w:rsidRPr="00F91EC4" w:rsidRDefault="00FE7778" w:rsidP="00FE7778">
      <w:pPr>
        <w:pStyle w:val="ManualHeading3"/>
        <w:rPr>
          <w:noProof/>
        </w:rPr>
      </w:pPr>
      <w:r w:rsidRPr="00F91EC4">
        <w:rPr>
          <w:noProof/>
        </w:rPr>
        <w:tab/>
        <w:t>1.5.2.</w:t>
      </w:r>
      <w:r w:rsidRPr="00F91EC4">
        <w:rPr>
          <w:noProof/>
        </w:rPr>
        <w:tab/>
        <w:t>Added value of Union involvement.</w:t>
      </w:r>
    </w:p>
    <w:p w14:paraId="1A208FD7" w14:textId="77777777" w:rsidR="00FE7778" w:rsidRPr="00F91EC4" w:rsidRDefault="00FE7778" w:rsidP="00FE7778">
      <w:pPr>
        <w:pStyle w:val="ManualHeading3"/>
        <w:rPr>
          <w:noProof/>
        </w:rPr>
      </w:pPr>
      <w:r w:rsidRPr="00F91EC4">
        <w:rPr>
          <w:noProof/>
        </w:rPr>
        <w:tab/>
        <w:t>1.5.3.</w:t>
      </w:r>
      <w:r w:rsidRPr="00F91EC4">
        <w:rPr>
          <w:noProof/>
        </w:rPr>
        <w:tab/>
        <w:t>Lessons learned from similar experiences in the past</w:t>
      </w:r>
    </w:p>
    <w:p w14:paraId="6E3AFDD3" w14:textId="77777777" w:rsidR="00FE7778" w:rsidRPr="00F91EC4" w:rsidRDefault="00FE7778" w:rsidP="00FE7778">
      <w:pPr>
        <w:pStyle w:val="ManualHeading3"/>
        <w:rPr>
          <w:noProof/>
        </w:rPr>
      </w:pPr>
      <w:r w:rsidRPr="00F91EC4">
        <w:rPr>
          <w:noProof/>
        </w:rPr>
        <w:tab/>
        <w:t>1.5.4.</w:t>
      </w:r>
      <w:r w:rsidRPr="00F91EC4">
        <w:rPr>
          <w:noProof/>
        </w:rPr>
        <w:tab/>
        <w:t>Compatibility with the Multiannual Financial Framework and possible synergies with other appropriate instruments</w:t>
      </w:r>
    </w:p>
    <w:p w14:paraId="682875DF" w14:textId="77777777" w:rsidR="00FE7778" w:rsidRPr="00F91EC4" w:rsidRDefault="00FE7778" w:rsidP="00FE7778">
      <w:pPr>
        <w:pStyle w:val="ManualHeading3"/>
        <w:rPr>
          <w:noProof/>
        </w:rPr>
      </w:pPr>
      <w:r w:rsidRPr="00F91EC4">
        <w:rPr>
          <w:noProof/>
        </w:rPr>
        <w:tab/>
        <w:t>1.5.5.</w:t>
      </w:r>
      <w:r w:rsidRPr="00F91EC4">
        <w:rPr>
          <w:noProof/>
        </w:rPr>
        <w:tab/>
        <w:t>Assessment of the different available financing options, including scope for redeployment</w:t>
      </w:r>
    </w:p>
    <w:p w14:paraId="733ECD57" w14:textId="77777777" w:rsidR="00FE7778" w:rsidRPr="00F91EC4" w:rsidRDefault="00FE7778" w:rsidP="00FE7778">
      <w:pPr>
        <w:pStyle w:val="ManualHeading2"/>
        <w:rPr>
          <w:noProof/>
        </w:rPr>
      </w:pPr>
      <w:r w:rsidRPr="00F91EC4">
        <w:rPr>
          <w:noProof/>
        </w:rPr>
        <w:tab/>
        <w:t>1.6.</w:t>
      </w:r>
      <w:r w:rsidRPr="00F91EC4">
        <w:rPr>
          <w:noProof/>
        </w:rPr>
        <w:tab/>
        <w:t>Duration and financial impact of the proposal/initiative</w:t>
      </w:r>
    </w:p>
    <w:p w14:paraId="4B5880EF" w14:textId="77777777" w:rsidR="00FE7778" w:rsidRPr="00F91EC4" w:rsidRDefault="00FE7778" w:rsidP="00FE7778">
      <w:pPr>
        <w:pStyle w:val="ManualHeading2"/>
        <w:rPr>
          <w:noProof/>
        </w:rPr>
      </w:pPr>
      <w:r w:rsidRPr="00F91EC4">
        <w:rPr>
          <w:noProof/>
        </w:rPr>
        <w:tab/>
        <w:t>1.7.</w:t>
      </w:r>
      <w:r w:rsidRPr="00F91EC4">
        <w:rPr>
          <w:noProof/>
        </w:rPr>
        <w:tab/>
        <w:t>Management mode(s) planned</w:t>
      </w:r>
    </w:p>
    <w:p w14:paraId="1D573442" w14:textId="77777777" w:rsidR="00FE7778" w:rsidRPr="00F91EC4" w:rsidRDefault="00FE7778" w:rsidP="00FE7778">
      <w:pPr>
        <w:pStyle w:val="ManualHeading1"/>
        <w:rPr>
          <w:noProof/>
        </w:rPr>
      </w:pPr>
      <w:r w:rsidRPr="00F91EC4">
        <w:rPr>
          <w:noProof/>
        </w:rPr>
        <w:tab/>
        <w:t>2.</w:t>
      </w:r>
      <w:r w:rsidRPr="00F91EC4">
        <w:rPr>
          <w:noProof/>
        </w:rPr>
        <w:tab/>
        <w:t>MANAGEMENT MEASURES</w:t>
      </w:r>
    </w:p>
    <w:p w14:paraId="357C7CE0" w14:textId="77777777" w:rsidR="00FE7778" w:rsidRPr="00F91EC4" w:rsidRDefault="00FE7778" w:rsidP="00FE7778">
      <w:pPr>
        <w:pStyle w:val="ManualHeading2"/>
        <w:rPr>
          <w:noProof/>
        </w:rPr>
      </w:pPr>
      <w:r w:rsidRPr="00F91EC4">
        <w:rPr>
          <w:noProof/>
        </w:rPr>
        <w:tab/>
        <w:t>2.1.</w:t>
      </w:r>
      <w:r w:rsidRPr="00F91EC4">
        <w:rPr>
          <w:noProof/>
        </w:rPr>
        <w:tab/>
        <w:t>Monitoring and reporting rules</w:t>
      </w:r>
    </w:p>
    <w:p w14:paraId="03CF805C" w14:textId="77777777" w:rsidR="00FE7778" w:rsidRPr="00F91EC4" w:rsidRDefault="00FE7778" w:rsidP="00FE7778">
      <w:pPr>
        <w:pStyle w:val="ManualHeading2"/>
        <w:rPr>
          <w:noProof/>
        </w:rPr>
      </w:pPr>
      <w:r w:rsidRPr="00F91EC4">
        <w:rPr>
          <w:noProof/>
        </w:rPr>
        <w:tab/>
        <w:t>2.2.</w:t>
      </w:r>
      <w:r w:rsidRPr="00F91EC4">
        <w:rPr>
          <w:noProof/>
        </w:rPr>
        <w:tab/>
        <w:t>Management and control system(s)</w:t>
      </w:r>
    </w:p>
    <w:p w14:paraId="4A7BFAE0" w14:textId="77777777" w:rsidR="00FE7778" w:rsidRPr="00F91EC4" w:rsidRDefault="00FE7778" w:rsidP="00FE7778">
      <w:pPr>
        <w:pStyle w:val="ManualHeading3"/>
        <w:rPr>
          <w:noProof/>
        </w:rPr>
      </w:pPr>
      <w:r w:rsidRPr="00F91EC4">
        <w:rPr>
          <w:noProof/>
        </w:rPr>
        <w:tab/>
        <w:t>2.2.1.</w:t>
      </w:r>
      <w:r w:rsidRPr="00F91EC4">
        <w:rPr>
          <w:noProof/>
        </w:rPr>
        <w:tab/>
        <w:t>Justification of the management mode(s), the funding implementation mechanism(s), the payment modalities and the control strategy proposed</w:t>
      </w:r>
    </w:p>
    <w:p w14:paraId="115438B9" w14:textId="77777777" w:rsidR="00FE7778" w:rsidRPr="00F91EC4" w:rsidRDefault="00FE7778" w:rsidP="00FE7778">
      <w:pPr>
        <w:pStyle w:val="ManualHeading3"/>
        <w:rPr>
          <w:noProof/>
        </w:rPr>
      </w:pPr>
      <w:r w:rsidRPr="00F91EC4">
        <w:rPr>
          <w:noProof/>
        </w:rPr>
        <w:tab/>
        <w:t>2.2.2.</w:t>
      </w:r>
      <w:r w:rsidRPr="00F91EC4">
        <w:rPr>
          <w:noProof/>
        </w:rPr>
        <w:tab/>
        <w:t>Information concerning the risks identified and the internal control system(s) set up to mitigate them</w:t>
      </w:r>
    </w:p>
    <w:p w14:paraId="6710C069" w14:textId="77777777" w:rsidR="00FE7778" w:rsidRPr="00F91EC4" w:rsidRDefault="00FE7778" w:rsidP="00FE7778">
      <w:pPr>
        <w:pStyle w:val="ManualHeading3"/>
        <w:rPr>
          <w:noProof/>
        </w:rPr>
      </w:pPr>
      <w:r w:rsidRPr="00F91EC4">
        <w:rPr>
          <w:noProof/>
        </w:rPr>
        <w:tab/>
        <w:t>2.2.3.</w:t>
      </w:r>
      <w:r w:rsidRPr="00F91EC4">
        <w:rPr>
          <w:noProof/>
        </w:rPr>
        <w:tab/>
        <w:t xml:space="preserve">Estimation and justification of the cost-effectiveness of the controls and assessment of the expected levels of risk of error </w:t>
      </w:r>
    </w:p>
    <w:p w14:paraId="08B2669F" w14:textId="77777777" w:rsidR="00FE7778" w:rsidRPr="00F91EC4" w:rsidRDefault="00FE7778" w:rsidP="00FE7778">
      <w:pPr>
        <w:pStyle w:val="ManualHeading2"/>
        <w:rPr>
          <w:noProof/>
        </w:rPr>
      </w:pPr>
      <w:r w:rsidRPr="00F91EC4">
        <w:rPr>
          <w:noProof/>
        </w:rPr>
        <w:tab/>
        <w:t>2.3.</w:t>
      </w:r>
      <w:r w:rsidRPr="00F91EC4">
        <w:rPr>
          <w:noProof/>
        </w:rPr>
        <w:tab/>
        <w:t>Measures to prevent fraud and irregularities</w:t>
      </w:r>
    </w:p>
    <w:p w14:paraId="3F179982" w14:textId="77777777" w:rsidR="00FE7778" w:rsidRPr="00F91EC4" w:rsidRDefault="00FE7778" w:rsidP="00FE7778">
      <w:pPr>
        <w:pStyle w:val="ManualHeading1"/>
        <w:rPr>
          <w:noProof/>
        </w:rPr>
      </w:pPr>
      <w:r w:rsidRPr="00F91EC4">
        <w:rPr>
          <w:noProof/>
        </w:rPr>
        <w:t>3.</w:t>
      </w:r>
      <w:r w:rsidRPr="00F91EC4">
        <w:rPr>
          <w:noProof/>
        </w:rPr>
        <w:tab/>
        <w:t>ESTIMATED FINANCIAL IMPACT OF THE PROPOSAL/INITIATIVE</w:t>
      </w:r>
      <w:r w:rsidRPr="00F91EC4">
        <w:rPr>
          <w:noProof/>
        </w:rPr>
        <w:tab/>
      </w:r>
    </w:p>
    <w:p w14:paraId="0768EF77" w14:textId="77777777" w:rsidR="00FE7778" w:rsidRPr="00F91EC4" w:rsidRDefault="00FE7778" w:rsidP="00FE7778">
      <w:pPr>
        <w:pStyle w:val="ManualHeading2"/>
        <w:rPr>
          <w:noProof/>
        </w:rPr>
      </w:pPr>
      <w:r w:rsidRPr="00F91EC4">
        <w:rPr>
          <w:noProof/>
        </w:rPr>
        <w:tab/>
        <w:t>3.1.</w:t>
      </w:r>
      <w:r w:rsidRPr="00F91EC4">
        <w:rPr>
          <w:noProof/>
        </w:rPr>
        <w:tab/>
        <w:t>Heading(s) of the multiannual financial framework and expenditure budget line(s) affected</w:t>
      </w:r>
    </w:p>
    <w:p w14:paraId="5FB75689" w14:textId="77777777" w:rsidR="00FE7778" w:rsidRPr="00F91EC4" w:rsidRDefault="00FE7778" w:rsidP="00FE7778">
      <w:pPr>
        <w:pStyle w:val="ManualHeading2"/>
        <w:rPr>
          <w:noProof/>
        </w:rPr>
      </w:pPr>
      <w:r w:rsidRPr="00F91EC4">
        <w:rPr>
          <w:noProof/>
        </w:rPr>
        <w:tab/>
        <w:t>3.2.</w:t>
      </w:r>
      <w:r w:rsidRPr="00F91EC4">
        <w:rPr>
          <w:noProof/>
        </w:rPr>
        <w:tab/>
        <w:t>Estimated financial impact of the proposal on appropriations</w:t>
      </w:r>
    </w:p>
    <w:p w14:paraId="177FA95A" w14:textId="77777777" w:rsidR="00FE7778" w:rsidRPr="00F91EC4" w:rsidRDefault="00FE7778" w:rsidP="00FE7778">
      <w:pPr>
        <w:pStyle w:val="ManualHeading3"/>
        <w:rPr>
          <w:noProof/>
        </w:rPr>
      </w:pPr>
      <w:r w:rsidRPr="00F91EC4">
        <w:rPr>
          <w:noProof/>
        </w:rPr>
        <w:tab/>
        <w:t>3.2.1.</w:t>
      </w:r>
      <w:r w:rsidRPr="00F91EC4">
        <w:rPr>
          <w:noProof/>
        </w:rPr>
        <w:tab/>
        <w:t>Summary of estimated impact on operational appropriations</w:t>
      </w:r>
    </w:p>
    <w:p w14:paraId="1790A489" w14:textId="77777777" w:rsidR="00FE7778" w:rsidRPr="00F91EC4" w:rsidRDefault="00FE7778" w:rsidP="00FE7778">
      <w:pPr>
        <w:pStyle w:val="ManualHeading3"/>
        <w:rPr>
          <w:noProof/>
        </w:rPr>
      </w:pPr>
      <w:r w:rsidRPr="00F91EC4">
        <w:rPr>
          <w:noProof/>
        </w:rPr>
        <w:tab/>
        <w:t>3.2.2.</w:t>
      </w:r>
      <w:r w:rsidRPr="00F91EC4">
        <w:rPr>
          <w:noProof/>
        </w:rPr>
        <w:tab/>
        <w:t>Estimated output funded with operational appropriations</w:t>
      </w:r>
    </w:p>
    <w:p w14:paraId="2304D026" w14:textId="77777777" w:rsidR="00FE7778" w:rsidRPr="00F91EC4" w:rsidRDefault="00FE7778" w:rsidP="00FE7778">
      <w:pPr>
        <w:pStyle w:val="ManualHeading3"/>
        <w:rPr>
          <w:noProof/>
        </w:rPr>
      </w:pPr>
      <w:r w:rsidRPr="00F91EC4">
        <w:rPr>
          <w:noProof/>
        </w:rPr>
        <w:tab/>
        <w:t>3.2.3.</w:t>
      </w:r>
      <w:r w:rsidRPr="00F91EC4">
        <w:rPr>
          <w:noProof/>
        </w:rPr>
        <w:tab/>
        <w:t>Summary of estimated impact on administrative appropriations</w:t>
      </w:r>
    </w:p>
    <w:p w14:paraId="0AB1F403" w14:textId="77777777" w:rsidR="00FE7778" w:rsidRPr="00F91EC4" w:rsidRDefault="00FE7778" w:rsidP="00FE7778">
      <w:pPr>
        <w:pStyle w:val="ManualHeading3"/>
        <w:rPr>
          <w:noProof/>
        </w:rPr>
      </w:pPr>
      <w:r w:rsidRPr="00F91EC4">
        <w:rPr>
          <w:noProof/>
        </w:rPr>
        <w:tab/>
        <w:t>3.2.4.</w:t>
      </w:r>
      <w:r w:rsidRPr="00F91EC4">
        <w:rPr>
          <w:noProof/>
        </w:rPr>
        <w:tab/>
        <w:t>Compatibility with the current multiannual financial framework</w:t>
      </w:r>
    </w:p>
    <w:p w14:paraId="67EABF06" w14:textId="77777777" w:rsidR="00FE7778" w:rsidRPr="00F91EC4" w:rsidRDefault="00FE7778" w:rsidP="00FE7778">
      <w:pPr>
        <w:pStyle w:val="ManualHeading3"/>
        <w:rPr>
          <w:noProof/>
        </w:rPr>
      </w:pPr>
      <w:r w:rsidRPr="00F91EC4">
        <w:rPr>
          <w:noProof/>
        </w:rPr>
        <w:tab/>
        <w:t>3.2.5.</w:t>
      </w:r>
      <w:r w:rsidRPr="00F91EC4">
        <w:rPr>
          <w:noProof/>
        </w:rPr>
        <w:tab/>
        <w:t>Third-party contributions</w:t>
      </w:r>
    </w:p>
    <w:p w14:paraId="33AF4244" w14:textId="77777777" w:rsidR="00FE7778" w:rsidRPr="00F91EC4" w:rsidRDefault="00FE7778" w:rsidP="00FE7778">
      <w:pPr>
        <w:pStyle w:val="ManualHeading2"/>
        <w:rPr>
          <w:noProof/>
        </w:rPr>
      </w:pPr>
      <w:r w:rsidRPr="00F91EC4">
        <w:rPr>
          <w:noProof/>
        </w:rPr>
        <w:tab/>
        <w:t>3.3.</w:t>
      </w:r>
      <w:r w:rsidRPr="00F91EC4">
        <w:rPr>
          <w:noProof/>
        </w:rPr>
        <w:tab/>
        <w:t>Estimated impact on revenue</w:t>
      </w:r>
    </w:p>
    <w:p w14:paraId="658DF28F" w14:textId="77777777" w:rsidR="009439C4" w:rsidRPr="00F91EC4" w:rsidRDefault="009439C4" w:rsidP="00C24E66">
      <w:pPr>
        <w:rPr>
          <w:noProof/>
        </w:rPr>
        <w:sectPr w:rsidR="009439C4" w:rsidRPr="00F91EC4" w:rsidSect="00E50DA1">
          <w:pgSz w:w="11907" w:h="16840" w:code="9"/>
          <w:pgMar w:top="1134" w:right="1418" w:bottom="1134" w:left="1418" w:header="709" w:footer="709" w:gutter="0"/>
          <w:cols w:space="708"/>
          <w:docGrid w:linePitch="360"/>
        </w:sectPr>
      </w:pPr>
    </w:p>
    <w:p w14:paraId="119F3936" w14:textId="77777777" w:rsidR="009439C4" w:rsidRPr="00F91EC4" w:rsidRDefault="009439C4" w:rsidP="00C24E66">
      <w:pPr>
        <w:jc w:val="center"/>
        <w:rPr>
          <w:noProof/>
        </w:rPr>
      </w:pPr>
      <w:r w:rsidRPr="00F91EC4">
        <w:rPr>
          <w:b/>
          <w:noProof/>
          <w:u w:val="single"/>
        </w:rPr>
        <w:t>LEGISLATIVE FINANCIAL STATEMENT</w:t>
      </w:r>
    </w:p>
    <w:p w14:paraId="24627741" w14:textId="2D759295" w:rsidR="009439C4" w:rsidRPr="00F91EC4" w:rsidRDefault="00DD0F7B" w:rsidP="00DD0F7B">
      <w:pPr>
        <w:pStyle w:val="ManualHeading1"/>
        <w:rPr>
          <w:noProof/>
        </w:rPr>
      </w:pPr>
      <w:bookmarkStart w:id="9" w:name="_Toc514938007"/>
      <w:bookmarkStart w:id="10" w:name="_Toc520485025"/>
      <w:r w:rsidRPr="00DD0F7B">
        <w:rPr>
          <w:noProof/>
        </w:rPr>
        <w:t>1.</w:t>
      </w:r>
      <w:r w:rsidRPr="00DD0F7B">
        <w:rPr>
          <w:noProof/>
        </w:rPr>
        <w:tab/>
      </w:r>
      <w:r w:rsidR="009439C4" w:rsidRPr="00F91EC4">
        <w:rPr>
          <w:noProof/>
        </w:rPr>
        <w:t>FRAMEWORK OF THE PROPOSAL/INITIATIVE</w:t>
      </w:r>
      <w:bookmarkEnd w:id="9"/>
      <w:bookmarkEnd w:id="10"/>
      <w:r w:rsidR="009439C4" w:rsidRPr="00F91EC4">
        <w:rPr>
          <w:noProof/>
        </w:rPr>
        <w:t xml:space="preserve"> </w:t>
      </w:r>
    </w:p>
    <w:p w14:paraId="7085B9A6" w14:textId="654BF151" w:rsidR="009439C4" w:rsidRPr="00F91EC4" w:rsidRDefault="00DD0F7B" w:rsidP="00DD0F7B">
      <w:pPr>
        <w:pStyle w:val="ManualHeading2"/>
        <w:rPr>
          <w:noProof/>
        </w:rPr>
      </w:pPr>
      <w:bookmarkStart w:id="11" w:name="_Toc514938008"/>
      <w:bookmarkStart w:id="12" w:name="_Toc520485026"/>
      <w:r w:rsidRPr="00DD0F7B">
        <w:rPr>
          <w:noProof/>
        </w:rPr>
        <w:t>1.1.</w:t>
      </w:r>
      <w:r w:rsidRPr="00DD0F7B">
        <w:rPr>
          <w:noProof/>
        </w:rPr>
        <w:tab/>
      </w:r>
      <w:r w:rsidR="009439C4" w:rsidRPr="00F91EC4">
        <w:rPr>
          <w:noProof/>
        </w:rPr>
        <w:t>Title of the proposal/initiative</w:t>
      </w:r>
      <w:bookmarkEnd w:id="11"/>
      <w:bookmarkEnd w:id="12"/>
    </w:p>
    <w:p w14:paraId="5530089E" w14:textId="77777777" w:rsidR="009439C4" w:rsidRPr="00F91EC4" w:rsidRDefault="001278CA" w:rsidP="00265CC8">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Proposal for a Regulation of the European Parliament and of the Council </w:t>
      </w:r>
      <w:r w:rsidR="008F7B87" w:rsidRPr="00F91EC4">
        <w:rPr>
          <w:noProof/>
        </w:rPr>
        <w:t>on type-approval of motor vehicles and engines and of systems, components and separate technical units intended for such vehicles, with respect to their emissions and battery durability (Euro 7) and repealing Regulation (EC) No 715/2007 and Regulation (EC) No 595/2009</w:t>
      </w:r>
    </w:p>
    <w:p w14:paraId="2EC78438" w14:textId="429EE88B" w:rsidR="009439C4" w:rsidRPr="00F91EC4" w:rsidRDefault="00DD0F7B" w:rsidP="00DD0F7B">
      <w:pPr>
        <w:pStyle w:val="ManualHeading2"/>
        <w:rPr>
          <w:i/>
          <w:noProof/>
        </w:rPr>
      </w:pPr>
      <w:bookmarkStart w:id="13" w:name="_Toc514938011"/>
      <w:bookmarkStart w:id="14" w:name="_Toc520485027"/>
      <w:r w:rsidRPr="00DD0F7B">
        <w:rPr>
          <w:noProof/>
        </w:rPr>
        <w:t>1.2.</w:t>
      </w:r>
      <w:r w:rsidRPr="00DD0F7B">
        <w:rPr>
          <w:noProof/>
        </w:rPr>
        <w:tab/>
      </w:r>
      <w:r w:rsidR="009439C4" w:rsidRPr="00F91EC4">
        <w:rPr>
          <w:noProof/>
        </w:rPr>
        <w:t>Policy area(s) concerned</w:t>
      </w:r>
      <w:bookmarkEnd w:id="13"/>
      <w:bookmarkEnd w:id="14"/>
      <w:r w:rsidR="009439C4" w:rsidRPr="00F91EC4">
        <w:rPr>
          <w:i/>
          <w:noProof/>
        </w:rPr>
        <w:t xml:space="preserve"> </w:t>
      </w:r>
    </w:p>
    <w:p w14:paraId="3728249F" w14:textId="77777777" w:rsidR="009439C4" w:rsidRPr="00F91EC4" w:rsidRDefault="000B7695"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Policy area: </w:t>
      </w:r>
      <w:r w:rsidR="001278CA" w:rsidRPr="00F91EC4">
        <w:rPr>
          <w:noProof/>
        </w:rPr>
        <w:t>Internal market for goods</w:t>
      </w:r>
    </w:p>
    <w:p w14:paraId="1A11BE28" w14:textId="77777777" w:rsidR="00E065F2" w:rsidRPr="00F91EC4" w:rsidRDefault="00E065F2"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Climate Action: Natural resources and Environment</w:t>
      </w:r>
    </w:p>
    <w:p w14:paraId="35B8C891" w14:textId="028EFD7A" w:rsidR="009439C4" w:rsidRPr="00F91EC4" w:rsidRDefault="00DD0F7B" w:rsidP="00DD0F7B">
      <w:pPr>
        <w:pStyle w:val="ManualHeading2"/>
        <w:rPr>
          <w:bCs/>
          <w:noProof/>
          <w:szCs w:val="24"/>
        </w:rPr>
      </w:pPr>
      <w:bookmarkStart w:id="15" w:name="_Toc514938014"/>
      <w:bookmarkStart w:id="16" w:name="_Toc520485028"/>
      <w:r w:rsidRPr="00DD0F7B">
        <w:rPr>
          <w:noProof/>
        </w:rPr>
        <w:t>1.3.</w:t>
      </w:r>
      <w:r w:rsidRPr="00DD0F7B">
        <w:rPr>
          <w:noProof/>
        </w:rPr>
        <w:tab/>
      </w:r>
      <w:r w:rsidR="009439C4" w:rsidRPr="00F91EC4">
        <w:rPr>
          <w:noProof/>
        </w:rPr>
        <w:t>The proposal/initiative relates to:</w:t>
      </w:r>
      <w:bookmarkEnd w:id="15"/>
      <w:bookmarkEnd w:id="16"/>
      <w:r w:rsidR="009439C4" w:rsidRPr="00F91EC4">
        <w:rPr>
          <w:noProof/>
        </w:rPr>
        <w:t xml:space="preserve"> </w:t>
      </w:r>
    </w:p>
    <w:p w14:paraId="0CF339D2" w14:textId="77777777" w:rsidR="009439C4" w:rsidRPr="00F91EC4" w:rsidRDefault="00C3626B" w:rsidP="00C24E66">
      <w:pPr>
        <w:pStyle w:val="Text1"/>
        <w:rPr>
          <w:b/>
          <w:noProof/>
          <w:sz w:val="22"/>
        </w:rPr>
      </w:pPr>
      <w:r w:rsidRPr="00F91EC4">
        <w:rPr>
          <w:rFonts w:ascii="Wingdings" w:eastAsia="Wingdings" w:hAnsi="Wingdings" w:cs="Wingdings"/>
          <w:noProof/>
          <w:sz w:val="22"/>
        </w:rPr>
        <w:t></w:t>
      </w:r>
      <w:r w:rsidRPr="00F91EC4">
        <w:rPr>
          <w:b/>
          <w:i/>
          <w:noProof/>
          <w:sz w:val="22"/>
        </w:rPr>
        <w:t xml:space="preserve"> </w:t>
      </w:r>
      <w:r w:rsidR="009439C4" w:rsidRPr="00F91EC4">
        <w:rPr>
          <w:b/>
          <w:i/>
          <w:noProof/>
          <w:sz w:val="22"/>
        </w:rPr>
        <w:t xml:space="preserve"> </w:t>
      </w:r>
      <w:r w:rsidR="009439C4" w:rsidRPr="00F91EC4">
        <w:rPr>
          <w:b/>
          <w:noProof/>
        </w:rPr>
        <w:t>a new action</w:t>
      </w:r>
      <w:r w:rsidR="009439C4" w:rsidRPr="00F91EC4">
        <w:rPr>
          <w:b/>
          <w:noProof/>
          <w:sz w:val="22"/>
        </w:rPr>
        <w:t xml:space="preserve"> </w:t>
      </w:r>
    </w:p>
    <w:p w14:paraId="69FDEA47" w14:textId="77777777" w:rsidR="009439C4" w:rsidRPr="00F91EC4" w:rsidRDefault="009439C4" w:rsidP="00C24E66">
      <w:pPr>
        <w:pStyle w:val="Text1"/>
        <w:rPr>
          <w:noProof/>
          <w:sz w:val="22"/>
        </w:rPr>
      </w:pPr>
      <w:r w:rsidRPr="00F91EC4">
        <w:rPr>
          <w:rFonts w:ascii="Wingdings" w:eastAsia="Wingdings" w:hAnsi="Wingdings" w:cs="Wingdings"/>
          <w:noProof/>
          <w:sz w:val="22"/>
        </w:rPr>
        <w:t></w:t>
      </w:r>
      <w:r w:rsidRPr="00F91EC4">
        <w:rPr>
          <w:i/>
          <w:noProof/>
          <w:sz w:val="22"/>
        </w:rPr>
        <w:t xml:space="preserve"> </w:t>
      </w:r>
      <w:r w:rsidRPr="00F91EC4">
        <w:rPr>
          <w:b/>
          <w:noProof/>
        </w:rPr>
        <w:t>a new action following a pilot project/preparatory action</w:t>
      </w:r>
      <w:r w:rsidRPr="00F91EC4">
        <w:rPr>
          <w:rStyle w:val="FootnoteReference"/>
          <w:b/>
          <w:noProof/>
        </w:rPr>
        <w:footnoteReference w:id="58"/>
      </w:r>
      <w:r w:rsidRPr="00F91EC4">
        <w:rPr>
          <w:noProof/>
          <w:sz w:val="22"/>
        </w:rPr>
        <w:t xml:space="preserve"> </w:t>
      </w:r>
    </w:p>
    <w:p w14:paraId="4D11A073" w14:textId="77777777" w:rsidR="009439C4" w:rsidRPr="00F91EC4" w:rsidRDefault="009439C4" w:rsidP="00C24E66">
      <w:pPr>
        <w:pStyle w:val="Text1"/>
        <w:rPr>
          <w:noProof/>
          <w:sz w:val="22"/>
        </w:rPr>
      </w:pPr>
      <w:r w:rsidRPr="00F91EC4">
        <w:rPr>
          <w:rFonts w:ascii="Wingdings" w:eastAsia="Wingdings" w:hAnsi="Wingdings" w:cs="Wingdings"/>
          <w:noProof/>
          <w:sz w:val="22"/>
        </w:rPr>
        <w:t></w:t>
      </w:r>
      <w:r w:rsidRPr="00F91EC4">
        <w:rPr>
          <w:i/>
          <w:noProof/>
          <w:sz w:val="22"/>
        </w:rPr>
        <w:t xml:space="preserve"> </w:t>
      </w:r>
      <w:r w:rsidRPr="00F91EC4">
        <w:rPr>
          <w:b/>
          <w:noProof/>
        </w:rPr>
        <w:t>the extension of an existing action</w:t>
      </w:r>
      <w:r w:rsidRPr="00F91EC4">
        <w:rPr>
          <w:noProof/>
          <w:sz w:val="22"/>
        </w:rPr>
        <w:t xml:space="preserve"> </w:t>
      </w:r>
    </w:p>
    <w:p w14:paraId="384542E1" w14:textId="77777777" w:rsidR="009439C4" w:rsidRPr="00F91EC4" w:rsidRDefault="009439C4" w:rsidP="00C24E66">
      <w:pPr>
        <w:pStyle w:val="Text1"/>
        <w:rPr>
          <w:noProof/>
        </w:rPr>
      </w:pPr>
      <w:r w:rsidRPr="00F91EC4">
        <w:rPr>
          <w:rFonts w:ascii="Wingdings" w:eastAsia="Wingdings" w:hAnsi="Wingdings" w:cs="Wingdings"/>
          <w:noProof/>
          <w:sz w:val="22"/>
        </w:rPr>
        <w:t></w:t>
      </w:r>
      <w:r w:rsidRPr="00F91EC4">
        <w:rPr>
          <w:i/>
          <w:noProof/>
          <w:sz w:val="22"/>
        </w:rPr>
        <w:t xml:space="preserve"> </w:t>
      </w:r>
      <w:r w:rsidRPr="00F91EC4">
        <w:rPr>
          <w:b/>
          <w:noProof/>
        </w:rPr>
        <w:t>a merger or redirection of one or more actions towards another/a new action</w:t>
      </w:r>
      <w:r w:rsidRPr="00F91EC4">
        <w:rPr>
          <w:noProof/>
        </w:rPr>
        <w:t xml:space="preserve"> </w:t>
      </w:r>
    </w:p>
    <w:p w14:paraId="5423892E" w14:textId="7393A788" w:rsidR="009439C4" w:rsidRPr="00F91EC4" w:rsidRDefault="00DD0F7B" w:rsidP="00DD0F7B">
      <w:pPr>
        <w:pStyle w:val="ManualHeading2"/>
        <w:rPr>
          <w:bCs/>
          <w:noProof/>
          <w:szCs w:val="24"/>
        </w:rPr>
      </w:pPr>
      <w:bookmarkStart w:id="17" w:name="_Toc514938015"/>
      <w:bookmarkStart w:id="18" w:name="_Toc520485029"/>
      <w:r w:rsidRPr="00DD0F7B">
        <w:rPr>
          <w:noProof/>
        </w:rPr>
        <w:t>1.4.</w:t>
      </w:r>
      <w:r w:rsidRPr="00DD0F7B">
        <w:rPr>
          <w:noProof/>
        </w:rPr>
        <w:tab/>
      </w:r>
      <w:r w:rsidR="009439C4" w:rsidRPr="00F91EC4">
        <w:rPr>
          <w:noProof/>
        </w:rPr>
        <w:t>Objective(s)</w:t>
      </w:r>
      <w:bookmarkEnd w:id="17"/>
      <w:bookmarkEnd w:id="18"/>
    </w:p>
    <w:p w14:paraId="72528293" w14:textId="51CAFE89" w:rsidR="009439C4" w:rsidRPr="00F91EC4" w:rsidRDefault="00DD0F7B" w:rsidP="00DD0F7B">
      <w:pPr>
        <w:pStyle w:val="ManualHeading3"/>
        <w:rPr>
          <w:noProof/>
        </w:rPr>
      </w:pPr>
      <w:bookmarkStart w:id="19" w:name="_Toc514938016"/>
      <w:bookmarkStart w:id="20" w:name="_Toc520485030"/>
      <w:r w:rsidRPr="00DD0F7B">
        <w:rPr>
          <w:noProof/>
        </w:rPr>
        <w:t>1.4.1.</w:t>
      </w:r>
      <w:r w:rsidRPr="00DD0F7B">
        <w:rPr>
          <w:noProof/>
        </w:rPr>
        <w:tab/>
      </w:r>
      <w:r w:rsidR="009439C4" w:rsidRPr="00F91EC4">
        <w:rPr>
          <w:noProof/>
        </w:rPr>
        <w:t>General objective(s)</w:t>
      </w:r>
      <w:bookmarkEnd w:id="19"/>
      <w:bookmarkEnd w:id="20"/>
    </w:p>
    <w:p w14:paraId="62682B93" w14:textId="77777777" w:rsidR="009439C4" w:rsidRPr="00F91EC4" w:rsidRDefault="007561E4" w:rsidP="0027360E">
      <w:pPr>
        <w:pStyle w:val="Text1"/>
        <w:pBdr>
          <w:top w:val="single" w:sz="4" w:space="1" w:color="auto"/>
          <w:left w:val="single" w:sz="4" w:space="4" w:color="auto"/>
          <w:bottom w:val="single" w:sz="4" w:space="1" w:color="auto"/>
          <w:right w:val="single" w:sz="4" w:space="4" w:color="auto"/>
        </w:pBdr>
        <w:rPr>
          <w:noProof/>
        </w:rPr>
      </w:pPr>
      <w:r w:rsidRPr="00F91EC4">
        <w:rPr>
          <w:noProof/>
        </w:rPr>
        <w:t>The proposal aims at contributing to a general objective, which is twofold: (1) to ensure the proper functioning of the single market by setting more adequate, cost-effective and future-proof rules for vehicle emissions; and (2) to ensure a high level of environmental and health protection in the EU by further reducing air pollutant emissions from road transport towards zero-pollution, as required by the Zero Pollution Action Plan, as rapidly as possible.</w:t>
      </w:r>
    </w:p>
    <w:p w14:paraId="515C8F14" w14:textId="55CA6D2B" w:rsidR="009439C4" w:rsidRPr="00F91EC4" w:rsidRDefault="00DD0F7B" w:rsidP="00DD0F7B">
      <w:pPr>
        <w:pStyle w:val="ManualHeading3"/>
        <w:rPr>
          <w:bCs/>
          <w:noProof/>
          <w:szCs w:val="24"/>
        </w:rPr>
      </w:pPr>
      <w:bookmarkStart w:id="21" w:name="_Toc514938018"/>
      <w:bookmarkStart w:id="22" w:name="_Toc520485031"/>
      <w:r w:rsidRPr="00DD0F7B">
        <w:rPr>
          <w:noProof/>
        </w:rPr>
        <w:t>1.4.2.</w:t>
      </w:r>
      <w:r w:rsidRPr="00DD0F7B">
        <w:rPr>
          <w:noProof/>
        </w:rPr>
        <w:tab/>
      </w:r>
      <w:r w:rsidR="009439C4" w:rsidRPr="00F91EC4">
        <w:rPr>
          <w:noProof/>
        </w:rPr>
        <w:t>Specific objective(s)</w:t>
      </w:r>
      <w:bookmarkEnd w:id="21"/>
      <w:bookmarkEnd w:id="22"/>
    </w:p>
    <w:p w14:paraId="66E9C296" w14:textId="77777777" w:rsidR="007561E4" w:rsidRPr="00F91EC4" w:rsidRDefault="007561E4" w:rsidP="007561E4">
      <w:pPr>
        <w:pStyle w:val="Text1"/>
        <w:pBdr>
          <w:top w:val="single" w:sz="4" w:space="1" w:color="auto"/>
          <w:left w:val="single" w:sz="4" w:space="4" w:color="auto"/>
          <w:bottom w:val="single" w:sz="4" w:space="1" w:color="auto"/>
          <w:right w:val="single" w:sz="4" w:space="4" w:color="auto"/>
        </w:pBdr>
        <w:rPr>
          <w:noProof/>
        </w:rPr>
      </w:pPr>
      <w:bookmarkStart w:id="23" w:name="_Toc514938019"/>
      <w:bookmarkStart w:id="24" w:name="_Toc520485032"/>
      <w:r w:rsidRPr="00F91EC4">
        <w:rPr>
          <w:noProof/>
        </w:rPr>
        <w:t>Specific objective No 1: to reduce complexity of the current Euro emission standards to curb administrative costs and facilitate successful implementation;</w:t>
      </w:r>
    </w:p>
    <w:p w14:paraId="30DAE9E8" w14:textId="77777777" w:rsidR="007561E4" w:rsidRPr="00F91EC4" w:rsidRDefault="007561E4" w:rsidP="007561E4">
      <w:pPr>
        <w:pStyle w:val="Text1"/>
        <w:pBdr>
          <w:top w:val="single" w:sz="4" w:space="1" w:color="auto"/>
          <w:left w:val="single" w:sz="4" w:space="4" w:color="auto"/>
          <w:bottom w:val="single" w:sz="4" w:space="1" w:color="auto"/>
          <w:right w:val="single" w:sz="4" w:space="4" w:color="auto"/>
        </w:pBdr>
        <w:rPr>
          <w:noProof/>
        </w:rPr>
      </w:pPr>
      <w:r w:rsidRPr="00F91EC4">
        <w:rPr>
          <w:noProof/>
        </w:rPr>
        <w:t>Specific objective No 2: to provide up-to-date limits for all relevant air pollutants;</w:t>
      </w:r>
    </w:p>
    <w:p w14:paraId="594C34F5" w14:textId="77777777" w:rsidR="007561E4" w:rsidRPr="00F91EC4" w:rsidRDefault="007561E4" w:rsidP="007561E4">
      <w:pPr>
        <w:pStyle w:val="Text1"/>
        <w:pBdr>
          <w:top w:val="single" w:sz="4" w:space="1" w:color="auto"/>
          <w:left w:val="single" w:sz="4" w:space="4" w:color="auto"/>
          <w:bottom w:val="single" w:sz="4" w:space="1" w:color="auto"/>
          <w:right w:val="single" w:sz="4" w:space="4" w:color="auto"/>
        </w:pBdr>
        <w:jc w:val="left"/>
        <w:rPr>
          <w:noProof/>
        </w:rPr>
      </w:pPr>
      <w:r w:rsidRPr="00F91EC4">
        <w:rPr>
          <w:noProof/>
        </w:rPr>
        <w:t>Specific objective No 3: to improve the control of real-world emissions.</w:t>
      </w:r>
    </w:p>
    <w:p w14:paraId="5B988660" w14:textId="5E509E01" w:rsidR="009439C4" w:rsidRPr="00F91EC4" w:rsidRDefault="00DD0F7B" w:rsidP="00DD0F7B">
      <w:pPr>
        <w:pStyle w:val="ManualHeading3"/>
        <w:rPr>
          <w:noProof/>
        </w:rPr>
      </w:pPr>
      <w:r w:rsidRPr="00DD0F7B">
        <w:rPr>
          <w:noProof/>
        </w:rPr>
        <w:t>1.4.3.</w:t>
      </w:r>
      <w:r w:rsidRPr="00DD0F7B">
        <w:rPr>
          <w:noProof/>
        </w:rPr>
        <w:tab/>
      </w:r>
      <w:r w:rsidR="009439C4" w:rsidRPr="00F91EC4">
        <w:rPr>
          <w:noProof/>
        </w:rPr>
        <w:t>Expected result(s) and impact</w:t>
      </w:r>
      <w:bookmarkEnd w:id="23"/>
      <w:bookmarkEnd w:id="24"/>
    </w:p>
    <w:p w14:paraId="0567F5E2" w14:textId="77777777" w:rsidR="009439C4" w:rsidRPr="00F91EC4" w:rsidRDefault="009439C4" w:rsidP="00C24E66">
      <w:pPr>
        <w:pStyle w:val="Text1"/>
        <w:rPr>
          <w:i/>
          <w:noProof/>
          <w:sz w:val="20"/>
        </w:rPr>
      </w:pPr>
      <w:r w:rsidRPr="00F91EC4">
        <w:rPr>
          <w:i/>
          <w:noProof/>
          <w:sz w:val="20"/>
        </w:rPr>
        <w:t>Specify the effects which the proposal/initiative should have on the beneficiaries/groups targeted.</w:t>
      </w:r>
    </w:p>
    <w:p w14:paraId="00508CE3" w14:textId="77777777" w:rsidR="00E742E6" w:rsidRPr="00F91EC4" w:rsidRDefault="007561E4" w:rsidP="004A5543">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The proposal is placed under the framework Regulation (EU) 2018/858 of the European Parliament and of the Council regarding </w:t>
      </w:r>
      <w:r w:rsidR="00976BDB" w:rsidRPr="00F91EC4">
        <w:rPr>
          <w:noProof/>
        </w:rPr>
        <w:t>type-approval</w:t>
      </w:r>
      <w:r w:rsidRPr="00F91EC4">
        <w:rPr>
          <w:noProof/>
        </w:rPr>
        <w:t xml:space="preserve"> and market surveillance system for motor vehicles, trailers, and for systems, components and separate technical units intended for such vehicles aims at harmonising technical requirements with regard to emissions. It is key for the proper functioning of the Single Market from this perspective</w:t>
      </w:r>
      <w:r w:rsidR="00E742E6" w:rsidRPr="00F91EC4">
        <w:rPr>
          <w:noProof/>
        </w:rPr>
        <w:t>.</w:t>
      </w:r>
    </w:p>
    <w:p w14:paraId="2D399345" w14:textId="77777777" w:rsidR="009439C4" w:rsidRPr="00F91EC4" w:rsidRDefault="007561E4" w:rsidP="004A5543">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The proposal will ensure that pollutant emission performance from light duty and heavy vehicles are improved and provide benefits to consumers in term of air quality, thus contributing to reducing health and environmental damages. It will also strengthen the technological positioning and competitiveness of the EU automotive value chain. Additional co-benefits are a strengthened consumer trust in good environmental performance of their vehicles. Positive impact on up- and re-skilling of the workforce can also be expected, as future-proof clean technologies develop and are increasingly </w:t>
      </w:r>
      <w:r w:rsidR="004A5543" w:rsidRPr="00F91EC4">
        <w:rPr>
          <w:noProof/>
        </w:rPr>
        <w:t>used.</w:t>
      </w:r>
    </w:p>
    <w:p w14:paraId="14D37764" w14:textId="26351AC4" w:rsidR="009439C4" w:rsidRPr="00F91EC4" w:rsidRDefault="00DD0F7B" w:rsidP="00DD0F7B">
      <w:pPr>
        <w:pStyle w:val="ManualHeading3"/>
        <w:rPr>
          <w:noProof/>
          <w:szCs w:val="24"/>
        </w:rPr>
      </w:pPr>
      <w:bookmarkStart w:id="25" w:name="_Toc514938023"/>
      <w:bookmarkStart w:id="26" w:name="_Toc520485033"/>
      <w:r w:rsidRPr="00DD0F7B">
        <w:rPr>
          <w:noProof/>
        </w:rPr>
        <w:t>1.4.4.</w:t>
      </w:r>
      <w:r w:rsidRPr="00DD0F7B">
        <w:rPr>
          <w:noProof/>
        </w:rPr>
        <w:tab/>
      </w:r>
      <w:r w:rsidR="009439C4" w:rsidRPr="00F91EC4">
        <w:rPr>
          <w:noProof/>
        </w:rPr>
        <w:t>Indicators of performance</w:t>
      </w:r>
      <w:bookmarkEnd w:id="25"/>
      <w:bookmarkEnd w:id="26"/>
    </w:p>
    <w:p w14:paraId="0F97F778" w14:textId="77777777" w:rsidR="009439C4" w:rsidRPr="00F91EC4" w:rsidRDefault="009439C4" w:rsidP="00C24E66">
      <w:pPr>
        <w:pStyle w:val="Text1"/>
        <w:rPr>
          <w:i/>
          <w:noProof/>
          <w:sz w:val="20"/>
        </w:rPr>
      </w:pPr>
      <w:r w:rsidRPr="00F91EC4">
        <w:rPr>
          <w:i/>
          <w:noProof/>
          <w:sz w:val="20"/>
        </w:rPr>
        <w:t>Specify the indicators for monitoring progress and achievements.</w:t>
      </w:r>
    </w:p>
    <w:p w14:paraId="53FD7CA7" w14:textId="77777777" w:rsidR="003D66A8" w:rsidRPr="00F91EC4" w:rsidRDefault="00CB3FE3"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T</w:t>
      </w:r>
      <w:r w:rsidR="00285B9E" w:rsidRPr="00F91EC4">
        <w:rPr>
          <w:noProof/>
        </w:rPr>
        <w:t xml:space="preserve">he following indicators have been identified: </w:t>
      </w:r>
    </w:p>
    <w:p w14:paraId="3EA3E623" w14:textId="77777777" w:rsidR="00190BAB" w:rsidRPr="00F91EC4" w:rsidRDefault="00285B9E">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1. </w:t>
      </w:r>
      <w:r w:rsidR="00F8193F" w:rsidRPr="00F91EC4">
        <w:rPr>
          <w:noProof/>
        </w:rPr>
        <w:t xml:space="preserve">Number of emission </w:t>
      </w:r>
      <w:r w:rsidR="00976BDB" w:rsidRPr="00F91EC4">
        <w:rPr>
          <w:noProof/>
        </w:rPr>
        <w:t>type-approval</w:t>
      </w:r>
      <w:r w:rsidR="00F8193F" w:rsidRPr="00F91EC4">
        <w:rPr>
          <w:noProof/>
        </w:rPr>
        <w:t>s under Euro 7 per vehicle type</w:t>
      </w:r>
      <w:r w:rsidRPr="00F91EC4">
        <w:rPr>
          <w:noProof/>
        </w:rPr>
        <w:t xml:space="preserve">; </w:t>
      </w:r>
    </w:p>
    <w:p w14:paraId="30C0B3E4" w14:textId="77777777" w:rsidR="003D66A8" w:rsidRPr="00F91EC4" w:rsidRDefault="00285B9E"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2. </w:t>
      </w:r>
      <w:r w:rsidR="00190BAB" w:rsidRPr="00F91EC4">
        <w:rPr>
          <w:noProof/>
        </w:rPr>
        <w:t xml:space="preserve">Costs during implementation phase and administrative costs per emission </w:t>
      </w:r>
      <w:r w:rsidR="00976BDB" w:rsidRPr="00F91EC4">
        <w:rPr>
          <w:noProof/>
        </w:rPr>
        <w:t>type-approval</w:t>
      </w:r>
    </w:p>
    <w:p w14:paraId="6BC2103C" w14:textId="77777777" w:rsidR="003D66A8" w:rsidRPr="00F91EC4" w:rsidRDefault="00285B9E"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3. </w:t>
      </w:r>
      <w:r w:rsidR="00F8193F" w:rsidRPr="00F91EC4">
        <w:rPr>
          <w:noProof/>
        </w:rPr>
        <w:t>Proof of improved cont</w:t>
      </w:r>
      <w:r w:rsidR="00637667" w:rsidRPr="00F91EC4">
        <w:rPr>
          <w:noProof/>
        </w:rPr>
        <w:t>r</w:t>
      </w:r>
      <w:r w:rsidR="00F8193F" w:rsidRPr="00F91EC4">
        <w:rPr>
          <w:noProof/>
        </w:rPr>
        <w:t>ol of emissions under all conditions of use for all regulated pol</w:t>
      </w:r>
      <w:r w:rsidR="00637667" w:rsidRPr="00F91EC4">
        <w:rPr>
          <w:noProof/>
        </w:rPr>
        <w:t>l</w:t>
      </w:r>
      <w:r w:rsidR="00F8193F" w:rsidRPr="00F91EC4">
        <w:rPr>
          <w:noProof/>
        </w:rPr>
        <w:t>utants</w:t>
      </w:r>
      <w:r w:rsidRPr="00F91EC4">
        <w:rPr>
          <w:noProof/>
        </w:rPr>
        <w:t xml:space="preserve">; </w:t>
      </w:r>
    </w:p>
    <w:p w14:paraId="0EF5C8E8" w14:textId="77777777" w:rsidR="00190BAB" w:rsidRPr="00F91EC4" w:rsidRDefault="00285B9E">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4. </w:t>
      </w:r>
      <w:r w:rsidR="00F8193F" w:rsidRPr="00F91EC4">
        <w:rPr>
          <w:noProof/>
        </w:rPr>
        <w:t>Enforcement costs, including costs for infringements and penalties in case of non compliance and monitoring costs</w:t>
      </w:r>
      <w:r w:rsidRPr="00F91EC4">
        <w:rPr>
          <w:noProof/>
        </w:rPr>
        <w:t xml:space="preserve">; </w:t>
      </w:r>
    </w:p>
    <w:p w14:paraId="0629308B" w14:textId="77777777" w:rsidR="003D66A8" w:rsidRPr="00F91EC4" w:rsidRDefault="00285B9E"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5. </w:t>
      </w:r>
      <w:r w:rsidR="00190BAB" w:rsidRPr="00F91EC4">
        <w:rPr>
          <w:noProof/>
        </w:rPr>
        <w:t>Evolution of emissions over the lifetime of vehicles as evidenced by appropriate testing campaigns and continuous emission monitoring;</w:t>
      </w:r>
    </w:p>
    <w:p w14:paraId="75380A2D" w14:textId="77777777" w:rsidR="00190BAB" w:rsidRPr="00F91EC4" w:rsidRDefault="00285B9E" w:rsidP="00736C15">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6. </w:t>
      </w:r>
      <w:r w:rsidR="00190BAB" w:rsidRPr="00F91EC4">
        <w:rPr>
          <w:noProof/>
        </w:rPr>
        <w:t xml:space="preserve">Annual number of registered vehicles and share of powertrain technologies on EU roads as reported by the Member States to the European Alternative Fuels Observatory; </w:t>
      </w:r>
    </w:p>
    <w:p w14:paraId="01EB5DB5" w14:textId="77777777" w:rsidR="00190BAB" w:rsidRPr="00F91EC4" w:rsidRDefault="00190BAB" w:rsidP="00736C15">
      <w:pPr>
        <w:pStyle w:val="Text1"/>
        <w:pBdr>
          <w:top w:val="single" w:sz="4" w:space="1" w:color="auto"/>
          <w:left w:val="single" w:sz="4" w:space="4" w:color="auto"/>
          <w:bottom w:val="single" w:sz="4" w:space="1" w:color="auto"/>
          <w:right w:val="single" w:sz="4" w:space="4" w:color="auto"/>
        </w:pBdr>
        <w:rPr>
          <w:noProof/>
        </w:rPr>
      </w:pPr>
      <w:r w:rsidRPr="00F91EC4">
        <w:rPr>
          <w:noProof/>
        </w:rPr>
        <w:t>7. Annual development of impacts of air pollution on health (i.e. premature deaths related to exposure of certain pollutants) as included in the annual report on air quality in Europe;</w:t>
      </w:r>
    </w:p>
    <w:p w14:paraId="3D7697E2" w14:textId="77777777" w:rsidR="00190BAB" w:rsidRPr="00F91EC4" w:rsidRDefault="00190BAB" w:rsidP="00736C15">
      <w:pPr>
        <w:pStyle w:val="Text1"/>
        <w:pBdr>
          <w:top w:val="single" w:sz="4" w:space="1" w:color="auto"/>
          <w:left w:val="single" w:sz="4" w:space="4" w:color="auto"/>
          <w:bottom w:val="single" w:sz="4" w:space="1" w:color="auto"/>
          <w:right w:val="single" w:sz="4" w:space="4" w:color="auto"/>
        </w:pBdr>
        <w:rPr>
          <w:noProof/>
        </w:rPr>
      </w:pPr>
      <w:r w:rsidRPr="00F91EC4">
        <w:rPr>
          <w:noProof/>
        </w:rPr>
        <w:t>8. Annual share of road transport to the pollutant emissions of certain pollutants as reported by the Member States to the EEA under the NECD;</w:t>
      </w:r>
    </w:p>
    <w:p w14:paraId="09AD9C9D" w14:textId="77777777" w:rsidR="0027590E" w:rsidRPr="00F91EC4" w:rsidRDefault="00190BAB">
      <w:pPr>
        <w:pStyle w:val="Text1"/>
        <w:pBdr>
          <w:top w:val="single" w:sz="4" w:space="1" w:color="auto"/>
          <w:left w:val="single" w:sz="4" w:space="4" w:color="auto"/>
          <w:bottom w:val="single" w:sz="4" w:space="1" w:color="auto"/>
          <w:right w:val="single" w:sz="4" w:space="4" w:color="auto"/>
        </w:pBdr>
        <w:rPr>
          <w:noProof/>
        </w:rPr>
      </w:pPr>
      <w:r w:rsidRPr="00F91EC4">
        <w:rPr>
          <w:noProof/>
        </w:rPr>
        <w:t>9. Annual number of notifications received from Member States for barriers of internal EU trade of cars, vans, lorries/buses caused by technical prescriptions imposed by national, regional or local authorities (i.e. bans of any kind) under the notification procedure of Directive 2015/153.</w:t>
      </w:r>
    </w:p>
    <w:p w14:paraId="645DDF8A" w14:textId="67398F23" w:rsidR="009439C4" w:rsidRPr="00F91EC4" w:rsidRDefault="00DD0F7B" w:rsidP="00DD0F7B">
      <w:pPr>
        <w:pStyle w:val="ManualHeading2"/>
        <w:rPr>
          <w:bCs/>
          <w:noProof/>
          <w:szCs w:val="24"/>
        </w:rPr>
      </w:pPr>
      <w:bookmarkStart w:id="27" w:name="_Toc514938025"/>
      <w:bookmarkStart w:id="28" w:name="_Toc520485034"/>
      <w:r w:rsidRPr="00DD0F7B">
        <w:rPr>
          <w:noProof/>
        </w:rPr>
        <w:t>1.5.</w:t>
      </w:r>
      <w:r w:rsidRPr="00DD0F7B">
        <w:rPr>
          <w:noProof/>
        </w:rPr>
        <w:tab/>
      </w:r>
      <w:r w:rsidR="009439C4" w:rsidRPr="00F91EC4">
        <w:rPr>
          <w:noProof/>
        </w:rPr>
        <w:t>Grounds for the proposal/initiative</w:t>
      </w:r>
      <w:bookmarkEnd w:id="27"/>
      <w:bookmarkEnd w:id="28"/>
      <w:r w:rsidR="009439C4" w:rsidRPr="00F91EC4">
        <w:rPr>
          <w:noProof/>
        </w:rPr>
        <w:t xml:space="preserve"> </w:t>
      </w:r>
    </w:p>
    <w:p w14:paraId="0055AD4B" w14:textId="5635C0FD" w:rsidR="009439C4" w:rsidRPr="00F91EC4" w:rsidRDefault="00DD0F7B" w:rsidP="00DD0F7B">
      <w:pPr>
        <w:pStyle w:val="ManualHeading3"/>
        <w:rPr>
          <w:noProof/>
        </w:rPr>
      </w:pPr>
      <w:bookmarkStart w:id="29" w:name="_Toc514938026"/>
      <w:bookmarkStart w:id="30" w:name="_Toc520485035"/>
      <w:r w:rsidRPr="00DD0F7B">
        <w:rPr>
          <w:noProof/>
        </w:rPr>
        <w:t>1.5.1.</w:t>
      </w:r>
      <w:r w:rsidRPr="00DD0F7B">
        <w:rPr>
          <w:noProof/>
        </w:rPr>
        <w:tab/>
      </w:r>
      <w:r w:rsidR="009439C4" w:rsidRPr="00F91EC4">
        <w:rPr>
          <w:noProof/>
        </w:rPr>
        <w:t>Requirement(s) to be met in the short or long term including a detailed timeline for roll-out of the implementation of the initiative</w:t>
      </w:r>
      <w:bookmarkEnd w:id="29"/>
      <w:bookmarkEnd w:id="30"/>
    </w:p>
    <w:p w14:paraId="71E5C8E5" w14:textId="260E7526" w:rsidR="009439C4" w:rsidRPr="00F91EC4" w:rsidRDefault="005F2562" w:rsidP="004F2A3F">
      <w:pPr>
        <w:pStyle w:val="Text1"/>
        <w:pBdr>
          <w:top w:val="single" w:sz="4" w:space="1" w:color="auto"/>
          <w:left w:val="single" w:sz="4" w:space="4" w:color="auto"/>
          <w:bottom w:val="single" w:sz="4" w:space="1" w:color="auto"/>
          <w:right w:val="single" w:sz="4" w:space="4" w:color="auto"/>
        </w:pBdr>
        <w:rPr>
          <w:noProof/>
          <w:szCs w:val="24"/>
        </w:rPr>
      </w:pPr>
      <w:r w:rsidRPr="00F91EC4">
        <w:rPr>
          <w:noProof/>
        </w:rPr>
        <w:t>All new vehicles, engines or replacement parts</w:t>
      </w:r>
      <w:r w:rsidR="00DA519E" w:rsidRPr="00F91EC4">
        <w:rPr>
          <w:noProof/>
        </w:rPr>
        <w:t xml:space="preserve"> of the M1 and N1 categories</w:t>
      </w:r>
      <w:r w:rsidRPr="00F91EC4">
        <w:rPr>
          <w:noProof/>
        </w:rPr>
        <w:t xml:space="preserve"> to be put in the EU market should be type approved according to this Regulation starting from 1 </w:t>
      </w:r>
      <w:r w:rsidR="00B15B35" w:rsidRPr="00F91EC4">
        <w:rPr>
          <w:noProof/>
        </w:rPr>
        <w:t xml:space="preserve">July </w:t>
      </w:r>
      <w:r w:rsidRPr="00F91EC4">
        <w:rPr>
          <w:noProof/>
        </w:rPr>
        <w:t>202</w:t>
      </w:r>
      <w:r w:rsidR="00161E18">
        <w:rPr>
          <w:noProof/>
        </w:rPr>
        <w:t>5</w:t>
      </w:r>
      <w:r w:rsidRPr="00F91EC4">
        <w:rPr>
          <w:noProof/>
        </w:rPr>
        <w:t xml:space="preserve">, except for </w:t>
      </w:r>
      <w:r w:rsidR="00DA519E" w:rsidRPr="00F91EC4">
        <w:rPr>
          <w:noProof/>
        </w:rPr>
        <w:t>vehicles of the M2, M3, N2, N3 categories</w:t>
      </w:r>
      <w:r w:rsidR="00DA519E" w:rsidRPr="00F91EC4">
        <w:rPr>
          <w:noProof/>
          <w:color w:val="000000" w:themeColor="text1"/>
        </w:rPr>
        <w:t xml:space="preserve">, </w:t>
      </w:r>
      <w:r w:rsidR="00DA519E" w:rsidRPr="00F91EC4">
        <w:rPr>
          <w:noProof/>
        </w:rPr>
        <w:t xml:space="preserve">for which the implementation date will be 1 </w:t>
      </w:r>
      <w:r w:rsidR="00B15B35" w:rsidRPr="00F91EC4">
        <w:rPr>
          <w:noProof/>
        </w:rPr>
        <w:t xml:space="preserve">July </w:t>
      </w:r>
      <w:r w:rsidR="0038705B" w:rsidRPr="00F91EC4">
        <w:rPr>
          <w:noProof/>
        </w:rPr>
        <w:t>202</w:t>
      </w:r>
      <w:r w:rsidR="0038705B">
        <w:rPr>
          <w:noProof/>
        </w:rPr>
        <w:t>7</w:t>
      </w:r>
      <w:r w:rsidR="00DA519E" w:rsidRPr="00F91EC4">
        <w:rPr>
          <w:noProof/>
        </w:rPr>
        <w:t xml:space="preserve">. </w:t>
      </w:r>
      <w:bookmarkStart w:id="31" w:name="_Toc514938029"/>
      <w:bookmarkStart w:id="32" w:name="_Toc520485036"/>
      <w:r w:rsidR="009439C4" w:rsidRPr="00F91EC4">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1"/>
      <w:bookmarkEnd w:id="32"/>
    </w:p>
    <w:p w14:paraId="1758F14E" w14:textId="77777777" w:rsidR="009439C4" w:rsidRPr="00F91EC4" w:rsidRDefault="009439C4"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Reasons for action at European level (ex-ante) </w:t>
      </w:r>
    </w:p>
    <w:p w14:paraId="4A2E05CB" w14:textId="77777777" w:rsidR="005A0C0A" w:rsidRPr="00F91EC4" w:rsidRDefault="005A0C0A"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There is a need to address pollutant emission performance and air quality in order to ensure the proper functioning of the Single Market.</w:t>
      </w:r>
    </w:p>
    <w:p w14:paraId="62A10905" w14:textId="77777777" w:rsidR="00014B88" w:rsidRPr="00F91EC4" w:rsidRDefault="005A0C0A"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Indeed, a</w:t>
      </w:r>
      <w:r w:rsidR="00014B88" w:rsidRPr="00F91EC4">
        <w:rPr>
          <w:noProof/>
        </w:rPr>
        <w:t xml:space="preserve">ir quality and pollutant emission performance </w:t>
      </w:r>
      <w:r w:rsidRPr="00F91EC4">
        <w:rPr>
          <w:noProof/>
        </w:rPr>
        <w:t xml:space="preserve">constitute </w:t>
      </w:r>
      <w:r w:rsidR="00014B88" w:rsidRPr="00F91EC4">
        <w:rPr>
          <w:noProof/>
        </w:rPr>
        <w:t>a trans-boundary problem, which cannot be solved by national or local action alone. Coordination of emission reduction and improvemen</w:t>
      </w:r>
      <w:r w:rsidR="00AA4E99" w:rsidRPr="00F91EC4">
        <w:rPr>
          <w:noProof/>
        </w:rPr>
        <w:t>t</w:t>
      </w:r>
      <w:r w:rsidR="00014B88" w:rsidRPr="00F91EC4">
        <w:rPr>
          <w:noProof/>
        </w:rPr>
        <w:t xml:space="preserve"> of emission performances must be taken at European level and EU action is justified on grounds of subsidiarity. Although initiatives at the national, regional and local level can create synergies, alone they will not be sufficient. Lack of coordinated EU action via the strengthening of pollutant emission standards would translate into a risk of market fragmentation due to the diversity of national schemes, differing ambition levels and design parameters.</w:t>
      </w:r>
    </w:p>
    <w:p w14:paraId="56E40192" w14:textId="77777777" w:rsidR="009439C4" w:rsidRPr="00F91EC4" w:rsidRDefault="009439C4"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Expected generated Union added value (ex-post) </w:t>
      </w:r>
    </w:p>
    <w:p w14:paraId="041D2871" w14:textId="77777777" w:rsidR="00014B88" w:rsidRPr="00F91EC4" w:rsidRDefault="00014B88"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On their own, individual Member States would also represent too small a market to achieve the same level of results, therefore, an EU wide approach is needed to drive industry level changes and to create economies of scale.</w:t>
      </w:r>
    </w:p>
    <w:p w14:paraId="6DA527D4" w14:textId="7B85C725" w:rsidR="009439C4" w:rsidRPr="00F91EC4" w:rsidRDefault="00DD0F7B" w:rsidP="00DD0F7B">
      <w:pPr>
        <w:pStyle w:val="ManualHeading3"/>
        <w:rPr>
          <w:noProof/>
        </w:rPr>
      </w:pPr>
      <w:bookmarkStart w:id="33" w:name="_Toc514938030"/>
      <w:bookmarkStart w:id="34" w:name="_Toc520485037"/>
      <w:r w:rsidRPr="00DD0F7B">
        <w:rPr>
          <w:noProof/>
        </w:rPr>
        <w:t>1.5.2.</w:t>
      </w:r>
      <w:r w:rsidRPr="00DD0F7B">
        <w:rPr>
          <w:noProof/>
        </w:rPr>
        <w:tab/>
      </w:r>
      <w:r w:rsidR="009439C4" w:rsidRPr="00F91EC4">
        <w:rPr>
          <w:noProof/>
        </w:rPr>
        <w:t>Lessons learned from similar experiences in the past</w:t>
      </w:r>
      <w:bookmarkEnd w:id="33"/>
      <w:bookmarkEnd w:id="34"/>
    </w:p>
    <w:p w14:paraId="73F5D35E" w14:textId="77777777" w:rsidR="009439C4" w:rsidRPr="00F91EC4" w:rsidRDefault="00014B88" w:rsidP="00014B88">
      <w:pPr>
        <w:pStyle w:val="Text1"/>
        <w:pBdr>
          <w:top w:val="single" w:sz="4" w:space="1" w:color="auto"/>
          <w:left w:val="single" w:sz="4" w:space="4" w:color="auto"/>
          <w:bottom w:val="single" w:sz="4" w:space="1" w:color="auto"/>
          <w:right w:val="single" w:sz="4" w:space="4" w:color="auto"/>
        </w:pBdr>
        <w:rPr>
          <w:noProof/>
        </w:rPr>
      </w:pPr>
      <w:r w:rsidRPr="00F91EC4">
        <w:rPr>
          <w:noProof/>
        </w:rPr>
        <w:t>The proposal builds on existing legislation which has ensured continuous reductions in the pollutant emission and improvement of emission performances of vehicles and engines over the past decade</w:t>
      </w:r>
      <w:r w:rsidR="005F2562" w:rsidRPr="00F91EC4">
        <w:rPr>
          <w:noProof/>
        </w:rPr>
        <w:t>s</w:t>
      </w:r>
      <w:r w:rsidRPr="00F91EC4">
        <w:rPr>
          <w:noProof/>
        </w:rPr>
        <w:t xml:space="preserve"> in the Union.</w:t>
      </w:r>
    </w:p>
    <w:p w14:paraId="38BAB7F5" w14:textId="2E89E793" w:rsidR="009439C4" w:rsidRPr="00F91EC4" w:rsidRDefault="00DD0F7B" w:rsidP="00DD0F7B">
      <w:pPr>
        <w:pStyle w:val="ManualHeading3"/>
        <w:rPr>
          <w:noProof/>
        </w:rPr>
      </w:pPr>
      <w:bookmarkStart w:id="35" w:name="_Toc514938033"/>
      <w:bookmarkStart w:id="36" w:name="_Toc520485038"/>
      <w:r w:rsidRPr="00DD0F7B">
        <w:rPr>
          <w:noProof/>
        </w:rPr>
        <w:t>1.5.3.</w:t>
      </w:r>
      <w:r w:rsidRPr="00DD0F7B">
        <w:rPr>
          <w:noProof/>
        </w:rPr>
        <w:tab/>
      </w:r>
      <w:r w:rsidR="009439C4" w:rsidRPr="00F91EC4">
        <w:rPr>
          <w:noProof/>
        </w:rPr>
        <w:t>Compatibility with the Multiannual Financial Framework and possible synergies with other appropriate instruments</w:t>
      </w:r>
      <w:bookmarkEnd w:id="35"/>
      <w:bookmarkEnd w:id="36"/>
    </w:p>
    <w:p w14:paraId="6E3000C0" w14:textId="77777777" w:rsidR="009439C4" w:rsidRPr="00F91EC4" w:rsidRDefault="0073564E" w:rsidP="0073564E">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This proposal is compatible with the objectives of the Next Generation EU and the Multiannual Financial Framework for 2021-2027 which will help achieving the twin green and digital transitions that Europe is aiming for. The combination of these frameworks will address the economic crisis and accelerate the shift to a clean and sustainable economy, linking </w:t>
      </w:r>
      <w:r w:rsidR="0063572D" w:rsidRPr="00F91EC4">
        <w:rPr>
          <w:noProof/>
        </w:rPr>
        <w:t>more stringent environmental and air quality requirements</w:t>
      </w:r>
      <w:r w:rsidRPr="00F91EC4">
        <w:rPr>
          <w:noProof/>
        </w:rPr>
        <w:t xml:space="preserve"> and economic growth.</w:t>
      </w:r>
    </w:p>
    <w:p w14:paraId="4299C248" w14:textId="1831189C" w:rsidR="009439C4" w:rsidRPr="00F91EC4" w:rsidRDefault="00DD0F7B" w:rsidP="00DD0F7B">
      <w:pPr>
        <w:pStyle w:val="ManualHeading3"/>
        <w:rPr>
          <w:noProof/>
        </w:rPr>
      </w:pPr>
      <w:bookmarkStart w:id="37" w:name="_Toc514938036"/>
      <w:bookmarkStart w:id="38" w:name="_Toc520485039"/>
      <w:r w:rsidRPr="00DD0F7B">
        <w:rPr>
          <w:noProof/>
        </w:rPr>
        <w:t>1.5.4.</w:t>
      </w:r>
      <w:r w:rsidRPr="00DD0F7B">
        <w:rPr>
          <w:noProof/>
        </w:rPr>
        <w:tab/>
      </w:r>
      <w:r w:rsidR="009439C4" w:rsidRPr="00F91EC4">
        <w:rPr>
          <w:noProof/>
        </w:rPr>
        <w:t>Assessment of the different available financing options, including scope for redeployment</w:t>
      </w:r>
      <w:bookmarkEnd w:id="37"/>
      <w:bookmarkEnd w:id="38"/>
    </w:p>
    <w:p w14:paraId="1FBF19CD" w14:textId="77777777" w:rsidR="009439C4" w:rsidRPr="00F91EC4" w:rsidRDefault="00452A3B" w:rsidP="0072462A">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The </w:t>
      </w:r>
      <w:r w:rsidR="0072462A" w:rsidRPr="00F91EC4">
        <w:rPr>
          <w:noProof/>
        </w:rPr>
        <w:t>human resources required will be met by the staff from the DGs who are assigned to the action (i.e. DG GROW with support of DG CLIMA) and/or have been redeployed within the DGs.  If additional allocation is necessary it may be granted to the relevant DGs under the annual allocation procedure and in the light of budgetary constraints.</w:t>
      </w:r>
    </w:p>
    <w:p w14:paraId="014D988E" w14:textId="77777777" w:rsidR="009439C4" w:rsidRPr="00F91EC4" w:rsidRDefault="009439C4" w:rsidP="00C24E66">
      <w:pPr>
        <w:pStyle w:val="Text1"/>
        <w:rPr>
          <w:noProof/>
        </w:rPr>
      </w:pPr>
    </w:p>
    <w:p w14:paraId="18E23337" w14:textId="02F55100" w:rsidR="009439C4" w:rsidRPr="00F91EC4" w:rsidRDefault="009439C4" w:rsidP="00DD0F7B">
      <w:pPr>
        <w:pStyle w:val="ManualHeading2"/>
        <w:rPr>
          <w:bCs/>
          <w:noProof/>
          <w:szCs w:val="24"/>
        </w:rPr>
      </w:pPr>
      <w:r w:rsidRPr="00F91EC4">
        <w:rPr>
          <w:noProof/>
        </w:rPr>
        <w:br w:type="page"/>
      </w:r>
      <w:bookmarkStart w:id="39" w:name="_Toc514938039"/>
      <w:bookmarkStart w:id="40" w:name="_Toc520485040"/>
      <w:r w:rsidR="00DD0F7B" w:rsidRPr="00DD0F7B">
        <w:rPr>
          <w:noProof/>
        </w:rPr>
        <w:t>1.6.</w:t>
      </w:r>
      <w:r w:rsidR="00DD0F7B" w:rsidRPr="00DD0F7B">
        <w:rPr>
          <w:noProof/>
        </w:rPr>
        <w:tab/>
      </w:r>
      <w:r w:rsidRPr="00F91EC4">
        <w:rPr>
          <w:noProof/>
        </w:rPr>
        <w:t>Duration and financial impact of the proposal/initiative</w:t>
      </w:r>
      <w:bookmarkEnd w:id="39"/>
      <w:bookmarkEnd w:id="40"/>
    </w:p>
    <w:p w14:paraId="38D37E3A" w14:textId="77777777" w:rsidR="009439C4" w:rsidRPr="00F91EC4" w:rsidRDefault="009F1220" w:rsidP="00C24E66">
      <w:pPr>
        <w:pStyle w:val="Text1"/>
        <w:rPr>
          <w:noProof/>
        </w:rPr>
      </w:pPr>
      <w:r w:rsidRPr="00F91EC4">
        <w:rPr>
          <w:rFonts w:ascii="Wingdings" w:eastAsia="Wingdings" w:hAnsi="Wingdings" w:cs="Wingdings"/>
          <w:noProof/>
        </w:rPr>
        <w:t></w:t>
      </w:r>
      <w:r w:rsidR="0073564E" w:rsidRPr="00F91EC4">
        <w:rPr>
          <w:b/>
          <w:i/>
          <w:noProof/>
        </w:rPr>
        <w:t xml:space="preserve"> </w:t>
      </w:r>
      <w:r w:rsidR="009439C4" w:rsidRPr="00F91EC4">
        <w:rPr>
          <w:b/>
          <w:i/>
          <w:noProof/>
        </w:rPr>
        <w:t xml:space="preserve"> </w:t>
      </w:r>
      <w:r w:rsidR="009439C4" w:rsidRPr="00F91EC4">
        <w:rPr>
          <w:b/>
          <w:noProof/>
        </w:rPr>
        <w:t xml:space="preserve">limited duration </w:t>
      </w:r>
    </w:p>
    <w:p w14:paraId="249E53B9" w14:textId="77777777" w:rsidR="009439C4" w:rsidRPr="00F91EC4" w:rsidRDefault="009F1220" w:rsidP="00C24E66">
      <w:pPr>
        <w:pStyle w:val="ListDash2"/>
        <w:rPr>
          <w:noProof/>
        </w:rPr>
      </w:pPr>
      <w:r w:rsidRPr="00F91EC4">
        <w:rPr>
          <w:rFonts w:ascii="Wingdings" w:eastAsia="Wingdings" w:hAnsi="Wingdings" w:cs="Wingdings"/>
          <w:noProof/>
        </w:rPr>
        <w:t></w:t>
      </w:r>
      <w:r w:rsidR="0073564E" w:rsidRPr="00F91EC4">
        <w:rPr>
          <w:b/>
          <w:i/>
          <w:noProof/>
        </w:rPr>
        <w:t xml:space="preserve"> </w:t>
      </w:r>
      <w:r w:rsidR="009439C4" w:rsidRPr="00F91EC4">
        <w:rPr>
          <w:noProof/>
        </w:rPr>
        <w:t xml:space="preserve">in effect from [DD/MM]YYYY to [DD/MM]YYYY </w:t>
      </w:r>
    </w:p>
    <w:p w14:paraId="68FE9780" w14:textId="77777777" w:rsidR="009439C4" w:rsidRPr="00F91EC4" w:rsidRDefault="009F1220" w:rsidP="00C24E66">
      <w:pPr>
        <w:pStyle w:val="ListDash2"/>
        <w:rPr>
          <w:noProof/>
        </w:rPr>
      </w:pPr>
      <w:r w:rsidRPr="00F91EC4">
        <w:rPr>
          <w:rFonts w:ascii="Wingdings" w:eastAsia="Wingdings" w:hAnsi="Wingdings" w:cs="Wingdings"/>
          <w:noProof/>
        </w:rPr>
        <w:t></w:t>
      </w:r>
      <w:r w:rsidR="009439C4" w:rsidRPr="00F91EC4">
        <w:rPr>
          <w:noProof/>
        </w:rPr>
        <w:tab/>
        <w:t xml:space="preserve">Financial impact from YYYY to YYYY for commitment appropriations and from YYYY to YYYY for payment appropriations. </w:t>
      </w:r>
    </w:p>
    <w:p w14:paraId="0A070BA7" w14:textId="77777777" w:rsidR="009439C4" w:rsidRPr="00F91EC4" w:rsidRDefault="009F1220" w:rsidP="00C24E66">
      <w:pPr>
        <w:pStyle w:val="Text1"/>
        <w:rPr>
          <w:noProof/>
        </w:rPr>
      </w:pPr>
      <w:r w:rsidRPr="00F91EC4">
        <w:rPr>
          <w:rFonts w:ascii="Wingdings" w:eastAsia="Wingdings" w:hAnsi="Wingdings" w:cs="Wingdings"/>
          <w:noProof/>
        </w:rPr>
        <w:t></w:t>
      </w:r>
      <w:r w:rsidR="009439C4" w:rsidRPr="00F91EC4">
        <w:rPr>
          <w:b/>
          <w:i/>
          <w:noProof/>
        </w:rPr>
        <w:t xml:space="preserve"> </w:t>
      </w:r>
      <w:r w:rsidR="009439C4" w:rsidRPr="00F91EC4">
        <w:rPr>
          <w:b/>
          <w:noProof/>
        </w:rPr>
        <w:t>unlimited duration</w:t>
      </w:r>
    </w:p>
    <w:p w14:paraId="4B56CCB3" w14:textId="77777777" w:rsidR="009439C4" w:rsidRPr="00F91EC4" w:rsidRDefault="009439C4" w:rsidP="00C24E66">
      <w:pPr>
        <w:pStyle w:val="ListDash1"/>
        <w:rPr>
          <w:noProof/>
        </w:rPr>
      </w:pPr>
      <w:r w:rsidRPr="00F91EC4">
        <w:rPr>
          <w:noProof/>
        </w:rPr>
        <w:t xml:space="preserve">Implementation with a start-up period from </w:t>
      </w:r>
      <w:r w:rsidR="009F1220" w:rsidRPr="00F91EC4">
        <w:rPr>
          <w:noProof/>
        </w:rPr>
        <w:t>202</w:t>
      </w:r>
      <w:r w:rsidR="00161E18">
        <w:rPr>
          <w:noProof/>
        </w:rPr>
        <w:t>5</w:t>
      </w:r>
      <w:r w:rsidRPr="00F91EC4">
        <w:rPr>
          <w:noProof/>
        </w:rPr>
        <w:t>,</w:t>
      </w:r>
    </w:p>
    <w:p w14:paraId="5BF7D05C" w14:textId="77777777" w:rsidR="009439C4" w:rsidRPr="00F91EC4" w:rsidRDefault="009439C4" w:rsidP="00C24E66">
      <w:pPr>
        <w:pStyle w:val="ListDash1"/>
        <w:rPr>
          <w:noProof/>
        </w:rPr>
      </w:pPr>
      <w:r w:rsidRPr="00F91EC4">
        <w:rPr>
          <w:noProof/>
        </w:rPr>
        <w:t>followed by full-scale operation.</w:t>
      </w:r>
    </w:p>
    <w:p w14:paraId="4D013163" w14:textId="5F275504" w:rsidR="009439C4" w:rsidRPr="00F91EC4" w:rsidRDefault="00DD0F7B" w:rsidP="00DD0F7B">
      <w:pPr>
        <w:pStyle w:val="ManualHeading2"/>
        <w:rPr>
          <w:bCs/>
          <w:noProof/>
          <w:szCs w:val="24"/>
        </w:rPr>
      </w:pPr>
      <w:bookmarkStart w:id="41" w:name="_Toc514938040"/>
      <w:bookmarkStart w:id="42" w:name="_Toc520485041"/>
      <w:r w:rsidRPr="00DD0F7B">
        <w:rPr>
          <w:noProof/>
        </w:rPr>
        <w:t>1.7.</w:t>
      </w:r>
      <w:r w:rsidRPr="00DD0F7B">
        <w:rPr>
          <w:noProof/>
        </w:rPr>
        <w:tab/>
      </w:r>
      <w:r w:rsidR="009439C4" w:rsidRPr="00F91EC4">
        <w:rPr>
          <w:noProof/>
        </w:rPr>
        <w:t>Management mode(s) planned</w:t>
      </w:r>
      <w:r w:rsidR="009439C4" w:rsidRPr="00F91EC4">
        <w:rPr>
          <w:rStyle w:val="FootnoteReference"/>
          <w:noProof/>
        </w:rPr>
        <w:footnoteReference w:id="59"/>
      </w:r>
      <w:bookmarkEnd w:id="41"/>
      <w:bookmarkEnd w:id="42"/>
      <w:r w:rsidR="009439C4" w:rsidRPr="00F91EC4">
        <w:rPr>
          <w:rStyle w:val="FootnoteReference"/>
          <w:noProof/>
        </w:rPr>
        <w:t xml:space="preserve"> </w:t>
      </w:r>
    </w:p>
    <w:p w14:paraId="41D0863F" w14:textId="77777777" w:rsidR="009439C4" w:rsidRPr="00F91EC4" w:rsidRDefault="0073564E" w:rsidP="00C24E66">
      <w:pPr>
        <w:pStyle w:val="Text1"/>
        <w:rPr>
          <w:noProof/>
        </w:rPr>
      </w:pPr>
      <w:r w:rsidRPr="00F91EC4">
        <w:rPr>
          <w:rFonts w:ascii="Wingdings" w:eastAsia="Wingdings" w:hAnsi="Wingdings" w:cs="Wingdings"/>
          <w:noProof/>
        </w:rPr>
        <w:t></w:t>
      </w:r>
      <w:r w:rsidRPr="00F91EC4">
        <w:rPr>
          <w:b/>
          <w:i/>
          <w:noProof/>
        </w:rPr>
        <w:t xml:space="preserve"> </w:t>
      </w:r>
      <w:r w:rsidR="009439C4" w:rsidRPr="00F91EC4">
        <w:rPr>
          <w:i/>
          <w:noProof/>
        </w:rPr>
        <w:t xml:space="preserve"> </w:t>
      </w:r>
      <w:r w:rsidR="009439C4" w:rsidRPr="00F91EC4">
        <w:rPr>
          <w:b/>
          <w:noProof/>
        </w:rPr>
        <w:t>Direct management</w:t>
      </w:r>
      <w:r w:rsidR="009439C4" w:rsidRPr="00F91EC4">
        <w:rPr>
          <w:noProof/>
        </w:rPr>
        <w:t xml:space="preserve"> by the Commission</w:t>
      </w:r>
    </w:p>
    <w:p w14:paraId="77BAEC36" w14:textId="77777777" w:rsidR="009439C4" w:rsidRPr="00F91EC4" w:rsidRDefault="0073564E" w:rsidP="00C24E66">
      <w:pPr>
        <w:pStyle w:val="ListDash2"/>
        <w:rPr>
          <w:rFonts w:cs="EUAlbertina"/>
          <w:noProof/>
        </w:rPr>
      </w:pPr>
      <w:r w:rsidRPr="00F91EC4">
        <w:rPr>
          <w:rFonts w:ascii="Wingdings" w:eastAsia="Wingdings" w:hAnsi="Wingdings" w:cs="Wingdings"/>
          <w:noProof/>
        </w:rPr>
        <w:t></w:t>
      </w:r>
      <w:r w:rsidR="009439C4" w:rsidRPr="00F91EC4">
        <w:rPr>
          <w:noProof/>
        </w:rPr>
        <w:t xml:space="preserve"> by its departments, including by its staff in the Union delegations; </w:t>
      </w:r>
    </w:p>
    <w:p w14:paraId="5904BED7"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ab/>
        <w:t xml:space="preserve">by the executive agencies </w:t>
      </w:r>
    </w:p>
    <w:p w14:paraId="261A1540" w14:textId="77777777" w:rsidR="009439C4" w:rsidRPr="00F91EC4" w:rsidRDefault="009439C4" w:rsidP="00C24E66">
      <w:pPr>
        <w:pStyle w:val="Text1"/>
        <w:rPr>
          <w:noProof/>
        </w:rPr>
      </w:pPr>
      <w:r w:rsidRPr="00F91EC4">
        <w:rPr>
          <w:rFonts w:ascii="Wingdings" w:eastAsia="Wingdings" w:hAnsi="Wingdings" w:cs="Wingdings"/>
          <w:noProof/>
        </w:rPr>
        <w:t></w:t>
      </w:r>
      <w:r w:rsidRPr="00F91EC4">
        <w:rPr>
          <w:b/>
          <w:i/>
          <w:noProof/>
        </w:rPr>
        <w:t xml:space="preserve"> </w:t>
      </w:r>
      <w:r w:rsidRPr="00F91EC4">
        <w:rPr>
          <w:b/>
          <w:noProof/>
        </w:rPr>
        <w:t>Shared management</w:t>
      </w:r>
      <w:r w:rsidRPr="00F91EC4">
        <w:rPr>
          <w:noProof/>
        </w:rPr>
        <w:t xml:space="preserve"> with the Member States </w:t>
      </w:r>
    </w:p>
    <w:p w14:paraId="51ADF53E" w14:textId="77777777" w:rsidR="009439C4" w:rsidRPr="00F91EC4" w:rsidRDefault="009439C4" w:rsidP="00C24E66">
      <w:pPr>
        <w:pStyle w:val="Text1"/>
        <w:rPr>
          <w:noProof/>
        </w:rPr>
      </w:pPr>
      <w:r w:rsidRPr="00F91EC4">
        <w:rPr>
          <w:rFonts w:ascii="Wingdings" w:eastAsia="Wingdings" w:hAnsi="Wingdings" w:cs="Wingdings"/>
          <w:noProof/>
        </w:rPr>
        <w:t></w:t>
      </w:r>
      <w:r w:rsidRPr="00F91EC4">
        <w:rPr>
          <w:i/>
          <w:noProof/>
        </w:rPr>
        <w:t xml:space="preserve"> </w:t>
      </w:r>
      <w:r w:rsidRPr="00F91EC4">
        <w:rPr>
          <w:b/>
          <w:noProof/>
        </w:rPr>
        <w:t>Indirect management</w:t>
      </w:r>
      <w:r w:rsidRPr="00F91EC4">
        <w:rPr>
          <w:noProof/>
        </w:rPr>
        <w:t xml:space="preserve"> by entrusting budget implementation tasks to:</w:t>
      </w:r>
    </w:p>
    <w:p w14:paraId="19A61FD2"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third countries or the bodies they have designated;</w:t>
      </w:r>
    </w:p>
    <w:p w14:paraId="151F7C08"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international organisations and their agencies (to be specified);</w:t>
      </w:r>
    </w:p>
    <w:p w14:paraId="73E5EFFB"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the EIB and the European Investment Fund;</w:t>
      </w:r>
    </w:p>
    <w:p w14:paraId="57346F69"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bodies referred to in Articles 70 and 71 of the Financial Regulation;</w:t>
      </w:r>
    </w:p>
    <w:p w14:paraId="11A2F979"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public law bodies;</w:t>
      </w:r>
    </w:p>
    <w:p w14:paraId="344940C5"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bodies governed by private law with a public service mission to the extent that they are provided with adequate financial guarantees;</w:t>
      </w:r>
    </w:p>
    <w:p w14:paraId="794686AD"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bodies governed by the private law of a Member State that are entrusted with the implementation of a public-private partnership and that are provided with adequate financial guarantees;</w:t>
      </w:r>
    </w:p>
    <w:p w14:paraId="21A99522" w14:textId="77777777" w:rsidR="009439C4" w:rsidRPr="00F91EC4" w:rsidRDefault="009439C4" w:rsidP="00C24E66">
      <w:pPr>
        <w:pStyle w:val="ListDash2"/>
        <w:rPr>
          <w:noProof/>
        </w:rPr>
      </w:pPr>
      <w:r w:rsidRPr="00F91EC4">
        <w:rPr>
          <w:rFonts w:ascii="Wingdings" w:eastAsia="Wingdings" w:hAnsi="Wingdings" w:cs="Wingdings"/>
          <w:noProof/>
        </w:rPr>
        <w:t></w:t>
      </w:r>
      <w:r w:rsidRPr="00F91EC4">
        <w:rPr>
          <w:noProof/>
        </w:rPr>
        <w:t xml:space="preserve"> persons entrusted with the implementation of specific actions in the CFSP pursuant to Title V of the TEU, and identified in the relevant basic act.</w:t>
      </w:r>
    </w:p>
    <w:p w14:paraId="01CAFD9E" w14:textId="77777777" w:rsidR="009439C4" w:rsidRPr="00F91EC4" w:rsidRDefault="009439C4" w:rsidP="00C24E66">
      <w:pPr>
        <w:pStyle w:val="ListDash2"/>
        <w:rPr>
          <w:i/>
          <w:noProof/>
          <w:sz w:val="18"/>
          <w:u w:val="single"/>
        </w:rPr>
      </w:pPr>
      <w:r w:rsidRPr="00F91EC4">
        <w:rPr>
          <w:i/>
          <w:noProof/>
          <w:sz w:val="18"/>
        </w:rPr>
        <w:t>If more than one management mode is indicated, please provide details in the ‘Comments’ section.</w:t>
      </w:r>
    </w:p>
    <w:p w14:paraId="637035B7" w14:textId="77777777" w:rsidR="009439C4" w:rsidRPr="00F91EC4" w:rsidRDefault="009439C4" w:rsidP="00C24E66">
      <w:pPr>
        <w:rPr>
          <w:noProof/>
        </w:rPr>
      </w:pPr>
      <w:r w:rsidRPr="00F91EC4">
        <w:rPr>
          <w:noProof/>
        </w:rPr>
        <w:t xml:space="preserve">Comments </w:t>
      </w:r>
    </w:p>
    <w:p w14:paraId="62C9AAD6" w14:textId="77777777" w:rsidR="009439C4" w:rsidRPr="00F91EC4" w:rsidRDefault="0073564E" w:rsidP="000043FD">
      <w:pPr>
        <w:pBdr>
          <w:top w:val="single" w:sz="4" w:space="1" w:color="auto"/>
          <w:left w:val="single" w:sz="4" w:space="4" w:color="auto"/>
          <w:bottom w:val="single" w:sz="4" w:space="1" w:color="auto"/>
          <w:right w:val="single" w:sz="4" w:space="4" w:color="auto"/>
        </w:pBdr>
        <w:rPr>
          <w:noProof/>
        </w:rPr>
      </w:pPr>
      <w:r w:rsidRPr="00F91EC4">
        <w:rPr>
          <w:noProof/>
        </w:rPr>
        <w:t>The Commission intends to ensure the implementation of the measures concerned via centralised direct management through its own services, in particular via the JRC for the technical and scientific support</w:t>
      </w:r>
      <w:r w:rsidR="005F2562" w:rsidRPr="00F91EC4">
        <w:rPr>
          <w:noProof/>
        </w:rPr>
        <w:t xml:space="preserve"> </w:t>
      </w:r>
      <w:r w:rsidR="000043FD" w:rsidRPr="00F91EC4">
        <w:rPr>
          <w:noProof/>
        </w:rPr>
        <w:t xml:space="preserve">necessary for the development of implementing regulations </w:t>
      </w:r>
      <w:r w:rsidR="005F2562" w:rsidRPr="00F91EC4">
        <w:rPr>
          <w:noProof/>
        </w:rPr>
        <w:t xml:space="preserve">and the performing of market surveillance, as already foreseen in Regulation (EC) 2018/858. </w:t>
      </w:r>
      <w:r w:rsidRPr="00F91EC4">
        <w:rPr>
          <w:noProof/>
        </w:rPr>
        <w:t xml:space="preserve"> </w:t>
      </w:r>
      <w:r w:rsidR="005F2562" w:rsidRPr="00F91EC4">
        <w:rPr>
          <w:noProof/>
        </w:rPr>
        <w:t>T</w:t>
      </w:r>
      <w:r w:rsidR="000043FD" w:rsidRPr="00F91EC4">
        <w:rPr>
          <w:noProof/>
        </w:rPr>
        <w:t>he part of market surveillance</w:t>
      </w:r>
      <w:r w:rsidRPr="00F91EC4">
        <w:rPr>
          <w:noProof/>
        </w:rPr>
        <w:t xml:space="preserve"> </w:t>
      </w:r>
      <w:r w:rsidR="000043FD" w:rsidRPr="00F91EC4">
        <w:rPr>
          <w:noProof/>
        </w:rPr>
        <w:t>is already</w:t>
      </w:r>
      <w:r w:rsidRPr="00F91EC4">
        <w:rPr>
          <w:noProof/>
        </w:rPr>
        <w:t xml:space="preserve"> regulated through </w:t>
      </w:r>
      <w:r w:rsidR="005F2562" w:rsidRPr="00F91EC4">
        <w:rPr>
          <w:noProof/>
        </w:rPr>
        <w:t>appropriate</w:t>
      </w:r>
      <w:r w:rsidRPr="00F91EC4">
        <w:rPr>
          <w:noProof/>
        </w:rPr>
        <w:t xml:space="preserve"> administrative arrangement</w:t>
      </w:r>
      <w:r w:rsidR="005F2562" w:rsidRPr="00F91EC4">
        <w:rPr>
          <w:noProof/>
        </w:rPr>
        <w:t>s foreseen and accounted for in the Regulation (EC) 2018/858</w:t>
      </w:r>
      <w:r w:rsidR="000043FD" w:rsidRPr="00F91EC4">
        <w:rPr>
          <w:noProof/>
        </w:rPr>
        <w:t xml:space="preserve">, while for the work on the implementing regulations a separate administrative arrangement is foreseen. </w:t>
      </w:r>
    </w:p>
    <w:p w14:paraId="6DABC029" w14:textId="77777777" w:rsidR="000043FD" w:rsidRPr="00F91EC4" w:rsidRDefault="000043FD" w:rsidP="000043FD">
      <w:pPr>
        <w:pBdr>
          <w:top w:val="single" w:sz="4" w:space="1" w:color="auto"/>
          <w:left w:val="single" w:sz="4" w:space="4" w:color="auto"/>
          <w:bottom w:val="single" w:sz="4" w:space="1" w:color="auto"/>
          <w:right w:val="single" w:sz="4" w:space="4" w:color="auto"/>
        </w:pBdr>
        <w:rPr>
          <w:noProof/>
        </w:rPr>
        <w:sectPr w:rsidR="000043FD" w:rsidRPr="00F91EC4" w:rsidSect="00E50DA1">
          <w:pgSz w:w="11907" w:h="16840" w:code="9"/>
          <w:pgMar w:top="1134" w:right="1418" w:bottom="1134" w:left="1418" w:header="709" w:footer="709" w:gutter="0"/>
          <w:cols w:space="708"/>
          <w:docGrid w:linePitch="360"/>
        </w:sectPr>
      </w:pPr>
    </w:p>
    <w:p w14:paraId="70F7DEBA" w14:textId="50E0E7BE" w:rsidR="009439C4" w:rsidRPr="00F91EC4" w:rsidRDefault="00DD0F7B" w:rsidP="00DD0F7B">
      <w:pPr>
        <w:pStyle w:val="ManualHeading1"/>
        <w:rPr>
          <w:bCs/>
          <w:noProof/>
          <w:szCs w:val="24"/>
        </w:rPr>
      </w:pPr>
      <w:bookmarkStart w:id="43" w:name="_Toc514938041"/>
      <w:bookmarkStart w:id="44" w:name="_Toc520485042"/>
      <w:r w:rsidRPr="00DD0F7B">
        <w:rPr>
          <w:noProof/>
        </w:rPr>
        <w:t>2.</w:t>
      </w:r>
      <w:r w:rsidRPr="00DD0F7B">
        <w:rPr>
          <w:noProof/>
        </w:rPr>
        <w:tab/>
      </w:r>
      <w:r w:rsidR="009439C4" w:rsidRPr="00F91EC4">
        <w:rPr>
          <w:noProof/>
        </w:rPr>
        <w:t>MANAGEMENT MEASURES</w:t>
      </w:r>
      <w:bookmarkEnd w:id="43"/>
      <w:bookmarkEnd w:id="44"/>
      <w:r w:rsidR="009439C4" w:rsidRPr="00F91EC4">
        <w:rPr>
          <w:noProof/>
        </w:rPr>
        <w:t xml:space="preserve"> </w:t>
      </w:r>
    </w:p>
    <w:p w14:paraId="70286CE5" w14:textId="1B741F49" w:rsidR="009439C4" w:rsidRPr="00F91EC4" w:rsidRDefault="00DD0F7B" w:rsidP="00DD0F7B">
      <w:pPr>
        <w:pStyle w:val="ManualHeading2"/>
        <w:rPr>
          <w:noProof/>
        </w:rPr>
      </w:pPr>
      <w:bookmarkStart w:id="45" w:name="_Toc514938042"/>
      <w:bookmarkStart w:id="46" w:name="_Toc520485043"/>
      <w:r w:rsidRPr="00DD0F7B">
        <w:rPr>
          <w:noProof/>
        </w:rPr>
        <w:t>2.1.</w:t>
      </w:r>
      <w:r w:rsidRPr="00DD0F7B">
        <w:rPr>
          <w:noProof/>
        </w:rPr>
        <w:tab/>
      </w:r>
      <w:r w:rsidR="009439C4" w:rsidRPr="00F91EC4">
        <w:rPr>
          <w:noProof/>
        </w:rPr>
        <w:t>Monitoring and reporting rules</w:t>
      </w:r>
      <w:bookmarkEnd w:id="45"/>
      <w:bookmarkEnd w:id="46"/>
      <w:r w:rsidR="009439C4" w:rsidRPr="00F91EC4">
        <w:rPr>
          <w:noProof/>
        </w:rPr>
        <w:t xml:space="preserve"> </w:t>
      </w:r>
    </w:p>
    <w:p w14:paraId="59E6799D" w14:textId="77777777" w:rsidR="009439C4" w:rsidRPr="00F91EC4" w:rsidRDefault="009439C4" w:rsidP="00C24E66">
      <w:pPr>
        <w:pStyle w:val="Text1"/>
        <w:rPr>
          <w:i/>
          <w:noProof/>
          <w:sz w:val="20"/>
        </w:rPr>
      </w:pPr>
      <w:r w:rsidRPr="00F91EC4">
        <w:rPr>
          <w:i/>
          <w:noProof/>
          <w:sz w:val="20"/>
        </w:rPr>
        <w:t>Specify frequency and conditions.</w:t>
      </w:r>
    </w:p>
    <w:p w14:paraId="79D44F94" w14:textId="77777777" w:rsidR="0073564E" w:rsidRPr="00F91EC4" w:rsidRDefault="0073564E" w:rsidP="00C24E66">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In order to monitor the effectiveness of the proposed emission reduction requirements, extensive data collection is required from different </w:t>
      </w:r>
      <w:r w:rsidR="009F1220" w:rsidRPr="00F91EC4">
        <w:rPr>
          <w:noProof/>
        </w:rPr>
        <w:t xml:space="preserve">possible </w:t>
      </w:r>
      <w:r w:rsidRPr="00F91EC4">
        <w:rPr>
          <w:noProof/>
        </w:rPr>
        <w:t xml:space="preserve">sources, including from Member States, automotive manufacturers and national approval authorities. </w:t>
      </w:r>
    </w:p>
    <w:p w14:paraId="60FDCEE9" w14:textId="77777777" w:rsidR="0073564E" w:rsidRPr="00F91EC4" w:rsidRDefault="0073564E" w:rsidP="0073564E">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The Technical Committee Motor Vehicles (TCMV) </w:t>
      </w:r>
      <w:r w:rsidR="000043FD" w:rsidRPr="00F91EC4">
        <w:rPr>
          <w:noProof/>
        </w:rPr>
        <w:t xml:space="preserve">and the Forum </w:t>
      </w:r>
      <w:r w:rsidR="00574085" w:rsidRPr="00F91EC4">
        <w:rPr>
          <w:noProof/>
        </w:rPr>
        <w:t>set up</w:t>
      </w:r>
      <w:r w:rsidR="000043FD" w:rsidRPr="00F91EC4">
        <w:rPr>
          <w:noProof/>
        </w:rPr>
        <w:t xml:space="preserve"> under Regulation (EU) 2018/858 </w:t>
      </w:r>
      <w:r w:rsidRPr="00F91EC4">
        <w:rPr>
          <w:noProof/>
        </w:rPr>
        <w:t xml:space="preserve">will </w:t>
      </w:r>
      <w:r w:rsidR="000043FD" w:rsidRPr="00F91EC4">
        <w:rPr>
          <w:noProof/>
        </w:rPr>
        <w:t>be the platforms</w:t>
      </w:r>
      <w:r w:rsidRPr="00F91EC4">
        <w:rPr>
          <w:noProof/>
        </w:rPr>
        <w:t xml:space="preserve"> to regularly discuss issues related to the implementation of the </w:t>
      </w:r>
      <w:r w:rsidR="000043FD" w:rsidRPr="00F91EC4">
        <w:rPr>
          <w:noProof/>
        </w:rPr>
        <w:t>Euro 7</w:t>
      </w:r>
      <w:r w:rsidRPr="00F91EC4">
        <w:rPr>
          <w:noProof/>
        </w:rPr>
        <w:t>.</w:t>
      </w:r>
    </w:p>
    <w:p w14:paraId="03F79B16" w14:textId="77777777" w:rsidR="0073564E" w:rsidRPr="00F91EC4" w:rsidRDefault="0073564E" w:rsidP="0073564E">
      <w:pPr>
        <w:pStyle w:val="Text1"/>
        <w:pBdr>
          <w:top w:val="single" w:sz="4" w:space="1" w:color="auto"/>
          <w:left w:val="single" w:sz="4" w:space="4" w:color="auto"/>
          <w:bottom w:val="single" w:sz="4" w:space="1" w:color="auto"/>
          <w:right w:val="single" w:sz="4" w:space="4" w:color="auto"/>
        </w:pBdr>
        <w:rPr>
          <w:noProof/>
        </w:rPr>
      </w:pPr>
      <w:r w:rsidRPr="00F91EC4">
        <w:rPr>
          <w:noProof/>
        </w:rPr>
        <w:t>Member states will have to report to the Commission on the penalties they have implemented</w:t>
      </w:r>
      <w:r w:rsidR="009F1220" w:rsidRPr="00F91EC4">
        <w:rPr>
          <w:noProof/>
        </w:rPr>
        <w:t xml:space="preserve"> according to Regulation (EU) 2018/858</w:t>
      </w:r>
      <w:r w:rsidRPr="00F91EC4">
        <w:rPr>
          <w:noProof/>
        </w:rPr>
        <w:t>.</w:t>
      </w:r>
    </w:p>
    <w:p w14:paraId="4D0557AF" w14:textId="77777777" w:rsidR="0073564E" w:rsidRPr="00F91EC4" w:rsidRDefault="009F43D0" w:rsidP="009F1220">
      <w:pPr>
        <w:pStyle w:val="Text1"/>
        <w:pBdr>
          <w:top w:val="single" w:sz="4" w:space="1" w:color="auto"/>
          <w:left w:val="single" w:sz="4" w:space="4" w:color="auto"/>
          <w:bottom w:val="single" w:sz="4" w:space="1" w:color="auto"/>
          <w:right w:val="single" w:sz="4" w:space="4" w:color="auto"/>
        </w:pBdr>
        <w:rPr>
          <w:noProof/>
        </w:rPr>
      </w:pPr>
      <w:r w:rsidRPr="00F91EC4">
        <w:rPr>
          <w:noProof/>
        </w:rPr>
        <w:t>By 2030</w:t>
      </w:r>
      <w:r w:rsidR="0073564E" w:rsidRPr="00F91EC4">
        <w:rPr>
          <w:noProof/>
        </w:rPr>
        <w:t xml:space="preserve"> Member States shall inform the Commission of the application of the type-approval procedures laid down in this Regulation. Based on this information, the Commission shall report to the European Parliament and to the Council about the implementation of the new Regulation.</w:t>
      </w:r>
    </w:p>
    <w:p w14:paraId="6101B35B" w14:textId="56627D77" w:rsidR="009439C4" w:rsidRPr="00F91EC4" w:rsidRDefault="00DD0F7B" w:rsidP="00DD0F7B">
      <w:pPr>
        <w:pStyle w:val="ManualHeading2"/>
        <w:rPr>
          <w:bCs/>
          <w:noProof/>
          <w:szCs w:val="24"/>
        </w:rPr>
      </w:pPr>
      <w:bookmarkStart w:id="47" w:name="_Toc514938045"/>
      <w:bookmarkStart w:id="48" w:name="_Toc520485044"/>
      <w:r w:rsidRPr="00DD0F7B">
        <w:rPr>
          <w:noProof/>
        </w:rPr>
        <w:t>2.2.</w:t>
      </w:r>
      <w:r w:rsidRPr="00DD0F7B">
        <w:rPr>
          <w:noProof/>
        </w:rPr>
        <w:tab/>
      </w:r>
      <w:r w:rsidR="009439C4" w:rsidRPr="00F91EC4">
        <w:rPr>
          <w:noProof/>
        </w:rPr>
        <w:t>Management and control system(s)</w:t>
      </w:r>
      <w:bookmarkEnd w:id="47"/>
      <w:bookmarkEnd w:id="48"/>
      <w:r w:rsidR="009439C4" w:rsidRPr="00F91EC4">
        <w:rPr>
          <w:noProof/>
        </w:rPr>
        <w:t xml:space="preserve"> </w:t>
      </w:r>
    </w:p>
    <w:p w14:paraId="194AA1A6" w14:textId="0F9B5D99" w:rsidR="009439C4" w:rsidRPr="00F91EC4" w:rsidRDefault="00DD0F7B" w:rsidP="00DD0F7B">
      <w:pPr>
        <w:pStyle w:val="ManualHeading3"/>
        <w:rPr>
          <w:noProof/>
        </w:rPr>
      </w:pPr>
      <w:bookmarkStart w:id="49" w:name="_Toc514938046"/>
      <w:bookmarkStart w:id="50" w:name="_Toc520485045"/>
      <w:r w:rsidRPr="00DD0F7B">
        <w:rPr>
          <w:noProof/>
        </w:rPr>
        <w:t>2.2.1.</w:t>
      </w:r>
      <w:r w:rsidRPr="00DD0F7B">
        <w:rPr>
          <w:noProof/>
        </w:rPr>
        <w:tab/>
      </w:r>
      <w:r w:rsidR="009439C4" w:rsidRPr="00F91EC4">
        <w:rPr>
          <w:noProof/>
        </w:rPr>
        <w:t>Justification of the management mode(s), the funding implementation mechanism(s), the payment modalities and the control strategy proposed</w:t>
      </w:r>
      <w:bookmarkEnd w:id="49"/>
      <w:bookmarkEnd w:id="50"/>
    </w:p>
    <w:p w14:paraId="5F280CE2" w14:textId="77777777" w:rsidR="009F1220" w:rsidRPr="00F91EC4" w:rsidRDefault="003303AE" w:rsidP="009F1220">
      <w:pPr>
        <w:pStyle w:val="Text1"/>
        <w:pBdr>
          <w:top w:val="single" w:sz="4" w:space="1" w:color="auto"/>
          <w:left w:val="single" w:sz="4" w:space="4" w:color="auto"/>
          <w:bottom w:val="single" w:sz="4" w:space="1" w:color="auto"/>
          <w:right w:val="single" w:sz="4" w:space="4" w:color="auto"/>
        </w:pBdr>
        <w:rPr>
          <w:noProof/>
        </w:rPr>
      </w:pPr>
      <w:bookmarkStart w:id="51" w:name="_Toc514938047"/>
      <w:bookmarkStart w:id="52" w:name="_Toc520485046"/>
      <w:r w:rsidRPr="00F91EC4">
        <w:rPr>
          <w:noProof/>
        </w:rPr>
        <w:t>The proposal is</w:t>
      </w:r>
      <w:r w:rsidR="009F1220" w:rsidRPr="00F91EC4">
        <w:rPr>
          <w:noProof/>
        </w:rPr>
        <w:t xml:space="preserve"> implemented under the Single Market </w:t>
      </w:r>
      <w:r w:rsidR="00A258DE" w:rsidRPr="00F91EC4">
        <w:rPr>
          <w:noProof/>
        </w:rPr>
        <w:t xml:space="preserve">and Climate Action </w:t>
      </w:r>
      <w:r w:rsidR="009F1220" w:rsidRPr="00F91EC4">
        <w:rPr>
          <w:noProof/>
        </w:rPr>
        <w:t>programme</w:t>
      </w:r>
      <w:r w:rsidR="00A258DE" w:rsidRPr="00F91EC4">
        <w:rPr>
          <w:noProof/>
        </w:rPr>
        <w:t>s</w:t>
      </w:r>
      <w:r w:rsidR="009F1220" w:rsidRPr="00F91EC4">
        <w:rPr>
          <w:noProof/>
        </w:rPr>
        <w:t xml:space="preserve">. </w:t>
      </w:r>
    </w:p>
    <w:p w14:paraId="1E83210E" w14:textId="77777777" w:rsidR="009F1220" w:rsidRPr="00F91EC4" w:rsidRDefault="009F1220" w:rsidP="009F1220">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Management mode, funding implementation mechanisms, payment modalities and control strategy are fall under </w:t>
      </w:r>
      <w:r w:rsidR="001A3E51" w:rsidRPr="00F91EC4">
        <w:rPr>
          <w:noProof/>
        </w:rPr>
        <w:t>these</w:t>
      </w:r>
      <w:r w:rsidRPr="00F91EC4">
        <w:rPr>
          <w:noProof/>
        </w:rPr>
        <w:t xml:space="preserve"> programme</w:t>
      </w:r>
      <w:r w:rsidR="001A3E51" w:rsidRPr="00F91EC4">
        <w:rPr>
          <w:noProof/>
        </w:rPr>
        <w:t>s</w:t>
      </w:r>
      <w:r w:rsidRPr="00F91EC4">
        <w:rPr>
          <w:noProof/>
        </w:rPr>
        <w:t>.</w:t>
      </w:r>
    </w:p>
    <w:p w14:paraId="2797DF98" w14:textId="000D0C3E" w:rsidR="009439C4" w:rsidRPr="00F91EC4" w:rsidRDefault="00DD0F7B" w:rsidP="00DD0F7B">
      <w:pPr>
        <w:pStyle w:val="ManualHeading3"/>
        <w:rPr>
          <w:bCs/>
          <w:noProof/>
          <w:szCs w:val="24"/>
        </w:rPr>
      </w:pPr>
      <w:r w:rsidRPr="00DD0F7B">
        <w:rPr>
          <w:noProof/>
        </w:rPr>
        <w:t>2.2.2.</w:t>
      </w:r>
      <w:r w:rsidRPr="00DD0F7B">
        <w:rPr>
          <w:noProof/>
        </w:rPr>
        <w:tab/>
      </w:r>
      <w:r w:rsidR="009439C4" w:rsidRPr="00F91EC4">
        <w:rPr>
          <w:noProof/>
        </w:rPr>
        <w:t>Information concerning the risks identified and the internal control system(s) set up to mitigate them</w:t>
      </w:r>
      <w:bookmarkEnd w:id="51"/>
      <w:bookmarkEnd w:id="52"/>
    </w:p>
    <w:p w14:paraId="086984F7" w14:textId="77777777" w:rsidR="009F1220" w:rsidRPr="00F91EC4" w:rsidRDefault="009F1220" w:rsidP="009F1220">
      <w:pPr>
        <w:pStyle w:val="Text1"/>
        <w:pBdr>
          <w:top w:val="single" w:sz="4" w:space="0" w:color="auto"/>
          <w:left w:val="single" w:sz="4" w:space="4" w:color="auto"/>
          <w:bottom w:val="single" w:sz="4" w:space="1" w:color="auto"/>
          <w:right w:val="single" w:sz="4" w:space="4" w:color="auto"/>
        </w:pBdr>
        <w:rPr>
          <w:noProof/>
        </w:rPr>
      </w:pPr>
      <w:bookmarkStart w:id="53" w:name="_Toc514938048"/>
      <w:bookmarkStart w:id="54" w:name="_Toc520485047"/>
      <w:r w:rsidRPr="00F91EC4">
        <w:rPr>
          <w:noProof/>
        </w:rPr>
        <w:t xml:space="preserve">This proposal is implemented under the Single Market </w:t>
      </w:r>
      <w:r w:rsidR="00A258DE" w:rsidRPr="00F91EC4">
        <w:rPr>
          <w:noProof/>
        </w:rPr>
        <w:t xml:space="preserve">and Climate Action </w:t>
      </w:r>
      <w:r w:rsidRPr="00F91EC4">
        <w:rPr>
          <w:noProof/>
        </w:rPr>
        <w:t>programme</w:t>
      </w:r>
      <w:r w:rsidR="00A258DE" w:rsidRPr="00F91EC4">
        <w:rPr>
          <w:noProof/>
        </w:rPr>
        <w:t>s</w:t>
      </w:r>
      <w:r w:rsidRPr="00F91EC4">
        <w:rPr>
          <w:noProof/>
        </w:rPr>
        <w:t>. Controls/risks and mitigation measures are covered under the existing internal control framework.</w:t>
      </w:r>
    </w:p>
    <w:p w14:paraId="531EBACA" w14:textId="43110C2E" w:rsidR="009439C4" w:rsidRPr="00F91EC4" w:rsidRDefault="00DD0F7B" w:rsidP="00DD0F7B">
      <w:pPr>
        <w:pStyle w:val="ManualHeading3"/>
        <w:rPr>
          <w:noProof/>
        </w:rPr>
      </w:pPr>
      <w:r w:rsidRPr="00DD0F7B">
        <w:rPr>
          <w:noProof/>
        </w:rPr>
        <w:t>2.2.3.</w:t>
      </w:r>
      <w:r w:rsidRPr="00DD0F7B">
        <w:rPr>
          <w:noProof/>
        </w:rPr>
        <w:tab/>
      </w:r>
      <w:r w:rsidR="009439C4" w:rsidRPr="00F91EC4">
        <w:rPr>
          <w:noProof/>
        </w:rPr>
        <w:t>Estimation and justification of the cost-effectiveness of the controls (ratio of "control costs ÷ value of the related funds managed"), and assessment of the expected levels of risk of error (at payment &amp; at closure)</w:t>
      </w:r>
      <w:bookmarkEnd w:id="53"/>
      <w:bookmarkEnd w:id="54"/>
      <w:r w:rsidR="009439C4" w:rsidRPr="00F91EC4">
        <w:rPr>
          <w:noProof/>
        </w:rPr>
        <w:t xml:space="preserve"> </w:t>
      </w:r>
    </w:p>
    <w:p w14:paraId="5CF0C706" w14:textId="77777777" w:rsidR="009439C4" w:rsidRPr="00F91EC4" w:rsidRDefault="00201C19" w:rsidP="00201C19">
      <w:pPr>
        <w:pStyle w:val="Text1"/>
        <w:pBdr>
          <w:top w:val="single" w:sz="4" w:space="1" w:color="auto"/>
          <w:left w:val="single" w:sz="4" w:space="4" w:color="auto"/>
          <w:bottom w:val="single" w:sz="4" w:space="1" w:color="auto"/>
          <w:right w:val="single" w:sz="4" w:space="4" w:color="auto"/>
        </w:pBdr>
        <w:rPr>
          <w:noProof/>
        </w:rPr>
      </w:pPr>
      <w:r w:rsidRPr="00F91EC4">
        <w:rPr>
          <w:noProof/>
        </w:rPr>
        <w:t>This initiative does not bring about new significant controls/risks that would not be covered be an existing internal control framework. No specific measures beyond the application of the Financial Regulation have been envisaged.</w:t>
      </w:r>
    </w:p>
    <w:p w14:paraId="1C1023BF" w14:textId="1B811BB7" w:rsidR="009439C4" w:rsidRPr="00F91EC4" w:rsidRDefault="00DD0F7B" w:rsidP="00DD0F7B">
      <w:pPr>
        <w:pStyle w:val="ManualHeading2"/>
        <w:rPr>
          <w:bCs/>
          <w:noProof/>
          <w:szCs w:val="24"/>
        </w:rPr>
      </w:pPr>
      <w:bookmarkStart w:id="55" w:name="_Toc514938049"/>
      <w:bookmarkStart w:id="56" w:name="_Toc520485048"/>
      <w:r w:rsidRPr="00DD0F7B">
        <w:rPr>
          <w:noProof/>
        </w:rPr>
        <w:t>2.3.</w:t>
      </w:r>
      <w:r w:rsidRPr="00DD0F7B">
        <w:rPr>
          <w:noProof/>
        </w:rPr>
        <w:tab/>
      </w:r>
      <w:r w:rsidR="009439C4" w:rsidRPr="00F91EC4">
        <w:rPr>
          <w:noProof/>
        </w:rPr>
        <w:t>Measures to prevent fraud and irregularities</w:t>
      </w:r>
      <w:bookmarkEnd w:id="55"/>
      <w:bookmarkEnd w:id="56"/>
      <w:r w:rsidR="009439C4" w:rsidRPr="00F91EC4">
        <w:rPr>
          <w:noProof/>
        </w:rPr>
        <w:t xml:space="preserve"> </w:t>
      </w:r>
    </w:p>
    <w:p w14:paraId="323825D0" w14:textId="77777777" w:rsidR="009439C4" w:rsidRPr="00F91EC4" w:rsidRDefault="009439C4" w:rsidP="00C24E66">
      <w:pPr>
        <w:pStyle w:val="Text1"/>
        <w:rPr>
          <w:i/>
          <w:noProof/>
          <w:sz w:val="20"/>
        </w:rPr>
      </w:pPr>
      <w:r w:rsidRPr="00F91EC4">
        <w:rPr>
          <w:i/>
          <w:noProof/>
          <w:sz w:val="20"/>
        </w:rPr>
        <w:t>Specify existing or envisaged prevention and protection measures, e.g. from the Anti-Fraud Strategy.</w:t>
      </w:r>
    </w:p>
    <w:p w14:paraId="2F0F64B8" w14:textId="77777777" w:rsidR="009439C4" w:rsidRPr="00F91EC4" w:rsidRDefault="00201C19" w:rsidP="00201C19">
      <w:pPr>
        <w:pStyle w:val="Text1"/>
        <w:pBdr>
          <w:top w:val="single" w:sz="4" w:space="1" w:color="auto"/>
          <w:left w:val="single" w:sz="4" w:space="4" w:color="auto"/>
          <w:bottom w:val="single" w:sz="4" w:space="1" w:color="auto"/>
          <w:right w:val="single" w:sz="4" w:space="4" w:color="auto"/>
        </w:pBdr>
        <w:rPr>
          <w:noProof/>
        </w:rPr>
      </w:pPr>
      <w:r w:rsidRPr="00F91EC4">
        <w:rPr>
          <w:noProof/>
        </w:rPr>
        <w:t xml:space="preserve">In addition to the application of the Financial Regulation to prevent fraud and irregularities, the strengthened emission standard requirements provided for in this proposal will be accompanied by enhanced monitoring </w:t>
      </w:r>
      <w:r w:rsidR="00582945" w:rsidRPr="00F91EC4">
        <w:rPr>
          <w:noProof/>
        </w:rPr>
        <w:t>or emissions throughout the lifetime of a vehicle.</w:t>
      </w:r>
    </w:p>
    <w:p w14:paraId="7C97BD9B" w14:textId="77777777" w:rsidR="009439C4" w:rsidRPr="00F91EC4" w:rsidRDefault="009439C4" w:rsidP="00C24E66">
      <w:pPr>
        <w:rPr>
          <w:noProof/>
        </w:rPr>
        <w:sectPr w:rsidR="009439C4" w:rsidRPr="00F91EC4" w:rsidSect="00E50DA1">
          <w:pgSz w:w="11907" w:h="16840" w:code="9"/>
          <w:pgMar w:top="1134" w:right="1418" w:bottom="1134" w:left="1418" w:header="709" w:footer="709" w:gutter="0"/>
          <w:cols w:space="708"/>
          <w:docGrid w:linePitch="360"/>
        </w:sectPr>
      </w:pPr>
    </w:p>
    <w:p w14:paraId="6451F08C" w14:textId="08E02F3E" w:rsidR="009439C4" w:rsidRPr="00F91EC4" w:rsidRDefault="00DD0F7B" w:rsidP="00DD0F7B">
      <w:pPr>
        <w:pStyle w:val="ManualHeading1"/>
        <w:rPr>
          <w:bCs/>
          <w:noProof/>
          <w:szCs w:val="24"/>
        </w:rPr>
      </w:pPr>
      <w:bookmarkStart w:id="57" w:name="_Toc514938050"/>
      <w:bookmarkStart w:id="58" w:name="_Toc520485049"/>
      <w:r w:rsidRPr="00DD0F7B">
        <w:rPr>
          <w:noProof/>
        </w:rPr>
        <w:t>3.</w:t>
      </w:r>
      <w:r w:rsidRPr="00DD0F7B">
        <w:rPr>
          <w:noProof/>
        </w:rPr>
        <w:tab/>
      </w:r>
      <w:r w:rsidR="009439C4" w:rsidRPr="00F91EC4">
        <w:rPr>
          <w:noProof/>
        </w:rPr>
        <w:t>ESTIMATED FINANCIAL IMPACT OF THE PROPOSAL/INITIATIVE</w:t>
      </w:r>
      <w:bookmarkEnd w:id="57"/>
      <w:bookmarkEnd w:id="58"/>
      <w:r w:rsidR="009439C4" w:rsidRPr="00F91EC4">
        <w:rPr>
          <w:noProof/>
        </w:rPr>
        <w:t xml:space="preserve"> </w:t>
      </w:r>
    </w:p>
    <w:p w14:paraId="368613D6" w14:textId="3853FB65" w:rsidR="009439C4" w:rsidRPr="00F91EC4" w:rsidRDefault="00DD0F7B" w:rsidP="00DD0F7B">
      <w:pPr>
        <w:pStyle w:val="ManualHeading2"/>
        <w:rPr>
          <w:noProof/>
        </w:rPr>
      </w:pPr>
      <w:bookmarkStart w:id="59" w:name="_Toc514938051"/>
      <w:bookmarkStart w:id="60" w:name="_Toc520485050"/>
      <w:r w:rsidRPr="00DD0F7B">
        <w:rPr>
          <w:noProof/>
        </w:rPr>
        <w:t>3.1.</w:t>
      </w:r>
      <w:r w:rsidRPr="00DD0F7B">
        <w:rPr>
          <w:noProof/>
        </w:rPr>
        <w:tab/>
      </w:r>
      <w:r w:rsidR="009439C4" w:rsidRPr="00F91EC4">
        <w:rPr>
          <w:noProof/>
        </w:rPr>
        <w:t>Heading(s) of the multiannual financial framework and expenditure budget line(s) affected</w:t>
      </w:r>
      <w:bookmarkEnd w:id="59"/>
      <w:bookmarkEnd w:id="60"/>
      <w:r w:rsidR="009439C4" w:rsidRPr="00F91EC4">
        <w:rPr>
          <w:noProof/>
        </w:rPr>
        <w:t xml:space="preserve"> </w:t>
      </w:r>
    </w:p>
    <w:p w14:paraId="50B3BE93" w14:textId="77777777" w:rsidR="009439C4" w:rsidRPr="00F91EC4" w:rsidRDefault="009439C4" w:rsidP="00C24E66">
      <w:pPr>
        <w:pStyle w:val="ListBullet1"/>
        <w:rPr>
          <w:noProof/>
        </w:rPr>
      </w:pPr>
      <w:r w:rsidRPr="00F91EC4">
        <w:rPr>
          <w:noProof/>
        </w:rPr>
        <w:t xml:space="preserve">Existing budget lines </w:t>
      </w:r>
    </w:p>
    <w:p w14:paraId="1AA2F255" w14:textId="77777777" w:rsidR="009439C4" w:rsidRPr="00F91EC4" w:rsidRDefault="009439C4" w:rsidP="00C24E66">
      <w:pPr>
        <w:pStyle w:val="Text1"/>
        <w:rPr>
          <w:i/>
          <w:noProof/>
        </w:rPr>
      </w:pPr>
      <w:r w:rsidRPr="00F91EC4">
        <w:rPr>
          <w:i/>
          <w:noProof/>
          <w:u w:val="single"/>
        </w:rPr>
        <w:t>In order</w:t>
      </w:r>
      <w:r w:rsidRPr="00F91EC4">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439C4" w:rsidRPr="00F91EC4" w14:paraId="5B86C070" w14:textId="77777777" w:rsidTr="00C24E66">
        <w:tc>
          <w:tcPr>
            <w:tcW w:w="1080" w:type="dxa"/>
            <w:vMerge w:val="restart"/>
            <w:vAlign w:val="center"/>
          </w:tcPr>
          <w:p w14:paraId="7837740D" w14:textId="77777777" w:rsidR="009439C4" w:rsidRPr="00F91EC4" w:rsidRDefault="009439C4" w:rsidP="00C24E66">
            <w:pPr>
              <w:spacing w:before="60" w:after="60"/>
              <w:jc w:val="center"/>
              <w:rPr>
                <w:noProof/>
              </w:rPr>
            </w:pPr>
            <w:r w:rsidRPr="00F91EC4">
              <w:rPr>
                <w:noProof/>
                <w:sz w:val="18"/>
              </w:rPr>
              <w:t>Heading of multiannual financial framework</w:t>
            </w:r>
          </w:p>
        </w:tc>
        <w:tc>
          <w:tcPr>
            <w:tcW w:w="3960" w:type="dxa"/>
            <w:vAlign w:val="center"/>
          </w:tcPr>
          <w:p w14:paraId="026C1A60" w14:textId="77777777" w:rsidR="009439C4" w:rsidRPr="00F91EC4" w:rsidRDefault="009439C4" w:rsidP="00C24E66">
            <w:pPr>
              <w:spacing w:before="60" w:after="60"/>
              <w:jc w:val="center"/>
              <w:rPr>
                <w:noProof/>
              </w:rPr>
            </w:pPr>
            <w:r w:rsidRPr="00F91EC4">
              <w:rPr>
                <w:noProof/>
                <w:sz w:val="20"/>
              </w:rPr>
              <w:t>Budget line</w:t>
            </w:r>
          </w:p>
        </w:tc>
        <w:tc>
          <w:tcPr>
            <w:tcW w:w="1080" w:type="dxa"/>
            <w:vAlign w:val="center"/>
          </w:tcPr>
          <w:p w14:paraId="083C8DE6" w14:textId="77777777" w:rsidR="009439C4" w:rsidRPr="00F91EC4" w:rsidRDefault="009439C4" w:rsidP="00C24E66">
            <w:pPr>
              <w:spacing w:before="60" w:after="60"/>
              <w:jc w:val="center"/>
              <w:rPr>
                <w:noProof/>
              </w:rPr>
            </w:pPr>
            <w:r w:rsidRPr="00F91EC4">
              <w:rPr>
                <w:noProof/>
                <w:sz w:val="18"/>
              </w:rPr>
              <w:t xml:space="preserve">Type of </w:t>
            </w:r>
            <w:r w:rsidRPr="00F91EC4">
              <w:rPr>
                <w:noProof/>
                <w:sz w:val="22"/>
              </w:rPr>
              <w:br/>
            </w:r>
            <w:r w:rsidRPr="00F91EC4">
              <w:rPr>
                <w:noProof/>
                <w:sz w:val="18"/>
              </w:rPr>
              <w:t>expenditure</w:t>
            </w:r>
          </w:p>
        </w:tc>
        <w:tc>
          <w:tcPr>
            <w:tcW w:w="4440" w:type="dxa"/>
            <w:gridSpan w:val="4"/>
            <w:vAlign w:val="center"/>
          </w:tcPr>
          <w:p w14:paraId="161C6CCD" w14:textId="77777777" w:rsidR="009439C4" w:rsidRPr="00F91EC4" w:rsidRDefault="009439C4" w:rsidP="00C24E66">
            <w:pPr>
              <w:spacing w:before="60" w:after="60"/>
              <w:jc w:val="center"/>
              <w:rPr>
                <w:noProof/>
              </w:rPr>
            </w:pPr>
            <w:r w:rsidRPr="00F91EC4">
              <w:rPr>
                <w:noProof/>
                <w:sz w:val="20"/>
              </w:rPr>
              <w:t xml:space="preserve">Contribution </w:t>
            </w:r>
          </w:p>
        </w:tc>
      </w:tr>
      <w:tr w:rsidR="009439C4" w:rsidRPr="00F91EC4" w14:paraId="76A3E333" w14:textId="77777777" w:rsidTr="00C24E66">
        <w:tc>
          <w:tcPr>
            <w:tcW w:w="1080" w:type="dxa"/>
            <w:vMerge/>
            <w:vAlign w:val="center"/>
          </w:tcPr>
          <w:p w14:paraId="5B9180AF" w14:textId="77777777" w:rsidR="009439C4" w:rsidRPr="00F91EC4" w:rsidRDefault="009439C4" w:rsidP="00C24E66">
            <w:pPr>
              <w:jc w:val="center"/>
              <w:rPr>
                <w:noProof/>
              </w:rPr>
            </w:pPr>
          </w:p>
        </w:tc>
        <w:tc>
          <w:tcPr>
            <w:tcW w:w="3960" w:type="dxa"/>
            <w:vAlign w:val="center"/>
          </w:tcPr>
          <w:p w14:paraId="7802A29F" w14:textId="77777777" w:rsidR="000043FD" w:rsidRPr="00F91EC4" w:rsidRDefault="009439C4" w:rsidP="000B7695">
            <w:pPr>
              <w:rPr>
                <w:noProof/>
              </w:rPr>
            </w:pPr>
            <w:r w:rsidRPr="00F91EC4">
              <w:rPr>
                <w:noProof/>
                <w:sz w:val="20"/>
              </w:rPr>
              <w:t xml:space="preserve">Number </w:t>
            </w:r>
            <w:r w:rsidR="000B7695" w:rsidRPr="00F91EC4">
              <w:rPr>
                <w:noProof/>
                <w:sz w:val="20"/>
              </w:rPr>
              <w:br/>
              <w:t>Heading 1</w:t>
            </w:r>
          </w:p>
        </w:tc>
        <w:tc>
          <w:tcPr>
            <w:tcW w:w="1080" w:type="dxa"/>
            <w:vAlign w:val="center"/>
          </w:tcPr>
          <w:p w14:paraId="1825A0EE" w14:textId="77777777" w:rsidR="009439C4" w:rsidRPr="00F91EC4" w:rsidRDefault="009439C4" w:rsidP="00C24E66">
            <w:pPr>
              <w:jc w:val="center"/>
              <w:rPr>
                <w:noProof/>
              </w:rPr>
            </w:pPr>
            <w:r w:rsidRPr="00F91EC4">
              <w:rPr>
                <w:noProof/>
                <w:sz w:val="18"/>
              </w:rPr>
              <w:t>Diff./Non-diff.</w:t>
            </w:r>
            <w:r w:rsidRPr="00F91EC4">
              <w:rPr>
                <w:rStyle w:val="FootnoteReference"/>
                <w:noProof/>
                <w:sz w:val="18"/>
              </w:rPr>
              <w:footnoteReference w:id="60"/>
            </w:r>
          </w:p>
        </w:tc>
        <w:tc>
          <w:tcPr>
            <w:tcW w:w="956" w:type="dxa"/>
            <w:vAlign w:val="center"/>
          </w:tcPr>
          <w:p w14:paraId="769B84FA" w14:textId="77777777" w:rsidR="009439C4" w:rsidRPr="00F91EC4" w:rsidRDefault="009439C4" w:rsidP="00C24E66">
            <w:pPr>
              <w:jc w:val="center"/>
              <w:rPr>
                <w:noProof/>
              </w:rPr>
            </w:pPr>
            <w:r w:rsidRPr="00F91EC4">
              <w:rPr>
                <w:noProof/>
                <w:sz w:val="18"/>
              </w:rPr>
              <w:t>from EFTA countries</w:t>
            </w:r>
            <w:r w:rsidRPr="00F91EC4">
              <w:rPr>
                <w:rStyle w:val="FootnoteReference"/>
                <w:noProof/>
                <w:sz w:val="18"/>
              </w:rPr>
              <w:footnoteReference w:id="61"/>
            </w:r>
          </w:p>
          <w:p w14:paraId="474965B4" w14:textId="77777777" w:rsidR="009439C4" w:rsidRPr="00F91EC4" w:rsidRDefault="009439C4" w:rsidP="00C24E66">
            <w:pPr>
              <w:spacing w:before="0" w:after="0"/>
              <w:jc w:val="center"/>
              <w:rPr>
                <w:b/>
                <w:noProof/>
                <w:sz w:val="18"/>
              </w:rPr>
            </w:pPr>
          </w:p>
        </w:tc>
        <w:tc>
          <w:tcPr>
            <w:tcW w:w="1080" w:type="dxa"/>
            <w:vAlign w:val="center"/>
          </w:tcPr>
          <w:p w14:paraId="65CF8008" w14:textId="77777777" w:rsidR="009439C4" w:rsidRPr="00F91EC4" w:rsidRDefault="009439C4" w:rsidP="00C24E66">
            <w:pPr>
              <w:jc w:val="center"/>
              <w:rPr>
                <w:noProof/>
              </w:rPr>
            </w:pPr>
            <w:r w:rsidRPr="00F91EC4">
              <w:rPr>
                <w:noProof/>
                <w:sz w:val="18"/>
              </w:rPr>
              <w:t>from candidate countries</w:t>
            </w:r>
            <w:r w:rsidRPr="00F91EC4">
              <w:rPr>
                <w:rStyle w:val="FootnoteReference"/>
                <w:noProof/>
                <w:sz w:val="18"/>
              </w:rPr>
              <w:footnoteReference w:id="62"/>
            </w:r>
          </w:p>
          <w:p w14:paraId="646FA459" w14:textId="77777777" w:rsidR="009439C4" w:rsidRPr="00F91EC4" w:rsidRDefault="009439C4" w:rsidP="00C24E66">
            <w:pPr>
              <w:spacing w:before="0" w:after="0"/>
              <w:jc w:val="center"/>
              <w:rPr>
                <w:noProof/>
                <w:sz w:val="18"/>
              </w:rPr>
            </w:pPr>
          </w:p>
        </w:tc>
        <w:tc>
          <w:tcPr>
            <w:tcW w:w="956" w:type="dxa"/>
            <w:vAlign w:val="center"/>
          </w:tcPr>
          <w:p w14:paraId="2A00C453" w14:textId="77777777" w:rsidR="009439C4" w:rsidRPr="00F91EC4" w:rsidRDefault="009439C4" w:rsidP="00C24E66">
            <w:pPr>
              <w:jc w:val="center"/>
              <w:rPr>
                <w:noProof/>
                <w:sz w:val="18"/>
              </w:rPr>
            </w:pPr>
            <w:r w:rsidRPr="00F91EC4">
              <w:rPr>
                <w:noProof/>
                <w:sz w:val="18"/>
              </w:rPr>
              <w:t>from third countries</w:t>
            </w:r>
          </w:p>
        </w:tc>
        <w:tc>
          <w:tcPr>
            <w:tcW w:w="1448" w:type="dxa"/>
            <w:vAlign w:val="center"/>
          </w:tcPr>
          <w:p w14:paraId="7A785D65" w14:textId="77777777" w:rsidR="009439C4" w:rsidRPr="00F91EC4" w:rsidRDefault="009439C4" w:rsidP="00C24E66">
            <w:pPr>
              <w:jc w:val="center"/>
              <w:rPr>
                <w:noProof/>
              </w:rPr>
            </w:pPr>
            <w:r w:rsidRPr="00F91EC4">
              <w:rPr>
                <w:noProof/>
                <w:sz w:val="16"/>
              </w:rPr>
              <w:t xml:space="preserve">within the meaning of Article 21(2)(b) of the Financial Regulation </w:t>
            </w:r>
          </w:p>
        </w:tc>
      </w:tr>
      <w:tr w:rsidR="009439C4" w:rsidRPr="00F91EC4" w14:paraId="1285AD5A" w14:textId="77777777" w:rsidTr="00C24E66">
        <w:tc>
          <w:tcPr>
            <w:tcW w:w="1080" w:type="dxa"/>
            <w:vAlign w:val="center"/>
          </w:tcPr>
          <w:p w14:paraId="085010F2" w14:textId="77777777" w:rsidR="009439C4" w:rsidRPr="00F91EC4" w:rsidRDefault="00614CE2" w:rsidP="00C24E66">
            <w:pPr>
              <w:jc w:val="center"/>
              <w:rPr>
                <w:b/>
                <w:noProof/>
                <w:color w:val="0000FF"/>
              </w:rPr>
            </w:pPr>
            <w:r w:rsidRPr="00F91EC4">
              <w:rPr>
                <w:b/>
                <w:noProof/>
                <w:color w:val="0000FF"/>
              </w:rPr>
              <w:t>1</w:t>
            </w:r>
          </w:p>
        </w:tc>
        <w:tc>
          <w:tcPr>
            <w:tcW w:w="3960" w:type="dxa"/>
            <w:vAlign w:val="center"/>
          </w:tcPr>
          <w:p w14:paraId="02A6B94F" w14:textId="77777777" w:rsidR="009439C4" w:rsidRPr="00F91EC4" w:rsidRDefault="009439C4" w:rsidP="00C24E66">
            <w:pPr>
              <w:spacing w:before="60"/>
              <w:rPr>
                <w:noProof/>
              </w:rPr>
            </w:pPr>
            <w:r w:rsidRPr="00F91EC4">
              <w:rPr>
                <w:noProof/>
                <w:sz w:val="22"/>
              </w:rPr>
              <w:t>[</w:t>
            </w:r>
            <w:r w:rsidR="009F1220" w:rsidRPr="00F91EC4">
              <w:rPr>
                <w:noProof/>
                <w:sz w:val="22"/>
              </w:rPr>
              <w:t>03</w:t>
            </w:r>
            <w:r w:rsidR="000B7695" w:rsidRPr="00F91EC4">
              <w:rPr>
                <w:noProof/>
                <w:sz w:val="22"/>
              </w:rPr>
              <w:t xml:space="preserve"> </w:t>
            </w:r>
            <w:r w:rsidR="009F1220" w:rsidRPr="00F91EC4">
              <w:rPr>
                <w:noProof/>
                <w:sz w:val="22"/>
              </w:rPr>
              <w:t>02</w:t>
            </w:r>
            <w:r w:rsidR="000B7695" w:rsidRPr="00F91EC4">
              <w:rPr>
                <w:noProof/>
                <w:sz w:val="22"/>
              </w:rPr>
              <w:t xml:space="preserve"> </w:t>
            </w:r>
            <w:r w:rsidR="009F1220" w:rsidRPr="00F91EC4">
              <w:rPr>
                <w:noProof/>
                <w:sz w:val="22"/>
              </w:rPr>
              <w:t>01</w:t>
            </w:r>
            <w:r w:rsidR="000B7695" w:rsidRPr="00F91EC4">
              <w:rPr>
                <w:noProof/>
                <w:sz w:val="22"/>
              </w:rPr>
              <w:t xml:space="preserve"> </w:t>
            </w:r>
            <w:r w:rsidR="009F1220" w:rsidRPr="00F91EC4">
              <w:rPr>
                <w:noProof/>
                <w:sz w:val="22"/>
              </w:rPr>
              <w:t>01</w:t>
            </w:r>
            <w:r w:rsidRPr="00F91EC4">
              <w:rPr>
                <w:noProof/>
                <w:sz w:val="22"/>
              </w:rPr>
              <w:t>]</w:t>
            </w:r>
          </w:p>
          <w:p w14:paraId="511FB150" w14:textId="77777777" w:rsidR="009439C4" w:rsidRPr="00F91EC4" w:rsidRDefault="000B7695" w:rsidP="00C24E66">
            <w:pPr>
              <w:spacing w:after="60"/>
              <w:rPr>
                <w:noProof/>
              </w:rPr>
            </w:pPr>
            <w:r w:rsidRPr="00F91EC4">
              <w:rPr>
                <w:noProof/>
              </w:rPr>
              <w:t>Single Market Programme (SMP) – Operation and development</w:t>
            </w:r>
            <w:r w:rsidR="0037065D" w:rsidRPr="00F91EC4">
              <w:rPr>
                <w:noProof/>
              </w:rPr>
              <w:t xml:space="preserve"> </w:t>
            </w:r>
            <w:r w:rsidRPr="00F91EC4">
              <w:rPr>
                <w:noProof/>
              </w:rPr>
              <w:t>of the internal market of goods and services</w:t>
            </w:r>
          </w:p>
        </w:tc>
        <w:tc>
          <w:tcPr>
            <w:tcW w:w="1080" w:type="dxa"/>
            <w:vAlign w:val="center"/>
          </w:tcPr>
          <w:p w14:paraId="47E22AF2" w14:textId="77777777" w:rsidR="009439C4" w:rsidRPr="00F91EC4" w:rsidRDefault="009439C4" w:rsidP="009F1220">
            <w:pPr>
              <w:jc w:val="center"/>
              <w:rPr>
                <w:noProof/>
                <w:color w:val="0000FF"/>
              </w:rPr>
            </w:pPr>
            <w:r w:rsidRPr="00F91EC4">
              <w:rPr>
                <w:noProof/>
                <w:sz w:val="22"/>
              </w:rPr>
              <w:t>Diff.</w:t>
            </w:r>
          </w:p>
        </w:tc>
        <w:tc>
          <w:tcPr>
            <w:tcW w:w="956" w:type="dxa"/>
            <w:vAlign w:val="center"/>
          </w:tcPr>
          <w:p w14:paraId="4A967170" w14:textId="77777777" w:rsidR="009439C4" w:rsidRPr="00F91EC4" w:rsidRDefault="009F1220" w:rsidP="009F1220">
            <w:pPr>
              <w:jc w:val="center"/>
              <w:rPr>
                <w:noProof/>
                <w:sz w:val="20"/>
                <w:szCs w:val="20"/>
              </w:rPr>
            </w:pPr>
            <w:r w:rsidRPr="00F91EC4">
              <w:rPr>
                <w:noProof/>
                <w:sz w:val="20"/>
                <w:szCs w:val="20"/>
              </w:rPr>
              <w:t>YES</w:t>
            </w:r>
          </w:p>
        </w:tc>
        <w:tc>
          <w:tcPr>
            <w:tcW w:w="1080" w:type="dxa"/>
            <w:vAlign w:val="center"/>
          </w:tcPr>
          <w:p w14:paraId="088AA245" w14:textId="77777777" w:rsidR="009439C4" w:rsidRPr="00F91EC4" w:rsidRDefault="009439C4" w:rsidP="00C24E66">
            <w:pPr>
              <w:jc w:val="center"/>
              <w:rPr>
                <w:noProof/>
                <w:sz w:val="20"/>
                <w:szCs w:val="20"/>
              </w:rPr>
            </w:pPr>
            <w:r w:rsidRPr="00F91EC4">
              <w:rPr>
                <w:noProof/>
                <w:sz w:val="20"/>
                <w:szCs w:val="20"/>
              </w:rPr>
              <w:t>NO</w:t>
            </w:r>
          </w:p>
        </w:tc>
        <w:tc>
          <w:tcPr>
            <w:tcW w:w="956" w:type="dxa"/>
            <w:vAlign w:val="center"/>
          </w:tcPr>
          <w:p w14:paraId="497FD69B" w14:textId="77777777" w:rsidR="009439C4" w:rsidRPr="00F91EC4" w:rsidRDefault="009439C4" w:rsidP="00C24E66">
            <w:pPr>
              <w:jc w:val="center"/>
              <w:rPr>
                <w:noProof/>
                <w:sz w:val="20"/>
                <w:szCs w:val="20"/>
              </w:rPr>
            </w:pPr>
            <w:r w:rsidRPr="00F91EC4">
              <w:rPr>
                <w:noProof/>
                <w:sz w:val="20"/>
                <w:szCs w:val="20"/>
              </w:rPr>
              <w:t>NO</w:t>
            </w:r>
          </w:p>
        </w:tc>
        <w:tc>
          <w:tcPr>
            <w:tcW w:w="1448" w:type="dxa"/>
            <w:vAlign w:val="center"/>
          </w:tcPr>
          <w:p w14:paraId="4858D239" w14:textId="77777777" w:rsidR="009439C4" w:rsidRPr="00F91EC4" w:rsidRDefault="009439C4" w:rsidP="00C24E66">
            <w:pPr>
              <w:jc w:val="center"/>
              <w:rPr>
                <w:noProof/>
                <w:sz w:val="20"/>
                <w:szCs w:val="20"/>
              </w:rPr>
            </w:pPr>
            <w:r w:rsidRPr="00F91EC4">
              <w:rPr>
                <w:noProof/>
                <w:sz w:val="20"/>
                <w:szCs w:val="20"/>
              </w:rPr>
              <w:t>NO</w:t>
            </w:r>
          </w:p>
        </w:tc>
      </w:tr>
      <w:tr w:rsidR="00E065F2" w:rsidRPr="00F91EC4" w14:paraId="704EE76D" w14:textId="77777777" w:rsidTr="00C24E66">
        <w:tc>
          <w:tcPr>
            <w:tcW w:w="1080" w:type="dxa"/>
            <w:vAlign w:val="center"/>
          </w:tcPr>
          <w:p w14:paraId="2D58049A" w14:textId="77777777" w:rsidR="00E065F2" w:rsidRPr="00F91EC4" w:rsidRDefault="00E065F2" w:rsidP="00E065F2">
            <w:pPr>
              <w:jc w:val="center"/>
              <w:rPr>
                <w:b/>
                <w:noProof/>
                <w:color w:val="0000FF"/>
              </w:rPr>
            </w:pPr>
            <w:r w:rsidRPr="00F91EC4">
              <w:rPr>
                <w:b/>
                <w:noProof/>
                <w:color w:val="0000FF"/>
              </w:rPr>
              <w:t>3</w:t>
            </w:r>
          </w:p>
        </w:tc>
        <w:tc>
          <w:tcPr>
            <w:tcW w:w="3960" w:type="dxa"/>
            <w:vAlign w:val="center"/>
          </w:tcPr>
          <w:p w14:paraId="24B5568C" w14:textId="77777777" w:rsidR="00E065F2" w:rsidRPr="00F91EC4" w:rsidRDefault="00E065F2" w:rsidP="00E065F2">
            <w:pPr>
              <w:spacing w:before="60"/>
              <w:rPr>
                <w:noProof/>
                <w:sz w:val="22"/>
              </w:rPr>
            </w:pPr>
            <w:r w:rsidRPr="00F91EC4">
              <w:rPr>
                <w:noProof/>
                <w:sz w:val="22"/>
              </w:rPr>
              <w:t>[09</w:t>
            </w:r>
            <w:r w:rsidR="001A3E51" w:rsidRPr="00F91EC4">
              <w:rPr>
                <w:noProof/>
                <w:sz w:val="22"/>
              </w:rPr>
              <w:t xml:space="preserve"> 02 03</w:t>
            </w:r>
            <w:r w:rsidRPr="00F91EC4">
              <w:rPr>
                <w:noProof/>
                <w:sz w:val="22"/>
              </w:rPr>
              <w:t>]</w:t>
            </w:r>
          </w:p>
          <w:p w14:paraId="5BC60117" w14:textId="77777777" w:rsidR="00E065F2" w:rsidRPr="00F91EC4" w:rsidRDefault="00E065F2" w:rsidP="00E065F2">
            <w:pPr>
              <w:spacing w:before="60"/>
              <w:rPr>
                <w:noProof/>
                <w:sz w:val="22"/>
              </w:rPr>
            </w:pPr>
            <w:r w:rsidRPr="00F91EC4">
              <w:rPr>
                <w:noProof/>
                <w:sz w:val="22"/>
              </w:rPr>
              <w:t>Natural Resource and the Environment</w:t>
            </w:r>
          </w:p>
        </w:tc>
        <w:tc>
          <w:tcPr>
            <w:tcW w:w="1080" w:type="dxa"/>
            <w:vAlign w:val="center"/>
          </w:tcPr>
          <w:p w14:paraId="5624AD17" w14:textId="77777777" w:rsidR="00E065F2" w:rsidRPr="00F91EC4" w:rsidRDefault="00E065F2" w:rsidP="00E065F2">
            <w:pPr>
              <w:jc w:val="center"/>
              <w:rPr>
                <w:noProof/>
                <w:sz w:val="22"/>
              </w:rPr>
            </w:pPr>
            <w:r w:rsidRPr="00F91EC4">
              <w:rPr>
                <w:noProof/>
                <w:sz w:val="22"/>
              </w:rPr>
              <w:t>Diff.</w:t>
            </w:r>
          </w:p>
        </w:tc>
        <w:tc>
          <w:tcPr>
            <w:tcW w:w="956" w:type="dxa"/>
            <w:vAlign w:val="center"/>
          </w:tcPr>
          <w:p w14:paraId="58112E1C" w14:textId="77777777" w:rsidR="00E065F2" w:rsidRPr="00F91EC4" w:rsidRDefault="00E065F2" w:rsidP="00E065F2">
            <w:pPr>
              <w:jc w:val="center"/>
              <w:rPr>
                <w:noProof/>
                <w:sz w:val="20"/>
                <w:szCs w:val="20"/>
              </w:rPr>
            </w:pPr>
            <w:r w:rsidRPr="00F91EC4">
              <w:rPr>
                <w:noProof/>
                <w:sz w:val="20"/>
                <w:szCs w:val="20"/>
              </w:rPr>
              <w:t>YES</w:t>
            </w:r>
          </w:p>
        </w:tc>
        <w:tc>
          <w:tcPr>
            <w:tcW w:w="1080" w:type="dxa"/>
            <w:vAlign w:val="center"/>
          </w:tcPr>
          <w:p w14:paraId="2622D173" w14:textId="77777777" w:rsidR="00E065F2" w:rsidRPr="00F91EC4" w:rsidRDefault="00E065F2" w:rsidP="00E065F2">
            <w:pPr>
              <w:jc w:val="center"/>
              <w:rPr>
                <w:noProof/>
                <w:sz w:val="20"/>
                <w:szCs w:val="20"/>
              </w:rPr>
            </w:pPr>
            <w:r w:rsidRPr="00F91EC4">
              <w:rPr>
                <w:noProof/>
                <w:sz w:val="20"/>
                <w:szCs w:val="20"/>
              </w:rPr>
              <w:t>NO</w:t>
            </w:r>
          </w:p>
        </w:tc>
        <w:tc>
          <w:tcPr>
            <w:tcW w:w="956" w:type="dxa"/>
            <w:vAlign w:val="center"/>
          </w:tcPr>
          <w:p w14:paraId="20C9E41F" w14:textId="77777777" w:rsidR="00E065F2" w:rsidRPr="00F91EC4" w:rsidRDefault="00E065F2" w:rsidP="00E065F2">
            <w:pPr>
              <w:jc w:val="center"/>
              <w:rPr>
                <w:noProof/>
                <w:sz w:val="20"/>
                <w:szCs w:val="20"/>
              </w:rPr>
            </w:pPr>
            <w:r w:rsidRPr="00F91EC4">
              <w:rPr>
                <w:noProof/>
                <w:sz w:val="20"/>
                <w:szCs w:val="20"/>
              </w:rPr>
              <w:t>NO</w:t>
            </w:r>
          </w:p>
        </w:tc>
        <w:tc>
          <w:tcPr>
            <w:tcW w:w="1448" w:type="dxa"/>
            <w:vAlign w:val="center"/>
          </w:tcPr>
          <w:p w14:paraId="7C414DB4" w14:textId="77777777" w:rsidR="00E065F2" w:rsidRPr="00F91EC4" w:rsidRDefault="00E065F2" w:rsidP="00E065F2">
            <w:pPr>
              <w:jc w:val="center"/>
              <w:rPr>
                <w:noProof/>
                <w:sz w:val="20"/>
                <w:szCs w:val="20"/>
              </w:rPr>
            </w:pPr>
            <w:r w:rsidRPr="00F91EC4">
              <w:rPr>
                <w:noProof/>
                <w:sz w:val="20"/>
                <w:szCs w:val="20"/>
              </w:rPr>
              <w:t>NO</w:t>
            </w:r>
          </w:p>
        </w:tc>
      </w:tr>
    </w:tbl>
    <w:p w14:paraId="1E113650" w14:textId="77777777" w:rsidR="009439C4" w:rsidRPr="00F91EC4" w:rsidRDefault="009439C4" w:rsidP="00C24E66">
      <w:pPr>
        <w:pStyle w:val="Text1"/>
        <w:rPr>
          <w:i/>
          <w:noProof/>
          <w:sz w:val="20"/>
        </w:rPr>
      </w:pPr>
    </w:p>
    <w:p w14:paraId="155D5C54" w14:textId="77777777" w:rsidR="009439C4" w:rsidRPr="00F91EC4" w:rsidRDefault="009439C4" w:rsidP="00C24E66">
      <w:pPr>
        <w:rPr>
          <w:noProof/>
        </w:rPr>
        <w:sectPr w:rsidR="009439C4" w:rsidRPr="00F91EC4" w:rsidSect="00E50DA1">
          <w:pgSz w:w="11907" w:h="16840" w:code="1"/>
          <w:pgMar w:top="1134" w:right="1418" w:bottom="1134" w:left="1418" w:header="709" w:footer="709" w:gutter="0"/>
          <w:cols w:space="708"/>
          <w:docGrid w:linePitch="360"/>
        </w:sectPr>
      </w:pPr>
    </w:p>
    <w:p w14:paraId="39ABBE02" w14:textId="24AA6791" w:rsidR="009439C4" w:rsidRPr="00F91EC4" w:rsidRDefault="00DD0F7B" w:rsidP="00DD0F7B">
      <w:pPr>
        <w:pStyle w:val="ManualHeading2"/>
        <w:rPr>
          <w:bCs/>
          <w:noProof/>
          <w:szCs w:val="24"/>
        </w:rPr>
      </w:pPr>
      <w:bookmarkStart w:id="61" w:name="_Toc514938052"/>
      <w:bookmarkStart w:id="62" w:name="_Toc520485051"/>
      <w:r w:rsidRPr="00DD0F7B">
        <w:rPr>
          <w:noProof/>
        </w:rPr>
        <w:t>3.2.</w:t>
      </w:r>
      <w:r w:rsidRPr="00DD0F7B">
        <w:rPr>
          <w:noProof/>
        </w:rPr>
        <w:tab/>
      </w:r>
      <w:r w:rsidR="009439C4" w:rsidRPr="00F91EC4">
        <w:rPr>
          <w:noProof/>
        </w:rPr>
        <w:t>Estimated financial impact of the proposal on appropriations</w:t>
      </w:r>
      <w:bookmarkEnd w:id="61"/>
      <w:bookmarkEnd w:id="62"/>
      <w:r w:rsidR="009439C4" w:rsidRPr="00F91EC4">
        <w:rPr>
          <w:noProof/>
        </w:rPr>
        <w:t xml:space="preserve"> </w:t>
      </w:r>
    </w:p>
    <w:p w14:paraId="0CA5351C" w14:textId="0075076C" w:rsidR="009439C4" w:rsidRPr="00F91EC4" w:rsidRDefault="00DD0F7B" w:rsidP="00DD0F7B">
      <w:pPr>
        <w:pStyle w:val="ManualHeading3"/>
        <w:rPr>
          <w:noProof/>
        </w:rPr>
      </w:pPr>
      <w:bookmarkStart w:id="63" w:name="_Toc514938053"/>
      <w:bookmarkStart w:id="64" w:name="_Toc520485052"/>
      <w:r w:rsidRPr="00DD0F7B">
        <w:rPr>
          <w:noProof/>
        </w:rPr>
        <w:t>3.2.1.</w:t>
      </w:r>
      <w:r w:rsidRPr="00DD0F7B">
        <w:rPr>
          <w:noProof/>
        </w:rPr>
        <w:tab/>
      </w:r>
      <w:r w:rsidR="009439C4" w:rsidRPr="00F91EC4">
        <w:rPr>
          <w:noProof/>
        </w:rPr>
        <w:t>Summary of estimated impact on operational appropriations</w:t>
      </w:r>
      <w:bookmarkEnd w:id="63"/>
      <w:bookmarkEnd w:id="64"/>
      <w:r w:rsidR="009439C4" w:rsidRPr="00F91EC4">
        <w:rPr>
          <w:noProof/>
        </w:rPr>
        <w:t xml:space="preserve"> </w:t>
      </w:r>
    </w:p>
    <w:p w14:paraId="38F3399B" w14:textId="77777777" w:rsidR="009439C4" w:rsidRPr="00F91EC4" w:rsidRDefault="009439C4" w:rsidP="00C24E66">
      <w:pPr>
        <w:pStyle w:val="ListDash1"/>
        <w:rPr>
          <w:noProof/>
        </w:rPr>
      </w:pPr>
      <w:r w:rsidRPr="00F91EC4">
        <w:rPr>
          <w:rFonts w:ascii="Wingdings" w:eastAsia="Wingdings" w:hAnsi="Wingdings" w:cs="Wingdings"/>
          <w:noProof/>
        </w:rPr>
        <w:t></w:t>
      </w:r>
      <w:r w:rsidRPr="00F91EC4">
        <w:rPr>
          <w:noProof/>
        </w:rPr>
        <w:tab/>
        <w:t xml:space="preserve">The proposal/initiative does not require the use of operational appropriations </w:t>
      </w:r>
    </w:p>
    <w:p w14:paraId="65F5BF41" w14:textId="77777777" w:rsidR="009439C4" w:rsidRPr="00F91EC4" w:rsidRDefault="009F1220" w:rsidP="00C24E66">
      <w:pPr>
        <w:pStyle w:val="ListDash1"/>
        <w:rPr>
          <w:noProof/>
        </w:rPr>
      </w:pPr>
      <w:r w:rsidRPr="00F91EC4">
        <w:rPr>
          <w:rFonts w:ascii="Wingdings" w:eastAsia="Wingdings" w:hAnsi="Wingdings" w:cs="Wingdings"/>
          <w:noProof/>
        </w:rPr>
        <w:t></w:t>
      </w:r>
      <w:r w:rsidR="009439C4" w:rsidRPr="00F91EC4">
        <w:rPr>
          <w:noProof/>
        </w:rPr>
        <w:tab/>
        <w:t>The proposal/initiative requires the use of operational appropriations, as explained below:</w:t>
      </w:r>
    </w:p>
    <w:p w14:paraId="1FB7198D" w14:textId="77777777" w:rsidR="009439C4" w:rsidRPr="00F91EC4" w:rsidRDefault="009439C4" w:rsidP="00C24E66">
      <w:pPr>
        <w:jc w:val="right"/>
        <w:rPr>
          <w:noProof/>
          <w:sz w:val="18"/>
          <w:szCs w:val="18"/>
        </w:rPr>
      </w:pPr>
      <w:r w:rsidRPr="00F91EC4">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439C4" w:rsidRPr="00F91EC4" w14:paraId="4AB89589" w14:textId="77777777" w:rsidTr="001A3E51">
        <w:trPr>
          <w:jc w:val="center"/>
        </w:trPr>
        <w:tc>
          <w:tcPr>
            <w:tcW w:w="4744" w:type="dxa"/>
            <w:shd w:val="thinDiagStripe" w:color="C0C0C0" w:fill="auto"/>
            <w:vAlign w:val="center"/>
          </w:tcPr>
          <w:p w14:paraId="4E5BF024" w14:textId="77777777" w:rsidR="009439C4" w:rsidRPr="00F91EC4" w:rsidRDefault="009439C4" w:rsidP="001A3E51">
            <w:pPr>
              <w:rPr>
                <w:noProof/>
              </w:rPr>
            </w:pPr>
            <w:r w:rsidRPr="00F91EC4">
              <w:rPr>
                <w:noProof/>
              </w:rPr>
              <w:t xml:space="preserve">Heading of multiannual financial </w:t>
            </w:r>
            <w:r w:rsidRPr="00F91EC4">
              <w:rPr>
                <w:noProof/>
              </w:rPr>
              <w:br/>
              <w:t xml:space="preserve">framework </w:t>
            </w:r>
          </w:p>
        </w:tc>
        <w:tc>
          <w:tcPr>
            <w:tcW w:w="1080" w:type="dxa"/>
            <w:vAlign w:val="center"/>
          </w:tcPr>
          <w:p w14:paraId="38187E94" w14:textId="77777777" w:rsidR="009439C4" w:rsidRPr="00F91EC4" w:rsidRDefault="009439C4" w:rsidP="001A3E51">
            <w:pPr>
              <w:rPr>
                <w:noProof/>
              </w:rPr>
            </w:pPr>
            <w:r w:rsidRPr="00F91EC4">
              <w:rPr>
                <w:noProof/>
              </w:rPr>
              <w:t>Number</w:t>
            </w:r>
          </w:p>
        </w:tc>
        <w:tc>
          <w:tcPr>
            <w:tcW w:w="7817" w:type="dxa"/>
            <w:vAlign w:val="center"/>
          </w:tcPr>
          <w:p w14:paraId="1EBCC404" w14:textId="77777777" w:rsidR="009439C4" w:rsidRPr="00F91EC4" w:rsidRDefault="00574085" w:rsidP="001A3E51">
            <w:pPr>
              <w:rPr>
                <w:noProof/>
              </w:rPr>
            </w:pPr>
            <w:r w:rsidRPr="00F91EC4">
              <w:rPr>
                <w:noProof/>
              </w:rPr>
              <w:t>1</w:t>
            </w:r>
            <w:r w:rsidR="00857C3B" w:rsidRPr="00F91EC4">
              <w:rPr>
                <w:noProof/>
              </w:rPr>
              <w:t xml:space="preserve">. </w:t>
            </w:r>
          </w:p>
        </w:tc>
      </w:tr>
    </w:tbl>
    <w:p w14:paraId="264D7892" w14:textId="77777777" w:rsidR="009439C4" w:rsidRPr="00F91EC4" w:rsidRDefault="009439C4" w:rsidP="001A3E51">
      <w:pPr>
        <w:ind w:left="-426"/>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gridCol w:w="1777"/>
      </w:tblGrid>
      <w:tr w:rsidR="00574085" w:rsidRPr="00F91EC4" w14:paraId="31275A00" w14:textId="77777777" w:rsidTr="00614CE2">
        <w:tc>
          <w:tcPr>
            <w:tcW w:w="3960" w:type="dxa"/>
            <w:vAlign w:val="center"/>
          </w:tcPr>
          <w:p w14:paraId="05173DAD" w14:textId="77777777" w:rsidR="00574085" w:rsidRPr="00F91EC4" w:rsidRDefault="00574085" w:rsidP="000043FD">
            <w:pPr>
              <w:jc w:val="center"/>
              <w:rPr>
                <w:noProof/>
              </w:rPr>
            </w:pPr>
            <w:r w:rsidRPr="00F91EC4">
              <w:rPr>
                <w:noProof/>
                <w:sz w:val="22"/>
              </w:rPr>
              <w:t>DG: GROW</w:t>
            </w:r>
          </w:p>
        </w:tc>
        <w:tc>
          <w:tcPr>
            <w:tcW w:w="1560" w:type="dxa"/>
            <w:gridSpan w:val="2"/>
          </w:tcPr>
          <w:p w14:paraId="67A5D802" w14:textId="77777777" w:rsidR="00574085" w:rsidRPr="00F91EC4" w:rsidRDefault="00574085" w:rsidP="00C24E66">
            <w:pPr>
              <w:rPr>
                <w:noProof/>
                <w:sz w:val="20"/>
              </w:rPr>
            </w:pPr>
          </w:p>
        </w:tc>
        <w:tc>
          <w:tcPr>
            <w:tcW w:w="534" w:type="dxa"/>
          </w:tcPr>
          <w:p w14:paraId="605CAD7A" w14:textId="77777777" w:rsidR="00574085" w:rsidRPr="00F91EC4" w:rsidRDefault="00574085" w:rsidP="00C24E66">
            <w:pPr>
              <w:jc w:val="center"/>
              <w:rPr>
                <w:noProof/>
                <w:sz w:val="20"/>
              </w:rPr>
            </w:pPr>
          </w:p>
        </w:tc>
        <w:tc>
          <w:tcPr>
            <w:tcW w:w="868" w:type="dxa"/>
            <w:vAlign w:val="center"/>
          </w:tcPr>
          <w:p w14:paraId="5E77F89C" w14:textId="77777777" w:rsidR="00574085" w:rsidRPr="00F91EC4" w:rsidRDefault="00574085" w:rsidP="00CE40D6">
            <w:pPr>
              <w:jc w:val="center"/>
              <w:rPr>
                <w:noProof/>
                <w:sz w:val="20"/>
              </w:rPr>
            </w:pPr>
            <w:r w:rsidRPr="00F91EC4">
              <w:rPr>
                <w:noProof/>
                <w:sz w:val="20"/>
              </w:rPr>
              <w:t>Year</w:t>
            </w:r>
            <w:r w:rsidRPr="00F91EC4">
              <w:rPr>
                <w:noProof/>
                <w:sz w:val="22"/>
              </w:rPr>
              <w:br/>
            </w:r>
            <w:r w:rsidRPr="00F91EC4">
              <w:rPr>
                <w:b/>
                <w:noProof/>
                <w:sz w:val="20"/>
              </w:rPr>
              <w:t>2022</w:t>
            </w:r>
          </w:p>
        </w:tc>
        <w:tc>
          <w:tcPr>
            <w:tcW w:w="868" w:type="dxa"/>
            <w:vAlign w:val="center"/>
          </w:tcPr>
          <w:p w14:paraId="3B8969F7" w14:textId="77777777" w:rsidR="00574085" w:rsidRPr="00F91EC4" w:rsidRDefault="00574085" w:rsidP="000043FD">
            <w:pPr>
              <w:jc w:val="center"/>
              <w:rPr>
                <w:noProof/>
                <w:sz w:val="20"/>
              </w:rPr>
            </w:pPr>
            <w:r w:rsidRPr="00F91EC4">
              <w:rPr>
                <w:noProof/>
                <w:sz w:val="20"/>
              </w:rPr>
              <w:t>Year</w:t>
            </w:r>
            <w:r w:rsidRPr="00F91EC4">
              <w:rPr>
                <w:noProof/>
                <w:sz w:val="22"/>
              </w:rPr>
              <w:br/>
            </w:r>
            <w:r w:rsidRPr="00F91EC4">
              <w:rPr>
                <w:b/>
                <w:noProof/>
                <w:sz w:val="20"/>
              </w:rPr>
              <w:t>2023</w:t>
            </w:r>
          </w:p>
        </w:tc>
        <w:tc>
          <w:tcPr>
            <w:tcW w:w="868" w:type="dxa"/>
            <w:vAlign w:val="center"/>
          </w:tcPr>
          <w:p w14:paraId="21B2F4C9" w14:textId="77777777" w:rsidR="00574085" w:rsidRPr="00F91EC4" w:rsidRDefault="00574085" w:rsidP="000043FD">
            <w:pPr>
              <w:jc w:val="center"/>
              <w:rPr>
                <w:noProof/>
                <w:sz w:val="20"/>
              </w:rPr>
            </w:pPr>
            <w:r w:rsidRPr="00F91EC4">
              <w:rPr>
                <w:noProof/>
                <w:sz w:val="20"/>
              </w:rPr>
              <w:t>Year</w:t>
            </w:r>
            <w:r w:rsidRPr="00F91EC4">
              <w:rPr>
                <w:noProof/>
                <w:sz w:val="22"/>
              </w:rPr>
              <w:br/>
            </w:r>
            <w:r w:rsidRPr="00F91EC4">
              <w:rPr>
                <w:b/>
                <w:noProof/>
                <w:sz w:val="20"/>
              </w:rPr>
              <w:t>2024</w:t>
            </w:r>
          </w:p>
        </w:tc>
        <w:tc>
          <w:tcPr>
            <w:tcW w:w="868" w:type="dxa"/>
            <w:vAlign w:val="center"/>
          </w:tcPr>
          <w:p w14:paraId="69658481" w14:textId="77777777" w:rsidR="00574085" w:rsidRPr="00F91EC4" w:rsidRDefault="00574085" w:rsidP="000043FD">
            <w:pPr>
              <w:jc w:val="center"/>
              <w:rPr>
                <w:noProof/>
                <w:sz w:val="20"/>
              </w:rPr>
            </w:pPr>
            <w:r w:rsidRPr="00F91EC4">
              <w:rPr>
                <w:noProof/>
                <w:sz w:val="20"/>
              </w:rPr>
              <w:t>Year</w:t>
            </w:r>
            <w:r w:rsidRPr="00F91EC4">
              <w:rPr>
                <w:noProof/>
                <w:sz w:val="22"/>
              </w:rPr>
              <w:br/>
            </w:r>
            <w:r w:rsidRPr="00F91EC4">
              <w:rPr>
                <w:b/>
                <w:noProof/>
                <w:sz w:val="20"/>
              </w:rPr>
              <w:t>2025</w:t>
            </w:r>
          </w:p>
        </w:tc>
        <w:tc>
          <w:tcPr>
            <w:tcW w:w="1777" w:type="dxa"/>
            <w:vAlign w:val="center"/>
          </w:tcPr>
          <w:p w14:paraId="76993F9F" w14:textId="77777777" w:rsidR="00574085" w:rsidRPr="00F91EC4" w:rsidRDefault="00574085" w:rsidP="00C24E66">
            <w:pPr>
              <w:jc w:val="center"/>
              <w:rPr>
                <w:b/>
                <w:noProof/>
                <w:sz w:val="20"/>
              </w:rPr>
            </w:pPr>
            <w:r w:rsidRPr="00F91EC4">
              <w:rPr>
                <w:b/>
                <w:noProof/>
                <w:sz w:val="20"/>
              </w:rPr>
              <w:t>TOTAL</w:t>
            </w:r>
            <w:r w:rsidR="00614CE2" w:rsidRPr="00F91EC4">
              <w:rPr>
                <w:b/>
                <w:noProof/>
                <w:sz w:val="20"/>
              </w:rPr>
              <w:t xml:space="preserve"> of years 2022-2025</w:t>
            </w:r>
          </w:p>
        </w:tc>
        <w:tc>
          <w:tcPr>
            <w:tcW w:w="1777" w:type="dxa"/>
          </w:tcPr>
          <w:p w14:paraId="702AB324" w14:textId="77777777" w:rsidR="00574085" w:rsidRPr="00F91EC4" w:rsidRDefault="00BD45EE" w:rsidP="00C24E66">
            <w:pPr>
              <w:jc w:val="center"/>
              <w:rPr>
                <w:b/>
                <w:noProof/>
                <w:sz w:val="20"/>
              </w:rPr>
            </w:pPr>
            <w:r w:rsidRPr="00F91EC4">
              <w:rPr>
                <w:noProof/>
                <w:sz w:val="18"/>
              </w:rPr>
              <w:t>Following Years</w:t>
            </w:r>
          </w:p>
        </w:tc>
      </w:tr>
      <w:tr w:rsidR="00574085" w:rsidRPr="00F91EC4" w14:paraId="72D48D3A" w14:textId="77777777" w:rsidTr="00614CE2">
        <w:trPr>
          <w:trHeight w:val="213"/>
        </w:trPr>
        <w:tc>
          <w:tcPr>
            <w:tcW w:w="6054" w:type="dxa"/>
            <w:gridSpan w:val="4"/>
            <w:vAlign w:val="center"/>
          </w:tcPr>
          <w:p w14:paraId="4DB47775" w14:textId="77777777" w:rsidR="00574085" w:rsidRPr="00F91EC4" w:rsidRDefault="00574085" w:rsidP="00C24E66">
            <w:pPr>
              <w:spacing w:before="20" w:after="20"/>
              <w:rPr>
                <w:noProof/>
                <w:sz w:val="21"/>
              </w:rPr>
            </w:pPr>
            <w:r w:rsidRPr="00F91EC4">
              <w:rPr>
                <w:rFonts w:ascii="Wingdings" w:eastAsia="Wingdings" w:hAnsi="Wingdings" w:cs="Wingdings"/>
                <w:noProof/>
                <w:sz w:val="21"/>
              </w:rPr>
              <w:t>□</w:t>
            </w:r>
            <w:r w:rsidRPr="00F91EC4">
              <w:rPr>
                <w:noProof/>
                <w:sz w:val="21"/>
              </w:rPr>
              <w:t xml:space="preserve"> Operational appropriations </w:t>
            </w:r>
          </w:p>
        </w:tc>
        <w:tc>
          <w:tcPr>
            <w:tcW w:w="868" w:type="dxa"/>
            <w:vAlign w:val="center"/>
          </w:tcPr>
          <w:p w14:paraId="1F57ABF5" w14:textId="77777777" w:rsidR="00574085" w:rsidRPr="00F91EC4" w:rsidRDefault="00574085" w:rsidP="00C24E66">
            <w:pPr>
              <w:rPr>
                <w:noProof/>
                <w:sz w:val="20"/>
              </w:rPr>
            </w:pPr>
          </w:p>
        </w:tc>
        <w:tc>
          <w:tcPr>
            <w:tcW w:w="868" w:type="dxa"/>
            <w:vAlign w:val="center"/>
          </w:tcPr>
          <w:p w14:paraId="016C916D" w14:textId="77777777" w:rsidR="00574085" w:rsidRPr="00F91EC4" w:rsidRDefault="00574085" w:rsidP="00C24E66">
            <w:pPr>
              <w:rPr>
                <w:noProof/>
                <w:sz w:val="20"/>
              </w:rPr>
            </w:pPr>
          </w:p>
        </w:tc>
        <w:tc>
          <w:tcPr>
            <w:tcW w:w="868" w:type="dxa"/>
            <w:vAlign w:val="center"/>
          </w:tcPr>
          <w:p w14:paraId="3D13B7A6" w14:textId="77777777" w:rsidR="00574085" w:rsidRPr="00F91EC4" w:rsidRDefault="00574085" w:rsidP="00C24E66">
            <w:pPr>
              <w:rPr>
                <w:noProof/>
                <w:sz w:val="20"/>
              </w:rPr>
            </w:pPr>
          </w:p>
        </w:tc>
        <w:tc>
          <w:tcPr>
            <w:tcW w:w="868" w:type="dxa"/>
            <w:vAlign w:val="center"/>
          </w:tcPr>
          <w:p w14:paraId="387925DC" w14:textId="77777777" w:rsidR="00574085" w:rsidRPr="00F91EC4" w:rsidRDefault="00574085" w:rsidP="00C24E66">
            <w:pPr>
              <w:rPr>
                <w:noProof/>
                <w:sz w:val="20"/>
              </w:rPr>
            </w:pPr>
          </w:p>
        </w:tc>
        <w:tc>
          <w:tcPr>
            <w:tcW w:w="1777" w:type="dxa"/>
            <w:vAlign w:val="center"/>
          </w:tcPr>
          <w:p w14:paraId="1AAE43F6" w14:textId="77777777" w:rsidR="00574085" w:rsidRPr="00F91EC4" w:rsidRDefault="00574085" w:rsidP="00C24E66">
            <w:pPr>
              <w:rPr>
                <w:b/>
                <w:noProof/>
                <w:sz w:val="20"/>
              </w:rPr>
            </w:pPr>
          </w:p>
        </w:tc>
        <w:tc>
          <w:tcPr>
            <w:tcW w:w="1777" w:type="dxa"/>
          </w:tcPr>
          <w:p w14:paraId="2A720272" w14:textId="77777777" w:rsidR="00574085" w:rsidRPr="00F91EC4" w:rsidRDefault="00574085" w:rsidP="00C24E66">
            <w:pPr>
              <w:rPr>
                <w:b/>
                <w:noProof/>
                <w:sz w:val="20"/>
              </w:rPr>
            </w:pPr>
          </w:p>
        </w:tc>
      </w:tr>
      <w:tr w:rsidR="00574085" w:rsidRPr="00F91EC4" w14:paraId="2FEF8E4F" w14:textId="77777777" w:rsidTr="00614CE2">
        <w:trPr>
          <w:trHeight w:val="277"/>
        </w:trPr>
        <w:tc>
          <w:tcPr>
            <w:tcW w:w="3960" w:type="dxa"/>
            <w:vMerge w:val="restart"/>
            <w:vAlign w:val="center"/>
          </w:tcPr>
          <w:p w14:paraId="5F3AE4A7" w14:textId="77777777" w:rsidR="00574085" w:rsidRPr="00F91EC4" w:rsidRDefault="00574085" w:rsidP="00C24E66">
            <w:pPr>
              <w:rPr>
                <w:noProof/>
              </w:rPr>
            </w:pPr>
            <w:r w:rsidRPr="00F91EC4">
              <w:rPr>
                <w:noProof/>
                <w:sz w:val="20"/>
              </w:rPr>
              <w:t>Budget line 03.020101</w:t>
            </w:r>
            <w:r w:rsidRPr="00F91EC4">
              <w:rPr>
                <w:rStyle w:val="FootnoteReference"/>
                <w:noProof/>
                <w:sz w:val="20"/>
              </w:rPr>
              <w:footnoteReference w:id="63"/>
            </w:r>
          </w:p>
        </w:tc>
        <w:tc>
          <w:tcPr>
            <w:tcW w:w="1440" w:type="dxa"/>
            <w:vAlign w:val="center"/>
          </w:tcPr>
          <w:p w14:paraId="7162BACC" w14:textId="77777777" w:rsidR="00574085" w:rsidRPr="00F91EC4" w:rsidRDefault="00574085" w:rsidP="00C24E66">
            <w:pPr>
              <w:spacing w:before="20" w:after="20"/>
              <w:rPr>
                <w:noProof/>
                <w:sz w:val="18"/>
              </w:rPr>
            </w:pPr>
            <w:r w:rsidRPr="00F91EC4">
              <w:rPr>
                <w:noProof/>
                <w:sz w:val="18"/>
              </w:rPr>
              <w:t>Commitments</w:t>
            </w:r>
          </w:p>
        </w:tc>
        <w:tc>
          <w:tcPr>
            <w:tcW w:w="654" w:type="dxa"/>
            <w:gridSpan w:val="2"/>
            <w:vAlign w:val="center"/>
          </w:tcPr>
          <w:p w14:paraId="73A52608" w14:textId="77777777" w:rsidR="00574085" w:rsidRPr="00F91EC4" w:rsidRDefault="00574085" w:rsidP="00C24E66">
            <w:pPr>
              <w:spacing w:before="20" w:after="20"/>
              <w:jc w:val="center"/>
              <w:rPr>
                <w:noProof/>
                <w:sz w:val="14"/>
              </w:rPr>
            </w:pPr>
            <w:r w:rsidRPr="00F91EC4">
              <w:rPr>
                <w:noProof/>
                <w:sz w:val="14"/>
              </w:rPr>
              <w:t>(1a)</w:t>
            </w:r>
          </w:p>
        </w:tc>
        <w:tc>
          <w:tcPr>
            <w:tcW w:w="868" w:type="dxa"/>
            <w:vAlign w:val="center"/>
          </w:tcPr>
          <w:p w14:paraId="21B0FFE9" w14:textId="77777777" w:rsidR="00574085" w:rsidRPr="00F91EC4" w:rsidRDefault="00574085" w:rsidP="00703500">
            <w:pPr>
              <w:spacing w:before="20" w:after="20"/>
              <w:jc w:val="right"/>
              <w:rPr>
                <w:noProof/>
                <w:sz w:val="20"/>
              </w:rPr>
            </w:pPr>
            <w:r w:rsidRPr="00F91EC4">
              <w:rPr>
                <w:noProof/>
                <w:sz w:val="20"/>
              </w:rPr>
              <w:t>1.</w:t>
            </w:r>
            <w:r w:rsidR="00703500" w:rsidRPr="00F91EC4">
              <w:rPr>
                <w:noProof/>
                <w:sz w:val="20"/>
              </w:rPr>
              <w:t>230</w:t>
            </w:r>
          </w:p>
        </w:tc>
        <w:tc>
          <w:tcPr>
            <w:tcW w:w="868" w:type="dxa"/>
            <w:vAlign w:val="center"/>
          </w:tcPr>
          <w:p w14:paraId="1E5662FE" w14:textId="77777777" w:rsidR="00574085" w:rsidRPr="00F91EC4" w:rsidRDefault="00574085" w:rsidP="00703500">
            <w:pPr>
              <w:spacing w:before="20" w:after="20"/>
              <w:jc w:val="right"/>
              <w:rPr>
                <w:noProof/>
                <w:sz w:val="20"/>
              </w:rPr>
            </w:pPr>
            <w:r w:rsidRPr="00F91EC4">
              <w:rPr>
                <w:noProof/>
                <w:sz w:val="20"/>
              </w:rPr>
              <w:t>1.</w:t>
            </w:r>
            <w:r w:rsidR="00703500" w:rsidRPr="00F91EC4">
              <w:rPr>
                <w:noProof/>
                <w:sz w:val="20"/>
              </w:rPr>
              <w:t>030</w:t>
            </w:r>
          </w:p>
        </w:tc>
        <w:tc>
          <w:tcPr>
            <w:tcW w:w="868" w:type="dxa"/>
            <w:vAlign w:val="center"/>
          </w:tcPr>
          <w:p w14:paraId="7320597A" w14:textId="77777777" w:rsidR="00574085" w:rsidRPr="00F91EC4" w:rsidRDefault="00574085" w:rsidP="00C24E66">
            <w:pPr>
              <w:spacing w:before="20" w:after="20"/>
              <w:jc w:val="right"/>
              <w:rPr>
                <w:noProof/>
                <w:sz w:val="20"/>
              </w:rPr>
            </w:pPr>
          </w:p>
        </w:tc>
        <w:tc>
          <w:tcPr>
            <w:tcW w:w="868" w:type="dxa"/>
            <w:vAlign w:val="center"/>
          </w:tcPr>
          <w:p w14:paraId="3B1587CB" w14:textId="77777777" w:rsidR="00574085" w:rsidRPr="00F91EC4" w:rsidRDefault="00574085" w:rsidP="00C24E66">
            <w:pPr>
              <w:spacing w:before="20" w:after="20"/>
              <w:jc w:val="right"/>
              <w:rPr>
                <w:noProof/>
                <w:sz w:val="20"/>
              </w:rPr>
            </w:pPr>
          </w:p>
        </w:tc>
        <w:tc>
          <w:tcPr>
            <w:tcW w:w="1777" w:type="dxa"/>
            <w:vAlign w:val="center"/>
          </w:tcPr>
          <w:p w14:paraId="440754EE" w14:textId="77777777" w:rsidR="00574085" w:rsidRPr="00F91EC4" w:rsidRDefault="00574085" w:rsidP="00703500">
            <w:pPr>
              <w:spacing w:before="20" w:after="20"/>
              <w:jc w:val="right"/>
              <w:rPr>
                <w:b/>
                <w:noProof/>
                <w:sz w:val="20"/>
              </w:rPr>
            </w:pPr>
            <w:r w:rsidRPr="00F91EC4">
              <w:rPr>
                <w:b/>
                <w:noProof/>
                <w:sz w:val="20"/>
              </w:rPr>
              <w:t>2.</w:t>
            </w:r>
            <w:r w:rsidR="00703500" w:rsidRPr="00F91EC4">
              <w:rPr>
                <w:b/>
                <w:noProof/>
                <w:sz w:val="20"/>
              </w:rPr>
              <w:t>260</w:t>
            </w:r>
          </w:p>
        </w:tc>
        <w:tc>
          <w:tcPr>
            <w:tcW w:w="1777" w:type="dxa"/>
          </w:tcPr>
          <w:p w14:paraId="685214A9" w14:textId="77777777" w:rsidR="00574085" w:rsidRPr="00F91EC4" w:rsidRDefault="00C63EEA" w:rsidP="00220506">
            <w:pPr>
              <w:spacing w:before="20" w:after="20"/>
              <w:jc w:val="right"/>
              <w:rPr>
                <w:b/>
                <w:noProof/>
                <w:sz w:val="20"/>
              </w:rPr>
            </w:pPr>
            <w:r w:rsidRPr="00F91EC4">
              <w:rPr>
                <w:b/>
                <w:noProof/>
                <w:sz w:val="20"/>
              </w:rPr>
              <w:t>0.300</w:t>
            </w:r>
          </w:p>
        </w:tc>
      </w:tr>
      <w:tr w:rsidR="00574085" w:rsidRPr="00F91EC4" w14:paraId="5E9ED62B" w14:textId="77777777" w:rsidTr="00614CE2">
        <w:tc>
          <w:tcPr>
            <w:tcW w:w="3960" w:type="dxa"/>
            <w:vMerge/>
          </w:tcPr>
          <w:p w14:paraId="14332A4B" w14:textId="77777777" w:rsidR="00574085" w:rsidRPr="00F91EC4" w:rsidRDefault="00574085" w:rsidP="00C24E66">
            <w:pPr>
              <w:jc w:val="center"/>
              <w:rPr>
                <w:noProof/>
                <w:sz w:val="20"/>
              </w:rPr>
            </w:pPr>
          </w:p>
        </w:tc>
        <w:tc>
          <w:tcPr>
            <w:tcW w:w="1440" w:type="dxa"/>
            <w:vAlign w:val="center"/>
          </w:tcPr>
          <w:p w14:paraId="09EA3E90" w14:textId="77777777" w:rsidR="00574085" w:rsidRPr="00F91EC4" w:rsidRDefault="00574085" w:rsidP="00C24E66">
            <w:pPr>
              <w:spacing w:before="20" w:after="20"/>
              <w:rPr>
                <w:noProof/>
                <w:sz w:val="18"/>
              </w:rPr>
            </w:pPr>
            <w:r w:rsidRPr="00F91EC4">
              <w:rPr>
                <w:noProof/>
                <w:sz w:val="18"/>
              </w:rPr>
              <w:t>Payments</w:t>
            </w:r>
          </w:p>
        </w:tc>
        <w:tc>
          <w:tcPr>
            <w:tcW w:w="654" w:type="dxa"/>
            <w:gridSpan w:val="2"/>
            <w:vAlign w:val="center"/>
          </w:tcPr>
          <w:p w14:paraId="7A6EE071" w14:textId="77777777" w:rsidR="00574085" w:rsidRPr="00F91EC4" w:rsidRDefault="00574085" w:rsidP="00C24E66">
            <w:pPr>
              <w:spacing w:before="20" w:after="20"/>
              <w:jc w:val="center"/>
              <w:rPr>
                <w:noProof/>
                <w:sz w:val="14"/>
              </w:rPr>
            </w:pPr>
            <w:r w:rsidRPr="00F91EC4">
              <w:rPr>
                <w:noProof/>
                <w:sz w:val="14"/>
              </w:rPr>
              <w:t>(2a)</w:t>
            </w:r>
          </w:p>
        </w:tc>
        <w:tc>
          <w:tcPr>
            <w:tcW w:w="868" w:type="dxa"/>
            <w:vAlign w:val="center"/>
          </w:tcPr>
          <w:p w14:paraId="0AA54FDB" w14:textId="77777777" w:rsidR="00574085" w:rsidRPr="00F91EC4" w:rsidRDefault="00E75061" w:rsidP="00703500">
            <w:pPr>
              <w:spacing w:before="20" w:after="20"/>
              <w:jc w:val="right"/>
              <w:rPr>
                <w:noProof/>
                <w:sz w:val="20"/>
              </w:rPr>
            </w:pPr>
            <w:r w:rsidRPr="00F91EC4">
              <w:rPr>
                <w:noProof/>
                <w:sz w:val="20"/>
              </w:rPr>
              <w:t>0.</w:t>
            </w:r>
            <w:r w:rsidR="00703500" w:rsidRPr="00F91EC4">
              <w:rPr>
                <w:noProof/>
                <w:sz w:val="20"/>
              </w:rPr>
              <w:t>630</w:t>
            </w:r>
          </w:p>
        </w:tc>
        <w:tc>
          <w:tcPr>
            <w:tcW w:w="868" w:type="dxa"/>
            <w:vAlign w:val="center"/>
          </w:tcPr>
          <w:p w14:paraId="02F54154" w14:textId="77777777" w:rsidR="00574085" w:rsidRPr="00F91EC4" w:rsidRDefault="00574085" w:rsidP="00703500">
            <w:pPr>
              <w:spacing w:before="20" w:after="20"/>
              <w:jc w:val="right"/>
              <w:rPr>
                <w:noProof/>
                <w:sz w:val="20"/>
              </w:rPr>
            </w:pPr>
            <w:r w:rsidRPr="00F91EC4">
              <w:rPr>
                <w:noProof/>
                <w:sz w:val="20"/>
              </w:rPr>
              <w:t>1.</w:t>
            </w:r>
            <w:r w:rsidR="00703500" w:rsidRPr="00F91EC4">
              <w:rPr>
                <w:noProof/>
                <w:sz w:val="20"/>
              </w:rPr>
              <w:t>030</w:t>
            </w:r>
          </w:p>
        </w:tc>
        <w:tc>
          <w:tcPr>
            <w:tcW w:w="868" w:type="dxa"/>
            <w:vAlign w:val="center"/>
          </w:tcPr>
          <w:p w14:paraId="15D7F2E8" w14:textId="77777777" w:rsidR="00574085" w:rsidRPr="00F91EC4" w:rsidRDefault="00E75061" w:rsidP="00C24E66">
            <w:pPr>
              <w:spacing w:before="20" w:after="20"/>
              <w:jc w:val="right"/>
              <w:rPr>
                <w:noProof/>
                <w:sz w:val="20"/>
              </w:rPr>
            </w:pPr>
            <w:r w:rsidRPr="00F91EC4">
              <w:rPr>
                <w:noProof/>
                <w:sz w:val="20"/>
              </w:rPr>
              <w:t>0.</w:t>
            </w:r>
            <w:r w:rsidR="00574085" w:rsidRPr="00F91EC4">
              <w:rPr>
                <w:noProof/>
                <w:sz w:val="20"/>
              </w:rPr>
              <w:t>600</w:t>
            </w:r>
          </w:p>
        </w:tc>
        <w:tc>
          <w:tcPr>
            <w:tcW w:w="868" w:type="dxa"/>
            <w:vAlign w:val="center"/>
          </w:tcPr>
          <w:p w14:paraId="188E7B63" w14:textId="77777777" w:rsidR="00574085" w:rsidRPr="00F91EC4" w:rsidRDefault="00574085" w:rsidP="00C24E66">
            <w:pPr>
              <w:spacing w:before="20" w:after="20"/>
              <w:jc w:val="right"/>
              <w:rPr>
                <w:noProof/>
                <w:sz w:val="20"/>
              </w:rPr>
            </w:pPr>
          </w:p>
        </w:tc>
        <w:tc>
          <w:tcPr>
            <w:tcW w:w="1777" w:type="dxa"/>
            <w:vAlign w:val="center"/>
          </w:tcPr>
          <w:p w14:paraId="2D204BEC" w14:textId="77777777" w:rsidR="00574085" w:rsidRPr="00F91EC4" w:rsidRDefault="00574085" w:rsidP="00703500">
            <w:pPr>
              <w:spacing w:before="20" w:after="20"/>
              <w:jc w:val="right"/>
              <w:rPr>
                <w:b/>
                <w:noProof/>
                <w:sz w:val="20"/>
              </w:rPr>
            </w:pPr>
            <w:r w:rsidRPr="00F91EC4">
              <w:rPr>
                <w:b/>
                <w:noProof/>
                <w:sz w:val="20"/>
              </w:rPr>
              <w:t>2.</w:t>
            </w:r>
            <w:r w:rsidR="00703500" w:rsidRPr="00F91EC4">
              <w:rPr>
                <w:b/>
                <w:noProof/>
                <w:sz w:val="20"/>
              </w:rPr>
              <w:t>260</w:t>
            </w:r>
          </w:p>
        </w:tc>
        <w:tc>
          <w:tcPr>
            <w:tcW w:w="1777" w:type="dxa"/>
          </w:tcPr>
          <w:p w14:paraId="4B0D7719" w14:textId="77777777" w:rsidR="00574085" w:rsidRPr="00F91EC4" w:rsidRDefault="00574085" w:rsidP="00574085">
            <w:pPr>
              <w:spacing w:before="20" w:after="20"/>
              <w:jc w:val="right"/>
              <w:rPr>
                <w:b/>
                <w:noProof/>
                <w:sz w:val="20"/>
              </w:rPr>
            </w:pPr>
          </w:p>
        </w:tc>
      </w:tr>
      <w:tr w:rsidR="00574085" w:rsidRPr="00F91EC4" w14:paraId="0F15A8D2" w14:textId="77777777" w:rsidTr="00614CE2">
        <w:tc>
          <w:tcPr>
            <w:tcW w:w="3960" w:type="dxa"/>
            <w:vMerge w:val="restart"/>
            <w:vAlign w:val="center"/>
          </w:tcPr>
          <w:p w14:paraId="0E8B1288" w14:textId="77777777" w:rsidR="00574085" w:rsidRPr="00F91EC4" w:rsidRDefault="00574085" w:rsidP="00C24E66">
            <w:pPr>
              <w:rPr>
                <w:noProof/>
              </w:rPr>
            </w:pPr>
            <w:r w:rsidRPr="00F91EC4">
              <w:rPr>
                <w:noProof/>
                <w:sz w:val="20"/>
              </w:rPr>
              <w:t>Budget line</w:t>
            </w:r>
          </w:p>
        </w:tc>
        <w:tc>
          <w:tcPr>
            <w:tcW w:w="1440" w:type="dxa"/>
            <w:vAlign w:val="center"/>
          </w:tcPr>
          <w:p w14:paraId="085295E5" w14:textId="77777777" w:rsidR="00574085" w:rsidRPr="00F91EC4" w:rsidRDefault="00574085" w:rsidP="00C24E66">
            <w:pPr>
              <w:spacing w:before="20" w:after="20"/>
              <w:rPr>
                <w:noProof/>
                <w:sz w:val="18"/>
              </w:rPr>
            </w:pPr>
            <w:r w:rsidRPr="00F91EC4">
              <w:rPr>
                <w:noProof/>
                <w:sz w:val="18"/>
              </w:rPr>
              <w:t>Commitments</w:t>
            </w:r>
          </w:p>
        </w:tc>
        <w:tc>
          <w:tcPr>
            <w:tcW w:w="654" w:type="dxa"/>
            <w:gridSpan w:val="2"/>
            <w:vAlign w:val="center"/>
          </w:tcPr>
          <w:p w14:paraId="634D254A" w14:textId="77777777" w:rsidR="00574085" w:rsidRPr="00F91EC4" w:rsidRDefault="00574085" w:rsidP="00C24E66">
            <w:pPr>
              <w:spacing w:before="20" w:after="20"/>
              <w:jc w:val="center"/>
              <w:rPr>
                <w:noProof/>
                <w:sz w:val="14"/>
              </w:rPr>
            </w:pPr>
            <w:r w:rsidRPr="00F91EC4">
              <w:rPr>
                <w:noProof/>
                <w:sz w:val="14"/>
              </w:rPr>
              <w:t>(1b)</w:t>
            </w:r>
          </w:p>
        </w:tc>
        <w:tc>
          <w:tcPr>
            <w:tcW w:w="868" w:type="dxa"/>
            <w:vAlign w:val="center"/>
          </w:tcPr>
          <w:p w14:paraId="219C8371" w14:textId="77777777" w:rsidR="00574085" w:rsidRPr="00F91EC4" w:rsidRDefault="00574085" w:rsidP="00C24E66">
            <w:pPr>
              <w:spacing w:before="20" w:after="20"/>
              <w:jc w:val="right"/>
              <w:rPr>
                <w:noProof/>
                <w:sz w:val="20"/>
              </w:rPr>
            </w:pPr>
          </w:p>
        </w:tc>
        <w:tc>
          <w:tcPr>
            <w:tcW w:w="868" w:type="dxa"/>
            <w:vAlign w:val="center"/>
          </w:tcPr>
          <w:p w14:paraId="0C6B4DB0" w14:textId="77777777" w:rsidR="00574085" w:rsidRPr="00F91EC4" w:rsidRDefault="00574085" w:rsidP="00C24E66">
            <w:pPr>
              <w:spacing w:before="20" w:after="20"/>
              <w:jc w:val="right"/>
              <w:rPr>
                <w:noProof/>
                <w:sz w:val="20"/>
              </w:rPr>
            </w:pPr>
          </w:p>
        </w:tc>
        <w:tc>
          <w:tcPr>
            <w:tcW w:w="868" w:type="dxa"/>
            <w:vAlign w:val="center"/>
          </w:tcPr>
          <w:p w14:paraId="0B8FFEEE" w14:textId="77777777" w:rsidR="00574085" w:rsidRPr="00F91EC4" w:rsidRDefault="00574085" w:rsidP="00C24E66">
            <w:pPr>
              <w:spacing w:before="20" w:after="20"/>
              <w:jc w:val="right"/>
              <w:rPr>
                <w:noProof/>
                <w:sz w:val="20"/>
              </w:rPr>
            </w:pPr>
          </w:p>
        </w:tc>
        <w:tc>
          <w:tcPr>
            <w:tcW w:w="868" w:type="dxa"/>
            <w:vAlign w:val="center"/>
          </w:tcPr>
          <w:p w14:paraId="2E33A776" w14:textId="77777777" w:rsidR="00574085" w:rsidRPr="00F91EC4" w:rsidRDefault="00574085" w:rsidP="00C24E66">
            <w:pPr>
              <w:spacing w:before="20" w:after="20"/>
              <w:jc w:val="right"/>
              <w:rPr>
                <w:noProof/>
                <w:sz w:val="20"/>
              </w:rPr>
            </w:pPr>
          </w:p>
        </w:tc>
        <w:tc>
          <w:tcPr>
            <w:tcW w:w="1777" w:type="dxa"/>
            <w:vAlign w:val="center"/>
          </w:tcPr>
          <w:p w14:paraId="0EAC19C9" w14:textId="77777777" w:rsidR="00574085" w:rsidRPr="00F91EC4" w:rsidRDefault="00574085" w:rsidP="00C24E66">
            <w:pPr>
              <w:spacing w:before="20" w:after="20"/>
              <w:jc w:val="right"/>
              <w:rPr>
                <w:b/>
                <w:noProof/>
                <w:sz w:val="20"/>
              </w:rPr>
            </w:pPr>
          </w:p>
        </w:tc>
        <w:tc>
          <w:tcPr>
            <w:tcW w:w="1777" w:type="dxa"/>
          </w:tcPr>
          <w:p w14:paraId="7B65E52B" w14:textId="77777777" w:rsidR="00574085" w:rsidRPr="00F91EC4" w:rsidRDefault="00574085" w:rsidP="00C24E66">
            <w:pPr>
              <w:spacing w:before="20" w:after="20"/>
              <w:jc w:val="right"/>
              <w:rPr>
                <w:b/>
                <w:noProof/>
                <w:sz w:val="20"/>
              </w:rPr>
            </w:pPr>
          </w:p>
        </w:tc>
      </w:tr>
      <w:tr w:rsidR="00574085" w:rsidRPr="00F91EC4" w14:paraId="7C40F958" w14:textId="77777777" w:rsidTr="00614CE2">
        <w:tc>
          <w:tcPr>
            <w:tcW w:w="3960" w:type="dxa"/>
            <w:vMerge/>
          </w:tcPr>
          <w:p w14:paraId="4CFA400D" w14:textId="77777777" w:rsidR="00574085" w:rsidRPr="00F91EC4" w:rsidRDefault="00574085" w:rsidP="00C24E66">
            <w:pPr>
              <w:jc w:val="center"/>
              <w:rPr>
                <w:noProof/>
                <w:sz w:val="20"/>
              </w:rPr>
            </w:pPr>
          </w:p>
        </w:tc>
        <w:tc>
          <w:tcPr>
            <w:tcW w:w="1440" w:type="dxa"/>
            <w:vAlign w:val="center"/>
          </w:tcPr>
          <w:p w14:paraId="377822AB" w14:textId="77777777" w:rsidR="00574085" w:rsidRPr="00F91EC4" w:rsidRDefault="00574085" w:rsidP="00C24E66">
            <w:pPr>
              <w:spacing w:before="20" w:after="20"/>
              <w:rPr>
                <w:noProof/>
                <w:sz w:val="18"/>
              </w:rPr>
            </w:pPr>
            <w:r w:rsidRPr="00F91EC4">
              <w:rPr>
                <w:noProof/>
                <w:sz w:val="18"/>
              </w:rPr>
              <w:t>Payments</w:t>
            </w:r>
          </w:p>
        </w:tc>
        <w:tc>
          <w:tcPr>
            <w:tcW w:w="654" w:type="dxa"/>
            <w:gridSpan w:val="2"/>
            <w:vAlign w:val="center"/>
          </w:tcPr>
          <w:p w14:paraId="16D6BBD6" w14:textId="77777777" w:rsidR="00574085" w:rsidRPr="00F91EC4" w:rsidRDefault="00574085" w:rsidP="00C24E66">
            <w:pPr>
              <w:spacing w:before="20" w:after="20"/>
              <w:jc w:val="center"/>
              <w:rPr>
                <w:noProof/>
                <w:sz w:val="14"/>
              </w:rPr>
            </w:pPr>
            <w:r w:rsidRPr="00F91EC4">
              <w:rPr>
                <w:noProof/>
                <w:sz w:val="14"/>
              </w:rPr>
              <w:t>(2b)</w:t>
            </w:r>
          </w:p>
        </w:tc>
        <w:tc>
          <w:tcPr>
            <w:tcW w:w="868" w:type="dxa"/>
            <w:vAlign w:val="center"/>
          </w:tcPr>
          <w:p w14:paraId="46F0BFAF" w14:textId="77777777" w:rsidR="00574085" w:rsidRPr="00F91EC4" w:rsidRDefault="00574085" w:rsidP="00C24E66">
            <w:pPr>
              <w:spacing w:before="20" w:after="20"/>
              <w:jc w:val="right"/>
              <w:rPr>
                <w:noProof/>
                <w:sz w:val="20"/>
              </w:rPr>
            </w:pPr>
          </w:p>
        </w:tc>
        <w:tc>
          <w:tcPr>
            <w:tcW w:w="868" w:type="dxa"/>
            <w:vAlign w:val="center"/>
          </w:tcPr>
          <w:p w14:paraId="1CF6663B" w14:textId="77777777" w:rsidR="00574085" w:rsidRPr="00F91EC4" w:rsidRDefault="00574085" w:rsidP="00C24E66">
            <w:pPr>
              <w:spacing w:before="20" w:after="20"/>
              <w:jc w:val="right"/>
              <w:rPr>
                <w:noProof/>
                <w:sz w:val="20"/>
              </w:rPr>
            </w:pPr>
          </w:p>
        </w:tc>
        <w:tc>
          <w:tcPr>
            <w:tcW w:w="868" w:type="dxa"/>
            <w:vAlign w:val="center"/>
          </w:tcPr>
          <w:p w14:paraId="33BCAE1D" w14:textId="77777777" w:rsidR="00574085" w:rsidRPr="00F91EC4" w:rsidRDefault="00574085" w:rsidP="00C24E66">
            <w:pPr>
              <w:spacing w:before="20" w:after="20"/>
              <w:jc w:val="right"/>
              <w:rPr>
                <w:noProof/>
                <w:sz w:val="20"/>
              </w:rPr>
            </w:pPr>
          </w:p>
        </w:tc>
        <w:tc>
          <w:tcPr>
            <w:tcW w:w="868" w:type="dxa"/>
            <w:vAlign w:val="center"/>
          </w:tcPr>
          <w:p w14:paraId="68706FB7" w14:textId="77777777" w:rsidR="00574085" w:rsidRPr="00F91EC4" w:rsidRDefault="00574085" w:rsidP="00C24E66">
            <w:pPr>
              <w:spacing w:before="20" w:after="20"/>
              <w:jc w:val="right"/>
              <w:rPr>
                <w:noProof/>
                <w:sz w:val="20"/>
              </w:rPr>
            </w:pPr>
          </w:p>
        </w:tc>
        <w:tc>
          <w:tcPr>
            <w:tcW w:w="1777" w:type="dxa"/>
            <w:vAlign w:val="center"/>
          </w:tcPr>
          <w:p w14:paraId="3C7AAFE0" w14:textId="77777777" w:rsidR="00574085" w:rsidRPr="00F91EC4" w:rsidRDefault="00574085" w:rsidP="00C24E66">
            <w:pPr>
              <w:spacing w:before="20" w:after="20"/>
              <w:jc w:val="right"/>
              <w:rPr>
                <w:b/>
                <w:noProof/>
                <w:sz w:val="20"/>
              </w:rPr>
            </w:pPr>
          </w:p>
        </w:tc>
        <w:tc>
          <w:tcPr>
            <w:tcW w:w="1777" w:type="dxa"/>
          </w:tcPr>
          <w:p w14:paraId="49B9E989" w14:textId="77777777" w:rsidR="00574085" w:rsidRPr="00F91EC4" w:rsidRDefault="00574085" w:rsidP="00C24E66">
            <w:pPr>
              <w:spacing w:before="20" w:after="20"/>
              <w:jc w:val="right"/>
              <w:rPr>
                <w:b/>
                <w:noProof/>
                <w:sz w:val="20"/>
              </w:rPr>
            </w:pPr>
          </w:p>
        </w:tc>
      </w:tr>
      <w:tr w:rsidR="00574085" w:rsidRPr="00F91EC4" w14:paraId="6F967B9F" w14:textId="77777777" w:rsidTr="00614CE2">
        <w:trPr>
          <w:trHeight w:val="231"/>
        </w:trPr>
        <w:tc>
          <w:tcPr>
            <w:tcW w:w="6054" w:type="dxa"/>
            <w:gridSpan w:val="4"/>
            <w:vAlign w:val="center"/>
          </w:tcPr>
          <w:p w14:paraId="63AA973C" w14:textId="77777777" w:rsidR="00574085" w:rsidRPr="00F91EC4" w:rsidRDefault="00574085" w:rsidP="00C24E66">
            <w:pPr>
              <w:spacing w:before="20" w:after="20"/>
              <w:rPr>
                <w:noProof/>
              </w:rPr>
            </w:pPr>
            <w:r w:rsidRPr="00F91EC4">
              <w:rPr>
                <w:noProof/>
                <w:sz w:val="21"/>
              </w:rPr>
              <w:t>Appropriations of an administrative nature financed from the envelope of specific programmes</w:t>
            </w:r>
            <w:r w:rsidRPr="00F91EC4">
              <w:rPr>
                <w:rStyle w:val="FootnoteReference"/>
                <w:noProof/>
                <w:sz w:val="21"/>
              </w:rPr>
              <w:footnoteReference w:id="64"/>
            </w:r>
            <w:r w:rsidRPr="00F91EC4">
              <w:rPr>
                <w:noProof/>
                <w:sz w:val="21"/>
              </w:rPr>
              <w:t xml:space="preserve"> </w:t>
            </w:r>
          </w:p>
          <w:p w14:paraId="2278B2CA" w14:textId="77777777" w:rsidR="00574085" w:rsidRPr="00F91EC4" w:rsidRDefault="00574085" w:rsidP="00C24E66">
            <w:pPr>
              <w:spacing w:before="0" w:after="0"/>
              <w:rPr>
                <w:noProof/>
              </w:rPr>
            </w:pPr>
          </w:p>
        </w:tc>
        <w:tc>
          <w:tcPr>
            <w:tcW w:w="868" w:type="dxa"/>
            <w:vAlign w:val="center"/>
          </w:tcPr>
          <w:p w14:paraId="0B6FA8A2" w14:textId="77777777" w:rsidR="00574085" w:rsidRPr="00F91EC4" w:rsidRDefault="00574085" w:rsidP="00C24E66">
            <w:pPr>
              <w:rPr>
                <w:b/>
                <w:noProof/>
                <w:sz w:val="20"/>
              </w:rPr>
            </w:pPr>
          </w:p>
        </w:tc>
        <w:tc>
          <w:tcPr>
            <w:tcW w:w="868" w:type="dxa"/>
            <w:vAlign w:val="center"/>
          </w:tcPr>
          <w:p w14:paraId="55A4F9A2" w14:textId="77777777" w:rsidR="00574085" w:rsidRPr="00F91EC4" w:rsidRDefault="00574085" w:rsidP="00C24E66">
            <w:pPr>
              <w:rPr>
                <w:b/>
                <w:noProof/>
                <w:sz w:val="20"/>
              </w:rPr>
            </w:pPr>
          </w:p>
        </w:tc>
        <w:tc>
          <w:tcPr>
            <w:tcW w:w="868" w:type="dxa"/>
            <w:vAlign w:val="center"/>
          </w:tcPr>
          <w:p w14:paraId="3509B131" w14:textId="77777777" w:rsidR="00574085" w:rsidRPr="00F91EC4" w:rsidRDefault="00574085" w:rsidP="00C24E66">
            <w:pPr>
              <w:rPr>
                <w:b/>
                <w:noProof/>
                <w:sz w:val="20"/>
              </w:rPr>
            </w:pPr>
          </w:p>
        </w:tc>
        <w:tc>
          <w:tcPr>
            <w:tcW w:w="868" w:type="dxa"/>
            <w:vAlign w:val="center"/>
          </w:tcPr>
          <w:p w14:paraId="4FDF6982" w14:textId="77777777" w:rsidR="00574085" w:rsidRPr="00F91EC4" w:rsidRDefault="00574085" w:rsidP="00C24E66">
            <w:pPr>
              <w:rPr>
                <w:b/>
                <w:noProof/>
                <w:sz w:val="20"/>
              </w:rPr>
            </w:pPr>
          </w:p>
        </w:tc>
        <w:tc>
          <w:tcPr>
            <w:tcW w:w="1777" w:type="dxa"/>
            <w:vAlign w:val="center"/>
          </w:tcPr>
          <w:p w14:paraId="48DF8FB8" w14:textId="77777777" w:rsidR="00574085" w:rsidRPr="00F91EC4" w:rsidRDefault="00574085" w:rsidP="00C24E66">
            <w:pPr>
              <w:rPr>
                <w:b/>
                <w:noProof/>
                <w:sz w:val="20"/>
              </w:rPr>
            </w:pPr>
          </w:p>
        </w:tc>
        <w:tc>
          <w:tcPr>
            <w:tcW w:w="1777" w:type="dxa"/>
          </w:tcPr>
          <w:p w14:paraId="43996A79" w14:textId="77777777" w:rsidR="00574085" w:rsidRPr="00F91EC4" w:rsidRDefault="00574085" w:rsidP="00C24E66">
            <w:pPr>
              <w:rPr>
                <w:b/>
                <w:noProof/>
                <w:sz w:val="20"/>
              </w:rPr>
            </w:pPr>
          </w:p>
        </w:tc>
      </w:tr>
      <w:tr w:rsidR="00574085" w:rsidRPr="00F91EC4" w14:paraId="7281050C" w14:textId="77777777" w:rsidTr="00614CE2">
        <w:trPr>
          <w:trHeight w:val="319"/>
        </w:trPr>
        <w:tc>
          <w:tcPr>
            <w:tcW w:w="3960" w:type="dxa"/>
            <w:vAlign w:val="center"/>
          </w:tcPr>
          <w:p w14:paraId="7B117087" w14:textId="77777777" w:rsidR="00574085" w:rsidRPr="00F91EC4" w:rsidRDefault="00574085" w:rsidP="00C24E66">
            <w:pPr>
              <w:spacing w:before="60" w:after="60"/>
              <w:rPr>
                <w:noProof/>
              </w:rPr>
            </w:pPr>
            <w:r w:rsidRPr="00F91EC4">
              <w:rPr>
                <w:noProof/>
                <w:sz w:val="20"/>
              </w:rPr>
              <w:t>Budget line</w:t>
            </w:r>
          </w:p>
        </w:tc>
        <w:tc>
          <w:tcPr>
            <w:tcW w:w="1440" w:type="dxa"/>
            <w:vAlign w:val="center"/>
          </w:tcPr>
          <w:p w14:paraId="6716EF4A" w14:textId="77777777" w:rsidR="00574085" w:rsidRPr="00F91EC4" w:rsidRDefault="00574085" w:rsidP="00C24E66">
            <w:pPr>
              <w:spacing w:before="40" w:after="40"/>
              <w:jc w:val="right"/>
              <w:rPr>
                <w:noProof/>
                <w:sz w:val="18"/>
              </w:rPr>
            </w:pPr>
          </w:p>
        </w:tc>
        <w:tc>
          <w:tcPr>
            <w:tcW w:w="654" w:type="dxa"/>
            <w:gridSpan w:val="2"/>
            <w:vAlign w:val="center"/>
          </w:tcPr>
          <w:p w14:paraId="75E6DAA6" w14:textId="77777777" w:rsidR="00574085" w:rsidRPr="00F91EC4" w:rsidRDefault="00574085" w:rsidP="00C24E66">
            <w:pPr>
              <w:spacing w:before="40" w:after="40"/>
              <w:jc w:val="center"/>
              <w:rPr>
                <w:noProof/>
                <w:sz w:val="14"/>
              </w:rPr>
            </w:pPr>
            <w:r w:rsidRPr="00F91EC4">
              <w:rPr>
                <w:noProof/>
                <w:sz w:val="14"/>
              </w:rPr>
              <w:t>(3)</w:t>
            </w:r>
          </w:p>
        </w:tc>
        <w:tc>
          <w:tcPr>
            <w:tcW w:w="868" w:type="dxa"/>
            <w:vAlign w:val="center"/>
          </w:tcPr>
          <w:p w14:paraId="345EFA4E" w14:textId="77777777" w:rsidR="00574085" w:rsidRPr="00F91EC4" w:rsidRDefault="00574085" w:rsidP="00C24E66">
            <w:pPr>
              <w:spacing w:before="40" w:after="40"/>
              <w:jc w:val="right"/>
              <w:rPr>
                <w:b/>
                <w:noProof/>
                <w:sz w:val="20"/>
              </w:rPr>
            </w:pPr>
          </w:p>
        </w:tc>
        <w:tc>
          <w:tcPr>
            <w:tcW w:w="868" w:type="dxa"/>
            <w:vAlign w:val="center"/>
          </w:tcPr>
          <w:p w14:paraId="3AB560AC" w14:textId="77777777" w:rsidR="00574085" w:rsidRPr="00F91EC4" w:rsidRDefault="00574085" w:rsidP="00C24E66">
            <w:pPr>
              <w:spacing w:before="40" w:after="40"/>
              <w:jc w:val="right"/>
              <w:rPr>
                <w:b/>
                <w:noProof/>
                <w:sz w:val="20"/>
              </w:rPr>
            </w:pPr>
          </w:p>
        </w:tc>
        <w:tc>
          <w:tcPr>
            <w:tcW w:w="868" w:type="dxa"/>
            <w:vAlign w:val="center"/>
          </w:tcPr>
          <w:p w14:paraId="5B4A7442" w14:textId="77777777" w:rsidR="00574085" w:rsidRPr="00F91EC4" w:rsidRDefault="00574085" w:rsidP="00C24E66">
            <w:pPr>
              <w:spacing w:before="40" w:after="40"/>
              <w:jc w:val="right"/>
              <w:rPr>
                <w:b/>
                <w:noProof/>
                <w:sz w:val="20"/>
              </w:rPr>
            </w:pPr>
          </w:p>
        </w:tc>
        <w:tc>
          <w:tcPr>
            <w:tcW w:w="868" w:type="dxa"/>
            <w:vAlign w:val="center"/>
          </w:tcPr>
          <w:p w14:paraId="525AF6A5" w14:textId="77777777" w:rsidR="00574085" w:rsidRPr="00F91EC4" w:rsidRDefault="00574085" w:rsidP="00C24E66">
            <w:pPr>
              <w:spacing w:before="40" w:after="40"/>
              <w:jc w:val="right"/>
              <w:rPr>
                <w:b/>
                <w:noProof/>
                <w:sz w:val="20"/>
              </w:rPr>
            </w:pPr>
          </w:p>
        </w:tc>
        <w:tc>
          <w:tcPr>
            <w:tcW w:w="1777" w:type="dxa"/>
            <w:vAlign w:val="center"/>
          </w:tcPr>
          <w:p w14:paraId="06B4FCA6" w14:textId="77777777" w:rsidR="00574085" w:rsidRPr="00F91EC4" w:rsidRDefault="00574085" w:rsidP="00C24E66">
            <w:pPr>
              <w:spacing w:before="40" w:after="40"/>
              <w:jc w:val="right"/>
              <w:rPr>
                <w:b/>
                <w:noProof/>
                <w:sz w:val="20"/>
              </w:rPr>
            </w:pPr>
          </w:p>
        </w:tc>
        <w:tc>
          <w:tcPr>
            <w:tcW w:w="1777" w:type="dxa"/>
          </w:tcPr>
          <w:p w14:paraId="684D2493" w14:textId="77777777" w:rsidR="00574085" w:rsidRPr="00F91EC4" w:rsidRDefault="00574085" w:rsidP="00C24E66">
            <w:pPr>
              <w:spacing w:before="40" w:after="40"/>
              <w:jc w:val="right"/>
              <w:rPr>
                <w:b/>
                <w:noProof/>
                <w:sz w:val="20"/>
              </w:rPr>
            </w:pPr>
          </w:p>
        </w:tc>
      </w:tr>
      <w:tr w:rsidR="00574085" w:rsidRPr="00F91EC4" w14:paraId="7C9F8007" w14:textId="77777777" w:rsidTr="00574085">
        <w:trPr>
          <w:trHeight w:val="537"/>
        </w:trPr>
        <w:tc>
          <w:tcPr>
            <w:tcW w:w="3960" w:type="dxa"/>
            <w:vMerge w:val="restart"/>
            <w:vAlign w:val="center"/>
          </w:tcPr>
          <w:p w14:paraId="5AABA1E8" w14:textId="77777777" w:rsidR="00574085" w:rsidRPr="00F91EC4" w:rsidRDefault="00574085" w:rsidP="00574085">
            <w:pPr>
              <w:jc w:val="center"/>
              <w:rPr>
                <w:b/>
                <w:noProof/>
              </w:rPr>
            </w:pPr>
            <w:r w:rsidRPr="00F91EC4">
              <w:rPr>
                <w:b/>
                <w:noProof/>
                <w:sz w:val="22"/>
              </w:rPr>
              <w:t>TOTAL appropriations</w:t>
            </w:r>
            <w:r w:rsidRPr="00F91EC4">
              <w:rPr>
                <w:noProof/>
                <w:sz w:val="22"/>
              </w:rPr>
              <w:br/>
            </w:r>
            <w:r w:rsidRPr="00F91EC4">
              <w:rPr>
                <w:b/>
                <w:noProof/>
                <w:sz w:val="22"/>
              </w:rPr>
              <w:t>for DG GROW</w:t>
            </w:r>
          </w:p>
        </w:tc>
        <w:tc>
          <w:tcPr>
            <w:tcW w:w="1440" w:type="dxa"/>
            <w:vAlign w:val="center"/>
          </w:tcPr>
          <w:p w14:paraId="056F2790" w14:textId="77777777" w:rsidR="00574085" w:rsidRPr="00F91EC4" w:rsidRDefault="00574085" w:rsidP="00574085">
            <w:pPr>
              <w:rPr>
                <w:noProof/>
                <w:sz w:val="18"/>
              </w:rPr>
            </w:pPr>
            <w:r w:rsidRPr="00F91EC4">
              <w:rPr>
                <w:noProof/>
                <w:sz w:val="18"/>
              </w:rPr>
              <w:t>Commitments</w:t>
            </w:r>
          </w:p>
        </w:tc>
        <w:tc>
          <w:tcPr>
            <w:tcW w:w="654" w:type="dxa"/>
            <w:gridSpan w:val="2"/>
            <w:vAlign w:val="center"/>
          </w:tcPr>
          <w:p w14:paraId="144D7078" w14:textId="77777777" w:rsidR="00574085" w:rsidRPr="00F91EC4" w:rsidRDefault="00574085" w:rsidP="00574085">
            <w:pPr>
              <w:jc w:val="center"/>
              <w:rPr>
                <w:noProof/>
                <w:sz w:val="14"/>
              </w:rPr>
            </w:pPr>
            <w:r w:rsidRPr="00F91EC4">
              <w:rPr>
                <w:noProof/>
                <w:sz w:val="14"/>
              </w:rPr>
              <w:t>=1a+1b +3</w:t>
            </w:r>
          </w:p>
        </w:tc>
        <w:tc>
          <w:tcPr>
            <w:tcW w:w="868" w:type="dxa"/>
            <w:vAlign w:val="center"/>
          </w:tcPr>
          <w:p w14:paraId="79E0650F" w14:textId="77777777" w:rsidR="00574085" w:rsidRPr="00F91EC4" w:rsidRDefault="00574085" w:rsidP="00703500">
            <w:pPr>
              <w:spacing w:before="20" w:after="20"/>
              <w:jc w:val="right"/>
              <w:rPr>
                <w:noProof/>
                <w:sz w:val="20"/>
              </w:rPr>
            </w:pPr>
            <w:r w:rsidRPr="00F91EC4">
              <w:rPr>
                <w:noProof/>
                <w:sz w:val="20"/>
              </w:rPr>
              <w:t>1.</w:t>
            </w:r>
            <w:r w:rsidR="00703500" w:rsidRPr="00F91EC4">
              <w:rPr>
                <w:noProof/>
                <w:sz w:val="20"/>
              </w:rPr>
              <w:t>230</w:t>
            </w:r>
          </w:p>
        </w:tc>
        <w:tc>
          <w:tcPr>
            <w:tcW w:w="868" w:type="dxa"/>
            <w:vAlign w:val="center"/>
          </w:tcPr>
          <w:p w14:paraId="3091FCDE" w14:textId="77777777" w:rsidR="00574085" w:rsidRPr="00F91EC4" w:rsidRDefault="00574085" w:rsidP="00574085">
            <w:pPr>
              <w:spacing w:before="20" w:after="20"/>
              <w:jc w:val="right"/>
              <w:rPr>
                <w:noProof/>
                <w:sz w:val="20"/>
              </w:rPr>
            </w:pPr>
            <w:r w:rsidRPr="00F91EC4">
              <w:rPr>
                <w:noProof/>
                <w:sz w:val="20"/>
              </w:rPr>
              <w:t>1.0</w:t>
            </w:r>
            <w:r w:rsidR="008305AE" w:rsidRPr="00F91EC4">
              <w:rPr>
                <w:noProof/>
                <w:sz w:val="20"/>
              </w:rPr>
              <w:t>3</w:t>
            </w:r>
            <w:r w:rsidRPr="00F91EC4">
              <w:rPr>
                <w:noProof/>
                <w:sz w:val="20"/>
              </w:rPr>
              <w:t>0</w:t>
            </w:r>
          </w:p>
        </w:tc>
        <w:tc>
          <w:tcPr>
            <w:tcW w:w="868" w:type="dxa"/>
            <w:vAlign w:val="center"/>
          </w:tcPr>
          <w:p w14:paraId="6B9E9368" w14:textId="77777777" w:rsidR="00574085" w:rsidRPr="00F91EC4" w:rsidRDefault="00574085" w:rsidP="00574085">
            <w:pPr>
              <w:spacing w:before="20" w:after="20"/>
              <w:jc w:val="right"/>
              <w:rPr>
                <w:noProof/>
                <w:sz w:val="20"/>
              </w:rPr>
            </w:pPr>
          </w:p>
        </w:tc>
        <w:tc>
          <w:tcPr>
            <w:tcW w:w="868" w:type="dxa"/>
            <w:vAlign w:val="center"/>
          </w:tcPr>
          <w:p w14:paraId="3D89F6EA" w14:textId="77777777" w:rsidR="00574085" w:rsidRPr="00F91EC4" w:rsidRDefault="00574085" w:rsidP="00574085">
            <w:pPr>
              <w:spacing w:before="20" w:after="20"/>
              <w:jc w:val="right"/>
              <w:rPr>
                <w:noProof/>
                <w:sz w:val="20"/>
              </w:rPr>
            </w:pPr>
          </w:p>
        </w:tc>
        <w:tc>
          <w:tcPr>
            <w:tcW w:w="1777" w:type="dxa"/>
            <w:vAlign w:val="center"/>
          </w:tcPr>
          <w:p w14:paraId="70D24BD7" w14:textId="77777777" w:rsidR="00574085" w:rsidRPr="00F91EC4" w:rsidRDefault="00574085" w:rsidP="00703500">
            <w:pPr>
              <w:spacing w:before="20" w:after="20"/>
              <w:jc w:val="right"/>
              <w:rPr>
                <w:b/>
                <w:noProof/>
                <w:sz w:val="20"/>
              </w:rPr>
            </w:pPr>
            <w:r w:rsidRPr="00F91EC4">
              <w:rPr>
                <w:b/>
                <w:noProof/>
                <w:sz w:val="20"/>
              </w:rPr>
              <w:t>2.</w:t>
            </w:r>
            <w:r w:rsidR="00703500" w:rsidRPr="00F91EC4">
              <w:rPr>
                <w:b/>
                <w:noProof/>
                <w:sz w:val="20"/>
              </w:rPr>
              <w:t>260</w:t>
            </w:r>
          </w:p>
        </w:tc>
        <w:tc>
          <w:tcPr>
            <w:tcW w:w="1777" w:type="dxa"/>
          </w:tcPr>
          <w:p w14:paraId="4EB47955" w14:textId="77777777" w:rsidR="00574085" w:rsidRPr="00F91EC4" w:rsidRDefault="00C63EEA" w:rsidP="00220506">
            <w:pPr>
              <w:spacing w:before="20" w:after="20"/>
              <w:jc w:val="right"/>
              <w:rPr>
                <w:b/>
                <w:noProof/>
                <w:sz w:val="20"/>
              </w:rPr>
            </w:pPr>
            <w:r w:rsidRPr="00F91EC4">
              <w:rPr>
                <w:b/>
                <w:noProof/>
                <w:sz w:val="20"/>
              </w:rPr>
              <w:t>0.300</w:t>
            </w:r>
          </w:p>
        </w:tc>
      </w:tr>
      <w:tr w:rsidR="00574085" w:rsidRPr="00F91EC4" w14:paraId="6AFDE38D" w14:textId="77777777" w:rsidTr="00614CE2">
        <w:tc>
          <w:tcPr>
            <w:tcW w:w="3960" w:type="dxa"/>
            <w:vMerge/>
          </w:tcPr>
          <w:p w14:paraId="0DFF77B2" w14:textId="77777777" w:rsidR="00574085" w:rsidRPr="00F91EC4" w:rsidRDefault="00574085" w:rsidP="00574085">
            <w:pPr>
              <w:rPr>
                <w:noProof/>
                <w:sz w:val="20"/>
              </w:rPr>
            </w:pPr>
          </w:p>
        </w:tc>
        <w:tc>
          <w:tcPr>
            <w:tcW w:w="1440" w:type="dxa"/>
            <w:vAlign w:val="center"/>
          </w:tcPr>
          <w:p w14:paraId="1C9F918D" w14:textId="77777777" w:rsidR="00574085" w:rsidRPr="00F91EC4" w:rsidRDefault="00574085" w:rsidP="00574085">
            <w:pPr>
              <w:rPr>
                <w:noProof/>
                <w:sz w:val="18"/>
              </w:rPr>
            </w:pPr>
            <w:r w:rsidRPr="00F91EC4">
              <w:rPr>
                <w:noProof/>
                <w:sz w:val="18"/>
              </w:rPr>
              <w:t>Payments</w:t>
            </w:r>
          </w:p>
        </w:tc>
        <w:tc>
          <w:tcPr>
            <w:tcW w:w="654" w:type="dxa"/>
            <w:gridSpan w:val="2"/>
            <w:vAlign w:val="center"/>
          </w:tcPr>
          <w:p w14:paraId="309F964E" w14:textId="77777777" w:rsidR="00574085" w:rsidRPr="00F91EC4" w:rsidRDefault="00574085" w:rsidP="00574085">
            <w:pPr>
              <w:jc w:val="center"/>
              <w:rPr>
                <w:noProof/>
                <w:sz w:val="14"/>
              </w:rPr>
            </w:pPr>
            <w:r w:rsidRPr="00F91EC4">
              <w:rPr>
                <w:noProof/>
                <w:sz w:val="14"/>
              </w:rPr>
              <w:t>=2a+2b</w:t>
            </w:r>
          </w:p>
          <w:p w14:paraId="7555FE22" w14:textId="77777777" w:rsidR="00574085" w:rsidRPr="00F91EC4" w:rsidRDefault="00574085" w:rsidP="00574085">
            <w:pPr>
              <w:jc w:val="center"/>
              <w:rPr>
                <w:noProof/>
                <w:sz w:val="14"/>
              </w:rPr>
            </w:pPr>
            <w:r w:rsidRPr="00F91EC4">
              <w:rPr>
                <w:noProof/>
                <w:sz w:val="14"/>
              </w:rPr>
              <w:t>+3</w:t>
            </w:r>
          </w:p>
        </w:tc>
        <w:tc>
          <w:tcPr>
            <w:tcW w:w="868" w:type="dxa"/>
            <w:vAlign w:val="center"/>
          </w:tcPr>
          <w:p w14:paraId="7F034958" w14:textId="77777777" w:rsidR="00574085" w:rsidRPr="00F91EC4" w:rsidRDefault="00E75061" w:rsidP="00703500">
            <w:pPr>
              <w:spacing w:before="20" w:after="20"/>
              <w:jc w:val="right"/>
              <w:rPr>
                <w:noProof/>
                <w:sz w:val="20"/>
              </w:rPr>
            </w:pPr>
            <w:r w:rsidRPr="00F91EC4">
              <w:rPr>
                <w:noProof/>
                <w:sz w:val="20"/>
              </w:rPr>
              <w:t>0.</w:t>
            </w:r>
            <w:r w:rsidR="00703500" w:rsidRPr="00F91EC4">
              <w:rPr>
                <w:noProof/>
                <w:sz w:val="20"/>
              </w:rPr>
              <w:t>630</w:t>
            </w:r>
          </w:p>
        </w:tc>
        <w:tc>
          <w:tcPr>
            <w:tcW w:w="868" w:type="dxa"/>
            <w:vAlign w:val="center"/>
          </w:tcPr>
          <w:p w14:paraId="3C21C3DC" w14:textId="77777777" w:rsidR="00574085" w:rsidRPr="00F91EC4" w:rsidRDefault="00574085" w:rsidP="008305AE">
            <w:pPr>
              <w:spacing w:before="20" w:after="20"/>
              <w:jc w:val="right"/>
              <w:rPr>
                <w:noProof/>
                <w:sz w:val="20"/>
              </w:rPr>
            </w:pPr>
            <w:r w:rsidRPr="00F91EC4">
              <w:rPr>
                <w:noProof/>
                <w:sz w:val="20"/>
              </w:rPr>
              <w:t>1.</w:t>
            </w:r>
            <w:r w:rsidR="008305AE" w:rsidRPr="00F91EC4">
              <w:rPr>
                <w:noProof/>
                <w:sz w:val="20"/>
              </w:rPr>
              <w:t>030</w:t>
            </w:r>
          </w:p>
        </w:tc>
        <w:tc>
          <w:tcPr>
            <w:tcW w:w="868" w:type="dxa"/>
            <w:vAlign w:val="center"/>
          </w:tcPr>
          <w:p w14:paraId="76639161" w14:textId="77777777" w:rsidR="00574085" w:rsidRPr="00F91EC4" w:rsidRDefault="00E75061" w:rsidP="00574085">
            <w:pPr>
              <w:spacing w:before="20" w:after="20"/>
              <w:jc w:val="right"/>
              <w:rPr>
                <w:noProof/>
                <w:sz w:val="20"/>
              </w:rPr>
            </w:pPr>
            <w:r w:rsidRPr="00F91EC4">
              <w:rPr>
                <w:noProof/>
                <w:sz w:val="20"/>
              </w:rPr>
              <w:t>0.</w:t>
            </w:r>
            <w:r w:rsidR="00574085" w:rsidRPr="00F91EC4">
              <w:rPr>
                <w:noProof/>
                <w:sz w:val="20"/>
              </w:rPr>
              <w:t>600</w:t>
            </w:r>
          </w:p>
        </w:tc>
        <w:tc>
          <w:tcPr>
            <w:tcW w:w="868" w:type="dxa"/>
            <w:vAlign w:val="center"/>
          </w:tcPr>
          <w:p w14:paraId="64CD3ADC" w14:textId="77777777" w:rsidR="00574085" w:rsidRPr="00F91EC4" w:rsidRDefault="00574085" w:rsidP="00574085">
            <w:pPr>
              <w:spacing w:before="20" w:after="20"/>
              <w:jc w:val="right"/>
              <w:rPr>
                <w:noProof/>
                <w:sz w:val="20"/>
              </w:rPr>
            </w:pPr>
          </w:p>
        </w:tc>
        <w:tc>
          <w:tcPr>
            <w:tcW w:w="1777" w:type="dxa"/>
            <w:vAlign w:val="center"/>
          </w:tcPr>
          <w:p w14:paraId="3057F73E" w14:textId="77777777" w:rsidR="00574085" w:rsidRPr="00F91EC4" w:rsidRDefault="00574085" w:rsidP="00574085">
            <w:pPr>
              <w:spacing w:before="20" w:after="20"/>
              <w:jc w:val="right"/>
              <w:rPr>
                <w:b/>
                <w:noProof/>
                <w:sz w:val="20"/>
              </w:rPr>
            </w:pPr>
            <w:r w:rsidRPr="00F91EC4">
              <w:rPr>
                <w:b/>
                <w:noProof/>
                <w:sz w:val="20"/>
              </w:rPr>
              <w:t>2.2</w:t>
            </w:r>
            <w:r w:rsidR="008305AE" w:rsidRPr="00F91EC4">
              <w:rPr>
                <w:b/>
                <w:noProof/>
                <w:sz w:val="20"/>
              </w:rPr>
              <w:t>6</w:t>
            </w:r>
            <w:r w:rsidRPr="00F91EC4">
              <w:rPr>
                <w:b/>
                <w:noProof/>
                <w:sz w:val="20"/>
              </w:rPr>
              <w:t>0</w:t>
            </w:r>
          </w:p>
        </w:tc>
        <w:tc>
          <w:tcPr>
            <w:tcW w:w="1777" w:type="dxa"/>
          </w:tcPr>
          <w:p w14:paraId="39B4DFE3" w14:textId="77777777" w:rsidR="00574085" w:rsidRPr="00F91EC4" w:rsidRDefault="00574085" w:rsidP="00574085">
            <w:pPr>
              <w:spacing w:before="20" w:after="20"/>
              <w:jc w:val="right"/>
              <w:rPr>
                <w:b/>
                <w:noProof/>
                <w:sz w:val="20"/>
              </w:rPr>
            </w:pPr>
          </w:p>
        </w:tc>
      </w:tr>
    </w:tbl>
    <w:p w14:paraId="290F7B21" w14:textId="77777777" w:rsidR="009439C4" w:rsidRPr="00F91EC4" w:rsidRDefault="009439C4" w:rsidP="001A3E51">
      <w:pPr>
        <w:ind w:left="-426"/>
        <w:rPr>
          <w:noProof/>
        </w:rPr>
      </w:pPr>
      <w:r w:rsidRPr="00F91EC4">
        <w:rPr>
          <w:noProof/>
        </w:rPr>
        <w:br/>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559"/>
        <w:gridCol w:w="567"/>
        <w:gridCol w:w="851"/>
        <w:gridCol w:w="850"/>
        <w:gridCol w:w="851"/>
        <w:gridCol w:w="992"/>
        <w:gridCol w:w="1701"/>
        <w:gridCol w:w="1843"/>
      </w:tblGrid>
      <w:tr w:rsidR="00E75061" w:rsidRPr="00F91EC4" w14:paraId="0E035525" w14:textId="77777777" w:rsidTr="00ED7143">
        <w:trPr>
          <w:trHeight w:val="277"/>
        </w:trPr>
        <w:tc>
          <w:tcPr>
            <w:tcW w:w="3970" w:type="dxa"/>
            <w:vMerge w:val="restart"/>
            <w:vAlign w:val="center"/>
          </w:tcPr>
          <w:p w14:paraId="51F371D6" w14:textId="77777777" w:rsidR="00E75061" w:rsidRPr="00F91EC4" w:rsidRDefault="00E75061" w:rsidP="00E75061">
            <w:pPr>
              <w:spacing w:before="20" w:after="20"/>
              <w:rPr>
                <w:noProof/>
              </w:rPr>
            </w:pPr>
            <w:r w:rsidRPr="00F91EC4">
              <w:rPr>
                <w:noProof/>
                <w:sz w:val="22"/>
              </w:rPr>
              <w:br w:type="page"/>
            </w:r>
            <w:r w:rsidRPr="00F91EC4">
              <w:rPr>
                <w:rFonts w:ascii="Wingdings" w:eastAsia="Wingdings" w:hAnsi="Wingdings" w:cs="Wingdings"/>
                <w:noProof/>
                <w:sz w:val="21"/>
              </w:rPr>
              <w:t>□</w:t>
            </w:r>
            <w:r w:rsidRPr="00F91EC4">
              <w:rPr>
                <w:noProof/>
                <w:sz w:val="21"/>
              </w:rPr>
              <w:t xml:space="preserve"> TOTAL operational appropriations </w:t>
            </w:r>
          </w:p>
        </w:tc>
        <w:tc>
          <w:tcPr>
            <w:tcW w:w="1559" w:type="dxa"/>
            <w:vAlign w:val="center"/>
          </w:tcPr>
          <w:p w14:paraId="0362F836" w14:textId="77777777" w:rsidR="00E75061" w:rsidRPr="00F91EC4" w:rsidRDefault="00E75061" w:rsidP="00E75061">
            <w:pPr>
              <w:spacing w:beforeLines="20" w:before="48" w:afterLines="20" w:after="48"/>
              <w:rPr>
                <w:noProof/>
                <w:sz w:val="18"/>
              </w:rPr>
            </w:pPr>
            <w:r w:rsidRPr="00F91EC4">
              <w:rPr>
                <w:noProof/>
                <w:sz w:val="18"/>
              </w:rPr>
              <w:t>Commitments</w:t>
            </w:r>
          </w:p>
        </w:tc>
        <w:tc>
          <w:tcPr>
            <w:tcW w:w="567" w:type="dxa"/>
            <w:vAlign w:val="center"/>
          </w:tcPr>
          <w:p w14:paraId="06D8DE74" w14:textId="77777777" w:rsidR="00E75061" w:rsidRPr="00F91EC4" w:rsidRDefault="00E75061" w:rsidP="00E75061">
            <w:pPr>
              <w:spacing w:beforeLines="20" w:before="48" w:afterLines="20" w:after="48"/>
              <w:jc w:val="center"/>
              <w:rPr>
                <w:noProof/>
                <w:sz w:val="14"/>
              </w:rPr>
            </w:pPr>
            <w:r w:rsidRPr="00F91EC4">
              <w:rPr>
                <w:noProof/>
                <w:sz w:val="14"/>
              </w:rPr>
              <w:t>(4)</w:t>
            </w:r>
          </w:p>
        </w:tc>
        <w:tc>
          <w:tcPr>
            <w:tcW w:w="851" w:type="dxa"/>
            <w:vAlign w:val="center"/>
          </w:tcPr>
          <w:p w14:paraId="48DAA969" w14:textId="77777777" w:rsidR="00E75061" w:rsidRPr="00F91EC4" w:rsidRDefault="00E75061" w:rsidP="00E75061">
            <w:pPr>
              <w:spacing w:before="20" w:after="20"/>
              <w:jc w:val="right"/>
              <w:rPr>
                <w:noProof/>
                <w:sz w:val="20"/>
              </w:rPr>
            </w:pPr>
            <w:r w:rsidRPr="00F91EC4">
              <w:rPr>
                <w:noProof/>
                <w:sz w:val="20"/>
              </w:rPr>
              <w:t>1.2</w:t>
            </w:r>
            <w:r w:rsidR="008305AE" w:rsidRPr="00F91EC4">
              <w:rPr>
                <w:noProof/>
                <w:sz w:val="20"/>
              </w:rPr>
              <w:t>3</w:t>
            </w:r>
            <w:r w:rsidRPr="00F91EC4">
              <w:rPr>
                <w:noProof/>
                <w:sz w:val="20"/>
              </w:rPr>
              <w:t>0</w:t>
            </w:r>
          </w:p>
        </w:tc>
        <w:tc>
          <w:tcPr>
            <w:tcW w:w="850" w:type="dxa"/>
            <w:vAlign w:val="center"/>
          </w:tcPr>
          <w:p w14:paraId="07A1ED80" w14:textId="77777777" w:rsidR="00E75061" w:rsidRPr="00F91EC4" w:rsidRDefault="00E75061" w:rsidP="00E75061">
            <w:pPr>
              <w:spacing w:before="20" w:after="20"/>
              <w:jc w:val="right"/>
              <w:rPr>
                <w:noProof/>
                <w:sz w:val="20"/>
              </w:rPr>
            </w:pPr>
            <w:r w:rsidRPr="00F91EC4">
              <w:rPr>
                <w:noProof/>
                <w:sz w:val="20"/>
              </w:rPr>
              <w:t>1.0</w:t>
            </w:r>
            <w:r w:rsidR="008305AE" w:rsidRPr="00F91EC4">
              <w:rPr>
                <w:noProof/>
                <w:sz w:val="20"/>
              </w:rPr>
              <w:t>3</w:t>
            </w:r>
            <w:r w:rsidRPr="00F91EC4">
              <w:rPr>
                <w:noProof/>
                <w:sz w:val="20"/>
              </w:rPr>
              <w:t>0</w:t>
            </w:r>
          </w:p>
        </w:tc>
        <w:tc>
          <w:tcPr>
            <w:tcW w:w="851" w:type="dxa"/>
            <w:vAlign w:val="center"/>
          </w:tcPr>
          <w:p w14:paraId="6A20FE7F" w14:textId="77777777" w:rsidR="00E75061" w:rsidRPr="00F91EC4" w:rsidRDefault="00E75061" w:rsidP="00E75061">
            <w:pPr>
              <w:spacing w:before="20" w:after="20"/>
              <w:jc w:val="right"/>
              <w:rPr>
                <w:noProof/>
                <w:sz w:val="20"/>
              </w:rPr>
            </w:pPr>
          </w:p>
        </w:tc>
        <w:tc>
          <w:tcPr>
            <w:tcW w:w="992" w:type="dxa"/>
            <w:vAlign w:val="center"/>
          </w:tcPr>
          <w:p w14:paraId="0ED0346B" w14:textId="77777777" w:rsidR="00E75061" w:rsidRPr="00F91EC4" w:rsidRDefault="00E75061" w:rsidP="00E75061">
            <w:pPr>
              <w:spacing w:before="20" w:after="20"/>
              <w:jc w:val="right"/>
              <w:rPr>
                <w:noProof/>
                <w:sz w:val="20"/>
              </w:rPr>
            </w:pPr>
          </w:p>
        </w:tc>
        <w:tc>
          <w:tcPr>
            <w:tcW w:w="1701" w:type="dxa"/>
            <w:vAlign w:val="center"/>
          </w:tcPr>
          <w:p w14:paraId="64779E06" w14:textId="77777777" w:rsidR="00E75061" w:rsidRPr="00F91EC4" w:rsidRDefault="00E75061" w:rsidP="00E75061">
            <w:pPr>
              <w:spacing w:before="20" w:after="20"/>
              <w:jc w:val="right"/>
              <w:rPr>
                <w:b/>
                <w:noProof/>
                <w:sz w:val="20"/>
              </w:rPr>
            </w:pPr>
            <w:r w:rsidRPr="00F91EC4">
              <w:rPr>
                <w:b/>
                <w:noProof/>
                <w:sz w:val="20"/>
              </w:rPr>
              <w:t>2.2</w:t>
            </w:r>
            <w:r w:rsidR="008305AE" w:rsidRPr="00F91EC4">
              <w:rPr>
                <w:b/>
                <w:noProof/>
                <w:sz w:val="20"/>
              </w:rPr>
              <w:t>6</w:t>
            </w:r>
            <w:r w:rsidRPr="00F91EC4">
              <w:rPr>
                <w:b/>
                <w:noProof/>
                <w:sz w:val="20"/>
              </w:rPr>
              <w:t>0</w:t>
            </w:r>
          </w:p>
        </w:tc>
        <w:tc>
          <w:tcPr>
            <w:tcW w:w="1843" w:type="dxa"/>
          </w:tcPr>
          <w:p w14:paraId="5BF62C03" w14:textId="77777777" w:rsidR="00E75061" w:rsidRPr="00F91EC4" w:rsidRDefault="00C63EEA" w:rsidP="00E75061">
            <w:pPr>
              <w:spacing w:before="20" w:after="20"/>
              <w:jc w:val="right"/>
              <w:rPr>
                <w:b/>
                <w:noProof/>
                <w:sz w:val="20"/>
              </w:rPr>
            </w:pPr>
            <w:r w:rsidRPr="00F91EC4">
              <w:rPr>
                <w:b/>
                <w:noProof/>
                <w:sz w:val="20"/>
              </w:rPr>
              <w:t>0.300</w:t>
            </w:r>
          </w:p>
        </w:tc>
      </w:tr>
      <w:tr w:rsidR="00E75061" w:rsidRPr="00F91EC4" w14:paraId="17D3B97B" w14:textId="77777777" w:rsidTr="00ED7143">
        <w:tc>
          <w:tcPr>
            <w:tcW w:w="3970" w:type="dxa"/>
            <w:vMerge/>
          </w:tcPr>
          <w:p w14:paraId="30E62F0E" w14:textId="77777777" w:rsidR="00E75061" w:rsidRPr="00F91EC4" w:rsidRDefault="00E75061" w:rsidP="00E75061">
            <w:pPr>
              <w:jc w:val="center"/>
              <w:rPr>
                <w:noProof/>
                <w:sz w:val="20"/>
              </w:rPr>
            </w:pPr>
          </w:p>
        </w:tc>
        <w:tc>
          <w:tcPr>
            <w:tcW w:w="1559" w:type="dxa"/>
            <w:vAlign w:val="center"/>
          </w:tcPr>
          <w:p w14:paraId="09A7F1EC" w14:textId="77777777" w:rsidR="00E75061" w:rsidRPr="00F91EC4" w:rsidRDefault="00E75061" w:rsidP="00E75061">
            <w:pPr>
              <w:spacing w:beforeLines="20" w:before="48" w:afterLines="20" w:after="48"/>
              <w:rPr>
                <w:noProof/>
                <w:sz w:val="18"/>
              </w:rPr>
            </w:pPr>
            <w:r w:rsidRPr="00F91EC4">
              <w:rPr>
                <w:noProof/>
                <w:sz w:val="18"/>
              </w:rPr>
              <w:t>Payments</w:t>
            </w:r>
          </w:p>
        </w:tc>
        <w:tc>
          <w:tcPr>
            <w:tcW w:w="567" w:type="dxa"/>
            <w:vAlign w:val="center"/>
          </w:tcPr>
          <w:p w14:paraId="0AF8A94E" w14:textId="77777777" w:rsidR="00E75061" w:rsidRPr="00F91EC4" w:rsidRDefault="00E75061" w:rsidP="00E75061">
            <w:pPr>
              <w:spacing w:beforeLines="20" w:before="48" w:afterLines="20" w:after="48"/>
              <w:jc w:val="center"/>
              <w:rPr>
                <w:noProof/>
                <w:sz w:val="14"/>
              </w:rPr>
            </w:pPr>
            <w:r w:rsidRPr="00F91EC4">
              <w:rPr>
                <w:noProof/>
                <w:sz w:val="14"/>
              </w:rPr>
              <w:t>(5)</w:t>
            </w:r>
          </w:p>
        </w:tc>
        <w:tc>
          <w:tcPr>
            <w:tcW w:w="851" w:type="dxa"/>
            <w:vAlign w:val="center"/>
          </w:tcPr>
          <w:p w14:paraId="0083BC27" w14:textId="77777777" w:rsidR="00E75061" w:rsidRPr="00F91EC4" w:rsidRDefault="00E75061" w:rsidP="00E75061">
            <w:pPr>
              <w:spacing w:before="20" w:after="20"/>
              <w:jc w:val="right"/>
              <w:rPr>
                <w:noProof/>
                <w:sz w:val="20"/>
              </w:rPr>
            </w:pPr>
            <w:r w:rsidRPr="00F91EC4">
              <w:rPr>
                <w:noProof/>
                <w:sz w:val="20"/>
              </w:rPr>
              <w:t>0.6</w:t>
            </w:r>
            <w:r w:rsidR="008305AE" w:rsidRPr="00F91EC4">
              <w:rPr>
                <w:noProof/>
                <w:sz w:val="20"/>
              </w:rPr>
              <w:t>3</w:t>
            </w:r>
            <w:r w:rsidRPr="00F91EC4">
              <w:rPr>
                <w:noProof/>
                <w:sz w:val="20"/>
              </w:rPr>
              <w:t>0</w:t>
            </w:r>
          </w:p>
        </w:tc>
        <w:tc>
          <w:tcPr>
            <w:tcW w:w="850" w:type="dxa"/>
            <w:vAlign w:val="center"/>
          </w:tcPr>
          <w:p w14:paraId="58D5DB17" w14:textId="77777777" w:rsidR="00E75061" w:rsidRPr="00F91EC4" w:rsidRDefault="00E75061" w:rsidP="00E75061">
            <w:pPr>
              <w:spacing w:before="20" w:after="20"/>
              <w:jc w:val="right"/>
              <w:rPr>
                <w:noProof/>
                <w:sz w:val="20"/>
              </w:rPr>
            </w:pPr>
            <w:r w:rsidRPr="00F91EC4">
              <w:rPr>
                <w:noProof/>
                <w:sz w:val="20"/>
              </w:rPr>
              <w:t>1.0</w:t>
            </w:r>
            <w:r w:rsidR="008305AE" w:rsidRPr="00F91EC4">
              <w:rPr>
                <w:noProof/>
                <w:sz w:val="20"/>
              </w:rPr>
              <w:t>3</w:t>
            </w:r>
            <w:r w:rsidRPr="00F91EC4">
              <w:rPr>
                <w:noProof/>
                <w:sz w:val="20"/>
              </w:rPr>
              <w:t>0</w:t>
            </w:r>
          </w:p>
        </w:tc>
        <w:tc>
          <w:tcPr>
            <w:tcW w:w="851" w:type="dxa"/>
            <w:vAlign w:val="center"/>
          </w:tcPr>
          <w:p w14:paraId="1F42E0AB" w14:textId="77777777" w:rsidR="00E75061" w:rsidRPr="00F91EC4" w:rsidRDefault="00E75061" w:rsidP="00E75061">
            <w:pPr>
              <w:spacing w:before="20" w:after="20"/>
              <w:jc w:val="right"/>
              <w:rPr>
                <w:noProof/>
                <w:sz w:val="20"/>
              </w:rPr>
            </w:pPr>
            <w:r w:rsidRPr="00F91EC4">
              <w:rPr>
                <w:noProof/>
                <w:sz w:val="20"/>
              </w:rPr>
              <w:t>0.600</w:t>
            </w:r>
          </w:p>
        </w:tc>
        <w:tc>
          <w:tcPr>
            <w:tcW w:w="992" w:type="dxa"/>
            <w:vAlign w:val="center"/>
          </w:tcPr>
          <w:p w14:paraId="63B1C0DB" w14:textId="77777777" w:rsidR="00E75061" w:rsidRPr="00F91EC4" w:rsidRDefault="00E75061" w:rsidP="00E75061">
            <w:pPr>
              <w:spacing w:before="20" w:after="20"/>
              <w:jc w:val="right"/>
              <w:rPr>
                <w:noProof/>
                <w:sz w:val="20"/>
              </w:rPr>
            </w:pPr>
          </w:p>
        </w:tc>
        <w:tc>
          <w:tcPr>
            <w:tcW w:w="1701" w:type="dxa"/>
            <w:vAlign w:val="center"/>
          </w:tcPr>
          <w:p w14:paraId="35408F5D" w14:textId="77777777" w:rsidR="00E75061" w:rsidRPr="00F91EC4" w:rsidRDefault="00E75061" w:rsidP="008305AE">
            <w:pPr>
              <w:spacing w:before="20" w:after="20"/>
              <w:jc w:val="right"/>
              <w:rPr>
                <w:b/>
                <w:noProof/>
                <w:sz w:val="20"/>
              </w:rPr>
            </w:pPr>
            <w:r w:rsidRPr="00F91EC4">
              <w:rPr>
                <w:b/>
                <w:noProof/>
                <w:sz w:val="20"/>
              </w:rPr>
              <w:t>2.</w:t>
            </w:r>
            <w:r w:rsidR="008305AE" w:rsidRPr="00F91EC4">
              <w:rPr>
                <w:b/>
                <w:noProof/>
                <w:sz w:val="20"/>
              </w:rPr>
              <w:t>260</w:t>
            </w:r>
          </w:p>
        </w:tc>
        <w:tc>
          <w:tcPr>
            <w:tcW w:w="1843" w:type="dxa"/>
          </w:tcPr>
          <w:p w14:paraId="08C8BBA7" w14:textId="77777777" w:rsidR="00E75061" w:rsidRPr="00F91EC4" w:rsidRDefault="00E75061" w:rsidP="00E75061">
            <w:pPr>
              <w:spacing w:before="20" w:after="20"/>
              <w:jc w:val="right"/>
              <w:rPr>
                <w:b/>
                <w:noProof/>
                <w:sz w:val="20"/>
              </w:rPr>
            </w:pPr>
          </w:p>
        </w:tc>
      </w:tr>
      <w:tr w:rsidR="00614CE2" w:rsidRPr="00F91EC4" w14:paraId="63690361" w14:textId="77777777" w:rsidTr="00ED7143">
        <w:trPr>
          <w:trHeight w:val="533"/>
        </w:trPr>
        <w:tc>
          <w:tcPr>
            <w:tcW w:w="5529" w:type="dxa"/>
            <w:gridSpan w:val="2"/>
            <w:vAlign w:val="center"/>
          </w:tcPr>
          <w:p w14:paraId="307F65EC" w14:textId="77777777" w:rsidR="00614CE2" w:rsidRPr="00F91EC4" w:rsidRDefault="00614CE2" w:rsidP="00614CE2">
            <w:pPr>
              <w:spacing w:beforeLines="20" w:before="48" w:afterLines="20" w:after="48"/>
              <w:rPr>
                <w:noProof/>
              </w:rPr>
            </w:pPr>
            <w:r w:rsidRPr="00F91EC4">
              <w:rPr>
                <w:rFonts w:ascii="Wingdings" w:eastAsia="Wingdings" w:hAnsi="Wingdings" w:cs="Wingdings"/>
                <w:noProof/>
                <w:sz w:val="21"/>
              </w:rPr>
              <w:t>□</w:t>
            </w:r>
            <w:r w:rsidRPr="00F91EC4">
              <w:rPr>
                <w:noProof/>
                <w:sz w:val="21"/>
              </w:rPr>
              <w:t xml:space="preserve"> TOTAL appropriations of an administrative nature financed from the envelope for specific programmes </w:t>
            </w:r>
          </w:p>
        </w:tc>
        <w:tc>
          <w:tcPr>
            <w:tcW w:w="567" w:type="dxa"/>
            <w:vAlign w:val="center"/>
          </w:tcPr>
          <w:p w14:paraId="2275D817" w14:textId="77777777" w:rsidR="00614CE2" w:rsidRPr="00F91EC4" w:rsidRDefault="00614CE2" w:rsidP="00614CE2">
            <w:pPr>
              <w:spacing w:beforeLines="20" w:before="48" w:afterLines="20" w:after="48"/>
              <w:jc w:val="center"/>
              <w:rPr>
                <w:noProof/>
                <w:sz w:val="14"/>
              </w:rPr>
            </w:pPr>
            <w:r w:rsidRPr="00F91EC4">
              <w:rPr>
                <w:noProof/>
                <w:sz w:val="14"/>
              </w:rPr>
              <w:t>(6)</w:t>
            </w:r>
          </w:p>
        </w:tc>
        <w:tc>
          <w:tcPr>
            <w:tcW w:w="851" w:type="dxa"/>
            <w:vAlign w:val="center"/>
          </w:tcPr>
          <w:p w14:paraId="1DEFBD87" w14:textId="77777777" w:rsidR="00614CE2" w:rsidRPr="00F91EC4" w:rsidRDefault="00614CE2" w:rsidP="00614CE2">
            <w:pPr>
              <w:spacing w:before="20" w:after="20"/>
              <w:jc w:val="right"/>
              <w:rPr>
                <w:b/>
                <w:noProof/>
                <w:sz w:val="20"/>
              </w:rPr>
            </w:pPr>
          </w:p>
        </w:tc>
        <w:tc>
          <w:tcPr>
            <w:tcW w:w="850" w:type="dxa"/>
            <w:vAlign w:val="center"/>
          </w:tcPr>
          <w:p w14:paraId="1146AF59" w14:textId="77777777" w:rsidR="00614CE2" w:rsidRPr="00F91EC4" w:rsidRDefault="00614CE2" w:rsidP="00614CE2">
            <w:pPr>
              <w:spacing w:before="20" w:after="20"/>
              <w:jc w:val="right"/>
              <w:rPr>
                <w:b/>
                <w:noProof/>
                <w:sz w:val="20"/>
              </w:rPr>
            </w:pPr>
          </w:p>
        </w:tc>
        <w:tc>
          <w:tcPr>
            <w:tcW w:w="851" w:type="dxa"/>
            <w:vAlign w:val="center"/>
          </w:tcPr>
          <w:p w14:paraId="5FC1B1DC" w14:textId="77777777" w:rsidR="00614CE2" w:rsidRPr="00F91EC4" w:rsidRDefault="00614CE2" w:rsidP="00614CE2">
            <w:pPr>
              <w:spacing w:before="20" w:after="20"/>
              <w:jc w:val="right"/>
              <w:rPr>
                <w:b/>
                <w:noProof/>
                <w:sz w:val="20"/>
              </w:rPr>
            </w:pPr>
          </w:p>
        </w:tc>
        <w:tc>
          <w:tcPr>
            <w:tcW w:w="992" w:type="dxa"/>
            <w:vAlign w:val="center"/>
          </w:tcPr>
          <w:p w14:paraId="24D13E88" w14:textId="77777777" w:rsidR="00614CE2" w:rsidRPr="00F91EC4" w:rsidRDefault="00614CE2" w:rsidP="00614CE2">
            <w:pPr>
              <w:spacing w:before="20" w:after="20"/>
              <w:jc w:val="right"/>
              <w:rPr>
                <w:b/>
                <w:noProof/>
                <w:sz w:val="20"/>
              </w:rPr>
            </w:pPr>
          </w:p>
        </w:tc>
        <w:tc>
          <w:tcPr>
            <w:tcW w:w="1701" w:type="dxa"/>
            <w:vAlign w:val="center"/>
          </w:tcPr>
          <w:p w14:paraId="0A58B9AE" w14:textId="77777777" w:rsidR="00614CE2" w:rsidRPr="00F91EC4" w:rsidRDefault="00614CE2" w:rsidP="00614CE2">
            <w:pPr>
              <w:spacing w:before="20" w:after="20"/>
              <w:jc w:val="right"/>
              <w:rPr>
                <w:b/>
                <w:noProof/>
                <w:sz w:val="20"/>
              </w:rPr>
            </w:pPr>
          </w:p>
        </w:tc>
        <w:tc>
          <w:tcPr>
            <w:tcW w:w="1843" w:type="dxa"/>
          </w:tcPr>
          <w:p w14:paraId="08D80CA0" w14:textId="77777777" w:rsidR="00614CE2" w:rsidRPr="00F91EC4" w:rsidRDefault="00614CE2" w:rsidP="00614CE2">
            <w:pPr>
              <w:spacing w:before="20" w:after="20"/>
              <w:jc w:val="right"/>
              <w:rPr>
                <w:b/>
                <w:noProof/>
                <w:sz w:val="20"/>
              </w:rPr>
            </w:pPr>
          </w:p>
        </w:tc>
      </w:tr>
      <w:tr w:rsidR="00E75061" w:rsidRPr="00F91EC4" w14:paraId="6A9F8D7D" w14:textId="77777777" w:rsidTr="00ED7143">
        <w:tc>
          <w:tcPr>
            <w:tcW w:w="3970" w:type="dxa"/>
            <w:vMerge w:val="restart"/>
            <w:shd w:val="thinDiagStripe" w:color="C0C0C0" w:fill="auto"/>
            <w:vAlign w:val="center"/>
          </w:tcPr>
          <w:p w14:paraId="4EB3955A" w14:textId="77777777" w:rsidR="00E75061" w:rsidRPr="00F91EC4" w:rsidRDefault="00E75061" w:rsidP="00E75061">
            <w:pPr>
              <w:jc w:val="center"/>
              <w:rPr>
                <w:b/>
                <w:noProof/>
              </w:rPr>
            </w:pPr>
            <w:r w:rsidRPr="00F91EC4">
              <w:rPr>
                <w:b/>
                <w:noProof/>
                <w:sz w:val="22"/>
              </w:rPr>
              <w:t xml:space="preserve">TOTAL appropriations </w:t>
            </w:r>
            <w:r w:rsidRPr="00F91EC4">
              <w:rPr>
                <w:noProof/>
                <w:sz w:val="22"/>
              </w:rPr>
              <w:br/>
            </w:r>
            <w:r w:rsidRPr="00F91EC4">
              <w:rPr>
                <w:b/>
                <w:noProof/>
                <w:sz w:val="22"/>
              </w:rPr>
              <w:t>under HEADING 1</w:t>
            </w:r>
            <w:r w:rsidRPr="00F91EC4">
              <w:rPr>
                <w:noProof/>
                <w:sz w:val="22"/>
              </w:rPr>
              <w:br/>
              <w:t>of the multiannual financial framework</w:t>
            </w:r>
          </w:p>
        </w:tc>
        <w:tc>
          <w:tcPr>
            <w:tcW w:w="1559" w:type="dxa"/>
            <w:vAlign w:val="center"/>
          </w:tcPr>
          <w:p w14:paraId="5A7573DD" w14:textId="77777777" w:rsidR="00E75061" w:rsidRPr="00F91EC4" w:rsidRDefault="00E75061" w:rsidP="00E75061">
            <w:pPr>
              <w:rPr>
                <w:noProof/>
                <w:sz w:val="18"/>
              </w:rPr>
            </w:pPr>
            <w:r w:rsidRPr="00F91EC4">
              <w:rPr>
                <w:noProof/>
                <w:sz w:val="18"/>
              </w:rPr>
              <w:t>Commitments</w:t>
            </w:r>
          </w:p>
        </w:tc>
        <w:tc>
          <w:tcPr>
            <w:tcW w:w="567" w:type="dxa"/>
            <w:vAlign w:val="center"/>
          </w:tcPr>
          <w:p w14:paraId="66EABAC7" w14:textId="77777777" w:rsidR="00E75061" w:rsidRPr="00F91EC4" w:rsidRDefault="00E75061" w:rsidP="00E75061">
            <w:pPr>
              <w:jc w:val="center"/>
              <w:rPr>
                <w:noProof/>
                <w:sz w:val="14"/>
              </w:rPr>
            </w:pPr>
            <w:r w:rsidRPr="00F91EC4">
              <w:rPr>
                <w:noProof/>
                <w:sz w:val="14"/>
              </w:rPr>
              <w:t>=4+ 6</w:t>
            </w:r>
          </w:p>
        </w:tc>
        <w:tc>
          <w:tcPr>
            <w:tcW w:w="851" w:type="dxa"/>
            <w:vAlign w:val="center"/>
          </w:tcPr>
          <w:p w14:paraId="560C47CC" w14:textId="77777777" w:rsidR="00E75061" w:rsidRPr="00F91EC4" w:rsidRDefault="00E75061" w:rsidP="00E75061">
            <w:pPr>
              <w:spacing w:before="20" w:after="20"/>
              <w:jc w:val="right"/>
              <w:rPr>
                <w:noProof/>
                <w:sz w:val="20"/>
              </w:rPr>
            </w:pPr>
            <w:r w:rsidRPr="00F91EC4">
              <w:rPr>
                <w:noProof/>
                <w:sz w:val="20"/>
              </w:rPr>
              <w:t>1.2</w:t>
            </w:r>
            <w:r w:rsidR="008305AE" w:rsidRPr="00F91EC4">
              <w:rPr>
                <w:noProof/>
                <w:sz w:val="20"/>
              </w:rPr>
              <w:t>3</w:t>
            </w:r>
            <w:r w:rsidRPr="00F91EC4">
              <w:rPr>
                <w:noProof/>
                <w:sz w:val="20"/>
              </w:rPr>
              <w:t>0</w:t>
            </w:r>
          </w:p>
        </w:tc>
        <w:tc>
          <w:tcPr>
            <w:tcW w:w="850" w:type="dxa"/>
            <w:vAlign w:val="center"/>
          </w:tcPr>
          <w:p w14:paraId="302B3F57" w14:textId="77777777" w:rsidR="00E75061" w:rsidRPr="00F91EC4" w:rsidRDefault="00E75061" w:rsidP="00E75061">
            <w:pPr>
              <w:spacing w:before="20" w:after="20"/>
              <w:jc w:val="right"/>
              <w:rPr>
                <w:noProof/>
                <w:sz w:val="20"/>
              </w:rPr>
            </w:pPr>
            <w:r w:rsidRPr="00F91EC4">
              <w:rPr>
                <w:noProof/>
                <w:sz w:val="20"/>
              </w:rPr>
              <w:t>1.0</w:t>
            </w:r>
            <w:r w:rsidR="008305AE" w:rsidRPr="00F91EC4">
              <w:rPr>
                <w:noProof/>
                <w:sz w:val="20"/>
              </w:rPr>
              <w:t>3</w:t>
            </w:r>
            <w:r w:rsidRPr="00F91EC4">
              <w:rPr>
                <w:noProof/>
                <w:sz w:val="20"/>
              </w:rPr>
              <w:t>0</w:t>
            </w:r>
          </w:p>
        </w:tc>
        <w:tc>
          <w:tcPr>
            <w:tcW w:w="851" w:type="dxa"/>
            <w:vAlign w:val="center"/>
          </w:tcPr>
          <w:p w14:paraId="0629CB78" w14:textId="77777777" w:rsidR="00E75061" w:rsidRPr="00F91EC4" w:rsidRDefault="00E75061" w:rsidP="00E75061">
            <w:pPr>
              <w:spacing w:before="20" w:after="20"/>
              <w:jc w:val="right"/>
              <w:rPr>
                <w:noProof/>
                <w:sz w:val="20"/>
              </w:rPr>
            </w:pPr>
          </w:p>
        </w:tc>
        <w:tc>
          <w:tcPr>
            <w:tcW w:w="992" w:type="dxa"/>
            <w:vAlign w:val="center"/>
          </w:tcPr>
          <w:p w14:paraId="0C6F6C6D" w14:textId="77777777" w:rsidR="00E75061" w:rsidRPr="00F91EC4" w:rsidRDefault="00E75061" w:rsidP="00E75061">
            <w:pPr>
              <w:spacing w:before="20" w:after="20"/>
              <w:jc w:val="right"/>
              <w:rPr>
                <w:noProof/>
                <w:sz w:val="20"/>
              </w:rPr>
            </w:pPr>
          </w:p>
        </w:tc>
        <w:tc>
          <w:tcPr>
            <w:tcW w:w="1701" w:type="dxa"/>
            <w:vAlign w:val="center"/>
          </w:tcPr>
          <w:p w14:paraId="299F3D0F" w14:textId="77777777" w:rsidR="00E75061" w:rsidRPr="00F91EC4" w:rsidRDefault="00E75061" w:rsidP="008305AE">
            <w:pPr>
              <w:spacing w:before="20" w:after="20"/>
              <w:jc w:val="right"/>
              <w:rPr>
                <w:b/>
                <w:noProof/>
                <w:sz w:val="20"/>
              </w:rPr>
            </w:pPr>
            <w:r w:rsidRPr="00F91EC4">
              <w:rPr>
                <w:b/>
                <w:noProof/>
                <w:sz w:val="20"/>
              </w:rPr>
              <w:t>2.</w:t>
            </w:r>
            <w:r w:rsidR="008305AE" w:rsidRPr="00F91EC4">
              <w:rPr>
                <w:b/>
                <w:noProof/>
                <w:sz w:val="20"/>
              </w:rPr>
              <w:t>260</w:t>
            </w:r>
          </w:p>
        </w:tc>
        <w:tc>
          <w:tcPr>
            <w:tcW w:w="1843" w:type="dxa"/>
          </w:tcPr>
          <w:p w14:paraId="5CF62969" w14:textId="77777777" w:rsidR="00E75061" w:rsidRPr="00F91EC4" w:rsidRDefault="00C63EEA" w:rsidP="00E75061">
            <w:pPr>
              <w:spacing w:before="20" w:after="20"/>
              <w:jc w:val="right"/>
              <w:rPr>
                <w:b/>
                <w:noProof/>
                <w:sz w:val="20"/>
              </w:rPr>
            </w:pPr>
            <w:r w:rsidRPr="00F91EC4">
              <w:rPr>
                <w:b/>
                <w:noProof/>
                <w:sz w:val="20"/>
              </w:rPr>
              <w:t>0.300</w:t>
            </w:r>
          </w:p>
        </w:tc>
      </w:tr>
      <w:tr w:rsidR="00E75061" w:rsidRPr="00F91EC4" w14:paraId="75F4D0B6" w14:textId="77777777" w:rsidTr="00ED7143">
        <w:tc>
          <w:tcPr>
            <w:tcW w:w="3970" w:type="dxa"/>
            <w:vMerge/>
            <w:shd w:val="thinDiagStripe" w:color="C0C0C0" w:fill="auto"/>
          </w:tcPr>
          <w:p w14:paraId="0603E747" w14:textId="77777777" w:rsidR="00E75061" w:rsidRPr="00F91EC4" w:rsidRDefault="00E75061" w:rsidP="00E75061">
            <w:pPr>
              <w:rPr>
                <w:noProof/>
                <w:sz w:val="20"/>
              </w:rPr>
            </w:pPr>
          </w:p>
        </w:tc>
        <w:tc>
          <w:tcPr>
            <w:tcW w:w="1559" w:type="dxa"/>
            <w:vAlign w:val="center"/>
          </w:tcPr>
          <w:p w14:paraId="5ECC53BA" w14:textId="77777777" w:rsidR="00E75061" w:rsidRPr="00F91EC4" w:rsidRDefault="00E75061" w:rsidP="00E75061">
            <w:pPr>
              <w:rPr>
                <w:noProof/>
                <w:sz w:val="18"/>
              </w:rPr>
            </w:pPr>
            <w:r w:rsidRPr="00F91EC4">
              <w:rPr>
                <w:noProof/>
                <w:sz w:val="18"/>
              </w:rPr>
              <w:t>Payments</w:t>
            </w:r>
          </w:p>
        </w:tc>
        <w:tc>
          <w:tcPr>
            <w:tcW w:w="567" w:type="dxa"/>
            <w:vAlign w:val="center"/>
          </w:tcPr>
          <w:p w14:paraId="5FB4E49B" w14:textId="77777777" w:rsidR="00E75061" w:rsidRPr="00F91EC4" w:rsidRDefault="00E75061" w:rsidP="00E75061">
            <w:pPr>
              <w:jc w:val="center"/>
              <w:rPr>
                <w:noProof/>
                <w:sz w:val="14"/>
              </w:rPr>
            </w:pPr>
            <w:r w:rsidRPr="00F91EC4">
              <w:rPr>
                <w:noProof/>
                <w:sz w:val="14"/>
              </w:rPr>
              <w:t>=5+ 6</w:t>
            </w:r>
          </w:p>
        </w:tc>
        <w:tc>
          <w:tcPr>
            <w:tcW w:w="851" w:type="dxa"/>
            <w:vAlign w:val="center"/>
          </w:tcPr>
          <w:p w14:paraId="39B2E693" w14:textId="77777777" w:rsidR="00E75061" w:rsidRPr="00F91EC4" w:rsidRDefault="00E75061" w:rsidP="00E75061">
            <w:pPr>
              <w:spacing w:before="20" w:after="20"/>
              <w:jc w:val="right"/>
              <w:rPr>
                <w:noProof/>
                <w:sz w:val="20"/>
              </w:rPr>
            </w:pPr>
            <w:r w:rsidRPr="00F91EC4">
              <w:rPr>
                <w:noProof/>
                <w:sz w:val="20"/>
              </w:rPr>
              <w:t>0.6</w:t>
            </w:r>
            <w:r w:rsidR="008305AE" w:rsidRPr="00F91EC4">
              <w:rPr>
                <w:noProof/>
                <w:sz w:val="20"/>
              </w:rPr>
              <w:t>3</w:t>
            </w:r>
            <w:r w:rsidRPr="00F91EC4">
              <w:rPr>
                <w:noProof/>
                <w:sz w:val="20"/>
              </w:rPr>
              <w:t>0</w:t>
            </w:r>
          </w:p>
        </w:tc>
        <w:tc>
          <w:tcPr>
            <w:tcW w:w="850" w:type="dxa"/>
            <w:vAlign w:val="center"/>
          </w:tcPr>
          <w:p w14:paraId="1F446E32" w14:textId="77777777" w:rsidR="00E75061" w:rsidRPr="00F91EC4" w:rsidRDefault="00E75061" w:rsidP="008305AE">
            <w:pPr>
              <w:spacing w:before="20" w:after="20"/>
              <w:jc w:val="right"/>
              <w:rPr>
                <w:noProof/>
                <w:sz w:val="20"/>
              </w:rPr>
            </w:pPr>
            <w:r w:rsidRPr="00F91EC4">
              <w:rPr>
                <w:noProof/>
                <w:sz w:val="20"/>
              </w:rPr>
              <w:t>1.</w:t>
            </w:r>
            <w:r w:rsidR="008305AE" w:rsidRPr="00F91EC4">
              <w:rPr>
                <w:noProof/>
                <w:sz w:val="20"/>
              </w:rPr>
              <w:t>030</w:t>
            </w:r>
          </w:p>
        </w:tc>
        <w:tc>
          <w:tcPr>
            <w:tcW w:w="851" w:type="dxa"/>
            <w:vAlign w:val="center"/>
          </w:tcPr>
          <w:p w14:paraId="1F443102" w14:textId="77777777" w:rsidR="00E75061" w:rsidRPr="00F91EC4" w:rsidRDefault="00E75061" w:rsidP="00E75061">
            <w:pPr>
              <w:spacing w:before="20" w:after="20"/>
              <w:jc w:val="right"/>
              <w:rPr>
                <w:noProof/>
                <w:sz w:val="20"/>
              </w:rPr>
            </w:pPr>
            <w:r w:rsidRPr="00F91EC4">
              <w:rPr>
                <w:noProof/>
                <w:sz w:val="20"/>
              </w:rPr>
              <w:t>0.600</w:t>
            </w:r>
          </w:p>
        </w:tc>
        <w:tc>
          <w:tcPr>
            <w:tcW w:w="992" w:type="dxa"/>
            <w:vAlign w:val="center"/>
          </w:tcPr>
          <w:p w14:paraId="1618E016" w14:textId="77777777" w:rsidR="00E75061" w:rsidRPr="00F91EC4" w:rsidRDefault="00E75061" w:rsidP="00E75061">
            <w:pPr>
              <w:spacing w:before="20" w:after="20"/>
              <w:jc w:val="right"/>
              <w:rPr>
                <w:noProof/>
                <w:sz w:val="20"/>
              </w:rPr>
            </w:pPr>
          </w:p>
        </w:tc>
        <w:tc>
          <w:tcPr>
            <w:tcW w:w="1701" w:type="dxa"/>
            <w:vAlign w:val="center"/>
          </w:tcPr>
          <w:p w14:paraId="535974F9" w14:textId="77777777" w:rsidR="00E75061" w:rsidRPr="00F91EC4" w:rsidRDefault="00E75061" w:rsidP="00E75061">
            <w:pPr>
              <w:spacing w:before="20" w:after="20"/>
              <w:jc w:val="right"/>
              <w:rPr>
                <w:b/>
                <w:noProof/>
                <w:sz w:val="20"/>
              </w:rPr>
            </w:pPr>
            <w:r w:rsidRPr="00F91EC4">
              <w:rPr>
                <w:b/>
                <w:noProof/>
                <w:sz w:val="20"/>
              </w:rPr>
              <w:t>2.2</w:t>
            </w:r>
            <w:r w:rsidR="008305AE" w:rsidRPr="00F91EC4">
              <w:rPr>
                <w:b/>
                <w:noProof/>
                <w:sz w:val="20"/>
              </w:rPr>
              <w:t>6</w:t>
            </w:r>
            <w:r w:rsidRPr="00F91EC4">
              <w:rPr>
                <w:b/>
                <w:noProof/>
                <w:sz w:val="20"/>
              </w:rPr>
              <w:t>0</w:t>
            </w:r>
          </w:p>
        </w:tc>
        <w:tc>
          <w:tcPr>
            <w:tcW w:w="1843" w:type="dxa"/>
          </w:tcPr>
          <w:p w14:paraId="29E94B27" w14:textId="77777777" w:rsidR="00E75061" w:rsidRPr="00F91EC4" w:rsidRDefault="00E75061" w:rsidP="00E75061">
            <w:pPr>
              <w:spacing w:before="20" w:after="20"/>
              <w:jc w:val="right"/>
              <w:rPr>
                <w:b/>
                <w:noProof/>
                <w:sz w:val="20"/>
              </w:rPr>
            </w:pPr>
          </w:p>
        </w:tc>
      </w:tr>
      <w:tr w:rsidR="0053442B" w:rsidRPr="00F91EC4" w14:paraId="5522971E" w14:textId="77777777" w:rsidTr="00ED7143">
        <w:tblPrEx>
          <w:tblBorders>
            <w:top w:val="single" w:sz="4" w:space="0" w:color="FF0000"/>
            <w:left w:val="single" w:sz="4" w:space="0" w:color="FF0000"/>
            <w:bottom w:val="single" w:sz="4" w:space="0" w:color="FF0000"/>
            <w:right w:val="single" w:sz="4" w:space="0" w:color="FF0000"/>
          </w:tblBorders>
        </w:tblPrEx>
        <w:tc>
          <w:tcPr>
            <w:tcW w:w="3970" w:type="dxa"/>
            <w:vMerge w:val="restart"/>
            <w:tcBorders>
              <w:top w:val="single" w:sz="4" w:space="0" w:color="FF0000"/>
              <w:left w:val="single" w:sz="4" w:space="0" w:color="auto"/>
              <w:bottom w:val="single" w:sz="4" w:space="0" w:color="FF0000"/>
            </w:tcBorders>
            <w:shd w:val="thinDiagStripe" w:color="C0C0C0" w:fill="auto"/>
            <w:vAlign w:val="center"/>
          </w:tcPr>
          <w:p w14:paraId="4BF7C323" w14:textId="77777777" w:rsidR="0053442B" w:rsidRPr="00F91EC4" w:rsidRDefault="0053442B" w:rsidP="00E75061">
            <w:pPr>
              <w:jc w:val="center"/>
              <w:rPr>
                <w:b/>
                <w:noProof/>
              </w:rPr>
            </w:pPr>
          </w:p>
        </w:tc>
        <w:tc>
          <w:tcPr>
            <w:tcW w:w="1559" w:type="dxa"/>
            <w:vAlign w:val="center"/>
          </w:tcPr>
          <w:p w14:paraId="7B05FAA4" w14:textId="77777777" w:rsidR="0053442B" w:rsidRPr="00F91EC4" w:rsidRDefault="0053442B" w:rsidP="00E75061">
            <w:pPr>
              <w:rPr>
                <w:noProof/>
                <w:sz w:val="18"/>
              </w:rPr>
            </w:pPr>
          </w:p>
        </w:tc>
        <w:tc>
          <w:tcPr>
            <w:tcW w:w="567" w:type="dxa"/>
            <w:vAlign w:val="center"/>
          </w:tcPr>
          <w:p w14:paraId="2F6D591E" w14:textId="77777777" w:rsidR="0053442B" w:rsidRPr="00F91EC4" w:rsidRDefault="0053442B" w:rsidP="00E75061">
            <w:pPr>
              <w:jc w:val="center"/>
              <w:rPr>
                <w:noProof/>
                <w:sz w:val="14"/>
              </w:rPr>
            </w:pPr>
          </w:p>
        </w:tc>
        <w:tc>
          <w:tcPr>
            <w:tcW w:w="851" w:type="dxa"/>
            <w:vAlign w:val="center"/>
          </w:tcPr>
          <w:p w14:paraId="1100B156" w14:textId="77777777" w:rsidR="0053442B" w:rsidRPr="00F91EC4" w:rsidRDefault="0053442B">
            <w:pPr>
              <w:spacing w:before="20" w:after="20"/>
              <w:jc w:val="right"/>
              <w:rPr>
                <w:noProof/>
                <w:sz w:val="20"/>
              </w:rPr>
            </w:pPr>
          </w:p>
        </w:tc>
        <w:tc>
          <w:tcPr>
            <w:tcW w:w="850" w:type="dxa"/>
            <w:vAlign w:val="center"/>
          </w:tcPr>
          <w:p w14:paraId="629FF71F" w14:textId="77777777" w:rsidR="0053442B" w:rsidRPr="00F91EC4" w:rsidRDefault="0053442B" w:rsidP="00E75061">
            <w:pPr>
              <w:spacing w:before="20" w:after="20"/>
              <w:jc w:val="right"/>
              <w:rPr>
                <w:noProof/>
                <w:sz w:val="20"/>
              </w:rPr>
            </w:pPr>
          </w:p>
        </w:tc>
        <w:tc>
          <w:tcPr>
            <w:tcW w:w="851" w:type="dxa"/>
            <w:vAlign w:val="center"/>
          </w:tcPr>
          <w:p w14:paraId="2DD85A06" w14:textId="77777777" w:rsidR="0053442B" w:rsidRPr="00F91EC4" w:rsidRDefault="0053442B" w:rsidP="00E75061">
            <w:pPr>
              <w:spacing w:before="20" w:after="20"/>
              <w:jc w:val="right"/>
              <w:rPr>
                <w:noProof/>
                <w:sz w:val="20"/>
              </w:rPr>
            </w:pPr>
          </w:p>
        </w:tc>
        <w:tc>
          <w:tcPr>
            <w:tcW w:w="992" w:type="dxa"/>
            <w:vAlign w:val="center"/>
          </w:tcPr>
          <w:p w14:paraId="60025206" w14:textId="77777777" w:rsidR="0053442B" w:rsidRPr="00F91EC4" w:rsidRDefault="0053442B" w:rsidP="00E75061">
            <w:pPr>
              <w:spacing w:before="20" w:after="20"/>
              <w:jc w:val="right"/>
              <w:rPr>
                <w:noProof/>
                <w:sz w:val="20"/>
              </w:rPr>
            </w:pPr>
          </w:p>
        </w:tc>
        <w:tc>
          <w:tcPr>
            <w:tcW w:w="1701" w:type="dxa"/>
            <w:vAlign w:val="center"/>
          </w:tcPr>
          <w:p w14:paraId="541192B6" w14:textId="77777777" w:rsidR="0053442B" w:rsidRPr="00F91EC4" w:rsidRDefault="0053442B" w:rsidP="00E75061">
            <w:pPr>
              <w:spacing w:before="20" w:after="20"/>
              <w:jc w:val="right"/>
              <w:rPr>
                <w:b/>
                <w:noProof/>
                <w:sz w:val="20"/>
              </w:rPr>
            </w:pPr>
          </w:p>
        </w:tc>
        <w:tc>
          <w:tcPr>
            <w:tcW w:w="1843" w:type="dxa"/>
            <w:tcBorders>
              <w:right w:val="single" w:sz="4" w:space="0" w:color="auto"/>
            </w:tcBorders>
            <w:vAlign w:val="center"/>
          </w:tcPr>
          <w:p w14:paraId="4136247D" w14:textId="77777777" w:rsidR="0053442B" w:rsidRPr="00F91EC4" w:rsidRDefault="0053442B" w:rsidP="00E75061">
            <w:pPr>
              <w:spacing w:before="20" w:after="20"/>
              <w:jc w:val="right"/>
              <w:rPr>
                <w:b/>
                <w:noProof/>
                <w:sz w:val="20"/>
              </w:rPr>
            </w:pPr>
          </w:p>
        </w:tc>
      </w:tr>
      <w:tr w:rsidR="0053442B" w:rsidRPr="00F91EC4" w14:paraId="265E9582" w14:textId="77777777" w:rsidTr="00ED7143">
        <w:tblPrEx>
          <w:tblBorders>
            <w:top w:val="single" w:sz="4" w:space="0" w:color="FF0000"/>
            <w:left w:val="single" w:sz="4" w:space="0" w:color="FF0000"/>
            <w:bottom w:val="single" w:sz="4" w:space="0" w:color="FF0000"/>
            <w:right w:val="single" w:sz="4" w:space="0" w:color="FF0000"/>
          </w:tblBorders>
        </w:tblPrEx>
        <w:tc>
          <w:tcPr>
            <w:tcW w:w="3970" w:type="dxa"/>
            <w:vMerge/>
            <w:tcBorders>
              <w:top w:val="single" w:sz="4" w:space="0" w:color="FF0000"/>
              <w:left w:val="single" w:sz="4" w:space="0" w:color="auto"/>
              <w:bottom w:val="single" w:sz="4" w:space="0" w:color="auto"/>
            </w:tcBorders>
            <w:shd w:val="thinDiagStripe" w:color="C0C0C0" w:fill="auto"/>
          </w:tcPr>
          <w:p w14:paraId="2B0C2D38" w14:textId="77777777" w:rsidR="0053442B" w:rsidRPr="00F91EC4" w:rsidRDefault="0053442B" w:rsidP="00E75061">
            <w:pPr>
              <w:rPr>
                <w:noProof/>
                <w:sz w:val="20"/>
              </w:rPr>
            </w:pPr>
          </w:p>
        </w:tc>
        <w:tc>
          <w:tcPr>
            <w:tcW w:w="1559" w:type="dxa"/>
            <w:tcBorders>
              <w:bottom w:val="single" w:sz="4" w:space="0" w:color="auto"/>
            </w:tcBorders>
            <w:vAlign w:val="center"/>
          </w:tcPr>
          <w:p w14:paraId="0D2F9696" w14:textId="77777777" w:rsidR="0053442B" w:rsidRPr="00F91EC4" w:rsidRDefault="0053442B" w:rsidP="00E75061">
            <w:pPr>
              <w:rPr>
                <w:noProof/>
                <w:sz w:val="18"/>
              </w:rPr>
            </w:pPr>
          </w:p>
        </w:tc>
        <w:tc>
          <w:tcPr>
            <w:tcW w:w="567" w:type="dxa"/>
            <w:tcBorders>
              <w:bottom w:val="single" w:sz="4" w:space="0" w:color="auto"/>
            </w:tcBorders>
            <w:vAlign w:val="center"/>
          </w:tcPr>
          <w:p w14:paraId="75B0B8C7" w14:textId="77777777" w:rsidR="0053442B" w:rsidRPr="00F91EC4" w:rsidRDefault="0053442B" w:rsidP="00E75061">
            <w:pPr>
              <w:jc w:val="center"/>
              <w:rPr>
                <w:noProof/>
                <w:sz w:val="14"/>
              </w:rPr>
            </w:pPr>
          </w:p>
        </w:tc>
        <w:tc>
          <w:tcPr>
            <w:tcW w:w="851" w:type="dxa"/>
            <w:tcBorders>
              <w:bottom w:val="single" w:sz="4" w:space="0" w:color="auto"/>
            </w:tcBorders>
            <w:vAlign w:val="center"/>
          </w:tcPr>
          <w:p w14:paraId="17ADA4A7" w14:textId="77777777" w:rsidR="0053442B" w:rsidRPr="00F91EC4" w:rsidRDefault="0053442B" w:rsidP="00E75061">
            <w:pPr>
              <w:spacing w:before="20" w:after="20"/>
              <w:jc w:val="right"/>
              <w:rPr>
                <w:noProof/>
                <w:sz w:val="20"/>
              </w:rPr>
            </w:pPr>
          </w:p>
        </w:tc>
        <w:tc>
          <w:tcPr>
            <w:tcW w:w="850" w:type="dxa"/>
            <w:tcBorders>
              <w:bottom w:val="single" w:sz="4" w:space="0" w:color="auto"/>
            </w:tcBorders>
            <w:vAlign w:val="center"/>
          </w:tcPr>
          <w:p w14:paraId="7B9265F8" w14:textId="77777777" w:rsidR="0053442B" w:rsidRPr="00F91EC4" w:rsidRDefault="0053442B" w:rsidP="008305AE">
            <w:pPr>
              <w:spacing w:before="20" w:after="20"/>
              <w:jc w:val="right"/>
              <w:rPr>
                <w:noProof/>
                <w:sz w:val="20"/>
              </w:rPr>
            </w:pPr>
          </w:p>
        </w:tc>
        <w:tc>
          <w:tcPr>
            <w:tcW w:w="851" w:type="dxa"/>
            <w:tcBorders>
              <w:bottom w:val="single" w:sz="4" w:space="0" w:color="auto"/>
            </w:tcBorders>
            <w:vAlign w:val="center"/>
          </w:tcPr>
          <w:p w14:paraId="3A5EC9FD" w14:textId="77777777" w:rsidR="0053442B" w:rsidRPr="00F91EC4" w:rsidRDefault="0053442B" w:rsidP="00E75061">
            <w:pPr>
              <w:spacing w:before="20" w:after="20"/>
              <w:jc w:val="right"/>
              <w:rPr>
                <w:noProof/>
                <w:sz w:val="20"/>
              </w:rPr>
            </w:pPr>
          </w:p>
        </w:tc>
        <w:tc>
          <w:tcPr>
            <w:tcW w:w="992" w:type="dxa"/>
            <w:tcBorders>
              <w:bottom w:val="single" w:sz="4" w:space="0" w:color="auto"/>
            </w:tcBorders>
            <w:vAlign w:val="center"/>
          </w:tcPr>
          <w:p w14:paraId="6177C227" w14:textId="77777777" w:rsidR="0053442B" w:rsidRPr="00F91EC4" w:rsidRDefault="0053442B" w:rsidP="00E75061">
            <w:pPr>
              <w:spacing w:before="20" w:after="20"/>
              <w:jc w:val="right"/>
              <w:rPr>
                <w:noProof/>
                <w:sz w:val="20"/>
              </w:rPr>
            </w:pPr>
          </w:p>
        </w:tc>
        <w:tc>
          <w:tcPr>
            <w:tcW w:w="1701" w:type="dxa"/>
            <w:tcBorders>
              <w:bottom w:val="single" w:sz="4" w:space="0" w:color="auto"/>
            </w:tcBorders>
            <w:vAlign w:val="center"/>
          </w:tcPr>
          <w:p w14:paraId="4A604ACD" w14:textId="77777777" w:rsidR="0053442B" w:rsidRPr="00F91EC4" w:rsidRDefault="0053442B" w:rsidP="008305AE">
            <w:pPr>
              <w:spacing w:before="20" w:after="20"/>
              <w:jc w:val="right"/>
              <w:rPr>
                <w:b/>
                <w:noProof/>
                <w:sz w:val="20"/>
              </w:rPr>
            </w:pPr>
          </w:p>
        </w:tc>
        <w:tc>
          <w:tcPr>
            <w:tcW w:w="1843" w:type="dxa"/>
            <w:tcBorders>
              <w:bottom w:val="single" w:sz="4" w:space="0" w:color="auto"/>
              <w:right w:val="single" w:sz="4" w:space="0" w:color="auto"/>
            </w:tcBorders>
            <w:vAlign w:val="center"/>
          </w:tcPr>
          <w:p w14:paraId="6B22853E" w14:textId="77777777" w:rsidR="0053442B" w:rsidRPr="00F91EC4" w:rsidRDefault="0053442B" w:rsidP="00E75061">
            <w:pPr>
              <w:spacing w:before="20" w:after="20"/>
              <w:jc w:val="right"/>
              <w:rPr>
                <w:b/>
                <w:noProof/>
                <w:sz w:val="20"/>
              </w:rPr>
            </w:pPr>
          </w:p>
        </w:tc>
      </w:tr>
    </w:tbl>
    <w:p w14:paraId="159A6AFB" w14:textId="77777777" w:rsidR="001C1F27" w:rsidRPr="00F91EC4" w:rsidRDefault="001C1F27" w:rsidP="001C1F27">
      <w:pPr>
        <w:rPr>
          <w:noProof/>
        </w:rPr>
      </w:pPr>
    </w:p>
    <w:tbl>
      <w:tblPr>
        <w:tblW w:w="0" w:type="auto"/>
        <w:tblInd w:w="-318"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70"/>
        <w:gridCol w:w="1559"/>
        <w:gridCol w:w="567"/>
        <w:gridCol w:w="851"/>
        <w:gridCol w:w="850"/>
        <w:gridCol w:w="851"/>
        <w:gridCol w:w="992"/>
        <w:gridCol w:w="1701"/>
        <w:gridCol w:w="1843"/>
      </w:tblGrid>
      <w:tr w:rsidR="00D014CD" w:rsidRPr="00F91EC4" w14:paraId="60C1403B" w14:textId="77777777" w:rsidTr="00D014CD">
        <w:trPr>
          <w:trHeight w:val="277"/>
        </w:trPr>
        <w:tc>
          <w:tcPr>
            <w:tcW w:w="3970" w:type="dxa"/>
            <w:vMerge w:val="restart"/>
            <w:tcBorders>
              <w:top w:val="single" w:sz="4" w:space="0" w:color="auto"/>
              <w:left w:val="single" w:sz="4" w:space="0" w:color="auto"/>
              <w:bottom w:val="single" w:sz="4" w:space="0" w:color="FF0000"/>
            </w:tcBorders>
            <w:vAlign w:val="center"/>
          </w:tcPr>
          <w:p w14:paraId="6006CEFC" w14:textId="77777777" w:rsidR="00D014CD" w:rsidRPr="00F91EC4" w:rsidRDefault="00D014CD" w:rsidP="00D014CD">
            <w:pPr>
              <w:spacing w:before="20" w:after="20"/>
              <w:rPr>
                <w:noProof/>
              </w:rPr>
            </w:pPr>
            <w:r w:rsidRPr="00F91EC4">
              <w:rPr>
                <w:rFonts w:ascii="Wingdings" w:eastAsia="Wingdings" w:hAnsi="Wingdings" w:cs="Wingdings"/>
                <w:noProof/>
                <w:sz w:val="21"/>
              </w:rPr>
              <w:t>□</w:t>
            </w:r>
            <w:r w:rsidRPr="00F91EC4">
              <w:rPr>
                <w:noProof/>
                <w:sz w:val="21"/>
              </w:rPr>
              <w:t xml:space="preserve"> TOTAL operational appropriations (all operational headings)</w:t>
            </w:r>
          </w:p>
        </w:tc>
        <w:tc>
          <w:tcPr>
            <w:tcW w:w="1559" w:type="dxa"/>
            <w:tcBorders>
              <w:top w:val="single" w:sz="4" w:space="0" w:color="auto"/>
            </w:tcBorders>
            <w:vAlign w:val="center"/>
          </w:tcPr>
          <w:p w14:paraId="003F9568" w14:textId="77777777" w:rsidR="00D014CD" w:rsidRPr="00F91EC4" w:rsidRDefault="00D014CD" w:rsidP="00D014CD">
            <w:pPr>
              <w:spacing w:beforeLines="20" w:before="48" w:afterLines="20" w:after="48"/>
              <w:rPr>
                <w:noProof/>
                <w:sz w:val="18"/>
              </w:rPr>
            </w:pPr>
            <w:r w:rsidRPr="00F91EC4">
              <w:rPr>
                <w:noProof/>
                <w:sz w:val="18"/>
              </w:rPr>
              <w:t>Commitments</w:t>
            </w:r>
          </w:p>
        </w:tc>
        <w:tc>
          <w:tcPr>
            <w:tcW w:w="567" w:type="dxa"/>
            <w:tcBorders>
              <w:top w:val="single" w:sz="4" w:space="0" w:color="auto"/>
            </w:tcBorders>
            <w:vAlign w:val="center"/>
          </w:tcPr>
          <w:p w14:paraId="225373ED" w14:textId="77777777" w:rsidR="00D014CD" w:rsidRPr="00F91EC4" w:rsidRDefault="00D014CD" w:rsidP="00D014CD">
            <w:pPr>
              <w:spacing w:beforeLines="20" w:before="48" w:afterLines="20" w:after="48"/>
              <w:jc w:val="center"/>
              <w:rPr>
                <w:noProof/>
                <w:sz w:val="14"/>
              </w:rPr>
            </w:pPr>
            <w:r w:rsidRPr="00F91EC4">
              <w:rPr>
                <w:noProof/>
                <w:sz w:val="14"/>
              </w:rPr>
              <w:t>(4)</w:t>
            </w:r>
          </w:p>
        </w:tc>
        <w:tc>
          <w:tcPr>
            <w:tcW w:w="851" w:type="dxa"/>
            <w:tcBorders>
              <w:top w:val="single" w:sz="4" w:space="0" w:color="auto"/>
            </w:tcBorders>
            <w:vAlign w:val="center"/>
          </w:tcPr>
          <w:p w14:paraId="769306F7" w14:textId="77777777" w:rsidR="00D014CD" w:rsidRPr="00F91EC4" w:rsidRDefault="00D014CD" w:rsidP="00D014CD">
            <w:pPr>
              <w:spacing w:before="20" w:after="20"/>
              <w:jc w:val="right"/>
              <w:rPr>
                <w:noProof/>
                <w:sz w:val="20"/>
              </w:rPr>
            </w:pPr>
          </w:p>
        </w:tc>
        <w:tc>
          <w:tcPr>
            <w:tcW w:w="850" w:type="dxa"/>
            <w:tcBorders>
              <w:top w:val="single" w:sz="4" w:space="0" w:color="auto"/>
            </w:tcBorders>
            <w:vAlign w:val="center"/>
          </w:tcPr>
          <w:p w14:paraId="017F1EFB" w14:textId="77777777" w:rsidR="00D014CD" w:rsidRPr="00F91EC4" w:rsidRDefault="00D014CD" w:rsidP="00D014CD">
            <w:pPr>
              <w:spacing w:before="20" w:after="20"/>
              <w:jc w:val="right"/>
              <w:rPr>
                <w:noProof/>
                <w:sz w:val="20"/>
              </w:rPr>
            </w:pPr>
          </w:p>
        </w:tc>
        <w:tc>
          <w:tcPr>
            <w:tcW w:w="851" w:type="dxa"/>
            <w:tcBorders>
              <w:top w:val="single" w:sz="4" w:space="0" w:color="auto"/>
            </w:tcBorders>
            <w:vAlign w:val="center"/>
          </w:tcPr>
          <w:p w14:paraId="04D4305F" w14:textId="77777777" w:rsidR="00D014CD" w:rsidRPr="00F91EC4" w:rsidRDefault="00D014CD" w:rsidP="00D014CD">
            <w:pPr>
              <w:spacing w:before="20" w:after="20"/>
              <w:jc w:val="right"/>
              <w:rPr>
                <w:noProof/>
                <w:sz w:val="20"/>
              </w:rPr>
            </w:pPr>
          </w:p>
        </w:tc>
        <w:tc>
          <w:tcPr>
            <w:tcW w:w="992" w:type="dxa"/>
            <w:tcBorders>
              <w:top w:val="single" w:sz="4" w:space="0" w:color="auto"/>
            </w:tcBorders>
            <w:vAlign w:val="center"/>
          </w:tcPr>
          <w:p w14:paraId="5B504DEE" w14:textId="77777777" w:rsidR="00D014CD" w:rsidRPr="00F91EC4" w:rsidRDefault="00D014CD" w:rsidP="00D014CD">
            <w:pPr>
              <w:spacing w:before="20" w:after="20"/>
              <w:jc w:val="right"/>
              <w:rPr>
                <w:noProof/>
                <w:sz w:val="20"/>
              </w:rPr>
            </w:pPr>
          </w:p>
        </w:tc>
        <w:tc>
          <w:tcPr>
            <w:tcW w:w="1701" w:type="dxa"/>
            <w:tcBorders>
              <w:top w:val="single" w:sz="4" w:space="0" w:color="auto"/>
            </w:tcBorders>
            <w:vAlign w:val="center"/>
          </w:tcPr>
          <w:p w14:paraId="32CA893F" w14:textId="77777777" w:rsidR="00D014CD" w:rsidRPr="00F91EC4" w:rsidRDefault="00D014CD" w:rsidP="00D014CD">
            <w:pPr>
              <w:spacing w:before="20" w:after="20"/>
              <w:jc w:val="right"/>
              <w:rPr>
                <w:b/>
                <w:noProof/>
                <w:sz w:val="20"/>
              </w:rPr>
            </w:pPr>
          </w:p>
        </w:tc>
        <w:tc>
          <w:tcPr>
            <w:tcW w:w="1843" w:type="dxa"/>
            <w:tcBorders>
              <w:top w:val="single" w:sz="4" w:space="0" w:color="auto"/>
              <w:right w:val="single" w:sz="4" w:space="0" w:color="auto"/>
            </w:tcBorders>
            <w:vAlign w:val="center"/>
          </w:tcPr>
          <w:p w14:paraId="1F00120D" w14:textId="77777777" w:rsidR="00D014CD" w:rsidRPr="00F91EC4" w:rsidRDefault="00D014CD" w:rsidP="00D014CD">
            <w:pPr>
              <w:spacing w:before="20" w:after="20"/>
              <w:jc w:val="right"/>
              <w:rPr>
                <w:b/>
                <w:noProof/>
                <w:sz w:val="20"/>
              </w:rPr>
            </w:pPr>
          </w:p>
        </w:tc>
      </w:tr>
      <w:tr w:rsidR="00D014CD" w:rsidRPr="00F91EC4" w14:paraId="0FEA4CBD" w14:textId="77777777" w:rsidTr="00D014CD">
        <w:tc>
          <w:tcPr>
            <w:tcW w:w="3970" w:type="dxa"/>
            <w:vMerge/>
            <w:tcBorders>
              <w:top w:val="single" w:sz="4" w:space="0" w:color="FF0000"/>
              <w:left w:val="single" w:sz="4" w:space="0" w:color="auto"/>
              <w:bottom w:val="single" w:sz="4" w:space="0" w:color="FF0000"/>
            </w:tcBorders>
          </w:tcPr>
          <w:p w14:paraId="70CA0A85" w14:textId="77777777" w:rsidR="00D014CD" w:rsidRPr="00F91EC4" w:rsidRDefault="00D014CD" w:rsidP="00D014CD">
            <w:pPr>
              <w:jc w:val="center"/>
              <w:rPr>
                <w:noProof/>
                <w:sz w:val="20"/>
              </w:rPr>
            </w:pPr>
          </w:p>
        </w:tc>
        <w:tc>
          <w:tcPr>
            <w:tcW w:w="1559" w:type="dxa"/>
            <w:vAlign w:val="center"/>
          </w:tcPr>
          <w:p w14:paraId="12029086" w14:textId="77777777" w:rsidR="00D014CD" w:rsidRPr="00F91EC4" w:rsidRDefault="00D014CD" w:rsidP="00D014CD">
            <w:pPr>
              <w:spacing w:beforeLines="20" w:before="48" w:afterLines="20" w:after="48"/>
              <w:rPr>
                <w:noProof/>
                <w:sz w:val="18"/>
              </w:rPr>
            </w:pPr>
            <w:r w:rsidRPr="00F91EC4">
              <w:rPr>
                <w:noProof/>
                <w:sz w:val="18"/>
              </w:rPr>
              <w:t>Payments</w:t>
            </w:r>
          </w:p>
        </w:tc>
        <w:tc>
          <w:tcPr>
            <w:tcW w:w="567" w:type="dxa"/>
            <w:vAlign w:val="center"/>
          </w:tcPr>
          <w:p w14:paraId="076F1011" w14:textId="77777777" w:rsidR="00D014CD" w:rsidRPr="00F91EC4" w:rsidRDefault="00D014CD" w:rsidP="00D014CD">
            <w:pPr>
              <w:spacing w:beforeLines="20" w:before="48" w:afterLines="20" w:after="48"/>
              <w:jc w:val="center"/>
              <w:rPr>
                <w:noProof/>
                <w:sz w:val="14"/>
              </w:rPr>
            </w:pPr>
            <w:r w:rsidRPr="00F91EC4">
              <w:rPr>
                <w:noProof/>
                <w:sz w:val="14"/>
              </w:rPr>
              <w:t>(5)</w:t>
            </w:r>
          </w:p>
        </w:tc>
        <w:tc>
          <w:tcPr>
            <w:tcW w:w="851" w:type="dxa"/>
            <w:vAlign w:val="center"/>
          </w:tcPr>
          <w:p w14:paraId="4AC8162C" w14:textId="77777777" w:rsidR="00D014CD" w:rsidRPr="00F91EC4" w:rsidRDefault="00D014CD" w:rsidP="00D014CD">
            <w:pPr>
              <w:spacing w:before="20" w:after="20"/>
              <w:jc w:val="right"/>
              <w:rPr>
                <w:noProof/>
                <w:sz w:val="20"/>
              </w:rPr>
            </w:pPr>
          </w:p>
        </w:tc>
        <w:tc>
          <w:tcPr>
            <w:tcW w:w="850" w:type="dxa"/>
            <w:vAlign w:val="center"/>
          </w:tcPr>
          <w:p w14:paraId="79076016" w14:textId="77777777" w:rsidR="00D014CD" w:rsidRPr="00F91EC4" w:rsidRDefault="00D014CD" w:rsidP="00D014CD">
            <w:pPr>
              <w:spacing w:before="20" w:after="20"/>
              <w:jc w:val="right"/>
              <w:rPr>
                <w:noProof/>
                <w:sz w:val="20"/>
              </w:rPr>
            </w:pPr>
          </w:p>
        </w:tc>
        <w:tc>
          <w:tcPr>
            <w:tcW w:w="851" w:type="dxa"/>
            <w:vAlign w:val="center"/>
          </w:tcPr>
          <w:p w14:paraId="2AFE1E7C" w14:textId="77777777" w:rsidR="00D014CD" w:rsidRPr="00F91EC4" w:rsidRDefault="00D014CD" w:rsidP="00D014CD">
            <w:pPr>
              <w:spacing w:before="20" w:after="20"/>
              <w:jc w:val="right"/>
              <w:rPr>
                <w:noProof/>
                <w:sz w:val="20"/>
              </w:rPr>
            </w:pPr>
          </w:p>
        </w:tc>
        <w:tc>
          <w:tcPr>
            <w:tcW w:w="992" w:type="dxa"/>
            <w:vAlign w:val="center"/>
          </w:tcPr>
          <w:p w14:paraId="71E44380" w14:textId="77777777" w:rsidR="00D014CD" w:rsidRPr="00F91EC4" w:rsidRDefault="00D014CD" w:rsidP="00D014CD">
            <w:pPr>
              <w:spacing w:before="20" w:after="20"/>
              <w:jc w:val="right"/>
              <w:rPr>
                <w:noProof/>
                <w:sz w:val="20"/>
              </w:rPr>
            </w:pPr>
          </w:p>
        </w:tc>
        <w:tc>
          <w:tcPr>
            <w:tcW w:w="1701" w:type="dxa"/>
            <w:vAlign w:val="center"/>
          </w:tcPr>
          <w:p w14:paraId="5CFE7824" w14:textId="77777777" w:rsidR="00D014CD" w:rsidRPr="00F91EC4" w:rsidRDefault="00D014CD" w:rsidP="00D014CD">
            <w:pPr>
              <w:spacing w:before="20" w:after="20"/>
              <w:jc w:val="right"/>
              <w:rPr>
                <w:b/>
                <w:noProof/>
                <w:sz w:val="20"/>
              </w:rPr>
            </w:pPr>
          </w:p>
        </w:tc>
        <w:tc>
          <w:tcPr>
            <w:tcW w:w="1843" w:type="dxa"/>
            <w:tcBorders>
              <w:right w:val="single" w:sz="4" w:space="0" w:color="auto"/>
            </w:tcBorders>
            <w:vAlign w:val="center"/>
          </w:tcPr>
          <w:p w14:paraId="2953D39F" w14:textId="77777777" w:rsidR="00D014CD" w:rsidRPr="00F91EC4" w:rsidRDefault="00D014CD" w:rsidP="00D014CD">
            <w:pPr>
              <w:spacing w:before="20" w:after="20"/>
              <w:jc w:val="right"/>
              <w:rPr>
                <w:b/>
                <w:noProof/>
                <w:sz w:val="20"/>
              </w:rPr>
            </w:pPr>
          </w:p>
        </w:tc>
      </w:tr>
      <w:tr w:rsidR="00D014CD" w:rsidRPr="00F91EC4" w14:paraId="160F81BA" w14:textId="77777777" w:rsidTr="00D014CD">
        <w:tblPrEx>
          <w:tblBorders>
            <w:top w:val="single" w:sz="4" w:space="0" w:color="auto"/>
            <w:left w:val="single" w:sz="4" w:space="0" w:color="auto"/>
            <w:bottom w:val="single" w:sz="4" w:space="0" w:color="auto"/>
            <w:right w:val="single" w:sz="4" w:space="0" w:color="auto"/>
          </w:tblBorders>
        </w:tblPrEx>
        <w:trPr>
          <w:trHeight w:val="533"/>
        </w:trPr>
        <w:tc>
          <w:tcPr>
            <w:tcW w:w="5529" w:type="dxa"/>
            <w:gridSpan w:val="2"/>
            <w:vAlign w:val="center"/>
          </w:tcPr>
          <w:p w14:paraId="2A8E9733" w14:textId="77777777" w:rsidR="00D014CD" w:rsidRPr="00F91EC4" w:rsidRDefault="00D014CD" w:rsidP="00D014CD">
            <w:pPr>
              <w:spacing w:beforeLines="20" w:before="48" w:afterLines="20" w:after="48"/>
              <w:rPr>
                <w:noProof/>
              </w:rPr>
            </w:pPr>
            <w:r w:rsidRPr="00F91EC4">
              <w:rPr>
                <w:noProof/>
                <w:sz w:val="21"/>
              </w:rPr>
              <w:t xml:space="preserve"> TOTAL appropriations of an administrative nature financed from the envelope for specific programmes (all operational headings)</w:t>
            </w:r>
          </w:p>
        </w:tc>
        <w:tc>
          <w:tcPr>
            <w:tcW w:w="567" w:type="dxa"/>
            <w:vAlign w:val="center"/>
          </w:tcPr>
          <w:p w14:paraId="3B4B3D45" w14:textId="77777777" w:rsidR="00D014CD" w:rsidRPr="00F91EC4" w:rsidRDefault="00D014CD" w:rsidP="00D014CD">
            <w:pPr>
              <w:rPr>
                <w:noProof/>
              </w:rPr>
            </w:pPr>
          </w:p>
          <w:p w14:paraId="507A4D51" w14:textId="77777777" w:rsidR="00D014CD" w:rsidRPr="00F91EC4" w:rsidRDefault="00D014CD" w:rsidP="00D014CD">
            <w:pPr>
              <w:spacing w:beforeLines="20" w:before="48" w:afterLines="20" w:after="48"/>
              <w:jc w:val="center"/>
              <w:rPr>
                <w:noProof/>
                <w:sz w:val="14"/>
              </w:rPr>
            </w:pPr>
            <w:r w:rsidRPr="00F91EC4">
              <w:rPr>
                <w:noProof/>
                <w:sz w:val="14"/>
              </w:rPr>
              <w:t>(6)</w:t>
            </w:r>
          </w:p>
        </w:tc>
        <w:tc>
          <w:tcPr>
            <w:tcW w:w="851" w:type="dxa"/>
            <w:vAlign w:val="center"/>
          </w:tcPr>
          <w:p w14:paraId="7EF500AD" w14:textId="77777777" w:rsidR="00D014CD" w:rsidRPr="00F91EC4" w:rsidRDefault="00D014CD" w:rsidP="00D014CD">
            <w:pPr>
              <w:spacing w:before="20" w:after="20"/>
              <w:jc w:val="right"/>
              <w:rPr>
                <w:b/>
                <w:noProof/>
                <w:sz w:val="20"/>
              </w:rPr>
            </w:pPr>
          </w:p>
        </w:tc>
        <w:tc>
          <w:tcPr>
            <w:tcW w:w="850" w:type="dxa"/>
            <w:vAlign w:val="center"/>
          </w:tcPr>
          <w:p w14:paraId="1827EE67" w14:textId="77777777" w:rsidR="00D014CD" w:rsidRPr="00F91EC4" w:rsidRDefault="00D014CD" w:rsidP="00D014CD">
            <w:pPr>
              <w:spacing w:before="20" w:after="20"/>
              <w:jc w:val="right"/>
              <w:rPr>
                <w:b/>
                <w:noProof/>
                <w:sz w:val="20"/>
              </w:rPr>
            </w:pPr>
          </w:p>
        </w:tc>
        <w:tc>
          <w:tcPr>
            <w:tcW w:w="851" w:type="dxa"/>
            <w:vAlign w:val="center"/>
          </w:tcPr>
          <w:p w14:paraId="4EF19B24" w14:textId="77777777" w:rsidR="00D014CD" w:rsidRPr="00F91EC4" w:rsidRDefault="00D014CD" w:rsidP="00D014CD">
            <w:pPr>
              <w:spacing w:before="20" w:after="20"/>
              <w:jc w:val="right"/>
              <w:rPr>
                <w:b/>
                <w:noProof/>
                <w:sz w:val="20"/>
              </w:rPr>
            </w:pPr>
          </w:p>
        </w:tc>
        <w:tc>
          <w:tcPr>
            <w:tcW w:w="992" w:type="dxa"/>
            <w:vAlign w:val="center"/>
          </w:tcPr>
          <w:p w14:paraId="25D996FC" w14:textId="77777777" w:rsidR="00D014CD" w:rsidRPr="00F91EC4" w:rsidRDefault="00D014CD" w:rsidP="00D014CD">
            <w:pPr>
              <w:spacing w:before="20" w:after="20"/>
              <w:jc w:val="right"/>
              <w:rPr>
                <w:b/>
                <w:noProof/>
                <w:sz w:val="20"/>
              </w:rPr>
            </w:pPr>
          </w:p>
        </w:tc>
        <w:tc>
          <w:tcPr>
            <w:tcW w:w="1701" w:type="dxa"/>
            <w:vAlign w:val="center"/>
          </w:tcPr>
          <w:p w14:paraId="27821265" w14:textId="77777777" w:rsidR="00D014CD" w:rsidRPr="00F91EC4" w:rsidRDefault="00D014CD" w:rsidP="00D014CD">
            <w:pPr>
              <w:spacing w:before="20" w:after="20"/>
              <w:jc w:val="right"/>
              <w:rPr>
                <w:b/>
                <w:noProof/>
                <w:sz w:val="20"/>
              </w:rPr>
            </w:pPr>
          </w:p>
        </w:tc>
        <w:tc>
          <w:tcPr>
            <w:tcW w:w="1843" w:type="dxa"/>
            <w:vAlign w:val="center"/>
          </w:tcPr>
          <w:p w14:paraId="44088628" w14:textId="77777777" w:rsidR="00D014CD" w:rsidRPr="00F91EC4" w:rsidRDefault="00D014CD" w:rsidP="00D014CD">
            <w:pPr>
              <w:spacing w:before="20" w:after="20"/>
              <w:jc w:val="right"/>
              <w:rPr>
                <w:b/>
                <w:noProof/>
                <w:sz w:val="20"/>
              </w:rPr>
            </w:pPr>
          </w:p>
        </w:tc>
      </w:tr>
      <w:tr w:rsidR="00D014CD" w:rsidRPr="00F91EC4" w14:paraId="2395B359" w14:textId="77777777" w:rsidTr="00D014CD">
        <w:tc>
          <w:tcPr>
            <w:tcW w:w="3970" w:type="dxa"/>
            <w:vMerge w:val="restart"/>
            <w:tcBorders>
              <w:top w:val="single" w:sz="4" w:space="0" w:color="FF0000"/>
              <w:left w:val="single" w:sz="4" w:space="0" w:color="auto"/>
              <w:bottom w:val="single" w:sz="4" w:space="0" w:color="FF0000"/>
            </w:tcBorders>
            <w:shd w:val="thinDiagStripe" w:color="C0C0C0" w:fill="auto"/>
            <w:vAlign w:val="center"/>
          </w:tcPr>
          <w:p w14:paraId="6BF08433" w14:textId="77777777" w:rsidR="00D014CD" w:rsidRPr="00F91EC4" w:rsidRDefault="00D014CD" w:rsidP="00D014CD">
            <w:pPr>
              <w:jc w:val="center"/>
              <w:rPr>
                <w:b/>
                <w:noProof/>
              </w:rPr>
            </w:pPr>
            <w:r w:rsidRPr="00F91EC4">
              <w:rPr>
                <w:b/>
                <w:noProof/>
                <w:sz w:val="22"/>
              </w:rPr>
              <w:t xml:space="preserve">TOTAL appropriations </w:t>
            </w:r>
            <w:r w:rsidRPr="00F91EC4">
              <w:rPr>
                <w:noProof/>
                <w:sz w:val="22"/>
              </w:rPr>
              <w:br/>
            </w:r>
            <w:r w:rsidRPr="00F91EC4">
              <w:rPr>
                <w:b/>
                <w:noProof/>
                <w:sz w:val="22"/>
              </w:rPr>
              <w:t>under HEADINGS 1 to 6</w:t>
            </w:r>
            <w:r w:rsidRPr="00F91EC4">
              <w:rPr>
                <w:noProof/>
                <w:sz w:val="22"/>
              </w:rPr>
              <w:br/>
              <w:t>of the multiannual financial framework</w:t>
            </w:r>
            <w:r w:rsidRPr="00F91EC4">
              <w:rPr>
                <w:noProof/>
                <w:sz w:val="22"/>
              </w:rPr>
              <w:br/>
            </w:r>
            <w:r w:rsidRPr="00F91EC4">
              <w:rPr>
                <w:noProof/>
                <w:sz w:val="20"/>
              </w:rPr>
              <w:t>(Reference amount)</w:t>
            </w:r>
          </w:p>
        </w:tc>
        <w:tc>
          <w:tcPr>
            <w:tcW w:w="1559" w:type="dxa"/>
            <w:vAlign w:val="center"/>
          </w:tcPr>
          <w:p w14:paraId="050C8B3F" w14:textId="77777777" w:rsidR="00D014CD" w:rsidRPr="00F91EC4" w:rsidRDefault="00D014CD" w:rsidP="00D014CD">
            <w:pPr>
              <w:rPr>
                <w:noProof/>
                <w:sz w:val="18"/>
              </w:rPr>
            </w:pPr>
            <w:r w:rsidRPr="00F91EC4">
              <w:rPr>
                <w:noProof/>
                <w:sz w:val="18"/>
              </w:rPr>
              <w:t>Commitments</w:t>
            </w:r>
          </w:p>
        </w:tc>
        <w:tc>
          <w:tcPr>
            <w:tcW w:w="567" w:type="dxa"/>
            <w:vAlign w:val="center"/>
          </w:tcPr>
          <w:p w14:paraId="4D46A6F5" w14:textId="77777777" w:rsidR="00D014CD" w:rsidRPr="00F91EC4" w:rsidRDefault="00D014CD" w:rsidP="00D014CD">
            <w:pPr>
              <w:jc w:val="center"/>
              <w:rPr>
                <w:noProof/>
                <w:sz w:val="14"/>
              </w:rPr>
            </w:pPr>
            <w:r w:rsidRPr="00F91EC4">
              <w:rPr>
                <w:noProof/>
                <w:sz w:val="14"/>
              </w:rPr>
              <w:t>=4+ 6</w:t>
            </w:r>
          </w:p>
        </w:tc>
        <w:tc>
          <w:tcPr>
            <w:tcW w:w="851" w:type="dxa"/>
            <w:vAlign w:val="center"/>
          </w:tcPr>
          <w:p w14:paraId="2A7FF240" w14:textId="77777777" w:rsidR="00D014CD" w:rsidRPr="00F91EC4" w:rsidRDefault="00D014CD" w:rsidP="00D014CD">
            <w:pPr>
              <w:spacing w:before="20" w:after="20"/>
              <w:jc w:val="right"/>
              <w:rPr>
                <w:noProof/>
                <w:sz w:val="20"/>
              </w:rPr>
            </w:pPr>
            <w:r w:rsidRPr="00F91EC4">
              <w:rPr>
                <w:noProof/>
                <w:sz w:val="20"/>
              </w:rPr>
              <w:t>1.230</w:t>
            </w:r>
          </w:p>
        </w:tc>
        <w:tc>
          <w:tcPr>
            <w:tcW w:w="850" w:type="dxa"/>
            <w:vAlign w:val="center"/>
          </w:tcPr>
          <w:p w14:paraId="097D54A6" w14:textId="77777777" w:rsidR="00D014CD" w:rsidRPr="00F91EC4" w:rsidRDefault="00D014CD" w:rsidP="00D014CD">
            <w:pPr>
              <w:spacing w:before="20" w:after="20"/>
              <w:jc w:val="right"/>
              <w:rPr>
                <w:noProof/>
                <w:sz w:val="20"/>
              </w:rPr>
            </w:pPr>
            <w:r w:rsidRPr="00F91EC4">
              <w:rPr>
                <w:noProof/>
                <w:sz w:val="20"/>
              </w:rPr>
              <w:t>1.030</w:t>
            </w:r>
          </w:p>
        </w:tc>
        <w:tc>
          <w:tcPr>
            <w:tcW w:w="851" w:type="dxa"/>
            <w:vAlign w:val="center"/>
          </w:tcPr>
          <w:p w14:paraId="28251E27" w14:textId="77777777" w:rsidR="00D014CD" w:rsidRPr="00F91EC4" w:rsidRDefault="00D014CD" w:rsidP="00D014CD">
            <w:pPr>
              <w:spacing w:before="20" w:after="20"/>
              <w:jc w:val="right"/>
              <w:rPr>
                <w:noProof/>
                <w:sz w:val="20"/>
              </w:rPr>
            </w:pPr>
          </w:p>
        </w:tc>
        <w:tc>
          <w:tcPr>
            <w:tcW w:w="992" w:type="dxa"/>
            <w:vAlign w:val="center"/>
          </w:tcPr>
          <w:p w14:paraId="33027A56" w14:textId="77777777" w:rsidR="00D014CD" w:rsidRPr="00F91EC4" w:rsidRDefault="00D014CD" w:rsidP="00D014CD">
            <w:pPr>
              <w:spacing w:before="20" w:after="20"/>
              <w:jc w:val="right"/>
              <w:rPr>
                <w:noProof/>
                <w:sz w:val="20"/>
              </w:rPr>
            </w:pPr>
          </w:p>
        </w:tc>
        <w:tc>
          <w:tcPr>
            <w:tcW w:w="1701" w:type="dxa"/>
            <w:vAlign w:val="center"/>
          </w:tcPr>
          <w:p w14:paraId="011C099E" w14:textId="77777777" w:rsidR="00D014CD" w:rsidRPr="00F91EC4" w:rsidRDefault="00D014CD" w:rsidP="00D014CD">
            <w:pPr>
              <w:spacing w:before="20" w:after="20"/>
              <w:jc w:val="right"/>
              <w:rPr>
                <w:b/>
                <w:noProof/>
                <w:sz w:val="20"/>
              </w:rPr>
            </w:pPr>
            <w:r w:rsidRPr="00F91EC4">
              <w:rPr>
                <w:b/>
                <w:noProof/>
                <w:sz w:val="20"/>
              </w:rPr>
              <w:t>2.260</w:t>
            </w:r>
          </w:p>
        </w:tc>
        <w:tc>
          <w:tcPr>
            <w:tcW w:w="1843" w:type="dxa"/>
            <w:tcBorders>
              <w:right w:val="single" w:sz="4" w:space="0" w:color="auto"/>
            </w:tcBorders>
            <w:vAlign w:val="center"/>
          </w:tcPr>
          <w:p w14:paraId="2BA993BE" w14:textId="77777777" w:rsidR="00D014CD" w:rsidRPr="00F91EC4" w:rsidRDefault="00D014CD" w:rsidP="00D014CD">
            <w:pPr>
              <w:spacing w:before="20" w:after="20"/>
              <w:jc w:val="right"/>
              <w:rPr>
                <w:b/>
                <w:noProof/>
                <w:sz w:val="20"/>
              </w:rPr>
            </w:pPr>
            <w:r w:rsidRPr="00F91EC4">
              <w:rPr>
                <w:b/>
                <w:noProof/>
                <w:sz w:val="20"/>
              </w:rPr>
              <w:t>0.200</w:t>
            </w:r>
          </w:p>
        </w:tc>
      </w:tr>
      <w:tr w:rsidR="00D014CD" w:rsidRPr="00F91EC4" w14:paraId="73015275" w14:textId="77777777" w:rsidTr="00D014CD">
        <w:tc>
          <w:tcPr>
            <w:tcW w:w="3970" w:type="dxa"/>
            <w:vMerge/>
            <w:tcBorders>
              <w:top w:val="single" w:sz="4" w:space="0" w:color="FF0000"/>
              <w:left w:val="single" w:sz="4" w:space="0" w:color="auto"/>
              <w:bottom w:val="single" w:sz="4" w:space="0" w:color="auto"/>
            </w:tcBorders>
            <w:shd w:val="thinDiagStripe" w:color="C0C0C0" w:fill="auto"/>
          </w:tcPr>
          <w:p w14:paraId="410E1BB6" w14:textId="77777777" w:rsidR="00D014CD" w:rsidRPr="00F91EC4" w:rsidRDefault="00D014CD" w:rsidP="00D014CD">
            <w:pPr>
              <w:rPr>
                <w:noProof/>
                <w:sz w:val="20"/>
              </w:rPr>
            </w:pPr>
          </w:p>
        </w:tc>
        <w:tc>
          <w:tcPr>
            <w:tcW w:w="1559" w:type="dxa"/>
            <w:tcBorders>
              <w:bottom w:val="single" w:sz="4" w:space="0" w:color="auto"/>
            </w:tcBorders>
            <w:vAlign w:val="center"/>
          </w:tcPr>
          <w:p w14:paraId="5549E40E" w14:textId="77777777" w:rsidR="00D014CD" w:rsidRPr="00F91EC4" w:rsidRDefault="00D014CD" w:rsidP="00D014CD">
            <w:pPr>
              <w:rPr>
                <w:noProof/>
                <w:sz w:val="18"/>
              </w:rPr>
            </w:pPr>
            <w:r w:rsidRPr="00F91EC4">
              <w:rPr>
                <w:noProof/>
                <w:sz w:val="18"/>
              </w:rPr>
              <w:t>Payments</w:t>
            </w:r>
          </w:p>
        </w:tc>
        <w:tc>
          <w:tcPr>
            <w:tcW w:w="567" w:type="dxa"/>
            <w:tcBorders>
              <w:bottom w:val="single" w:sz="4" w:space="0" w:color="auto"/>
            </w:tcBorders>
            <w:vAlign w:val="center"/>
          </w:tcPr>
          <w:p w14:paraId="0EBEC175" w14:textId="77777777" w:rsidR="00D014CD" w:rsidRPr="00F91EC4" w:rsidRDefault="00D014CD" w:rsidP="00D014CD">
            <w:pPr>
              <w:jc w:val="center"/>
              <w:rPr>
                <w:noProof/>
                <w:sz w:val="14"/>
              </w:rPr>
            </w:pPr>
            <w:r w:rsidRPr="00F91EC4">
              <w:rPr>
                <w:noProof/>
                <w:sz w:val="14"/>
              </w:rPr>
              <w:t>=5+ 6</w:t>
            </w:r>
          </w:p>
        </w:tc>
        <w:tc>
          <w:tcPr>
            <w:tcW w:w="851" w:type="dxa"/>
            <w:tcBorders>
              <w:bottom w:val="single" w:sz="4" w:space="0" w:color="auto"/>
            </w:tcBorders>
            <w:vAlign w:val="center"/>
          </w:tcPr>
          <w:p w14:paraId="47106D36" w14:textId="77777777" w:rsidR="00D014CD" w:rsidRPr="00F91EC4" w:rsidRDefault="00D014CD" w:rsidP="00D014CD">
            <w:pPr>
              <w:spacing w:before="20" w:after="20"/>
              <w:jc w:val="right"/>
              <w:rPr>
                <w:noProof/>
                <w:sz w:val="20"/>
              </w:rPr>
            </w:pPr>
            <w:r w:rsidRPr="00F91EC4">
              <w:rPr>
                <w:noProof/>
                <w:sz w:val="20"/>
              </w:rPr>
              <w:t>0.630</w:t>
            </w:r>
          </w:p>
        </w:tc>
        <w:tc>
          <w:tcPr>
            <w:tcW w:w="850" w:type="dxa"/>
            <w:tcBorders>
              <w:bottom w:val="single" w:sz="4" w:space="0" w:color="auto"/>
            </w:tcBorders>
            <w:vAlign w:val="center"/>
          </w:tcPr>
          <w:p w14:paraId="5C3A83F0" w14:textId="77777777" w:rsidR="00D014CD" w:rsidRPr="00F91EC4" w:rsidRDefault="00D014CD" w:rsidP="00D014CD">
            <w:pPr>
              <w:spacing w:before="20" w:after="20"/>
              <w:jc w:val="right"/>
              <w:rPr>
                <w:noProof/>
                <w:sz w:val="20"/>
              </w:rPr>
            </w:pPr>
            <w:r w:rsidRPr="00F91EC4">
              <w:rPr>
                <w:noProof/>
                <w:sz w:val="20"/>
              </w:rPr>
              <w:t>1.030</w:t>
            </w:r>
          </w:p>
        </w:tc>
        <w:tc>
          <w:tcPr>
            <w:tcW w:w="851" w:type="dxa"/>
            <w:tcBorders>
              <w:bottom w:val="single" w:sz="4" w:space="0" w:color="auto"/>
            </w:tcBorders>
            <w:vAlign w:val="center"/>
          </w:tcPr>
          <w:p w14:paraId="4BE4676D" w14:textId="77777777" w:rsidR="00D014CD" w:rsidRPr="00F91EC4" w:rsidRDefault="00D014CD" w:rsidP="00D014CD">
            <w:pPr>
              <w:spacing w:before="20" w:after="20"/>
              <w:jc w:val="right"/>
              <w:rPr>
                <w:noProof/>
                <w:sz w:val="20"/>
              </w:rPr>
            </w:pPr>
            <w:r w:rsidRPr="00F91EC4">
              <w:rPr>
                <w:noProof/>
                <w:sz w:val="20"/>
              </w:rPr>
              <w:t>0.600</w:t>
            </w:r>
          </w:p>
        </w:tc>
        <w:tc>
          <w:tcPr>
            <w:tcW w:w="992" w:type="dxa"/>
            <w:tcBorders>
              <w:bottom w:val="single" w:sz="4" w:space="0" w:color="auto"/>
            </w:tcBorders>
            <w:vAlign w:val="center"/>
          </w:tcPr>
          <w:p w14:paraId="1460A741" w14:textId="77777777" w:rsidR="00D014CD" w:rsidRPr="00F91EC4" w:rsidRDefault="00D014CD" w:rsidP="00D014CD">
            <w:pPr>
              <w:spacing w:before="20" w:after="20"/>
              <w:jc w:val="right"/>
              <w:rPr>
                <w:noProof/>
                <w:sz w:val="20"/>
              </w:rPr>
            </w:pPr>
          </w:p>
        </w:tc>
        <w:tc>
          <w:tcPr>
            <w:tcW w:w="1701" w:type="dxa"/>
            <w:tcBorders>
              <w:bottom w:val="single" w:sz="4" w:space="0" w:color="auto"/>
            </w:tcBorders>
            <w:vAlign w:val="center"/>
          </w:tcPr>
          <w:p w14:paraId="5AFD163E" w14:textId="77777777" w:rsidR="00D014CD" w:rsidRPr="00F91EC4" w:rsidRDefault="00D014CD" w:rsidP="00D014CD">
            <w:pPr>
              <w:spacing w:before="20" w:after="20"/>
              <w:jc w:val="right"/>
              <w:rPr>
                <w:b/>
                <w:noProof/>
                <w:sz w:val="20"/>
              </w:rPr>
            </w:pPr>
            <w:r w:rsidRPr="00F91EC4">
              <w:rPr>
                <w:b/>
                <w:noProof/>
                <w:sz w:val="20"/>
              </w:rPr>
              <w:t>2.260</w:t>
            </w:r>
          </w:p>
        </w:tc>
        <w:tc>
          <w:tcPr>
            <w:tcW w:w="1843" w:type="dxa"/>
            <w:tcBorders>
              <w:bottom w:val="single" w:sz="4" w:space="0" w:color="auto"/>
              <w:right w:val="single" w:sz="4" w:space="0" w:color="auto"/>
            </w:tcBorders>
            <w:vAlign w:val="center"/>
          </w:tcPr>
          <w:p w14:paraId="3A4B3A1E" w14:textId="77777777" w:rsidR="00D014CD" w:rsidRPr="00F91EC4" w:rsidRDefault="00D014CD" w:rsidP="00D014CD">
            <w:pPr>
              <w:spacing w:before="20" w:after="20"/>
              <w:jc w:val="right"/>
              <w:rPr>
                <w:b/>
                <w:noProof/>
                <w:sz w:val="20"/>
              </w:rPr>
            </w:pPr>
          </w:p>
        </w:tc>
      </w:tr>
    </w:tbl>
    <w:p w14:paraId="14C5503D" w14:textId="77777777" w:rsidR="001C1F27" w:rsidRPr="00F91EC4" w:rsidRDefault="001C1F27" w:rsidP="001C1F27">
      <w:pPr>
        <w:spacing w:before="0" w:after="0"/>
        <w:jc w:val="left"/>
        <w:rPr>
          <w:noProof/>
        </w:rPr>
      </w:pPr>
      <w:r w:rsidRPr="00F91EC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126"/>
        <w:gridCol w:w="3860"/>
      </w:tblGrid>
      <w:tr w:rsidR="001C1F27" w:rsidRPr="00F91EC4" w14:paraId="4EB64470" w14:textId="77777777" w:rsidTr="00234B88">
        <w:trPr>
          <w:jc w:val="center"/>
        </w:trPr>
        <w:tc>
          <w:tcPr>
            <w:tcW w:w="3794" w:type="dxa"/>
            <w:shd w:val="thinDiagStripe" w:color="C0C0C0" w:fill="auto"/>
            <w:vAlign w:val="center"/>
          </w:tcPr>
          <w:p w14:paraId="70A3DFD7" w14:textId="77777777" w:rsidR="001C1F27" w:rsidRPr="00F91EC4" w:rsidRDefault="001C1F27" w:rsidP="00234B88">
            <w:pPr>
              <w:spacing w:before="60" w:after="60"/>
              <w:jc w:val="center"/>
              <w:rPr>
                <w:b/>
                <w:noProof/>
              </w:rPr>
            </w:pPr>
            <w:r w:rsidRPr="00F91EC4">
              <w:rPr>
                <w:noProof/>
                <w:sz w:val="22"/>
              </w:rPr>
              <w:br w:type="page"/>
            </w:r>
            <w:r w:rsidRPr="00F91EC4">
              <w:rPr>
                <w:b/>
                <w:noProof/>
                <w:sz w:val="22"/>
              </w:rPr>
              <w:t xml:space="preserve">Heading of multiannual financial </w:t>
            </w:r>
            <w:r w:rsidRPr="00F91EC4">
              <w:rPr>
                <w:noProof/>
                <w:sz w:val="22"/>
              </w:rPr>
              <w:br/>
            </w:r>
            <w:r w:rsidRPr="00F91EC4">
              <w:rPr>
                <w:b/>
                <w:noProof/>
                <w:sz w:val="22"/>
              </w:rPr>
              <w:t xml:space="preserve">framework </w:t>
            </w:r>
          </w:p>
        </w:tc>
        <w:tc>
          <w:tcPr>
            <w:tcW w:w="2126" w:type="dxa"/>
            <w:shd w:val="thinDiagStripe" w:color="C0C0C0" w:fill="auto"/>
            <w:vAlign w:val="center"/>
          </w:tcPr>
          <w:p w14:paraId="59CF3756" w14:textId="77777777" w:rsidR="001C1F27" w:rsidRPr="00F91EC4" w:rsidRDefault="001C1F27" w:rsidP="00234B88">
            <w:pPr>
              <w:spacing w:before="60" w:after="60"/>
              <w:jc w:val="center"/>
              <w:rPr>
                <w:noProof/>
              </w:rPr>
            </w:pPr>
            <w:r w:rsidRPr="00F91EC4">
              <w:rPr>
                <w:b/>
                <w:noProof/>
                <w:sz w:val="22"/>
              </w:rPr>
              <w:t>7</w:t>
            </w:r>
          </w:p>
        </w:tc>
        <w:tc>
          <w:tcPr>
            <w:tcW w:w="3860" w:type="dxa"/>
            <w:vAlign w:val="center"/>
          </w:tcPr>
          <w:p w14:paraId="7D8ABE5F" w14:textId="77777777" w:rsidR="001C1F27" w:rsidRPr="00F91EC4" w:rsidRDefault="001C1F27" w:rsidP="00234B88">
            <w:pPr>
              <w:spacing w:before="60" w:after="60"/>
              <w:rPr>
                <w:noProof/>
              </w:rPr>
            </w:pPr>
            <w:r w:rsidRPr="00F91EC4">
              <w:rPr>
                <w:noProof/>
                <w:sz w:val="22"/>
              </w:rPr>
              <w:t>‘Administrative expenditure’</w:t>
            </w:r>
          </w:p>
        </w:tc>
      </w:tr>
    </w:tbl>
    <w:p w14:paraId="416C5554" w14:textId="77777777" w:rsidR="001C1F27" w:rsidRPr="00F91EC4" w:rsidRDefault="001C1F27" w:rsidP="001C1F27">
      <w:pPr>
        <w:jc w:val="left"/>
        <w:rPr>
          <w:noProof/>
          <w:sz w:val="20"/>
        </w:rPr>
      </w:pPr>
      <w:r w:rsidRPr="00F91EC4">
        <w:rPr>
          <w:noProof/>
        </w:rPr>
        <w:t xml:space="preserve">This section should be filled in using the 'budget data of an administrative nature' to be firstly introduced in the </w:t>
      </w:r>
      <w:hyperlink r:id="rId15" w:history="1">
        <w:r w:rsidRPr="00F91EC4">
          <w:rPr>
            <w:rStyle w:val="Hyperlink"/>
            <w:noProof/>
          </w:rPr>
          <w:t>Annex to the Legislative Financial Statement</w:t>
        </w:r>
      </w:hyperlink>
      <w:r w:rsidRPr="00F91EC4">
        <w:rPr>
          <w:noProof/>
        </w:rPr>
        <w:t xml:space="preserve"> (Annex V to the internal rules), which is uploaded to DECIDE for interservice consultation purposes.</w:t>
      </w:r>
    </w:p>
    <w:p w14:paraId="74124CC8" w14:textId="77777777" w:rsidR="00D014CD" w:rsidRPr="00F91EC4" w:rsidRDefault="00D014CD" w:rsidP="00D014CD">
      <w:pPr>
        <w:jc w:val="right"/>
        <w:rPr>
          <w:noProof/>
          <w:sz w:val="20"/>
        </w:rPr>
      </w:pPr>
      <w:r w:rsidRPr="00F91EC4">
        <w:rPr>
          <w:noProof/>
          <w:sz w:val="20"/>
        </w:rPr>
        <w:t>EUR million (to three decimal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D014CD" w:rsidRPr="00F91EC4" w14:paraId="3F981A64" w14:textId="77777777" w:rsidTr="00D014CD">
        <w:tc>
          <w:tcPr>
            <w:tcW w:w="3960" w:type="dxa"/>
            <w:tcBorders>
              <w:top w:val="nil"/>
              <w:left w:val="nil"/>
              <w:right w:val="nil"/>
            </w:tcBorders>
            <w:vAlign w:val="center"/>
          </w:tcPr>
          <w:p w14:paraId="7D18899E" w14:textId="77777777" w:rsidR="00D014CD" w:rsidRPr="00F91EC4" w:rsidRDefault="00D014CD" w:rsidP="00D014CD">
            <w:pPr>
              <w:jc w:val="center"/>
              <w:rPr>
                <w:noProof/>
              </w:rPr>
            </w:pPr>
          </w:p>
        </w:tc>
        <w:tc>
          <w:tcPr>
            <w:tcW w:w="1560" w:type="dxa"/>
            <w:tcBorders>
              <w:top w:val="nil"/>
              <w:left w:val="nil"/>
              <w:right w:val="nil"/>
            </w:tcBorders>
          </w:tcPr>
          <w:p w14:paraId="31646112" w14:textId="77777777" w:rsidR="00D014CD" w:rsidRPr="00F91EC4" w:rsidRDefault="00D014CD" w:rsidP="00D014CD">
            <w:pPr>
              <w:rPr>
                <w:noProof/>
                <w:sz w:val="20"/>
              </w:rPr>
            </w:pPr>
          </w:p>
        </w:tc>
        <w:tc>
          <w:tcPr>
            <w:tcW w:w="534" w:type="dxa"/>
            <w:tcBorders>
              <w:top w:val="nil"/>
              <w:left w:val="nil"/>
            </w:tcBorders>
          </w:tcPr>
          <w:p w14:paraId="72ECADF4" w14:textId="77777777" w:rsidR="00D014CD" w:rsidRPr="00F91EC4" w:rsidRDefault="00D014CD" w:rsidP="00D014CD">
            <w:pPr>
              <w:jc w:val="center"/>
              <w:rPr>
                <w:noProof/>
                <w:sz w:val="20"/>
              </w:rPr>
            </w:pPr>
          </w:p>
        </w:tc>
        <w:tc>
          <w:tcPr>
            <w:tcW w:w="868" w:type="dxa"/>
            <w:vAlign w:val="center"/>
          </w:tcPr>
          <w:p w14:paraId="7CDA4F3D"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2022</w:t>
            </w:r>
          </w:p>
        </w:tc>
        <w:tc>
          <w:tcPr>
            <w:tcW w:w="868" w:type="dxa"/>
            <w:vAlign w:val="center"/>
          </w:tcPr>
          <w:p w14:paraId="5E1EE30D"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2023</w:t>
            </w:r>
          </w:p>
        </w:tc>
        <w:tc>
          <w:tcPr>
            <w:tcW w:w="868" w:type="dxa"/>
            <w:vAlign w:val="center"/>
          </w:tcPr>
          <w:p w14:paraId="61F9485B"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2024</w:t>
            </w:r>
          </w:p>
        </w:tc>
        <w:tc>
          <w:tcPr>
            <w:tcW w:w="868" w:type="dxa"/>
            <w:vAlign w:val="center"/>
          </w:tcPr>
          <w:p w14:paraId="3359B4B5"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2025</w:t>
            </w:r>
          </w:p>
        </w:tc>
        <w:tc>
          <w:tcPr>
            <w:tcW w:w="1777" w:type="dxa"/>
            <w:vAlign w:val="center"/>
          </w:tcPr>
          <w:p w14:paraId="137661F1" w14:textId="77777777" w:rsidR="00D014CD" w:rsidRPr="00F91EC4" w:rsidRDefault="00D014CD" w:rsidP="00D014CD">
            <w:pPr>
              <w:jc w:val="center"/>
              <w:rPr>
                <w:b/>
                <w:noProof/>
                <w:sz w:val="20"/>
              </w:rPr>
            </w:pPr>
            <w:r w:rsidRPr="00F91EC4">
              <w:rPr>
                <w:b/>
                <w:noProof/>
                <w:sz w:val="20"/>
              </w:rPr>
              <w:t>TOTAL</w:t>
            </w:r>
          </w:p>
        </w:tc>
      </w:tr>
      <w:tr w:rsidR="00D014CD" w:rsidRPr="00F91EC4" w14:paraId="342DFB55" w14:textId="77777777" w:rsidTr="00D014CD">
        <w:trPr>
          <w:gridAfter w:val="7"/>
          <w:wAfter w:w="7343" w:type="dxa"/>
        </w:trPr>
        <w:tc>
          <w:tcPr>
            <w:tcW w:w="3960" w:type="dxa"/>
            <w:vAlign w:val="center"/>
          </w:tcPr>
          <w:p w14:paraId="49393EE0" w14:textId="77777777" w:rsidR="00D014CD" w:rsidRPr="00F91EC4" w:rsidRDefault="00D014CD" w:rsidP="00D014CD">
            <w:pPr>
              <w:spacing w:before="60" w:after="60"/>
              <w:jc w:val="center"/>
              <w:rPr>
                <w:noProof/>
              </w:rPr>
            </w:pPr>
            <w:r w:rsidRPr="00F91EC4">
              <w:rPr>
                <w:noProof/>
                <w:sz w:val="22"/>
              </w:rPr>
              <w:t>DG: GROW</w:t>
            </w:r>
          </w:p>
        </w:tc>
      </w:tr>
      <w:tr w:rsidR="00C034C3" w:rsidRPr="00F91EC4" w14:paraId="523570BD" w14:textId="77777777" w:rsidTr="00D014CD">
        <w:trPr>
          <w:trHeight w:val="313"/>
        </w:trPr>
        <w:tc>
          <w:tcPr>
            <w:tcW w:w="6054" w:type="dxa"/>
            <w:gridSpan w:val="3"/>
            <w:vAlign w:val="center"/>
          </w:tcPr>
          <w:p w14:paraId="630FAB31" w14:textId="77777777" w:rsidR="00C034C3" w:rsidRPr="00F91EC4" w:rsidRDefault="00C034C3" w:rsidP="00C034C3">
            <w:pPr>
              <w:spacing w:before="20" w:after="20"/>
              <w:rPr>
                <w:noProof/>
              </w:rPr>
            </w:pPr>
            <w:r w:rsidRPr="00F91EC4">
              <w:rPr>
                <w:rFonts w:ascii="Wingdings" w:eastAsia="Wingdings" w:hAnsi="Wingdings" w:cs="Wingdings"/>
                <w:noProof/>
                <w:sz w:val="22"/>
              </w:rPr>
              <w:t>□</w:t>
            </w:r>
            <w:r w:rsidRPr="00F91EC4">
              <w:rPr>
                <w:noProof/>
                <w:sz w:val="22"/>
              </w:rPr>
              <w:t xml:space="preserve"> Human resources </w:t>
            </w:r>
          </w:p>
        </w:tc>
        <w:tc>
          <w:tcPr>
            <w:tcW w:w="868" w:type="dxa"/>
            <w:vAlign w:val="center"/>
          </w:tcPr>
          <w:p w14:paraId="6B27634B" w14:textId="77777777" w:rsidR="00C034C3" w:rsidRPr="00F91EC4" w:rsidRDefault="00C034C3" w:rsidP="00C034C3">
            <w:pPr>
              <w:spacing w:before="20" w:after="20"/>
              <w:jc w:val="right"/>
              <w:rPr>
                <w:noProof/>
                <w:sz w:val="20"/>
              </w:rPr>
            </w:pPr>
            <w:r w:rsidRPr="00F91EC4">
              <w:rPr>
                <w:noProof/>
                <w:sz w:val="20"/>
              </w:rPr>
              <w:t>1.498</w:t>
            </w:r>
          </w:p>
        </w:tc>
        <w:tc>
          <w:tcPr>
            <w:tcW w:w="868" w:type="dxa"/>
            <w:vAlign w:val="center"/>
          </w:tcPr>
          <w:p w14:paraId="6119350C" w14:textId="77777777" w:rsidR="00C034C3" w:rsidRPr="00F91EC4" w:rsidRDefault="00C034C3" w:rsidP="00C034C3">
            <w:pPr>
              <w:spacing w:before="20" w:after="20"/>
              <w:jc w:val="right"/>
              <w:rPr>
                <w:noProof/>
                <w:sz w:val="20"/>
              </w:rPr>
            </w:pPr>
            <w:r w:rsidRPr="00F91EC4">
              <w:rPr>
                <w:noProof/>
                <w:sz w:val="20"/>
              </w:rPr>
              <w:t>1.498</w:t>
            </w:r>
          </w:p>
        </w:tc>
        <w:tc>
          <w:tcPr>
            <w:tcW w:w="868" w:type="dxa"/>
            <w:vAlign w:val="center"/>
          </w:tcPr>
          <w:p w14:paraId="1F14F07E" w14:textId="77777777" w:rsidR="00C034C3" w:rsidRPr="00F91EC4" w:rsidRDefault="00C034C3" w:rsidP="00C034C3">
            <w:pPr>
              <w:spacing w:before="20" w:after="20"/>
              <w:jc w:val="right"/>
              <w:rPr>
                <w:noProof/>
                <w:sz w:val="20"/>
              </w:rPr>
            </w:pPr>
            <w:r w:rsidRPr="00F91EC4">
              <w:rPr>
                <w:noProof/>
                <w:sz w:val="20"/>
              </w:rPr>
              <w:t>1.256</w:t>
            </w:r>
          </w:p>
        </w:tc>
        <w:tc>
          <w:tcPr>
            <w:tcW w:w="868" w:type="dxa"/>
            <w:vAlign w:val="center"/>
          </w:tcPr>
          <w:p w14:paraId="015AD12B" w14:textId="77777777" w:rsidR="00C034C3" w:rsidRPr="00F91EC4" w:rsidRDefault="00C034C3" w:rsidP="00C034C3">
            <w:pPr>
              <w:spacing w:before="20" w:after="20"/>
              <w:jc w:val="right"/>
              <w:rPr>
                <w:noProof/>
                <w:sz w:val="20"/>
              </w:rPr>
            </w:pPr>
            <w:r w:rsidRPr="00F91EC4">
              <w:rPr>
                <w:noProof/>
                <w:sz w:val="20"/>
              </w:rPr>
              <w:t>1.256</w:t>
            </w:r>
          </w:p>
        </w:tc>
        <w:tc>
          <w:tcPr>
            <w:tcW w:w="1777" w:type="dxa"/>
            <w:vAlign w:val="center"/>
          </w:tcPr>
          <w:p w14:paraId="1417055D" w14:textId="77777777" w:rsidR="00C034C3" w:rsidRPr="00F91EC4" w:rsidRDefault="00C034C3" w:rsidP="00C034C3">
            <w:pPr>
              <w:spacing w:before="20" w:after="20"/>
              <w:jc w:val="right"/>
              <w:rPr>
                <w:b/>
                <w:noProof/>
                <w:sz w:val="20"/>
              </w:rPr>
            </w:pPr>
            <w:r w:rsidRPr="00F91EC4">
              <w:rPr>
                <w:b/>
                <w:noProof/>
                <w:sz w:val="20"/>
              </w:rPr>
              <w:t>5.508</w:t>
            </w:r>
          </w:p>
        </w:tc>
      </w:tr>
      <w:tr w:rsidR="00C034C3" w:rsidRPr="00F91EC4" w14:paraId="1CF9DD8D" w14:textId="77777777" w:rsidTr="00D014CD">
        <w:trPr>
          <w:trHeight w:val="351"/>
        </w:trPr>
        <w:tc>
          <w:tcPr>
            <w:tcW w:w="6054" w:type="dxa"/>
            <w:gridSpan w:val="3"/>
            <w:vAlign w:val="center"/>
          </w:tcPr>
          <w:p w14:paraId="6732F197" w14:textId="77777777" w:rsidR="00C034C3" w:rsidRPr="00F91EC4" w:rsidRDefault="00C034C3" w:rsidP="00C034C3">
            <w:pPr>
              <w:spacing w:before="20" w:after="20"/>
              <w:rPr>
                <w:noProof/>
              </w:rPr>
            </w:pPr>
            <w:r w:rsidRPr="00F91EC4">
              <w:rPr>
                <w:rFonts w:ascii="Wingdings" w:eastAsia="Wingdings" w:hAnsi="Wingdings" w:cs="Wingdings"/>
                <w:noProof/>
                <w:sz w:val="22"/>
              </w:rPr>
              <w:t>□</w:t>
            </w:r>
            <w:r w:rsidRPr="00F91EC4">
              <w:rPr>
                <w:noProof/>
                <w:sz w:val="22"/>
              </w:rPr>
              <w:t xml:space="preserve"> Other administrative expenditure </w:t>
            </w:r>
          </w:p>
        </w:tc>
        <w:tc>
          <w:tcPr>
            <w:tcW w:w="868" w:type="dxa"/>
            <w:vAlign w:val="center"/>
          </w:tcPr>
          <w:p w14:paraId="286B17CE" w14:textId="77777777" w:rsidR="00C034C3" w:rsidRPr="00F91EC4" w:rsidRDefault="00C034C3" w:rsidP="00C034C3">
            <w:pPr>
              <w:spacing w:before="20" w:after="20"/>
              <w:jc w:val="right"/>
              <w:rPr>
                <w:noProof/>
                <w:sz w:val="20"/>
              </w:rPr>
            </w:pPr>
            <w:r w:rsidRPr="00F91EC4">
              <w:rPr>
                <w:noProof/>
                <w:sz w:val="20"/>
              </w:rPr>
              <w:t>0.090</w:t>
            </w:r>
          </w:p>
        </w:tc>
        <w:tc>
          <w:tcPr>
            <w:tcW w:w="868" w:type="dxa"/>
            <w:vAlign w:val="center"/>
          </w:tcPr>
          <w:p w14:paraId="2F7D0D88" w14:textId="77777777" w:rsidR="00C034C3" w:rsidRPr="00F91EC4" w:rsidRDefault="00C034C3" w:rsidP="00C034C3">
            <w:pPr>
              <w:spacing w:before="20" w:after="20"/>
              <w:jc w:val="right"/>
              <w:rPr>
                <w:b/>
                <w:noProof/>
                <w:sz w:val="20"/>
              </w:rPr>
            </w:pPr>
            <w:r w:rsidRPr="00F91EC4">
              <w:rPr>
                <w:noProof/>
                <w:sz w:val="20"/>
              </w:rPr>
              <w:t>0.090</w:t>
            </w:r>
          </w:p>
        </w:tc>
        <w:tc>
          <w:tcPr>
            <w:tcW w:w="868" w:type="dxa"/>
            <w:vAlign w:val="center"/>
          </w:tcPr>
          <w:p w14:paraId="6B7CF01F" w14:textId="77777777" w:rsidR="00C034C3" w:rsidRPr="00F91EC4" w:rsidRDefault="00C034C3" w:rsidP="00C034C3">
            <w:pPr>
              <w:spacing w:before="20" w:after="20"/>
              <w:jc w:val="right"/>
              <w:rPr>
                <w:b/>
                <w:noProof/>
                <w:sz w:val="20"/>
              </w:rPr>
            </w:pPr>
            <w:r w:rsidRPr="00F91EC4">
              <w:rPr>
                <w:noProof/>
                <w:sz w:val="20"/>
              </w:rPr>
              <w:t>0.090</w:t>
            </w:r>
          </w:p>
        </w:tc>
        <w:tc>
          <w:tcPr>
            <w:tcW w:w="868" w:type="dxa"/>
            <w:vAlign w:val="center"/>
          </w:tcPr>
          <w:p w14:paraId="3314CDAC" w14:textId="77777777" w:rsidR="00C034C3" w:rsidRPr="00F91EC4" w:rsidRDefault="00C034C3" w:rsidP="00C034C3">
            <w:pPr>
              <w:spacing w:before="20" w:after="20"/>
              <w:jc w:val="right"/>
              <w:rPr>
                <w:b/>
                <w:noProof/>
                <w:sz w:val="20"/>
              </w:rPr>
            </w:pPr>
            <w:r w:rsidRPr="00F91EC4">
              <w:rPr>
                <w:noProof/>
                <w:sz w:val="20"/>
              </w:rPr>
              <w:t>0.040</w:t>
            </w:r>
          </w:p>
        </w:tc>
        <w:tc>
          <w:tcPr>
            <w:tcW w:w="1777" w:type="dxa"/>
            <w:vAlign w:val="center"/>
          </w:tcPr>
          <w:p w14:paraId="4023156D" w14:textId="77777777" w:rsidR="00C034C3" w:rsidRPr="00F91EC4" w:rsidRDefault="00C034C3" w:rsidP="00C034C3">
            <w:pPr>
              <w:spacing w:before="20" w:after="20"/>
              <w:jc w:val="right"/>
              <w:rPr>
                <w:b/>
                <w:noProof/>
                <w:sz w:val="20"/>
              </w:rPr>
            </w:pPr>
            <w:r w:rsidRPr="00F91EC4">
              <w:rPr>
                <w:b/>
                <w:noProof/>
                <w:sz w:val="20"/>
              </w:rPr>
              <w:t>0.310</w:t>
            </w:r>
          </w:p>
        </w:tc>
      </w:tr>
      <w:tr w:rsidR="00C034C3" w:rsidRPr="00F91EC4" w14:paraId="1D76717C" w14:textId="77777777" w:rsidTr="00D014CD">
        <w:tc>
          <w:tcPr>
            <w:tcW w:w="3960" w:type="dxa"/>
            <w:vAlign w:val="center"/>
          </w:tcPr>
          <w:p w14:paraId="38B533BA" w14:textId="77777777" w:rsidR="00C034C3" w:rsidRPr="00F91EC4" w:rsidRDefault="00C034C3" w:rsidP="00C034C3">
            <w:pPr>
              <w:jc w:val="center"/>
              <w:rPr>
                <w:b/>
                <w:noProof/>
              </w:rPr>
            </w:pPr>
            <w:r w:rsidRPr="00F91EC4">
              <w:rPr>
                <w:b/>
                <w:noProof/>
                <w:sz w:val="22"/>
              </w:rPr>
              <w:t xml:space="preserve">TOTAL DG </w:t>
            </w:r>
            <w:r w:rsidRPr="00F91EC4">
              <w:rPr>
                <w:noProof/>
                <w:sz w:val="22"/>
              </w:rPr>
              <w:t>GROW</w:t>
            </w:r>
          </w:p>
        </w:tc>
        <w:tc>
          <w:tcPr>
            <w:tcW w:w="2094" w:type="dxa"/>
            <w:gridSpan w:val="2"/>
            <w:vAlign w:val="center"/>
          </w:tcPr>
          <w:p w14:paraId="1A8E47AE" w14:textId="77777777" w:rsidR="00C034C3" w:rsidRPr="00F91EC4" w:rsidRDefault="00C034C3" w:rsidP="00C034C3">
            <w:pPr>
              <w:rPr>
                <w:noProof/>
                <w:sz w:val="14"/>
              </w:rPr>
            </w:pPr>
            <w:r w:rsidRPr="00F91EC4">
              <w:rPr>
                <w:noProof/>
                <w:sz w:val="20"/>
              </w:rPr>
              <w:t>1.588</w:t>
            </w:r>
          </w:p>
        </w:tc>
        <w:tc>
          <w:tcPr>
            <w:tcW w:w="868" w:type="dxa"/>
            <w:vAlign w:val="center"/>
          </w:tcPr>
          <w:p w14:paraId="5F60A145" w14:textId="77777777" w:rsidR="00C034C3" w:rsidRPr="00F91EC4" w:rsidRDefault="00C034C3" w:rsidP="00C034C3">
            <w:pPr>
              <w:spacing w:before="60" w:after="60"/>
              <w:jc w:val="right"/>
              <w:rPr>
                <w:noProof/>
                <w:sz w:val="20"/>
              </w:rPr>
            </w:pPr>
            <w:r w:rsidRPr="00F91EC4">
              <w:rPr>
                <w:noProof/>
                <w:sz w:val="20"/>
              </w:rPr>
              <w:t>1.588</w:t>
            </w:r>
          </w:p>
        </w:tc>
        <w:tc>
          <w:tcPr>
            <w:tcW w:w="868" w:type="dxa"/>
            <w:vAlign w:val="center"/>
          </w:tcPr>
          <w:p w14:paraId="1917C3B6" w14:textId="77777777" w:rsidR="00C034C3" w:rsidRPr="00F91EC4" w:rsidRDefault="00C034C3" w:rsidP="00C034C3">
            <w:pPr>
              <w:spacing w:before="20" w:after="20"/>
              <w:jc w:val="right"/>
              <w:rPr>
                <w:noProof/>
                <w:sz w:val="20"/>
              </w:rPr>
            </w:pPr>
            <w:r w:rsidRPr="00F91EC4">
              <w:rPr>
                <w:noProof/>
                <w:sz w:val="20"/>
              </w:rPr>
              <w:t>1.346</w:t>
            </w:r>
          </w:p>
        </w:tc>
        <w:tc>
          <w:tcPr>
            <w:tcW w:w="868" w:type="dxa"/>
            <w:vAlign w:val="center"/>
          </w:tcPr>
          <w:p w14:paraId="3FBBE952" w14:textId="77777777" w:rsidR="00C034C3" w:rsidRPr="00F91EC4" w:rsidRDefault="00C034C3" w:rsidP="00C034C3">
            <w:pPr>
              <w:spacing w:before="20" w:after="20"/>
              <w:jc w:val="right"/>
              <w:rPr>
                <w:noProof/>
                <w:sz w:val="20"/>
              </w:rPr>
            </w:pPr>
            <w:r w:rsidRPr="00F91EC4">
              <w:rPr>
                <w:noProof/>
                <w:sz w:val="20"/>
              </w:rPr>
              <w:t>1.296</w:t>
            </w:r>
          </w:p>
        </w:tc>
        <w:tc>
          <w:tcPr>
            <w:tcW w:w="868" w:type="dxa"/>
            <w:vAlign w:val="center"/>
          </w:tcPr>
          <w:p w14:paraId="26F2BE37" w14:textId="77777777" w:rsidR="00C034C3" w:rsidRPr="00F91EC4" w:rsidRDefault="00C034C3" w:rsidP="00C034C3">
            <w:pPr>
              <w:spacing w:before="20" w:after="20"/>
              <w:jc w:val="right"/>
              <w:rPr>
                <w:noProof/>
                <w:sz w:val="20"/>
              </w:rPr>
            </w:pPr>
            <w:r w:rsidRPr="00F91EC4">
              <w:rPr>
                <w:b/>
                <w:noProof/>
                <w:sz w:val="20"/>
              </w:rPr>
              <w:t>5.818</w:t>
            </w:r>
          </w:p>
        </w:tc>
        <w:tc>
          <w:tcPr>
            <w:tcW w:w="1777" w:type="dxa"/>
            <w:vAlign w:val="center"/>
          </w:tcPr>
          <w:p w14:paraId="49780C23" w14:textId="77777777" w:rsidR="00C034C3" w:rsidRPr="00F91EC4" w:rsidRDefault="00C034C3" w:rsidP="00C034C3">
            <w:pPr>
              <w:spacing w:before="20" w:after="20"/>
              <w:jc w:val="right"/>
              <w:rPr>
                <w:b/>
                <w:noProof/>
                <w:sz w:val="20"/>
              </w:rPr>
            </w:pPr>
            <w:r w:rsidRPr="00F91EC4">
              <w:rPr>
                <w:b/>
                <w:noProof/>
                <w:sz w:val="20"/>
              </w:rPr>
              <w:t>1.970</w:t>
            </w:r>
          </w:p>
        </w:tc>
      </w:tr>
    </w:tbl>
    <w:p w14:paraId="63EC628F" w14:textId="77777777" w:rsidR="00D014CD" w:rsidRPr="00F91EC4" w:rsidRDefault="00D014CD" w:rsidP="00D014C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C034C3" w:rsidRPr="00F91EC4" w14:paraId="018EB1D6" w14:textId="77777777" w:rsidTr="00D014CD">
        <w:tc>
          <w:tcPr>
            <w:tcW w:w="3960" w:type="dxa"/>
            <w:shd w:val="thinDiagStripe" w:color="C0C0C0" w:fill="auto"/>
            <w:vAlign w:val="center"/>
          </w:tcPr>
          <w:p w14:paraId="7E8DF0D8" w14:textId="77777777" w:rsidR="00C034C3" w:rsidRPr="00F91EC4" w:rsidRDefault="00C034C3" w:rsidP="00C034C3">
            <w:pPr>
              <w:jc w:val="center"/>
              <w:rPr>
                <w:b/>
                <w:noProof/>
              </w:rPr>
            </w:pPr>
            <w:r w:rsidRPr="00F91EC4">
              <w:rPr>
                <w:b/>
                <w:noProof/>
                <w:sz w:val="22"/>
              </w:rPr>
              <w:t>TOTAL appropriations</w:t>
            </w:r>
            <w:r w:rsidRPr="00F91EC4">
              <w:rPr>
                <w:noProof/>
                <w:sz w:val="22"/>
              </w:rPr>
              <w:br/>
            </w:r>
            <w:r w:rsidRPr="00F91EC4">
              <w:rPr>
                <w:b/>
                <w:noProof/>
                <w:sz w:val="22"/>
              </w:rPr>
              <w:t>under HEADING 7</w:t>
            </w:r>
            <w:r w:rsidRPr="00F91EC4">
              <w:rPr>
                <w:noProof/>
                <w:sz w:val="22"/>
              </w:rPr>
              <w:br/>
              <w:t>of the multiannual financial framework</w:t>
            </w:r>
            <w:r w:rsidRPr="00F91EC4">
              <w:rPr>
                <w:b/>
                <w:noProof/>
                <w:sz w:val="22"/>
              </w:rPr>
              <w:t xml:space="preserve"> </w:t>
            </w:r>
          </w:p>
        </w:tc>
        <w:tc>
          <w:tcPr>
            <w:tcW w:w="2094" w:type="dxa"/>
            <w:vAlign w:val="center"/>
          </w:tcPr>
          <w:p w14:paraId="265D9A10" w14:textId="77777777" w:rsidR="00C034C3" w:rsidRPr="00F91EC4" w:rsidRDefault="00C034C3" w:rsidP="00C034C3">
            <w:pPr>
              <w:spacing w:before="40" w:after="40"/>
              <w:rPr>
                <w:noProof/>
              </w:rPr>
            </w:pPr>
            <w:r w:rsidRPr="00F91EC4">
              <w:rPr>
                <w:noProof/>
                <w:sz w:val="18"/>
              </w:rPr>
              <w:t>(Total commitments = Total payments)</w:t>
            </w:r>
          </w:p>
        </w:tc>
        <w:tc>
          <w:tcPr>
            <w:tcW w:w="868" w:type="dxa"/>
            <w:vAlign w:val="center"/>
          </w:tcPr>
          <w:p w14:paraId="6FEC1A92" w14:textId="77777777" w:rsidR="00C034C3" w:rsidRPr="00F91EC4" w:rsidRDefault="00C034C3" w:rsidP="00C034C3">
            <w:pPr>
              <w:spacing w:before="20" w:after="20"/>
              <w:jc w:val="right"/>
              <w:rPr>
                <w:noProof/>
                <w:sz w:val="20"/>
              </w:rPr>
            </w:pPr>
            <w:r w:rsidRPr="00F91EC4">
              <w:rPr>
                <w:noProof/>
                <w:sz w:val="20"/>
              </w:rPr>
              <w:t>1.588</w:t>
            </w:r>
          </w:p>
        </w:tc>
        <w:tc>
          <w:tcPr>
            <w:tcW w:w="868" w:type="dxa"/>
            <w:vAlign w:val="center"/>
          </w:tcPr>
          <w:p w14:paraId="4FC44D2C" w14:textId="77777777" w:rsidR="00C034C3" w:rsidRPr="00F91EC4" w:rsidRDefault="00C034C3" w:rsidP="00C034C3">
            <w:pPr>
              <w:spacing w:before="20" w:after="20"/>
              <w:jc w:val="right"/>
              <w:rPr>
                <w:noProof/>
                <w:sz w:val="20"/>
              </w:rPr>
            </w:pPr>
            <w:r w:rsidRPr="00F91EC4">
              <w:rPr>
                <w:noProof/>
                <w:sz w:val="20"/>
              </w:rPr>
              <w:t>1.588</w:t>
            </w:r>
          </w:p>
        </w:tc>
        <w:tc>
          <w:tcPr>
            <w:tcW w:w="868" w:type="dxa"/>
            <w:vAlign w:val="center"/>
          </w:tcPr>
          <w:p w14:paraId="38D16DD2" w14:textId="77777777" w:rsidR="00C034C3" w:rsidRPr="00F91EC4" w:rsidRDefault="00C034C3" w:rsidP="00C034C3">
            <w:pPr>
              <w:spacing w:before="20" w:after="20"/>
              <w:jc w:val="right"/>
              <w:rPr>
                <w:noProof/>
                <w:sz w:val="20"/>
              </w:rPr>
            </w:pPr>
            <w:r w:rsidRPr="00F91EC4">
              <w:rPr>
                <w:noProof/>
                <w:sz w:val="20"/>
              </w:rPr>
              <w:t>1.346</w:t>
            </w:r>
          </w:p>
        </w:tc>
        <w:tc>
          <w:tcPr>
            <w:tcW w:w="868" w:type="dxa"/>
            <w:vAlign w:val="center"/>
          </w:tcPr>
          <w:p w14:paraId="556EED26" w14:textId="77777777" w:rsidR="00C034C3" w:rsidRPr="00F91EC4" w:rsidRDefault="00C034C3" w:rsidP="00C034C3">
            <w:pPr>
              <w:spacing w:before="20" w:after="20"/>
              <w:jc w:val="right"/>
              <w:rPr>
                <w:noProof/>
                <w:sz w:val="20"/>
              </w:rPr>
            </w:pPr>
            <w:r w:rsidRPr="00F91EC4">
              <w:rPr>
                <w:noProof/>
                <w:sz w:val="20"/>
              </w:rPr>
              <w:t>1.296</w:t>
            </w:r>
          </w:p>
        </w:tc>
        <w:tc>
          <w:tcPr>
            <w:tcW w:w="1777" w:type="dxa"/>
            <w:vAlign w:val="center"/>
          </w:tcPr>
          <w:p w14:paraId="1B8CBF2C" w14:textId="77777777" w:rsidR="00C034C3" w:rsidRPr="00F91EC4" w:rsidRDefault="00C034C3" w:rsidP="00C034C3">
            <w:pPr>
              <w:spacing w:before="20" w:after="20"/>
              <w:jc w:val="right"/>
              <w:rPr>
                <w:b/>
                <w:noProof/>
                <w:sz w:val="20"/>
              </w:rPr>
            </w:pPr>
            <w:r w:rsidRPr="00F91EC4">
              <w:rPr>
                <w:b/>
                <w:noProof/>
                <w:sz w:val="20"/>
              </w:rPr>
              <w:t>5.818</w:t>
            </w:r>
          </w:p>
        </w:tc>
      </w:tr>
    </w:tbl>
    <w:p w14:paraId="5A4910B8" w14:textId="77777777" w:rsidR="00D014CD" w:rsidRPr="00F91EC4" w:rsidRDefault="00D014CD" w:rsidP="00D014CD">
      <w:pPr>
        <w:jc w:val="right"/>
        <w:rPr>
          <w:noProof/>
          <w:sz w:val="20"/>
        </w:rPr>
      </w:pPr>
      <w:r w:rsidRPr="00F91EC4">
        <w:rPr>
          <w:noProof/>
          <w:sz w:val="20"/>
        </w:rPr>
        <w:t>EUR million (to three decimal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D014CD" w:rsidRPr="00F91EC4" w14:paraId="2037D9C0" w14:textId="77777777" w:rsidTr="00D014CD">
        <w:tc>
          <w:tcPr>
            <w:tcW w:w="3960" w:type="dxa"/>
            <w:tcBorders>
              <w:top w:val="nil"/>
              <w:left w:val="nil"/>
              <w:right w:val="nil"/>
            </w:tcBorders>
            <w:vAlign w:val="center"/>
          </w:tcPr>
          <w:p w14:paraId="4013429B" w14:textId="77777777" w:rsidR="00D014CD" w:rsidRPr="00F91EC4" w:rsidRDefault="00D014CD" w:rsidP="00D014CD">
            <w:pPr>
              <w:jc w:val="center"/>
              <w:rPr>
                <w:noProof/>
              </w:rPr>
            </w:pPr>
          </w:p>
        </w:tc>
        <w:tc>
          <w:tcPr>
            <w:tcW w:w="1560" w:type="dxa"/>
            <w:tcBorders>
              <w:top w:val="nil"/>
              <w:left w:val="nil"/>
              <w:right w:val="nil"/>
            </w:tcBorders>
          </w:tcPr>
          <w:p w14:paraId="3DEEF87E" w14:textId="77777777" w:rsidR="00D014CD" w:rsidRPr="00F91EC4" w:rsidRDefault="00D014CD" w:rsidP="00D014CD">
            <w:pPr>
              <w:rPr>
                <w:noProof/>
                <w:sz w:val="20"/>
              </w:rPr>
            </w:pPr>
          </w:p>
        </w:tc>
        <w:tc>
          <w:tcPr>
            <w:tcW w:w="534" w:type="dxa"/>
            <w:tcBorders>
              <w:top w:val="nil"/>
              <w:left w:val="nil"/>
            </w:tcBorders>
          </w:tcPr>
          <w:p w14:paraId="13BFDEDB" w14:textId="77777777" w:rsidR="00D014CD" w:rsidRPr="00F91EC4" w:rsidRDefault="00D014CD" w:rsidP="00D014CD">
            <w:pPr>
              <w:jc w:val="center"/>
              <w:rPr>
                <w:noProof/>
                <w:sz w:val="20"/>
              </w:rPr>
            </w:pPr>
          </w:p>
        </w:tc>
        <w:tc>
          <w:tcPr>
            <w:tcW w:w="868" w:type="dxa"/>
            <w:vAlign w:val="center"/>
          </w:tcPr>
          <w:p w14:paraId="42D52C4F"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2022</w:t>
            </w:r>
          </w:p>
        </w:tc>
        <w:tc>
          <w:tcPr>
            <w:tcW w:w="868" w:type="dxa"/>
            <w:vAlign w:val="center"/>
          </w:tcPr>
          <w:p w14:paraId="0711A7BF"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2023</w:t>
            </w:r>
          </w:p>
        </w:tc>
        <w:tc>
          <w:tcPr>
            <w:tcW w:w="868" w:type="dxa"/>
            <w:vAlign w:val="center"/>
          </w:tcPr>
          <w:p w14:paraId="4B5D0415"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2024</w:t>
            </w:r>
          </w:p>
        </w:tc>
        <w:tc>
          <w:tcPr>
            <w:tcW w:w="868" w:type="dxa"/>
            <w:vAlign w:val="center"/>
          </w:tcPr>
          <w:p w14:paraId="4A726E39"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20"/>
              </w:rPr>
              <w:t>2025</w:t>
            </w:r>
          </w:p>
        </w:tc>
        <w:tc>
          <w:tcPr>
            <w:tcW w:w="1777" w:type="dxa"/>
            <w:vAlign w:val="center"/>
          </w:tcPr>
          <w:p w14:paraId="22FB5D52" w14:textId="77777777" w:rsidR="00D014CD" w:rsidRPr="00F91EC4" w:rsidRDefault="00D014CD" w:rsidP="00D014CD">
            <w:pPr>
              <w:jc w:val="center"/>
              <w:rPr>
                <w:b/>
                <w:noProof/>
                <w:sz w:val="20"/>
              </w:rPr>
            </w:pPr>
            <w:r w:rsidRPr="00F91EC4">
              <w:rPr>
                <w:b/>
                <w:noProof/>
                <w:sz w:val="20"/>
              </w:rPr>
              <w:t>TOTAL</w:t>
            </w:r>
          </w:p>
        </w:tc>
      </w:tr>
      <w:tr w:rsidR="00C034C3" w:rsidRPr="00F91EC4" w14:paraId="2BB188D4" w14:textId="77777777" w:rsidTr="00D014CD">
        <w:tc>
          <w:tcPr>
            <w:tcW w:w="3960" w:type="dxa"/>
            <w:vMerge w:val="restart"/>
            <w:shd w:val="clear" w:color="auto" w:fill="C0C0C0"/>
            <w:vAlign w:val="center"/>
          </w:tcPr>
          <w:p w14:paraId="19A94EC1" w14:textId="77777777" w:rsidR="00C034C3" w:rsidRPr="00F91EC4" w:rsidRDefault="00C034C3" w:rsidP="00C034C3">
            <w:pPr>
              <w:jc w:val="center"/>
              <w:rPr>
                <w:b/>
                <w:noProof/>
              </w:rPr>
            </w:pPr>
            <w:r w:rsidRPr="00F91EC4">
              <w:rPr>
                <w:b/>
                <w:noProof/>
                <w:sz w:val="22"/>
              </w:rPr>
              <w:t xml:space="preserve">TOTAL appropriations </w:t>
            </w:r>
            <w:r w:rsidRPr="00F91EC4">
              <w:rPr>
                <w:noProof/>
                <w:sz w:val="22"/>
              </w:rPr>
              <w:br/>
            </w:r>
            <w:r w:rsidRPr="00F91EC4">
              <w:rPr>
                <w:b/>
                <w:noProof/>
                <w:sz w:val="22"/>
              </w:rPr>
              <w:t>under HEADINGS 1 to 7</w:t>
            </w:r>
            <w:r w:rsidRPr="00F91EC4">
              <w:rPr>
                <w:noProof/>
                <w:sz w:val="22"/>
              </w:rPr>
              <w:br/>
              <w:t>of the multiannual financial framework</w:t>
            </w:r>
            <w:r w:rsidRPr="00F91EC4">
              <w:rPr>
                <w:b/>
                <w:noProof/>
                <w:sz w:val="22"/>
              </w:rPr>
              <w:t xml:space="preserve"> </w:t>
            </w:r>
          </w:p>
        </w:tc>
        <w:tc>
          <w:tcPr>
            <w:tcW w:w="2094" w:type="dxa"/>
            <w:gridSpan w:val="2"/>
            <w:vAlign w:val="center"/>
          </w:tcPr>
          <w:p w14:paraId="0F3EF7D7" w14:textId="77777777" w:rsidR="00C034C3" w:rsidRPr="00F91EC4" w:rsidRDefault="00C034C3" w:rsidP="00C034C3">
            <w:pPr>
              <w:rPr>
                <w:noProof/>
                <w:sz w:val="14"/>
              </w:rPr>
            </w:pPr>
            <w:r w:rsidRPr="00F91EC4">
              <w:rPr>
                <w:noProof/>
                <w:sz w:val="18"/>
              </w:rPr>
              <w:t>Commitments</w:t>
            </w:r>
          </w:p>
        </w:tc>
        <w:tc>
          <w:tcPr>
            <w:tcW w:w="868" w:type="dxa"/>
            <w:vAlign w:val="center"/>
          </w:tcPr>
          <w:p w14:paraId="7DB6AFA5" w14:textId="77777777" w:rsidR="00C034C3" w:rsidRPr="00F91EC4" w:rsidRDefault="00C034C3" w:rsidP="00C034C3">
            <w:pPr>
              <w:spacing w:before="60" w:after="60"/>
              <w:jc w:val="right"/>
              <w:rPr>
                <w:noProof/>
                <w:sz w:val="20"/>
              </w:rPr>
            </w:pPr>
            <w:r w:rsidRPr="00F91EC4">
              <w:rPr>
                <w:noProof/>
                <w:sz w:val="20"/>
              </w:rPr>
              <w:t>2.818</w:t>
            </w:r>
          </w:p>
        </w:tc>
        <w:tc>
          <w:tcPr>
            <w:tcW w:w="868" w:type="dxa"/>
            <w:vAlign w:val="center"/>
          </w:tcPr>
          <w:p w14:paraId="647D4427" w14:textId="77777777" w:rsidR="00C034C3" w:rsidRPr="00F91EC4" w:rsidRDefault="00C034C3" w:rsidP="00C034C3">
            <w:pPr>
              <w:spacing w:before="60" w:after="60"/>
              <w:jc w:val="right"/>
              <w:rPr>
                <w:noProof/>
                <w:sz w:val="20"/>
              </w:rPr>
            </w:pPr>
            <w:r w:rsidRPr="00F91EC4">
              <w:rPr>
                <w:noProof/>
                <w:sz w:val="20"/>
              </w:rPr>
              <w:t>2.618</w:t>
            </w:r>
          </w:p>
        </w:tc>
        <w:tc>
          <w:tcPr>
            <w:tcW w:w="868" w:type="dxa"/>
            <w:vAlign w:val="center"/>
          </w:tcPr>
          <w:p w14:paraId="34AC65B5" w14:textId="77777777" w:rsidR="00C034C3" w:rsidRPr="00F91EC4" w:rsidRDefault="00C034C3" w:rsidP="00C034C3">
            <w:pPr>
              <w:spacing w:before="60" w:after="60"/>
              <w:jc w:val="right"/>
              <w:rPr>
                <w:noProof/>
                <w:sz w:val="20"/>
              </w:rPr>
            </w:pPr>
            <w:r w:rsidRPr="00F91EC4">
              <w:rPr>
                <w:noProof/>
                <w:sz w:val="20"/>
              </w:rPr>
              <w:t>1.346</w:t>
            </w:r>
          </w:p>
        </w:tc>
        <w:tc>
          <w:tcPr>
            <w:tcW w:w="868" w:type="dxa"/>
            <w:vAlign w:val="center"/>
          </w:tcPr>
          <w:p w14:paraId="54C6ACEA" w14:textId="77777777" w:rsidR="00C034C3" w:rsidRPr="00F91EC4" w:rsidRDefault="00C034C3" w:rsidP="00C034C3">
            <w:pPr>
              <w:spacing w:before="60" w:after="60"/>
              <w:jc w:val="right"/>
              <w:rPr>
                <w:noProof/>
                <w:sz w:val="20"/>
              </w:rPr>
            </w:pPr>
            <w:r w:rsidRPr="00F91EC4">
              <w:rPr>
                <w:noProof/>
                <w:sz w:val="20"/>
              </w:rPr>
              <w:t>1.296</w:t>
            </w:r>
          </w:p>
        </w:tc>
        <w:tc>
          <w:tcPr>
            <w:tcW w:w="1777" w:type="dxa"/>
            <w:vAlign w:val="center"/>
          </w:tcPr>
          <w:p w14:paraId="64E476E1" w14:textId="77777777" w:rsidR="00C034C3" w:rsidRPr="00F91EC4" w:rsidRDefault="00C034C3" w:rsidP="00C034C3">
            <w:pPr>
              <w:spacing w:before="60" w:after="60"/>
              <w:jc w:val="right"/>
              <w:rPr>
                <w:b/>
                <w:noProof/>
                <w:sz w:val="20"/>
              </w:rPr>
            </w:pPr>
            <w:r w:rsidRPr="00F91EC4">
              <w:rPr>
                <w:b/>
                <w:noProof/>
                <w:sz w:val="20"/>
              </w:rPr>
              <w:t>8.078</w:t>
            </w:r>
          </w:p>
        </w:tc>
      </w:tr>
      <w:tr w:rsidR="00C034C3" w:rsidRPr="00F91EC4" w14:paraId="6E2629E3" w14:textId="77777777" w:rsidTr="00D014CD">
        <w:tc>
          <w:tcPr>
            <w:tcW w:w="3960" w:type="dxa"/>
            <w:vMerge/>
            <w:shd w:val="clear" w:color="auto" w:fill="C0C0C0"/>
          </w:tcPr>
          <w:p w14:paraId="54DB06DB" w14:textId="77777777" w:rsidR="00C034C3" w:rsidRPr="00F91EC4" w:rsidRDefault="00C034C3" w:rsidP="00C034C3">
            <w:pPr>
              <w:rPr>
                <w:noProof/>
                <w:sz w:val="20"/>
              </w:rPr>
            </w:pPr>
          </w:p>
        </w:tc>
        <w:tc>
          <w:tcPr>
            <w:tcW w:w="2094" w:type="dxa"/>
            <w:gridSpan w:val="2"/>
            <w:vAlign w:val="center"/>
          </w:tcPr>
          <w:p w14:paraId="71A2D13A" w14:textId="77777777" w:rsidR="00C034C3" w:rsidRPr="00F91EC4" w:rsidRDefault="00C034C3" w:rsidP="00C034C3">
            <w:pPr>
              <w:rPr>
                <w:noProof/>
                <w:sz w:val="14"/>
              </w:rPr>
            </w:pPr>
            <w:r w:rsidRPr="00F91EC4">
              <w:rPr>
                <w:noProof/>
                <w:sz w:val="18"/>
              </w:rPr>
              <w:t>Payments</w:t>
            </w:r>
          </w:p>
        </w:tc>
        <w:tc>
          <w:tcPr>
            <w:tcW w:w="868" w:type="dxa"/>
            <w:vAlign w:val="center"/>
          </w:tcPr>
          <w:p w14:paraId="0E419DD4" w14:textId="77777777" w:rsidR="00C034C3" w:rsidRPr="00F91EC4" w:rsidRDefault="00C034C3" w:rsidP="00C034C3">
            <w:pPr>
              <w:spacing w:before="60" w:after="60"/>
              <w:jc w:val="right"/>
              <w:rPr>
                <w:noProof/>
                <w:sz w:val="20"/>
              </w:rPr>
            </w:pPr>
            <w:r w:rsidRPr="00F91EC4">
              <w:rPr>
                <w:noProof/>
                <w:sz w:val="20"/>
              </w:rPr>
              <w:t>2.218</w:t>
            </w:r>
          </w:p>
        </w:tc>
        <w:tc>
          <w:tcPr>
            <w:tcW w:w="868" w:type="dxa"/>
            <w:vAlign w:val="center"/>
          </w:tcPr>
          <w:p w14:paraId="065075F5" w14:textId="77777777" w:rsidR="00C034C3" w:rsidRPr="00F91EC4" w:rsidRDefault="00C034C3" w:rsidP="00C034C3">
            <w:pPr>
              <w:spacing w:before="60" w:after="60"/>
              <w:jc w:val="right"/>
              <w:rPr>
                <w:noProof/>
                <w:sz w:val="20"/>
              </w:rPr>
            </w:pPr>
            <w:r w:rsidRPr="00F91EC4">
              <w:rPr>
                <w:noProof/>
                <w:sz w:val="20"/>
              </w:rPr>
              <w:t>2.618</w:t>
            </w:r>
          </w:p>
        </w:tc>
        <w:tc>
          <w:tcPr>
            <w:tcW w:w="868" w:type="dxa"/>
            <w:vAlign w:val="center"/>
          </w:tcPr>
          <w:p w14:paraId="57C9E45C" w14:textId="77777777" w:rsidR="00C034C3" w:rsidRPr="00F91EC4" w:rsidRDefault="00C034C3" w:rsidP="00C034C3">
            <w:pPr>
              <w:spacing w:before="60" w:after="60"/>
              <w:jc w:val="right"/>
              <w:rPr>
                <w:noProof/>
                <w:sz w:val="20"/>
              </w:rPr>
            </w:pPr>
            <w:r w:rsidRPr="00F91EC4">
              <w:rPr>
                <w:noProof/>
                <w:sz w:val="20"/>
              </w:rPr>
              <w:t>1.946</w:t>
            </w:r>
          </w:p>
        </w:tc>
        <w:tc>
          <w:tcPr>
            <w:tcW w:w="868" w:type="dxa"/>
            <w:vAlign w:val="center"/>
          </w:tcPr>
          <w:p w14:paraId="774A8BA3" w14:textId="77777777" w:rsidR="00C034C3" w:rsidRPr="00F91EC4" w:rsidRDefault="00C034C3" w:rsidP="00C034C3">
            <w:pPr>
              <w:spacing w:before="60" w:after="60"/>
              <w:jc w:val="right"/>
              <w:rPr>
                <w:noProof/>
                <w:sz w:val="20"/>
              </w:rPr>
            </w:pPr>
            <w:r w:rsidRPr="00F91EC4">
              <w:rPr>
                <w:noProof/>
                <w:sz w:val="20"/>
              </w:rPr>
              <w:t>1.296</w:t>
            </w:r>
          </w:p>
        </w:tc>
        <w:tc>
          <w:tcPr>
            <w:tcW w:w="1777" w:type="dxa"/>
            <w:vAlign w:val="center"/>
          </w:tcPr>
          <w:p w14:paraId="01DBF3D7" w14:textId="77777777" w:rsidR="00C034C3" w:rsidRPr="00F91EC4" w:rsidRDefault="00C034C3" w:rsidP="00C034C3">
            <w:pPr>
              <w:spacing w:before="60" w:after="60"/>
              <w:jc w:val="right"/>
              <w:rPr>
                <w:b/>
                <w:noProof/>
                <w:sz w:val="20"/>
              </w:rPr>
            </w:pPr>
            <w:r w:rsidRPr="00F91EC4">
              <w:rPr>
                <w:b/>
                <w:noProof/>
                <w:sz w:val="20"/>
              </w:rPr>
              <w:t>8.078</w:t>
            </w:r>
          </w:p>
        </w:tc>
      </w:tr>
    </w:tbl>
    <w:p w14:paraId="4921DECE" w14:textId="77777777" w:rsidR="00D014CD" w:rsidRPr="00F91EC4" w:rsidRDefault="00D014CD" w:rsidP="00D014CD">
      <w:pPr>
        <w:rPr>
          <w:noProof/>
        </w:rPr>
      </w:pPr>
    </w:p>
    <w:p w14:paraId="336D60A0" w14:textId="3C8CCBD9" w:rsidR="00D014CD" w:rsidRPr="00F91EC4" w:rsidRDefault="00DD0F7B" w:rsidP="00DD0F7B">
      <w:pPr>
        <w:pStyle w:val="ManualHeading3"/>
        <w:rPr>
          <w:bCs/>
          <w:noProof/>
          <w:szCs w:val="24"/>
        </w:rPr>
      </w:pPr>
      <w:bookmarkStart w:id="65" w:name="_Toc514938054"/>
      <w:bookmarkStart w:id="66" w:name="_Toc520485053"/>
      <w:r w:rsidRPr="00DD0F7B">
        <w:rPr>
          <w:noProof/>
        </w:rPr>
        <w:t>3.2.2.</w:t>
      </w:r>
      <w:r w:rsidRPr="00DD0F7B">
        <w:rPr>
          <w:noProof/>
        </w:rPr>
        <w:tab/>
      </w:r>
      <w:r w:rsidR="00D014CD" w:rsidRPr="00F91EC4">
        <w:rPr>
          <w:noProof/>
        </w:rPr>
        <w:t>Estimated output funded with operational appropriations</w:t>
      </w:r>
      <w:bookmarkEnd w:id="65"/>
      <w:bookmarkEnd w:id="66"/>
      <w:r w:rsidR="00D014CD" w:rsidRPr="00F91EC4">
        <w:rPr>
          <w:noProof/>
        </w:rPr>
        <w:t xml:space="preserve"> </w:t>
      </w:r>
    </w:p>
    <w:p w14:paraId="0620A129" w14:textId="77777777" w:rsidR="00D014CD" w:rsidRPr="00F91EC4" w:rsidRDefault="00D014CD" w:rsidP="00D014CD">
      <w:pPr>
        <w:jc w:val="right"/>
        <w:rPr>
          <w:noProof/>
          <w:sz w:val="20"/>
        </w:rPr>
      </w:pPr>
      <w:r w:rsidRPr="00F91EC4">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89"/>
        <w:gridCol w:w="567"/>
        <w:gridCol w:w="569"/>
        <w:gridCol w:w="720"/>
        <w:gridCol w:w="540"/>
        <w:gridCol w:w="720"/>
        <w:gridCol w:w="720"/>
        <w:gridCol w:w="720"/>
        <w:gridCol w:w="900"/>
        <w:gridCol w:w="720"/>
        <w:gridCol w:w="540"/>
        <w:gridCol w:w="648"/>
        <w:gridCol w:w="432"/>
        <w:gridCol w:w="720"/>
        <w:gridCol w:w="540"/>
        <w:gridCol w:w="720"/>
        <w:gridCol w:w="720"/>
        <w:gridCol w:w="900"/>
      </w:tblGrid>
      <w:tr w:rsidR="00D014CD" w:rsidRPr="00F91EC4" w14:paraId="78F779B3" w14:textId="77777777" w:rsidTr="00D014CD">
        <w:trPr>
          <w:jc w:val="center"/>
        </w:trPr>
        <w:tc>
          <w:tcPr>
            <w:tcW w:w="1423" w:type="dxa"/>
            <w:vMerge w:val="restart"/>
            <w:vAlign w:val="center"/>
          </w:tcPr>
          <w:p w14:paraId="2CD35CDD" w14:textId="77777777" w:rsidR="00D014CD" w:rsidRPr="00F91EC4" w:rsidRDefault="00D014CD" w:rsidP="00D014CD">
            <w:pPr>
              <w:ind w:right="-29"/>
              <w:jc w:val="center"/>
              <w:rPr>
                <w:b/>
                <w:noProof/>
                <w:sz w:val="18"/>
                <w:szCs w:val="18"/>
              </w:rPr>
            </w:pPr>
            <w:r w:rsidRPr="00F91EC4">
              <w:rPr>
                <w:b/>
                <w:noProof/>
                <w:sz w:val="18"/>
              </w:rPr>
              <w:t xml:space="preserve">Indicate objectives and outputs </w:t>
            </w:r>
          </w:p>
          <w:p w14:paraId="439E6240" w14:textId="77777777" w:rsidR="00D014CD" w:rsidRPr="00F91EC4" w:rsidRDefault="00D014CD" w:rsidP="00D014CD">
            <w:pPr>
              <w:ind w:right="-29"/>
              <w:jc w:val="center"/>
              <w:rPr>
                <w:b/>
                <w:noProof/>
                <w:sz w:val="18"/>
                <w:szCs w:val="18"/>
              </w:rPr>
            </w:pPr>
          </w:p>
          <w:p w14:paraId="2E2C1488" w14:textId="77777777" w:rsidR="00D014CD" w:rsidRPr="00F91EC4" w:rsidRDefault="00D014CD" w:rsidP="00D014CD">
            <w:pPr>
              <w:ind w:right="-29"/>
              <w:jc w:val="center"/>
              <w:rPr>
                <w:noProof/>
                <w:sz w:val="18"/>
                <w:szCs w:val="18"/>
              </w:rPr>
            </w:pPr>
            <w:r w:rsidRPr="00F91EC4">
              <w:rPr>
                <w:rFonts w:ascii="Wingdings" w:eastAsia="Wingdings" w:hAnsi="Wingdings" w:cs="Wingdings"/>
                <w:noProof/>
                <w:sz w:val="18"/>
              </w:rPr>
              <w:t></w:t>
            </w:r>
          </w:p>
        </w:tc>
        <w:tc>
          <w:tcPr>
            <w:tcW w:w="789" w:type="dxa"/>
            <w:vAlign w:val="center"/>
          </w:tcPr>
          <w:p w14:paraId="6C1C72BB" w14:textId="77777777" w:rsidR="00D014CD" w:rsidRPr="00F91EC4" w:rsidRDefault="00D014CD" w:rsidP="00D014CD">
            <w:pPr>
              <w:ind w:right="-29"/>
              <w:jc w:val="center"/>
              <w:rPr>
                <w:noProof/>
                <w:sz w:val="18"/>
                <w:szCs w:val="18"/>
              </w:rPr>
            </w:pPr>
          </w:p>
        </w:tc>
        <w:tc>
          <w:tcPr>
            <w:tcW w:w="567" w:type="dxa"/>
            <w:vAlign w:val="center"/>
          </w:tcPr>
          <w:p w14:paraId="1A6A5B29" w14:textId="77777777" w:rsidR="00D014CD" w:rsidRPr="00F91EC4" w:rsidRDefault="00D014CD" w:rsidP="00D014CD">
            <w:pPr>
              <w:ind w:right="-29"/>
              <w:jc w:val="center"/>
              <w:rPr>
                <w:noProof/>
                <w:sz w:val="18"/>
                <w:szCs w:val="18"/>
              </w:rPr>
            </w:pPr>
          </w:p>
        </w:tc>
        <w:tc>
          <w:tcPr>
            <w:tcW w:w="1289" w:type="dxa"/>
            <w:gridSpan w:val="2"/>
            <w:tcBorders>
              <w:left w:val="nil"/>
            </w:tcBorders>
            <w:vAlign w:val="center"/>
          </w:tcPr>
          <w:p w14:paraId="7D37E4AB" w14:textId="77777777" w:rsidR="00D014CD" w:rsidRPr="00F91EC4" w:rsidRDefault="00D014CD" w:rsidP="00D014CD">
            <w:pPr>
              <w:ind w:right="-29"/>
              <w:jc w:val="center"/>
              <w:rPr>
                <w:noProof/>
                <w:sz w:val="18"/>
                <w:szCs w:val="18"/>
              </w:rPr>
            </w:pPr>
            <w:r w:rsidRPr="00F91EC4">
              <w:rPr>
                <w:noProof/>
                <w:sz w:val="18"/>
              </w:rPr>
              <w:t>Year</w:t>
            </w:r>
            <w:r w:rsidRPr="00F91EC4">
              <w:rPr>
                <w:noProof/>
                <w:sz w:val="22"/>
              </w:rPr>
              <w:br/>
            </w:r>
            <w:r w:rsidRPr="00F91EC4">
              <w:rPr>
                <w:b/>
                <w:noProof/>
                <w:sz w:val="18"/>
              </w:rPr>
              <w:t>2022</w:t>
            </w:r>
          </w:p>
        </w:tc>
        <w:tc>
          <w:tcPr>
            <w:tcW w:w="1260" w:type="dxa"/>
            <w:gridSpan w:val="2"/>
            <w:vAlign w:val="center"/>
          </w:tcPr>
          <w:p w14:paraId="644C7DD6" w14:textId="77777777" w:rsidR="00D014CD" w:rsidRPr="00F91EC4" w:rsidRDefault="00D014CD" w:rsidP="00D014CD">
            <w:pPr>
              <w:ind w:right="-29"/>
              <w:jc w:val="center"/>
              <w:rPr>
                <w:noProof/>
                <w:sz w:val="18"/>
                <w:szCs w:val="18"/>
              </w:rPr>
            </w:pPr>
            <w:r w:rsidRPr="00F91EC4">
              <w:rPr>
                <w:noProof/>
                <w:sz w:val="18"/>
              </w:rPr>
              <w:t>Year</w:t>
            </w:r>
            <w:r w:rsidRPr="00F91EC4">
              <w:rPr>
                <w:noProof/>
                <w:sz w:val="22"/>
              </w:rPr>
              <w:br/>
            </w:r>
            <w:r w:rsidRPr="00F91EC4">
              <w:rPr>
                <w:b/>
                <w:noProof/>
                <w:sz w:val="18"/>
              </w:rPr>
              <w:t>2023</w:t>
            </w:r>
          </w:p>
        </w:tc>
        <w:tc>
          <w:tcPr>
            <w:tcW w:w="1440" w:type="dxa"/>
            <w:gridSpan w:val="2"/>
            <w:vAlign w:val="center"/>
          </w:tcPr>
          <w:p w14:paraId="6584758C" w14:textId="77777777" w:rsidR="00D014CD" w:rsidRPr="00F91EC4" w:rsidRDefault="00D014CD" w:rsidP="00D014CD">
            <w:pPr>
              <w:ind w:right="-29"/>
              <w:jc w:val="center"/>
              <w:rPr>
                <w:noProof/>
                <w:sz w:val="18"/>
                <w:szCs w:val="18"/>
              </w:rPr>
            </w:pPr>
            <w:r w:rsidRPr="00F91EC4">
              <w:rPr>
                <w:noProof/>
                <w:sz w:val="18"/>
              </w:rPr>
              <w:t>Year</w:t>
            </w:r>
            <w:r w:rsidRPr="00F91EC4">
              <w:rPr>
                <w:noProof/>
                <w:sz w:val="22"/>
              </w:rPr>
              <w:br/>
            </w:r>
            <w:r w:rsidRPr="00F91EC4">
              <w:rPr>
                <w:b/>
                <w:noProof/>
                <w:sz w:val="18"/>
              </w:rPr>
              <w:t>2024</w:t>
            </w:r>
          </w:p>
        </w:tc>
        <w:tc>
          <w:tcPr>
            <w:tcW w:w="1620" w:type="dxa"/>
            <w:gridSpan w:val="2"/>
            <w:vAlign w:val="center"/>
          </w:tcPr>
          <w:p w14:paraId="259E70E6" w14:textId="77777777" w:rsidR="00D014CD" w:rsidRPr="00F91EC4" w:rsidRDefault="00D014CD" w:rsidP="00D014CD">
            <w:pPr>
              <w:ind w:right="-29"/>
              <w:jc w:val="center"/>
              <w:rPr>
                <w:noProof/>
                <w:sz w:val="18"/>
                <w:szCs w:val="18"/>
              </w:rPr>
            </w:pPr>
            <w:r w:rsidRPr="00F91EC4">
              <w:rPr>
                <w:noProof/>
                <w:sz w:val="18"/>
              </w:rPr>
              <w:t>Year</w:t>
            </w:r>
            <w:r w:rsidRPr="00F91EC4">
              <w:rPr>
                <w:noProof/>
                <w:sz w:val="22"/>
              </w:rPr>
              <w:br/>
            </w:r>
            <w:r w:rsidRPr="00F91EC4">
              <w:rPr>
                <w:b/>
                <w:noProof/>
                <w:sz w:val="18"/>
              </w:rPr>
              <w:t>2025</w:t>
            </w:r>
          </w:p>
        </w:tc>
        <w:tc>
          <w:tcPr>
            <w:tcW w:w="3600" w:type="dxa"/>
            <w:gridSpan w:val="6"/>
            <w:vAlign w:val="center"/>
          </w:tcPr>
          <w:p w14:paraId="4A5DF6C1" w14:textId="77777777" w:rsidR="00D014CD" w:rsidRPr="00F91EC4" w:rsidRDefault="00D014CD" w:rsidP="00D014CD">
            <w:pPr>
              <w:jc w:val="center"/>
              <w:rPr>
                <w:noProof/>
                <w:sz w:val="18"/>
                <w:szCs w:val="18"/>
              </w:rPr>
            </w:pPr>
            <w:r w:rsidRPr="00F91EC4">
              <w:rPr>
                <w:noProof/>
                <w:sz w:val="18"/>
              </w:rPr>
              <w:t>Enter as many years as necessary to show the duration of the impact (see point 1.6)</w:t>
            </w:r>
          </w:p>
        </w:tc>
        <w:tc>
          <w:tcPr>
            <w:tcW w:w="1620" w:type="dxa"/>
            <w:gridSpan w:val="2"/>
            <w:tcBorders>
              <w:left w:val="nil"/>
              <w:bottom w:val="nil"/>
            </w:tcBorders>
            <w:vAlign w:val="center"/>
          </w:tcPr>
          <w:p w14:paraId="11D023BB" w14:textId="77777777" w:rsidR="00D014CD" w:rsidRPr="00F91EC4" w:rsidRDefault="00D014CD" w:rsidP="00D014CD">
            <w:pPr>
              <w:ind w:right="-29"/>
              <w:jc w:val="center"/>
              <w:rPr>
                <w:noProof/>
                <w:sz w:val="18"/>
                <w:szCs w:val="18"/>
              </w:rPr>
            </w:pPr>
            <w:r w:rsidRPr="00F91EC4">
              <w:rPr>
                <w:b/>
                <w:noProof/>
                <w:sz w:val="18"/>
              </w:rPr>
              <w:t>TOTAL</w:t>
            </w:r>
          </w:p>
        </w:tc>
      </w:tr>
      <w:tr w:rsidR="00D014CD" w:rsidRPr="00F91EC4" w14:paraId="2E5C0E89" w14:textId="77777777" w:rsidTr="00D014CD">
        <w:trPr>
          <w:jc w:val="center"/>
        </w:trPr>
        <w:tc>
          <w:tcPr>
            <w:tcW w:w="1423" w:type="dxa"/>
            <w:vMerge/>
            <w:vAlign w:val="center"/>
          </w:tcPr>
          <w:p w14:paraId="4904ADC8" w14:textId="77777777" w:rsidR="00D014CD" w:rsidRPr="00F91EC4" w:rsidRDefault="00D014CD" w:rsidP="00D014CD">
            <w:pPr>
              <w:ind w:right="-29"/>
              <w:jc w:val="center"/>
              <w:rPr>
                <w:noProof/>
                <w:sz w:val="18"/>
                <w:szCs w:val="18"/>
              </w:rPr>
            </w:pPr>
          </w:p>
        </w:tc>
        <w:tc>
          <w:tcPr>
            <w:tcW w:w="12185" w:type="dxa"/>
            <w:gridSpan w:val="18"/>
            <w:vAlign w:val="center"/>
          </w:tcPr>
          <w:p w14:paraId="538B9EE8" w14:textId="77777777" w:rsidR="00D014CD" w:rsidRPr="00F91EC4" w:rsidRDefault="00D014CD" w:rsidP="00D014CD">
            <w:pPr>
              <w:spacing w:before="60" w:after="60"/>
              <w:ind w:right="-29"/>
              <w:jc w:val="center"/>
              <w:rPr>
                <w:noProof/>
                <w:sz w:val="18"/>
                <w:szCs w:val="18"/>
              </w:rPr>
            </w:pPr>
            <w:r w:rsidRPr="00F91EC4">
              <w:rPr>
                <w:b/>
                <w:noProof/>
                <w:sz w:val="18"/>
              </w:rPr>
              <w:t>OUTPUTS</w:t>
            </w:r>
          </w:p>
        </w:tc>
      </w:tr>
      <w:tr w:rsidR="00D014CD" w:rsidRPr="00F91EC4" w14:paraId="64FC9C04" w14:textId="77777777" w:rsidTr="00D014CD">
        <w:trPr>
          <w:cantSplit/>
          <w:trHeight w:val="1134"/>
          <w:jc w:val="center"/>
        </w:trPr>
        <w:tc>
          <w:tcPr>
            <w:tcW w:w="1423" w:type="dxa"/>
            <w:vMerge/>
            <w:vAlign w:val="center"/>
          </w:tcPr>
          <w:p w14:paraId="1CA678F6" w14:textId="77777777" w:rsidR="00D014CD" w:rsidRPr="00F91EC4" w:rsidRDefault="00D014CD" w:rsidP="00D014CD">
            <w:pPr>
              <w:rPr>
                <w:noProof/>
                <w:sz w:val="18"/>
                <w:szCs w:val="18"/>
              </w:rPr>
            </w:pPr>
          </w:p>
        </w:tc>
        <w:tc>
          <w:tcPr>
            <w:tcW w:w="789" w:type="dxa"/>
            <w:vAlign w:val="center"/>
          </w:tcPr>
          <w:p w14:paraId="397B2B04" w14:textId="77777777" w:rsidR="00D014CD" w:rsidRPr="00F91EC4" w:rsidRDefault="00D014CD" w:rsidP="00D014CD">
            <w:pPr>
              <w:jc w:val="center"/>
              <w:rPr>
                <w:noProof/>
                <w:sz w:val="18"/>
                <w:szCs w:val="18"/>
              </w:rPr>
            </w:pPr>
            <w:r w:rsidRPr="00F91EC4">
              <w:rPr>
                <w:noProof/>
                <w:sz w:val="18"/>
              </w:rPr>
              <w:t>Type</w:t>
            </w:r>
            <w:r w:rsidRPr="00F91EC4">
              <w:rPr>
                <w:rStyle w:val="FootnoteReference"/>
                <w:noProof/>
                <w:sz w:val="18"/>
              </w:rPr>
              <w:footnoteReference w:id="65"/>
            </w:r>
          </w:p>
          <w:p w14:paraId="452E1464" w14:textId="77777777" w:rsidR="00D014CD" w:rsidRPr="00F91EC4" w:rsidRDefault="00D014CD" w:rsidP="00D014CD">
            <w:pPr>
              <w:spacing w:before="0" w:after="0"/>
              <w:jc w:val="center"/>
              <w:rPr>
                <w:noProof/>
                <w:sz w:val="18"/>
                <w:szCs w:val="18"/>
              </w:rPr>
            </w:pPr>
          </w:p>
        </w:tc>
        <w:tc>
          <w:tcPr>
            <w:tcW w:w="567" w:type="dxa"/>
            <w:vAlign w:val="center"/>
          </w:tcPr>
          <w:p w14:paraId="13D1154D" w14:textId="77777777" w:rsidR="00D014CD" w:rsidRPr="00F91EC4" w:rsidRDefault="00D014CD" w:rsidP="00D014CD">
            <w:pPr>
              <w:jc w:val="center"/>
              <w:rPr>
                <w:noProof/>
                <w:sz w:val="18"/>
                <w:szCs w:val="18"/>
              </w:rPr>
            </w:pPr>
            <w:r w:rsidRPr="00F91EC4">
              <w:rPr>
                <w:noProof/>
                <w:sz w:val="18"/>
              </w:rPr>
              <w:t>Average cost</w:t>
            </w:r>
          </w:p>
        </w:tc>
        <w:tc>
          <w:tcPr>
            <w:tcW w:w="569" w:type="dxa"/>
            <w:tcBorders>
              <w:left w:val="nil"/>
              <w:right w:val="dashSmallGap" w:sz="4" w:space="0" w:color="auto"/>
            </w:tcBorders>
            <w:shd w:val="pct10" w:color="auto" w:fill="auto"/>
            <w:textDirection w:val="btLr"/>
            <w:vAlign w:val="center"/>
          </w:tcPr>
          <w:p w14:paraId="572ADDB3"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2287F4BF" w14:textId="77777777" w:rsidR="00D014CD" w:rsidRPr="00F91EC4" w:rsidRDefault="00D014CD" w:rsidP="00D014CD">
            <w:pPr>
              <w:jc w:val="center"/>
              <w:rPr>
                <w:noProof/>
                <w:sz w:val="18"/>
                <w:szCs w:val="18"/>
              </w:rPr>
            </w:pPr>
            <w:r w:rsidRPr="00F91EC4">
              <w:rPr>
                <w:noProof/>
                <w:sz w:val="18"/>
              </w:rPr>
              <w:t>Cost</w:t>
            </w:r>
          </w:p>
        </w:tc>
        <w:tc>
          <w:tcPr>
            <w:tcW w:w="540" w:type="dxa"/>
            <w:tcBorders>
              <w:right w:val="dashSmallGap" w:sz="4" w:space="0" w:color="auto"/>
            </w:tcBorders>
            <w:shd w:val="pct10" w:color="auto" w:fill="auto"/>
            <w:textDirection w:val="btLr"/>
            <w:vAlign w:val="center"/>
          </w:tcPr>
          <w:p w14:paraId="54C4F942"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239B49D2" w14:textId="77777777" w:rsidR="00D014CD" w:rsidRPr="00F91EC4" w:rsidRDefault="00D014CD" w:rsidP="00D014CD">
            <w:pPr>
              <w:jc w:val="center"/>
              <w:rPr>
                <w:noProof/>
                <w:sz w:val="18"/>
                <w:szCs w:val="18"/>
              </w:rPr>
            </w:pPr>
            <w:r w:rsidRPr="00F91EC4">
              <w:rPr>
                <w:noProof/>
                <w:sz w:val="18"/>
              </w:rPr>
              <w:t>Cost</w:t>
            </w:r>
          </w:p>
        </w:tc>
        <w:tc>
          <w:tcPr>
            <w:tcW w:w="720" w:type="dxa"/>
            <w:tcBorders>
              <w:right w:val="dashSmallGap" w:sz="4" w:space="0" w:color="auto"/>
            </w:tcBorders>
            <w:shd w:val="pct10" w:color="auto" w:fill="auto"/>
            <w:textDirection w:val="btLr"/>
            <w:vAlign w:val="center"/>
          </w:tcPr>
          <w:p w14:paraId="176BC5E6"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1C93BC68" w14:textId="77777777" w:rsidR="00D014CD" w:rsidRPr="00F91EC4" w:rsidRDefault="00D014CD" w:rsidP="00D014CD">
            <w:pPr>
              <w:jc w:val="center"/>
              <w:rPr>
                <w:noProof/>
                <w:sz w:val="18"/>
                <w:szCs w:val="18"/>
              </w:rPr>
            </w:pPr>
            <w:r w:rsidRPr="00F91EC4">
              <w:rPr>
                <w:noProof/>
                <w:sz w:val="18"/>
              </w:rPr>
              <w:t>Cost</w:t>
            </w:r>
          </w:p>
        </w:tc>
        <w:tc>
          <w:tcPr>
            <w:tcW w:w="900" w:type="dxa"/>
            <w:tcBorders>
              <w:right w:val="dashSmallGap" w:sz="4" w:space="0" w:color="auto"/>
            </w:tcBorders>
            <w:shd w:val="pct10" w:color="auto" w:fill="auto"/>
            <w:textDirection w:val="btLr"/>
            <w:vAlign w:val="center"/>
          </w:tcPr>
          <w:p w14:paraId="6AAFAFEE"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70FD289B" w14:textId="77777777" w:rsidR="00D014CD" w:rsidRPr="00F91EC4" w:rsidRDefault="00D014CD" w:rsidP="00D014CD">
            <w:pPr>
              <w:jc w:val="center"/>
              <w:rPr>
                <w:noProof/>
                <w:sz w:val="18"/>
                <w:szCs w:val="18"/>
              </w:rPr>
            </w:pPr>
            <w:r w:rsidRPr="00F91EC4">
              <w:rPr>
                <w:noProof/>
                <w:sz w:val="18"/>
              </w:rPr>
              <w:t>Cost</w:t>
            </w:r>
          </w:p>
        </w:tc>
        <w:tc>
          <w:tcPr>
            <w:tcW w:w="540" w:type="dxa"/>
            <w:tcBorders>
              <w:right w:val="dashSmallGap" w:sz="4" w:space="0" w:color="auto"/>
            </w:tcBorders>
            <w:shd w:val="pct10" w:color="auto" w:fill="auto"/>
            <w:textDirection w:val="btLr"/>
            <w:vAlign w:val="center"/>
          </w:tcPr>
          <w:p w14:paraId="3B0BB8C5" w14:textId="77777777" w:rsidR="00D014CD" w:rsidRPr="00F91EC4" w:rsidRDefault="00D014CD" w:rsidP="00D014CD">
            <w:pPr>
              <w:ind w:left="113" w:right="113"/>
              <w:jc w:val="center"/>
              <w:rPr>
                <w:noProof/>
                <w:sz w:val="18"/>
                <w:szCs w:val="18"/>
              </w:rPr>
            </w:pPr>
            <w:r w:rsidRPr="00F91EC4">
              <w:rPr>
                <w:noProof/>
                <w:sz w:val="18"/>
              </w:rPr>
              <w:t>No</w:t>
            </w:r>
          </w:p>
        </w:tc>
        <w:tc>
          <w:tcPr>
            <w:tcW w:w="648" w:type="dxa"/>
            <w:tcBorders>
              <w:left w:val="dashSmallGap" w:sz="4" w:space="0" w:color="auto"/>
            </w:tcBorders>
            <w:shd w:val="pct10" w:color="auto" w:fill="auto"/>
            <w:vAlign w:val="center"/>
          </w:tcPr>
          <w:p w14:paraId="4BBC3E26" w14:textId="77777777" w:rsidR="00D014CD" w:rsidRPr="00F91EC4" w:rsidRDefault="00D014CD" w:rsidP="00D014CD">
            <w:pPr>
              <w:jc w:val="center"/>
              <w:rPr>
                <w:noProof/>
                <w:sz w:val="18"/>
                <w:szCs w:val="18"/>
              </w:rPr>
            </w:pPr>
            <w:r w:rsidRPr="00F91EC4">
              <w:rPr>
                <w:noProof/>
                <w:sz w:val="18"/>
              </w:rPr>
              <w:t>Cost</w:t>
            </w:r>
          </w:p>
        </w:tc>
        <w:tc>
          <w:tcPr>
            <w:tcW w:w="432" w:type="dxa"/>
            <w:tcBorders>
              <w:right w:val="dashSmallGap" w:sz="4" w:space="0" w:color="auto"/>
            </w:tcBorders>
            <w:shd w:val="pct10" w:color="auto" w:fill="auto"/>
            <w:textDirection w:val="btLr"/>
            <w:vAlign w:val="center"/>
          </w:tcPr>
          <w:p w14:paraId="0FA916D1"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64DD0FB0" w14:textId="77777777" w:rsidR="00D014CD" w:rsidRPr="00F91EC4" w:rsidRDefault="00D014CD" w:rsidP="00D014CD">
            <w:pPr>
              <w:jc w:val="center"/>
              <w:rPr>
                <w:noProof/>
                <w:sz w:val="18"/>
                <w:szCs w:val="18"/>
              </w:rPr>
            </w:pPr>
            <w:r w:rsidRPr="00F91EC4">
              <w:rPr>
                <w:noProof/>
                <w:sz w:val="18"/>
              </w:rPr>
              <w:t>Cost</w:t>
            </w:r>
          </w:p>
        </w:tc>
        <w:tc>
          <w:tcPr>
            <w:tcW w:w="540" w:type="dxa"/>
            <w:tcBorders>
              <w:right w:val="dashSmallGap" w:sz="4" w:space="0" w:color="auto"/>
            </w:tcBorders>
            <w:shd w:val="pct10" w:color="auto" w:fill="auto"/>
            <w:textDirection w:val="btLr"/>
            <w:vAlign w:val="center"/>
          </w:tcPr>
          <w:p w14:paraId="0FAFC2E2" w14:textId="77777777" w:rsidR="00D014CD" w:rsidRPr="00F91EC4" w:rsidRDefault="00D014CD" w:rsidP="00D014CD">
            <w:pPr>
              <w:ind w:left="113" w:right="113"/>
              <w:jc w:val="center"/>
              <w:rPr>
                <w:noProof/>
                <w:sz w:val="18"/>
                <w:szCs w:val="18"/>
              </w:rPr>
            </w:pPr>
            <w:r w:rsidRPr="00F91EC4">
              <w:rPr>
                <w:noProof/>
                <w:sz w:val="18"/>
              </w:rPr>
              <w:t>No</w:t>
            </w:r>
          </w:p>
        </w:tc>
        <w:tc>
          <w:tcPr>
            <w:tcW w:w="720" w:type="dxa"/>
            <w:tcBorders>
              <w:left w:val="dashSmallGap" w:sz="4" w:space="0" w:color="auto"/>
            </w:tcBorders>
            <w:shd w:val="pct10" w:color="auto" w:fill="auto"/>
            <w:vAlign w:val="center"/>
          </w:tcPr>
          <w:p w14:paraId="64D419D0" w14:textId="77777777" w:rsidR="00D014CD" w:rsidRPr="00F91EC4" w:rsidRDefault="00D014CD" w:rsidP="00D014CD">
            <w:pPr>
              <w:jc w:val="center"/>
              <w:rPr>
                <w:noProof/>
                <w:sz w:val="18"/>
                <w:szCs w:val="18"/>
              </w:rPr>
            </w:pPr>
            <w:r w:rsidRPr="00F91EC4">
              <w:rPr>
                <w:noProof/>
                <w:sz w:val="18"/>
              </w:rPr>
              <w:t>Cost</w:t>
            </w:r>
          </w:p>
        </w:tc>
        <w:tc>
          <w:tcPr>
            <w:tcW w:w="720" w:type="dxa"/>
            <w:tcBorders>
              <w:right w:val="dashSmallGap" w:sz="4" w:space="0" w:color="auto"/>
            </w:tcBorders>
            <w:shd w:val="pct10" w:color="auto" w:fill="auto"/>
            <w:vAlign w:val="center"/>
          </w:tcPr>
          <w:p w14:paraId="37EF25DE" w14:textId="77777777" w:rsidR="00D014CD" w:rsidRPr="00F91EC4" w:rsidRDefault="00D014CD" w:rsidP="00D014CD">
            <w:pPr>
              <w:jc w:val="center"/>
              <w:rPr>
                <w:noProof/>
                <w:sz w:val="18"/>
                <w:szCs w:val="18"/>
              </w:rPr>
            </w:pPr>
            <w:r w:rsidRPr="00F91EC4">
              <w:rPr>
                <w:noProof/>
                <w:sz w:val="18"/>
              </w:rPr>
              <w:t>Total No</w:t>
            </w:r>
          </w:p>
        </w:tc>
        <w:tc>
          <w:tcPr>
            <w:tcW w:w="900" w:type="dxa"/>
            <w:tcBorders>
              <w:left w:val="dashSmallGap" w:sz="4" w:space="0" w:color="auto"/>
            </w:tcBorders>
            <w:shd w:val="pct10" w:color="auto" w:fill="auto"/>
            <w:vAlign w:val="center"/>
          </w:tcPr>
          <w:p w14:paraId="6C8C7F4D" w14:textId="77777777" w:rsidR="00D014CD" w:rsidRPr="00F91EC4" w:rsidRDefault="00D014CD" w:rsidP="00D014CD">
            <w:pPr>
              <w:jc w:val="center"/>
              <w:rPr>
                <w:noProof/>
                <w:sz w:val="18"/>
                <w:szCs w:val="18"/>
              </w:rPr>
            </w:pPr>
            <w:r w:rsidRPr="00F91EC4">
              <w:rPr>
                <w:noProof/>
                <w:sz w:val="18"/>
              </w:rPr>
              <w:t>Total cost</w:t>
            </w:r>
          </w:p>
        </w:tc>
      </w:tr>
      <w:tr w:rsidR="00D014CD" w:rsidRPr="00F91EC4" w14:paraId="2398FC17" w14:textId="77777777" w:rsidTr="00D014CD">
        <w:trPr>
          <w:jc w:val="center"/>
        </w:trPr>
        <w:tc>
          <w:tcPr>
            <w:tcW w:w="2779" w:type="dxa"/>
            <w:gridSpan w:val="3"/>
            <w:vAlign w:val="center"/>
          </w:tcPr>
          <w:p w14:paraId="49FA26C9" w14:textId="77777777" w:rsidR="00D014CD" w:rsidRPr="00F91EC4" w:rsidRDefault="00D014CD" w:rsidP="00D014CD">
            <w:pPr>
              <w:spacing w:before="60" w:after="60"/>
              <w:ind w:right="-29"/>
              <w:jc w:val="center"/>
              <w:rPr>
                <w:noProof/>
                <w:sz w:val="18"/>
                <w:szCs w:val="18"/>
              </w:rPr>
            </w:pPr>
            <w:r w:rsidRPr="00F91EC4">
              <w:rPr>
                <w:noProof/>
                <w:sz w:val="18"/>
              </w:rPr>
              <w:t>SPECIFIC OBJECTIVE No 1…</w:t>
            </w:r>
          </w:p>
        </w:tc>
        <w:tc>
          <w:tcPr>
            <w:tcW w:w="569" w:type="dxa"/>
            <w:tcBorders>
              <w:top w:val="nil"/>
              <w:left w:val="nil"/>
              <w:bottom w:val="nil"/>
              <w:right w:val="nil"/>
            </w:tcBorders>
          </w:tcPr>
          <w:p w14:paraId="1CAEC4FD"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77C7DAD3" w14:textId="77777777" w:rsidR="00D014CD" w:rsidRPr="00F91EC4" w:rsidRDefault="00D014CD" w:rsidP="00D014CD">
            <w:pPr>
              <w:spacing w:before="60" w:after="60"/>
              <w:ind w:right="-29"/>
              <w:jc w:val="center"/>
              <w:rPr>
                <w:noProof/>
                <w:sz w:val="18"/>
                <w:szCs w:val="18"/>
              </w:rPr>
            </w:pPr>
          </w:p>
        </w:tc>
        <w:tc>
          <w:tcPr>
            <w:tcW w:w="540" w:type="dxa"/>
            <w:tcBorders>
              <w:top w:val="nil"/>
              <w:left w:val="nil"/>
              <w:bottom w:val="nil"/>
              <w:right w:val="nil"/>
            </w:tcBorders>
          </w:tcPr>
          <w:p w14:paraId="4922C457"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55D328D4"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20D22416"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38BF1604" w14:textId="77777777" w:rsidR="00D014CD" w:rsidRPr="00F91EC4" w:rsidRDefault="00D014CD" w:rsidP="00D014CD">
            <w:pPr>
              <w:spacing w:before="60" w:after="60"/>
              <w:ind w:right="-29"/>
              <w:jc w:val="center"/>
              <w:rPr>
                <w:noProof/>
                <w:sz w:val="18"/>
                <w:szCs w:val="18"/>
              </w:rPr>
            </w:pPr>
          </w:p>
        </w:tc>
        <w:tc>
          <w:tcPr>
            <w:tcW w:w="900" w:type="dxa"/>
            <w:tcBorders>
              <w:top w:val="nil"/>
              <w:left w:val="nil"/>
              <w:bottom w:val="nil"/>
              <w:right w:val="nil"/>
            </w:tcBorders>
          </w:tcPr>
          <w:p w14:paraId="15BC6FDF"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791C7E5F" w14:textId="77777777" w:rsidR="00D014CD" w:rsidRPr="00F91EC4" w:rsidRDefault="00D014CD" w:rsidP="00D014CD">
            <w:pPr>
              <w:spacing w:before="60" w:after="60"/>
              <w:ind w:right="-29"/>
              <w:jc w:val="center"/>
              <w:rPr>
                <w:noProof/>
                <w:sz w:val="18"/>
                <w:szCs w:val="18"/>
              </w:rPr>
            </w:pPr>
          </w:p>
        </w:tc>
        <w:tc>
          <w:tcPr>
            <w:tcW w:w="540" w:type="dxa"/>
            <w:tcBorders>
              <w:top w:val="nil"/>
              <w:left w:val="nil"/>
              <w:bottom w:val="nil"/>
              <w:right w:val="nil"/>
            </w:tcBorders>
          </w:tcPr>
          <w:p w14:paraId="552903D6" w14:textId="77777777" w:rsidR="00D014CD" w:rsidRPr="00F91EC4" w:rsidRDefault="00D014CD" w:rsidP="00D014CD">
            <w:pPr>
              <w:spacing w:before="60" w:after="60"/>
              <w:ind w:right="-29"/>
              <w:jc w:val="center"/>
              <w:rPr>
                <w:noProof/>
                <w:sz w:val="18"/>
                <w:szCs w:val="18"/>
              </w:rPr>
            </w:pPr>
          </w:p>
        </w:tc>
        <w:tc>
          <w:tcPr>
            <w:tcW w:w="648" w:type="dxa"/>
            <w:tcBorders>
              <w:top w:val="nil"/>
              <w:left w:val="nil"/>
              <w:bottom w:val="nil"/>
              <w:right w:val="nil"/>
            </w:tcBorders>
          </w:tcPr>
          <w:p w14:paraId="2185165D" w14:textId="77777777" w:rsidR="00D014CD" w:rsidRPr="00F91EC4" w:rsidRDefault="00D014CD" w:rsidP="00D014CD">
            <w:pPr>
              <w:spacing w:before="60" w:after="60"/>
              <w:ind w:right="-29"/>
              <w:jc w:val="center"/>
              <w:rPr>
                <w:noProof/>
                <w:sz w:val="18"/>
                <w:szCs w:val="18"/>
              </w:rPr>
            </w:pPr>
          </w:p>
        </w:tc>
        <w:tc>
          <w:tcPr>
            <w:tcW w:w="432" w:type="dxa"/>
            <w:tcBorders>
              <w:top w:val="nil"/>
              <w:left w:val="nil"/>
              <w:bottom w:val="nil"/>
              <w:right w:val="nil"/>
            </w:tcBorders>
          </w:tcPr>
          <w:p w14:paraId="09B7BDAA"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68F3C7FF" w14:textId="77777777" w:rsidR="00D014CD" w:rsidRPr="00F91EC4" w:rsidRDefault="00D014CD" w:rsidP="00D014CD">
            <w:pPr>
              <w:spacing w:before="60" w:after="60"/>
              <w:ind w:right="-29"/>
              <w:jc w:val="center"/>
              <w:rPr>
                <w:noProof/>
                <w:sz w:val="18"/>
                <w:szCs w:val="18"/>
              </w:rPr>
            </w:pPr>
          </w:p>
        </w:tc>
        <w:tc>
          <w:tcPr>
            <w:tcW w:w="540" w:type="dxa"/>
            <w:tcBorders>
              <w:top w:val="nil"/>
              <w:left w:val="nil"/>
              <w:bottom w:val="nil"/>
              <w:right w:val="nil"/>
            </w:tcBorders>
          </w:tcPr>
          <w:p w14:paraId="6B4C660A"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6CF376C1" w14:textId="77777777" w:rsidR="00D014CD" w:rsidRPr="00F91EC4" w:rsidRDefault="00D014CD" w:rsidP="00D014CD">
            <w:pPr>
              <w:spacing w:before="60" w:after="60"/>
              <w:ind w:right="-29"/>
              <w:jc w:val="center"/>
              <w:rPr>
                <w:noProof/>
                <w:sz w:val="18"/>
                <w:szCs w:val="18"/>
              </w:rPr>
            </w:pPr>
          </w:p>
        </w:tc>
        <w:tc>
          <w:tcPr>
            <w:tcW w:w="720" w:type="dxa"/>
            <w:tcBorders>
              <w:top w:val="nil"/>
              <w:left w:val="nil"/>
              <w:bottom w:val="nil"/>
              <w:right w:val="nil"/>
            </w:tcBorders>
          </w:tcPr>
          <w:p w14:paraId="531FC452" w14:textId="77777777" w:rsidR="00D014CD" w:rsidRPr="00F91EC4" w:rsidRDefault="00D014CD" w:rsidP="00D014CD">
            <w:pPr>
              <w:spacing w:before="60" w:after="60"/>
              <w:ind w:right="-29"/>
              <w:jc w:val="center"/>
              <w:rPr>
                <w:noProof/>
                <w:sz w:val="18"/>
                <w:szCs w:val="18"/>
              </w:rPr>
            </w:pPr>
          </w:p>
        </w:tc>
        <w:tc>
          <w:tcPr>
            <w:tcW w:w="900" w:type="dxa"/>
            <w:tcBorders>
              <w:top w:val="nil"/>
              <w:left w:val="nil"/>
              <w:bottom w:val="nil"/>
              <w:right w:val="nil"/>
            </w:tcBorders>
          </w:tcPr>
          <w:p w14:paraId="04BB6186" w14:textId="77777777" w:rsidR="00D014CD" w:rsidRPr="00F91EC4" w:rsidRDefault="00D014CD" w:rsidP="00D014CD">
            <w:pPr>
              <w:spacing w:before="60" w:after="60"/>
              <w:ind w:right="-29"/>
              <w:jc w:val="center"/>
              <w:rPr>
                <w:noProof/>
                <w:sz w:val="18"/>
                <w:szCs w:val="18"/>
              </w:rPr>
            </w:pPr>
          </w:p>
        </w:tc>
      </w:tr>
      <w:tr w:rsidR="00D014CD" w:rsidRPr="00F91EC4" w14:paraId="6A866BDE" w14:textId="77777777" w:rsidTr="00D014CD">
        <w:trPr>
          <w:trHeight w:hRule="exact" w:val="1080"/>
          <w:jc w:val="center"/>
        </w:trPr>
        <w:tc>
          <w:tcPr>
            <w:tcW w:w="1423" w:type="dxa"/>
          </w:tcPr>
          <w:p w14:paraId="3F0BD0DA" w14:textId="77777777" w:rsidR="00D014CD" w:rsidRPr="00F91EC4" w:rsidRDefault="00D014CD" w:rsidP="00D014CD">
            <w:pPr>
              <w:ind w:right="-29"/>
              <w:jc w:val="center"/>
              <w:rPr>
                <w:noProof/>
                <w:sz w:val="18"/>
                <w:szCs w:val="18"/>
              </w:rPr>
            </w:pPr>
            <w:r w:rsidRPr="00F91EC4">
              <w:rPr>
                <w:noProof/>
                <w:sz w:val="18"/>
              </w:rPr>
              <w:t>- Output</w:t>
            </w:r>
          </w:p>
        </w:tc>
        <w:tc>
          <w:tcPr>
            <w:tcW w:w="789" w:type="dxa"/>
          </w:tcPr>
          <w:p w14:paraId="43581483" w14:textId="77777777" w:rsidR="00D014CD" w:rsidRPr="00F91EC4" w:rsidRDefault="00D014CD" w:rsidP="00D014CD">
            <w:pPr>
              <w:ind w:right="-29"/>
              <w:jc w:val="center"/>
              <w:rPr>
                <w:noProof/>
                <w:sz w:val="18"/>
                <w:szCs w:val="18"/>
              </w:rPr>
            </w:pPr>
          </w:p>
        </w:tc>
        <w:tc>
          <w:tcPr>
            <w:tcW w:w="567" w:type="dxa"/>
          </w:tcPr>
          <w:p w14:paraId="2517ACD9" w14:textId="77777777" w:rsidR="00D014CD" w:rsidRPr="00F91EC4" w:rsidRDefault="00D014CD" w:rsidP="00D014CD">
            <w:pPr>
              <w:ind w:right="-29"/>
              <w:jc w:val="center"/>
              <w:rPr>
                <w:noProof/>
                <w:sz w:val="18"/>
                <w:szCs w:val="18"/>
              </w:rPr>
            </w:pPr>
          </w:p>
        </w:tc>
        <w:tc>
          <w:tcPr>
            <w:tcW w:w="569" w:type="dxa"/>
            <w:tcBorders>
              <w:right w:val="dashSmallGap" w:sz="4" w:space="0" w:color="auto"/>
            </w:tcBorders>
          </w:tcPr>
          <w:p w14:paraId="184ED0B5"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22A97B5C" w14:textId="77777777" w:rsidR="00D014CD" w:rsidRPr="00F91EC4" w:rsidRDefault="00D014CD" w:rsidP="00D014CD">
            <w:pPr>
              <w:ind w:right="-29"/>
              <w:jc w:val="center"/>
              <w:rPr>
                <w:noProof/>
                <w:sz w:val="18"/>
                <w:szCs w:val="18"/>
              </w:rPr>
            </w:pPr>
          </w:p>
        </w:tc>
        <w:tc>
          <w:tcPr>
            <w:tcW w:w="540" w:type="dxa"/>
            <w:tcBorders>
              <w:right w:val="dashSmallGap" w:sz="4" w:space="0" w:color="auto"/>
            </w:tcBorders>
          </w:tcPr>
          <w:p w14:paraId="5AEE3676"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7FAC35FD" w14:textId="77777777" w:rsidR="00D014CD" w:rsidRPr="00F91EC4" w:rsidRDefault="00D014CD" w:rsidP="00D014CD">
            <w:pPr>
              <w:ind w:right="-29"/>
              <w:jc w:val="center"/>
              <w:rPr>
                <w:noProof/>
                <w:sz w:val="18"/>
                <w:szCs w:val="18"/>
              </w:rPr>
            </w:pPr>
          </w:p>
        </w:tc>
        <w:tc>
          <w:tcPr>
            <w:tcW w:w="720" w:type="dxa"/>
            <w:tcBorders>
              <w:right w:val="dashSmallGap" w:sz="4" w:space="0" w:color="auto"/>
            </w:tcBorders>
          </w:tcPr>
          <w:p w14:paraId="0CA0250C"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76B9F3D4" w14:textId="77777777" w:rsidR="00D014CD" w:rsidRPr="00F91EC4" w:rsidRDefault="00D014CD" w:rsidP="00D014CD">
            <w:pPr>
              <w:ind w:right="-29"/>
              <w:jc w:val="center"/>
              <w:rPr>
                <w:noProof/>
                <w:sz w:val="18"/>
                <w:szCs w:val="18"/>
              </w:rPr>
            </w:pPr>
          </w:p>
        </w:tc>
        <w:tc>
          <w:tcPr>
            <w:tcW w:w="900" w:type="dxa"/>
            <w:tcBorders>
              <w:right w:val="dashSmallGap" w:sz="4" w:space="0" w:color="auto"/>
            </w:tcBorders>
          </w:tcPr>
          <w:p w14:paraId="56CC0E3D"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6D4B2EAC" w14:textId="77777777" w:rsidR="00D014CD" w:rsidRPr="00F91EC4" w:rsidRDefault="00D014CD" w:rsidP="00D014CD">
            <w:pPr>
              <w:ind w:right="-29"/>
              <w:jc w:val="center"/>
              <w:rPr>
                <w:noProof/>
                <w:sz w:val="18"/>
                <w:szCs w:val="18"/>
              </w:rPr>
            </w:pPr>
          </w:p>
        </w:tc>
        <w:tc>
          <w:tcPr>
            <w:tcW w:w="540" w:type="dxa"/>
            <w:tcBorders>
              <w:right w:val="dashSmallGap" w:sz="4" w:space="0" w:color="auto"/>
            </w:tcBorders>
          </w:tcPr>
          <w:p w14:paraId="784A67A1" w14:textId="77777777" w:rsidR="00D014CD" w:rsidRPr="00F91EC4" w:rsidRDefault="00D014CD" w:rsidP="00D014CD">
            <w:pPr>
              <w:ind w:right="-29"/>
              <w:jc w:val="center"/>
              <w:rPr>
                <w:noProof/>
                <w:sz w:val="18"/>
                <w:szCs w:val="18"/>
              </w:rPr>
            </w:pPr>
          </w:p>
        </w:tc>
        <w:tc>
          <w:tcPr>
            <w:tcW w:w="648" w:type="dxa"/>
            <w:tcBorders>
              <w:left w:val="dashSmallGap" w:sz="4" w:space="0" w:color="auto"/>
            </w:tcBorders>
          </w:tcPr>
          <w:p w14:paraId="59768219" w14:textId="77777777" w:rsidR="00D014CD" w:rsidRPr="00F91EC4" w:rsidRDefault="00D014CD" w:rsidP="00D014CD">
            <w:pPr>
              <w:ind w:right="-29"/>
              <w:jc w:val="center"/>
              <w:rPr>
                <w:noProof/>
                <w:sz w:val="18"/>
                <w:szCs w:val="18"/>
              </w:rPr>
            </w:pPr>
          </w:p>
        </w:tc>
        <w:tc>
          <w:tcPr>
            <w:tcW w:w="432" w:type="dxa"/>
            <w:tcBorders>
              <w:right w:val="dashSmallGap" w:sz="4" w:space="0" w:color="auto"/>
            </w:tcBorders>
          </w:tcPr>
          <w:p w14:paraId="3269E79A"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23E6D5B7" w14:textId="77777777" w:rsidR="00D014CD" w:rsidRPr="00F91EC4" w:rsidRDefault="00D014CD" w:rsidP="00D014CD">
            <w:pPr>
              <w:ind w:right="-29"/>
              <w:jc w:val="center"/>
              <w:rPr>
                <w:noProof/>
                <w:sz w:val="18"/>
                <w:szCs w:val="18"/>
              </w:rPr>
            </w:pPr>
          </w:p>
        </w:tc>
        <w:tc>
          <w:tcPr>
            <w:tcW w:w="540" w:type="dxa"/>
            <w:tcBorders>
              <w:right w:val="dashSmallGap" w:sz="4" w:space="0" w:color="auto"/>
            </w:tcBorders>
          </w:tcPr>
          <w:p w14:paraId="69A18DFE" w14:textId="77777777" w:rsidR="00D014CD" w:rsidRPr="00F91EC4" w:rsidRDefault="00D014CD" w:rsidP="00D014CD">
            <w:pPr>
              <w:ind w:right="-29"/>
              <w:jc w:val="center"/>
              <w:rPr>
                <w:noProof/>
                <w:sz w:val="18"/>
                <w:szCs w:val="18"/>
              </w:rPr>
            </w:pPr>
          </w:p>
        </w:tc>
        <w:tc>
          <w:tcPr>
            <w:tcW w:w="720" w:type="dxa"/>
            <w:tcBorders>
              <w:left w:val="dashSmallGap" w:sz="4" w:space="0" w:color="auto"/>
            </w:tcBorders>
          </w:tcPr>
          <w:p w14:paraId="75D1322C" w14:textId="77777777" w:rsidR="00D014CD" w:rsidRPr="00F91EC4" w:rsidRDefault="00D014CD" w:rsidP="00D014CD">
            <w:pPr>
              <w:ind w:right="-29"/>
              <w:jc w:val="center"/>
              <w:rPr>
                <w:noProof/>
                <w:sz w:val="18"/>
                <w:szCs w:val="18"/>
              </w:rPr>
            </w:pPr>
          </w:p>
        </w:tc>
        <w:tc>
          <w:tcPr>
            <w:tcW w:w="720" w:type="dxa"/>
          </w:tcPr>
          <w:p w14:paraId="757EA736" w14:textId="77777777" w:rsidR="00D014CD" w:rsidRPr="00F91EC4" w:rsidRDefault="00D014CD" w:rsidP="00D014CD">
            <w:pPr>
              <w:ind w:right="-29"/>
              <w:jc w:val="center"/>
              <w:rPr>
                <w:noProof/>
                <w:sz w:val="18"/>
                <w:szCs w:val="18"/>
              </w:rPr>
            </w:pPr>
          </w:p>
        </w:tc>
        <w:tc>
          <w:tcPr>
            <w:tcW w:w="900" w:type="dxa"/>
          </w:tcPr>
          <w:p w14:paraId="16E1ABBF" w14:textId="77777777" w:rsidR="00D014CD" w:rsidRPr="00F91EC4" w:rsidRDefault="00D014CD" w:rsidP="00D014CD">
            <w:pPr>
              <w:ind w:right="-29"/>
              <w:jc w:val="center"/>
              <w:rPr>
                <w:noProof/>
                <w:sz w:val="18"/>
                <w:szCs w:val="18"/>
              </w:rPr>
            </w:pPr>
          </w:p>
        </w:tc>
      </w:tr>
      <w:tr w:rsidR="00D014CD" w:rsidRPr="00F91EC4" w14:paraId="6FEEFEAE" w14:textId="77777777" w:rsidTr="00D014CD">
        <w:trPr>
          <w:trHeight w:val="77"/>
          <w:jc w:val="center"/>
        </w:trPr>
        <w:tc>
          <w:tcPr>
            <w:tcW w:w="2779" w:type="dxa"/>
            <w:gridSpan w:val="3"/>
            <w:tcBorders>
              <w:bottom w:val="single" w:sz="12" w:space="0" w:color="auto"/>
            </w:tcBorders>
            <w:vAlign w:val="center"/>
          </w:tcPr>
          <w:p w14:paraId="41E5074E" w14:textId="77777777" w:rsidR="00D014CD" w:rsidRPr="00F91EC4" w:rsidRDefault="00D014CD" w:rsidP="00D014CD">
            <w:pPr>
              <w:ind w:right="-29"/>
              <w:jc w:val="center"/>
              <w:rPr>
                <w:noProof/>
                <w:sz w:val="18"/>
                <w:szCs w:val="18"/>
              </w:rPr>
            </w:pPr>
            <w:r w:rsidRPr="00F91EC4">
              <w:rPr>
                <w:noProof/>
                <w:sz w:val="18"/>
              </w:rPr>
              <w:t>Subtotal for specific objective No 1</w:t>
            </w:r>
          </w:p>
        </w:tc>
        <w:tc>
          <w:tcPr>
            <w:tcW w:w="569" w:type="dxa"/>
            <w:tcBorders>
              <w:bottom w:val="single" w:sz="12" w:space="0" w:color="auto"/>
            </w:tcBorders>
          </w:tcPr>
          <w:p w14:paraId="0A560525"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21100CB3" w14:textId="77777777" w:rsidR="00D014CD" w:rsidRPr="00F91EC4" w:rsidRDefault="00D014CD" w:rsidP="00D014CD">
            <w:pPr>
              <w:ind w:right="-29"/>
              <w:jc w:val="center"/>
              <w:rPr>
                <w:noProof/>
                <w:sz w:val="18"/>
                <w:szCs w:val="18"/>
              </w:rPr>
            </w:pPr>
          </w:p>
        </w:tc>
        <w:tc>
          <w:tcPr>
            <w:tcW w:w="540" w:type="dxa"/>
            <w:tcBorders>
              <w:bottom w:val="single" w:sz="12" w:space="0" w:color="auto"/>
            </w:tcBorders>
          </w:tcPr>
          <w:p w14:paraId="7FC3E19A"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18B2C217"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1CCCAAA0"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72BA6D6D" w14:textId="77777777" w:rsidR="00D014CD" w:rsidRPr="00F91EC4" w:rsidRDefault="00D014CD" w:rsidP="00D014CD">
            <w:pPr>
              <w:ind w:right="-29"/>
              <w:jc w:val="center"/>
              <w:rPr>
                <w:noProof/>
                <w:sz w:val="18"/>
                <w:szCs w:val="18"/>
              </w:rPr>
            </w:pPr>
          </w:p>
        </w:tc>
        <w:tc>
          <w:tcPr>
            <w:tcW w:w="900" w:type="dxa"/>
            <w:tcBorders>
              <w:bottom w:val="single" w:sz="12" w:space="0" w:color="auto"/>
            </w:tcBorders>
          </w:tcPr>
          <w:p w14:paraId="7504DC5D"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5686E008" w14:textId="77777777" w:rsidR="00D014CD" w:rsidRPr="00F91EC4" w:rsidRDefault="00D014CD" w:rsidP="00D014CD">
            <w:pPr>
              <w:ind w:right="-29"/>
              <w:jc w:val="center"/>
              <w:rPr>
                <w:noProof/>
                <w:sz w:val="18"/>
                <w:szCs w:val="18"/>
              </w:rPr>
            </w:pPr>
          </w:p>
        </w:tc>
        <w:tc>
          <w:tcPr>
            <w:tcW w:w="540" w:type="dxa"/>
            <w:tcBorders>
              <w:bottom w:val="single" w:sz="12" w:space="0" w:color="auto"/>
            </w:tcBorders>
          </w:tcPr>
          <w:p w14:paraId="0F4D83AD" w14:textId="77777777" w:rsidR="00D014CD" w:rsidRPr="00F91EC4" w:rsidRDefault="00D014CD" w:rsidP="00D014CD">
            <w:pPr>
              <w:ind w:right="-29"/>
              <w:jc w:val="center"/>
              <w:rPr>
                <w:noProof/>
                <w:sz w:val="18"/>
                <w:szCs w:val="18"/>
              </w:rPr>
            </w:pPr>
          </w:p>
        </w:tc>
        <w:tc>
          <w:tcPr>
            <w:tcW w:w="648" w:type="dxa"/>
            <w:tcBorders>
              <w:bottom w:val="single" w:sz="12" w:space="0" w:color="auto"/>
            </w:tcBorders>
          </w:tcPr>
          <w:p w14:paraId="2BC1457D" w14:textId="77777777" w:rsidR="00D014CD" w:rsidRPr="00F91EC4" w:rsidRDefault="00D014CD" w:rsidP="00D014CD">
            <w:pPr>
              <w:ind w:right="-29"/>
              <w:jc w:val="center"/>
              <w:rPr>
                <w:noProof/>
                <w:sz w:val="18"/>
                <w:szCs w:val="18"/>
              </w:rPr>
            </w:pPr>
          </w:p>
        </w:tc>
        <w:tc>
          <w:tcPr>
            <w:tcW w:w="432" w:type="dxa"/>
            <w:tcBorders>
              <w:bottom w:val="single" w:sz="12" w:space="0" w:color="auto"/>
            </w:tcBorders>
          </w:tcPr>
          <w:p w14:paraId="30938462"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264A7161" w14:textId="77777777" w:rsidR="00D014CD" w:rsidRPr="00F91EC4" w:rsidRDefault="00D014CD" w:rsidP="00D014CD">
            <w:pPr>
              <w:ind w:right="-29"/>
              <w:jc w:val="center"/>
              <w:rPr>
                <w:noProof/>
                <w:sz w:val="18"/>
                <w:szCs w:val="18"/>
              </w:rPr>
            </w:pPr>
          </w:p>
        </w:tc>
        <w:tc>
          <w:tcPr>
            <w:tcW w:w="540" w:type="dxa"/>
            <w:tcBorders>
              <w:bottom w:val="single" w:sz="12" w:space="0" w:color="auto"/>
            </w:tcBorders>
          </w:tcPr>
          <w:p w14:paraId="10EC5E8C"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56F3DF33" w14:textId="77777777" w:rsidR="00D014CD" w:rsidRPr="00F91EC4" w:rsidRDefault="00D014CD" w:rsidP="00D014CD">
            <w:pPr>
              <w:ind w:right="-29"/>
              <w:jc w:val="center"/>
              <w:rPr>
                <w:noProof/>
                <w:sz w:val="18"/>
                <w:szCs w:val="18"/>
              </w:rPr>
            </w:pPr>
          </w:p>
        </w:tc>
        <w:tc>
          <w:tcPr>
            <w:tcW w:w="720" w:type="dxa"/>
            <w:tcBorders>
              <w:bottom w:val="single" w:sz="12" w:space="0" w:color="auto"/>
            </w:tcBorders>
          </w:tcPr>
          <w:p w14:paraId="64C68629" w14:textId="77777777" w:rsidR="00D014CD" w:rsidRPr="00F91EC4" w:rsidRDefault="00D014CD" w:rsidP="00D014CD">
            <w:pPr>
              <w:ind w:right="-29"/>
              <w:jc w:val="center"/>
              <w:rPr>
                <w:noProof/>
                <w:sz w:val="18"/>
                <w:szCs w:val="18"/>
              </w:rPr>
            </w:pPr>
          </w:p>
        </w:tc>
        <w:tc>
          <w:tcPr>
            <w:tcW w:w="900" w:type="dxa"/>
            <w:tcBorders>
              <w:bottom w:val="single" w:sz="12" w:space="0" w:color="auto"/>
            </w:tcBorders>
          </w:tcPr>
          <w:p w14:paraId="2F15BC8B" w14:textId="77777777" w:rsidR="00D014CD" w:rsidRPr="00F91EC4" w:rsidRDefault="00D014CD" w:rsidP="00D014CD">
            <w:pPr>
              <w:ind w:right="-29"/>
              <w:jc w:val="center"/>
              <w:rPr>
                <w:noProof/>
                <w:sz w:val="18"/>
                <w:szCs w:val="18"/>
              </w:rPr>
            </w:pPr>
          </w:p>
        </w:tc>
      </w:tr>
      <w:tr w:rsidR="00D014CD" w:rsidRPr="00F91EC4" w14:paraId="598900D8" w14:textId="77777777" w:rsidTr="00D014CD">
        <w:trPr>
          <w:jc w:val="center"/>
        </w:trPr>
        <w:tc>
          <w:tcPr>
            <w:tcW w:w="2779" w:type="dxa"/>
            <w:gridSpan w:val="3"/>
            <w:tcBorders>
              <w:top w:val="single" w:sz="12" w:space="0" w:color="auto"/>
              <w:left w:val="single" w:sz="12" w:space="0" w:color="auto"/>
              <w:bottom w:val="single" w:sz="12" w:space="0" w:color="auto"/>
            </w:tcBorders>
            <w:vAlign w:val="center"/>
          </w:tcPr>
          <w:p w14:paraId="3EAD3F6A" w14:textId="77777777" w:rsidR="00D014CD" w:rsidRPr="00F91EC4" w:rsidRDefault="00D014CD" w:rsidP="00D014CD">
            <w:pPr>
              <w:ind w:right="-29"/>
              <w:jc w:val="center"/>
              <w:rPr>
                <w:noProof/>
                <w:sz w:val="18"/>
                <w:szCs w:val="18"/>
              </w:rPr>
            </w:pPr>
            <w:r w:rsidRPr="00F91EC4">
              <w:rPr>
                <w:b/>
                <w:noProof/>
                <w:sz w:val="18"/>
              </w:rPr>
              <w:t>TOTALS</w:t>
            </w:r>
          </w:p>
        </w:tc>
        <w:tc>
          <w:tcPr>
            <w:tcW w:w="569" w:type="dxa"/>
            <w:tcBorders>
              <w:top w:val="single" w:sz="12" w:space="0" w:color="auto"/>
              <w:bottom w:val="single" w:sz="12" w:space="0" w:color="auto"/>
            </w:tcBorders>
          </w:tcPr>
          <w:p w14:paraId="1766960F"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55977B0A" w14:textId="77777777" w:rsidR="00D014CD" w:rsidRPr="00F91EC4" w:rsidRDefault="00D014CD" w:rsidP="00D014CD">
            <w:pPr>
              <w:spacing w:before="180" w:after="180"/>
              <w:ind w:right="-29"/>
              <w:jc w:val="center"/>
              <w:rPr>
                <w:noProof/>
                <w:sz w:val="18"/>
                <w:szCs w:val="18"/>
              </w:rPr>
            </w:pPr>
          </w:p>
        </w:tc>
        <w:tc>
          <w:tcPr>
            <w:tcW w:w="540" w:type="dxa"/>
            <w:tcBorders>
              <w:top w:val="single" w:sz="12" w:space="0" w:color="auto"/>
              <w:bottom w:val="single" w:sz="12" w:space="0" w:color="auto"/>
            </w:tcBorders>
          </w:tcPr>
          <w:p w14:paraId="2F581450"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61100732"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3EF0E39A"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3A586E00" w14:textId="77777777" w:rsidR="00D014CD" w:rsidRPr="00F91EC4" w:rsidRDefault="00D014CD" w:rsidP="00D014CD">
            <w:pPr>
              <w:spacing w:before="180" w:after="180"/>
              <w:ind w:right="-29"/>
              <w:jc w:val="center"/>
              <w:rPr>
                <w:noProof/>
                <w:sz w:val="18"/>
                <w:szCs w:val="18"/>
              </w:rPr>
            </w:pPr>
          </w:p>
        </w:tc>
        <w:tc>
          <w:tcPr>
            <w:tcW w:w="900" w:type="dxa"/>
            <w:tcBorders>
              <w:top w:val="single" w:sz="12" w:space="0" w:color="auto"/>
              <w:bottom w:val="single" w:sz="12" w:space="0" w:color="auto"/>
            </w:tcBorders>
          </w:tcPr>
          <w:p w14:paraId="6D80D4C8"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026FF43F" w14:textId="77777777" w:rsidR="00D014CD" w:rsidRPr="00F91EC4" w:rsidRDefault="00D014CD" w:rsidP="00D014CD">
            <w:pPr>
              <w:spacing w:before="180" w:after="180"/>
              <w:ind w:right="-29"/>
              <w:jc w:val="center"/>
              <w:rPr>
                <w:noProof/>
                <w:sz w:val="18"/>
                <w:szCs w:val="18"/>
              </w:rPr>
            </w:pPr>
          </w:p>
        </w:tc>
        <w:tc>
          <w:tcPr>
            <w:tcW w:w="540" w:type="dxa"/>
            <w:tcBorders>
              <w:top w:val="single" w:sz="12" w:space="0" w:color="auto"/>
              <w:bottom w:val="single" w:sz="12" w:space="0" w:color="auto"/>
            </w:tcBorders>
          </w:tcPr>
          <w:p w14:paraId="1BF9C478" w14:textId="77777777" w:rsidR="00D014CD" w:rsidRPr="00F91EC4" w:rsidRDefault="00D014CD" w:rsidP="00D014CD">
            <w:pPr>
              <w:spacing w:before="180" w:after="180"/>
              <w:ind w:right="-29"/>
              <w:jc w:val="center"/>
              <w:rPr>
                <w:noProof/>
                <w:sz w:val="18"/>
                <w:szCs w:val="18"/>
              </w:rPr>
            </w:pPr>
          </w:p>
        </w:tc>
        <w:tc>
          <w:tcPr>
            <w:tcW w:w="648" w:type="dxa"/>
            <w:tcBorders>
              <w:top w:val="single" w:sz="12" w:space="0" w:color="auto"/>
              <w:bottom w:val="single" w:sz="12" w:space="0" w:color="auto"/>
            </w:tcBorders>
          </w:tcPr>
          <w:p w14:paraId="57F2F02F" w14:textId="77777777" w:rsidR="00D014CD" w:rsidRPr="00F91EC4" w:rsidRDefault="00D014CD" w:rsidP="00D014CD">
            <w:pPr>
              <w:spacing w:before="180" w:after="180"/>
              <w:ind w:right="-29"/>
              <w:jc w:val="center"/>
              <w:rPr>
                <w:noProof/>
                <w:sz w:val="18"/>
                <w:szCs w:val="18"/>
              </w:rPr>
            </w:pPr>
          </w:p>
        </w:tc>
        <w:tc>
          <w:tcPr>
            <w:tcW w:w="432" w:type="dxa"/>
            <w:tcBorders>
              <w:top w:val="single" w:sz="12" w:space="0" w:color="auto"/>
              <w:bottom w:val="single" w:sz="12" w:space="0" w:color="auto"/>
            </w:tcBorders>
          </w:tcPr>
          <w:p w14:paraId="1DF51B96"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5F2FFB2B" w14:textId="77777777" w:rsidR="00D014CD" w:rsidRPr="00F91EC4" w:rsidRDefault="00D014CD" w:rsidP="00D014CD">
            <w:pPr>
              <w:spacing w:before="180" w:after="180"/>
              <w:ind w:right="-29"/>
              <w:jc w:val="center"/>
              <w:rPr>
                <w:noProof/>
                <w:sz w:val="18"/>
                <w:szCs w:val="18"/>
              </w:rPr>
            </w:pPr>
          </w:p>
        </w:tc>
        <w:tc>
          <w:tcPr>
            <w:tcW w:w="540" w:type="dxa"/>
            <w:tcBorders>
              <w:top w:val="single" w:sz="12" w:space="0" w:color="auto"/>
              <w:bottom w:val="single" w:sz="12" w:space="0" w:color="auto"/>
            </w:tcBorders>
          </w:tcPr>
          <w:p w14:paraId="4EC38ADE"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3EB35638" w14:textId="77777777" w:rsidR="00D014CD" w:rsidRPr="00F91EC4" w:rsidRDefault="00D014CD" w:rsidP="00D014CD">
            <w:pPr>
              <w:spacing w:before="180" w:after="180"/>
              <w:ind w:right="-29"/>
              <w:jc w:val="center"/>
              <w:rPr>
                <w:noProof/>
                <w:sz w:val="18"/>
                <w:szCs w:val="18"/>
              </w:rPr>
            </w:pPr>
          </w:p>
        </w:tc>
        <w:tc>
          <w:tcPr>
            <w:tcW w:w="720" w:type="dxa"/>
            <w:tcBorders>
              <w:top w:val="single" w:sz="12" w:space="0" w:color="auto"/>
              <w:bottom w:val="single" w:sz="12" w:space="0" w:color="auto"/>
            </w:tcBorders>
          </w:tcPr>
          <w:p w14:paraId="00FF6795" w14:textId="77777777" w:rsidR="00D014CD" w:rsidRPr="00F91EC4" w:rsidRDefault="00D014CD" w:rsidP="00D014C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1356C4F" w14:textId="77777777" w:rsidR="00D014CD" w:rsidRPr="00F91EC4" w:rsidRDefault="00D014CD" w:rsidP="00D014CD">
            <w:pPr>
              <w:spacing w:before="180" w:after="180"/>
              <w:ind w:right="-29"/>
              <w:jc w:val="center"/>
              <w:rPr>
                <w:noProof/>
                <w:sz w:val="18"/>
                <w:szCs w:val="18"/>
              </w:rPr>
            </w:pPr>
          </w:p>
        </w:tc>
      </w:tr>
    </w:tbl>
    <w:p w14:paraId="77F24438" w14:textId="77777777" w:rsidR="00D014CD" w:rsidRPr="00F91EC4" w:rsidRDefault="00D014CD" w:rsidP="00D014CD">
      <w:pPr>
        <w:rPr>
          <w:noProof/>
        </w:rPr>
        <w:sectPr w:rsidR="00D014CD" w:rsidRPr="00F91EC4" w:rsidSect="00E50DA1">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24300BCF" w14:textId="0A53666B" w:rsidR="00D014CD" w:rsidRPr="00F91EC4" w:rsidRDefault="00DD0F7B" w:rsidP="00DD0F7B">
      <w:pPr>
        <w:pStyle w:val="ManualHeading3"/>
        <w:rPr>
          <w:bCs/>
          <w:noProof/>
          <w:szCs w:val="24"/>
        </w:rPr>
      </w:pPr>
      <w:bookmarkStart w:id="67" w:name="_Toc514938055"/>
      <w:bookmarkStart w:id="68" w:name="_Toc520485054"/>
      <w:r w:rsidRPr="00DD0F7B">
        <w:rPr>
          <w:noProof/>
        </w:rPr>
        <w:t>3.2.3.</w:t>
      </w:r>
      <w:r w:rsidRPr="00DD0F7B">
        <w:rPr>
          <w:noProof/>
        </w:rPr>
        <w:tab/>
      </w:r>
      <w:r w:rsidR="00D014CD" w:rsidRPr="00F91EC4">
        <w:rPr>
          <w:noProof/>
        </w:rPr>
        <w:t>Summary of estimated impact on administrative appropriations</w:t>
      </w:r>
      <w:bookmarkEnd w:id="67"/>
      <w:bookmarkEnd w:id="68"/>
      <w:r w:rsidR="00D014CD" w:rsidRPr="00F91EC4">
        <w:rPr>
          <w:noProof/>
        </w:rPr>
        <w:t xml:space="preserve"> </w:t>
      </w:r>
    </w:p>
    <w:p w14:paraId="6241DA97"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 xml:space="preserve">The proposal/initiative does not require the use of appropriations of an administrative nature </w:t>
      </w:r>
    </w:p>
    <w:p w14:paraId="136BBD42"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The proposal/initiative requires the use of appropriations of an administrative nature, as explained below:</w:t>
      </w:r>
    </w:p>
    <w:p w14:paraId="27483DC2" w14:textId="77777777" w:rsidR="001A3E51" w:rsidRPr="00F91EC4" w:rsidRDefault="001A3E51" w:rsidP="001A3E51">
      <w:pPr>
        <w:pStyle w:val="ListDash1"/>
        <w:rPr>
          <w:noProof/>
        </w:rPr>
      </w:pPr>
      <w:r w:rsidRPr="00F91EC4">
        <w:rPr>
          <w:noProof/>
        </w:rPr>
        <w:t>EUR million (to three decimal places)</w:t>
      </w:r>
    </w:p>
    <w:tbl>
      <w:tblPr>
        <w:tblW w:w="10632"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5"/>
        <w:gridCol w:w="1134"/>
        <w:gridCol w:w="992"/>
        <w:gridCol w:w="1134"/>
        <w:gridCol w:w="1134"/>
        <w:gridCol w:w="3261"/>
        <w:gridCol w:w="992"/>
      </w:tblGrid>
      <w:tr w:rsidR="001A3E51" w:rsidRPr="00F91EC4" w14:paraId="7CADB06F" w14:textId="77777777" w:rsidTr="001A3E51">
        <w:trPr>
          <w:trHeight w:val="585"/>
        </w:trPr>
        <w:tc>
          <w:tcPr>
            <w:tcW w:w="1985" w:type="dxa"/>
          </w:tcPr>
          <w:p w14:paraId="1975F879" w14:textId="77777777" w:rsidR="001A3E51" w:rsidRPr="00F91EC4" w:rsidRDefault="001A3E51" w:rsidP="001A3E51">
            <w:pPr>
              <w:rPr>
                <w:noProof/>
              </w:rPr>
            </w:pPr>
          </w:p>
        </w:tc>
        <w:tc>
          <w:tcPr>
            <w:tcW w:w="1134" w:type="dxa"/>
            <w:vAlign w:val="center"/>
          </w:tcPr>
          <w:p w14:paraId="5DC9E7E3" w14:textId="77777777" w:rsidR="001A3E51" w:rsidRPr="00F91EC4" w:rsidRDefault="001A3E51" w:rsidP="001A3E51">
            <w:pPr>
              <w:rPr>
                <w:noProof/>
                <w:szCs w:val="16"/>
              </w:rPr>
            </w:pPr>
            <w:r w:rsidRPr="00F91EC4">
              <w:rPr>
                <w:noProof/>
              </w:rPr>
              <w:t>Year</w:t>
            </w:r>
            <w:r w:rsidRPr="00F91EC4">
              <w:rPr>
                <w:noProof/>
                <w:sz w:val="22"/>
              </w:rPr>
              <w:br/>
            </w:r>
            <w:r w:rsidRPr="00F91EC4">
              <w:rPr>
                <w:b/>
                <w:noProof/>
              </w:rPr>
              <w:t>2022</w:t>
            </w:r>
          </w:p>
        </w:tc>
        <w:tc>
          <w:tcPr>
            <w:tcW w:w="992" w:type="dxa"/>
            <w:vAlign w:val="center"/>
          </w:tcPr>
          <w:p w14:paraId="25D1D691" w14:textId="77777777" w:rsidR="001A3E51" w:rsidRPr="00F91EC4" w:rsidRDefault="001A3E51" w:rsidP="001A3E51">
            <w:pPr>
              <w:rPr>
                <w:noProof/>
                <w:szCs w:val="16"/>
              </w:rPr>
            </w:pPr>
            <w:r w:rsidRPr="00F91EC4">
              <w:rPr>
                <w:noProof/>
              </w:rPr>
              <w:t>Year</w:t>
            </w:r>
            <w:r w:rsidRPr="00F91EC4">
              <w:rPr>
                <w:noProof/>
                <w:sz w:val="22"/>
              </w:rPr>
              <w:br/>
            </w:r>
            <w:r w:rsidRPr="00F91EC4">
              <w:rPr>
                <w:b/>
                <w:noProof/>
              </w:rPr>
              <w:t>2023</w:t>
            </w:r>
          </w:p>
        </w:tc>
        <w:tc>
          <w:tcPr>
            <w:tcW w:w="1134" w:type="dxa"/>
            <w:vAlign w:val="center"/>
          </w:tcPr>
          <w:p w14:paraId="7E21501D" w14:textId="77777777" w:rsidR="001A3E51" w:rsidRPr="00F91EC4" w:rsidRDefault="001A3E51" w:rsidP="001A3E51">
            <w:pPr>
              <w:rPr>
                <w:noProof/>
                <w:szCs w:val="16"/>
              </w:rPr>
            </w:pPr>
            <w:r w:rsidRPr="00F91EC4">
              <w:rPr>
                <w:noProof/>
              </w:rPr>
              <w:t>Year</w:t>
            </w:r>
            <w:r w:rsidRPr="00F91EC4">
              <w:rPr>
                <w:noProof/>
                <w:sz w:val="22"/>
              </w:rPr>
              <w:br/>
            </w:r>
            <w:r w:rsidRPr="00F91EC4">
              <w:rPr>
                <w:b/>
                <w:noProof/>
              </w:rPr>
              <w:t>2024</w:t>
            </w:r>
          </w:p>
        </w:tc>
        <w:tc>
          <w:tcPr>
            <w:tcW w:w="1134" w:type="dxa"/>
            <w:vAlign w:val="center"/>
          </w:tcPr>
          <w:p w14:paraId="5F0B67C3" w14:textId="77777777" w:rsidR="001A3E51" w:rsidRPr="00F91EC4" w:rsidRDefault="001A3E51" w:rsidP="001A3E51">
            <w:pPr>
              <w:rPr>
                <w:noProof/>
                <w:szCs w:val="16"/>
              </w:rPr>
            </w:pPr>
            <w:r w:rsidRPr="00F91EC4">
              <w:rPr>
                <w:noProof/>
              </w:rPr>
              <w:t>Year</w:t>
            </w:r>
            <w:r w:rsidRPr="00F91EC4">
              <w:rPr>
                <w:noProof/>
                <w:sz w:val="22"/>
              </w:rPr>
              <w:br/>
            </w:r>
            <w:r w:rsidRPr="00F91EC4">
              <w:rPr>
                <w:b/>
                <w:noProof/>
              </w:rPr>
              <w:t>2025</w:t>
            </w:r>
          </w:p>
        </w:tc>
        <w:tc>
          <w:tcPr>
            <w:tcW w:w="3261" w:type="dxa"/>
            <w:vAlign w:val="center"/>
          </w:tcPr>
          <w:p w14:paraId="53988E2A" w14:textId="77777777" w:rsidR="001A3E51" w:rsidRPr="00F91EC4" w:rsidRDefault="001A3E51" w:rsidP="001A3E51">
            <w:pPr>
              <w:rPr>
                <w:b/>
                <w:noProof/>
                <w:szCs w:val="16"/>
              </w:rPr>
            </w:pPr>
            <w:r w:rsidRPr="00F91EC4">
              <w:rPr>
                <w:noProof/>
              </w:rPr>
              <w:t>Enter as many years as necessary to show the duration of the impact (see point 1.6)</w:t>
            </w:r>
          </w:p>
        </w:tc>
        <w:tc>
          <w:tcPr>
            <w:tcW w:w="992" w:type="dxa"/>
            <w:vAlign w:val="center"/>
          </w:tcPr>
          <w:p w14:paraId="1E92B16F" w14:textId="77777777" w:rsidR="001A3E51" w:rsidRPr="00F91EC4" w:rsidRDefault="001A3E51" w:rsidP="001A3E51">
            <w:pPr>
              <w:rPr>
                <w:noProof/>
                <w:szCs w:val="16"/>
              </w:rPr>
            </w:pPr>
            <w:r w:rsidRPr="00F91EC4">
              <w:rPr>
                <w:noProof/>
              </w:rPr>
              <w:t>TOTAL</w:t>
            </w:r>
          </w:p>
        </w:tc>
      </w:tr>
    </w:tbl>
    <w:p w14:paraId="2E568C9C" w14:textId="77777777" w:rsidR="001A3E51" w:rsidRPr="00F91EC4" w:rsidRDefault="001A3E51" w:rsidP="00454560">
      <w:pPr>
        <w:pStyle w:val="ListDash1"/>
        <w:rPr>
          <w:noProof/>
        </w:rPr>
      </w:pPr>
    </w:p>
    <w:tbl>
      <w:tblPr>
        <w:tblW w:w="106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A3E51" w:rsidRPr="00F91EC4" w14:paraId="7A2BE917" w14:textId="77777777" w:rsidTr="001A3E51">
        <w:trPr>
          <w:trHeight w:val="585"/>
        </w:trPr>
        <w:tc>
          <w:tcPr>
            <w:tcW w:w="1980" w:type="dxa"/>
            <w:shd w:val="clear" w:color="auto" w:fill="CCCCCC"/>
            <w:vAlign w:val="center"/>
          </w:tcPr>
          <w:p w14:paraId="495D00EE" w14:textId="77777777" w:rsidR="001A3E51" w:rsidRPr="00F91EC4" w:rsidRDefault="001A3E51" w:rsidP="001A3E51">
            <w:pPr>
              <w:rPr>
                <w:noProof/>
                <w:sz w:val="20"/>
                <w:szCs w:val="20"/>
              </w:rPr>
            </w:pPr>
            <w:r w:rsidRPr="00F91EC4">
              <w:rPr>
                <w:noProof/>
                <w:sz w:val="20"/>
                <w:szCs w:val="20"/>
              </w:rPr>
              <w:t>HEADING 7</w:t>
            </w:r>
            <w:r w:rsidRPr="00F91EC4">
              <w:rPr>
                <w:noProof/>
                <w:sz w:val="20"/>
                <w:szCs w:val="20"/>
              </w:rPr>
              <w:br/>
              <w:t>of the multiannual financial framework</w:t>
            </w:r>
          </w:p>
        </w:tc>
        <w:tc>
          <w:tcPr>
            <w:tcW w:w="1080" w:type="dxa"/>
            <w:vAlign w:val="center"/>
          </w:tcPr>
          <w:p w14:paraId="0FF99683" w14:textId="77777777" w:rsidR="001A3E51" w:rsidRPr="00F91EC4" w:rsidRDefault="001A3E51" w:rsidP="001A3E51">
            <w:pPr>
              <w:rPr>
                <w:noProof/>
                <w:sz w:val="20"/>
                <w:szCs w:val="20"/>
              </w:rPr>
            </w:pPr>
          </w:p>
        </w:tc>
        <w:tc>
          <w:tcPr>
            <w:tcW w:w="1080" w:type="dxa"/>
            <w:vAlign w:val="center"/>
          </w:tcPr>
          <w:p w14:paraId="750FD037" w14:textId="77777777" w:rsidR="001A3E51" w:rsidRPr="00F91EC4" w:rsidRDefault="001A3E51" w:rsidP="001A3E51">
            <w:pPr>
              <w:rPr>
                <w:noProof/>
                <w:sz w:val="20"/>
                <w:szCs w:val="20"/>
              </w:rPr>
            </w:pPr>
          </w:p>
        </w:tc>
        <w:tc>
          <w:tcPr>
            <w:tcW w:w="1080" w:type="dxa"/>
            <w:vAlign w:val="center"/>
          </w:tcPr>
          <w:p w14:paraId="7AB3C9C2" w14:textId="77777777" w:rsidR="001A3E51" w:rsidRPr="00F91EC4" w:rsidRDefault="001A3E51" w:rsidP="001A3E51">
            <w:pPr>
              <w:rPr>
                <w:noProof/>
                <w:sz w:val="20"/>
                <w:szCs w:val="20"/>
              </w:rPr>
            </w:pPr>
          </w:p>
        </w:tc>
        <w:tc>
          <w:tcPr>
            <w:tcW w:w="1080" w:type="dxa"/>
            <w:vAlign w:val="center"/>
          </w:tcPr>
          <w:p w14:paraId="5E501A60" w14:textId="77777777" w:rsidR="001A3E51" w:rsidRPr="00F91EC4" w:rsidRDefault="001A3E51" w:rsidP="001A3E51">
            <w:pPr>
              <w:rPr>
                <w:noProof/>
                <w:sz w:val="20"/>
                <w:szCs w:val="20"/>
              </w:rPr>
            </w:pPr>
          </w:p>
        </w:tc>
        <w:tc>
          <w:tcPr>
            <w:tcW w:w="1080" w:type="dxa"/>
            <w:vAlign w:val="center"/>
          </w:tcPr>
          <w:p w14:paraId="4210BB4D" w14:textId="77777777" w:rsidR="001A3E51" w:rsidRPr="00F91EC4" w:rsidRDefault="001A3E51" w:rsidP="001A3E51">
            <w:pPr>
              <w:rPr>
                <w:noProof/>
                <w:sz w:val="20"/>
                <w:szCs w:val="20"/>
              </w:rPr>
            </w:pPr>
          </w:p>
        </w:tc>
        <w:tc>
          <w:tcPr>
            <w:tcW w:w="1080" w:type="dxa"/>
            <w:vAlign w:val="center"/>
          </w:tcPr>
          <w:p w14:paraId="16EE5E6E" w14:textId="77777777" w:rsidR="001A3E51" w:rsidRPr="00F91EC4" w:rsidRDefault="001A3E51" w:rsidP="001A3E51">
            <w:pPr>
              <w:rPr>
                <w:noProof/>
                <w:sz w:val="20"/>
                <w:szCs w:val="20"/>
              </w:rPr>
            </w:pPr>
          </w:p>
        </w:tc>
        <w:tc>
          <w:tcPr>
            <w:tcW w:w="1080" w:type="dxa"/>
            <w:vAlign w:val="center"/>
          </w:tcPr>
          <w:p w14:paraId="51A95330" w14:textId="77777777" w:rsidR="001A3E51" w:rsidRPr="00F91EC4" w:rsidRDefault="001A3E51" w:rsidP="001A3E51">
            <w:pPr>
              <w:rPr>
                <w:noProof/>
                <w:sz w:val="20"/>
                <w:szCs w:val="20"/>
              </w:rPr>
            </w:pPr>
          </w:p>
        </w:tc>
        <w:tc>
          <w:tcPr>
            <w:tcW w:w="1080" w:type="dxa"/>
            <w:vAlign w:val="center"/>
          </w:tcPr>
          <w:p w14:paraId="67E93F3D" w14:textId="77777777" w:rsidR="001A3E51" w:rsidRPr="00F91EC4" w:rsidRDefault="001A3E51" w:rsidP="001A3E51">
            <w:pPr>
              <w:rPr>
                <w:noProof/>
                <w:sz w:val="20"/>
                <w:szCs w:val="20"/>
              </w:rPr>
            </w:pPr>
          </w:p>
        </w:tc>
      </w:tr>
      <w:tr w:rsidR="001A3E51" w:rsidRPr="00F91EC4" w14:paraId="62BD4542" w14:textId="77777777" w:rsidTr="001A3E51">
        <w:trPr>
          <w:trHeight w:val="585"/>
        </w:trPr>
        <w:tc>
          <w:tcPr>
            <w:tcW w:w="1980" w:type="dxa"/>
            <w:vAlign w:val="center"/>
          </w:tcPr>
          <w:p w14:paraId="019A00B5" w14:textId="77777777" w:rsidR="001A3E51" w:rsidRPr="00F91EC4" w:rsidRDefault="001A3E51" w:rsidP="001A3E51">
            <w:pPr>
              <w:rPr>
                <w:noProof/>
                <w:sz w:val="20"/>
                <w:szCs w:val="20"/>
              </w:rPr>
            </w:pPr>
            <w:r w:rsidRPr="00F91EC4">
              <w:rPr>
                <w:noProof/>
                <w:sz w:val="20"/>
                <w:szCs w:val="20"/>
              </w:rPr>
              <w:t xml:space="preserve">Human resources </w:t>
            </w:r>
          </w:p>
        </w:tc>
        <w:tc>
          <w:tcPr>
            <w:tcW w:w="1080" w:type="dxa"/>
            <w:vAlign w:val="center"/>
          </w:tcPr>
          <w:p w14:paraId="0C19E238" w14:textId="77777777" w:rsidR="001A3E51" w:rsidRPr="00F91EC4" w:rsidRDefault="001A3E51" w:rsidP="001A3E51">
            <w:pPr>
              <w:rPr>
                <w:noProof/>
                <w:sz w:val="20"/>
                <w:szCs w:val="20"/>
              </w:rPr>
            </w:pPr>
            <w:r w:rsidRPr="00F91EC4">
              <w:rPr>
                <w:noProof/>
                <w:sz w:val="20"/>
                <w:szCs w:val="20"/>
              </w:rPr>
              <w:t>1.734</w:t>
            </w:r>
          </w:p>
        </w:tc>
        <w:tc>
          <w:tcPr>
            <w:tcW w:w="1080" w:type="dxa"/>
            <w:vAlign w:val="center"/>
          </w:tcPr>
          <w:p w14:paraId="5808363E" w14:textId="77777777" w:rsidR="001A3E51" w:rsidRPr="00F91EC4" w:rsidRDefault="001A3E51" w:rsidP="001A3E51">
            <w:pPr>
              <w:rPr>
                <w:noProof/>
                <w:sz w:val="20"/>
                <w:szCs w:val="20"/>
              </w:rPr>
            </w:pPr>
            <w:r w:rsidRPr="00F91EC4">
              <w:rPr>
                <w:noProof/>
                <w:sz w:val="20"/>
                <w:szCs w:val="20"/>
              </w:rPr>
              <w:t>1.969</w:t>
            </w:r>
          </w:p>
        </w:tc>
        <w:tc>
          <w:tcPr>
            <w:tcW w:w="1080" w:type="dxa"/>
            <w:vAlign w:val="center"/>
          </w:tcPr>
          <w:p w14:paraId="4E15BAD5" w14:textId="77777777" w:rsidR="001A3E51" w:rsidRPr="00F91EC4" w:rsidRDefault="001A3E51" w:rsidP="001A3E51">
            <w:pPr>
              <w:rPr>
                <w:noProof/>
                <w:sz w:val="20"/>
                <w:szCs w:val="20"/>
              </w:rPr>
            </w:pPr>
            <w:r w:rsidRPr="00F91EC4">
              <w:rPr>
                <w:noProof/>
                <w:sz w:val="20"/>
                <w:szCs w:val="20"/>
              </w:rPr>
              <w:t>1.727</w:t>
            </w:r>
          </w:p>
        </w:tc>
        <w:tc>
          <w:tcPr>
            <w:tcW w:w="1080" w:type="dxa"/>
            <w:vAlign w:val="center"/>
          </w:tcPr>
          <w:p w14:paraId="32AD587E" w14:textId="77777777" w:rsidR="001A3E51" w:rsidRPr="00F91EC4" w:rsidRDefault="001A3E51" w:rsidP="001A3E51">
            <w:pPr>
              <w:rPr>
                <w:noProof/>
                <w:sz w:val="20"/>
                <w:szCs w:val="20"/>
              </w:rPr>
            </w:pPr>
            <w:r w:rsidRPr="00F91EC4">
              <w:rPr>
                <w:noProof/>
                <w:sz w:val="20"/>
                <w:szCs w:val="20"/>
              </w:rPr>
              <w:t>1.727</w:t>
            </w:r>
          </w:p>
        </w:tc>
        <w:tc>
          <w:tcPr>
            <w:tcW w:w="1080" w:type="dxa"/>
            <w:vAlign w:val="center"/>
          </w:tcPr>
          <w:p w14:paraId="3F28AED1" w14:textId="77777777" w:rsidR="001A3E51" w:rsidRPr="00F91EC4" w:rsidRDefault="001A3E51" w:rsidP="001A3E51">
            <w:pPr>
              <w:rPr>
                <w:noProof/>
                <w:sz w:val="20"/>
                <w:szCs w:val="20"/>
              </w:rPr>
            </w:pPr>
          </w:p>
        </w:tc>
        <w:tc>
          <w:tcPr>
            <w:tcW w:w="1080" w:type="dxa"/>
            <w:vAlign w:val="center"/>
          </w:tcPr>
          <w:p w14:paraId="16C767FD" w14:textId="77777777" w:rsidR="001A3E51" w:rsidRPr="00F91EC4" w:rsidRDefault="001A3E51" w:rsidP="001A3E51">
            <w:pPr>
              <w:rPr>
                <w:noProof/>
                <w:sz w:val="20"/>
                <w:szCs w:val="20"/>
              </w:rPr>
            </w:pPr>
          </w:p>
        </w:tc>
        <w:tc>
          <w:tcPr>
            <w:tcW w:w="1080" w:type="dxa"/>
            <w:vAlign w:val="center"/>
          </w:tcPr>
          <w:p w14:paraId="7AED0323" w14:textId="77777777" w:rsidR="001A3E51" w:rsidRPr="00F91EC4" w:rsidRDefault="001A3E51" w:rsidP="001A3E51">
            <w:pPr>
              <w:rPr>
                <w:noProof/>
                <w:sz w:val="20"/>
                <w:szCs w:val="20"/>
              </w:rPr>
            </w:pPr>
          </w:p>
        </w:tc>
        <w:tc>
          <w:tcPr>
            <w:tcW w:w="1080" w:type="dxa"/>
            <w:vAlign w:val="center"/>
          </w:tcPr>
          <w:p w14:paraId="719E58B0" w14:textId="77777777" w:rsidR="001A3E51" w:rsidRPr="00F91EC4" w:rsidRDefault="001A3E51" w:rsidP="001A3E51">
            <w:pPr>
              <w:rPr>
                <w:noProof/>
                <w:sz w:val="20"/>
                <w:szCs w:val="20"/>
              </w:rPr>
            </w:pPr>
            <w:r w:rsidRPr="00F91EC4">
              <w:rPr>
                <w:noProof/>
                <w:sz w:val="20"/>
                <w:szCs w:val="20"/>
              </w:rPr>
              <w:t>7.157</w:t>
            </w:r>
          </w:p>
        </w:tc>
      </w:tr>
      <w:tr w:rsidR="001A3E51" w:rsidRPr="00F91EC4" w14:paraId="35A6CC88" w14:textId="77777777" w:rsidTr="001A3E51">
        <w:trPr>
          <w:trHeight w:val="585"/>
        </w:trPr>
        <w:tc>
          <w:tcPr>
            <w:tcW w:w="1980" w:type="dxa"/>
            <w:vAlign w:val="center"/>
          </w:tcPr>
          <w:p w14:paraId="1216CF6B" w14:textId="77777777" w:rsidR="001A3E51" w:rsidRPr="00F91EC4" w:rsidRDefault="001A3E51" w:rsidP="001A3E51">
            <w:pPr>
              <w:rPr>
                <w:noProof/>
                <w:sz w:val="20"/>
                <w:szCs w:val="20"/>
              </w:rPr>
            </w:pPr>
            <w:r w:rsidRPr="00F91EC4">
              <w:rPr>
                <w:noProof/>
                <w:sz w:val="20"/>
                <w:szCs w:val="20"/>
              </w:rPr>
              <w:t xml:space="preserve">Other administrative expenditure </w:t>
            </w:r>
          </w:p>
        </w:tc>
        <w:tc>
          <w:tcPr>
            <w:tcW w:w="1080" w:type="dxa"/>
            <w:vAlign w:val="center"/>
          </w:tcPr>
          <w:p w14:paraId="101FF891" w14:textId="77777777" w:rsidR="001A3E51" w:rsidRPr="00F91EC4" w:rsidRDefault="001A3E51" w:rsidP="001A3E51">
            <w:pPr>
              <w:rPr>
                <w:noProof/>
                <w:sz w:val="20"/>
                <w:szCs w:val="20"/>
              </w:rPr>
            </w:pPr>
            <w:r w:rsidRPr="00F91EC4">
              <w:rPr>
                <w:noProof/>
                <w:sz w:val="20"/>
                <w:szCs w:val="20"/>
              </w:rPr>
              <w:t>0.090</w:t>
            </w:r>
          </w:p>
        </w:tc>
        <w:tc>
          <w:tcPr>
            <w:tcW w:w="1080" w:type="dxa"/>
            <w:vAlign w:val="center"/>
          </w:tcPr>
          <w:p w14:paraId="358F8B19" w14:textId="77777777" w:rsidR="001A3E51" w:rsidRPr="00F91EC4" w:rsidRDefault="001A3E51" w:rsidP="001A3E51">
            <w:pPr>
              <w:rPr>
                <w:noProof/>
                <w:sz w:val="20"/>
                <w:szCs w:val="20"/>
              </w:rPr>
            </w:pPr>
            <w:r w:rsidRPr="00F91EC4">
              <w:rPr>
                <w:noProof/>
                <w:sz w:val="20"/>
                <w:szCs w:val="20"/>
              </w:rPr>
              <w:t>0.090</w:t>
            </w:r>
          </w:p>
        </w:tc>
        <w:tc>
          <w:tcPr>
            <w:tcW w:w="1080" w:type="dxa"/>
            <w:vAlign w:val="center"/>
          </w:tcPr>
          <w:p w14:paraId="5ED80F4E" w14:textId="77777777" w:rsidR="001A3E51" w:rsidRPr="00F91EC4" w:rsidRDefault="001A3E51" w:rsidP="001A3E51">
            <w:pPr>
              <w:rPr>
                <w:noProof/>
                <w:sz w:val="20"/>
                <w:szCs w:val="20"/>
              </w:rPr>
            </w:pPr>
            <w:r w:rsidRPr="00F91EC4">
              <w:rPr>
                <w:noProof/>
                <w:sz w:val="20"/>
                <w:szCs w:val="20"/>
              </w:rPr>
              <w:t>0.090</w:t>
            </w:r>
          </w:p>
        </w:tc>
        <w:tc>
          <w:tcPr>
            <w:tcW w:w="1080" w:type="dxa"/>
            <w:vAlign w:val="center"/>
          </w:tcPr>
          <w:p w14:paraId="21CFF948" w14:textId="77777777" w:rsidR="001A3E51" w:rsidRPr="00F91EC4" w:rsidRDefault="001A3E51" w:rsidP="001A3E51">
            <w:pPr>
              <w:rPr>
                <w:noProof/>
                <w:sz w:val="20"/>
                <w:szCs w:val="20"/>
              </w:rPr>
            </w:pPr>
            <w:r w:rsidRPr="00F91EC4">
              <w:rPr>
                <w:noProof/>
                <w:sz w:val="20"/>
                <w:szCs w:val="20"/>
              </w:rPr>
              <w:t>0.040</w:t>
            </w:r>
          </w:p>
        </w:tc>
        <w:tc>
          <w:tcPr>
            <w:tcW w:w="1080" w:type="dxa"/>
            <w:vAlign w:val="center"/>
          </w:tcPr>
          <w:p w14:paraId="429AFFBF" w14:textId="77777777" w:rsidR="001A3E51" w:rsidRPr="00F91EC4" w:rsidRDefault="001A3E51" w:rsidP="001A3E51">
            <w:pPr>
              <w:rPr>
                <w:noProof/>
                <w:sz w:val="20"/>
                <w:szCs w:val="20"/>
              </w:rPr>
            </w:pPr>
          </w:p>
        </w:tc>
        <w:tc>
          <w:tcPr>
            <w:tcW w:w="1080" w:type="dxa"/>
            <w:vAlign w:val="center"/>
          </w:tcPr>
          <w:p w14:paraId="4F520BE4" w14:textId="77777777" w:rsidR="001A3E51" w:rsidRPr="00F91EC4" w:rsidRDefault="001A3E51" w:rsidP="001A3E51">
            <w:pPr>
              <w:rPr>
                <w:noProof/>
                <w:sz w:val="20"/>
                <w:szCs w:val="20"/>
              </w:rPr>
            </w:pPr>
          </w:p>
        </w:tc>
        <w:tc>
          <w:tcPr>
            <w:tcW w:w="1080" w:type="dxa"/>
            <w:vAlign w:val="center"/>
          </w:tcPr>
          <w:p w14:paraId="199F0AF0" w14:textId="77777777" w:rsidR="001A3E51" w:rsidRPr="00F91EC4" w:rsidRDefault="001A3E51" w:rsidP="001A3E51">
            <w:pPr>
              <w:rPr>
                <w:noProof/>
                <w:sz w:val="20"/>
                <w:szCs w:val="20"/>
              </w:rPr>
            </w:pPr>
          </w:p>
        </w:tc>
        <w:tc>
          <w:tcPr>
            <w:tcW w:w="1080" w:type="dxa"/>
            <w:vAlign w:val="center"/>
          </w:tcPr>
          <w:p w14:paraId="05735C41" w14:textId="77777777" w:rsidR="001A3E51" w:rsidRPr="00F91EC4" w:rsidRDefault="001A3E51" w:rsidP="001A3E51">
            <w:pPr>
              <w:rPr>
                <w:noProof/>
                <w:sz w:val="20"/>
                <w:szCs w:val="20"/>
              </w:rPr>
            </w:pPr>
            <w:r w:rsidRPr="00F91EC4">
              <w:rPr>
                <w:noProof/>
                <w:sz w:val="20"/>
                <w:szCs w:val="20"/>
              </w:rPr>
              <w:t>0.310</w:t>
            </w:r>
          </w:p>
        </w:tc>
      </w:tr>
      <w:tr w:rsidR="001A3E51" w:rsidRPr="00F91EC4" w14:paraId="0F8B61CF" w14:textId="77777777" w:rsidTr="001A3E51">
        <w:trPr>
          <w:trHeight w:val="585"/>
        </w:trPr>
        <w:tc>
          <w:tcPr>
            <w:tcW w:w="1980" w:type="dxa"/>
            <w:shd w:val="clear" w:color="auto" w:fill="CCCCCC"/>
            <w:vAlign w:val="center"/>
          </w:tcPr>
          <w:p w14:paraId="5B01499B" w14:textId="77777777" w:rsidR="001A3E51" w:rsidRPr="00F91EC4" w:rsidRDefault="001A3E51" w:rsidP="001A3E51">
            <w:pPr>
              <w:jc w:val="center"/>
              <w:rPr>
                <w:b/>
                <w:noProof/>
                <w:sz w:val="20"/>
                <w:szCs w:val="20"/>
              </w:rPr>
            </w:pPr>
            <w:r w:rsidRPr="00F91EC4">
              <w:rPr>
                <w:b/>
                <w:noProof/>
                <w:sz w:val="20"/>
                <w:szCs w:val="20"/>
              </w:rPr>
              <w:t>Subtotal HEADING 7</w:t>
            </w:r>
            <w:r w:rsidRPr="00F91EC4">
              <w:rPr>
                <w:b/>
                <w:noProof/>
                <w:sz w:val="20"/>
                <w:szCs w:val="20"/>
              </w:rPr>
              <w:br/>
              <w:t>of the multiannual financial framework</w:t>
            </w:r>
          </w:p>
        </w:tc>
        <w:tc>
          <w:tcPr>
            <w:tcW w:w="1080" w:type="dxa"/>
            <w:vAlign w:val="center"/>
          </w:tcPr>
          <w:p w14:paraId="5B71B518" w14:textId="77777777" w:rsidR="001A3E51" w:rsidRPr="00F91EC4" w:rsidRDefault="001A3E51" w:rsidP="001A3E51">
            <w:pPr>
              <w:jc w:val="right"/>
              <w:rPr>
                <w:noProof/>
                <w:sz w:val="20"/>
                <w:szCs w:val="20"/>
              </w:rPr>
            </w:pPr>
            <w:r w:rsidRPr="00F91EC4">
              <w:rPr>
                <w:noProof/>
                <w:sz w:val="20"/>
                <w:szCs w:val="20"/>
              </w:rPr>
              <w:t>1.824</w:t>
            </w:r>
          </w:p>
        </w:tc>
        <w:tc>
          <w:tcPr>
            <w:tcW w:w="1080" w:type="dxa"/>
            <w:vAlign w:val="center"/>
          </w:tcPr>
          <w:p w14:paraId="343D483D" w14:textId="77777777" w:rsidR="001A3E51" w:rsidRPr="00F91EC4" w:rsidRDefault="001A3E51" w:rsidP="001A3E51">
            <w:pPr>
              <w:jc w:val="right"/>
              <w:rPr>
                <w:noProof/>
                <w:sz w:val="20"/>
                <w:szCs w:val="20"/>
              </w:rPr>
            </w:pPr>
            <w:r w:rsidRPr="00F91EC4">
              <w:rPr>
                <w:noProof/>
                <w:sz w:val="20"/>
                <w:szCs w:val="20"/>
              </w:rPr>
              <w:t>2.059</w:t>
            </w:r>
          </w:p>
        </w:tc>
        <w:tc>
          <w:tcPr>
            <w:tcW w:w="1080" w:type="dxa"/>
            <w:vAlign w:val="center"/>
          </w:tcPr>
          <w:p w14:paraId="2E0922EE" w14:textId="77777777" w:rsidR="001A3E51" w:rsidRPr="00F91EC4" w:rsidRDefault="001A3E51" w:rsidP="001A3E51">
            <w:pPr>
              <w:jc w:val="right"/>
              <w:rPr>
                <w:noProof/>
                <w:sz w:val="20"/>
                <w:szCs w:val="20"/>
              </w:rPr>
            </w:pPr>
            <w:r w:rsidRPr="00F91EC4">
              <w:rPr>
                <w:noProof/>
                <w:sz w:val="20"/>
                <w:szCs w:val="20"/>
              </w:rPr>
              <w:t>1.817</w:t>
            </w:r>
          </w:p>
        </w:tc>
        <w:tc>
          <w:tcPr>
            <w:tcW w:w="1080" w:type="dxa"/>
            <w:vAlign w:val="center"/>
          </w:tcPr>
          <w:p w14:paraId="2F8DC4FA" w14:textId="77777777" w:rsidR="001A3E51" w:rsidRPr="00F91EC4" w:rsidRDefault="001A3E51" w:rsidP="001A3E51">
            <w:pPr>
              <w:jc w:val="right"/>
              <w:rPr>
                <w:noProof/>
                <w:sz w:val="20"/>
                <w:szCs w:val="20"/>
              </w:rPr>
            </w:pPr>
            <w:r w:rsidRPr="00F91EC4">
              <w:rPr>
                <w:noProof/>
                <w:sz w:val="20"/>
                <w:szCs w:val="20"/>
              </w:rPr>
              <w:t>1.767</w:t>
            </w:r>
          </w:p>
        </w:tc>
        <w:tc>
          <w:tcPr>
            <w:tcW w:w="1080" w:type="dxa"/>
            <w:vAlign w:val="center"/>
          </w:tcPr>
          <w:p w14:paraId="6CCA6D5B" w14:textId="77777777" w:rsidR="001A3E51" w:rsidRPr="00F91EC4" w:rsidRDefault="001A3E51" w:rsidP="001A3E51">
            <w:pPr>
              <w:rPr>
                <w:noProof/>
                <w:sz w:val="20"/>
                <w:szCs w:val="20"/>
              </w:rPr>
            </w:pPr>
          </w:p>
        </w:tc>
        <w:tc>
          <w:tcPr>
            <w:tcW w:w="1080" w:type="dxa"/>
            <w:vAlign w:val="center"/>
          </w:tcPr>
          <w:p w14:paraId="2CD2214A" w14:textId="77777777" w:rsidR="001A3E51" w:rsidRPr="00F91EC4" w:rsidRDefault="001A3E51" w:rsidP="001A3E51">
            <w:pPr>
              <w:rPr>
                <w:noProof/>
                <w:sz w:val="20"/>
                <w:szCs w:val="20"/>
              </w:rPr>
            </w:pPr>
          </w:p>
        </w:tc>
        <w:tc>
          <w:tcPr>
            <w:tcW w:w="1080" w:type="dxa"/>
            <w:vAlign w:val="center"/>
          </w:tcPr>
          <w:p w14:paraId="1453D6A6" w14:textId="77777777" w:rsidR="001A3E51" w:rsidRPr="00F91EC4" w:rsidRDefault="001A3E51" w:rsidP="001A3E51">
            <w:pPr>
              <w:rPr>
                <w:noProof/>
                <w:sz w:val="20"/>
                <w:szCs w:val="20"/>
              </w:rPr>
            </w:pPr>
          </w:p>
        </w:tc>
        <w:tc>
          <w:tcPr>
            <w:tcW w:w="1080" w:type="dxa"/>
            <w:vAlign w:val="center"/>
          </w:tcPr>
          <w:p w14:paraId="6F5E4BB5" w14:textId="77777777" w:rsidR="001A3E51" w:rsidRPr="00F91EC4" w:rsidRDefault="001A3E51" w:rsidP="001A3E51">
            <w:pPr>
              <w:spacing w:before="60" w:after="60" w:line="200" w:lineRule="exact"/>
              <w:jc w:val="right"/>
              <w:rPr>
                <w:b/>
                <w:noProof/>
                <w:sz w:val="20"/>
                <w:szCs w:val="20"/>
              </w:rPr>
            </w:pPr>
            <w:r w:rsidRPr="00F91EC4">
              <w:rPr>
                <w:b/>
                <w:noProof/>
                <w:sz w:val="20"/>
                <w:szCs w:val="20"/>
              </w:rPr>
              <w:t>7.467</w:t>
            </w:r>
          </w:p>
        </w:tc>
      </w:tr>
    </w:tbl>
    <w:p w14:paraId="7133E9D5" w14:textId="77777777" w:rsidR="00D014CD" w:rsidRPr="00F91EC4" w:rsidRDefault="00D014CD" w:rsidP="00D014CD">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A3E51" w:rsidRPr="00F91EC4" w14:paraId="0311E24E" w14:textId="77777777" w:rsidTr="001A3E51">
        <w:trPr>
          <w:trHeight w:val="585"/>
        </w:trPr>
        <w:tc>
          <w:tcPr>
            <w:tcW w:w="1980" w:type="dxa"/>
            <w:shd w:val="clear" w:color="auto" w:fill="CCCCCC"/>
            <w:vAlign w:val="center"/>
          </w:tcPr>
          <w:p w14:paraId="6F9E93F3" w14:textId="77777777" w:rsidR="001A3E51" w:rsidRPr="00F91EC4" w:rsidRDefault="001A3E51" w:rsidP="001A3E51">
            <w:pPr>
              <w:spacing w:before="60" w:after="60" w:line="200" w:lineRule="exact"/>
              <w:jc w:val="center"/>
              <w:rPr>
                <w:noProof/>
                <w:sz w:val="20"/>
                <w:szCs w:val="20"/>
              </w:rPr>
            </w:pPr>
            <w:r w:rsidRPr="00F91EC4">
              <w:rPr>
                <w:b/>
                <w:noProof/>
                <w:sz w:val="20"/>
                <w:szCs w:val="20"/>
              </w:rPr>
              <w:t>Outside HEADING 7</w:t>
            </w:r>
            <w:r w:rsidRPr="00F91EC4">
              <w:rPr>
                <w:rStyle w:val="FootnoteReference"/>
                <w:b/>
                <w:noProof/>
                <w:sz w:val="20"/>
                <w:szCs w:val="20"/>
              </w:rPr>
              <w:footnoteReference w:id="66"/>
            </w:r>
            <w:r w:rsidRPr="00F91EC4">
              <w:rPr>
                <w:b/>
                <w:noProof/>
                <w:sz w:val="20"/>
                <w:szCs w:val="20"/>
              </w:rPr>
              <w:t xml:space="preserve"> </w:t>
            </w:r>
            <w:r w:rsidRPr="00F91EC4">
              <w:rPr>
                <w:noProof/>
                <w:sz w:val="20"/>
                <w:szCs w:val="20"/>
              </w:rPr>
              <w:br/>
            </w:r>
            <w:r w:rsidRPr="00F91EC4">
              <w:rPr>
                <w:b/>
                <w:noProof/>
                <w:sz w:val="20"/>
                <w:szCs w:val="20"/>
              </w:rPr>
              <w:t xml:space="preserve">of the multiannual financial framework </w:t>
            </w:r>
          </w:p>
          <w:p w14:paraId="319ECFFB" w14:textId="77777777" w:rsidR="001A3E51" w:rsidRPr="00F91EC4" w:rsidRDefault="001A3E51" w:rsidP="001A3E51">
            <w:pPr>
              <w:spacing w:before="0" w:after="0" w:line="200" w:lineRule="exact"/>
              <w:jc w:val="center"/>
              <w:rPr>
                <w:b/>
                <w:noProof/>
                <w:sz w:val="20"/>
                <w:szCs w:val="20"/>
              </w:rPr>
            </w:pPr>
          </w:p>
        </w:tc>
        <w:tc>
          <w:tcPr>
            <w:tcW w:w="1080" w:type="dxa"/>
            <w:vAlign w:val="center"/>
          </w:tcPr>
          <w:p w14:paraId="349DB005"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20766F82"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7AA090D6"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7CE14DEF"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A77D51D"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1237AD27"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7CFA6F0E" w14:textId="77777777" w:rsidR="001A3E51" w:rsidRPr="00F91EC4" w:rsidRDefault="001A3E51" w:rsidP="001A3E51">
            <w:pPr>
              <w:spacing w:before="60" w:after="60" w:line="200" w:lineRule="exact"/>
              <w:jc w:val="right"/>
              <w:rPr>
                <w:b/>
                <w:noProof/>
                <w:sz w:val="20"/>
                <w:szCs w:val="20"/>
              </w:rPr>
            </w:pPr>
          </w:p>
        </w:tc>
        <w:tc>
          <w:tcPr>
            <w:tcW w:w="1080" w:type="dxa"/>
            <w:vAlign w:val="center"/>
          </w:tcPr>
          <w:p w14:paraId="2E836DA3" w14:textId="77777777" w:rsidR="001A3E51" w:rsidRPr="00F91EC4" w:rsidRDefault="001A3E51" w:rsidP="001A3E51">
            <w:pPr>
              <w:spacing w:before="60" w:after="60" w:line="200" w:lineRule="exact"/>
              <w:jc w:val="right"/>
              <w:rPr>
                <w:b/>
                <w:noProof/>
                <w:sz w:val="20"/>
                <w:szCs w:val="20"/>
              </w:rPr>
            </w:pPr>
          </w:p>
        </w:tc>
      </w:tr>
      <w:tr w:rsidR="001A3E51" w:rsidRPr="00F91EC4" w14:paraId="1FF3F34F" w14:textId="77777777" w:rsidTr="001A3E51">
        <w:trPr>
          <w:trHeight w:val="585"/>
        </w:trPr>
        <w:tc>
          <w:tcPr>
            <w:tcW w:w="1980" w:type="dxa"/>
            <w:vAlign w:val="center"/>
          </w:tcPr>
          <w:p w14:paraId="602386E0" w14:textId="77777777" w:rsidR="001A3E51" w:rsidRPr="00F91EC4" w:rsidRDefault="001A3E51" w:rsidP="001A3E51">
            <w:pPr>
              <w:spacing w:before="60" w:after="60" w:line="200" w:lineRule="exact"/>
              <w:ind w:left="72"/>
              <w:jc w:val="left"/>
              <w:rPr>
                <w:noProof/>
                <w:sz w:val="20"/>
                <w:szCs w:val="20"/>
              </w:rPr>
            </w:pPr>
            <w:r w:rsidRPr="00F91EC4">
              <w:rPr>
                <w:noProof/>
                <w:sz w:val="20"/>
                <w:szCs w:val="20"/>
              </w:rPr>
              <w:t xml:space="preserve">Human resources </w:t>
            </w:r>
          </w:p>
        </w:tc>
        <w:tc>
          <w:tcPr>
            <w:tcW w:w="1080" w:type="dxa"/>
            <w:vAlign w:val="center"/>
          </w:tcPr>
          <w:p w14:paraId="4DFA3696"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130D08F6"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761D917E"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7637D97"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ED5FC91"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22474A67"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23FE117C" w14:textId="77777777" w:rsidR="001A3E51" w:rsidRPr="00F91EC4" w:rsidRDefault="001A3E51" w:rsidP="001A3E51">
            <w:pPr>
              <w:spacing w:before="60" w:after="60" w:line="200" w:lineRule="exact"/>
              <w:jc w:val="right"/>
              <w:rPr>
                <w:b/>
                <w:noProof/>
                <w:sz w:val="20"/>
                <w:szCs w:val="20"/>
              </w:rPr>
            </w:pPr>
          </w:p>
        </w:tc>
        <w:tc>
          <w:tcPr>
            <w:tcW w:w="1080" w:type="dxa"/>
            <w:vAlign w:val="center"/>
          </w:tcPr>
          <w:p w14:paraId="64F18122" w14:textId="77777777" w:rsidR="001A3E51" w:rsidRPr="00F91EC4" w:rsidRDefault="001A3E51" w:rsidP="001A3E51">
            <w:pPr>
              <w:spacing w:before="60" w:after="60" w:line="200" w:lineRule="exact"/>
              <w:jc w:val="right"/>
              <w:rPr>
                <w:b/>
                <w:noProof/>
                <w:sz w:val="20"/>
                <w:szCs w:val="20"/>
              </w:rPr>
            </w:pPr>
          </w:p>
        </w:tc>
      </w:tr>
      <w:tr w:rsidR="001A3E51" w:rsidRPr="00F91EC4" w14:paraId="73395F8D" w14:textId="77777777" w:rsidTr="001A3E51">
        <w:trPr>
          <w:trHeight w:val="585"/>
        </w:trPr>
        <w:tc>
          <w:tcPr>
            <w:tcW w:w="1980" w:type="dxa"/>
            <w:vAlign w:val="center"/>
          </w:tcPr>
          <w:p w14:paraId="6CC9DE23" w14:textId="77777777" w:rsidR="001A3E51" w:rsidRPr="00F91EC4" w:rsidRDefault="001A3E51" w:rsidP="001A3E51">
            <w:pPr>
              <w:spacing w:before="60" w:after="60" w:line="200" w:lineRule="exact"/>
              <w:ind w:left="72"/>
              <w:jc w:val="left"/>
              <w:rPr>
                <w:noProof/>
                <w:sz w:val="20"/>
                <w:szCs w:val="20"/>
              </w:rPr>
            </w:pPr>
            <w:r w:rsidRPr="00F91EC4">
              <w:rPr>
                <w:noProof/>
                <w:sz w:val="20"/>
                <w:szCs w:val="20"/>
              </w:rPr>
              <w:t xml:space="preserve">Other expenditure </w:t>
            </w:r>
            <w:r w:rsidRPr="00F91EC4">
              <w:rPr>
                <w:noProof/>
                <w:sz w:val="20"/>
                <w:szCs w:val="20"/>
              </w:rPr>
              <w:br/>
              <w:t>of an administrative nature</w:t>
            </w:r>
          </w:p>
        </w:tc>
        <w:tc>
          <w:tcPr>
            <w:tcW w:w="1080" w:type="dxa"/>
            <w:vAlign w:val="center"/>
          </w:tcPr>
          <w:p w14:paraId="175BC6A6"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36E0915E"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0358C6D"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0159242B"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53CD2EAE"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0184B7BC"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5B89632A" w14:textId="77777777" w:rsidR="001A3E51" w:rsidRPr="00F91EC4" w:rsidRDefault="001A3E51" w:rsidP="001A3E51">
            <w:pPr>
              <w:spacing w:before="60" w:after="60" w:line="200" w:lineRule="exact"/>
              <w:jc w:val="right"/>
              <w:rPr>
                <w:b/>
                <w:noProof/>
                <w:sz w:val="20"/>
                <w:szCs w:val="20"/>
              </w:rPr>
            </w:pPr>
          </w:p>
        </w:tc>
        <w:tc>
          <w:tcPr>
            <w:tcW w:w="1080" w:type="dxa"/>
            <w:vAlign w:val="center"/>
          </w:tcPr>
          <w:p w14:paraId="40AE211E" w14:textId="77777777" w:rsidR="001A3E51" w:rsidRPr="00F91EC4" w:rsidRDefault="001A3E51" w:rsidP="001A3E51">
            <w:pPr>
              <w:spacing w:before="60" w:after="60" w:line="200" w:lineRule="exact"/>
              <w:jc w:val="right"/>
              <w:rPr>
                <w:b/>
                <w:noProof/>
                <w:sz w:val="20"/>
                <w:szCs w:val="20"/>
              </w:rPr>
            </w:pPr>
          </w:p>
        </w:tc>
      </w:tr>
      <w:tr w:rsidR="001A3E51" w:rsidRPr="00F91EC4" w14:paraId="0174FAE3" w14:textId="77777777" w:rsidTr="001A3E51">
        <w:trPr>
          <w:trHeight w:val="585"/>
        </w:trPr>
        <w:tc>
          <w:tcPr>
            <w:tcW w:w="1980" w:type="dxa"/>
            <w:shd w:val="clear" w:color="auto" w:fill="CCCCCC"/>
            <w:vAlign w:val="center"/>
          </w:tcPr>
          <w:p w14:paraId="7B139463" w14:textId="77777777" w:rsidR="001A3E51" w:rsidRPr="00F91EC4" w:rsidRDefault="001A3E51" w:rsidP="001A3E51">
            <w:pPr>
              <w:spacing w:before="60" w:after="60" w:line="200" w:lineRule="exact"/>
              <w:jc w:val="center"/>
              <w:rPr>
                <w:b/>
                <w:noProof/>
                <w:sz w:val="20"/>
                <w:szCs w:val="20"/>
              </w:rPr>
            </w:pPr>
            <w:r w:rsidRPr="00F91EC4">
              <w:rPr>
                <w:b/>
                <w:noProof/>
                <w:sz w:val="20"/>
                <w:szCs w:val="20"/>
              </w:rPr>
              <w:t xml:space="preserve">Subtotal </w:t>
            </w:r>
            <w:r w:rsidRPr="00F91EC4">
              <w:rPr>
                <w:noProof/>
                <w:sz w:val="20"/>
                <w:szCs w:val="20"/>
              </w:rPr>
              <w:br/>
            </w:r>
            <w:r w:rsidRPr="00F91EC4">
              <w:rPr>
                <w:b/>
                <w:noProof/>
                <w:sz w:val="20"/>
                <w:szCs w:val="20"/>
              </w:rPr>
              <w:t>outside HEADING 7</w:t>
            </w:r>
            <w:r w:rsidRPr="00F91EC4">
              <w:rPr>
                <w:noProof/>
                <w:sz w:val="20"/>
                <w:szCs w:val="20"/>
              </w:rPr>
              <w:br/>
            </w:r>
            <w:r w:rsidRPr="00F91EC4">
              <w:rPr>
                <w:b/>
                <w:noProof/>
                <w:sz w:val="20"/>
                <w:szCs w:val="20"/>
              </w:rPr>
              <w:t xml:space="preserve">of the multiannual financial framework </w:t>
            </w:r>
          </w:p>
        </w:tc>
        <w:tc>
          <w:tcPr>
            <w:tcW w:w="1080" w:type="dxa"/>
            <w:vAlign w:val="center"/>
          </w:tcPr>
          <w:p w14:paraId="39309705"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181E7ACD"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459D819"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65C417D0"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2ED27382"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5AA6201C" w14:textId="77777777" w:rsidR="001A3E51" w:rsidRPr="00F91EC4" w:rsidRDefault="001A3E51" w:rsidP="001A3E51">
            <w:pPr>
              <w:spacing w:before="60" w:after="60" w:line="200" w:lineRule="exact"/>
              <w:jc w:val="right"/>
              <w:rPr>
                <w:noProof/>
                <w:sz w:val="20"/>
                <w:szCs w:val="20"/>
              </w:rPr>
            </w:pPr>
          </w:p>
        </w:tc>
        <w:tc>
          <w:tcPr>
            <w:tcW w:w="1080" w:type="dxa"/>
            <w:vAlign w:val="center"/>
          </w:tcPr>
          <w:p w14:paraId="322AC2DD" w14:textId="77777777" w:rsidR="001A3E51" w:rsidRPr="00F91EC4" w:rsidRDefault="001A3E51" w:rsidP="001A3E51">
            <w:pPr>
              <w:spacing w:before="60" w:after="60" w:line="200" w:lineRule="exact"/>
              <w:jc w:val="right"/>
              <w:rPr>
                <w:b/>
                <w:noProof/>
                <w:sz w:val="20"/>
                <w:szCs w:val="20"/>
              </w:rPr>
            </w:pPr>
          </w:p>
        </w:tc>
        <w:tc>
          <w:tcPr>
            <w:tcW w:w="1080" w:type="dxa"/>
            <w:vAlign w:val="center"/>
          </w:tcPr>
          <w:p w14:paraId="2D827952" w14:textId="77777777" w:rsidR="001A3E51" w:rsidRPr="00F91EC4" w:rsidRDefault="001A3E51" w:rsidP="001A3E51">
            <w:pPr>
              <w:spacing w:before="60" w:after="60" w:line="200" w:lineRule="exact"/>
              <w:jc w:val="right"/>
              <w:rPr>
                <w:b/>
                <w:noProof/>
                <w:sz w:val="20"/>
                <w:szCs w:val="20"/>
              </w:rPr>
            </w:pPr>
          </w:p>
        </w:tc>
      </w:tr>
    </w:tbl>
    <w:p w14:paraId="7FC97D80" w14:textId="77777777" w:rsidR="001A3E51" w:rsidRPr="00F91EC4" w:rsidRDefault="001A3E51" w:rsidP="001A3E51">
      <w:pPr>
        <w:spacing w:line="200" w:lineRule="exact"/>
        <w:rPr>
          <w:noProof/>
          <w:sz w:val="20"/>
          <w:szCs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A3E51" w:rsidRPr="00F91EC4" w14:paraId="49FADFF4" w14:textId="77777777" w:rsidTr="001A3E5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FE089B0" w14:textId="77777777" w:rsidR="001A3E51" w:rsidRPr="00F91EC4" w:rsidRDefault="001A3E51" w:rsidP="001A3E51">
            <w:pPr>
              <w:spacing w:before="60" w:after="60" w:line="200" w:lineRule="exact"/>
              <w:jc w:val="center"/>
              <w:rPr>
                <w:noProof/>
                <w:sz w:val="20"/>
                <w:szCs w:val="20"/>
              </w:rPr>
            </w:pPr>
            <w:r w:rsidRPr="00F91EC4">
              <w:rPr>
                <w:b/>
                <w:noProof/>
                <w:sz w:val="20"/>
                <w:szCs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140F29CA" w14:textId="77777777" w:rsidR="001A3E51" w:rsidRPr="00F91EC4" w:rsidRDefault="001A3E51" w:rsidP="001A3E51">
            <w:pPr>
              <w:spacing w:before="60" w:after="60" w:line="200" w:lineRule="exact"/>
              <w:jc w:val="right"/>
              <w:rPr>
                <w:b/>
                <w:noProof/>
                <w:sz w:val="20"/>
                <w:szCs w:val="20"/>
              </w:rPr>
            </w:pPr>
            <w:r w:rsidRPr="00F91EC4">
              <w:rPr>
                <w:noProof/>
                <w:sz w:val="20"/>
                <w:szCs w:val="20"/>
              </w:rPr>
              <w:t>1.824</w:t>
            </w:r>
          </w:p>
        </w:tc>
        <w:tc>
          <w:tcPr>
            <w:tcW w:w="1080" w:type="dxa"/>
            <w:tcBorders>
              <w:top w:val="single" w:sz="12" w:space="0" w:color="auto"/>
              <w:left w:val="single" w:sz="2" w:space="0" w:color="auto"/>
              <w:bottom w:val="single" w:sz="12" w:space="0" w:color="auto"/>
              <w:right w:val="single" w:sz="2" w:space="0" w:color="auto"/>
            </w:tcBorders>
            <w:vAlign w:val="center"/>
          </w:tcPr>
          <w:p w14:paraId="24C2DFCF" w14:textId="77777777" w:rsidR="001A3E51" w:rsidRPr="00F91EC4" w:rsidRDefault="001A3E51" w:rsidP="001A3E51">
            <w:pPr>
              <w:spacing w:before="60" w:after="60" w:line="200" w:lineRule="exact"/>
              <w:jc w:val="right"/>
              <w:rPr>
                <w:b/>
                <w:noProof/>
                <w:sz w:val="20"/>
                <w:szCs w:val="20"/>
              </w:rPr>
            </w:pPr>
            <w:r w:rsidRPr="00F91EC4">
              <w:rPr>
                <w:noProof/>
                <w:sz w:val="20"/>
                <w:szCs w:val="20"/>
              </w:rPr>
              <w:t>2.059</w:t>
            </w:r>
          </w:p>
        </w:tc>
        <w:tc>
          <w:tcPr>
            <w:tcW w:w="1080" w:type="dxa"/>
            <w:tcBorders>
              <w:top w:val="single" w:sz="12" w:space="0" w:color="auto"/>
              <w:left w:val="single" w:sz="2" w:space="0" w:color="auto"/>
              <w:bottom w:val="single" w:sz="12" w:space="0" w:color="auto"/>
              <w:right w:val="single" w:sz="2" w:space="0" w:color="auto"/>
            </w:tcBorders>
            <w:vAlign w:val="center"/>
          </w:tcPr>
          <w:p w14:paraId="6310CF3B" w14:textId="77777777" w:rsidR="001A3E51" w:rsidRPr="00F91EC4" w:rsidRDefault="001A3E51" w:rsidP="001A3E51">
            <w:pPr>
              <w:spacing w:before="60" w:after="60" w:line="200" w:lineRule="exact"/>
              <w:jc w:val="right"/>
              <w:rPr>
                <w:b/>
                <w:noProof/>
                <w:sz w:val="20"/>
                <w:szCs w:val="20"/>
              </w:rPr>
            </w:pPr>
            <w:r w:rsidRPr="00F91EC4">
              <w:rPr>
                <w:noProof/>
                <w:sz w:val="20"/>
                <w:szCs w:val="20"/>
              </w:rPr>
              <w:t>1.817</w:t>
            </w:r>
          </w:p>
        </w:tc>
        <w:tc>
          <w:tcPr>
            <w:tcW w:w="1080" w:type="dxa"/>
            <w:tcBorders>
              <w:top w:val="single" w:sz="12" w:space="0" w:color="auto"/>
              <w:left w:val="single" w:sz="2" w:space="0" w:color="auto"/>
              <w:bottom w:val="single" w:sz="12" w:space="0" w:color="auto"/>
              <w:right w:val="single" w:sz="2" w:space="0" w:color="auto"/>
            </w:tcBorders>
            <w:vAlign w:val="center"/>
          </w:tcPr>
          <w:p w14:paraId="16EAEBC5" w14:textId="77777777" w:rsidR="001A3E51" w:rsidRPr="00F91EC4" w:rsidRDefault="001A3E51" w:rsidP="001A3E51">
            <w:pPr>
              <w:spacing w:before="60" w:after="60" w:line="200" w:lineRule="exact"/>
              <w:jc w:val="right"/>
              <w:rPr>
                <w:b/>
                <w:noProof/>
                <w:sz w:val="20"/>
                <w:szCs w:val="20"/>
              </w:rPr>
            </w:pPr>
            <w:r w:rsidRPr="00F91EC4">
              <w:rPr>
                <w:noProof/>
                <w:sz w:val="20"/>
                <w:szCs w:val="20"/>
              </w:rPr>
              <w:t>1.767</w:t>
            </w:r>
          </w:p>
        </w:tc>
        <w:tc>
          <w:tcPr>
            <w:tcW w:w="1080" w:type="dxa"/>
            <w:tcBorders>
              <w:top w:val="single" w:sz="12" w:space="0" w:color="auto"/>
              <w:left w:val="single" w:sz="2" w:space="0" w:color="auto"/>
              <w:bottom w:val="single" w:sz="12" w:space="0" w:color="auto"/>
              <w:right w:val="single" w:sz="2" w:space="0" w:color="auto"/>
            </w:tcBorders>
            <w:vAlign w:val="center"/>
          </w:tcPr>
          <w:p w14:paraId="4D63962B" w14:textId="77777777" w:rsidR="001A3E51" w:rsidRPr="00F91EC4" w:rsidRDefault="001A3E51" w:rsidP="001A3E51">
            <w:pPr>
              <w:spacing w:before="60" w:after="60" w:line="200" w:lineRule="exact"/>
              <w:jc w:val="right"/>
              <w:rPr>
                <w:b/>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084D2E8" w14:textId="77777777" w:rsidR="001A3E51" w:rsidRPr="00F91EC4" w:rsidRDefault="001A3E51" w:rsidP="001A3E51">
            <w:pPr>
              <w:spacing w:before="60" w:after="60" w:line="200" w:lineRule="exact"/>
              <w:jc w:val="right"/>
              <w:rPr>
                <w:b/>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29BB53F" w14:textId="77777777" w:rsidR="001A3E51" w:rsidRPr="00F91EC4" w:rsidRDefault="001A3E51" w:rsidP="001A3E51">
            <w:pPr>
              <w:spacing w:before="60" w:after="60" w:line="200" w:lineRule="exact"/>
              <w:jc w:val="right"/>
              <w:rPr>
                <w:b/>
                <w:noProof/>
                <w:sz w:val="20"/>
                <w:szCs w:val="20"/>
              </w:rPr>
            </w:pPr>
          </w:p>
        </w:tc>
        <w:tc>
          <w:tcPr>
            <w:tcW w:w="1080" w:type="dxa"/>
            <w:tcBorders>
              <w:top w:val="single" w:sz="12" w:space="0" w:color="auto"/>
              <w:left w:val="single" w:sz="2" w:space="0" w:color="auto"/>
              <w:bottom w:val="single" w:sz="12" w:space="0" w:color="auto"/>
              <w:right w:val="single" w:sz="12" w:space="0" w:color="auto"/>
            </w:tcBorders>
            <w:vAlign w:val="center"/>
          </w:tcPr>
          <w:p w14:paraId="2A84F6C0" w14:textId="77777777" w:rsidR="001A3E51" w:rsidRPr="00F91EC4" w:rsidRDefault="001A3E51" w:rsidP="001A3E51">
            <w:pPr>
              <w:spacing w:before="60" w:after="60" w:line="200" w:lineRule="exact"/>
              <w:jc w:val="right"/>
              <w:rPr>
                <w:b/>
                <w:noProof/>
                <w:sz w:val="20"/>
                <w:szCs w:val="20"/>
              </w:rPr>
            </w:pPr>
            <w:r w:rsidRPr="00F91EC4">
              <w:rPr>
                <w:b/>
                <w:noProof/>
                <w:sz w:val="20"/>
                <w:szCs w:val="20"/>
              </w:rPr>
              <w:t>7.467</w:t>
            </w:r>
          </w:p>
        </w:tc>
      </w:tr>
    </w:tbl>
    <w:p w14:paraId="386E67AC" w14:textId="77777777" w:rsidR="00D014CD" w:rsidRPr="00F91EC4" w:rsidRDefault="00D014CD" w:rsidP="00D014CD">
      <w:pPr>
        <w:rPr>
          <w:noProof/>
          <w:sz w:val="18"/>
        </w:rPr>
      </w:pPr>
      <w:r w:rsidRPr="00F91EC4">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E8C1356" w14:textId="77777777" w:rsidR="00D014CD" w:rsidRPr="00F91EC4" w:rsidRDefault="00D014CD" w:rsidP="00D014CD">
      <w:pPr>
        <w:rPr>
          <w:noProof/>
          <w:sz w:val="18"/>
        </w:rPr>
        <w:sectPr w:rsidR="00D014CD" w:rsidRPr="00F91EC4" w:rsidSect="00E50DA1">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ECED2FC" w14:textId="0D4E27A4" w:rsidR="00D014CD" w:rsidRPr="00F91EC4" w:rsidRDefault="00DD0F7B" w:rsidP="00DD0F7B">
      <w:pPr>
        <w:pStyle w:val="ManualHeading4"/>
        <w:rPr>
          <w:bCs/>
          <w:noProof/>
          <w:szCs w:val="24"/>
        </w:rPr>
      </w:pPr>
      <w:r w:rsidRPr="00DD0F7B">
        <w:rPr>
          <w:noProof/>
        </w:rPr>
        <w:t>3.2.3.1.</w:t>
      </w:r>
      <w:r w:rsidRPr="00DD0F7B">
        <w:rPr>
          <w:noProof/>
        </w:rPr>
        <w:tab/>
      </w:r>
      <w:r w:rsidR="00D014CD" w:rsidRPr="00F91EC4">
        <w:rPr>
          <w:noProof/>
        </w:rPr>
        <w:t xml:space="preserve">Estimated requirements of human resources </w:t>
      </w:r>
      <w:r w:rsidR="00752AF8" w:rsidRPr="00F91EC4">
        <w:rPr>
          <w:noProof/>
        </w:rPr>
        <w:t>of DG GROW and DG CLIMA</w:t>
      </w:r>
    </w:p>
    <w:p w14:paraId="3F80FA6B"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 xml:space="preserve">The proposal/initiative does not require the use of human resources. </w:t>
      </w:r>
    </w:p>
    <w:p w14:paraId="5213B1CA"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The proposal/initiative requires the use of human resources, as explained below:</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4754"/>
        <w:gridCol w:w="731"/>
        <w:gridCol w:w="731"/>
        <w:gridCol w:w="731"/>
        <w:gridCol w:w="731"/>
        <w:gridCol w:w="731"/>
        <w:gridCol w:w="731"/>
        <w:gridCol w:w="731"/>
      </w:tblGrid>
      <w:tr w:rsidR="00752AF8" w:rsidRPr="00F91EC4" w14:paraId="3BEED256" w14:textId="77777777" w:rsidTr="00447471">
        <w:trPr>
          <w:gridBefore w:val="1"/>
          <w:wBefore w:w="15" w:type="dxa"/>
          <w:trHeight w:val="289"/>
          <w:jc w:val="center"/>
        </w:trPr>
        <w:tc>
          <w:tcPr>
            <w:tcW w:w="4754" w:type="dxa"/>
            <w:shd w:val="clear" w:color="auto" w:fill="auto"/>
          </w:tcPr>
          <w:p w14:paraId="589860D5" w14:textId="77777777" w:rsidR="00752AF8" w:rsidRPr="00F91EC4" w:rsidRDefault="00752AF8" w:rsidP="00447471">
            <w:pPr>
              <w:pStyle w:val="Text1"/>
              <w:spacing w:before="40" w:after="40"/>
              <w:ind w:left="0"/>
              <w:jc w:val="center"/>
              <w:rPr>
                <w:i/>
                <w:noProof/>
                <w:sz w:val="16"/>
                <w:szCs w:val="16"/>
              </w:rPr>
            </w:pPr>
          </w:p>
        </w:tc>
        <w:tc>
          <w:tcPr>
            <w:tcW w:w="731" w:type="dxa"/>
            <w:shd w:val="clear" w:color="auto" w:fill="auto"/>
            <w:vAlign w:val="center"/>
          </w:tcPr>
          <w:p w14:paraId="68C7AC09" w14:textId="77777777" w:rsidR="00752AF8" w:rsidRPr="00F91EC4" w:rsidRDefault="00752AF8" w:rsidP="00447471">
            <w:pPr>
              <w:spacing w:before="20" w:after="20"/>
              <w:jc w:val="center"/>
              <w:rPr>
                <w:noProof/>
                <w:sz w:val="16"/>
                <w:szCs w:val="16"/>
              </w:rPr>
            </w:pPr>
            <w:r w:rsidRPr="00F91EC4">
              <w:rPr>
                <w:noProof/>
                <w:sz w:val="16"/>
              </w:rPr>
              <w:t>Year</w:t>
            </w:r>
            <w:r w:rsidRPr="00F91EC4">
              <w:rPr>
                <w:noProof/>
                <w:sz w:val="22"/>
              </w:rPr>
              <w:br/>
            </w:r>
            <w:r w:rsidRPr="00F91EC4">
              <w:rPr>
                <w:b/>
                <w:noProof/>
                <w:sz w:val="16"/>
              </w:rPr>
              <w:t>2022</w:t>
            </w:r>
          </w:p>
        </w:tc>
        <w:tc>
          <w:tcPr>
            <w:tcW w:w="731" w:type="dxa"/>
            <w:shd w:val="clear" w:color="auto" w:fill="auto"/>
            <w:vAlign w:val="center"/>
          </w:tcPr>
          <w:p w14:paraId="4F1FBB3F" w14:textId="77777777" w:rsidR="00752AF8" w:rsidRPr="00F91EC4" w:rsidRDefault="00752AF8" w:rsidP="00447471">
            <w:pPr>
              <w:spacing w:before="20" w:after="20"/>
              <w:jc w:val="center"/>
              <w:rPr>
                <w:noProof/>
                <w:sz w:val="16"/>
                <w:szCs w:val="16"/>
              </w:rPr>
            </w:pPr>
            <w:r w:rsidRPr="00F91EC4">
              <w:rPr>
                <w:noProof/>
                <w:sz w:val="16"/>
              </w:rPr>
              <w:t>Year</w:t>
            </w:r>
            <w:r w:rsidRPr="00F91EC4">
              <w:rPr>
                <w:noProof/>
                <w:sz w:val="22"/>
              </w:rPr>
              <w:br/>
            </w:r>
            <w:r w:rsidRPr="00F91EC4">
              <w:rPr>
                <w:b/>
                <w:noProof/>
                <w:sz w:val="16"/>
              </w:rPr>
              <w:t>2023</w:t>
            </w:r>
          </w:p>
        </w:tc>
        <w:tc>
          <w:tcPr>
            <w:tcW w:w="731" w:type="dxa"/>
            <w:shd w:val="clear" w:color="auto" w:fill="auto"/>
            <w:vAlign w:val="center"/>
          </w:tcPr>
          <w:p w14:paraId="0F5F41E5" w14:textId="77777777" w:rsidR="00752AF8" w:rsidRPr="00F91EC4" w:rsidRDefault="00752AF8" w:rsidP="00447471">
            <w:pPr>
              <w:spacing w:before="20" w:after="20"/>
              <w:jc w:val="center"/>
              <w:rPr>
                <w:noProof/>
                <w:sz w:val="16"/>
                <w:szCs w:val="16"/>
              </w:rPr>
            </w:pPr>
            <w:r w:rsidRPr="00F91EC4">
              <w:rPr>
                <w:noProof/>
                <w:sz w:val="16"/>
                <w:szCs w:val="16"/>
              </w:rPr>
              <w:t xml:space="preserve">Year </w:t>
            </w:r>
            <w:r w:rsidRPr="00F91EC4">
              <w:rPr>
                <w:b/>
                <w:noProof/>
                <w:sz w:val="16"/>
                <w:szCs w:val="16"/>
              </w:rPr>
              <w:t>2024</w:t>
            </w:r>
          </w:p>
        </w:tc>
        <w:tc>
          <w:tcPr>
            <w:tcW w:w="731" w:type="dxa"/>
            <w:shd w:val="clear" w:color="auto" w:fill="auto"/>
            <w:vAlign w:val="center"/>
          </w:tcPr>
          <w:p w14:paraId="546FB825" w14:textId="77777777" w:rsidR="00752AF8" w:rsidRPr="00F91EC4" w:rsidRDefault="00752AF8" w:rsidP="00447471">
            <w:pPr>
              <w:spacing w:before="20" w:after="20"/>
              <w:jc w:val="center"/>
              <w:rPr>
                <w:noProof/>
                <w:sz w:val="16"/>
                <w:szCs w:val="16"/>
              </w:rPr>
            </w:pPr>
            <w:r w:rsidRPr="00F91EC4">
              <w:rPr>
                <w:noProof/>
                <w:sz w:val="16"/>
                <w:szCs w:val="16"/>
              </w:rPr>
              <w:t xml:space="preserve">Year </w:t>
            </w:r>
            <w:r w:rsidRPr="00F91EC4">
              <w:rPr>
                <w:b/>
                <w:noProof/>
                <w:sz w:val="16"/>
                <w:szCs w:val="16"/>
              </w:rPr>
              <w:t>2025</w:t>
            </w:r>
          </w:p>
        </w:tc>
        <w:tc>
          <w:tcPr>
            <w:tcW w:w="2193" w:type="dxa"/>
            <w:gridSpan w:val="3"/>
            <w:shd w:val="clear" w:color="auto" w:fill="auto"/>
            <w:vAlign w:val="center"/>
          </w:tcPr>
          <w:p w14:paraId="5CF847FE" w14:textId="77777777" w:rsidR="00752AF8" w:rsidRPr="00F91EC4" w:rsidRDefault="00752AF8" w:rsidP="00447471">
            <w:pPr>
              <w:jc w:val="center"/>
              <w:rPr>
                <w:b/>
                <w:noProof/>
                <w:sz w:val="16"/>
                <w:szCs w:val="16"/>
              </w:rPr>
            </w:pPr>
            <w:r w:rsidRPr="00F91EC4">
              <w:rPr>
                <w:noProof/>
                <w:sz w:val="16"/>
              </w:rPr>
              <w:t>Following years</w:t>
            </w:r>
          </w:p>
        </w:tc>
      </w:tr>
      <w:tr w:rsidR="00752AF8" w:rsidRPr="00F91EC4" w14:paraId="50DF7B00" w14:textId="77777777" w:rsidTr="00447471">
        <w:trPr>
          <w:gridBefore w:val="1"/>
          <w:wBefore w:w="15" w:type="dxa"/>
          <w:trHeight w:val="289"/>
          <w:jc w:val="center"/>
        </w:trPr>
        <w:tc>
          <w:tcPr>
            <w:tcW w:w="9871" w:type="dxa"/>
            <w:gridSpan w:val="8"/>
            <w:shd w:val="clear" w:color="auto" w:fill="auto"/>
          </w:tcPr>
          <w:p w14:paraId="5407F8C5" w14:textId="77777777" w:rsidR="00752AF8" w:rsidRPr="00F91EC4" w:rsidRDefault="00752AF8" w:rsidP="00447471">
            <w:pPr>
              <w:jc w:val="left"/>
              <w:rPr>
                <w:noProof/>
                <w:sz w:val="16"/>
                <w:szCs w:val="16"/>
              </w:rPr>
            </w:pPr>
            <w:r w:rsidRPr="00F91EC4">
              <w:rPr>
                <w:rFonts w:ascii="Wingdings" w:eastAsia="Wingdings" w:hAnsi="Wingdings" w:cs="Wingdings"/>
                <w:b/>
                <w:noProof/>
                <w:sz w:val="16"/>
              </w:rPr>
              <w:t>□</w:t>
            </w:r>
            <w:r w:rsidRPr="00F91EC4">
              <w:rPr>
                <w:b/>
                <w:noProof/>
                <w:sz w:val="16"/>
              </w:rPr>
              <w:t xml:space="preserve"> Establishment plan posts (officials and temporary staff)</w:t>
            </w:r>
          </w:p>
        </w:tc>
      </w:tr>
      <w:tr w:rsidR="00752AF8" w:rsidRPr="00F91EC4" w14:paraId="5916232B" w14:textId="77777777" w:rsidTr="00447471">
        <w:trPr>
          <w:gridBefore w:val="1"/>
          <w:wBefore w:w="15" w:type="dxa"/>
          <w:trHeight w:val="289"/>
          <w:jc w:val="center"/>
        </w:trPr>
        <w:tc>
          <w:tcPr>
            <w:tcW w:w="4754" w:type="dxa"/>
            <w:shd w:val="clear" w:color="auto" w:fill="auto"/>
            <w:vAlign w:val="center"/>
          </w:tcPr>
          <w:p w14:paraId="287E9C3F" w14:textId="77777777" w:rsidR="00752AF8" w:rsidRPr="00F91EC4" w:rsidRDefault="00752AF8" w:rsidP="00447471">
            <w:pPr>
              <w:pStyle w:val="Text1"/>
              <w:spacing w:beforeLines="20" w:before="48" w:afterLines="20" w:after="48"/>
              <w:ind w:left="134"/>
              <w:jc w:val="left"/>
              <w:rPr>
                <w:b/>
                <w:noProof/>
                <w:sz w:val="16"/>
                <w:szCs w:val="16"/>
              </w:rPr>
            </w:pPr>
            <w:r w:rsidRPr="00F91EC4">
              <w:rPr>
                <w:noProof/>
                <w:sz w:val="16"/>
              </w:rPr>
              <w:t>20 01 02 01</w:t>
            </w:r>
            <w:r w:rsidRPr="00F91EC4">
              <w:rPr>
                <w:rFonts w:ascii="Arial Narrow" w:hAnsi="Arial Narrow"/>
                <w:noProof/>
                <w:color w:val="000000"/>
                <w:sz w:val="20"/>
                <w:szCs w:val="20"/>
              </w:rPr>
              <w:t xml:space="preserve"> </w:t>
            </w:r>
            <w:r w:rsidRPr="00F91EC4">
              <w:rPr>
                <w:noProof/>
                <w:sz w:val="16"/>
              </w:rPr>
              <w:t>(Headquarters and Commission’s Representation Offices)</w:t>
            </w:r>
          </w:p>
        </w:tc>
        <w:tc>
          <w:tcPr>
            <w:tcW w:w="731" w:type="dxa"/>
            <w:shd w:val="clear" w:color="auto" w:fill="auto"/>
            <w:vAlign w:val="center"/>
          </w:tcPr>
          <w:p w14:paraId="1C3CF049" w14:textId="77777777" w:rsidR="00752AF8" w:rsidRPr="00F91EC4" w:rsidRDefault="00752AF8" w:rsidP="00447471">
            <w:pPr>
              <w:spacing w:beforeLines="20" w:before="48" w:afterLines="20" w:after="48"/>
              <w:jc w:val="center"/>
              <w:rPr>
                <w:noProof/>
                <w:sz w:val="16"/>
                <w:szCs w:val="16"/>
              </w:rPr>
            </w:pPr>
            <w:r w:rsidRPr="00F91EC4">
              <w:rPr>
                <w:noProof/>
                <w:sz w:val="16"/>
                <w:szCs w:val="16"/>
              </w:rPr>
              <w:t>11.5</w:t>
            </w:r>
          </w:p>
        </w:tc>
        <w:tc>
          <w:tcPr>
            <w:tcW w:w="731" w:type="dxa"/>
            <w:shd w:val="clear" w:color="auto" w:fill="auto"/>
            <w:vAlign w:val="center"/>
          </w:tcPr>
          <w:p w14:paraId="68DADA5D" w14:textId="77777777" w:rsidR="00752AF8" w:rsidRPr="00F91EC4" w:rsidRDefault="00752AF8" w:rsidP="00447471">
            <w:pPr>
              <w:spacing w:beforeLines="20" w:before="48" w:afterLines="20" w:after="48"/>
              <w:jc w:val="center"/>
              <w:rPr>
                <w:noProof/>
                <w:sz w:val="16"/>
                <w:szCs w:val="16"/>
              </w:rPr>
            </w:pPr>
            <w:r w:rsidRPr="00F91EC4">
              <w:rPr>
                <w:noProof/>
                <w:sz w:val="16"/>
                <w:szCs w:val="16"/>
              </w:rPr>
              <w:t>13</w:t>
            </w:r>
          </w:p>
        </w:tc>
        <w:tc>
          <w:tcPr>
            <w:tcW w:w="731" w:type="dxa"/>
            <w:shd w:val="clear" w:color="auto" w:fill="auto"/>
            <w:vAlign w:val="center"/>
          </w:tcPr>
          <w:p w14:paraId="2EF80451" w14:textId="77777777" w:rsidR="00752AF8" w:rsidRPr="00F91EC4" w:rsidRDefault="00752AF8" w:rsidP="00447471">
            <w:pPr>
              <w:spacing w:beforeLines="20" w:before="48" w:afterLines="20" w:after="48"/>
              <w:jc w:val="center"/>
              <w:rPr>
                <w:noProof/>
                <w:sz w:val="16"/>
                <w:szCs w:val="16"/>
              </w:rPr>
            </w:pPr>
            <w:r w:rsidRPr="00F91EC4">
              <w:rPr>
                <w:noProof/>
                <w:sz w:val="16"/>
                <w:szCs w:val="16"/>
              </w:rPr>
              <w:t>11</w:t>
            </w:r>
          </w:p>
        </w:tc>
        <w:tc>
          <w:tcPr>
            <w:tcW w:w="731" w:type="dxa"/>
            <w:shd w:val="clear" w:color="auto" w:fill="auto"/>
            <w:vAlign w:val="center"/>
          </w:tcPr>
          <w:p w14:paraId="7BCA6BCB" w14:textId="77777777" w:rsidR="00752AF8" w:rsidRPr="00F91EC4" w:rsidRDefault="00752AF8" w:rsidP="00447471">
            <w:pPr>
              <w:spacing w:beforeLines="20" w:before="48" w:afterLines="20" w:after="48"/>
              <w:jc w:val="center"/>
              <w:rPr>
                <w:noProof/>
                <w:sz w:val="16"/>
                <w:szCs w:val="16"/>
              </w:rPr>
            </w:pPr>
            <w:r w:rsidRPr="00F91EC4">
              <w:rPr>
                <w:noProof/>
                <w:sz w:val="16"/>
                <w:szCs w:val="16"/>
              </w:rPr>
              <w:t>11</w:t>
            </w:r>
          </w:p>
        </w:tc>
        <w:tc>
          <w:tcPr>
            <w:tcW w:w="731" w:type="dxa"/>
            <w:shd w:val="clear" w:color="auto" w:fill="auto"/>
            <w:vAlign w:val="center"/>
          </w:tcPr>
          <w:p w14:paraId="1F9638D1" w14:textId="77777777" w:rsidR="00752AF8" w:rsidRPr="00F91EC4" w:rsidRDefault="00752AF8" w:rsidP="00447471">
            <w:pPr>
              <w:spacing w:beforeLines="20" w:before="48" w:afterLines="20" w:after="48"/>
              <w:jc w:val="center"/>
              <w:rPr>
                <w:noProof/>
                <w:sz w:val="16"/>
                <w:szCs w:val="16"/>
              </w:rPr>
            </w:pPr>
            <w:r w:rsidRPr="00F91EC4">
              <w:rPr>
                <w:noProof/>
                <w:sz w:val="16"/>
                <w:szCs w:val="16"/>
              </w:rPr>
              <w:t>6.5</w:t>
            </w:r>
          </w:p>
        </w:tc>
        <w:tc>
          <w:tcPr>
            <w:tcW w:w="731" w:type="dxa"/>
            <w:shd w:val="clear" w:color="auto" w:fill="auto"/>
            <w:vAlign w:val="center"/>
          </w:tcPr>
          <w:p w14:paraId="610E7D52" w14:textId="77777777" w:rsidR="00752AF8" w:rsidRPr="00F91EC4" w:rsidRDefault="00752AF8" w:rsidP="00447471">
            <w:pPr>
              <w:spacing w:beforeLines="20" w:before="48" w:afterLines="20" w:after="48"/>
              <w:jc w:val="center"/>
              <w:rPr>
                <w:noProof/>
                <w:sz w:val="16"/>
                <w:szCs w:val="16"/>
              </w:rPr>
            </w:pPr>
            <w:r w:rsidRPr="00F91EC4">
              <w:rPr>
                <w:noProof/>
                <w:sz w:val="16"/>
                <w:szCs w:val="16"/>
              </w:rPr>
              <w:t>6.5</w:t>
            </w:r>
          </w:p>
        </w:tc>
        <w:tc>
          <w:tcPr>
            <w:tcW w:w="731" w:type="dxa"/>
            <w:shd w:val="clear" w:color="auto" w:fill="auto"/>
            <w:vAlign w:val="center"/>
          </w:tcPr>
          <w:p w14:paraId="03EA9300" w14:textId="77777777" w:rsidR="00752AF8" w:rsidRPr="00F91EC4" w:rsidRDefault="00752AF8" w:rsidP="00447471">
            <w:pPr>
              <w:spacing w:beforeLines="20" w:before="48" w:afterLines="20" w:after="48"/>
              <w:jc w:val="center"/>
              <w:rPr>
                <w:noProof/>
                <w:sz w:val="16"/>
                <w:szCs w:val="16"/>
              </w:rPr>
            </w:pPr>
            <w:r w:rsidRPr="00F91EC4">
              <w:rPr>
                <w:noProof/>
                <w:sz w:val="16"/>
                <w:szCs w:val="16"/>
              </w:rPr>
              <w:t>6.5</w:t>
            </w:r>
          </w:p>
        </w:tc>
      </w:tr>
      <w:tr w:rsidR="00752AF8" w:rsidRPr="00F91EC4" w14:paraId="35F85965" w14:textId="77777777" w:rsidTr="00447471">
        <w:trPr>
          <w:gridBefore w:val="1"/>
          <w:wBefore w:w="15" w:type="dxa"/>
          <w:trHeight w:val="289"/>
          <w:jc w:val="center"/>
        </w:trPr>
        <w:tc>
          <w:tcPr>
            <w:tcW w:w="4754" w:type="dxa"/>
            <w:shd w:val="clear" w:color="auto" w:fill="auto"/>
            <w:vAlign w:val="center"/>
          </w:tcPr>
          <w:p w14:paraId="414FFCFE" w14:textId="77777777" w:rsidR="00752AF8" w:rsidRPr="00F91EC4" w:rsidRDefault="00752AF8" w:rsidP="00447471">
            <w:pPr>
              <w:pStyle w:val="Text1"/>
              <w:spacing w:beforeLines="20" w:before="48" w:afterLines="20" w:after="48"/>
              <w:ind w:left="134"/>
              <w:jc w:val="left"/>
              <w:rPr>
                <w:noProof/>
                <w:sz w:val="16"/>
              </w:rPr>
            </w:pPr>
            <w:r w:rsidRPr="00F91EC4">
              <w:rPr>
                <w:noProof/>
                <w:sz w:val="16"/>
              </w:rPr>
              <w:t>20 01 02 03 (Delegations)</w:t>
            </w:r>
          </w:p>
        </w:tc>
        <w:tc>
          <w:tcPr>
            <w:tcW w:w="731" w:type="dxa"/>
            <w:shd w:val="clear" w:color="auto" w:fill="auto"/>
            <w:vAlign w:val="center"/>
          </w:tcPr>
          <w:p w14:paraId="34A963FB"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616D6781"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3D28991A"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59866119"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347D014"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45065A7E"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FCA7BB4" w14:textId="77777777" w:rsidR="00752AF8" w:rsidRPr="00F91EC4" w:rsidRDefault="00752AF8" w:rsidP="00447471">
            <w:pPr>
              <w:spacing w:beforeLines="20" w:before="48" w:afterLines="20" w:after="48"/>
              <w:jc w:val="center"/>
              <w:rPr>
                <w:noProof/>
                <w:sz w:val="16"/>
                <w:szCs w:val="16"/>
              </w:rPr>
            </w:pPr>
          </w:p>
        </w:tc>
      </w:tr>
      <w:tr w:rsidR="00752AF8" w:rsidRPr="00F91EC4" w14:paraId="29F002FA" w14:textId="77777777" w:rsidTr="00447471">
        <w:trPr>
          <w:gridBefore w:val="1"/>
          <w:wBefore w:w="15" w:type="dxa"/>
          <w:trHeight w:val="289"/>
          <w:jc w:val="center"/>
        </w:trPr>
        <w:tc>
          <w:tcPr>
            <w:tcW w:w="4754" w:type="dxa"/>
            <w:shd w:val="clear" w:color="auto" w:fill="auto"/>
            <w:vAlign w:val="center"/>
          </w:tcPr>
          <w:p w14:paraId="138A4997" w14:textId="77777777" w:rsidR="00752AF8" w:rsidRPr="00F91EC4" w:rsidRDefault="00752AF8" w:rsidP="00447471">
            <w:pPr>
              <w:pStyle w:val="Text1"/>
              <w:spacing w:beforeLines="20" w:before="48" w:afterLines="20" w:after="48"/>
              <w:ind w:left="134"/>
              <w:jc w:val="left"/>
              <w:rPr>
                <w:noProof/>
                <w:sz w:val="16"/>
                <w:szCs w:val="16"/>
              </w:rPr>
            </w:pPr>
            <w:r w:rsidRPr="00F91EC4">
              <w:rPr>
                <w:noProof/>
                <w:sz w:val="16"/>
              </w:rPr>
              <w:t>01 01 01 01</w:t>
            </w:r>
            <w:r w:rsidRPr="00F91EC4">
              <w:rPr>
                <w:rFonts w:ascii="Arial Narrow" w:hAnsi="Arial Narrow"/>
                <w:noProof/>
                <w:color w:val="000000"/>
                <w:sz w:val="20"/>
                <w:szCs w:val="20"/>
              </w:rPr>
              <w:t xml:space="preserve"> </w:t>
            </w:r>
            <w:r w:rsidRPr="00F91EC4">
              <w:rPr>
                <w:noProof/>
                <w:sz w:val="16"/>
              </w:rPr>
              <w:t xml:space="preserve"> (Indirect research)</w:t>
            </w:r>
          </w:p>
        </w:tc>
        <w:tc>
          <w:tcPr>
            <w:tcW w:w="731" w:type="dxa"/>
            <w:shd w:val="clear" w:color="auto" w:fill="auto"/>
            <w:vAlign w:val="center"/>
          </w:tcPr>
          <w:p w14:paraId="3B35EDCA"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EF0203F"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7D11DDC2"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3175699E"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00619BE8"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3BA6CE07"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093AA59C" w14:textId="77777777" w:rsidR="00752AF8" w:rsidRPr="00F91EC4" w:rsidRDefault="00752AF8" w:rsidP="00447471">
            <w:pPr>
              <w:spacing w:beforeLines="20" w:before="48" w:afterLines="20" w:after="48"/>
              <w:jc w:val="center"/>
              <w:rPr>
                <w:noProof/>
                <w:sz w:val="16"/>
                <w:szCs w:val="16"/>
              </w:rPr>
            </w:pPr>
          </w:p>
        </w:tc>
      </w:tr>
      <w:tr w:rsidR="00752AF8" w:rsidRPr="00F91EC4" w14:paraId="29E78EA6" w14:textId="77777777" w:rsidTr="00447471">
        <w:trPr>
          <w:gridBefore w:val="1"/>
          <w:wBefore w:w="15" w:type="dxa"/>
          <w:trHeight w:val="289"/>
          <w:jc w:val="center"/>
        </w:trPr>
        <w:tc>
          <w:tcPr>
            <w:tcW w:w="4754" w:type="dxa"/>
            <w:shd w:val="clear" w:color="auto" w:fill="auto"/>
            <w:vAlign w:val="center"/>
          </w:tcPr>
          <w:p w14:paraId="77AEF839" w14:textId="77777777" w:rsidR="00752AF8" w:rsidRPr="00F91EC4" w:rsidRDefault="00752AF8" w:rsidP="00447471">
            <w:pPr>
              <w:pStyle w:val="Text1"/>
              <w:spacing w:beforeLines="20" w:before="48" w:afterLines="20" w:after="48"/>
              <w:ind w:left="134"/>
              <w:jc w:val="left"/>
              <w:rPr>
                <w:noProof/>
                <w:sz w:val="16"/>
                <w:szCs w:val="16"/>
              </w:rPr>
            </w:pPr>
            <w:r w:rsidRPr="00F91EC4">
              <w:rPr>
                <w:noProof/>
                <w:sz w:val="16"/>
              </w:rPr>
              <w:t xml:space="preserve"> 01 01 01 11 (Direct research)</w:t>
            </w:r>
          </w:p>
        </w:tc>
        <w:tc>
          <w:tcPr>
            <w:tcW w:w="731" w:type="dxa"/>
            <w:shd w:val="clear" w:color="auto" w:fill="auto"/>
            <w:vAlign w:val="center"/>
          </w:tcPr>
          <w:p w14:paraId="0E75A6E2"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528FEF76"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76E26704"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66970CE5"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4BD6A48D"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04739CA1"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624C7313" w14:textId="77777777" w:rsidR="00752AF8" w:rsidRPr="00F91EC4" w:rsidRDefault="00752AF8" w:rsidP="00447471">
            <w:pPr>
              <w:spacing w:beforeLines="20" w:before="48" w:afterLines="20" w:after="48"/>
              <w:jc w:val="center"/>
              <w:rPr>
                <w:noProof/>
                <w:sz w:val="16"/>
                <w:szCs w:val="16"/>
              </w:rPr>
            </w:pPr>
          </w:p>
        </w:tc>
      </w:tr>
      <w:tr w:rsidR="00752AF8" w:rsidRPr="00F91EC4" w14:paraId="00A36F18" w14:textId="77777777" w:rsidTr="00447471">
        <w:trPr>
          <w:gridBefore w:val="1"/>
          <w:wBefore w:w="15" w:type="dxa"/>
          <w:trHeight w:val="289"/>
          <w:jc w:val="center"/>
        </w:trPr>
        <w:tc>
          <w:tcPr>
            <w:tcW w:w="4754" w:type="dxa"/>
            <w:shd w:val="clear" w:color="auto" w:fill="auto"/>
            <w:vAlign w:val="center"/>
          </w:tcPr>
          <w:p w14:paraId="33583B9D" w14:textId="77777777" w:rsidR="00752AF8" w:rsidRPr="00F91EC4" w:rsidRDefault="00752AF8" w:rsidP="00447471">
            <w:pPr>
              <w:pStyle w:val="Text1"/>
              <w:spacing w:beforeLines="20" w:before="48" w:afterLines="20" w:after="48"/>
              <w:ind w:left="134"/>
              <w:jc w:val="left"/>
              <w:rPr>
                <w:noProof/>
                <w:sz w:val="16"/>
              </w:rPr>
            </w:pPr>
            <w:r w:rsidRPr="00F91EC4">
              <w:rPr>
                <w:noProof/>
                <w:sz w:val="16"/>
              </w:rPr>
              <w:t>Other budget lines (specify)</w:t>
            </w:r>
          </w:p>
        </w:tc>
        <w:tc>
          <w:tcPr>
            <w:tcW w:w="731" w:type="dxa"/>
            <w:shd w:val="clear" w:color="auto" w:fill="auto"/>
            <w:vAlign w:val="center"/>
          </w:tcPr>
          <w:p w14:paraId="5AF3D08C"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569474E2"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854DCC4"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0AA61CCE"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21ABB6E5"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53944189"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79A31682" w14:textId="77777777" w:rsidR="00752AF8" w:rsidRPr="00F91EC4" w:rsidRDefault="00752AF8" w:rsidP="00447471">
            <w:pPr>
              <w:spacing w:beforeLines="20" w:before="48" w:afterLines="20" w:after="48"/>
              <w:jc w:val="center"/>
              <w:rPr>
                <w:noProof/>
                <w:sz w:val="16"/>
                <w:szCs w:val="16"/>
              </w:rPr>
            </w:pPr>
          </w:p>
        </w:tc>
      </w:tr>
      <w:tr w:rsidR="00752AF8" w:rsidRPr="00F91EC4" w14:paraId="7509C428" w14:textId="77777777" w:rsidTr="00447471">
        <w:trPr>
          <w:trHeight w:val="248"/>
          <w:jc w:val="center"/>
        </w:trPr>
        <w:tc>
          <w:tcPr>
            <w:tcW w:w="9886" w:type="dxa"/>
            <w:gridSpan w:val="9"/>
            <w:shd w:val="clear" w:color="auto" w:fill="auto"/>
            <w:vAlign w:val="center"/>
          </w:tcPr>
          <w:p w14:paraId="18E9948F" w14:textId="77777777" w:rsidR="00752AF8" w:rsidRPr="00F91EC4" w:rsidRDefault="00752AF8" w:rsidP="00447471">
            <w:pPr>
              <w:pStyle w:val="Text1"/>
              <w:spacing w:before="60" w:after="60"/>
              <w:ind w:left="0"/>
              <w:jc w:val="left"/>
              <w:rPr>
                <w:b/>
                <w:noProof/>
                <w:sz w:val="16"/>
                <w:szCs w:val="16"/>
              </w:rPr>
            </w:pPr>
            <w:r w:rsidRPr="00F91EC4">
              <w:rPr>
                <w:rFonts w:ascii="Wingdings" w:eastAsia="Wingdings" w:hAnsi="Wingdings" w:cs="Wingdings"/>
                <w:b/>
                <w:noProof/>
                <w:sz w:val="16"/>
              </w:rPr>
              <w:t>□</w:t>
            </w:r>
            <w:r w:rsidRPr="00F91EC4">
              <w:rPr>
                <w:b/>
                <w:noProof/>
                <w:sz w:val="16"/>
              </w:rPr>
              <w:t xml:space="preserve"> External staff (in Full Time Equivalent unit: FTE)</w:t>
            </w:r>
            <w:r w:rsidRPr="00F91EC4">
              <w:rPr>
                <w:rStyle w:val="FootnoteReference"/>
                <w:b/>
                <w:noProof/>
                <w:sz w:val="16"/>
              </w:rPr>
              <w:footnoteReference w:id="67"/>
            </w:r>
          </w:p>
          <w:p w14:paraId="53F4E533" w14:textId="77777777" w:rsidR="00752AF8" w:rsidRPr="00F91EC4" w:rsidRDefault="00752AF8" w:rsidP="00447471">
            <w:pPr>
              <w:pStyle w:val="Text1"/>
              <w:spacing w:before="0" w:after="0"/>
              <w:ind w:left="0"/>
              <w:jc w:val="left"/>
              <w:rPr>
                <w:noProof/>
                <w:sz w:val="16"/>
                <w:szCs w:val="16"/>
              </w:rPr>
            </w:pPr>
          </w:p>
        </w:tc>
      </w:tr>
      <w:tr w:rsidR="00752AF8" w:rsidRPr="00F91EC4" w14:paraId="5292B83F" w14:textId="77777777" w:rsidTr="00447471">
        <w:trPr>
          <w:gridBefore w:val="1"/>
          <w:wBefore w:w="15" w:type="dxa"/>
          <w:trHeight w:val="289"/>
          <w:jc w:val="center"/>
        </w:trPr>
        <w:tc>
          <w:tcPr>
            <w:tcW w:w="4754" w:type="dxa"/>
            <w:shd w:val="clear" w:color="auto" w:fill="auto"/>
            <w:vAlign w:val="center"/>
          </w:tcPr>
          <w:p w14:paraId="12B726F9" w14:textId="77777777" w:rsidR="00752AF8" w:rsidRPr="00F91EC4" w:rsidRDefault="00752AF8" w:rsidP="00447471">
            <w:pPr>
              <w:pStyle w:val="Text1"/>
              <w:spacing w:beforeLines="20" w:before="48" w:afterLines="20" w:after="48"/>
              <w:ind w:left="136"/>
              <w:jc w:val="left"/>
              <w:rPr>
                <w:b/>
                <w:noProof/>
                <w:sz w:val="16"/>
                <w:szCs w:val="16"/>
              </w:rPr>
            </w:pPr>
            <w:r w:rsidRPr="00F91EC4">
              <w:rPr>
                <w:noProof/>
                <w:sz w:val="16"/>
              </w:rPr>
              <w:t>20 02 01</w:t>
            </w:r>
            <w:r w:rsidRPr="00F91EC4">
              <w:rPr>
                <w:rFonts w:ascii="Arial Narrow" w:hAnsi="Arial Narrow"/>
                <w:noProof/>
                <w:color w:val="000000"/>
                <w:sz w:val="20"/>
                <w:szCs w:val="20"/>
              </w:rPr>
              <w:t xml:space="preserve"> </w:t>
            </w:r>
            <w:r w:rsidRPr="00F91EC4">
              <w:rPr>
                <w:noProof/>
                <w:sz w:val="16"/>
              </w:rPr>
              <w:t>(AC, END, INT from the ‘global envelope’)</w:t>
            </w:r>
          </w:p>
        </w:tc>
        <w:tc>
          <w:tcPr>
            <w:tcW w:w="731" w:type="dxa"/>
            <w:shd w:val="clear" w:color="auto" w:fill="auto"/>
            <w:vAlign w:val="center"/>
          </w:tcPr>
          <w:p w14:paraId="175EDC6D"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2D3AFD64" w14:textId="77777777" w:rsidR="00752AF8" w:rsidRPr="00F91EC4" w:rsidRDefault="00752AF8" w:rsidP="00447471">
            <w:pPr>
              <w:spacing w:beforeLines="20" w:before="48" w:afterLines="20" w:after="48"/>
              <w:rPr>
                <w:noProof/>
                <w:sz w:val="16"/>
                <w:szCs w:val="16"/>
              </w:rPr>
            </w:pPr>
          </w:p>
        </w:tc>
        <w:tc>
          <w:tcPr>
            <w:tcW w:w="731" w:type="dxa"/>
            <w:shd w:val="clear" w:color="auto" w:fill="auto"/>
            <w:vAlign w:val="center"/>
          </w:tcPr>
          <w:p w14:paraId="4B17BD38"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68C2E9A7"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88AA37B"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19AE6A2C" w14:textId="77777777" w:rsidR="00752AF8" w:rsidRPr="00F91EC4" w:rsidRDefault="00752AF8" w:rsidP="00447471">
            <w:pPr>
              <w:spacing w:beforeLines="20" w:before="48" w:afterLines="20" w:after="48"/>
              <w:jc w:val="center"/>
              <w:rPr>
                <w:noProof/>
                <w:sz w:val="16"/>
                <w:szCs w:val="16"/>
              </w:rPr>
            </w:pPr>
          </w:p>
        </w:tc>
        <w:tc>
          <w:tcPr>
            <w:tcW w:w="731" w:type="dxa"/>
            <w:shd w:val="clear" w:color="auto" w:fill="auto"/>
            <w:vAlign w:val="center"/>
          </w:tcPr>
          <w:p w14:paraId="532BCE35" w14:textId="77777777" w:rsidR="00752AF8" w:rsidRPr="00F91EC4" w:rsidRDefault="00752AF8" w:rsidP="00447471">
            <w:pPr>
              <w:spacing w:beforeLines="20" w:before="48" w:afterLines="20" w:after="48"/>
              <w:jc w:val="center"/>
              <w:rPr>
                <w:noProof/>
                <w:sz w:val="16"/>
                <w:szCs w:val="16"/>
              </w:rPr>
            </w:pPr>
          </w:p>
        </w:tc>
      </w:tr>
      <w:tr w:rsidR="00752AF8" w:rsidRPr="00F91EC4" w14:paraId="5F45C663" w14:textId="77777777" w:rsidTr="00447471">
        <w:trPr>
          <w:gridBefore w:val="1"/>
          <w:wBefore w:w="15" w:type="dxa"/>
          <w:trHeight w:val="289"/>
          <w:jc w:val="center"/>
        </w:trPr>
        <w:tc>
          <w:tcPr>
            <w:tcW w:w="4754" w:type="dxa"/>
            <w:tcBorders>
              <w:top w:val="double" w:sz="4" w:space="0" w:color="auto"/>
            </w:tcBorders>
            <w:shd w:val="clear" w:color="auto" w:fill="auto"/>
            <w:vAlign w:val="center"/>
          </w:tcPr>
          <w:p w14:paraId="61B31F6D" w14:textId="77777777" w:rsidR="00752AF8" w:rsidRPr="00F91EC4" w:rsidRDefault="00752AF8" w:rsidP="00447471">
            <w:pPr>
              <w:pStyle w:val="Text1"/>
              <w:spacing w:beforeLines="20" w:before="48" w:afterLines="20" w:after="48"/>
              <w:ind w:left="136"/>
              <w:jc w:val="left"/>
              <w:rPr>
                <w:b/>
                <w:noProof/>
                <w:sz w:val="16"/>
                <w:szCs w:val="16"/>
              </w:rPr>
            </w:pPr>
            <w:r w:rsidRPr="00F91EC4">
              <w:rPr>
                <w:b/>
                <w:noProof/>
                <w:sz w:val="16"/>
              </w:rPr>
              <w:t>TOTAL</w:t>
            </w:r>
          </w:p>
        </w:tc>
        <w:tc>
          <w:tcPr>
            <w:tcW w:w="731" w:type="dxa"/>
            <w:tcBorders>
              <w:top w:val="double" w:sz="4" w:space="0" w:color="auto"/>
            </w:tcBorders>
            <w:shd w:val="clear" w:color="auto" w:fill="auto"/>
            <w:vAlign w:val="center"/>
          </w:tcPr>
          <w:p w14:paraId="2FC990EF" w14:textId="77777777" w:rsidR="00752AF8" w:rsidRPr="00F91EC4" w:rsidRDefault="00752AF8" w:rsidP="00752AF8">
            <w:pPr>
              <w:spacing w:beforeLines="20" w:before="48" w:afterLines="20" w:after="48"/>
              <w:jc w:val="center"/>
              <w:rPr>
                <w:b/>
                <w:noProof/>
                <w:sz w:val="16"/>
                <w:szCs w:val="16"/>
              </w:rPr>
            </w:pPr>
            <w:r w:rsidRPr="00F91EC4">
              <w:rPr>
                <w:b/>
                <w:noProof/>
                <w:sz w:val="16"/>
                <w:szCs w:val="16"/>
              </w:rPr>
              <w:t>11.5</w:t>
            </w:r>
          </w:p>
        </w:tc>
        <w:tc>
          <w:tcPr>
            <w:tcW w:w="731" w:type="dxa"/>
            <w:tcBorders>
              <w:top w:val="double" w:sz="4" w:space="0" w:color="auto"/>
            </w:tcBorders>
            <w:shd w:val="clear" w:color="auto" w:fill="auto"/>
            <w:vAlign w:val="center"/>
          </w:tcPr>
          <w:p w14:paraId="62C9EFB9"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13</w:t>
            </w:r>
          </w:p>
        </w:tc>
        <w:tc>
          <w:tcPr>
            <w:tcW w:w="731" w:type="dxa"/>
            <w:tcBorders>
              <w:top w:val="double" w:sz="4" w:space="0" w:color="auto"/>
            </w:tcBorders>
            <w:shd w:val="clear" w:color="auto" w:fill="auto"/>
            <w:vAlign w:val="center"/>
          </w:tcPr>
          <w:p w14:paraId="77FE704F"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11</w:t>
            </w:r>
          </w:p>
        </w:tc>
        <w:tc>
          <w:tcPr>
            <w:tcW w:w="731" w:type="dxa"/>
            <w:tcBorders>
              <w:top w:val="double" w:sz="4" w:space="0" w:color="auto"/>
            </w:tcBorders>
            <w:shd w:val="clear" w:color="auto" w:fill="auto"/>
            <w:vAlign w:val="center"/>
          </w:tcPr>
          <w:p w14:paraId="77277A4F"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11</w:t>
            </w:r>
          </w:p>
        </w:tc>
        <w:tc>
          <w:tcPr>
            <w:tcW w:w="731" w:type="dxa"/>
            <w:tcBorders>
              <w:top w:val="double" w:sz="4" w:space="0" w:color="auto"/>
            </w:tcBorders>
            <w:shd w:val="clear" w:color="auto" w:fill="auto"/>
            <w:vAlign w:val="center"/>
          </w:tcPr>
          <w:p w14:paraId="408C3364"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6.5</w:t>
            </w:r>
          </w:p>
        </w:tc>
        <w:tc>
          <w:tcPr>
            <w:tcW w:w="731" w:type="dxa"/>
            <w:tcBorders>
              <w:top w:val="double" w:sz="4" w:space="0" w:color="auto"/>
            </w:tcBorders>
            <w:shd w:val="clear" w:color="auto" w:fill="auto"/>
            <w:vAlign w:val="center"/>
          </w:tcPr>
          <w:p w14:paraId="5D9C658F"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6.5</w:t>
            </w:r>
          </w:p>
        </w:tc>
        <w:tc>
          <w:tcPr>
            <w:tcW w:w="731" w:type="dxa"/>
            <w:tcBorders>
              <w:top w:val="double" w:sz="4" w:space="0" w:color="auto"/>
            </w:tcBorders>
            <w:shd w:val="clear" w:color="auto" w:fill="auto"/>
            <w:vAlign w:val="center"/>
          </w:tcPr>
          <w:p w14:paraId="53F0FDCF" w14:textId="77777777" w:rsidR="00752AF8" w:rsidRPr="00F91EC4" w:rsidRDefault="00752AF8" w:rsidP="00447471">
            <w:pPr>
              <w:spacing w:beforeLines="20" w:before="48" w:afterLines="20" w:after="48"/>
              <w:jc w:val="center"/>
              <w:rPr>
                <w:b/>
                <w:noProof/>
                <w:sz w:val="16"/>
                <w:szCs w:val="16"/>
              </w:rPr>
            </w:pPr>
            <w:r w:rsidRPr="00F91EC4">
              <w:rPr>
                <w:b/>
                <w:noProof/>
                <w:sz w:val="16"/>
                <w:szCs w:val="16"/>
              </w:rPr>
              <w:t>6.5</w:t>
            </w:r>
          </w:p>
        </w:tc>
      </w:tr>
    </w:tbl>
    <w:p w14:paraId="12D8BC27" w14:textId="77777777" w:rsidR="00D014CD" w:rsidRPr="00F91EC4" w:rsidRDefault="00D014CD" w:rsidP="00D014CD">
      <w:pPr>
        <w:pStyle w:val="Text1"/>
        <w:rPr>
          <w:noProof/>
          <w:sz w:val="18"/>
          <w:szCs w:val="18"/>
        </w:rPr>
      </w:pPr>
      <w:r w:rsidRPr="00F91EC4">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1FB6E522" w14:textId="77777777" w:rsidR="00D014CD" w:rsidRPr="00F91EC4" w:rsidRDefault="00D014CD" w:rsidP="00D014CD">
      <w:pPr>
        <w:rPr>
          <w:noProof/>
          <w:sz w:val="20"/>
        </w:rPr>
      </w:pPr>
      <w:r w:rsidRPr="00F91EC4">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014CD" w:rsidRPr="00F91EC4" w14:paraId="17DFBE53" w14:textId="77777777" w:rsidTr="00D014CD">
        <w:tc>
          <w:tcPr>
            <w:tcW w:w="3240" w:type="dxa"/>
          </w:tcPr>
          <w:p w14:paraId="46810F56" w14:textId="77777777" w:rsidR="00D014CD" w:rsidRPr="00F91EC4" w:rsidRDefault="00D014CD" w:rsidP="00D014CD">
            <w:pPr>
              <w:rPr>
                <w:noProof/>
                <w:sz w:val="20"/>
              </w:rPr>
            </w:pPr>
            <w:r w:rsidRPr="00F91EC4">
              <w:rPr>
                <w:noProof/>
                <w:sz w:val="20"/>
              </w:rPr>
              <w:t>Officials and temporary staff</w:t>
            </w:r>
          </w:p>
        </w:tc>
        <w:tc>
          <w:tcPr>
            <w:tcW w:w="7200" w:type="dxa"/>
          </w:tcPr>
          <w:p w14:paraId="603622BE" w14:textId="77777777" w:rsidR="00D014CD" w:rsidRPr="00F91EC4" w:rsidRDefault="00D014CD" w:rsidP="00D014CD">
            <w:pPr>
              <w:rPr>
                <w:noProof/>
                <w:sz w:val="20"/>
              </w:rPr>
            </w:pPr>
            <w:r w:rsidRPr="00F91EC4">
              <w:rPr>
                <w:noProof/>
                <w:sz w:val="20"/>
              </w:rPr>
              <w:t>Negotiation of Regulation, development of delegated and implementing acts, organisation and supervision of market surveillance for emissions, review and update according to technical developments</w:t>
            </w:r>
          </w:p>
        </w:tc>
      </w:tr>
      <w:tr w:rsidR="00D014CD" w:rsidRPr="00F91EC4" w14:paraId="6334434F" w14:textId="77777777" w:rsidTr="00D014CD">
        <w:tc>
          <w:tcPr>
            <w:tcW w:w="3240" w:type="dxa"/>
          </w:tcPr>
          <w:p w14:paraId="7D952DD2" w14:textId="77777777" w:rsidR="00D014CD" w:rsidRPr="00F91EC4" w:rsidRDefault="00D014CD" w:rsidP="00D014CD">
            <w:pPr>
              <w:spacing w:before="60" w:after="60"/>
              <w:rPr>
                <w:noProof/>
                <w:sz w:val="20"/>
              </w:rPr>
            </w:pPr>
            <w:r w:rsidRPr="00F91EC4">
              <w:rPr>
                <w:noProof/>
                <w:sz w:val="20"/>
              </w:rPr>
              <w:t>External staff</w:t>
            </w:r>
          </w:p>
        </w:tc>
        <w:tc>
          <w:tcPr>
            <w:tcW w:w="7200" w:type="dxa"/>
          </w:tcPr>
          <w:p w14:paraId="5F0BCFEB" w14:textId="77777777" w:rsidR="00D014CD" w:rsidRPr="00F91EC4" w:rsidRDefault="00D014CD" w:rsidP="00D014CD">
            <w:pPr>
              <w:rPr>
                <w:noProof/>
                <w:sz w:val="20"/>
              </w:rPr>
            </w:pPr>
            <w:r w:rsidRPr="00F91EC4">
              <w:rPr>
                <w:noProof/>
                <w:sz w:val="20"/>
              </w:rPr>
              <w:t>Conducting analysis and providing support and technical input to the organisation and supervision of market surveillance for emissions, review and update according to technical developments</w:t>
            </w:r>
          </w:p>
        </w:tc>
      </w:tr>
    </w:tbl>
    <w:p w14:paraId="67071ED7" w14:textId="77777777" w:rsidR="00D014CD" w:rsidRPr="00F91EC4" w:rsidRDefault="00D014CD" w:rsidP="00D014CD">
      <w:pPr>
        <w:rPr>
          <w:noProof/>
        </w:rPr>
        <w:sectPr w:rsidR="00D014CD" w:rsidRPr="00F91EC4" w:rsidSect="00E50DA1">
          <w:pgSz w:w="11907" w:h="16840"/>
          <w:pgMar w:top="1134" w:right="1418" w:bottom="1134" w:left="1418" w:header="709" w:footer="709" w:gutter="0"/>
          <w:cols w:space="708"/>
          <w:docGrid w:linePitch="360"/>
        </w:sectPr>
      </w:pPr>
    </w:p>
    <w:p w14:paraId="17370296" w14:textId="021C2899" w:rsidR="00D014CD" w:rsidRPr="00F91EC4" w:rsidRDefault="00DD0F7B" w:rsidP="00DD0F7B">
      <w:pPr>
        <w:pStyle w:val="ManualHeading3"/>
        <w:rPr>
          <w:noProof/>
        </w:rPr>
      </w:pPr>
      <w:bookmarkStart w:id="69" w:name="_Toc514938056"/>
      <w:bookmarkStart w:id="70" w:name="_Toc520485055"/>
      <w:r w:rsidRPr="00DD0F7B">
        <w:rPr>
          <w:noProof/>
        </w:rPr>
        <w:t>3.2.4.</w:t>
      </w:r>
      <w:r w:rsidRPr="00DD0F7B">
        <w:rPr>
          <w:noProof/>
        </w:rPr>
        <w:tab/>
      </w:r>
      <w:r w:rsidR="00D014CD" w:rsidRPr="00F91EC4">
        <w:rPr>
          <w:noProof/>
        </w:rPr>
        <w:t>Compatibility with the current multiannual financial framework</w:t>
      </w:r>
      <w:bookmarkEnd w:id="69"/>
      <w:bookmarkEnd w:id="70"/>
      <w:r w:rsidR="00D014CD" w:rsidRPr="00F91EC4">
        <w:rPr>
          <w:noProof/>
        </w:rPr>
        <w:t xml:space="preserve"> </w:t>
      </w:r>
    </w:p>
    <w:p w14:paraId="346AFE39" w14:textId="77777777" w:rsidR="00D014CD" w:rsidRPr="00F91EC4" w:rsidRDefault="00D014CD" w:rsidP="00D014CD">
      <w:pPr>
        <w:pStyle w:val="Text1"/>
        <w:rPr>
          <w:noProof/>
        </w:rPr>
      </w:pPr>
      <w:r w:rsidRPr="00F91EC4">
        <w:rPr>
          <w:noProof/>
        </w:rPr>
        <w:t>The proposal/initiative:</w:t>
      </w:r>
    </w:p>
    <w:p w14:paraId="07A7A05C"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can be fully financed through redeployment within the relevant heading of the Multiannual Financial Framework (MFF).</w:t>
      </w:r>
    </w:p>
    <w:p w14:paraId="44BFA01F" w14:textId="77777777" w:rsidR="00D014CD" w:rsidRPr="00F91EC4"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F91EC4">
        <w:rPr>
          <w:noProof/>
          <w:sz w:val="20"/>
        </w:rPr>
        <w:t xml:space="preserve">The relevant funding has already been foreseen for year 2022 and will enter into the planned amount allocated also for year 2023. Internal redeployment of staff is needed from the relevant tasks in the Euro 6/VI regulations. </w:t>
      </w:r>
    </w:p>
    <w:p w14:paraId="066E8FAB"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requires use of the unallocated margin under the relevant heading of the MFF and/or use of the special instruments as defined in the MFF Regulation.</w:t>
      </w:r>
    </w:p>
    <w:p w14:paraId="5A8A54C2" w14:textId="77777777" w:rsidR="00D014CD" w:rsidRPr="00F91EC4"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F91EC4">
        <w:rPr>
          <w:noProof/>
          <w:sz w:val="20"/>
        </w:rPr>
        <w:t>Explain what is required, specifying the headings and budget lines concerned, the corresponding amounts, and the instruments proposed to be used.</w:t>
      </w:r>
    </w:p>
    <w:p w14:paraId="07E274D1"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requires a revision of the MFF.</w:t>
      </w:r>
    </w:p>
    <w:p w14:paraId="15A81D57" w14:textId="77777777" w:rsidR="00D014CD" w:rsidRPr="00F91EC4"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F91EC4">
        <w:rPr>
          <w:noProof/>
          <w:sz w:val="20"/>
        </w:rPr>
        <w:t>Explain what is required, specifying the headings and budget lines concerned and the corresponding amounts.</w:t>
      </w:r>
    </w:p>
    <w:p w14:paraId="6D7A5AE9" w14:textId="0002AFBA" w:rsidR="00D014CD" w:rsidRPr="00F91EC4" w:rsidRDefault="00DD0F7B" w:rsidP="00DD0F7B">
      <w:pPr>
        <w:pStyle w:val="ManualHeading3"/>
        <w:rPr>
          <w:bCs/>
          <w:noProof/>
          <w:szCs w:val="24"/>
        </w:rPr>
      </w:pPr>
      <w:bookmarkStart w:id="71" w:name="_Toc514938058"/>
      <w:bookmarkStart w:id="72" w:name="_Toc520485056"/>
      <w:r w:rsidRPr="00DD0F7B">
        <w:rPr>
          <w:noProof/>
        </w:rPr>
        <w:t>3.2.5.</w:t>
      </w:r>
      <w:r w:rsidRPr="00DD0F7B">
        <w:rPr>
          <w:noProof/>
        </w:rPr>
        <w:tab/>
      </w:r>
      <w:r w:rsidR="00D014CD" w:rsidRPr="00F91EC4">
        <w:rPr>
          <w:noProof/>
        </w:rPr>
        <w:t>Third-party contributions</w:t>
      </w:r>
      <w:bookmarkEnd w:id="71"/>
      <w:bookmarkEnd w:id="72"/>
      <w:r w:rsidR="00D014CD" w:rsidRPr="00F91EC4">
        <w:rPr>
          <w:noProof/>
        </w:rPr>
        <w:t xml:space="preserve"> </w:t>
      </w:r>
    </w:p>
    <w:p w14:paraId="09FE815A" w14:textId="77777777" w:rsidR="00D014CD" w:rsidRPr="00F91EC4" w:rsidRDefault="00D014CD" w:rsidP="00D014CD">
      <w:pPr>
        <w:pStyle w:val="Text1"/>
        <w:rPr>
          <w:noProof/>
        </w:rPr>
      </w:pPr>
      <w:r w:rsidRPr="00F91EC4">
        <w:rPr>
          <w:noProof/>
        </w:rPr>
        <w:t>The proposal/initiative:</w:t>
      </w:r>
    </w:p>
    <w:p w14:paraId="03B511F8"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does not provide for co-financing by third parties</w:t>
      </w:r>
    </w:p>
    <w:p w14:paraId="547F1A61"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provides for the co-financing by third parties estimated below:</w:t>
      </w:r>
    </w:p>
    <w:p w14:paraId="2B23D96D" w14:textId="77777777" w:rsidR="00D014CD" w:rsidRPr="00F91EC4" w:rsidRDefault="00D014CD" w:rsidP="00D014CD">
      <w:pPr>
        <w:jc w:val="right"/>
        <w:rPr>
          <w:noProof/>
          <w:sz w:val="20"/>
        </w:rPr>
      </w:pPr>
      <w:r w:rsidRPr="00F91EC4">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014CD" w:rsidRPr="00F91EC4" w14:paraId="44E6A444" w14:textId="77777777" w:rsidTr="00D014CD">
        <w:trPr>
          <w:cantSplit/>
        </w:trPr>
        <w:tc>
          <w:tcPr>
            <w:tcW w:w="2340" w:type="dxa"/>
          </w:tcPr>
          <w:p w14:paraId="1958EA70" w14:textId="77777777" w:rsidR="00D014CD" w:rsidRPr="00F91EC4" w:rsidRDefault="00D014CD" w:rsidP="00D014CD">
            <w:pPr>
              <w:spacing w:before="60" w:after="60"/>
              <w:rPr>
                <w:noProof/>
                <w:sz w:val="20"/>
              </w:rPr>
            </w:pPr>
          </w:p>
        </w:tc>
        <w:tc>
          <w:tcPr>
            <w:tcW w:w="964" w:type="dxa"/>
            <w:vAlign w:val="center"/>
          </w:tcPr>
          <w:p w14:paraId="03269B3D"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16"/>
              </w:rPr>
              <w:t>2022</w:t>
            </w:r>
          </w:p>
        </w:tc>
        <w:tc>
          <w:tcPr>
            <w:tcW w:w="964" w:type="dxa"/>
            <w:vAlign w:val="center"/>
          </w:tcPr>
          <w:p w14:paraId="7B1E30BF"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16"/>
              </w:rPr>
              <w:t>2023</w:t>
            </w:r>
          </w:p>
        </w:tc>
        <w:tc>
          <w:tcPr>
            <w:tcW w:w="964" w:type="dxa"/>
            <w:vAlign w:val="center"/>
          </w:tcPr>
          <w:p w14:paraId="50411B6E"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16"/>
              </w:rPr>
              <w:t>2024</w:t>
            </w:r>
          </w:p>
        </w:tc>
        <w:tc>
          <w:tcPr>
            <w:tcW w:w="964" w:type="dxa"/>
            <w:vAlign w:val="center"/>
          </w:tcPr>
          <w:p w14:paraId="6CC62818" w14:textId="77777777" w:rsidR="00D014CD" w:rsidRPr="00F91EC4" w:rsidRDefault="00D014CD" w:rsidP="00D014CD">
            <w:pPr>
              <w:jc w:val="center"/>
              <w:rPr>
                <w:noProof/>
                <w:sz w:val="20"/>
              </w:rPr>
            </w:pPr>
            <w:r w:rsidRPr="00F91EC4">
              <w:rPr>
                <w:noProof/>
                <w:sz w:val="20"/>
              </w:rPr>
              <w:t>Year</w:t>
            </w:r>
            <w:r w:rsidRPr="00F91EC4">
              <w:rPr>
                <w:noProof/>
                <w:sz w:val="22"/>
              </w:rPr>
              <w:br/>
            </w:r>
            <w:r w:rsidRPr="00F91EC4">
              <w:rPr>
                <w:b/>
                <w:noProof/>
                <w:sz w:val="16"/>
              </w:rPr>
              <w:t>2025</w:t>
            </w:r>
          </w:p>
        </w:tc>
        <w:tc>
          <w:tcPr>
            <w:tcW w:w="2892" w:type="dxa"/>
            <w:gridSpan w:val="3"/>
            <w:vAlign w:val="center"/>
          </w:tcPr>
          <w:p w14:paraId="08FD1875" w14:textId="77777777" w:rsidR="00D014CD" w:rsidRPr="00F91EC4" w:rsidRDefault="00D014CD" w:rsidP="00D014CD">
            <w:pPr>
              <w:jc w:val="center"/>
              <w:rPr>
                <w:b/>
                <w:noProof/>
                <w:sz w:val="20"/>
              </w:rPr>
            </w:pPr>
            <w:r w:rsidRPr="00F91EC4">
              <w:rPr>
                <w:noProof/>
                <w:sz w:val="20"/>
              </w:rPr>
              <w:t>Enter as many years as necessary to show the duration of the impact (see point 1.6)</w:t>
            </w:r>
          </w:p>
        </w:tc>
        <w:tc>
          <w:tcPr>
            <w:tcW w:w="1158" w:type="dxa"/>
            <w:vAlign w:val="center"/>
          </w:tcPr>
          <w:p w14:paraId="709FFE2B" w14:textId="77777777" w:rsidR="00D014CD" w:rsidRPr="00F91EC4" w:rsidRDefault="00D014CD" w:rsidP="00D014CD">
            <w:pPr>
              <w:spacing w:before="60" w:after="60"/>
              <w:jc w:val="center"/>
              <w:rPr>
                <w:noProof/>
                <w:sz w:val="20"/>
              </w:rPr>
            </w:pPr>
            <w:r w:rsidRPr="00F91EC4">
              <w:rPr>
                <w:noProof/>
                <w:sz w:val="20"/>
              </w:rPr>
              <w:t>Total</w:t>
            </w:r>
          </w:p>
        </w:tc>
      </w:tr>
      <w:tr w:rsidR="00D014CD" w:rsidRPr="00F91EC4" w14:paraId="6A67D3BA" w14:textId="77777777" w:rsidTr="00D014CD">
        <w:trPr>
          <w:cantSplit/>
        </w:trPr>
        <w:tc>
          <w:tcPr>
            <w:tcW w:w="2340" w:type="dxa"/>
          </w:tcPr>
          <w:p w14:paraId="5F38AD3A" w14:textId="77777777" w:rsidR="00D014CD" w:rsidRPr="00F91EC4" w:rsidRDefault="00D014CD" w:rsidP="00D014CD">
            <w:pPr>
              <w:rPr>
                <w:noProof/>
              </w:rPr>
            </w:pPr>
            <w:r w:rsidRPr="00F91EC4">
              <w:rPr>
                <w:noProof/>
                <w:sz w:val="20"/>
              </w:rPr>
              <w:t>Specify the co-financing body</w:t>
            </w:r>
            <w:r w:rsidRPr="00F91EC4">
              <w:rPr>
                <w:i/>
                <w:noProof/>
                <w:sz w:val="20"/>
              </w:rPr>
              <w:t xml:space="preserve"> </w:t>
            </w:r>
          </w:p>
        </w:tc>
        <w:tc>
          <w:tcPr>
            <w:tcW w:w="964" w:type="dxa"/>
            <w:vAlign w:val="center"/>
          </w:tcPr>
          <w:p w14:paraId="1C5A72D3" w14:textId="77777777" w:rsidR="00D014CD" w:rsidRPr="00F91EC4" w:rsidRDefault="00D014CD" w:rsidP="00D014CD">
            <w:pPr>
              <w:spacing w:before="60" w:after="60"/>
              <w:jc w:val="center"/>
              <w:rPr>
                <w:noProof/>
                <w:sz w:val="20"/>
              </w:rPr>
            </w:pPr>
          </w:p>
        </w:tc>
        <w:tc>
          <w:tcPr>
            <w:tcW w:w="964" w:type="dxa"/>
            <w:vAlign w:val="center"/>
          </w:tcPr>
          <w:p w14:paraId="54F3B994" w14:textId="77777777" w:rsidR="00D014CD" w:rsidRPr="00F91EC4" w:rsidRDefault="00D014CD" w:rsidP="00D014CD">
            <w:pPr>
              <w:spacing w:before="60" w:after="60"/>
              <w:jc w:val="center"/>
              <w:rPr>
                <w:noProof/>
                <w:sz w:val="20"/>
              </w:rPr>
            </w:pPr>
          </w:p>
        </w:tc>
        <w:tc>
          <w:tcPr>
            <w:tcW w:w="964" w:type="dxa"/>
            <w:vAlign w:val="center"/>
          </w:tcPr>
          <w:p w14:paraId="2523540F" w14:textId="77777777" w:rsidR="00D014CD" w:rsidRPr="00F91EC4" w:rsidRDefault="00D014CD" w:rsidP="00D014CD">
            <w:pPr>
              <w:spacing w:before="60" w:after="60"/>
              <w:jc w:val="center"/>
              <w:rPr>
                <w:noProof/>
                <w:sz w:val="20"/>
              </w:rPr>
            </w:pPr>
          </w:p>
        </w:tc>
        <w:tc>
          <w:tcPr>
            <w:tcW w:w="964" w:type="dxa"/>
            <w:vAlign w:val="center"/>
          </w:tcPr>
          <w:p w14:paraId="575C8F80" w14:textId="77777777" w:rsidR="00D014CD" w:rsidRPr="00F91EC4" w:rsidRDefault="00D014CD" w:rsidP="00D014CD">
            <w:pPr>
              <w:spacing w:before="60" w:after="60"/>
              <w:jc w:val="center"/>
              <w:rPr>
                <w:noProof/>
                <w:sz w:val="20"/>
              </w:rPr>
            </w:pPr>
          </w:p>
        </w:tc>
        <w:tc>
          <w:tcPr>
            <w:tcW w:w="964" w:type="dxa"/>
            <w:vAlign w:val="center"/>
          </w:tcPr>
          <w:p w14:paraId="14FA095B" w14:textId="77777777" w:rsidR="00D014CD" w:rsidRPr="00F91EC4" w:rsidRDefault="00D014CD" w:rsidP="00D014CD">
            <w:pPr>
              <w:spacing w:before="60" w:after="60"/>
              <w:jc w:val="center"/>
              <w:rPr>
                <w:noProof/>
                <w:sz w:val="20"/>
              </w:rPr>
            </w:pPr>
          </w:p>
        </w:tc>
        <w:tc>
          <w:tcPr>
            <w:tcW w:w="964" w:type="dxa"/>
            <w:vAlign w:val="center"/>
          </w:tcPr>
          <w:p w14:paraId="57459218" w14:textId="77777777" w:rsidR="00D014CD" w:rsidRPr="00F91EC4" w:rsidRDefault="00D014CD" w:rsidP="00D014CD">
            <w:pPr>
              <w:spacing w:before="60" w:after="60"/>
              <w:jc w:val="center"/>
              <w:rPr>
                <w:noProof/>
                <w:sz w:val="20"/>
              </w:rPr>
            </w:pPr>
          </w:p>
        </w:tc>
        <w:tc>
          <w:tcPr>
            <w:tcW w:w="964" w:type="dxa"/>
            <w:vAlign w:val="center"/>
          </w:tcPr>
          <w:p w14:paraId="230278BD" w14:textId="77777777" w:rsidR="00D014CD" w:rsidRPr="00F91EC4" w:rsidRDefault="00D014CD" w:rsidP="00D014CD">
            <w:pPr>
              <w:spacing w:before="60" w:after="60"/>
              <w:jc w:val="center"/>
              <w:rPr>
                <w:noProof/>
                <w:sz w:val="20"/>
              </w:rPr>
            </w:pPr>
          </w:p>
        </w:tc>
        <w:tc>
          <w:tcPr>
            <w:tcW w:w="1158" w:type="dxa"/>
            <w:vAlign w:val="center"/>
          </w:tcPr>
          <w:p w14:paraId="30DEB238" w14:textId="77777777" w:rsidR="00D014CD" w:rsidRPr="00F91EC4" w:rsidRDefault="00D014CD" w:rsidP="00D014CD">
            <w:pPr>
              <w:spacing w:before="60" w:after="60"/>
              <w:jc w:val="center"/>
              <w:rPr>
                <w:noProof/>
                <w:sz w:val="20"/>
              </w:rPr>
            </w:pPr>
          </w:p>
        </w:tc>
      </w:tr>
      <w:tr w:rsidR="00D014CD" w:rsidRPr="00F91EC4" w14:paraId="49CC3883" w14:textId="77777777" w:rsidTr="00D014CD">
        <w:trPr>
          <w:cantSplit/>
        </w:trPr>
        <w:tc>
          <w:tcPr>
            <w:tcW w:w="2340" w:type="dxa"/>
          </w:tcPr>
          <w:p w14:paraId="2C32680E" w14:textId="77777777" w:rsidR="00D014CD" w:rsidRPr="00F91EC4" w:rsidRDefault="00D014CD" w:rsidP="00D014CD">
            <w:pPr>
              <w:spacing w:before="60" w:after="60"/>
              <w:jc w:val="left"/>
              <w:rPr>
                <w:noProof/>
                <w:sz w:val="20"/>
              </w:rPr>
            </w:pPr>
            <w:r w:rsidRPr="00F91EC4">
              <w:rPr>
                <w:noProof/>
                <w:sz w:val="20"/>
              </w:rPr>
              <w:t xml:space="preserve">TOTAL appropriations co-financed </w:t>
            </w:r>
          </w:p>
        </w:tc>
        <w:tc>
          <w:tcPr>
            <w:tcW w:w="964" w:type="dxa"/>
            <w:vAlign w:val="center"/>
          </w:tcPr>
          <w:p w14:paraId="24CEA0A1" w14:textId="77777777" w:rsidR="00D014CD" w:rsidRPr="00F91EC4" w:rsidRDefault="00D014CD" w:rsidP="00D014CD">
            <w:pPr>
              <w:spacing w:before="60" w:after="60"/>
              <w:jc w:val="center"/>
              <w:rPr>
                <w:noProof/>
                <w:sz w:val="20"/>
              </w:rPr>
            </w:pPr>
          </w:p>
        </w:tc>
        <w:tc>
          <w:tcPr>
            <w:tcW w:w="964" w:type="dxa"/>
            <w:vAlign w:val="center"/>
          </w:tcPr>
          <w:p w14:paraId="25F4F52A" w14:textId="77777777" w:rsidR="00D014CD" w:rsidRPr="00F91EC4" w:rsidRDefault="00D014CD" w:rsidP="00D014CD">
            <w:pPr>
              <w:spacing w:before="60" w:after="60"/>
              <w:jc w:val="center"/>
              <w:rPr>
                <w:noProof/>
                <w:sz w:val="20"/>
              </w:rPr>
            </w:pPr>
          </w:p>
        </w:tc>
        <w:tc>
          <w:tcPr>
            <w:tcW w:w="964" w:type="dxa"/>
            <w:vAlign w:val="center"/>
          </w:tcPr>
          <w:p w14:paraId="416E1A55" w14:textId="77777777" w:rsidR="00D014CD" w:rsidRPr="00F91EC4" w:rsidRDefault="00D014CD" w:rsidP="00D014CD">
            <w:pPr>
              <w:spacing w:before="60" w:after="60"/>
              <w:jc w:val="center"/>
              <w:rPr>
                <w:noProof/>
                <w:sz w:val="20"/>
              </w:rPr>
            </w:pPr>
          </w:p>
        </w:tc>
        <w:tc>
          <w:tcPr>
            <w:tcW w:w="964" w:type="dxa"/>
            <w:vAlign w:val="center"/>
          </w:tcPr>
          <w:p w14:paraId="37F5130F" w14:textId="77777777" w:rsidR="00D014CD" w:rsidRPr="00F91EC4" w:rsidRDefault="00D014CD" w:rsidP="00D014CD">
            <w:pPr>
              <w:spacing w:before="60" w:after="60"/>
              <w:jc w:val="center"/>
              <w:rPr>
                <w:noProof/>
                <w:sz w:val="20"/>
              </w:rPr>
            </w:pPr>
          </w:p>
        </w:tc>
        <w:tc>
          <w:tcPr>
            <w:tcW w:w="964" w:type="dxa"/>
            <w:vAlign w:val="center"/>
          </w:tcPr>
          <w:p w14:paraId="4FE8FAAB" w14:textId="77777777" w:rsidR="00D014CD" w:rsidRPr="00F91EC4" w:rsidRDefault="00D014CD" w:rsidP="00D014CD">
            <w:pPr>
              <w:spacing w:before="60" w:after="60"/>
              <w:jc w:val="center"/>
              <w:rPr>
                <w:noProof/>
                <w:sz w:val="20"/>
              </w:rPr>
            </w:pPr>
          </w:p>
        </w:tc>
        <w:tc>
          <w:tcPr>
            <w:tcW w:w="964" w:type="dxa"/>
            <w:vAlign w:val="center"/>
          </w:tcPr>
          <w:p w14:paraId="37E55241" w14:textId="77777777" w:rsidR="00D014CD" w:rsidRPr="00F91EC4" w:rsidRDefault="00D014CD" w:rsidP="00D014CD">
            <w:pPr>
              <w:spacing w:before="60" w:after="60"/>
              <w:jc w:val="center"/>
              <w:rPr>
                <w:noProof/>
                <w:sz w:val="20"/>
              </w:rPr>
            </w:pPr>
          </w:p>
        </w:tc>
        <w:tc>
          <w:tcPr>
            <w:tcW w:w="964" w:type="dxa"/>
            <w:vAlign w:val="center"/>
          </w:tcPr>
          <w:p w14:paraId="7391632C" w14:textId="77777777" w:rsidR="00D014CD" w:rsidRPr="00F91EC4" w:rsidRDefault="00D014CD" w:rsidP="00D014CD">
            <w:pPr>
              <w:spacing w:before="60" w:after="60"/>
              <w:jc w:val="center"/>
              <w:rPr>
                <w:noProof/>
                <w:sz w:val="20"/>
              </w:rPr>
            </w:pPr>
          </w:p>
        </w:tc>
        <w:tc>
          <w:tcPr>
            <w:tcW w:w="1158" w:type="dxa"/>
            <w:vAlign w:val="center"/>
          </w:tcPr>
          <w:p w14:paraId="2B968DD7" w14:textId="77777777" w:rsidR="00D014CD" w:rsidRPr="00F91EC4" w:rsidRDefault="00D014CD" w:rsidP="00D014CD">
            <w:pPr>
              <w:spacing w:before="60" w:after="60"/>
              <w:jc w:val="center"/>
              <w:rPr>
                <w:noProof/>
                <w:sz w:val="20"/>
              </w:rPr>
            </w:pPr>
          </w:p>
        </w:tc>
      </w:tr>
    </w:tbl>
    <w:p w14:paraId="3AA0D767" w14:textId="77777777" w:rsidR="00D014CD" w:rsidRPr="00F91EC4" w:rsidRDefault="00D014CD" w:rsidP="00D014CD">
      <w:pPr>
        <w:rPr>
          <w:noProof/>
        </w:rPr>
      </w:pPr>
      <w:r w:rsidRPr="00F91EC4">
        <w:rPr>
          <w:noProof/>
        </w:rPr>
        <w:br/>
      </w:r>
    </w:p>
    <w:p w14:paraId="47744DC7" w14:textId="3EF960C8" w:rsidR="00D014CD" w:rsidRPr="00F91EC4" w:rsidRDefault="00D014CD" w:rsidP="00DD0F7B">
      <w:pPr>
        <w:pStyle w:val="ManualHeading2"/>
        <w:rPr>
          <w:bCs/>
          <w:noProof/>
          <w:szCs w:val="24"/>
        </w:rPr>
      </w:pPr>
      <w:r w:rsidRPr="00F91EC4">
        <w:rPr>
          <w:noProof/>
        </w:rPr>
        <w:br w:type="page"/>
      </w:r>
      <w:bookmarkStart w:id="73" w:name="_Toc514938059"/>
      <w:bookmarkStart w:id="74" w:name="_Toc520485057"/>
      <w:r w:rsidR="00DD0F7B" w:rsidRPr="00DD0F7B">
        <w:rPr>
          <w:noProof/>
        </w:rPr>
        <w:t>3.3.</w:t>
      </w:r>
      <w:r w:rsidR="00DD0F7B" w:rsidRPr="00DD0F7B">
        <w:rPr>
          <w:noProof/>
        </w:rPr>
        <w:tab/>
      </w:r>
      <w:r w:rsidRPr="00F91EC4">
        <w:rPr>
          <w:noProof/>
        </w:rPr>
        <w:t>Estimated impact on revenue</w:t>
      </w:r>
      <w:bookmarkEnd w:id="73"/>
      <w:bookmarkEnd w:id="74"/>
      <w:r w:rsidRPr="00F91EC4">
        <w:rPr>
          <w:noProof/>
        </w:rPr>
        <w:t xml:space="preserve"> </w:t>
      </w:r>
    </w:p>
    <w:p w14:paraId="53D8B072"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The proposal/initiative has no financial impact on revenue.</w:t>
      </w:r>
    </w:p>
    <w:p w14:paraId="3AF5E77F" w14:textId="77777777" w:rsidR="00D014CD" w:rsidRPr="00F91EC4" w:rsidRDefault="00D014CD" w:rsidP="00D014CD">
      <w:pPr>
        <w:pStyle w:val="ListDash1"/>
        <w:rPr>
          <w:noProof/>
        </w:rPr>
      </w:pPr>
      <w:r w:rsidRPr="00F91EC4">
        <w:rPr>
          <w:rFonts w:ascii="Wingdings" w:eastAsia="Wingdings" w:hAnsi="Wingdings" w:cs="Wingdings"/>
          <w:noProof/>
        </w:rPr>
        <w:t></w:t>
      </w:r>
      <w:r w:rsidRPr="00F91EC4">
        <w:rPr>
          <w:noProof/>
        </w:rPr>
        <w:tab/>
        <w:t>The proposal/initiative has the following financial impact:</w:t>
      </w:r>
    </w:p>
    <w:p w14:paraId="06BEC410" w14:textId="77777777" w:rsidR="00D014CD" w:rsidRPr="00F91EC4" w:rsidRDefault="00D014CD" w:rsidP="00D014CD">
      <w:pPr>
        <w:pStyle w:val="ListNumberLevel3"/>
        <w:rPr>
          <w:noProof/>
        </w:rPr>
      </w:pPr>
      <w:r w:rsidRPr="00F91EC4">
        <w:rPr>
          <w:rFonts w:ascii="Wingdings" w:eastAsia="Wingdings" w:hAnsi="Wingdings" w:cs="Wingdings"/>
          <w:noProof/>
        </w:rPr>
        <w:t></w:t>
      </w:r>
      <w:r w:rsidRPr="00F91EC4">
        <w:rPr>
          <w:noProof/>
        </w:rPr>
        <w:tab/>
        <w:t xml:space="preserve">on own resources </w:t>
      </w:r>
    </w:p>
    <w:p w14:paraId="5F7453E1" w14:textId="77777777" w:rsidR="00D014CD" w:rsidRPr="00F91EC4" w:rsidRDefault="00D014CD" w:rsidP="00D014CD">
      <w:pPr>
        <w:pStyle w:val="ListNumberLevel3"/>
        <w:rPr>
          <w:noProof/>
        </w:rPr>
      </w:pPr>
      <w:r w:rsidRPr="00F91EC4">
        <w:rPr>
          <w:rFonts w:ascii="Wingdings" w:eastAsia="Wingdings" w:hAnsi="Wingdings" w:cs="Wingdings"/>
          <w:noProof/>
        </w:rPr>
        <w:t></w:t>
      </w:r>
      <w:r w:rsidRPr="00F91EC4">
        <w:rPr>
          <w:noProof/>
        </w:rPr>
        <w:tab/>
        <w:t>on other revenue</w:t>
      </w:r>
    </w:p>
    <w:p w14:paraId="0CC2D62D" w14:textId="77777777" w:rsidR="00D014CD" w:rsidRPr="00F91EC4" w:rsidRDefault="00D014CD" w:rsidP="00D014CD">
      <w:pPr>
        <w:pStyle w:val="ListNumberLevel3"/>
        <w:rPr>
          <w:noProof/>
        </w:rPr>
      </w:pPr>
      <w:r w:rsidRPr="00F91EC4">
        <w:rPr>
          <w:noProof/>
        </w:rPr>
        <w:t xml:space="preserve">please indicate, if the revenue is assigned to expenditure lines </w:t>
      </w:r>
      <w:r w:rsidRPr="00F91EC4">
        <w:rPr>
          <w:rFonts w:ascii="Wingdings" w:eastAsia="Wingdings" w:hAnsi="Wingdings" w:cs="Wingdings"/>
          <w:noProof/>
        </w:rPr>
        <w:t></w:t>
      </w:r>
      <w:r w:rsidRPr="00F91EC4">
        <w:rPr>
          <w:noProof/>
        </w:rPr>
        <w:tab/>
      </w:r>
    </w:p>
    <w:p w14:paraId="299F445B" w14:textId="77777777" w:rsidR="00D014CD" w:rsidRPr="00F91EC4" w:rsidRDefault="00D014CD" w:rsidP="00D014CD">
      <w:pPr>
        <w:ind w:left="4320"/>
        <w:rPr>
          <w:i/>
          <w:noProof/>
          <w:sz w:val="20"/>
        </w:rPr>
      </w:pPr>
      <w:r w:rsidRPr="00F91EC4">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014CD" w:rsidRPr="00F91EC4" w14:paraId="6B8EC210" w14:textId="77777777" w:rsidTr="00D014CD">
        <w:trPr>
          <w:trHeight w:val="388"/>
        </w:trPr>
        <w:tc>
          <w:tcPr>
            <w:tcW w:w="2144" w:type="dxa"/>
            <w:vMerge w:val="restart"/>
            <w:vAlign w:val="center"/>
          </w:tcPr>
          <w:p w14:paraId="5E0E1FE3" w14:textId="77777777" w:rsidR="00D014CD" w:rsidRPr="00F91EC4" w:rsidRDefault="00D014CD" w:rsidP="00D014CD">
            <w:pPr>
              <w:spacing w:before="40" w:after="40"/>
              <w:rPr>
                <w:noProof/>
                <w:sz w:val="18"/>
              </w:rPr>
            </w:pPr>
            <w:r w:rsidRPr="00F91EC4">
              <w:rPr>
                <w:noProof/>
                <w:sz w:val="18"/>
              </w:rPr>
              <w:t>Budget revenue line:</w:t>
            </w:r>
          </w:p>
        </w:tc>
        <w:tc>
          <w:tcPr>
            <w:tcW w:w="1325" w:type="dxa"/>
            <w:vMerge w:val="restart"/>
            <w:vAlign w:val="center"/>
          </w:tcPr>
          <w:p w14:paraId="5EEA3695" w14:textId="77777777" w:rsidR="00D014CD" w:rsidRPr="00F91EC4" w:rsidRDefault="00D014CD" w:rsidP="00D014CD">
            <w:pPr>
              <w:jc w:val="center"/>
              <w:rPr>
                <w:noProof/>
                <w:sz w:val="18"/>
              </w:rPr>
            </w:pPr>
            <w:r w:rsidRPr="00F91EC4">
              <w:rPr>
                <w:noProof/>
                <w:sz w:val="18"/>
              </w:rPr>
              <w:t>Appropriations available for the current financial year</w:t>
            </w:r>
          </w:p>
        </w:tc>
        <w:tc>
          <w:tcPr>
            <w:tcW w:w="7151" w:type="dxa"/>
            <w:gridSpan w:val="7"/>
            <w:vAlign w:val="center"/>
          </w:tcPr>
          <w:p w14:paraId="5A3CDA47" w14:textId="77777777" w:rsidR="00D014CD" w:rsidRPr="00F91EC4" w:rsidRDefault="00D014CD" w:rsidP="00D014CD">
            <w:pPr>
              <w:jc w:val="center"/>
              <w:rPr>
                <w:noProof/>
                <w:sz w:val="18"/>
              </w:rPr>
            </w:pPr>
            <w:r w:rsidRPr="00F91EC4">
              <w:rPr>
                <w:noProof/>
                <w:sz w:val="18"/>
              </w:rPr>
              <w:t>Impact of the proposal/initiative</w:t>
            </w:r>
            <w:r w:rsidRPr="00F91EC4">
              <w:rPr>
                <w:rStyle w:val="FootnoteReference"/>
                <w:noProof/>
                <w:sz w:val="18"/>
              </w:rPr>
              <w:footnoteReference w:id="68"/>
            </w:r>
          </w:p>
        </w:tc>
      </w:tr>
      <w:tr w:rsidR="00D014CD" w:rsidRPr="00F91EC4" w14:paraId="10DB0BC7" w14:textId="77777777" w:rsidTr="00D014CD">
        <w:trPr>
          <w:trHeight w:val="388"/>
        </w:trPr>
        <w:tc>
          <w:tcPr>
            <w:tcW w:w="2144" w:type="dxa"/>
            <w:vMerge/>
          </w:tcPr>
          <w:p w14:paraId="5EB7CBB5" w14:textId="77777777" w:rsidR="00D014CD" w:rsidRPr="00F91EC4" w:rsidRDefault="00D014CD" w:rsidP="00D014CD">
            <w:pPr>
              <w:spacing w:before="40" w:after="40"/>
              <w:rPr>
                <w:noProof/>
                <w:sz w:val="18"/>
              </w:rPr>
            </w:pPr>
          </w:p>
        </w:tc>
        <w:tc>
          <w:tcPr>
            <w:tcW w:w="1325" w:type="dxa"/>
            <w:vMerge/>
          </w:tcPr>
          <w:p w14:paraId="4C0ECE2C" w14:textId="77777777" w:rsidR="00D014CD" w:rsidRPr="00F91EC4" w:rsidRDefault="00D014CD" w:rsidP="00D014CD">
            <w:pPr>
              <w:spacing w:beforeLines="40" w:before="96" w:afterLines="40" w:after="96"/>
              <w:rPr>
                <w:i/>
                <w:noProof/>
                <w:sz w:val="18"/>
              </w:rPr>
            </w:pPr>
          </w:p>
        </w:tc>
        <w:tc>
          <w:tcPr>
            <w:tcW w:w="1031" w:type="dxa"/>
            <w:vAlign w:val="center"/>
          </w:tcPr>
          <w:p w14:paraId="6F084BA4" w14:textId="77777777" w:rsidR="00D014CD" w:rsidRPr="00F91EC4" w:rsidRDefault="00D014CD" w:rsidP="00D014CD">
            <w:pPr>
              <w:jc w:val="center"/>
              <w:rPr>
                <w:noProof/>
                <w:sz w:val="18"/>
              </w:rPr>
            </w:pPr>
            <w:r w:rsidRPr="00F91EC4">
              <w:rPr>
                <w:noProof/>
                <w:sz w:val="18"/>
              </w:rPr>
              <w:t>Year</w:t>
            </w:r>
            <w:r w:rsidRPr="00F91EC4">
              <w:rPr>
                <w:noProof/>
                <w:sz w:val="22"/>
              </w:rPr>
              <w:br/>
            </w:r>
            <w:r w:rsidRPr="00F91EC4">
              <w:rPr>
                <w:b/>
                <w:noProof/>
                <w:sz w:val="18"/>
              </w:rPr>
              <w:t>2022</w:t>
            </w:r>
          </w:p>
        </w:tc>
        <w:tc>
          <w:tcPr>
            <w:tcW w:w="900" w:type="dxa"/>
            <w:vAlign w:val="center"/>
          </w:tcPr>
          <w:p w14:paraId="2C4AD4BB" w14:textId="77777777" w:rsidR="00D014CD" w:rsidRPr="00F91EC4" w:rsidRDefault="00D014CD" w:rsidP="00D014CD">
            <w:pPr>
              <w:jc w:val="center"/>
              <w:rPr>
                <w:noProof/>
                <w:sz w:val="18"/>
              </w:rPr>
            </w:pPr>
            <w:r w:rsidRPr="00F91EC4">
              <w:rPr>
                <w:noProof/>
                <w:sz w:val="18"/>
              </w:rPr>
              <w:t>Year</w:t>
            </w:r>
            <w:r w:rsidRPr="00F91EC4">
              <w:rPr>
                <w:noProof/>
                <w:sz w:val="22"/>
              </w:rPr>
              <w:br/>
            </w:r>
            <w:r w:rsidRPr="00F91EC4">
              <w:rPr>
                <w:b/>
                <w:noProof/>
                <w:sz w:val="18"/>
              </w:rPr>
              <w:t>2023</w:t>
            </w:r>
          </w:p>
        </w:tc>
        <w:tc>
          <w:tcPr>
            <w:tcW w:w="900" w:type="dxa"/>
            <w:vAlign w:val="center"/>
          </w:tcPr>
          <w:p w14:paraId="4DCFD10A" w14:textId="77777777" w:rsidR="00D014CD" w:rsidRPr="00F91EC4" w:rsidRDefault="00D014CD" w:rsidP="00D014CD">
            <w:pPr>
              <w:jc w:val="center"/>
              <w:rPr>
                <w:noProof/>
                <w:sz w:val="18"/>
              </w:rPr>
            </w:pPr>
            <w:r w:rsidRPr="00F91EC4">
              <w:rPr>
                <w:noProof/>
                <w:sz w:val="18"/>
              </w:rPr>
              <w:t>Year</w:t>
            </w:r>
            <w:r w:rsidRPr="00F91EC4">
              <w:rPr>
                <w:noProof/>
                <w:sz w:val="22"/>
              </w:rPr>
              <w:br/>
            </w:r>
            <w:r w:rsidRPr="00F91EC4">
              <w:rPr>
                <w:b/>
                <w:noProof/>
                <w:sz w:val="18"/>
              </w:rPr>
              <w:t>2024</w:t>
            </w:r>
          </w:p>
        </w:tc>
        <w:tc>
          <w:tcPr>
            <w:tcW w:w="1080" w:type="dxa"/>
            <w:vAlign w:val="center"/>
          </w:tcPr>
          <w:p w14:paraId="389354EF" w14:textId="77777777" w:rsidR="00D014CD" w:rsidRPr="00F91EC4" w:rsidRDefault="00D014CD" w:rsidP="00D014CD">
            <w:pPr>
              <w:jc w:val="center"/>
              <w:rPr>
                <w:noProof/>
                <w:sz w:val="18"/>
              </w:rPr>
            </w:pPr>
            <w:r w:rsidRPr="00F91EC4">
              <w:rPr>
                <w:noProof/>
                <w:sz w:val="18"/>
              </w:rPr>
              <w:t>Year</w:t>
            </w:r>
            <w:r w:rsidRPr="00F91EC4">
              <w:rPr>
                <w:noProof/>
                <w:sz w:val="22"/>
              </w:rPr>
              <w:br/>
            </w:r>
            <w:r w:rsidRPr="00F91EC4">
              <w:rPr>
                <w:b/>
                <w:noProof/>
                <w:sz w:val="18"/>
              </w:rPr>
              <w:t>2025</w:t>
            </w:r>
          </w:p>
        </w:tc>
        <w:tc>
          <w:tcPr>
            <w:tcW w:w="3240" w:type="dxa"/>
            <w:gridSpan w:val="3"/>
            <w:vAlign w:val="center"/>
          </w:tcPr>
          <w:p w14:paraId="072E28AC" w14:textId="77777777" w:rsidR="00D014CD" w:rsidRPr="00F91EC4" w:rsidRDefault="00D014CD" w:rsidP="00D014CD">
            <w:pPr>
              <w:jc w:val="center"/>
              <w:rPr>
                <w:b/>
                <w:noProof/>
                <w:sz w:val="18"/>
              </w:rPr>
            </w:pPr>
            <w:r w:rsidRPr="00F91EC4">
              <w:rPr>
                <w:noProof/>
                <w:sz w:val="18"/>
              </w:rPr>
              <w:t>Enter as many years as necessary to show the duration of the impact (see point 1.6)</w:t>
            </w:r>
          </w:p>
        </w:tc>
      </w:tr>
      <w:tr w:rsidR="00D014CD" w:rsidRPr="00F91EC4" w14:paraId="37BEE6B2" w14:textId="77777777" w:rsidTr="00D014CD">
        <w:trPr>
          <w:trHeight w:val="388"/>
        </w:trPr>
        <w:tc>
          <w:tcPr>
            <w:tcW w:w="2144" w:type="dxa"/>
            <w:vAlign w:val="center"/>
          </w:tcPr>
          <w:p w14:paraId="3E5F9B19" w14:textId="77777777" w:rsidR="00D014CD" w:rsidRPr="00F91EC4" w:rsidRDefault="00D014CD" w:rsidP="00D014CD">
            <w:pPr>
              <w:spacing w:before="40" w:after="40"/>
              <w:rPr>
                <w:noProof/>
                <w:sz w:val="18"/>
              </w:rPr>
            </w:pPr>
            <w:r w:rsidRPr="00F91EC4">
              <w:rPr>
                <w:noProof/>
                <w:sz w:val="18"/>
              </w:rPr>
              <w:t>Article ………….</w:t>
            </w:r>
          </w:p>
        </w:tc>
        <w:tc>
          <w:tcPr>
            <w:tcW w:w="1325" w:type="dxa"/>
          </w:tcPr>
          <w:p w14:paraId="74CDE4B2" w14:textId="77777777" w:rsidR="00D014CD" w:rsidRPr="00F91EC4" w:rsidRDefault="00D014CD" w:rsidP="00D014CD">
            <w:pPr>
              <w:spacing w:beforeLines="40" w:before="96" w:afterLines="40" w:after="96"/>
              <w:jc w:val="center"/>
              <w:rPr>
                <w:i/>
                <w:noProof/>
                <w:sz w:val="18"/>
              </w:rPr>
            </w:pPr>
          </w:p>
        </w:tc>
        <w:tc>
          <w:tcPr>
            <w:tcW w:w="1031" w:type="dxa"/>
          </w:tcPr>
          <w:p w14:paraId="19CB7FF8" w14:textId="77777777" w:rsidR="00D014CD" w:rsidRPr="00F91EC4" w:rsidRDefault="00D014CD" w:rsidP="00D014CD">
            <w:pPr>
              <w:spacing w:beforeLines="40" w:before="96" w:afterLines="40" w:after="96"/>
              <w:jc w:val="center"/>
              <w:rPr>
                <w:noProof/>
                <w:sz w:val="18"/>
              </w:rPr>
            </w:pPr>
          </w:p>
        </w:tc>
        <w:tc>
          <w:tcPr>
            <w:tcW w:w="900" w:type="dxa"/>
          </w:tcPr>
          <w:p w14:paraId="2EF917F3" w14:textId="77777777" w:rsidR="00D014CD" w:rsidRPr="00F91EC4" w:rsidRDefault="00D014CD" w:rsidP="00D014CD">
            <w:pPr>
              <w:spacing w:beforeLines="40" w:before="96" w:afterLines="40" w:after="96"/>
              <w:jc w:val="center"/>
              <w:rPr>
                <w:noProof/>
                <w:sz w:val="18"/>
              </w:rPr>
            </w:pPr>
          </w:p>
        </w:tc>
        <w:tc>
          <w:tcPr>
            <w:tcW w:w="900" w:type="dxa"/>
          </w:tcPr>
          <w:p w14:paraId="25188A5D" w14:textId="77777777" w:rsidR="00D014CD" w:rsidRPr="00F91EC4" w:rsidRDefault="00D014CD" w:rsidP="00D014CD">
            <w:pPr>
              <w:spacing w:beforeLines="40" w:before="96" w:afterLines="40" w:after="96"/>
              <w:jc w:val="center"/>
              <w:rPr>
                <w:noProof/>
                <w:sz w:val="18"/>
              </w:rPr>
            </w:pPr>
          </w:p>
        </w:tc>
        <w:tc>
          <w:tcPr>
            <w:tcW w:w="1080" w:type="dxa"/>
          </w:tcPr>
          <w:p w14:paraId="3980D765" w14:textId="77777777" w:rsidR="00D014CD" w:rsidRPr="00F91EC4" w:rsidRDefault="00D014CD" w:rsidP="00D014CD">
            <w:pPr>
              <w:spacing w:beforeLines="40" w:before="96" w:afterLines="40" w:after="96"/>
              <w:jc w:val="center"/>
              <w:rPr>
                <w:noProof/>
                <w:sz w:val="18"/>
              </w:rPr>
            </w:pPr>
          </w:p>
        </w:tc>
        <w:tc>
          <w:tcPr>
            <w:tcW w:w="1080" w:type="dxa"/>
          </w:tcPr>
          <w:p w14:paraId="1ED40DB8" w14:textId="77777777" w:rsidR="00D014CD" w:rsidRPr="00F91EC4" w:rsidRDefault="00D014CD" w:rsidP="00D014CD">
            <w:pPr>
              <w:spacing w:beforeLines="40" w:before="96" w:afterLines="40" w:after="96"/>
              <w:jc w:val="center"/>
              <w:rPr>
                <w:noProof/>
                <w:sz w:val="18"/>
              </w:rPr>
            </w:pPr>
          </w:p>
        </w:tc>
        <w:tc>
          <w:tcPr>
            <w:tcW w:w="1080" w:type="dxa"/>
          </w:tcPr>
          <w:p w14:paraId="481EFF05" w14:textId="77777777" w:rsidR="00D014CD" w:rsidRPr="00F91EC4" w:rsidRDefault="00D014CD" w:rsidP="00D014CD">
            <w:pPr>
              <w:spacing w:beforeLines="40" w:before="96" w:afterLines="40" w:after="96"/>
              <w:jc w:val="center"/>
              <w:rPr>
                <w:noProof/>
                <w:sz w:val="18"/>
              </w:rPr>
            </w:pPr>
          </w:p>
        </w:tc>
        <w:tc>
          <w:tcPr>
            <w:tcW w:w="1080" w:type="dxa"/>
          </w:tcPr>
          <w:p w14:paraId="682A3EFA" w14:textId="77777777" w:rsidR="00D014CD" w:rsidRPr="00F91EC4" w:rsidRDefault="00D014CD" w:rsidP="00D014CD">
            <w:pPr>
              <w:spacing w:beforeLines="40" w:before="96" w:afterLines="40" w:after="96"/>
              <w:jc w:val="center"/>
              <w:rPr>
                <w:noProof/>
                <w:sz w:val="18"/>
              </w:rPr>
            </w:pPr>
          </w:p>
        </w:tc>
      </w:tr>
    </w:tbl>
    <w:p w14:paraId="31A50764" w14:textId="77777777" w:rsidR="00D014CD" w:rsidRPr="00F91EC4" w:rsidRDefault="00D014CD" w:rsidP="00D014CD">
      <w:pPr>
        <w:pStyle w:val="Text1"/>
        <w:ind w:left="0"/>
        <w:rPr>
          <w:noProof/>
        </w:rPr>
      </w:pPr>
      <w:r w:rsidRPr="00F91EC4" w:rsidDel="00E93142">
        <w:rPr>
          <w:noProof/>
          <w:sz w:val="20"/>
        </w:rPr>
        <w:t xml:space="preserve"> </w:t>
      </w:r>
    </w:p>
    <w:p w14:paraId="2319612B" w14:textId="77777777" w:rsidR="00D014CD" w:rsidRPr="00F91EC4" w:rsidRDefault="00D014CD" w:rsidP="00D014CD">
      <w:pPr>
        <w:jc w:val="center"/>
        <w:rPr>
          <w:b/>
          <w:noProof/>
          <w:sz w:val="36"/>
          <w:u w:val="single"/>
        </w:rPr>
        <w:sectPr w:rsidR="00D014CD" w:rsidRPr="00F91EC4" w:rsidSect="00E50DA1">
          <w:headerReference w:type="default" r:id="rId24"/>
          <w:footerReference w:type="default" r:id="rId25"/>
          <w:headerReference w:type="first" r:id="rId26"/>
          <w:footerReference w:type="first" r:id="rId27"/>
          <w:pgSz w:w="12240" w:h="15840" w:code="1"/>
          <w:pgMar w:top="902" w:right="1134" w:bottom="1247" w:left="902" w:header="709" w:footer="709" w:gutter="0"/>
          <w:pgNumType w:start="1"/>
          <w:cols w:space="720"/>
          <w:docGrid w:linePitch="360"/>
        </w:sectPr>
      </w:pPr>
    </w:p>
    <w:p w14:paraId="1FB1804C" w14:textId="77777777" w:rsidR="00D014CD" w:rsidRPr="00F91EC4" w:rsidRDefault="00D014CD" w:rsidP="00D014CD">
      <w:pPr>
        <w:jc w:val="center"/>
        <w:rPr>
          <w:b/>
          <w:bCs/>
          <w:noProof/>
          <w:sz w:val="36"/>
          <w:szCs w:val="36"/>
          <w:u w:val="single"/>
        </w:rPr>
      </w:pPr>
      <w:r w:rsidRPr="00F91EC4">
        <w:rPr>
          <w:b/>
          <w:noProof/>
          <w:sz w:val="36"/>
          <w:u w:val="single"/>
        </w:rPr>
        <w:t>ANNEX</w:t>
      </w:r>
      <w:r w:rsidRPr="00F91EC4">
        <w:rPr>
          <w:noProof/>
        </w:rPr>
        <w:br/>
      </w:r>
      <w:r w:rsidRPr="00F91EC4">
        <w:rPr>
          <w:b/>
          <w:noProof/>
          <w:sz w:val="36"/>
          <w:u w:val="single"/>
        </w:rPr>
        <w:t>to the LEGISLATIVE FINANCIAL STATEMENT</w:t>
      </w:r>
    </w:p>
    <w:p w14:paraId="779396A2" w14:textId="77777777" w:rsidR="00D014CD" w:rsidRPr="00F91EC4" w:rsidRDefault="00D014CD" w:rsidP="00D014CD">
      <w:pPr>
        <w:jc w:val="center"/>
        <w:rPr>
          <w:noProof/>
        </w:rPr>
      </w:pPr>
    </w:p>
    <w:p w14:paraId="7406B970" w14:textId="77777777" w:rsidR="00D014CD" w:rsidRPr="00F91EC4" w:rsidRDefault="00D014CD" w:rsidP="00D014CD">
      <w:pPr>
        <w:outlineLvl w:val="0"/>
        <w:rPr>
          <w:b/>
          <w:bCs/>
          <w:noProof/>
        </w:rPr>
      </w:pPr>
    </w:p>
    <w:p w14:paraId="4104EFCE" w14:textId="77777777" w:rsidR="00D014CD" w:rsidRPr="00F91EC4" w:rsidRDefault="00D014CD" w:rsidP="00D014CD">
      <w:pPr>
        <w:outlineLvl w:val="0"/>
        <w:rPr>
          <w:b/>
          <w:bCs/>
          <w:noProof/>
        </w:rPr>
      </w:pPr>
    </w:p>
    <w:p w14:paraId="75707DE3" w14:textId="77777777" w:rsidR="00D014CD" w:rsidRPr="00F91EC4" w:rsidRDefault="00D014CD" w:rsidP="00D014CD">
      <w:pPr>
        <w:outlineLvl w:val="0"/>
        <w:rPr>
          <w:b/>
          <w:bCs/>
          <w:noProof/>
        </w:rPr>
      </w:pPr>
    </w:p>
    <w:p w14:paraId="779A5550" w14:textId="77777777" w:rsidR="00D014CD" w:rsidRPr="00F91EC4" w:rsidRDefault="00D014CD" w:rsidP="00D014CD">
      <w:pPr>
        <w:spacing w:before="240"/>
        <w:ind w:left="360"/>
        <w:jc w:val="center"/>
        <w:rPr>
          <w:noProof/>
        </w:rPr>
      </w:pPr>
      <w:r w:rsidRPr="00F91EC4">
        <w:rPr>
          <w:noProof/>
        </w:rPr>
        <w:t>Name of the proposal/initiative:</w:t>
      </w:r>
    </w:p>
    <w:p w14:paraId="76C7D4F8" w14:textId="77777777" w:rsidR="00D014CD" w:rsidRPr="00F91EC4" w:rsidRDefault="00D014CD" w:rsidP="00D014CD">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r w:rsidRPr="00F91EC4">
        <w:rPr>
          <w:noProof/>
          <w:color w:val="808080"/>
        </w:rPr>
        <w:t xml:space="preserve">Regulation of the European Parliament and of the Council on </w:t>
      </w:r>
      <w:r w:rsidR="00976BDB" w:rsidRPr="00F91EC4">
        <w:rPr>
          <w:noProof/>
          <w:color w:val="808080"/>
        </w:rPr>
        <w:t>type-approval</w:t>
      </w:r>
      <w:r w:rsidRPr="00F91EC4">
        <w:rPr>
          <w:noProof/>
          <w:color w:val="808080"/>
        </w:rPr>
        <w:t xml:space="preserve"> of motor vehicles and engines with respect to emissions from motor vehicles (Euro 7) and repealing Regulation (EC) No 715/2007 and Regulation (EC) No. 595/2009</w:t>
      </w:r>
    </w:p>
    <w:p w14:paraId="6B42387C" w14:textId="77777777" w:rsidR="00D014CD" w:rsidRPr="00F91EC4" w:rsidRDefault="00D014CD" w:rsidP="00D014CD">
      <w:pPr>
        <w:outlineLvl w:val="0"/>
        <w:rPr>
          <w:b/>
          <w:bCs/>
          <w:noProof/>
        </w:rPr>
      </w:pPr>
    </w:p>
    <w:p w14:paraId="667DD9C4" w14:textId="77777777" w:rsidR="00D014CD" w:rsidRPr="00F91EC4" w:rsidRDefault="00D014CD" w:rsidP="00D014CD">
      <w:pPr>
        <w:outlineLvl w:val="0"/>
        <w:rPr>
          <w:b/>
          <w:bCs/>
          <w:noProof/>
        </w:rPr>
      </w:pPr>
    </w:p>
    <w:p w14:paraId="051823A0" w14:textId="77777777" w:rsidR="00D014CD" w:rsidRPr="00F91EC4" w:rsidRDefault="00D014CD" w:rsidP="00D014CD">
      <w:pPr>
        <w:outlineLvl w:val="0"/>
        <w:rPr>
          <w:b/>
          <w:bCs/>
          <w:noProof/>
        </w:rPr>
      </w:pPr>
    </w:p>
    <w:p w14:paraId="0A1B686D" w14:textId="3277F4DC" w:rsidR="00D014CD" w:rsidRPr="00F91EC4" w:rsidRDefault="00DD0F7B" w:rsidP="00DD0F7B">
      <w:pPr>
        <w:pStyle w:val="ManualNumPar1"/>
        <w:rPr>
          <w:bCs/>
          <w:noProof/>
          <w:szCs w:val="32"/>
        </w:rPr>
      </w:pPr>
      <w:r w:rsidRPr="00DD0F7B">
        <w:rPr>
          <w:noProof/>
        </w:rPr>
        <w:t>3.</w:t>
      </w:r>
      <w:r w:rsidRPr="00DD0F7B">
        <w:rPr>
          <w:noProof/>
        </w:rPr>
        <w:tab/>
      </w:r>
      <w:r w:rsidR="00D014CD" w:rsidRPr="00F91EC4">
        <w:rPr>
          <w:noProof/>
        </w:rPr>
        <w:t>NUMBER and COST of HUMAN RESOURCES CONSIDERED NECESSARY</w:t>
      </w:r>
    </w:p>
    <w:p w14:paraId="5881D305" w14:textId="7AE15B49" w:rsidR="00D014CD" w:rsidRPr="00F91EC4" w:rsidRDefault="00DD0F7B" w:rsidP="00DD0F7B">
      <w:pPr>
        <w:pStyle w:val="ManualNumPar1"/>
        <w:rPr>
          <w:bCs/>
          <w:noProof/>
          <w:szCs w:val="32"/>
        </w:rPr>
      </w:pPr>
      <w:r w:rsidRPr="00DD0F7B">
        <w:rPr>
          <w:noProof/>
        </w:rPr>
        <w:t>4.</w:t>
      </w:r>
      <w:r w:rsidRPr="00DD0F7B">
        <w:rPr>
          <w:noProof/>
        </w:rPr>
        <w:tab/>
      </w:r>
      <w:r w:rsidR="00D014CD" w:rsidRPr="00F91EC4">
        <w:rPr>
          <w:noProof/>
        </w:rPr>
        <w:t>COST of OTHER ADMINISTRATIVE EXPENDITURE</w:t>
      </w:r>
    </w:p>
    <w:p w14:paraId="07895437" w14:textId="474D4874" w:rsidR="00D014CD" w:rsidRPr="00F91EC4" w:rsidRDefault="00DD0F7B" w:rsidP="00DD0F7B">
      <w:pPr>
        <w:pStyle w:val="ManualNumPar1"/>
        <w:rPr>
          <w:noProof/>
        </w:rPr>
      </w:pPr>
      <w:r w:rsidRPr="00DD0F7B">
        <w:rPr>
          <w:noProof/>
        </w:rPr>
        <w:t>5.</w:t>
      </w:r>
      <w:r w:rsidRPr="00DD0F7B">
        <w:rPr>
          <w:noProof/>
        </w:rPr>
        <w:tab/>
      </w:r>
      <w:r w:rsidR="00D014CD" w:rsidRPr="00F91EC4">
        <w:rPr>
          <w:noProof/>
        </w:rPr>
        <w:t>TOTAL ADMINISTRATIVE COSTS</w:t>
      </w:r>
    </w:p>
    <w:p w14:paraId="3A707CF3" w14:textId="21FECEB9" w:rsidR="00D014CD" w:rsidRPr="00F91EC4" w:rsidRDefault="00DD0F7B" w:rsidP="00DD0F7B">
      <w:pPr>
        <w:pStyle w:val="ManualNumPar1"/>
        <w:rPr>
          <w:bCs/>
          <w:noProof/>
          <w:szCs w:val="32"/>
        </w:rPr>
      </w:pPr>
      <w:r w:rsidRPr="00DD0F7B">
        <w:rPr>
          <w:noProof/>
        </w:rPr>
        <w:t>6.</w:t>
      </w:r>
      <w:r w:rsidRPr="00DD0F7B">
        <w:rPr>
          <w:noProof/>
        </w:rPr>
        <w:tab/>
      </w:r>
      <w:r w:rsidR="00D014CD" w:rsidRPr="00F91EC4">
        <w:rPr>
          <w:noProof/>
        </w:rPr>
        <w:t>METHODS of CALCULATION USED for ESTIMATING COSTS</w:t>
      </w:r>
    </w:p>
    <w:p w14:paraId="08764E3F" w14:textId="3F2FA5F7" w:rsidR="00D014CD" w:rsidRPr="00F91EC4" w:rsidRDefault="00DD0F7B" w:rsidP="00DD0F7B">
      <w:pPr>
        <w:pStyle w:val="ManualNumPar2"/>
        <w:rPr>
          <w:bCs/>
          <w:noProof/>
          <w:szCs w:val="32"/>
        </w:rPr>
      </w:pPr>
      <w:r w:rsidRPr="00DD0F7B">
        <w:rPr>
          <w:noProof/>
        </w:rPr>
        <w:t>6.1.</w:t>
      </w:r>
      <w:r w:rsidRPr="00DD0F7B">
        <w:rPr>
          <w:noProof/>
        </w:rPr>
        <w:tab/>
      </w:r>
      <w:r w:rsidR="00D014CD" w:rsidRPr="00F91EC4">
        <w:rPr>
          <w:noProof/>
        </w:rPr>
        <w:t>Human resources</w:t>
      </w:r>
    </w:p>
    <w:p w14:paraId="3DA483CE" w14:textId="26D4723F" w:rsidR="00D014CD" w:rsidRPr="00F91EC4" w:rsidRDefault="00DD0F7B" w:rsidP="00DD0F7B">
      <w:pPr>
        <w:pStyle w:val="ManualNumPar2"/>
        <w:rPr>
          <w:bCs/>
          <w:noProof/>
          <w:szCs w:val="32"/>
        </w:rPr>
      </w:pPr>
      <w:r w:rsidRPr="00DD0F7B">
        <w:rPr>
          <w:noProof/>
        </w:rPr>
        <w:t>6.2.</w:t>
      </w:r>
      <w:r w:rsidRPr="00DD0F7B">
        <w:rPr>
          <w:noProof/>
        </w:rPr>
        <w:tab/>
      </w:r>
      <w:r w:rsidR="00D014CD" w:rsidRPr="00F91EC4">
        <w:rPr>
          <w:noProof/>
        </w:rPr>
        <w:t>Other administrative expenditure</w:t>
      </w:r>
    </w:p>
    <w:p w14:paraId="6B614329" w14:textId="77777777" w:rsidR="00D014CD" w:rsidRPr="00F91EC4" w:rsidRDefault="00D014CD" w:rsidP="00D014CD">
      <w:pPr>
        <w:spacing w:before="240" w:after="240"/>
        <w:rPr>
          <w:bCs/>
          <w:noProof/>
          <w:sz w:val="32"/>
          <w:szCs w:val="32"/>
        </w:rPr>
      </w:pPr>
    </w:p>
    <w:p w14:paraId="0D5A671F" w14:textId="77777777" w:rsidR="00D014CD" w:rsidRPr="00F91EC4" w:rsidRDefault="00D014CD" w:rsidP="00D014CD">
      <w:pPr>
        <w:spacing w:after="80"/>
        <w:rPr>
          <w:b/>
          <w:bCs/>
          <w:noProof/>
        </w:rPr>
      </w:pPr>
    </w:p>
    <w:p w14:paraId="6032C10A" w14:textId="77777777" w:rsidR="00D014CD" w:rsidRPr="00F91EC4" w:rsidRDefault="00D014CD" w:rsidP="00D014CD">
      <w:pPr>
        <w:rPr>
          <w:noProof/>
        </w:rPr>
        <w:sectPr w:rsidR="00D014CD" w:rsidRPr="00F91EC4" w:rsidSect="00E50DA1">
          <w:pgSz w:w="12240" w:h="15840" w:code="1"/>
          <w:pgMar w:top="902" w:right="1134" w:bottom="1247" w:left="902" w:header="709" w:footer="709" w:gutter="0"/>
          <w:pgNumType w:start="1"/>
          <w:cols w:space="720"/>
          <w:docGrid w:linePitch="360"/>
        </w:sectPr>
      </w:pPr>
    </w:p>
    <w:p w14:paraId="16247FFE" w14:textId="77777777" w:rsidR="00D014CD" w:rsidRPr="00F91EC4" w:rsidRDefault="00D014CD" w:rsidP="00D014CD">
      <w:pPr>
        <w:rPr>
          <w:noProof/>
          <w:sz w:val="16"/>
          <w:szCs w:val="16"/>
        </w:rPr>
      </w:pPr>
    </w:p>
    <w:p w14:paraId="114EE135" w14:textId="2993D162" w:rsidR="00D014CD" w:rsidRPr="00F91EC4" w:rsidRDefault="00DD0F7B" w:rsidP="00DD0F7B">
      <w:pPr>
        <w:pStyle w:val="ManualNumPar1"/>
        <w:rPr>
          <w:noProof/>
          <w:szCs w:val="28"/>
        </w:rPr>
      </w:pPr>
      <w:r w:rsidRPr="00DD0F7B">
        <w:rPr>
          <w:noProof/>
        </w:rPr>
        <w:t>7.</w:t>
      </w:r>
      <w:r w:rsidRPr="00DD0F7B">
        <w:rPr>
          <w:noProof/>
        </w:rPr>
        <w:tab/>
      </w:r>
      <w:r w:rsidR="00D014CD" w:rsidRPr="00F91EC4">
        <w:rPr>
          <w:noProof/>
        </w:rPr>
        <w:t>Cost of human</w:t>
      </w:r>
      <w:r w:rsidR="00752AF8" w:rsidRPr="00F91EC4">
        <w:rPr>
          <w:noProof/>
        </w:rPr>
        <w:t xml:space="preserve"> resources considered necessary for DG GROW and DG CLIMA</w:t>
      </w:r>
    </w:p>
    <w:p w14:paraId="1A226EFF" w14:textId="77777777" w:rsidR="00D014CD" w:rsidRPr="00F91EC4" w:rsidRDefault="00D014CD" w:rsidP="00D014CD">
      <w:pPr>
        <w:pStyle w:val="Point1"/>
        <w:spacing w:after="0"/>
        <w:ind w:left="2263" w:hanging="284"/>
        <w:rPr>
          <w:noProof/>
        </w:rPr>
      </w:pPr>
      <w:r w:rsidRPr="00F91EC4">
        <w:rPr>
          <w:rFonts w:ascii="Wingdings" w:eastAsia="Wingdings" w:hAnsi="Wingdings" w:cs="Wingdings"/>
          <w:noProof/>
        </w:rPr>
        <w:t></w:t>
      </w:r>
      <w:r w:rsidRPr="00F91EC4">
        <w:rPr>
          <w:noProof/>
        </w:rPr>
        <w:tab/>
      </w:r>
      <w:r w:rsidRPr="00F91EC4">
        <w:rPr>
          <w:noProof/>
          <w:sz w:val="22"/>
        </w:rPr>
        <w:t>The proposal/initiative does not require the use of human resources</w:t>
      </w:r>
    </w:p>
    <w:p w14:paraId="3608DDB7" w14:textId="77777777" w:rsidR="00D014CD" w:rsidRPr="00F91EC4" w:rsidRDefault="00D014CD" w:rsidP="00D014CD">
      <w:pPr>
        <w:pStyle w:val="Text1"/>
        <w:spacing w:before="60" w:after="0"/>
        <w:ind w:left="2263" w:hanging="284"/>
        <w:rPr>
          <w:noProof/>
        </w:rPr>
      </w:pPr>
      <w:r w:rsidRPr="00F91EC4">
        <w:rPr>
          <w:rFonts w:ascii="Wingdings" w:eastAsia="Wingdings" w:hAnsi="Wingdings" w:cs="Wingdings"/>
          <w:noProof/>
        </w:rPr>
        <w:t></w:t>
      </w:r>
      <w:r w:rsidRPr="00F91EC4">
        <w:rPr>
          <w:noProof/>
        </w:rPr>
        <w:tab/>
      </w:r>
      <w:r w:rsidRPr="00F91EC4">
        <w:rPr>
          <w:noProof/>
          <w:sz w:val="22"/>
        </w:rPr>
        <w:t>The proposal/initiative requires the use of human resources, as explained below:</w:t>
      </w:r>
    </w:p>
    <w:p w14:paraId="0D2E8E59" w14:textId="77777777" w:rsidR="00D014CD" w:rsidRPr="00F91EC4" w:rsidRDefault="00D014CD" w:rsidP="00D014CD">
      <w:pPr>
        <w:jc w:val="right"/>
        <w:rPr>
          <w:iCs/>
          <w:noProof/>
          <w:sz w:val="20"/>
          <w:szCs w:val="20"/>
        </w:rPr>
      </w:pPr>
      <w:r w:rsidRPr="00F91EC4">
        <w:rPr>
          <w:noProof/>
          <w:sz w:val="20"/>
          <w:szCs w:val="20"/>
        </w:rPr>
        <w:t>EUR million (to three decimal places)</w:t>
      </w:r>
    </w:p>
    <w:tbl>
      <w:tblPr>
        <w:tblW w:w="15000" w:type="dxa"/>
        <w:jc w:val="center"/>
        <w:tblLook w:val="04A0" w:firstRow="1" w:lastRow="0" w:firstColumn="1" w:lastColumn="0" w:noHBand="0" w:noVBand="1"/>
      </w:tblPr>
      <w:tblGrid>
        <w:gridCol w:w="1669"/>
        <w:gridCol w:w="670"/>
        <w:gridCol w:w="617"/>
        <w:gridCol w:w="1063"/>
        <w:gridCol w:w="569"/>
        <w:gridCol w:w="1063"/>
        <w:gridCol w:w="482"/>
        <w:gridCol w:w="1083"/>
        <w:gridCol w:w="522"/>
        <w:gridCol w:w="1063"/>
        <w:gridCol w:w="490"/>
        <w:gridCol w:w="1063"/>
        <w:gridCol w:w="490"/>
        <w:gridCol w:w="1063"/>
        <w:gridCol w:w="490"/>
        <w:gridCol w:w="1063"/>
        <w:gridCol w:w="477"/>
        <w:gridCol w:w="1063"/>
      </w:tblGrid>
      <w:tr w:rsidR="00752AF8" w:rsidRPr="00F91EC4" w14:paraId="59B6CC00" w14:textId="77777777" w:rsidTr="00447471">
        <w:trPr>
          <w:trHeight w:val="330"/>
          <w:jc w:val="center"/>
        </w:trPr>
        <w:tc>
          <w:tcPr>
            <w:tcW w:w="2352" w:type="dxa"/>
            <w:gridSpan w:val="2"/>
            <w:vMerge w:val="restart"/>
            <w:tcBorders>
              <w:top w:val="single" w:sz="4" w:space="0" w:color="auto"/>
              <w:left w:val="single" w:sz="4" w:space="0" w:color="auto"/>
              <w:right w:val="single" w:sz="4" w:space="0" w:color="auto"/>
            </w:tcBorders>
            <w:shd w:val="pct50" w:color="C0C0C0" w:fill="E2E2E2"/>
            <w:vAlign w:val="center"/>
            <w:hideMark/>
          </w:tcPr>
          <w:p w14:paraId="4E17B024"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HEADING 7</w:t>
            </w:r>
          </w:p>
          <w:p w14:paraId="7DCD3DAD"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noProof/>
                <w:color w:val="000000"/>
                <w:sz w:val="22"/>
              </w:rPr>
              <w:t>of the multiannual financial framework</w:t>
            </w:r>
          </w:p>
        </w:tc>
        <w:tc>
          <w:tcPr>
            <w:tcW w:w="1681" w:type="dxa"/>
            <w:gridSpan w:val="2"/>
            <w:tcBorders>
              <w:top w:val="single" w:sz="4" w:space="0" w:color="auto"/>
              <w:left w:val="nil"/>
              <w:bottom w:val="single" w:sz="4" w:space="0" w:color="auto"/>
              <w:right w:val="single" w:sz="4" w:space="0" w:color="auto"/>
            </w:tcBorders>
            <w:shd w:val="pct12" w:color="CCFFFF" w:fill="FCFFFF"/>
            <w:vAlign w:val="center"/>
            <w:hideMark/>
          </w:tcPr>
          <w:p w14:paraId="45C40591"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2022</w:t>
            </w:r>
          </w:p>
        </w:tc>
        <w:tc>
          <w:tcPr>
            <w:tcW w:w="1635" w:type="dxa"/>
            <w:gridSpan w:val="2"/>
            <w:tcBorders>
              <w:top w:val="single" w:sz="4" w:space="0" w:color="auto"/>
              <w:left w:val="nil"/>
              <w:bottom w:val="single" w:sz="4" w:space="0" w:color="auto"/>
              <w:right w:val="single" w:sz="4" w:space="0" w:color="auto"/>
            </w:tcBorders>
            <w:shd w:val="pct12" w:color="CCFFFF" w:fill="FCFFFF"/>
            <w:vAlign w:val="center"/>
            <w:hideMark/>
          </w:tcPr>
          <w:p w14:paraId="0C165EED"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2023</w:t>
            </w:r>
          </w:p>
        </w:tc>
        <w:tc>
          <w:tcPr>
            <w:tcW w:w="1565" w:type="dxa"/>
            <w:gridSpan w:val="2"/>
            <w:tcBorders>
              <w:top w:val="single" w:sz="4" w:space="0" w:color="auto"/>
              <w:left w:val="nil"/>
              <w:bottom w:val="single" w:sz="4" w:space="0" w:color="auto"/>
              <w:right w:val="single" w:sz="4" w:space="0" w:color="auto"/>
            </w:tcBorders>
            <w:shd w:val="pct12" w:color="CCFFFF" w:fill="FCFFFF"/>
            <w:vAlign w:val="center"/>
            <w:hideMark/>
          </w:tcPr>
          <w:p w14:paraId="51445601"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2024</w:t>
            </w:r>
          </w:p>
        </w:tc>
        <w:tc>
          <w:tcPr>
            <w:tcW w:w="1586" w:type="dxa"/>
            <w:gridSpan w:val="2"/>
            <w:tcBorders>
              <w:top w:val="single" w:sz="4" w:space="0" w:color="auto"/>
              <w:left w:val="nil"/>
              <w:bottom w:val="single" w:sz="4" w:space="0" w:color="auto"/>
              <w:right w:val="single" w:sz="4" w:space="0" w:color="auto"/>
            </w:tcBorders>
            <w:shd w:val="pct12" w:color="CCFFFF" w:fill="FCFFFF"/>
            <w:vAlign w:val="center"/>
            <w:hideMark/>
          </w:tcPr>
          <w:p w14:paraId="45A44F23"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2025</w:t>
            </w:r>
          </w:p>
        </w:tc>
        <w:tc>
          <w:tcPr>
            <w:tcW w:w="1551" w:type="dxa"/>
            <w:gridSpan w:val="2"/>
            <w:tcBorders>
              <w:top w:val="single" w:sz="4" w:space="0" w:color="auto"/>
              <w:left w:val="nil"/>
              <w:bottom w:val="single" w:sz="4" w:space="0" w:color="auto"/>
              <w:right w:val="single" w:sz="4" w:space="0" w:color="auto"/>
            </w:tcBorders>
            <w:shd w:val="pct12" w:color="CCFFFF" w:fill="FCFFFF"/>
            <w:vAlign w:val="center"/>
            <w:hideMark/>
          </w:tcPr>
          <w:p w14:paraId="4B7CC556"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2026</w:t>
            </w:r>
          </w:p>
        </w:tc>
        <w:tc>
          <w:tcPr>
            <w:tcW w:w="1545" w:type="dxa"/>
            <w:gridSpan w:val="2"/>
            <w:tcBorders>
              <w:top w:val="single" w:sz="4" w:space="0" w:color="auto"/>
              <w:left w:val="nil"/>
              <w:bottom w:val="single" w:sz="4" w:space="0" w:color="auto"/>
              <w:right w:val="single" w:sz="4" w:space="0" w:color="auto"/>
            </w:tcBorders>
            <w:shd w:val="pct12" w:color="CCFFFF" w:fill="FCFFFF"/>
            <w:vAlign w:val="center"/>
            <w:hideMark/>
          </w:tcPr>
          <w:p w14:paraId="0CAB42FF"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2027</w:t>
            </w:r>
          </w:p>
        </w:tc>
        <w:tc>
          <w:tcPr>
            <w:tcW w:w="1545" w:type="dxa"/>
            <w:gridSpan w:val="2"/>
            <w:tcBorders>
              <w:top w:val="single" w:sz="4" w:space="0" w:color="auto"/>
              <w:left w:val="nil"/>
              <w:bottom w:val="single" w:sz="4" w:space="0" w:color="auto"/>
              <w:right w:val="single" w:sz="4" w:space="0" w:color="auto"/>
            </w:tcBorders>
            <w:shd w:val="pct12" w:color="CCFFFF" w:fill="FCFFFF"/>
            <w:vAlign w:val="center"/>
            <w:hideMark/>
          </w:tcPr>
          <w:p w14:paraId="2135E071"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2028</w:t>
            </w:r>
          </w:p>
        </w:tc>
        <w:tc>
          <w:tcPr>
            <w:tcW w:w="1540" w:type="dxa"/>
            <w:gridSpan w:val="2"/>
            <w:tcBorders>
              <w:top w:val="single" w:sz="4" w:space="0" w:color="auto"/>
              <w:left w:val="nil"/>
              <w:bottom w:val="single" w:sz="4" w:space="0" w:color="auto"/>
              <w:right w:val="single" w:sz="4" w:space="0" w:color="auto"/>
            </w:tcBorders>
            <w:shd w:val="pct12" w:color="CCFFFF" w:fill="FCFFFF"/>
            <w:vAlign w:val="center"/>
            <w:hideMark/>
          </w:tcPr>
          <w:p w14:paraId="2AF0248C"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TOTAL</w:t>
            </w:r>
          </w:p>
        </w:tc>
      </w:tr>
      <w:tr w:rsidR="00752AF8" w:rsidRPr="00F91EC4" w14:paraId="4B02F0D3" w14:textId="77777777" w:rsidTr="00447471">
        <w:trPr>
          <w:trHeight w:val="660"/>
          <w:jc w:val="center"/>
        </w:trPr>
        <w:tc>
          <w:tcPr>
            <w:tcW w:w="2352" w:type="dxa"/>
            <w:gridSpan w:val="2"/>
            <w:vMerge/>
            <w:tcBorders>
              <w:left w:val="single" w:sz="4" w:space="0" w:color="auto"/>
              <w:bottom w:val="single" w:sz="4" w:space="0" w:color="auto"/>
              <w:right w:val="single" w:sz="4" w:space="0" w:color="auto"/>
            </w:tcBorders>
            <w:shd w:val="pct50" w:color="C0C0C0" w:fill="E2E2E2"/>
            <w:vAlign w:val="center"/>
            <w:hideMark/>
          </w:tcPr>
          <w:p w14:paraId="54BCFE3B" w14:textId="77777777" w:rsidR="00752AF8" w:rsidRPr="00F91EC4" w:rsidRDefault="00752AF8" w:rsidP="00447471">
            <w:pPr>
              <w:jc w:val="center"/>
              <w:rPr>
                <w:rFonts w:ascii="Arial Narrow" w:hAnsi="Arial Narrow"/>
                <w:noProof/>
                <w:color w:val="000000"/>
                <w:sz w:val="22"/>
              </w:rPr>
            </w:pPr>
          </w:p>
        </w:tc>
        <w:tc>
          <w:tcPr>
            <w:tcW w:w="618" w:type="dxa"/>
            <w:tcBorders>
              <w:top w:val="nil"/>
              <w:left w:val="nil"/>
              <w:bottom w:val="single" w:sz="4" w:space="0" w:color="auto"/>
              <w:right w:val="single" w:sz="4" w:space="0" w:color="auto"/>
            </w:tcBorders>
            <w:shd w:val="pct12" w:color="CCFFFF" w:fill="FCFFFF"/>
            <w:vAlign w:val="center"/>
            <w:hideMark/>
          </w:tcPr>
          <w:p w14:paraId="7171FC4A"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3CE8A170"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572" w:type="dxa"/>
            <w:tcBorders>
              <w:top w:val="nil"/>
              <w:left w:val="nil"/>
              <w:bottom w:val="single" w:sz="4" w:space="0" w:color="auto"/>
              <w:right w:val="single" w:sz="4" w:space="0" w:color="auto"/>
            </w:tcBorders>
            <w:shd w:val="pct12" w:color="CCFFFF" w:fill="FCFFFF"/>
            <w:vAlign w:val="center"/>
            <w:hideMark/>
          </w:tcPr>
          <w:p w14:paraId="43861796"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0A439D6D"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82" w:type="dxa"/>
            <w:tcBorders>
              <w:top w:val="nil"/>
              <w:left w:val="nil"/>
              <w:bottom w:val="single" w:sz="4" w:space="0" w:color="auto"/>
              <w:right w:val="single" w:sz="4" w:space="0" w:color="auto"/>
            </w:tcBorders>
            <w:shd w:val="pct12" w:color="CCFFFF" w:fill="FCFFFF"/>
            <w:vAlign w:val="center"/>
            <w:hideMark/>
          </w:tcPr>
          <w:p w14:paraId="5EFB2075"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83" w:type="dxa"/>
            <w:tcBorders>
              <w:top w:val="nil"/>
              <w:left w:val="nil"/>
              <w:bottom w:val="single" w:sz="4" w:space="0" w:color="auto"/>
              <w:right w:val="single" w:sz="4" w:space="0" w:color="auto"/>
            </w:tcBorders>
            <w:shd w:val="pct12" w:color="CCFFFF" w:fill="FCFFFF"/>
            <w:vAlign w:val="center"/>
            <w:hideMark/>
          </w:tcPr>
          <w:p w14:paraId="63191BBE"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523" w:type="dxa"/>
            <w:tcBorders>
              <w:top w:val="nil"/>
              <w:left w:val="nil"/>
              <w:bottom w:val="single" w:sz="4" w:space="0" w:color="auto"/>
              <w:right w:val="single" w:sz="4" w:space="0" w:color="auto"/>
            </w:tcBorders>
            <w:shd w:val="pct12" w:color="CCFFFF" w:fill="FCFFFF"/>
            <w:vAlign w:val="center"/>
            <w:hideMark/>
          </w:tcPr>
          <w:p w14:paraId="554A2FCC"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1A1894E8"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88" w:type="dxa"/>
            <w:tcBorders>
              <w:top w:val="nil"/>
              <w:left w:val="nil"/>
              <w:bottom w:val="single" w:sz="4" w:space="0" w:color="auto"/>
              <w:right w:val="single" w:sz="4" w:space="0" w:color="auto"/>
            </w:tcBorders>
            <w:shd w:val="pct12" w:color="CCFFFF" w:fill="FCFFFF"/>
            <w:vAlign w:val="center"/>
            <w:hideMark/>
          </w:tcPr>
          <w:p w14:paraId="3C153C0F"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15ADD2A2"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82" w:type="dxa"/>
            <w:tcBorders>
              <w:top w:val="nil"/>
              <w:left w:val="nil"/>
              <w:bottom w:val="single" w:sz="4" w:space="0" w:color="auto"/>
              <w:right w:val="single" w:sz="4" w:space="0" w:color="auto"/>
            </w:tcBorders>
            <w:shd w:val="pct12" w:color="CCFFFF" w:fill="FCFFFF"/>
            <w:vAlign w:val="center"/>
            <w:hideMark/>
          </w:tcPr>
          <w:p w14:paraId="487659C2"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7F5E3732"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82" w:type="dxa"/>
            <w:tcBorders>
              <w:top w:val="nil"/>
              <w:left w:val="nil"/>
              <w:bottom w:val="single" w:sz="4" w:space="0" w:color="auto"/>
              <w:right w:val="single" w:sz="4" w:space="0" w:color="auto"/>
            </w:tcBorders>
            <w:shd w:val="pct12" w:color="CCFFFF" w:fill="FCFFFF"/>
            <w:vAlign w:val="center"/>
            <w:hideMark/>
          </w:tcPr>
          <w:p w14:paraId="5C78838E"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165BCB4F"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77" w:type="dxa"/>
            <w:tcBorders>
              <w:top w:val="nil"/>
              <w:left w:val="nil"/>
              <w:bottom w:val="single" w:sz="4" w:space="0" w:color="auto"/>
              <w:right w:val="single" w:sz="4" w:space="0" w:color="auto"/>
            </w:tcBorders>
            <w:shd w:val="pct12" w:color="CCFFFF" w:fill="FCFFFF"/>
            <w:vAlign w:val="center"/>
            <w:hideMark/>
          </w:tcPr>
          <w:p w14:paraId="5A935EAE"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62A40FE7" w14:textId="77777777" w:rsidR="00752AF8" w:rsidRPr="00F91EC4" w:rsidRDefault="00752AF8" w:rsidP="00447471">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r>
      <w:tr w:rsidR="00752AF8" w:rsidRPr="00F91EC4" w14:paraId="37759A57" w14:textId="77777777" w:rsidTr="00447471">
        <w:trPr>
          <w:trHeight w:val="33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14:paraId="4ADDBBAC" w14:textId="77777777" w:rsidR="00752AF8" w:rsidRPr="00F91EC4" w:rsidRDefault="00752AF8" w:rsidP="00447471">
            <w:pPr>
              <w:rPr>
                <w:rFonts w:ascii="Arial Narrow" w:hAnsi="Arial Narrow"/>
                <w:noProof/>
                <w:color w:val="000000"/>
                <w:sz w:val="20"/>
                <w:szCs w:val="20"/>
              </w:rPr>
            </w:pPr>
            <w:r w:rsidRPr="00F91EC4">
              <w:rPr>
                <w:rFonts w:ascii="Wingdings" w:eastAsia="Wingdings" w:hAnsi="Wingdings" w:cs="Wingdings"/>
                <w:b/>
                <w:noProof/>
                <w:color w:val="008000"/>
                <w:sz w:val="20"/>
              </w:rPr>
              <w:t>□</w:t>
            </w:r>
            <w:r w:rsidRPr="00F91EC4">
              <w:rPr>
                <w:rFonts w:ascii="Arial Narrow" w:hAnsi="Arial Narrow"/>
                <w:b/>
                <w:noProof/>
                <w:color w:val="008000"/>
                <w:sz w:val="20"/>
              </w:rPr>
              <w:t xml:space="preserve"> </w:t>
            </w:r>
            <w:r w:rsidRPr="00F91EC4">
              <w:rPr>
                <w:rFonts w:ascii="Arial Narrow" w:hAnsi="Arial Narrow"/>
                <w:b/>
                <w:noProof/>
                <w:color w:val="008000"/>
                <w:sz w:val="22"/>
              </w:rPr>
              <w:t>Establishment plan posts (officials and temporary staff)</w:t>
            </w:r>
          </w:p>
        </w:tc>
      </w:tr>
      <w:tr w:rsidR="00752AF8" w:rsidRPr="00F91EC4" w14:paraId="16B9E282"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35AEC1D0"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01 02 01 - Headquarters and Representation offices</w:t>
            </w:r>
          </w:p>
        </w:tc>
        <w:tc>
          <w:tcPr>
            <w:tcW w:w="674" w:type="dxa"/>
            <w:tcBorders>
              <w:top w:val="nil"/>
              <w:left w:val="nil"/>
              <w:bottom w:val="single" w:sz="4" w:space="0" w:color="auto"/>
              <w:right w:val="single" w:sz="4" w:space="0" w:color="auto"/>
            </w:tcBorders>
            <w:shd w:val="pct12" w:color="CCFFFF" w:fill="FCFFFF"/>
            <w:vAlign w:val="center"/>
            <w:hideMark/>
          </w:tcPr>
          <w:p w14:paraId="0C4E29F9"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AD</w:t>
            </w:r>
          </w:p>
        </w:tc>
        <w:tc>
          <w:tcPr>
            <w:tcW w:w="618" w:type="dxa"/>
            <w:tcBorders>
              <w:top w:val="nil"/>
              <w:left w:val="nil"/>
              <w:bottom w:val="single" w:sz="4" w:space="0" w:color="auto"/>
              <w:right w:val="single" w:sz="4" w:space="0" w:color="auto"/>
            </w:tcBorders>
            <w:shd w:val="pct12" w:color="CCFFFF" w:fill="FCFFFF"/>
            <w:vAlign w:val="center"/>
            <w:hideMark/>
          </w:tcPr>
          <w:p w14:paraId="2DACEE0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10.5</w:t>
            </w:r>
          </w:p>
        </w:tc>
        <w:tc>
          <w:tcPr>
            <w:tcW w:w="1063" w:type="dxa"/>
            <w:tcBorders>
              <w:top w:val="nil"/>
              <w:left w:val="nil"/>
              <w:bottom w:val="single" w:sz="4" w:space="0" w:color="auto"/>
              <w:right w:val="single" w:sz="4" w:space="0" w:color="auto"/>
            </w:tcBorders>
            <w:shd w:val="pct12" w:color="CCFFFF" w:fill="FCFFFF"/>
            <w:vAlign w:val="center"/>
            <w:hideMark/>
          </w:tcPr>
          <w:p w14:paraId="5E3461B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1.649</w:t>
            </w:r>
          </w:p>
        </w:tc>
        <w:tc>
          <w:tcPr>
            <w:tcW w:w="572" w:type="dxa"/>
            <w:tcBorders>
              <w:top w:val="nil"/>
              <w:left w:val="nil"/>
              <w:bottom w:val="single" w:sz="4" w:space="0" w:color="auto"/>
              <w:right w:val="single" w:sz="4" w:space="0" w:color="auto"/>
            </w:tcBorders>
            <w:shd w:val="pct12" w:color="CCFFFF" w:fill="FCFFFF"/>
            <w:vAlign w:val="center"/>
            <w:hideMark/>
          </w:tcPr>
          <w:p w14:paraId="1A95041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12</w:t>
            </w:r>
          </w:p>
        </w:tc>
        <w:tc>
          <w:tcPr>
            <w:tcW w:w="1063" w:type="dxa"/>
            <w:tcBorders>
              <w:top w:val="nil"/>
              <w:left w:val="nil"/>
              <w:bottom w:val="single" w:sz="4" w:space="0" w:color="auto"/>
              <w:right w:val="single" w:sz="4" w:space="0" w:color="auto"/>
            </w:tcBorders>
            <w:shd w:val="pct12" w:color="CCFFFF" w:fill="FCFFFF"/>
            <w:vAlign w:val="center"/>
            <w:hideMark/>
          </w:tcPr>
          <w:p w14:paraId="61CACE0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1.884</w:t>
            </w:r>
          </w:p>
        </w:tc>
        <w:tc>
          <w:tcPr>
            <w:tcW w:w="482" w:type="dxa"/>
            <w:tcBorders>
              <w:top w:val="nil"/>
              <w:left w:val="nil"/>
              <w:bottom w:val="single" w:sz="4" w:space="0" w:color="auto"/>
              <w:right w:val="single" w:sz="4" w:space="0" w:color="auto"/>
            </w:tcBorders>
            <w:shd w:val="pct12" w:color="CCFFFF" w:fill="FCFFFF"/>
            <w:vAlign w:val="center"/>
            <w:hideMark/>
          </w:tcPr>
          <w:p w14:paraId="3C4FD7E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11</w:t>
            </w:r>
          </w:p>
        </w:tc>
        <w:tc>
          <w:tcPr>
            <w:tcW w:w="1083" w:type="dxa"/>
            <w:tcBorders>
              <w:top w:val="nil"/>
              <w:left w:val="nil"/>
              <w:bottom w:val="single" w:sz="4" w:space="0" w:color="auto"/>
              <w:right w:val="single" w:sz="4" w:space="0" w:color="auto"/>
            </w:tcBorders>
            <w:shd w:val="pct12" w:color="CCFFFF" w:fill="FCFFFF"/>
            <w:vAlign w:val="center"/>
            <w:hideMark/>
          </w:tcPr>
          <w:p w14:paraId="5E1AE3E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523" w:type="dxa"/>
            <w:tcBorders>
              <w:top w:val="nil"/>
              <w:left w:val="nil"/>
              <w:bottom w:val="single" w:sz="4" w:space="0" w:color="auto"/>
              <w:right w:val="single" w:sz="4" w:space="0" w:color="auto"/>
            </w:tcBorders>
            <w:shd w:val="pct12" w:color="CCFFFF" w:fill="FCFFFF"/>
            <w:vAlign w:val="center"/>
            <w:hideMark/>
          </w:tcPr>
          <w:p w14:paraId="48A6021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11c</w:t>
            </w:r>
          </w:p>
        </w:tc>
        <w:tc>
          <w:tcPr>
            <w:tcW w:w="1063" w:type="dxa"/>
            <w:tcBorders>
              <w:top w:val="nil"/>
              <w:left w:val="nil"/>
              <w:bottom w:val="single" w:sz="4" w:space="0" w:color="auto"/>
              <w:right w:val="single" w:sz="4" w:space="0" w:color="auto"/>
            </w:tcBorders>
            <w:shd w:val="pct12" w:color="CCFFFF" w:fill="FCFFFF"/>
            <w:vAlign w:val="center"/>
            <w:hideMark/>
          </w:tcPr>
          <w:p w14:paraId="23AAF8C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488" w:type="dxa"/>
            <w:tcBorders>
              <w:top w:val="nil"/>
              <w:left w:val="nil"/>
              <w:bottom w:val="single" w:sz="4" w:space="0" w:color="auto"/>
              <w:right w:val="single" w:sz="4" w:space="0" w:color="auto"/>
            </w:tcBorders>
            <w:shd w:val="pct12" w:color="CCFFFF" w:fill="FCFFFF"/>
            <w:vAlign w:val="center"/>
            <w:hideMark/>
          </w:tcPr>
          <w:p w14:paraId="7116F4F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6.5 </w:t>
            </w:r>
          </w:p>
        </w:tc>
        <w:tc>
          <w:tcPr>
            <w:tcW w:w="1063" w:type="dxa"/>
            <w:tcBorders>
              <w:top w:val="nil"/>
              <w:left w:val="nil"/>
              <w:bottom w:val="single" w:sz="4" w:space="0" w:color="auto"/>
              <w:right w:val="single" w:sz="4" w:space="0" w:color="auto"/>
            </w:tcBorders>
            <w:shd w:val="pct12" w:color="CCFFFF" w:fill="FCFFFF"/>
            <w:vAlign w:val="center"/>
            <w:hideMark/>
          </w:tcPr>
          <w:p w14:paraId="18C149B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82" w:type="dxa"/>
            <w:tcBorders>
              <w:top w:val="nil"/>
              <w:left w:val="nil"/>
              <w:bottom w:val="single" w:sz="4" w:space="0" w:color="auto"/>
              <w:right w:val="single" w:sz="4" w:space="0" w:color="auto"/>
            </w:tcBorders>
            <w:shd w:val="pct12" w:color="CCFFFF" w:fill="FCFFFF"/>
            <w:vAlign w:val="center"/>
            <w:hideMark/>
          </w:tcPr>
          <w:p w14:paraId="4A35566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6.5</w:t>
            </w:r>
          </w:p>
        </w:tc>
        <w:tc>
          <w:tcPr>
            <w:tcW w:w="1063" w:type="dxa"/>
            <w:tcBorders>
              <w:top w:val="nil"/>
              <w:left w:val="nil"/>
              <w:bottom w:val="single" w:sz="4" w:space="0" w:color="auto"/>
              <w:right w:val="single" w:sz="4" w:space="0" w:color="auto"/>
            </w:tcBorders>
            <w:shd w:val="pct12" w:color="CCFFFF" w:fill="FCFFFF"/>
            <w:vAlign w:val="center"/>
            <w:hideMark/>
          </w:tcPr>
          <w:p w14:paraId="7B41A43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82" w:type="dxa"/>
            <w:tcBorders>
              <w:top w:val="nil"/>
              <w:left w:val="nil"/>
              <w:bottom w:val="single" w:sz="4" w:space="0" w:color="auto"/>
              <w:right w:val="single" w:sz="4" w:space="0" w:color="auto"/>
            </w:tcBorders>
            <w:shd w:val="pct12" w:color="CCFFFF" w:fill="FCFFFF"/>
            <w:vAlign w:val="center"/>
            <w:hideMark/>
          </w:tcPr>
          <w:p w14:paraId="204574D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6.5</w:t>
            </w:r>
          </w:p>
        </w:tc>
        <w:tc>
          <w:tcPr>
            <w:tcW w:w="1063" w:type="dxa"/>
            <w:tcBorders>
              <w:top w:val="nil"/>
              <w:left w:val="nil"/>
              <w:bottom w:val="single" w:sz="4" w:space="0" w:color="auto"/>
              <w:right w:val="single" w:sz="4" w:space="0" w:color="auto"/>
            </w:tcBorders>
            <w:shd w:val="pct12" w:color="CCFFFF" w:fill="FCFFFF"/>
            <w:vAlign w:val="center"/>
            <w:hideMark/>
          </w:tcPr>
          <w:p w14:paraId="239F87F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77" w:type="dxa"/>
            <w:tcBorders>
              <w:top w:val="nil"/>
              <w:left w:val="nil"/>
              <w:bottom w:val="single" w:sz="4" w:space="0" w:color="auto"/>
              <w:right w:val="single" w:sz="4" w:space="0" w:color="auto"/>
            </w:tcBorders>
            <w:shd w:val="pct12" w:color="CCFFFF" w:fill="FCFFFF"/>
            <w:vAlign w:val="center"/>
            <w:hideMark/>
          </w:tcPr>
          <w:p w14:paraId="3A2FC2E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64</w:t>
            </w:r>
          </w:p>
        </w:tc>
        <w:tc>
          <w:tcPr>
            <w:tcW w:w="1063" w:type="dxa"/>
            <w:tcBorders>
              <w:top w:val="nil"/>
              <w:left w:val="nil"/>
              <w:bottom w:val="single" w:sz="4" w:space="0" w:color="auto"/>
              <w:right w:val="single" w:sz="4" w:space="0" w:color="auto"/>
            </w:tcBorders>
            <w:shd w:val="pct12" w:color="CCFFFF" w:fill="FCFFFF"/>
            <w:vAlign w:val="center"/>
            <w:hideMark/>
          </w:tcPr>
          <w:p w14:paraId="55541BC3" w14:textId="77777777" w:rsidR="00752AF8" w:rsidRPr="00F91EC4" w:rsidRDefault="00752AF8" w:rsidP="00447471">
            <w:pPr>
              <w:jc w:val="center"/>
              <w:rPr>
                <w:rFonts w:ascii="Arial Narrow" w:hAnsi="Arial Narrow"/>
                <w:b/>
                <w:noProof/>
                <w:color w:val="000000"/>
                <w:sz w:val="20"/>
                <w:szCs w:val="20"/>
              </w:rPr>
            </w:pPr>
            <w:r w:rsidRPr="00F91EC4">
              <w:rPr>
                <w:rFonts w:ascii="Arial Narrow" w:hAnsi="Arial Narrow"/>
                <w:b/>
                <w:noProof/>
                <w:color w:val="000000"/>
                <w:sz w:val="20"/>
                <w:szCs w:val="20"/>
              </w:rPr>
              <w:t>10.048</w:t>
            </w:r>
          </w:p>
        </w:tc>
      </w:tr>
      <w:tr w:rsidR="00752AF8" w:rsidRPr="00F91EC4" w14:paraId="65A719A2"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74334075"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6D3CC149"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AST</w:t>
            </w:r>
          </w:p>
        </w:tc>
        <w:tc>
          <w:tcPr>
            <w:tcW w:w="618" w:type="dxa"/>
            <w:tcBorders>
              <w:top w:val="nil"/>
              <w:left w:val="nil"/>
              <w:bottom w:val="single" w:sz="4" w:space="0" w:color="auto"/>
              <w:right w:val="single" w:sz="4" w:space="0" w:color="auto"/>
            </w:tcBorders>
            <w:shd w:val="pct12" w:color="CCFFFF" w:fill="FCFFFF"/>
            <w:vAlign w:val="center"/>
            <w:hideMark/>
          </w:tcPr>
          <w:p w14:paraId="4ED0063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D8BD0E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17D96AE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AE81DD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05CD210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29793A0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2AB2E2C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BB2986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7D8E66E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B0EE64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5A48EA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5016F3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315577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4C8739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4908985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9C92BE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025ADB21"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568F4354"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01 02 03 - Union Delegations</w:t>
            </w:r>
          </w:p>
        </w:tc>
        <w:tc>
          <w:tcPr>
            <w:tcW w:w="674" w:type="dxa"/>
            <w:tcBorders>
              <w:top w:val="nil"/>
              <w:left w:val="nil"/>
              <w:bottom w:val="single" w:sz="4" w:space="0" w:color="auto"/>
              <w:right w:val="single" w:sz="4" w:space="0" w:color="auto"/>
            </w:tcBorders>
            <w:shd w:val="pct12" w:color="CCFFFF" w:fill="FCFFFF"/>
            <w:vAlign w:val="center"/>
            <w:hideMark/>
          </w:tcPr>
          <w:p w14:paraId="5116C16F" w14:textId="77777777" w:rsidR="00752AF8" w:rsidRPr="00F91EC4" w:rsidRDefault="00752AF8" w:rsidP="00447471">
            <w:pPr>
              <w:rPr>
                <w:rFonts w:ascii="Arial Narrow" w:hAnsi="Arial Narrow"/>
                <w:noProof/>
                <w:color w:val="000000"/>
                <w:sz w:val="18"/>
                <w:szCs w:val="18"/>
              </w:rPr>
            </w:pPr>
            <w:r w:rsidRPr="00F91EC4">
              <w:rPr>
                <w:rFonts w:ascii="Arial Narrow" w:hAnsi="Arial Narrow"/>
                <w:noProof/>
                <w:color w:val="000000"/>
                <w:sz w:val="18"/>
                <w:szCs w:val="18"/>
              </w:rPr>
              <w:t xml:space="preserve">   AD</w:t>
            </w:r>
          </w:p>
        </w:tc>
        <w:tc>
          <w:tcPr>
            <w:tcW w:w="618" w:type="dxa"/>
            <w:tcBorders>
              <w:top w:val="nil"/>
              <w:left w:val="nil"/>
              <w:bottom w:val="single" w:sz="4" w:space="0" w:color="auto"/>
              <w:right w:val="single" w:sz="4" w:space="0" w:color="auto"/>
            </w:tcBorders>
            <w:shd w:val="pct12" w:color="CCFFFF" w:fill="FCFFFF"/>
            <w:vAlign w:val="center"/>
            <w:hideMark/>
          </w:tcPr>
          <w:p w14:paraId="7107A9F2"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E0F94F6"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46D27882"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365F696"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9B1866C"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3A7EC456"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2C3EEEAF"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5578871"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0A1A1ADD"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6855286"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3BBA808"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12A3471"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3B2A9E5B"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D09D196"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2CBA611A"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52BF4CC"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78E381B5"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72952A1F"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5F7DDCC0"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AST</w:t>
            </w:r>
          </w:p>
        </w:tc>
        <w:tc>
          <w:tcPr>
            <w:tcW w:w="618" w:type="dxa"/>
            <w:tcBorders>
              <w:top w:val="nil"/>
              <w:left w:val="nil"/>
              <w:bottom w:val="single" w:sz="4" w:space="0" w:color="auto"/>
              <w:right w:val="single" w:sz="4" w:space="0" w:color="auto"/>
            </w:tcBorders>
            <w:shd w:val="pct12" w:color="CCFFFF" w:fill="FCFFFF"/>
            <w:vAlign w:val="center"/>
            <w:hideMark/>
          </w:tcPr>
          <w:p w14:paraId="7A8A9B7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27B561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40A3526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49D184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29B933F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410C1C5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08A9297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CA8F34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588AC3D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E87D40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1BDE61A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D55B56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1C1C6FC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9F8225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0F496A2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E79FCC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0E24EA34" w14:textId="77777777" w:rsidTr="00447471">
        <w:trPr>
          <w:trHeight w:val="30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14:paraId="4AF40306" w14:textId="77777777" w:rsidR="00752AF8" w:rsidRPr="00F91EC4" w:rsidRDefault="00752AF8" w:rsidP="00447471">
            <w:pPr>
              <w:rPr>
                <w:rFonts w:ascii="Arial Narrow" w:hAnsi="Arial Narrow"/>
                <w:noProof/>
                <w:color w:val="000000"/>
                <w:sz w:val="20"/>
                <w:szCs w:val="20"/>
              </w:rPr>
            </w:pPr>
            <w:r w:rsidRPr="00F91EC4">
              <w:rPr>
                <w:rFonts w:ascii="Wingdings" w:eastAsia="Wingdings" w:hAnsi="Wingdings" w:cs="Wingdings"/>
                <w:b/>
                <w:noProof/>
                <w:color w:val="FF6600"/>
                <w:sz w:val="20"/>
              </w:rPr>
              <w:t>□</w:t>
            </w:r>
            <w:r w:rsidRPr="00F91EC4">
              <w:rPr>
                <w:rFonts w:ascii="Arial Narrow" w:hAnsi="Arial Narrow"/>
                <w:b/>
                <w:noProof/>
                <w:color w:val="FF6600"/>
                <w:sz w:val="20"/>
              </w:rPr>
              <w:t xml:space="preserve"> </w:t>
            </w:r>
            <w:r w:rsidRPr="00F91EC4">
              <w:rPr>
                <w:rFonts w:ascii="Arial Narrow" w:hAnsi="Arial Narrow"/>
                <w:b/>
                <w:noProof/>
                <w:color w:val="FF6600"/>
                <w:sz w:val="22"/>
              </w:rPr>
              <w:t xml:space="preserve">External staff </w:t>
            </w:r>
            <w:r w:rsidRPr="00F91EC4">
              <w:rPr>
                <w:rStyle w:val="FootnoteReference"/>
                <w:rFonts w:ascii="Arial Narrow" w:hAnsi="Arial Narrow"/>
                <w:b/>
                <w:noProof/>
                <w:color w:val="FF0000"/>
                <w:sz w:val="22"/>
              </w:rPr>
              <w:footnoteReference w:id="69"/>
            </w:r>
          </w:p>
        </w:tc>
      </w:tr>
      <w:tr w:rsidR="00752AF8" w:rsidRPr="00F91EC4" w14:paraId="1666D2B1"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39398B62"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01 and 20 02 02 – External personnel – Headquarters and Representation offices</w:t>
            </w:r>
          </w:p>
        </w:tc>
        <w:tc>
          <w:tcPr>
            <w:tcW w:w="674" w:type="dxa"/>
            <w:tcBorders>
              <w:top w:val="nil"/>
              <w:left w:val="nil"/>
              <w:bottom w:val="single" w:sz="4" w:space="0" w:color="auto"/>
              <w:right w:val="single" w:sz="4" w:space="0" w:color="auto"/>
            </w:tcBorders>
            <w:shd w:val="pct12" w:color="CCFFFF" w:fill="FCFFFF"/>
            <w:vAlign w:val="center"/>
            <w:hideMark/>
          </w:tcPr>
          <w:p w14:paraId="6FA4F4CF"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AC</w:t>
            </w:r>
          </w:p>
        </w:tc>
        <w:tc>
          <w:tcPr>
            <w:tcW w:w="618" w:type="dxa"/>
            <w:tcBorders>
              <w:top w:val="nil"/>
              <w:left w:val="nil"/>
              <w:bottom w:val="single" w:sz="4" w:space="0" w:color="auto"/>
              <w:right w:val="single" w:sz="4" w:space="0" w:color="auto"/>
            </w:tcBorders>
            <w:shd w:val="pct12" w:color="CCFFFF" w:fill="FCFFFF"/>
            <w:vAlign w:val="center"/>
            <w:hideMark/>
          </w:tcPr>
          <w:p w14:paraId="26508A9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w:t>
            </w:r>
          </w:p>
        </w:tc>
        <w:tc>
          <w:tcPr>
            <w:tcW w:w="1063" w:type="dxa"/>
            <w:tcBorders>
              <w:top w:val="nil"/>
              <w:left w:val="nil"/>
              <w:bottom w:val="single" w:sz="4" w:space="0" w:color="auto"/>
              <w:right w:val="single" w:sz="4" w:space="0" w:color="auto"/>
            </w:tcBorders>
            <w:shd w:val="pct12" w:color="CCFFFF" w:fill="FCFFFF"/>
            <w:vAlign w:val="center"/>
            <w:hideMark/>
          </w:tcPr>
          <w:p w14:paraId="7AE23B3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0.085</w:t>
            </w:r>
          </w:p>
        </w:tc>
        <w:tc>
          <w:tcPr>
            <w:tcW w:w="572" w:type="dxa"/>
            <w:tcBorders>
              <w:top w:val="nil"/>
              <w:left w:val="nil"/>
              <w:bottom w:val="single" w:sz="4" w:space="0" w:color="auto"/>
              <w:right w:val="single" w:sz="4" w:space="0" w:color="auto"/>
            </w:tcBorders>
            <w:shd w:val="pct12" w:color="CCFFFF" w:fill="FCFFFF"/>
            <w:vAlign w:val="center"/>
            <w:hideMark/>
          </w:tcPr>
          <w:p w14:paraId="540798A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w:t>
            </w:r>
          </w:p>
        </w:tc>
        <w:tc>
          <w:tcPr>
            <w:tcW w:w="1063" w:type="dxa"/>
            <w:tcBorders>
              <w:top w:val="nil"/>
              <w:left w:val="nil"/>
              <w:bottom w:val="single" w:sz="4" w:space="0" w:color="auto"/>
              <w:right w:val="single" w:sz="4" w:space="0" w:color="auto"/>
            </w:tcBorders>
            <w:shd w:val="pct12" w:color="CCFFFF" w:fill="FCFFFF"/>
            <w:vAlign w:val="center"/>
            <w:hideMark/>
          </w:tcPr>
          <w:p w14:paraId="42793F6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0.085</w:t>
            </w:r>
          </w:p>
        </w:tc>
        <w:tc>
          <w:tcPr>
            <w:tcW w:w="482" w:type="dxa"/>
            <w:tcBorders>
              <w:top w:val="nil"/>
              <w:left w:val="nil"/>
              <w:bottom w:val="single" w:sz="4" w:space="0" w:color="auto"/>
              <w:right w:val="single" w:sz="4" w:space="0" w:color="auto"/>
            </w:tcBorders>
            <w:shd w:val="pct12" w:color="CCFFFF" w:fill="FCFFFF"/>
            <w:vAlign w:val="center"/>
            <w:hideMark/>
          </w:tcPr>
          <w:p w14:paraId="408307D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7DD1D69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7622643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06BEB3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672ACD2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00E4CC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FA3694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B0B52B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2C7102A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680C31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14C87F0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2</w:t>
            </w:r>
          </w:p>
        </w:tc>
        <w:tc>
          <w:tcPr>
            <w:tcW w:w="1063" w:type="dxa"/>
            <w:tcBorders>
              <w:top w:val="nil"/>
              <w:left w:val="nil"/>
              <w:bottom w:val="single" w:sz="4" w:space="0" w:color="auto"/>
              <w:right w:val="single" w:sz="4" w:space="0" w:color="auto"/>
            </w:tcBorders>
            <w:shd w:val="pct12" w:color="CCFFFF" w:fill="FCFFFF"/>
            <w:vAlign w:val="center"/>
            <w:hideMark/>
          </w:tcPr>
          <w:p w14:paraId="6ABE0230" w14:textId="77777777" w:rsidR="00752AF8" w:rsidRPr="00F91EC4" w:rsidRDefault="00752AF8" w:rsidP="00447471">
            <w:pPr>
              <w:jc w:val="center"/>
              <w:rPr>
                <w:rFonts w:ascii="Arial Narrow" w:hAnsi="Arial Narrow"/>
                <w:b/>
                <w:noProof/>
                <w:color w:val="000000"/>
                <w:sz w:val="20"/>
                <w:szCs w:val="20"/>
              </w:rPr>
            </w:pPr>
            <w:r w:rsidRPr="00F91EC4">
              <w:rPr>
                <w:rFonts w:ascii="Arial Narrow" w:hAnsi="Arial Narrow"/>
                <w:b/>
                <w:noProof/>
                <w:color w:val="000000"/>
                <w:sz w:val="20"/>
                <w:szCs w:val="20"/>
              </w:rPr>
              <w:t>0.170</w:t>
            </w:r>
          </w:p>
        </w:tc>
      </w:tr>
      <w:tr w:rsidR="00752AF8" w:rsidRPr="00F91EC4" w14:paraId="2A11C66A"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01AD8F52"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7A5FE70C"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END</w:t>
            </w:r>
          </w:p>
        </w:tc>
        <w:tc>
          <w:tcPr>
            <w:tcW w:w="618" w:type="dxa"/>
            <w:tcBorders>
              <w:top w:val="nil"/>
              <w:left w:val="nil"/>
              <w:bottom w:val="single" w:sz="4" w:space="0" w:color="auto"/>
              <w:right w:val="single" w:sz="4" w:space="0" w:color="auto"/>
            </w:tcBorders>
            <w:shd w:val="pct12" w:color="CCFFFF" w:fill="FCFFFF"/>
            <w:vAlign w:val="center"/>
            <w:hideMark/>
          </w:tcPr>
          <w:p w14:paraId="4C2FA24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A719CB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5395FC4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BFC544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A395CB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65A6B22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470E05B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FFE457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58BC26C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529330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8987CD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CFA65B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D1D62B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B5FFD2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3C7F039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FB912C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6318BBF9"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06F5A8DA"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195B6C98"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INT</w:t>
            </w:r>
          </w:p>
        </w:tc>
        <w:tc>
          <w:tcPr>
            <w:tcW w:w="618" w:type="dxa"/>
            <w:tcBorders>
              <w:top w:val="nil"/>
              <w:left w:val="nil"/>
              <w:bottom w:val="single" w:sz="4" w:space="0" w:color="auto"/>
              <w:right w:val="single" w:sz="4" w:space="0" w:color="auto"/>
            </w:tcBorders>
            <w:shd w:val="pct12" w:color="CCFFFF" w:fill="FCFFFF"/>
            <w:vAlign w:val="center"/>
            <w:hideMark/>
          </w:tcPr>
          <w:p w14:paraId="6361BBF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773D34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717D5CF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164CB4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2D6F7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4BF4DB0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0B84BE1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E7D6AE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2C7BAF2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FFB800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0E6C497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B4C274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38C046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D9262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43CA422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157DF2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336B8B85"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46F0335F"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03 – External personnel - Union Delegations</w:t>
            </w:r>
          </w:p>
        </w:tc>
        <w:tc>
          <w:tcPr>
            <w:tcW w:w="674" w:type="dxa"/>
            <w:tcBorders>
              <w:top w:val="nil"/>
              <w:left w:val="nil"/>
              <w:bottom w:val="single" w:sz="4" w:space="0" w:color="auto"/>
              <w:right w:val="single" w:sz="4" w:space="0" w:color="auto"/>
            </w:tcBorders>
            <w:shd w:val="pct12" w:color="CCFFFF" w:fill="FCFFFF"/>
            <w:vAlign w:val="center"/>
            <w:hideMark/>
          </w:tcPr>
          <w:p w14:paraId="07EF9D48"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AC</w:t>
            </w:r>
          </w:p>
        </w:tc>
        <w:tc>
          <w:tcPr>
            <w:tcW w:w="618" w:type="dxa"/>
            <w:tcBorders>
              <w:top w:val="nil"/>
              <w:left w:val="nil"/>
              <w:bottom w:val="single" w:sz="4" w:space="0" w:color="auto"/>
              <w:right w:val="single" w:sz="4" w:space="0" w:color="auto"/>
            </w:tcBorders>
            <w:shd w:val="pct12" w:color="CCFFFF" w:fill="FCFFFF"/>
            <w:vAlign w:val="center"/>
            <w:hideMark/>
          </w:tcPr>
          <w:p w14:paraId="0E71778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20220A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16AB4E2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4E223C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3284766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1EBFC5E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3E172ED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A6DC43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000DCD2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C83E9B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BAB0E0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C46925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A67EA7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F9BBF0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64FC9F3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A76321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420B8BBF"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3FD442E3"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4D16C293"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 xml:space="preserve">AL </w:t>
            </w:r>
          </w:p>
        </w:tc>
        <w:tc>
          <w:tcPr>
            <w:tcW w:w="618" w:type="dxa"/>
            <w:tcBorders>
              <w:top w:val="nil"/>
              <w:left w:val="nil"/>
              <w:bottom w:val="single" w:sz="4" w:space="0" w:color="auto"/>
              <w:right w:val="single" w:sz="4" w:space="0" w:color="auto"/>
            </w:tcBorders>
            <w:shd w:val="pct12" w:color="CCFFFF" w:fill="FCFFFF"/>
            <w:vAlign w:val="center"/>
            <w:hideMark/>
          </w:tcPr>
          <w:p w14:paraId="7D335F8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6E403D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64738A6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F912F3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3FCE1C3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611E2B4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5D6EF17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4328F0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22A5610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D88E5F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7EB486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845E4E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1C6A1B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D9E70F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32616AC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E496DF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7781449B"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4FFCE604"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34111A2B"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END</w:t>
            </w:r>
          </w:p>
        </w:tc>
        <w:tc>
          <w:tcPr>
            <w:tcW w:w="618" w:type="dxa"/>
            <w:tcBorders>
              <w:top w:val="nil"/>
              <w:left w:val="nil"/>
              <w:bottom w:val="single" w:sz="4" w:space="0" w:color="auto"/>
              <w:right w:val="single" w:sz="4" w:space="0" w:color="auto"/>
            </w:tcBorders>
            <w:shd w:val="pct12" w:color="CCFFFF" w:fill="FCFFFF"/>
            <w:vAlign w:val="center"/>
            <w:hideMark/>
          </w:tcPr>
          <w:p w14:paraId="0F25C0F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669437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7F4DDD6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932D86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5EA6007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216C2BB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4DD619E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9AD31A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7457838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C5CB48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B8719D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8F6B1F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6B16CD9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4DADB4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3B1BD5B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E3996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1A73B734"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3531EAFE"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5710CF57"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INT</w:t>
            </w:r>
          </w:p>
        </w:tc>
        <w:tc>
          <w:tcPr>
            <w:tcW w:w="618" w:type="dxa"/>
            <w:tcBorders>
              <w:top w:val="nil"/>
              <w:left w:val="nil"/>
              <w:bottom w:val="single" w:sz="4" w:space="0" w:color="auto"/>
              <w:right w:val="single" w:sz="4" w:space="0" w:color="auto"/>
            </w:tcBorders>
            <w:shd w:val="pct12" w:color="CCFFFF" w:fill="FCFFFF"/>
            <w:vAlign w:val="center"/>
            <w:hideMark/>
          </w:tcPr>
          <w:p w14:paraId="3AEF17D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17382A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4767324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D01AFA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24BD873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15FA37F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3B42659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D3FF75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19FFD7B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704242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4EB083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7A6F3F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2AEAC16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B0A180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1D48CAA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C93BAD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7F33AAB9"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64480B59" w14:textId="77777777" w:rsidR="00752AF8" w:rsidRPr="00F91EC4" w:rsidRDefault="00752AF8" w:rsidP="00447471">
            <w:pPr>
              <w:rPr>
                <w:rFonts w:ascii="Arial Narrow" w:hAnsi="Arial Narrow"/>
                <w:noProof/>
                <w:color w:val="000000"/>
                <w:sz w:val="20"/>
                <w:szCs w:val="20"/>
              </w:rPr>
            </w:pPr>
          </w:p>
        </w:tc>
        <w:tc>
          <w:tcPr>
            <w:tcW w:w="674" w:type="dxa"/>
            <w:tcBorders>
              <w:top w:val="nil"/>
              <w:left w:val="nil"/>
              <w:bottom w:val="single" w:sz="4" w:space="0" w:color="auto"/>
              <w:right w:val="single" w:sz="4" w:space="0" w:color="auto"/>
            </w:tcBorders>
            <w:shd w:val="pct12" w:color="CCFFFF" w:fill="FCFFFF"/>
            <w:vAlign w:val="center"/>
            <w:hideMark/>
          </w:tcPr>
          <w:p w14:paraId="3AE83DC8"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JPD</w:t>
            </w:r>
          </w:p>
        </w:tc>
        <w:tc>
          <w:tcPr>
            <w:tcW w:w="618" w:type="dxa"/>
            <w:tcBorders>
              <w:top w:val="nil"/>
              <w:left w:val="nil"/>
              <w:bottom w:val="single" w:sz="4" w:space="0" w:color="auto"/>
              <w:right w:val="single" w:sz="4" w:space="0" w:color="auto"/>
            </w:tcBorders>
            <w:shd w:val="pct12" w:color="CCFFFF" w:fill="FCFFFF"/>
            <w:vAlign w:val="center"/>
            <w:hideMark/>
          </w:tcPr>
          <w:p w14:paraId="7A97036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E6BBB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55F59E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AE1929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AC0E77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657DC1A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247B580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AEC99A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51D03DD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CE2341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CF4D99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84BD55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4044248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13A122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7BD83EF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1F42B7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3C26B2E4" w14:textId="77777777" w:rsidTr="00447471">
        <w:trPr>
          <w:trHeight w:val="300"/>
          <w:jc w:val="center"/>
        </w:trPr>
        <w:tc>
          <w:tcPr>
            <w:tcW w:w="1678" w:type="dxa"/>
            <w:tcBorders>
              <w:top w:val="nil"/>
              <w:left w:val="single" w:sz="4" w:space="0" w:color="auto"/>
              <w:bottom w:val="single" w:sz="4" w:space="0" w:color="auto"/>
              <w:right w:val="single" w:sz="4" w:space="0" w:color="auto"/>
            </w:tcBorders>
            <w:shd w:val="pct12" w:color="CCFFFF" w:fill="FCFFFF"/>
            <w:vAlign w:val="center"/>
            <w:hideMark/>
          </w:tcPr>
          <w:p w14:paraId="7C297423"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Other HR related budget lines</w:t>
            </w:r>
            <w:r w:rsidRPr="00F91EC4" w:rsidDel="00C24BCB">
              <w:rPr>
                <w:rFonts w:ascii="Arial Narrow" w:hAnsi="Arial Narrow"/>
                <w:noProof/>
                <w:color w:val="000000"/>
                <w:sz w:val="20"/>
                <w:szCs w:val="20"/>
              </w:rPr>
              <w:t xml:space="preserve"> </w:t>
            </w:r>
            <w:r w:rsidRPr="00F91EC4">
              <w:rPr>
                <w:rFonts w:ascii="Arial Narrow" w:hAnsi="Arial Narrow"/>
                <w:noProof/>
                <w:color w:val="000000"/>
                <w:sz w:val="20"/>
                <w:szCs w:val="20"/>
              </w:rPr>
              <w:t>(</w:t>
            </w:r>
            <w:r w:rsidRPr="00F91EC4">
              <w:rPr>
                <w:rFonts w:ascii="Arial Narrow" w:hAnsi="Arial Narrow"/>
                <w:i/>
                <w:iCs/>
                <w:noProof/>
                <w:color w:val="000000"/>
                <w:sz w:val="20"/>
                <w:szCs w:val="20"/>
              </w:rPr>
              <w:t>specify</w:t>
            </w:r>
            <w:r w:rsidRPr="00F91EC4">
              <w:rPr>
                <w:rFonts w:ascii="Arial Narrow" w:hAnsi="Arial Narrow"/>
                <w:noProof/>
                <w:color w:val="000000"/>
                <w:sz w:val="20"/>
                <w:szCs w:val="20"/>
              </w:rPr>
              <w:t>)</w:t>
            </w:r>
          </w:p>
        </w:tc>
        <w:tc>
          <w:tcPr>
            <w:tcW w:w="674" w:type="dxa"/>
            <w:tcBorders>
              <w:top w:val="nil"/>
              <w:left w:val="nil"/>
              <w:bottom w:val="single" w:sz="4" w:space="0" w:color="auto"/>
              <w:right w:val="single" w:sz="4" w:space="0" w:color="auto"/>
            </w:tcBorders>
            <w:shd w:val="pct12" w:color="CCFFFF" w:fill="FCFFFF"/>
            <w:vAlign w:val="center"/>
            <w:hideMark/>
          </w:tcPr>
          <w:p w14:paraId="5D596982"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 </w:t>
            </w:r>
          </w:p>
        </w:tc>
        <w:tc>
          <w:tcPr>
            <w:tcW w:w="618" w:type="dxa"/>
            <w:tcBorders>
              <w:top w:val="nil"/>
              <w:left w:val="nil"/>
              <w:bottom w:val="single" w:sz="4" w:space="0" w:color="auto"/>
              <w:right w:val="single" w:sz="4" w:space="0" w:color="auto"/>
            </w:tcBorders>
            <w:shd w:val="pct12" w:color="CCFFFF" w:fill="FCFFFF"/>
            <w:vAlign w:val="center"/>
            <w:hideMark/>
          </w:tcPr>
          <w:p w14:paraId="4A3197B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B96FCA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72" w:type="dxa"/>
            <w:tcBorders>
              <w:top w:val="nil"/>
              <w:left w:val="nil"/>
              <w:bottom w:val="single" w:sz="4" w:space="0" w:color="auto"/>
              <w:right w:val="single" w:sz="4" w:space="0" w:color="auto"/>
            </w:tcBorders>
            <w:shd w:val="pct12" w:color="CCFFFF" w:fill="FCFFFF"/>
            <w:vAlign w:val="center"/>
            <w:hideMark/>
          </w:tcPr>
          <w:p w14:paraId="1A66BDE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290F64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3E45D39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83" w:type="dxa"/>
            <w:tcBorders>
              <w:top w:val="nil"/>
              <w:left w:val="nil"/>
              <w:bottom w:val="single" w:sz="4" w:space="0" w:color="auto"/>
              <w:right w:val="single" w:sz="4" w:space="0" w:color="auto"/>
            </w:tcBorders>
            <w:shd w:val="pct12" w:color="CCFFFF" w:fill="FCFFFF"/>
            <w:vAlign w:val="center"/>
            <w:hideMark/>
          </w:tcPr>
          <w:p w14:paraId="17D25B9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523" w:type="dxa"/>
            <w:tcBorders>
              <w:top w:val="nil"/>
              <w:left w:val="nil"/>
              <w:bottom w:val="single" w:sz="4" w:space="0" w:color="auto"/>
              <w:right w:val="single" w:sz="4" w:space="0" w:color="auto"/>
            </w:tcBorders>
            <w:shd w:val="pct12" w:color="CCFFFF" w:fill="FCFFFF"/>
            <w:vAlign w:val="center"/>
            <w:hideMark/>
          </w:tcPr>
          <w:p w14:paraId="7C10514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90AC4B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8" w:type="dxa"/>
            <w:tcBorders>
              <w:top w:val="nil"/>
              <w:left w:val="nil"/>
              <w:bottom w:val="single" w:sz="4" w:space="0" w:color="auto"/>
              <w:right w:val="single" w:sz="4" w:space="0" w:color="auto"/>
            </w:tcBorders>
            <w:shd w:val="pct12" w:color="CCFFFF" w:fill="FCFFFF"/>
            <w:vAlign w:val="center"/>
            <w:hideMark/>
          </w:tcPr>
          <w:p w14:paraId="4D299C0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053F34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3FA8440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47AA7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82" w:type="dxa"/>
            <w:tcBorders>
              <w:top w:val="nil"/>
              <w:left w:val="nil"/>
              <w:bottom w:val="single" w:sz="4" w:space="0" w:color="auto"/>
              <w:right w:val="single" w:sz="4" w:space="0" w:color="auto"/>
            </w:tcBorders>
            <w:shd w:val="pct12" w:color="CCFFFF" w:fill="FCFFFF"/>
            <w:vAlign w:val="center"/>
            <w:hideMark/>
          </w:tcPr>
          <w:p w14:paraId="1962BDB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C1406D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77" w:type="dxa"/>
            <w:tcBorders>
              <w:top w:val="nil"/>
              <w:left w:val="nil"/>
              <w:bottom w:val="single" w:sz="4" w:space="0" w:color="auto"/>
              <w:right w:val="single" w:sz="4" w:space="0" w:color="auto"/>
            </w:tcBorders>
            <w:shd w:val="pct12" w:color="CCFFFF" w:fill="FCFFFF"/>
            <w:vAlign w:val="center"/>
            <w:hideMark/>
          </w:tcPr>
          <w:p w14:paraId="27565FC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7A47B9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7F77744E" w14:textId="77777777" w:rsidTr="00447471">
        <w:trPr>
          <w:trHeight w:val="546"/>
          <w:jc w:val="center"/>
        </w:trPr>
        <w:tc>
          <w:tcPr>
            <w:tcW w:w="167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3A9968B"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Subtotal HR – HEADING 7</w:t>
            </w:r>
          </w:p>
        </w:tc>
        <w:tc>
          <w:tcPr>
            <w:tcW w:w="67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C011170" w14:textId="77777777" w:rsidR="00752AF8" w:rsidRPr="00F91EC4" w:rsidRDefault="00752AF8" w:rsidP="00447471">
            <w:pPr>
              <w:jc w:val="center"/>
              <w:rPr>
                <w:rFonts w:ascii="Arial Narrow" w:hAnsi="Arial Narrow"/>
                <w:noProof/>
                <w:color w:val="000000"/>
                <w:sz w:val="18"/>
                <w:szCs w:val="18"/>
              </w:rPr>
            </w:pPr>
            <w:r w:rsidRPr="00F91EC4">
              <w:rPr>
                <w:rFonts w:ascii="Arial Narrow" w:hAnsi="Arial Narrow"/>
                <w:noProof/>
                <w:color w:val="000000"/>
                <w:sz w:val="18"/>
                <w:szCs w:val="18"/>
              </w:rPr>
              <w:t> </w:t>
            </w:r>
          </w:p>
        </w:tc>
        <w:tc>
          <w:tcPr>
            <w:tcW w:w="61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006BF5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11.5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DE75BA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1.734</w:t>
            </w:r>
          </w:p>
        </w:tc>
        <w:tc>
          <w:tcPr>
            <w:tcW w:w="57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FB3D07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13</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052157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1.969</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80D553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11</w:t>
            </w:r>
          </w:p>
        </w:tc>
        <w:tc>
          <w:tcPr>
            <w:tcW w:w="10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28AC53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52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0BBDB1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1CFF51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48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1FA4B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6.5 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A424AE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C4074E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FD0CA5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7EEFC9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65DF5D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77"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DAE0F8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66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9968BA1" w14:textId="77777777" w:rsidR="00752AF8" w:rsidRPr="00F91EC4" w:rsidRDefault="00752AF8" w:rsidP="00447471">
            <w:pPr>
              <w:jc w:val="center"/>
              <w:rPr>
                <w:rFonts w:ascii="Arial Narrow" w:hAnsi="Arial Narrow"/>
                <w:b/>
                <w:noProof/>
                <w:color w:val="000000"/>
                <w:sz w:val="20"/>
                <w:szCs w:val="20"/>
              </w:rPr>
            </w:pPr>
            <w:r w:rsidRPr="00F91EC4">
              <w:rPr>
                <w:rFonts w:ascii="Arial Narrow" w:hAnsi="Arial Narrow"/>
                <w:b/>
                <w:noProof/>
                <w:color w:val="000000"/>
                <w:sz w:val="20"/>
                <w:szCs w:val="20"/>
              </w:rPr>
              <w:t>10.218</w:t>
            </w:r>
          </w:p>
        </w:tc>
      </w:tr>
    </w:tbl>
    <w:p w14:paraId="24B5C5DB" w14:textId="77777777" w:rsidR="00D014CD" w:rsidRPr="00F91EC4" w:rsidRDefault="00D014CD" w:rsidP="00D014CD">
      <w:pPr>
        <w:pStyle w:val="Text1"/>
        <w:spacing w:before="0" w:after="0"/>
        <w:ind w:left="-540" w:right="-694"/>
        <w:rPr>
          <w:noProof/>
          <w:sz w:val="18"/>
        </w:rPr>
      </w:pPr>
      <w:r w:rsidRPr="00F91EC4">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C741D3A" w14:textId="77777777" w:rsidR="00D014CD" w:rsidRPr="00F91EC4" w:rsidRDefault="00D014CD" w:rsidP="00D014CD">
      <w:pPr>
        <w:pStyle w:val="Text1"/>
        <w:spacing w:before="0" w:after="0"/>
        <w:ind w:left="-540" w:right="-694"/>
        <w:rPr>
          <w:noProof/>
          <w:sz w:val="18"/>
        </w:rPr>
      </w:pPr>
    </w:p>
    <w:p w14:paraId="3D921C87" w14:textId="77777777" w:rsidR="00D014CD" w:rsidRPr="00F91EC4" w:rsidRDefault="00D014CD" w:rsidP="00D014CD">
      <w:pPr>
        <w:pStyle w:val="Text1"/>
        <w:spacing w:before="0" w:after="0"/>
        <w:ind w:left="-540" w:right="-694"/>
        <w:rPr>
          <w:noProof/>
          <w:sz w:val="18"/>
        </w:rPr>
      </w:pPr>
    </w:p>
    <w:p w14:paraId="295D3498" w14:textId="77777777" w:rsidR="00D014CD" w:rsidRPr="00F91EC4" w:rsidDel="00597C1E" w:rsidRDefault="00D014CD" w:rsidP="00D014CD">
      <w:pPr>
        <w:pStyle w:val="Text1"/>
        <w:spacing w:before="0" w:after="0"/>
        <w:ind w:left="-540" w:right="-694"/>
        <w:rPr>
          <w:rFonts w:ascii="Arial Narrow" w:hAnsi="Arial Narrow"/>
          <w:iCs/>
          <w:noProof/>
          <w:sz w:val="6"/>
          <w:szCs w:val="6"/>
        </w:rPr>
      </w:pPr>
      <w:r w:rsidRPr="00F91EC4">
        <w:rPr>
          <w:noProof/>
          <w:sz w:val="18"/>
        </w:rPr>
        <w:tab/>
      </w:r>
    </w:p>
    <w:tbl>
      <w:tblPr>
        <w:tblW w:w="15210" w:type="dxa"/>
        <w:jc w:val="center"/>
        <w:tblLook w:val="04A0" w:firstRow="1" w:lastRow="0" w:firstColumn="1" w:lastColumn="0" w:noHBand="0" w:noVBand="1"/>
      </w:tblPr>
      <w:tblGrid>
        <w:gridCol w:w="1256"/>
        <w:gridCol w:w="1210"/>
        <w:gridCol w:w="528"/>
        <w:gridCol w:w="504"/>
        <w:gridCol w:w="1063"/>
        <w:gridCol w:w="464"/>
        <w:gridCol w:w="1063"/>
        <w:gridCol w:w="464"/>
        <w:gridCol w:w="1063"/>
        <w:gridCol w:w="464"/>
        <w:gridCol w:w="1063"/>
        <w:gridCol w:w="490"/>
        <w:gridCol w:w="1063"/>
        <w:gridCol w:w="464"/>
        <w:gridCol w:w="1063"/>
        <w:gridCol w:w="464"/>
        <w:gridCol w:w="1063"/>
        <w:gridCol w:w="464"/>
        <w:gridCol w:w="1063"/>
      </w:tblGrid>
      <w:tr w:rsidR="00D014CD" w:rsidRPr="00F91EC4" w14:paraId="5893F7FB" w14:textId="77777777" w:rsidTr="00D014CD">
        <w:trPr>
          <w:trHeight w:val="330"/>
          <w:jc w:val="center"/>
        </w:trPr>
        <w:tc>
          <w:tcPr>
            <w:tcW w:w="2994" w:type="dxa"/>
            <w:gridSpan w:val="3"/>
            <w:vMerge w:val="restart"/>
            <w:tcBorders>
              <w:top w:val="single" w:sz="4" w:space="0" w:color="auto"/>
              <w:left w:val="single" w:sz="4" w:space="0" w:color="auto"/>
              <w:right w:val="single" w:sz="4" w:space="0" w:color="auto"/>
            </w:tcBorders>
            <w:shd w:val="pct50" w:color="C0C0C0" w:fill="E2E2E2"/>
            <w:vAlign w:val="center"/>
            <w:hideMark/>
          </w:tcPr>
          <w:p w14:paraId="77B784FB"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b/>
                <w:bCs/>
                <w:noProof/>
                <w:color w:val="000000"/>
                <w:sz w:val="22"/>
              </w:rPr>
              <w:t>Outside HEADING 7</w:t>
            </w:r>
          </w:p>
          <w:p w14:paraId="56758240"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noProof/>
                <w:color w:val="000000"/>
                <w:sz w:val="22"/>
              </w:rPr>
              <w:t>of the multiannual financial framework</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7512AED5"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2022</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68CA1C8F"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2023</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2CB68B78"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2024</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7211352F" w14:textId="77777777" w:rsidR="00D014CD" w:rsidRPr="00F91EC4" w:rsidRDefault="00AB42DF"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2025</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19324DED"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2026</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39E44EB2"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2027</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6ABD517"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2028</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91A7F58"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TOTAL</w:t>
            </w:r>
          </w:p>
        </w:tc>
      </w:tr>
      <w:tr w:rsidR="00D014CD" w:rsidRPr="00F91EC4" w14:paraId="37238392" w14:textId="77777777" w:rsidTr="00D014CD">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14:paraId="3F9D4E0C" w14:textId="77777777" w:rsidR="00D014CD" w:rsidRPr="00F91EC4" w:rsidRDefault="00D014CD" w:rsidP="00D014CD">
            <w:pPr>
              <w:jc w:val="center"/>
              <w:rPr>
                <w:rFonts w:ascii="Arial Narrow" w:hAnsi="Arial Narrow"/>
                <w:noProof/>
                <w:color w:val="000000"/>
                <w:sz w:val="22"/>
              </w:rPr>
            </w:pPr>
          </w:p>
        </w:tc>
        <w:tc>
          <w:tcPr>
            <w:tcW w:w="464" w:type="dxa"/>
            <w:tcBorders>
              <w:top w:val="nil"/>
              <w:left w:val="nil"/>
              <w:bottom w:val="single" w:sz="4" w:space="0" w:color="auto"/>
              <w:right w:val="single" w:sz="4" w:space="0" w:color="auto"/>
            </w:tcBorders>
            <w:shd w:val="pct12" w:color="CCFFFF" w:fill="FCFFFF"/>
            <w:vAlign w:val="center"/>
            <w:hideMark/>
          </w:tcPr>
          <w:p w14:paraId="10C7F17D"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6187F4B1"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37C3118E"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5185339A"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7E196B91"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3040849A"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362BC337"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47ECE275"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65B8754C"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7078D9CB"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6748443E"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5A6EF655"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6DED05B9"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39018B29"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0B446E9A"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5B53C117" w14:textId="77777777" w:rsidR="00D014CD" w:rsidRPr="00F91EC4" w:rsidRDefault="00D014CD" w:rsidP="00D014CD">
            <w:pPr>
              <w:jc w:val="center"/>
              <w:rPr>
                <w:rFonts w:ascii="Arial Narrow" w:hAnsi="Arial Narrow"/>
                <w:noProof/>
                <w:color w:val="000000"/>
                <w:sz w:val="16"/>
                <w:szCs w:val="16"/>
              </w:rPr>
            </w:pPr>
            <w:r w:rsidRPr="00F91EC4">
              <w:rPr>
                <w:rFonts w:ascii="Arial Narrow" w:hAnsi="Arial Narrow"/>
                <w:noProof/>
                <w:color w:val="000000"/>
                <w:sz w:val="16"/>
                <w:szCs w:val="16"/>
              </w:rPr>
              <w:t>Appropriations</w:t>
            </w:r>
          </w:p>
        </w:tc>
      </w:tr>
      <w:tr w:rsidR="00D014CD" w:rsidRPr="00F91EC4" w14:paraId="5C6BA8A5" w14:textId="77777777" w:rsidTr="00D014CD">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CCFFD0"/>
            <w:vAlign w:val="center"/>
            <w:hideMark/>
          </w:tcPr>
          <w:p w14:paraId="687B4750" w14:textId="77777777" w:rsidR="00D014CD" w:rsidRPr="00F91EC4" w:rsidRDefault="00D014CD" w:rsidP="00D014CD">
            <w:pPr>
              <w:rPr>
                <w:rFonts w:ascii="Wingdings" w:hAnsi="Wingdings"/>
                <w:b/>
                <w:bCs/>
                <w:noProof/>
                <w:color w:val="008000"/>
                <w:sz w:val="20"/>
                <w:szCs w:val="20"/>
              </w:rPr>
            </w:pPr>
            <w:r w:rsidRPr="00F91EC4">
              <w:rPr>
                <w:rFonts w:ascii="Wingdings" w:eastAsia="Wingdings" w:hAnsi="Wingdings" w:cs="Wingdings"/>
                <w:b/>
                <w:noProof/>
                <w:color w:val="008000"/>
                <w:sz w:val="20"/>
              </w:rPr>
              <w:t>□</w:t>
            </w:r>
            <w:r w:rsidRPr="00F91EC4">
              <w:rPr>
                <w:rFonts w:ascii="Arial Narrow" w:hAnsi="Arial Narrow"/>
                <w:b/>
                <w:noProof/>
                <w:color w:val="008000"/>
                <w:sz w:val="20"/>
              </w:rPr>
              <w:t xml:space="preserve"> </w:t>
            </w:r>
            <w:r w:rsidRPr="00F91EC4">
              <w:rPr>
                <w:rFonts w:ascii="Arial Narrow" w:hAnsi="Arial Narrow"/>
                <w:b/>
                <w:noProof/>
                <w:color w:val="008000"/>
                <w:sz w:val="22"/>
              </w:rPr>
              <w:t>Establishment plan posts (officials and temporary staff)</w:t>
            </w:r>
          </w:p>
        </w:tc>
      </w:tr>
      <w:tr w:rsidR="00D014CD" w:rsidRPr="00F91EC4" w14:paraId="780907F9" w14:textId="77777777" w:rsidTr="00D014CD">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2931A0F4"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01 01 01 01 Indirect Research</w:t>
            </w:r>
            <w:r w:rsidRPr="00F91EC4">
              <w:rPr>
                <w:rStyle w:val="FootnoteReference"/>
                <w:rFonts w:ascii="Arial Narrow" w:hAnsi="Arial Narrow"/>
                <w:noProof/>
                <w:color w:val="000000"/>
                <w:sz w:val="20"/>
                <w:szCs w:val="20"/>
              </w:rPr>
              <w:footnoteReference w:id="70"/>
            </w:r>
          </w:p>
          <w:p w14:paraId="6FF87067"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01 01 01 11 Direct Research</w:t>
            </w:r>
          </w:p>
          <w:p w14:paraId="28FD0F5D"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Other (please specify)</w:t>
            </w:r>
          </w:p>
        </w:tc>
        <w:tc>
          <w:tcPr>
            <w:tcW w:w="528" w:type="dxa"/>
            <w:tcBorders>
              <w:top w:val="nil"/>
              <w:left w:val="nil"/>
              <w:bottom w:val="single" w:sz="4" w:space="0" w:color="auto"/>
              <w:right w:val="single" w:sz="4" w:space="0" w:color="auto"/>
            </w:tcBorders>
            <w:shd w:val="pct12" w:color="CCFFFF" w:fill="FCFFFF"/>
            <w:vAlign w:val="center"/>
            <w:hideMark/>
          </w:tcPr>
          <w:p w14:paraId="0F4324A7"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AD</w:t>
            </w:r>
          </w:p>
        </w:tc>
        <w:tc>
          <w:tcPr>
            <w:tcW w:w="464" w:type="dxa"/>
            <w:tcBorders>
              <w:top w:val="nil"/>
              <w:left w:val="nil"/>
              <w:bottom w:val="single" w:sz="4" w:space="0" w:color="auto"/>
              <w:right w:val="single" w:sz="4" w:space="0" w:color="auto"/>
            </w:tcBorders>
            <w:shd w:val="pct12" w:color="CCFFFF" w:fill="FCFFFF"/>
            <w:vAlign w:val="center"/>
            <w:hideMark/>
          </w:tcPr>
          <w:p w14:paraId="1DE1C12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8BCE97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25629D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E8FF73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40CF31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FD5D97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A03D76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06CA24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29964D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1BF568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467D2C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E0E3D0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3478DA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B13342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AC3FA1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B5DC98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3D36234E"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0D83C3B0"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12F6DD87"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AST</w:t>
            </w:r>
          </w:p>
        </w:tc>
        <w:tc>
          <w:tcPr>
            <w:tcW w:w="464" w:type="dxa"/>
            <w:tcBorders>
              <w:top w:val="nil"/>
              <w:left w:val="nil"/>
              <w:bottom w:val="single" w:sz="4" w:space="0" w:color="auto"/>
              <w:right w:val="single" w:sz="4" w:space="0" w:color="auto"/>
            </w:tcBorders>
            <w:shd w:val="pct12" w:color="CCFFFF" w:fill="FCFFFF"/>
            <w:vAlign w:val="center"/>
            <w:hideMark/>
          </w:tcPr>
          <w:p w14:paraId="239D4C6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489B6E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23ABCC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269A1C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96FDD3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386F22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B05AF1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41A0FA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6D6F91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01DEFF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78CD5F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0FA284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7E7C55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18A987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D08ACE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0DD19D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393FF61A" w14:textId="77777777" w:rsidTr="00D014CD">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FCFFA1"/>
            <w:vAlign w:val="center"/>
            <w:hideMark/>
          </w:tcPr>
          <w:p w14:paraId="60F53004" w14:textId="77777777" w:rsidR="00D014CD" w:rsidRPr="00F91EC4" w:rsidRDefault="00D014CD" w:rsidP="00D014CD">
            <w:pPr>
              <w:rPr>
                <w:rFonts w:ascii="Calibri" w:hAnsi="Calibri"/>
                <w:noProof/>
                <w:color w:val="0000FF"/>
                <w:sz w:val="22"/>
                <w:u w:val="single"/>
              </w:rPr>
            </w:pPr>
            <w:r w:rsidRPr="00F91EC4">
              <w:rPr>
                <w:rFonts w:ascii="Wingdings" w:eastAsia="Wingdings" w:hAnsi="Wingdings" w:cs="Wingdings"/>
                <w:b/>
                <w:noProof/>
                <w:color w:val="FF6600"/>
                <w:sz w:val="20"/>
              </w:rPr>
              <w:t>□</w:t>
            </w:r>
            <w:r w:rsidRPr="00F91EC4">
              <w:rPr>
                <w:rFonts w:ascii="Arial Narrow" w:hAnsi="Arial Narrow"/>
                <w:b/>
                <w:noProof/>
                <w:color w:val="FF6600"/>
                <w:sz w:val="20"/>
              </w:rPr>
              <w:t xml:space="preserve"> </w:t>
            </w:r>
            <w:r w:rsidRPr="00F91EC4">
              <w:rPr>
                <w:rFonts w:ascii="Arial Narrow" w:hAnsi="Arial Narrow"/>
                <w:b/>
                <w:noProof/>
                <w:color w:val="FF6600"/>
                <w:sz w:val="22"/>
              </w:rPr>
              <w:t xml:space="preserve">External staff </w:t>
            </w:r>
            <w:r w:rsidRPr="00F91EC4">
              <w:rPr>
                <w:rStyle w:val="FootnoteReference"/>
                <w:rFonts w:ascii="Arial Narrow" w:hAnsi="Arial Narrow"/>
                <w:b/>
                <w:noProof/>
                <w:color w:val="FF0000"/>
                <w:sz w:val="22"/>
              </w:rPr>
              <w:footnoteReference w:id="71"/>
            </w:r>
          </w:p>
        </w:tc>
      </w:tr>
      <w:tr w:rsidR="00D014CD" w:rsidRPr="00F91EC4" w14:paraId="56A6A3F9" w14:textId="77777777" w:rsidTr="00D014CD">
        <w:trPr>
          <w:trHeight w:val="300"/>
          <w:jc w:val="center"/>
        </w:trPr>
        <w:tc>
          <w:tcPr>
            <w:tcW w:w="1256" w:type="dxa"/>
            <w:vMerge w:val="restart"/>
            <w:tcBorders>
              <w:top w:val="nil"/>
              <w:left w:val="single" w:sz="4" w:space="0" w:color="auto"/>
              <w:bottom w:val="single" w:sz="4" w:space="0" w:color="auto"/>
              <w:right w:val="single" w:sz="4" w:space="0" w:color="auto"/>
            </w:tcBorders>
            <w:shd w:val="pct12" w:color="CCFFFF" w:fill="FCFFFF"/>
            <w:vAlign w:val="center"/>
            <w:hideMark/>
          </w:tcPr>
          <w:p w14:paraId="65D10575"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External staff from operational appropriations (former ‘BA’ lines).</w:t>
            </w: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1ECB3452"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 at Headquarters</w:t>
            </w:r>
          </w:p>
        </w:tc>
        <w:tc>
          <w:tcPr>
            <w:tcW w:w="528" w:type="dxa"/>
            <w:tcBorders>
              <w:top w:val="nil"/>
              <w:left w:val="nil"/>
              <w:bottom w:val="single" w:sz="4" w:space="0" w:color="auto"/>
              <w:right w:val="single" w:sz="4" w:space="0" w:color="auto"/>
            </w:tcBorders>
            <w:shd w:val="pct12" w:color="CCFFFF" w:fill="FCFFFF"/>
            <w:vAlign w:val="center"/>
            <w:hideMark/>
          </w:tcPr>
          <w:p w14:paraId="74A2E6F5"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2883358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CAA0F1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312511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0BD570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AC0EE4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681025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E447FF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4ED892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7B2C0D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F9D73C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66FEB3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EA081D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EA2DB0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8BA141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5A1305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3C9253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763AD397"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51ED693D"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1BEB2493"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26E6E5F5"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0310B79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35F7ED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1928C7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E22F00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D5FAEF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AC6F7F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E23A33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839185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167DDF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8BBC33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63E124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65088E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AA0247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CA2AA7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7725F8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9C7EF7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3D668B55"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9D43181"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6C7C0032"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6C20724D"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33CDE2C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C82521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E94667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E2AE37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E65A4C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C6F178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CE6301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5D0D0D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6E83E5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6AD5E9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41364E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713EBC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249321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D13A5C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5CB7BB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A55ECB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6B9B4FFC"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21FC22D5" w14:textId="77777777" w:rsidR="00D014CD" w:rsidRPr="00F91EC4" w:rsidRDefault="00D014CD" w:rsidP="00D014CD">
            <w:pPr>
              <w:rPr>
                <w:rFonts w:ascii="Arial Narrow" w:hAnsi="Arial Narrow"/>
                <w:noProof/>
                <w:color w:val="000000"/>
                <w:sz w:val="20"/>
                <w:szCs w:val="20"/>
              </w:rPr>
            </w:pP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60D10EE2"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 in Union delegations</w:t>
            </w:r>
          </w:p>
        </w:tc>
        <w:tc>
          <w:tcPr>
            <w:tcW w:w="528" w:type="dxa"/>
            <w:tcBorders>
              <w:top w:val="nil"/>
              <w:left w:val="nil"/>
              <w:bottom w:val="single" w:sz="4" w:space="0" w:color="auto"/>
              <w:right w:val="single" w:sz="4" w:space="0" w:color="auto"/>
            </w:tcBorders>
            <w:shd w:val="pct12" w:color="CCFFFF" w:fill="FCFFFF"/>
            <w:vAlign w:val="center"/>
            <w:hideMark/>
          </w:tcPr>
          <w:p w14:paraId="4F34D535"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38E43BA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6D24B7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CA6ECF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ADE023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208F30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C60C3C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742F6B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EFFB37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294555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F9AA92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B58CA2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850642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F20181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D49335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C42D27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A91EF7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052F78BF"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0586E82"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1B9443BA"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21F6E986"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 xml:space="preserve">AL </w:t>
            </w:r>
          </w:p>
        </w:tc>
        <w:tc>
          <w:tcPr>
            <w:tcW w:w="464" w:type="dxa"/>
            <w:tcBorders>
              <w:top w:val="nil"/>
              <w:left w:val="nil"/>
              <w:bottom w:val="single" w:sz="4" w:space="0" w:color="auto"/>
              <w:right w:val="single" w:sz="4" w:space="0" w:color="auto"/>
            </w:tcBorders>
            <w:shd w:val="pct12" w:color="CCFFFF" w:fill="FCFFFF"/>
            <w:vAlign w:val="center"/>
            <w:hideMark/>
          </w:tcPr>
          <w:p w14:paraId="186980F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284471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7A6FC6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C2E52E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82F9DC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5C4626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A0039C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B6374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A73756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A6C161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F9814C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861AE0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65ECC1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DC85E0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ACB296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F01052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76A40EF7"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937E71F"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40AA386C"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5D436EDC"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7F00CFC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D2FE7A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1D79E5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7E2DFF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5B7484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35C5FB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9D1225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71F06D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C558E5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9436B1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A701B0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9C90AC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0AF08C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5EF77D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ED5D8B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CE6A06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630E9320"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EDF167D"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1F6E7D86"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6CD2356D"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575875D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7AD411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CA82CC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ACBE66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B53CCA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8DEC94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5DBB15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82FDBB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F0D6F7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179527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65C6D5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2DBE74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944FAA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651447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06BC7AF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7C671F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72591C8E"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12F2BA2" w14:textId="77777777" w:rsidR="00D014CD" w:rsidRPr="00F91EC4" w:rsidRDefault="00D014CD" w:rsidP="00D014CD">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14:paraId="49A9CD1A"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122E43D4"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JPD</w:t>
            </w:r>
          </w:p>
        </w:tc>
        <w:tc>
          <w:tcPr>
            <w:tcW w:w="464" w:type="dxa"/>
            <w:tcBorders>
              <w:top w:val="nil"/>
              <w:left w:val="nil"/>
              <w:bottom w:val="single" w:sz="4" w:space="0" w:color="auto"/>
              <w:right w:val="single" w:sz="4" w:space="0" w:color="auto"/>
            </w:tcBorders>
            <w:shd w:val="pct12" w:color="CCFFFF" w:fill="FCFFFF"/>
            <w:vAlign w:val="center"/>
            <w:hideMark/>
          </w:tcPr>
          <w:p w14:paraId="13ECC64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D7F565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9209C4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317304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BA3ABE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10742F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E9FF90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A218DC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44A193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9B7074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DA04CE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9B3D0C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25E24D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0B8E45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01C9DF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4E50E0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24F983D1" w14:textId="77777777" w:rsidTr="00D014CD">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5FA95BE2"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01 01 01 02 Indirect Research</w:t>
            </w:r>
          </w:p>
          <w:p w14:paraId="7F36E74E"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01 01 01 12 Direct research</w:t>
            </w:r>
          </w:p>
          <w:p w14:paraId="7854A55A"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Other (please specify)</w:t>
            </w:r>
            <w:r w:rsidRPr="00F91EC4">
              <w:rPr>
                <w:rStyle w:val="FootnoteReference"/>
                <w:rFonts w:ascii="Arial Narrow" w:hAnsi="Arial Narrow"/>
                <w:noProof/>
                <w:color w:val="000000"/>
                <w:sz w:val="20"/>
                <w:szCs w:val="20"/>
              </w:rPr>
              <w:footnoteReference w:id="72"/>
            </w:r>
          </w:p>
        </w:tc>
        <w:tc>
          <w:tcPr>
            <w:tcW w:w="528" w:type="dxa"/>
            <w:tcBorders>
              <w:top w:val="nil"/>
              <w:left w:val="nil"/>
              <w:bottom w:val="single" w:sz="4" w:space="0" w:color="auto"/>
              <w:right w:val="single" w:sz="4" w:space="0" w:color="auto"/>
            </w:tcBorders>
            <w:shd w:val="pct12" w:color="CCFFFF" w:fill="FCFFFF"/>
            <w:vAlign w:val="center"/>
            <w:hideMark/>
          </w:tcPr>
          <w:p w14:paraId="62585E03"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731B7DB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0B2D38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769102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49D473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0C0E96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3C6327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58BAFB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AE1C6B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29056C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65D1DE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D500C9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2FEE9A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855558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CBECA9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E6E3B8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5EE608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74B9557E"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1342B6EE"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01707F50"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53D0D20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D16A96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96D4BE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104B57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1CB1FE4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373D8A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E4B851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23D981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000E1A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CDCC2B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C26CF8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7F4615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547CEC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ED57A2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EBBB7F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28CF5A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7594704B"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0511C1B5" w14:textId="77777777" w:rsidR="00D014CD" w:rsidRPr="00F91EC4" w:rsidRDefault="00D014CD" w:rsidP="00D014CD">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pct12" w:color="CCFFFF" w:fill="FCFFFF"/>
            <w:vAlign w:val="center"/>
            <w:hideMark/>
          </w:tcPr>
          <w:p w14:paraId="1540FBC6"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7907853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08D6D5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CA9440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4A49A9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9CA591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2C955F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60F4F4C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05F214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C8D6AD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8490BE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55A8D8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DF49AD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BE4C3F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23E5B0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7D37114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49DD22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39CED678" w14:textId="77777777" w:rsidTr="00D014CD">
        <w:trPr>
          <w:trHeight w:val="870"/>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5AA4E1AF"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Other budget lines HR related (</w:t>
            </w:r>
            <w:r w:rsidRPr="00F91EC4">
              <w:rPr>
                <w:rFonts w:ascii="Arial Narrow" w:hAnsi="Arial Narrow"/>
                <w:i/>
                <w:iCs/>
                <w:noProof/>
                <w:color w:val="000000"/>
                <w:sz w:val="20"/>
                <w:szCs w:val="20"/>
              </w:rPr>
              <w:t>specify</w:t>
            </w:r>
            <w:r w:rsidRPr="00F91EC4">
              <w:rPr>
                <w:rFonts w:ascii="Arial Narrow" w:hAnsi="Arial Narrow"/>
                <w:noProof/>
                <w:color w:val="000000"/>
                <w:sz w:val="20"/>
                <w:szCs w:val="20"/>
              </w:rPr>
              <w:t>)</w:t>
            </w:r>
          </w:p>
        </w:tc>
        <w:tc>
          <w:tcPr>
            <w:tcW w:w="528" w:type="dxa"/>
            <w:tcBorders>
              <w:top w:val="nil"/>
              <w:left w:val="nil"/>
              <w:bottom w:val="single" w:sz="4" w:space="0" w:color="auto"/>
              <w:right w:val="single" w:sz="4" w:space="0" w:color="auto"/>
            </w:tcBorders>
            <w:shd w:val="pct12" w:color="CCFFFF" w:fill="FCFFFF"/>
            <w:vAlign w:val="center"/>
            <w:hideMark/>
          </w:tcPr>
          <w:p w14:paraId="0272DAE8"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 </w:t>
            </w:r>
          </w:p>
        </w:tc>
        <w:tc>
          <w:tcPr>
            <w:tcW w:w="464" w:type="dxa"/>
            <w:tcBorders>
              <w:top w:val="nil"/>
              <w:left w:val="nil"/>
              <w:bottom w:val="single" w:sz="4" w:space="0" w:color="auto"/>
              <w:right w:val="single" w:sz="4" w:space="0" w:color="auto"/>
            </w:tcBorders>
            <w:shd w:val="pct12" w:color="CCFFFF" w:fill="FCFFFF"/>
            <w:vAlign w:val="center"/>
            <w:hideMark/>
          </w:tcPr>
          <w:p w14:paraId="0B44B21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5705AC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2258110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792FF2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D54714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B8AD4B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8101A9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CDA15E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588594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AD6B2F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499C9F5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898F4B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3EF0E7D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AFB41B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nil"/>
              <w:left w:val="nil"/>
              <w:bottom w:val="single" w:sz="4" w:space="0" w:color="auto"/>
              <w:right w:val="single" w:sz="4" w:space="0" w:color="auto"/>
            </w:tcBorders>
            <w:shd w:val="pct12" w:color="CCFFFF" w:fill="FCFFFF"/>
            <w:vAlign w:val="center"/>
            <w:hideMark/>
          </w:tcPr>
          <w:p w14:paraId="54156AD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4B1888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D014CD" w:rsidRPr="00F91EC4" w14:paraId="00CABB43" w14:textId="77777777" w:rsidTr="00D014CD">
        <w:trPr>
          <w:trHeight w:val="546"/>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4F067B01"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b/>
                <w:bCs/>
                <w:noProof/>
                <w:color w:val="000000"/>
                <w:sz w:val="22"/>
              </w:rPr>
              <w:t>Subtotal HR – Outside HEADING 7</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6A9C528" w14:textId="77777777" w:rsidR="00D014CD" w:rsidRPr="00F91EC4" w:rsidRDefault="00D014CD" w:rsidP="00D014CD">
            <w:pPr>
              <w:jc w:val="center"/>
              <w:rPr>
                <w:rFonts w:ascii="Arial Narrow" w:hAnsi="Arial Narrow"/>
                <w:noProof/>
                <w:color w:val="000000"/>
                <w:sz w:val="18"/>
                <w:szCs w:val="18"/>
              </w:rPr>
            </w:pPr>
            <w:r w:rsidRPr="00F91EC4">
              <w:rPr>
                <w:rFonts w:ascii="Arial Narrow" w:hAnsi="Arial Narrow"/>
                <w:noProof/>
                <w:color w:val="000000"/>
                <w:sz w:val="18"/>
                <w:szCs w:val="18"/>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9FD69A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9CBB2A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692132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CF6830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80CBF8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1BF1F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71F31E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2C95CB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1F648AB"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04EBBD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787DF6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293094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DD8AB5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32C0E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21F985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124187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r>
      <w:tr w:rsidR="00752AF8" w:rsidRPr="00F91EC4" w14:paraId="16822B52" w14:textId="77777777" w:rsidTr="00D014CD">
        <w:trPr>
          <w:trHeight w:val="628"/>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tcPr>
          <w:p w14:paraId="7C7EB7C0" w14:textId="77777777" w:rsidR="00752AF8" w:rsidRPr="00F91EC4" w:rsidRDefault="00752AF8" w:rsidP="00752AF8">
            <w:pPr>
              <w:jc w:val="center"/>
              <w:rPr>
                <w:rFonts w:ascii="Arial Narrow" w:hAnsi="Arial Narrow"/>
                <w:b/>
                <w:bCs/>
                <w:noProof/>
                <w:color w:val="000000"/>
                <w:sz w:val="22"/>
              </w:rPr>
            </w:pPr>
            <w:r w:rsidRPr="00F91EC4">
              <w:rPr>
                <w:rFonts w:ascii="Arial Narrow" w:hAnsi="Arial Narrow"/>
                <w:b/>
                <w:bCs/>
                <w:noProof/>
                <w:color w:val="000000"/>
                <w:sz w:val="22"/>
              </w:rPr>
              <w:t>Total HR (all MFF Headings)</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14:paraId="245C4CB8" w14:textId="77777777" w:rsidR="00752AF8" w:rsidRPr="00F91EC4" w:rsidRDefault="00752AF8" w:rsidP="00752AF8">
            <w:pPr>
              <w:jc w:val="center"/>
              <w:rPr>
                <w:rFonts w:ascii="Arial Narrow" w:hAnsi="Arial Narrow"/>
                <w:noProof/>
                <w:color w:val="000000"/>
                <w:sz w:val="18"/>
                <w:szCs w:val="18"/>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03F7F98D" w14:textId="77777777" w:rsidR="00752AF8" w:rsidRPr="00F91EC4" w:rsidRDefault="00752AF8" w:rsidP="00752AF8">
            <w:pPr>
              <w:jc w:val="center"/>
              <w:rPr>
                <w:rFonts w:ascii="Arial Narrow" w:hAnsi="Arial Narrow"/>
                <w:noProof/>
                <w:color w:val="000000"/>
                <w:sz w:val="18"/>
                <w:szCs w:val="20"/>
              </w:rPr>
            </w:pPr>
            <w:r w:rsidRPr="00F91EC4">
              <w:rPr>
                <w:rFonts w:ascii="Arial Narrow" w:hAnsi="Arial Narrow"/>
                <w:noProof/>
                <w:color w:val="000000"/>
                <w:sz w:val="18"/>
                <w:szCs w:val="20"/>
              </w:rPr>
              <w:t>11.5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B2D4D5E"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1.734</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73FE035C"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13</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2D3D60E"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1.969</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3C7DE2F"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65A377BB"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B3525C9"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0F77C97"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1738E43"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6.5 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09257F47"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7E907F96"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087B918F"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078BDC5E"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1B91A538"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3D7C091F"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66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A76B171" w14:textId="77777777" w:rsidR="00752AF8" w:rsidRPr="00F91EC4" w:rsidRDefault="00752AF8" w:rsidP="00752AF8">
            <w:pPr>
              <w:jc w:val="center"/>
              <w:rPr>
                <w:rFonts w:ascii="Arial Narrow" w:hAnsi="Arial Narrow"/>
                <w:b/>
                <w:noProof/>
                <w:color w:val="000000"/>
                <w:sz w:val="20"/>
                <w:szCs w:val="20"/>
              </w:rPr>
            </w:pPr>
            <w:r w:rsidRPr="00F91EC4">
              <w:rPr>
                <w:rFonts w:ascii="Arial Narrow" w:hAnsi="Arial Narrow"/>
                <w:b/>
                <w:noProof/>
                <w:color w:val="000000"/>
                <w:sz w:val="20"/>
                <w:szCs w:val="20"/>
              </w:rPr>
              <w:t>10.218</w:t>
            </w:r>
          </w:p>
        </w:tc>
      </w:tr>
    </w:tbl>
    <w:p w14:paraId="1AC4B884" w14:textId="77777777" w:rsidR="00D014CD" w:rsidRPr="00F91EC4" w:rsidRDefault="00D014CD" w:rsidP="00D014CD">
      <w:pPr>
        <w:keepNext/>
        <w:rPr>
          <w:noProof/>
          <w:sz w:val="28"/>
          <w:szCs w:val="28"/>
          <w:u w:val="single"/>
        </w:rPr>
      </w:pPr>
      <w:r w:rsidRPr="00F91EC4">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7E75D9F" w14:textId="77777777" w:rsidR="00D014CD" w:rsidRPr="00F91EC4" w:rsidRDefault="00D014CD" w:rsidP="00D014CD">
      <w:pPr>
        <w:keepNext/>
        <w:spacing w:after="60"/>
        <w:ind w:left="540"/>
        <w:rPr>
          <w:noProof/>
        </w:rPr>
        <w:sectPr w:rsidR="00D014CD" w:rsidRPr="00F91EC4" w:rsidSect="00E50DA1">
          <w:headerReference w:type="default" r:id="rId28"/>
          <w:footerReference w:type="default" r:id="rId29"/>
          <w:headerReference w:type="first" r:id="rId30"/>
          <w:footerReference w:type="first" r:id="rId31"/>
          <w:pgSz w:w="15840" w:h="12240" w:orient="landscape" w:code="1"/>
          <w:pgMar w:top="624" w:right="902" w:bottom="624" w:left="1191" w:header="709" w:footer="567" w:gutter="0"/>
          <w:cols w:space="708"/>
          <w:docGrid w:linePitch="360"/>
        </w:sectPr>
      </w:pPr>
    </w:p>
    <w:p w14:paraId="51FF630B" w14:textId="54B7C881" w:rsidR="00D014CD" w:rsidRPr="00F91EC4" w:rsidRDefault="00DD0F7B" w:rsidP="00DD0F7B">
      <w:pPr>
        <w:pStyle w:val="ManualNumPar1"/>
        <w:rPr>
          <w:noProof/>
          <w:szCs w:val="28"/>
        </w:rPr>
      </w:pPr>
      <w:r w:rsidRPr="00DD0F7B">
        <w:rPr>
          <w:noProof/>
        </w:rPr>
        <w:t>8.</w:t>
      </w:r>
      <w:r w:rsidRPr="00DD0F7B">
        <w:rPr>
          <w:noProof/>
        </w:rPr>
        <w:tab/>
      </w:r>
      <w:r w:rsidR="00D014CD" w:rsidRPr="00F91EC4">
        <w:rPr>
          <w:noProof/>
        </w:rPr>
        <w:t>Cost of other administrative expenditure</w:t>
      </w:r>
      <w:r w:rsidR="00752AF8" w:rsidRPr="00F91EC4">
        <w:rPr>
          <w:noProof/>
        </w:rPr>
        <w:t xml:space="preserve"> for DG GROW and DG CLIMA</w:t>
      </w:r>
    </w:p>
    <w:p w14:paraId="4D87855F" w14:textId="77777777" w:rsidR="00D014CD" w:rsidRPr="00F91EC4" w:rsidRDefault="00D014CD" w:rsidP="00D014CD">
      <w:pPr>
        <w:pStyle w:val="Point1"/>
        <w:spacing w:after="0"/>
        <w:ind w:left="2263" w:hanging="284"/>
        <w:rPr>
          <w:noProof/>
        </w:rPr>
      </w:pPr>
      <w:r w:rsidRPr="00F91EC4">
        <w:rPr>
          <w:rFonts w:ascii="Wingdings" w:eastAsia="Wingdings" w:hAnsi="Wingdings" w:cs="Wingdings"/>
          <w:noProof/>
        </w:rPr>
        <w:t></w:t>
      </w:r>
      <w:r w:rsidRPr="00F91EC4">
        <w:rPr>
          <w:noProof/>
        </w:rPr>
        <w:tab/>
        <w:t>The proposal/initiative does not require the use of administrative appropriations</w:t>
      </w:r>
    </w:p>
    <w:p w14:paraId="63146853" w14:textId="77777777" w:rsidR="00D014CD" w:rsidRPr="00F91EC4" w:rsidRDefault="00D014CD" w:rsidP="00D014CD">
      <w:pPr>
        <w:pStyle w:val="Text1"/>
        <w:spacing w:before="0" w:after="0"/>
        <w:ind w:left="2263" w:hanging="284"/>
        <w:rPr>
          <w:noProof/>
        </w:rPr>
      </w:pPr>
      <w:r w:rsidRPr="00F91EC4">
        <w:rPr>
          <w:rFonts w:ascii="Wingdings" w:eastAsia="Wingdings" w:hAnsi="Wingdings" w:cs="Wingdings"/>
          <w:noProof/>
        </w:rPr>
        <w:t></w:t>
      </w:r>
      <w:r w:rsidRPr="00F91EC4">
        <w:rPr>
          <w:noProof/>
        </w:rPr>
        <w:tab/>
        <w:t>The proposal/initiative requires the use of administrative appropriations, as explained below:</w:t>
      </w:r>
    </w:p>
    <w:p w14:paraId="20F317B0" w14:textId="77777777" w:rsidR="00D014CD" w:rsidRPr="00F91EC4" w:rsidRDefault="00D014CD" w:rsidP="00D014CD">
      <w:pPr>
        <w:tabs>
          <w:tab w:val="left" w:pos="870"/>
        </w:tabs>
        <w:rPr>
          <w:noProof/>
          <w:sz w:val="16"/>
          <w:szCs w:val="16"/>
        </w:rPr>
      </w:pPr>
    </w:p>
    <w:p w14:paraId="28E0851E" w14:textId="77777777" w:rsidR="00D014CD" w:rsidRPr="00F91EC4" w:rsidRDefault="00D014CD" w:rsidP="00D014CD">
      <w:pPr>
        <w:jc w:val="right"/>
        <w:rPr>
          <w:i/>
          <w:noProof/>
          <w:sz w:val="20"/>
          <w:szCs w:val="20"/>
        </w:rPr>
      </w:pPr>
      <w:r w:rsidRPr="00F91EC4">
        <w:rPr>
          <w:i/>
          <w:noProof/>
          <w:sz w:val="20"/>
          <w:szCs w:val="20"/>
        </w:rPr>
        <w:t>EUR million (to three decimal places)</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rsidR="00752AF8" w:rsidRPr="00F91EC4" w14:paraId="51B5D9BC" w14:textId="77777777" w:rsidTr="00447471">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FA2FE"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HEADING 7</w:t>
            </w:r>
          </w:p>
          <w:p w14:paraId="17FCD4F9" w14:textId="77777777" w:rsidR="00752AF8" w:rsidRPr="00F91EC4" w:rsidRDefault="00752AF8" w:rsidP="00447471">
            <w:pPr>
              <w:jc w:val="center"/>
              <w:rPr>
                <w:rFonts w:ascii="Arial Narrow" w:hAnsi="Arial Narrow"/>
                <w:i/>
                <w:iCs/>
                <w:noProof/>
                <w:color w:val="000000"/>
                <w:sz w:val="20"/>
                <w:szCs w:val="20"/>
              </w:rPr>
            </w:pPr>
            <w:r w:rsidRPr="00F91EC4">
              <w:rPr>
                <w:rFonts w:ascii="Arial Narrow" w:hAnsi="Arial Narrow"/>
                <w:noProof/>
                <w:color w:val="000000"/>
                <w:sz w:val="22"/>
              </w:rPr>
              <w:t>of the multiannual financial framework</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83211C"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9A020C"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D35CA"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155F67"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F99DCC"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27A1D5"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7832A1"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3B4AEA"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Total</w:t>
            </w:r>
          </w:p>
        </w:tc>
      </w:tr>
      <w:tr w:rsidR="00752AF8" w:rsidRPr="00F91EC4" w14:paraId="0B4A681A" w14:textId="77777777" w:rsidTr="00447471">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14:paraId="486EDC42" w14:textId="77777777" w:rsidR="00752AF8" w:rsidRPr="00F91EC4" w:rsidRDefault="00752AF8" w:rsidP="00447471">
            <w:pPr>
              <w:rPr>
                <w:rFonts w:ascii="Arial Narrow" w:hAnsi="Arial Narrow"/>
                <w:b/>
                <w:bCs/>
                <w:noProof/>
                <w:color w:val="008000"/>
                <w:sz w:val="20"/>
                <w:szCs w:val="20"/>
                <w:u w:val="single"/>
              </w:rPr>
            </w:pPr>
            <w:r w:rsidRPr="00F91EC4">
              <w:rPr>
                <w:rFonts w:ascii="Arial Narrow" w:hAnsi="Arial Narrow"/>
                <w:b/>
                <w:bCs/>
                <w:noProof/>
                <w:color w:val="008000"/>
                <w:sz w:val="20"/>
                <w:szCs w:val="20"/>
                <w:u w:val="single"/>
              </w:rPr>
              <w:t>At headquarters or within EU territory: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04BD7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E4A6B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DC8E5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4CE9C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B2740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19210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15F5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AFE4B"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160B76C4"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08873A7"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06 01 - Mission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14:paraId="4DC9AF1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D4E4AD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F99D2E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417" w:type="dxa"/>
            <w:tcBorders>
              <w:top w:val="nil"/>
              <w:left w:val="nil"/>
              <w:bottom w:val="single" w:sz="4" w:space="0" w:color="auto"/>
              <w:right w:val="single" w:sz="4" w:space="0" w:color="auto"/>
            </w:tcBorders>
            <w:shd w:val="clear" w:color="auto" w:fill="auto"/>
            <w:vAlign w:val="center"/>
            <w:hideMark/>
          </w:tcPr>
          <w:p w14:paraId="5B3CB59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310561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64C3E5E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A57D38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75" w:type="dxa"/>
            <w:tcBorders>
              <w:top w:val="nil"/>
              <w:left w:val="nil"/>
              <w:bottom w:val="single" w:sz="4" w:space="0" w:color="auto"/>
              <w:right w:val="single" w:sz="4" w:space="0" w:color="auto"/>
            </w:tcBorders>
            <w:shd w:val="clear" w:color="auto" w:fill="auto"/>
            <w:vAlign w:val="center"/>
            <w:hideMark/>
          </w:tcPr>
          <w:p w14:paraId="265B424E"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0.280</w:t>
            </w:r>
          </w:p>
        </w:tc>
      </w:tr>
      <w:tr w:rsidR="00752AF8" w:rsidRPr="00F91EC4" w14:paraId="0586427B"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0D7FB2B"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06 02 - Conference and meeting costs</w:t>
            </w:r>
          </w:p>
        </w:tc>
        <w:tc>
          <w:tcPr>
            <w:tcW w:w="1275" w:type="dxa"/>
            <w:tcBorders>
              <w:top w:val="nil"/>
              <w:left w:val="nil"/>
              <w:bottom w:val="single" w:sz="4" w:space="0" w:color="auto"/>
              <w:right w:val="single" w:sz="4" w:space="0" w:color="auto"/>
            </w:tcBorders>
            <w:shd w:val="clear" w:color="auto" w:fill="auto"/>
            <w:vAlign w:val="center"/>
            <w:hideMark/>
          </w:tcPr>
          <w:p w14:paraId="08CB82C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264E43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392BB6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F2B966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6363B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9A8772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EF02B5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7EBBCBCC"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57D4F3CC"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AB1156B" w14:textId="77777777" w:rsidR="00752AF8" w:rsidRPr="00F91EC4" w:rsidRDefault="00752AF8" w:rsidP="00447471">
            <w:pPr>
              <w:rPr>
                <w:rFonts w:ascii="Calibri" w:hAnsi="Calibri"/>
                <w:noProof/>
                <w:color w:val="0000FF"/>
                <w:sz w:val="22"/>
                <w:u w:val="single"/>
              </w:rPr>
            </w:pPr>
            <w:r w:rsidRPr="00F91EC4">
              <w:rPr>
                <w:rFonts w:ascii="Arial Narrow" w:hAnsi="Arial Narrow"/>
                <w:noProof/>
                <w:sz w:val="20"/>
                <w:szCs w:val="20"/>
              </w:rPr>
              <w:t>20 02 06 03 - Committees</w:t>
            </w:r>
            <w:r w:rsidRPr="00F91EC4">
              <w:rPr>
                <w:rStyle w:val="FootnoteReference"/>
                <w:rFonts w:ascii="Arial Narrow" w:hAnsi="Arial Narrow"/>
                <w:noProof/>
                <w:sz w:val="20"/>
                <w:szCs w:val="20"/>
              </w:rPr>
              <w:footnoteReference w:id="73"/>
            </w:r>
          </w:p>
        </w:tc>
        <w:tc>
          <w:tcPr>
            <w:tcW w:w="1275" w:type="dxa"/>
            <w:tcBorders>
              <w:top w:val="nil"/>
              <w:left w:val="nil"/>
              <w:bottom w:val="single" w:sz="4" w:space="0" w:color="auto"/>
              <w:right w:val="single" w:sz="4" w:space="0" w:color="auto"/>
            </w:tcBorders>
            <w:shd w:val="clear" w:color="auto" w:fill="auto"/>
            <w:vAlign w:val="center"/>
            <w:hideMark/>
          </w:tcPr>
          <w:p w14:paraId="468F6E3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0.050</w:t>
            </w:r>
          </w:p>
        </w:tc>
        <w:tc>
          <w:tcPr>
            <w:tcW w:w="1276" w:type="dxa"/>
            <w:tcBorders>
              <w:top w:val="nil"/>
              <w:left w:val="nil"/>
              <w:bottom w:val="single" w:sz="4" w:space="0" w:color="auto"/>
              <w:right w:val="single" w:sz="4" w:space="0" w:color="auto"/>
            </w:tcBorders>
            <w:shd w:val="clear" w:color="auto" w:fill="auto"/>
            <w:vAlign w:val="center"/>
            <w:hideMark/>
          </w:tcPr>
          <w:p w14:paraId="0783B3E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0.050</w:t>
            </w:r>
          </w:p>
        </w:tc>
        <w:tc>
          <w:tcPr>
            <w:tcW w:w="1276" w:type="dxa"/>
            <w:tcBorders>
              <w:top w:val="nil"/>
              <w:left w:val="nil"/>
              <w:bottom w:val="single" w:sz="4" w:space="0" w:color="auto"/>
              <w:right w:val="single" w:sz="4" w:space="0" w:color="auto"/>
            </w:tcBorders>
            <w:shd w:val="clear" w:color="auto" w:fill="auto"/>
            <w:vAlign w:val="center"/>
            <w:hideMark/>
          </w:tcPr>
          <w:p w14:paraId="62999E2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0.050</w:t>
            </w:r>
          </w:p>
        </w:tc>
        <w:tc>
          <w:tcPr>
            <w:tcW w:w="1417" w:type="dxa"/>
            <w:tcBorders>
              <w:top w:val="nil"/>
              <w:left w:val="nil"/>
              <w:bottom w:val="single" w:sz="4" w:space="0" w:color="auto"/>
              <w:right w:val="single" w:sz="4" w:space="0" w:color="auto"/>
            </w:tcBorders>
            <w:shd w:val="clear" w:color="auto" w:fill="auto"/>
            <w:vAlign w:val="center"/>
            <w:hideMark/>
          </w:tcPr>
          <w:p w14:paraId="3A5513F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CEB9D6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6018A5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42558C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7CB2846"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0.150</w:t>
            </w:r>
          </w:p>
        </w:tc>
      </w:tr>
      <w:tr w:rsidR="00752AF8" w:rsidRPr="00F91EC4" w14:paraId="285B749A"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F99C84E"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06 04 Studies and consultations</w:t>
            </w:r>
          </w:p>
        </w:tc>
        <w:tc>
          <w:tcPr>
            <w:tcW w:w="1275" w:type="dxa"/>
            <w:tcBorders>
              <w:top w:val="nil"/>
              <w:left w:val="nil"/>
              <w:bottom w:val="single" w:sz="4" w:space="0" w:color="auto"/>
              <w:right w:val="single" w:sz="4" w:space="0" w:color="auto"/>
            </w:tcBorders>
            <w:shd w:val="clear" w:color="auto" w:fill="auto"/>
            <w:vAlign w:val="center"/>
            <w:hideMark/>
          </w:tcPr>
          <w:p w14:paraId="69A6211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550578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639DC2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4BEF04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C13904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593DDF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4B85B9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F9DEB5F"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35F960B1"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79510A9"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04 – IT expenditure (corporate)</w:t>
            </w:r>
            <w:r w:rsidRPr="00F91EC4">
              <w:rPr>
                <w:rStyle w:val="FootnoteReference"/>
                <w:rFonts w:ascii="Arial Narrow" w:hAnsi="Arial Narrow"/>
                <w:noProof/>
                <w:color w:val="000000"/>
                <w:sz w:val="20"/>
                <w:szCs w:val="20"/>
              </w:rPr>
              <w:footnoteReference w:id="74"/>
            </w:r>
            <w:r w:rsidRPr="00F91EC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CACFFA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3D7B45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52DE97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D63144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D0D1C7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0AD29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93C880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23C14DE"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293741DE"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AFF2A30"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Other budget lines non-HR related (</w:t>
            </w:r>
            <w:r w:rsidRPr="00F91EC4">
              <w:rPr>
                <w:rFonts w:ascii="Arial Narrow" w:hAnsi="Arial Narrow"/>
                <w:i/>
                <w:iCs/>
                <w:noProof/>
                <w:color w:val="000000"/>
                <w:sz w:val="20"/>
                <w:szCs w:val="20"/>
              </w:rPr>
              <w:t>specify where necessary</w:t>
            </w:r>
            <w:r w:rsidRPr="00F91EC4">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6A023CA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2DD4B2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E99D0E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DEFA90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E35129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518086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606F217"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3824FAC"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21524BCF"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14:paraId="47E6A6F5" w14:textId="77777777" w:rsidR="00752AF8" w:rsidRPr="00F91EC4" w:rsidRDefault="00752AF8" w:rsidP="00447471">
            <w:pPr>
              <w:rPr>
                <w:rFonts w:ascii="Arial Narrow" w:hAnsi="Arial Narrow"/>
                <w:b/>
                <w:bCs/>
                <w:noProof/>
                <w:color w:val="008000"/>
                <w:sz w:val="20"/>
                <w:szCs w:val="20"/>
                <w:u w:val="single"/>
              </w:rPr>
            </w:pPr>
            <w:r w:rsidRPr="00F91EC4">
              <w:rPr>
                <w:rFonts w:ascii="Arial Narrow" w:hAnsi="Arial Narrow"/>
                <w:b/>
                <w:bCs/>
                <w:noProof/>
                <w:color w:val="008000"/>
                <w:sz w:val="20"/>
                <w:szCs w:val="20"/>
                <w:u w:val="single"/>
              </w:rPr>
              <w:t>In Union delegations</w:t>
            </w:r>
          </w:p>
        </w:tc>
        <w:tc>
          <w:tcPr>
            <w:tcW w:w="1275" w:type="dxa"/>
            <w:tcBorders>
              <w:top w:val="nil"/>
              <w:left w:val="nil"/>
              <w:bottom w:val="single" w:sz="4" w:space="0" w:color="auto"/>
              <w:right w:val="single" w:sz="4" w:space="0" w:color="auto"/>
            </w:tcBorders>
            <w:shd w:val="clear" w:color="auto" w:fill="auto"/>
            <w:vAlign w:val="center"/>
            <w:hideMark/>
          </w:tcPr>
          <w:p w14:paraId="769FDF8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E4EB4F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C81B58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71F079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C73011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2FEF75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A64F41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DF5FF5C"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5CC31CB1"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D330070"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07 01 - Missions, conferences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14:paraId="58A4CA6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4F521F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25C19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27FF60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20D306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F07719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B9D2C8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7C146BA"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36C06807"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430AB4F"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02 07 02 - Further training of staff</w:t>
            </w:r>
          </w:p>
        </w:tc>
        <w:tc>
          <w:tcPr>
            <w:tcW w:w="1275" w:type="dxa"/>
            <w:tcBorders>
              <w:top w:val="nil"/>
              <w:left w:val="nil"/>
              <w:bottom w:val="single" w:sz="4" w:space="0" w:color="auto"/>
              <w:right w:val="single" w:sz="4" w:space="0" w:color="auto"/>
            </w:tcBorders>
            <w:shd w:val="clear" w:color="auto" w:fill="auto"/>
            <w:vAlign w:val="center"/>
          </w:tcPr>
          <w:p w14:paraId="1A28DCF4" w14:textId="77777777" w:rsidR="00752AF8" w:rsidRPr="00F91EC4" w:rsidRDefault="00752AF8" w:rsidP="00447471">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2CB13BA8" w14:textId="77777777" w:rsidR="00752AF8" w:rsidRPr="00F91EC4" w:rsidRDefault="00752AF8" w:rsidP="00447471">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264A6CA8" w14:textId="77777777" w:rsidR="00752AF8" w:rsidRPr="00F91EC4" w:rsidRDefault="00752AF8" w:rsidP="00447471">
            <w:pPr>
              <w:jc w:val="center"/>
              <w:rPr>
                <w:rFonts w:ascii="Arial Narrow" w:hAnsi="Arial Narrow"/>
                <w:noProof/>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0372D98" w14:textId="77777777" w:rsidR="00752AF8" w:rsidRPr="00F91EC4" w:rsidRDefault="00752AF8" w:rsidP="00447471">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2FDCDB6A" w14:textId="77777777" w:rsidR="00752AF8" w:rsidRPr="00F91EC4" w:rsidRDefault="00752AF8" w:rsidP="00447471">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46DA3804" w14:textId="77777777" w:rsidR="00752AF8" w:rsidRPr="00F91EC4" w:rsidRDefault="00752AF8" w:rsidP="00447471">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3CA3C85F" w14:textId="77777777" w:rsidR="00752AF8" w:rsidRPr="00F91EC4" w:rsidRDefault="00752AF8" w:rsidP="00447471">
            <w:pPr>
              <w:jc w:val="center"/>
              <w:rPr>
                <w:rFonts w:ascii="Arial Narrow" w:hAnsi="Arial Narrow"/>
                <w:noProof/>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14:paraId="724AB2F5" w14:textId="77777777" w:rsidR="00752AF8" w:rsidRPr="00F91EC4" w:rsidRDefault="00752AF8" w:rsidP="00447471">
            <w:pPr>
              <w:jc w:val="center"/>
              <w:rPr>
                <w:rFonts w:ascii="Arial Narrow" w:hAnsi="Arial Narrow"/>
                <w:b/>
                <w:bCs/>
                <w:noProof/>
                <w:color w:val="000000"/>
                <w:sz w:val="20"/>
                <w:szCs w:val="20"/>
              </w:rPr>
            </w:pPr>
          </w:p>
        </w:tc>
      </w:tr>
      <w:tr w:rsidR="00752AF8" w:rsidRPr="00F91EC4" w14:paraId="3F40B516"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E63944F"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20 03 05 – Infrastructure and logistics</w:t>
            </w:r>
          </w:p>
        </w:tc>
        <w:tc>
          <w:tcPr>
            <w:tcW w:w="1275" w:type="dxa"/>
            <w:tcBorders>
              <w:top w:val="nil"/>
              <w:left w:val="nil"/>
              <w:bottom w:val="single" w:sz="4" w:space="0" w:color="auto"/>
              <w:right w:val="single" w:sz="4" w:space="0" w:color="auto"/>
            </w:tcBorders>
            <w:shd w:val="clear" w:color="auto" w:fill="auto"/>
            <w:vAlign w:val="center"/>
            <w:hideMark/>
          </w:tcPr>
          <w:p w14:paraId="1D3D644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73CDFD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5652CF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57A564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14D6A4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1F37A1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49EA835"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75A7BE69"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77BC8B47"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06FD90C"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Other budget lines non-HR related (</w:t>
            </w:r>
            <w:r w:rsidRPr="00F91EC4">
              <w:rPr>
                <w:rFonts w:ascii="Arial Narrow" w:hAnsi="Arial Narrow"/>
                <w:i/>
                <w:iCs/>
                <w:noProof/>
                <w:color w:val="000000"/>
                <w:sz w:val="20"/>
                <w:szCs w:val="20"/>
              </w:rPr>
              <w:t>specify where necessary</w:t>
            </w:r>
            <w:r w:rsidRPr="00F91EC4">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4DE662D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A6AEF3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368807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B14A9B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2BEFD69"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40C86A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F958E0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7767D94"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7CA498A6" w14:textId="77777777" w:rsidTr="00447471">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0DF1"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Subtotal Other - HEADING 7</w:t>
            </w:r>
          </w:p>
          <w:p w14:paraId="5C7BA6CC"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noProof/>
                <w:color w:val="000000"/>
                <w:sz w:val="22"/>
              </w:rPr>
              <w:t>of the multiannual financial framework</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EBACE8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92ED6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A9B39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r w:rsidRPr="00F91EC4" w:rsidDel="00336942">
              <w:rPr>
                <w:rFonts w:ascii="Arial Narrow" w:hAnsi="Arial Narrow"/>
                <w:noProof/>
                <w:color w:val="000000"/>
                <w:sz w:val="20"/>
                <w:szCs w:val="20"/>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35BDD1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3E3D8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CC6E3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AE0B7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4FA2D32"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0.430</w:t>
            </w:r>
          </w:p>
        </w:tc>
      </w:tr>
    </w:tbl>
    <w:p w14:paraId="51810F11" w14:textId="77777777" w:rsidR="00D014CD" w:rsidRPr="00F91EC4" w:rsidRDefault="00D014CD" w:rsidP="00D014CD">
      <w:pPr>
        <w:rPr>
          <w:rFonts w:ascii="Arial Narrow" w:hAnsi="Arial Narrow"/>
          <w:b/>
          <w:noProof/>
          <w:color w:val="0000FF"/>
          <w:sz w:val="20"/>
          <w:szCs w:val="20"/>
        </w:rPr>
      </w:pPr>
    </w:p>
    <w:p w14:paraId="5F2BD544" w14:textId="77777777" w:rsidR="00D014CD" w:rsidRPr="00F91EC4" w:rsidRDefault="00D014CD" w:rsidP="00D014CD">
      <w:pPr>
        <w:ind w:right="-496"/>
        <w:jc w:val="right"/>
        <w:rPr>
          <w:i/>
          <w:iCs/>
          <w:noProof/>
          <w:sz w:val="20"/>
          <w:szCs w:val="20"/>
        </w:rPr>
      </w:pPr>
      <w:r w:rsidRPr="00F91EC4">
        <w:rPr>
          <w:i/>
          <w:noProof/>
          <w:sz w:val="20"/>
          <w:szCs w:val="20"/>
        </w:rPr>
        <w:t>EUR million (to three decimal places)</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rsidR="00D014CD" w:rsidRPr="00F91EC4" w14:paraId="247C3B37" w14:textId="77777777" w:rsidTr="00D014CD">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A18698" w14:textId="77777777" w:rsidR="00D014CD" w:rsidRPr="00F91EC4" w:rsidRDefault="00D014CD" w:rsidP="00D014CD">
            <w:pPr>
              <w:jc w:val="center"/>
              <w:rPr>
                <w:rFonts w:ascii="Arial Narrow" w:hAnsi="Arial Narrow"/>
                <w:noProof/>
                <w:color w:val="000000"/>
                <w:sz w:val="22"/>
              </w:rPr>
            </w:pPr>
            <w:r w:rsidRPr="00F91EC4">
              <w:rPr>
                <w:rFonts w:ascii="Arial Narrow" w:hAnsi="Arial Narrow"/>
                <w:b/>
                <w:bCs/>
                <w:noProof/>
                <w:color w:val="000000"/>
                <w:sz w:val="22"/>
              </w:rPr>
              <w:t>Outside HEADING 7</w:t>
            </w:r>
            <w:r w:rsidRPr="00F91EC4">
              <w:rPr>
                <w:rFonts w:ascii="Arial Narrow" w:hAnsi="Arial Narrow"/>
                <w:noProof/>
                <w:color w:val="000000"/>
                <w:sz w:val="22"/>
              </w:rPr>
              <w:t xml:space="preserve"> </w:t>
            </w:r>
          </w:p>
          <w:p w14:paraId="62B5367B"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noProof/>
                <w:color w:val="000000"/>
                <w:sz w:val="22"/>
              </w:rPr>
              <w:t>of the multiannual financial framework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EE8A"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E870684"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2023</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D11BC64"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2024</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C74F1E9"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D717095"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2026</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3F8BE32"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2027</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8A57B9A" w14:textId="77777777" w:rsidR="00D014CD" w:rsidRPr="00F91EC4" w:rsidRDefault="00D014CD" w:rsidP="00D014CD">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2028</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6F838B19"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Total</w:t>
            </w:r>
          </w:p>
        </w:tc>
      </w:tr>
      <w:tr w:rsidR="00D014CD" w:rsidRPr="00F91EC4" w14:paraId="4532ED49" w14:textId="77777777" w:rsidTr="00D014CD">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CF86DA5"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Expenditure on technical and administrative assistance (</w:t>
            </w:r>
            <w:r w:rsidRPr="00F91EC4">
              <w:rPr>
                <w:rFonts w:ascii="Arial Narrow" w:hAnsi="Arial Narrow"/>
                <w:noProof/>
                <w:color w:val="000000"/>
                <w:sz w:val="20"/>
                <w:szCs w:val="20"/>
                <w:u w:val="single"/>
              </w:rPr>
              <w:t>not including</w:t>
            </w:r>
            <w:r w:rsidRPr="00F91EC4">
              <w:rPr>
                <w:rFonts w:ascii="Arial Narrow" w:hAnsi="Arial Narrow"/>
                <w:noProof/>
                <w:color w:val="000000"/>
                <w:sz w:val="20"/>
                <w:szCs w:val="20"/>
              </w:rPr>
              <w:t xml:space="preserve"> external staff) from operational appropriations (former 'BA' lines):</w:t>
            </w:r>
          </w:p>
        </w:tc>
        <w:tc>
          <w:tcPr>
            <w:tcW w:w="1276" w:type="dxa"/>
            <w:tcBorders>
              <w:top w:val="nil"/>
              <w:left w:val="nil"/>
              <w:bottom w:val="single" w:sz="4" w:space="0" w:color="auto"/>
              <w:right w:val="single" w:sz="4" w:space="0" w:color="auto"/>
            </w:tcBorders>
            <w:shd w:val="clear" w:color="auto" w:fill="auto"/>
            <w:vAlign w:val="center"/>
            <w:hideMark/>
          </w:tcPr>
          <w:p w14:paraId="7193236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34C2767F"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2348A9A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35A11208"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7F3D96B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CCEF0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68FBEBFD"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23992526"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D014CD" w:rsidRPr="00F91EC4" w14:paraId="65DE5E7F"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DC5D220" w14:textId="77777777" w:rsidR="00D014CD" w:rsidRPr="00F91EC4" w:rsidRDefault="00D014CD" w:rsidP="00D014CD">
            <w:pPr>
              <w:ind w:firstLineChars="100" w:firstLine="200"/>
              <w:rPr>
                <w:rFonts w:ascii="Arial Narrow" w:hAnsi="Arial Narrow"/>
                <w:noProof/>
                <w:color w:val="000000"/>
                <w:sz w:val="20"/>
                <w:szCs w:val="20"/>
              </w:rPr>
            </w:pPr>
            <w:r w:rsidRPr="00F91EC4">
              <w:rPr>
                <w:rFonts w:ascii="Arial Narrow" w:hAnsi="Arial Narrow"/>
                <w:noProof/>
                <w:color w:val="000000"/>
                <w:sz w:val="20"/>
                <w:szCs w:val="20"/>
              </w:rPr>
              <w:t>- at Headquarters</w:t>
            </w:r>
          </w:p>
        </w:tc>
        <w:tc>
          <w:tcPr>
            <w:tcW w:w="1276" w:type="dxa"/>
            <w:tcBorders>
              <w:top w:val="nil"/>
              <w:left w:val="nil"/>
              <w:bottom w:val="single" w:sz="4" w:space="0" w:color="auto"/>
              <w:right w:val="single" w:sz="4" w:space="0" w:color="auto"/>
            </w:tcBorders>
            <w:shd w:val="clear" w:color="auto" w:fill="auto"/>
            <w:vAlign w:val="center"/>
            <w:hideMark/>
          </w:tcPr>
          <w:p w14:paraId="391AEFD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96FD94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32EE7DC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025B71F1"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92EE4B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70858B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463FF2A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1E4C0812"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D014CD" w:rsidRPr="00F91EC4" w14:paraId="076273B4"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EDC24AD" w14:textId="77777777" w:rsidR="00D014CD" w:rsidRPr="00F91EC4" w:rsidRDefault="00D014CD" w:rsidP="00D014CD">
            <w:pPr>
              <w:ind w:firstLineChars="100" w:firstLine="200"/>
              <w:rPr>
                <w:rFonts w:ascii="Arial Narrow" w:hAnsi="Arial Narrow"/>
                <w:noProof/>
                <w:color w:val="000000"/>
                <w:sz w:val="20"/>
                <w:szCs w:val="20"/>
              </w:rPr>
            </w:pPr>
            <w:r w:rsidRPr="00F91EC4">
              <w:rPr>
                <w:rFonts w:ascii="Arial Narrow" w:hAnsi="Arial Narrow"/>
                <w:noProof/>
                <w:color w:val="000000"/>
                <w:sz w:val="20"/>
                <w:szCs w:val="20"/>
              </w:rPr>
              <w:t>- in Union delegations</w:t>
            </w:r>
          </w:p>
        </w:tc>
        <w:tc>
          <w:tcPr>
            <w:tcW w:w="1276" w:type="dxa"/>
            <w:tcBorders>
              <w:top w:val="nil"/>
              <w:left w:val="nil"/>
              <w:bottom w:val="single" w:sz="4" w:space="0" w:color="auto"/>
              <w:right w:val="single" w:sz="4" w:space="0" w:color="auto"/>
            </w:tcBorders>
            <w:shd w:val="clear" w:color="auto" w:fill="auto"/>
            <w:vAlign w:val="center"/>
            <w:hideMark/>
          </w:tcPr>
          <w:p w14:paraId="7E77C1F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358CE4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10EEB12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300E9E2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3BD5089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B86AD0"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1BE6B07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7C0C854A"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D014CD" w:rsidRPr="00F91EC4" w14:paraId="57AB5AC3"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66FD71C4"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Other management expenditure for research</w:t>
            </w:r>
          </w:p>
        </w:tc>
        <w:tc>
          <w:tcPr>
            <w:tcW w:w="1276" w:type="dxa"/>
            <w:tcBorders>
              <w:top w:val="nil"/>
              <w:left w:val="nil"/>
              <w:bottom w:val="single" w:sz="4" w:space="0" w:color="auto"/>
              <w:right w:val="single" w:sz="4" w:space="0" w:color="auto"/>
            </w:tcBorders>
            <w:shd w:val="clear" w:color="auto" w:fill="auto"/>
            <w:vAlign w:val="center"/>
            <w:hideMark/>
          </w:tcPr>
          <w:p w14:paraId="240260F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A4DD73E"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6747294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3006AA9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ACBF027"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CC8B49A"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4AC546C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0D38D0B5"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D014CD" w:rsidRPr="00F91EC4" w14:paraId="4B7DB557"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63C5CEB8"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Policy IT expenditure on operational programmes</w:t>
            </w:r>
            <w:r w:rsidRPr="00F91EC4">
              <w:rPr>
                <w:rStyle w:val="FootnoteReference"/>
                <w:rFonts w:ascii="Arial Narrow" w:hAnsi="Arial Narrow"/>
                <w:noProof/>
                <w:color w:val="000000"/>
                <w:sz w:val="20"/>
                <w:szCs w:val="20"/>
              </w:rPr>
              <w:footnoteReference w:id="75"/>
            </w:r>
            <w:r w:rsidRPr="00F91EC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14:paraId="3698478E" w14:textId="77777777" w:rsidR="00D014CD" w:rsidRPr="00F91EC4" w:rsidRDefault="00D014CD" w:rsidP="00D014CD">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0AFDDCD8" w14:textId="77777777" w:rsidR="00D014CD" w:rsidRPr="00F91EC4" w:rsidRDefault="00D014CD" w:rsidP="00D014CD">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480DFE2B" w14:textId="77777777" w:rsidR="00D014CD" w:rsidRPr="00F91EC4" w:rsidRDefault="00D014CD" w:rsidP="00D014CD">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BDC9E32" w14:textId="77777777" w:rsidR="00D014CD" w:rsidRPr="00F91EC4" w:rsidRDefault="00D014CD" w:rsidP="00D014CD">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39ADD78E" w14:textId="77777777" w:rsidR="00D014CD" w:rsidRPr="00F91EC4" w:rsidRDefault="00D014CD" w:rsidP="00D014CD">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5D3331EF" w14:textId="77777777" w:rsidR="00D014CD" w:rsidRPr="00F91EC4" w:rsidRDefault="00D014CD" w:rsidP="00D014CD">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100F8561" w14:textId="77777777" w:rsidR="00D014CD" w:rsidRPr="00F91EC4" w:rsidRDefault="00D014CD" w:rsidP="00D014CD">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3E7C8EC3" w14:textId="77777777" w:rsidR="00D014CD" w:rsidRPr="00F91EC4" w:rsidRDefault="00D014CD" w:rsidP="00D014CD">
            <w:pPr>
              <w:jc w:val="center"/>
              <w:rPr>
                <w:rFonts w:ascii="Arial Narrow" w:hAnsi="Arial Narrow"/>
                <w:b/>
                <w:bCs/>
                <w:noProof/>
                <w:color w:val="000000"/>
                <w:sz w:val="20"/>
                <w:szCs w:val="20"/>
              </w:rPr>
            </w:pPr>
          </w:p>
        </w:tc>
      </w:tr>
      <w:tr w:rsidR="00D014CD" w:rsidRPr="00F91EC4" w14:paraId="7F952664"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30A2B707"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Corporate IT expenditure on operational programmes</w:t>
            </w:r>
            <w:r w:rsidRPr="00F91EC4">
              <w:rPr>
                <w:rStyle w:val="FootnoteReference"/>
                <w:rFonts w:ascii="Arial Narrow" w:hAnsi="Arial Narrow"/>
                <w:noProof/>
                <w:color w:val="000000"/>
                <w:sz w:val="20"/>
                <w:szCs w:val="20"/>
              </w:rPr>
              <w:footnoteReference w:id="76"/>
            </w:r>
          </w:p>
        </w:tc>
        <w:tc>
          <w:tcPr>
            <w:tcW w:w="1276" w:type="dxa"/>
            <w:tcBorders>
              <w:top w:val="nil"/>
              <w:left w:val="nil"/>
              <w:bottom w:val="single" w:sz="4" w:space="0" w:color="auto"/>
              <w:right w:val="single" w:sz="4" w:space="0" w:color="auto"/>
            </w:tcBorders>
            <w:shd w:val="clear" w:color="auto" w:fill="auto"/>
            <w:vAlign w:val="center"/>
          </w:tcPr>
          <w:p w14:paraId="6D545B03" w14:textId="77777777" w:rsidR="00D014CD" w:rsidRPr="00F91EC4" w:rsidRDefault="00D014CD" w:rsidP="00D014CD">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58346944" w14:textId="77777777" w:rsidR="00D014CD" w:rsidRPr="00F91EC4" w:rsidRDefault="00D014CD" w:rsidP="00D014CD">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6DB7342F" w14:textId="77777777" w:rsidR="00D014CD" w:rsidRPr="00F91EC4" w:rsidRDefault="00D014CD" w:rsidP="00D014CD">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859F127" w14:textId="77777777" w:rsidR="00D014CD" w:rsidRPr="00F91EC4" w:rsidRDefault="00D014CD" w:rsidP="00D014CD">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1D85253C" w14:textId="77777777" w:rsidR="00D014CD" w:rsidRPr="00F91EC4" w:rsidRDefault="00D014CD" w:rsidP="00D014CD">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17F22DE4" w14:textId="77777777" w:rsidR="00D014CD" w:rsidRPr="00F91EC4" w:rsidRDefault="00D014CD" w:rsidP="00D014CD">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40D7350E" w14:textId="77777777" w:rsidR="00D014CD" w:rsidRPr="00F91EC4" w:rsidRDefault="00D014CD" w:rsidP="00D014CD">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1B1B40E4" w14:textId="77777777" w:rsidR="00D014CD" w:rsidRPr="00F91EC4" w:rsidRDefault="00D014CD" w:rsidP="00D014CD">
            <w:pPr>
              <w:jc w:val="center"/>
              <w:rPr>
                <w:rFonts w:ascii="Arial Narrow" w:hAnsi="Arial Narrow"/>
                <w:b/>
                <w:bCs/>
                <w:noProof/>
                <w:color w:val="000000"/>
                <w:sz w:val="20"/>
                <w:szCs w:val="20"/>
              </w:rPr>
            </w:pPr>
          </w:p>
        </w:tc>
      </w:tr>
      <w:tr w:rsidR="00D014CD" w:rsidRPr="00F91EC4" w14:paraId="3A906B4B"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7EEDA0B" w14:textId="77777777" w:rsidR="00D014CD" w:rsidRPr="00F91EC4" w:rsidRDefault="00D014CD" w:rsidP="00D014CD">
            <w:pPr>
              <w:rPr>
                <w:rFonts w:ascii="Arial Narrow" w:hAnsi="Arial Narrow"/>
                <w:noProof/>
                <w:color w:val="000000"/>
                <w:sz w:val="20"/>
                <w:szCs w:val="20"/>
              </w:rPr>
            </w:pPr>
            <w:r w:rsidRPr="00F91EC4">
              <w:rPr>
                <w:rFonts w:ascii="Arial Narrow" w:hAnsi="Arial Narrow"/>
                <w:noProof/>
                <w:color w:val="000000"/>
                <w:sz w:val="20"/>
                <w:szCs w:val="20"/>
              </w:rPr>
              <w:t>Other budget lines non-HR related (</w:t>
            </w:r>
            <w:r w:rsidRPr="00F91EC4">
              <w:rPr>
                <w:rFonts w:ascii="Arial Narrow" w:hAnsi="Arial Narrow"/>
                <w:i/>
                <w:iCs/>
                <w:noProof/>
                <w:color w:val="000000"/>
                <w:sz w:val="20"/>
                <w:szCs w:val="20"/>
              </w:rPr>
              <w:t>specify where necessary</w:t>
            </w:r>
            <w:r w:rsidRPr="00F91EC4">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12F9A75"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A4558C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316B1E0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756B258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2A8B1D4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EF356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34DFF5D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0EE677D9"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D014CD" w:rsidRPr="00F91EC4" w14:paraId="49175ABE" w14:textId="77777777" w:rsidTr="00D014CD">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DD35"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b/>
                <w:bCs/>
                <w:noProof/>
                <w:color w:val="000000"/>
                <w:sz w:val="22"/>
              </w:rPr>
              <w:t>Sub-total Other – Outside HEADING 7</w:t>
            </w:r>
          </w:p>
          <w:p w14:paraId="71E32699" w14:textId="77777777" w:rsidR="00D014CD" w:rsidRPr="00F91EC4" w:rsidRDefault="00D014CD" w:rsidP="00D014CD">
            <w:pPr>
              <w:jc w:val="center"/>
              <w:rPr>
                <w:rFonts w:ascii="Arial Narrow" w:hAnsi="Arial Narrow"/>
                <w:b/>
                <w:bCs/>
                <w:noProof/>
                <w:color w:val="000000"/>
                <w:sz w:val="22"/>
              </w:rPr>
            </w:pPr>
            <w:r w:rsidRPr="00F91EC4">
              <w:rPr>
                <w:rFonts w:ascii="Arial Narrow" w:hAnsi="Arial Narrow"/>
                <w:noProof/>
                <w:color w:val="000000"/>
                <w:sz w:val="22"/>
              </w:rPr>
              <w:t>of the multiannual financial framework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4CAE73"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14:paraId="42CD36C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55BBA206"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1A439454"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2D9E0D52"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14:paraId="2371BC1C"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14:paraId="5D4A5649" w14:textId="77777777" w:rsidR="00D014CD" w:rsidRPr="00F91EC4" w:rsidRDefault="00D014CD" w:rsidP="00D014CD">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7DD1FBD" w14:textId="77777777" w:rsidR="00D014CD" w:rsidRPr="00F91EC4" w:rsidRDefault="00D014CD" w:rsidP="00D014CD">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5F8737A2" w14:textId="77777777" w:rsidTr="00D014CD">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00116FF" w14:textId="77777777" w:rsidR="00752AF8" w:rsidRPr="00F91EC4" w:rsidRDefault="00752AF8" w:rsidP="00752AF8">
            <w:pPr>
              <w:jc w:val="center"/>
              <w:rPr>
                <w:rFonts w:ascii="Arial Narrow" w:hAnsi="Arial Narrow"/>
                <w:b/>
                <w:bCs/>
                <w:noProof/>
                <w:color w:val="000000"/>
                <w:sz w:val="22"/>
              </w:rPr>
            </w:pPr>
            <w:r w:rsidRPr="00F91EC4">
              <w:rPr>
                <w:rFonts w:ascii="Arial Narrow" w:hAnsi="Arial Narrow"/>
                <w:b/>
                <w:bCs/>
                <w:noProof/>
                <w:color w:val="000000"/>
                <w:sz w:val="22"/>
              </w:rPr>
              <w:t>Total Other admin expenditure (all MFFHeadings)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C04A9"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7ABA0EF"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3E49CCFD"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0.090</w:t>
            </w:r>
            <w:r w:rsidRPr="00F91EC4" w:rsidDel="00336942">
              <w:rPr>
                <w:rFonts w:ascii="Arial Narrow" w:hAnsi="Arial Narrow"/>
                <w:noProof/>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049C96C"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9C100F7"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C4EB735"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2D73DEE"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noProof/>
                <w:color w:val="000000"/>
                <w:sz w:val="20"/>
                <w:szCs w:val="20"/>
              </w:rPr>
              <w:t>0.040</w:t>
            </w:r>
            <w:r w:rsidRPr="00F91EC4" w:rsidDel="00336942">
              <w:rPr>
                <w:rFonts w:ascii="Arial Narrow" w:hAnsi="Arial Narrow"/>
                <w:noProof/>
                <w:color w:val="000000"/>
                <w:sz w:val="20"/>
                <w:szCs w:val="20"/>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66F867C" w14:textId="77777777" w:rsidR="00752AF8" w:rsidRPr="00F91EC4" w:rsidRDefault="00752AF8" w:rsidP="00752AF8">
            <w:pPr>
              <w:jc w:val="center"/>
              <w:rPr>
                <w:rFonts w:ascii="Arial Narrow" w:hAnsi="Arial Narrow"/>
                <w:noProof/>
                <w:color w:val="000000"/>
                <w:sz w:val="20"/>
                <w:szCs w:val="20"/>
              </w:rPr>
            </w:pPr>
            <w:r w:rsidRPr="00F91EC4">
              <w:rPr>
                <w:rFonts w:ascii="Arial Narrow" w:hAnsi="Arial Narrow"/>
                <w:b/>
                <w:bCs/>
                <w:noProof/>
                <w:color w:val="000000"/>
                <w:sz w:val="20"/>
                <w:szCs w:val="20"/>
              </w:rPr>
              <w:t>0.430</w:t>
            </w:r>
          </w:p>
        </w:tc>
      </w:tr>
    </w:tbl>
    <w:p w14:paraId="616E33F7" w14:textId="77777777" w:rsidR="00D014CD" w:rsidRPr="00F91EC4" w:rsidRDefault="00D014CD" w:rsidP="00D014CD">
      <w:pPr>
        <w:ind w:right="-496"/>
        <w:rPr>
          <w:rFonts w:ascii="Arial Narrow" w:hAnsi="Arial Narrow"/>
          <w:b/>
          <w:noProof/>
          <w:color w:val="0000FF"/>
          <w:sz w:val="20"/>
          <w:szCs w:val="20"/>
        </w:rPr>
      </w:pPr>
    </w:p>
    <w:p w14:paraId="5BCC7D12" w14:textId="77777777" w:rsidR="00D014CD" w:rsidRPr="00F91EC4" w:rsidRDefault="00D014CD" w:rsidP="00D014CD">
      <w:pPr>
        <w:spacing w:after="200" w:line="276" w:lineRule="auto"/>
        <w:rPr>
          <w:b/>
          <w:noProof/>
          <w:color w:val="0000FF"/>
          <w:sz w:val="20"/>
          <w:szCs w:val="20"/>
        </w:rPr>
      </w:pPr>
      <w:r w:rsidRPr="00F91EC4">
        <w:rPr>
          <w:b/>
          <w:noProof/>
          <w:color w:val="0000FF"/>
          <w:sz w:val="20"/>
          <w:szCs w:val="20"/>
        </w:rPr>
        <w:br w:type="page"/>
      </w:r>
    </w:p>
    <w:p w14:paraId="4EE6FC6C" w14:textId="77777777" w:rsidR="00D014CD" w:rsidRPr="00F91EC4" w:rsidRDefault="00D014CD" w:rsidP="00D014CD">
      <w:pPr>
        <w:ind w:right="-496"/>
        <w:rPr>
          <w:b/>
          <w:noProof/>
          <w:color w:val="0000FF"/>
          <w:sz w:val="20"/>
          <w:szCs w:val="20"/>
        </w:rPr>
      </w:pPr>
    </w:p>
    <w:p w14:paraId="0E6E8FC2" w14:textId="5A42EE2B" w:rsidR="00D014CD" w:rsidRPr="00F91EC4" w:rsidRDefault="00DD0F7B" w:rsidP="00DD0F7B">
      <w:pPr>
        <w:pStyle w:val="ManualNumPar1"/>
        <w:rPr>
          <w:noProof/>
          <w:szCs w:val="28"/>
        </w:rPr>
      </w:pPr>
      <w:r w:rsidRPr="00DD0F7B">
        <w:rPr>
          <w:noProof/>
        </w:rPr>
        <w:t>9.</w:t>
      </w:r>
      <w:r w:rsidRPr="00DD0F7B">
        <w:rPr>
          <w:noProof/>
        </w:rPr>
        <w:tab/>
      </w:r>
      <w:r w:rsidR="00D014CD" w:rsidRPr="00F91EC4">
        <w:rPr>
          <w:noProof/>
        </w:rPr>
        <w:t xml:space="preserve">Total administrative costs </w:t>
      </w:r>
      <w:r w:rsidR="00752AF8" w:rsidRPr="00F91EC4">
        <w:rPr>
          <w:noProof/>
        </w:rPr>
        <w:t xml:space="preserve">for DG GROW and DG CLIMA </w:t>
      </w:r>
      <w:r w:rsidR="00D014CD" w:rsidRPr="00F91EC4">
        <w:rPr>
          <w:noProof/>
        </w:rPr>
        <w:t>(all Headings MFF)</w:t>
      </w:r>
    </w:p>
    <w:p w14:paraId="428DB4C2" w14:textId="77777777" w:rsidR="00D014CD" w:rsidRPr="00F91EC4" w:rsidRDefault="00D014CD" w:rsidP="00D014CD">
      <w:pPr>
        <w:ind w:right="-496"/>
        <w:rPr>
          <w:rFonts w:ascii="Arial Narrow" w:hAnsi="Arial Narrow"/>
          <w:b/>
          <w:noProof/>
          <w:color w:val="0000FF"/>
          <w:sz w:val="20"/>
          <w:szCs w:val="20"/>
        </w:rPr>
      </w:pPr>
    </w:p>
    <w:p w14:paraId="515C418E" w14:textId="77777777" w:rsidR="00752AF8" w:rsidRPr="00F91EC4" w:rsidRDefault="00752AF8" w:rsidP="00752AF8">
      <w:pPr>
        <w:ind w:right="-496"/>
        <w:jc w:val="right"/>
        <w:rPr>
          <w:i/>
          <w:iCs/>
          <w:noProof/>
          <w:sz w:val="20"/>
          <w:szCs w:val="20"/>
        </w:rPr>
      </w:pPr>
      <w:r w:rsidRPr="00F91EC4">
        <w:rPr>
          <w:i/>
          <w:noProof/>
          <w:sz w:val="20"/>
          <w:szCs w:val="20"/>
        </w:rPr>
        <w:t>EUR million (to three decimal places)</w:t>
      </w:r>
    </w:p>
    <w:tbl>
      <w:tblPr>
        <w:tblW w:w="14670" w:type="dxa"/>
        <w:jc w:val="center"/>
        <w:tblLook w:val="04A0" w:firstRow="1" w:lastRow="0" w:firstColumn="1" w:lastColumn="0" w:noHBand="0" w:noVBand="1"/>
      </w:tblPr>
      <w:tblGrid>
        <w:gridCol w:w="4346"/>
        <w:gridCol w:w="1273"/>
        <w:gridCol w:w="1247"/>
        <w:gridCol w:w="25"/>
        <w:gridCol w:w="1235"/>
        <w:gridCol w:w="38"/>
        <w:gridCol w:w="1273"/>
        <w:gridCol w:w="1273"/>
        <w:gridCol w:w="29"/>
        <w:gridCol w:w="1243"/>
        <w:gridCol w:w="60"/>
        <w:gridCol w:w="1355"/>
        <w:gridCol w:w="1234"/>
        <w:gridCol w:w="39"/>
      </w:tblGrid>
      <w:tr w:rsidR="00752AF8" w:rsidRPr="00F91EC4" w14:paraId="41BEA882" w14:textId="77777777" w:rsidTr="00447471">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4BBE93"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Summary</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3DAED04"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2022</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0C35D3E"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2023</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1DCBC22"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2024</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14:paraId="6C2A4F6C"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2025</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2E35DD31"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2026</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63737D7C"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2027</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0A1F255" w14:textId="77777777" w:rsidR="00752AF8" w:rsidRPr="00F91EC4" w:rsidRDefault="00752AF8" w:rsidP="00447471">
            <w:pPr>
              <w:jc w:val="center"/>
              <w:rPr>
                <w:rFonts w:ascii="Arial Narrow" w:hAnsi="Arial Narrow"/>
                <w:b/>
                <w:bCs/>
                <w:noProof/>
                <w:color w:val="0000FF"/>
                <w:sz w:val="20"/>
                <w:szCs w:val="20"/>
              </w:rPr>
            </w:pPr>
            <w:r w:rsidRPr="00F91EC4">
              <w:rPr>
                <w:rFonts w:ascii="Arial Narrow" w:hAnsi="Arial Narrow"/>
                <w:b/>
                <w:bCs/>
                <w:noProof/>
                <w:color w:val="0000FF"/>
                <w:sz w:val="20"/>
                <w:szCs w:val="20"/>
              </w:rPr>
              <w:t>2028</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FDAA37C"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Total</w:t>
            </w:r>
          </w:p>
        </w:tc>
      </w:tr>
      <w:tr w:rsidR="00752AF8" w:rsidRPr="00F91EC4" w14:paraId="662DB94F" w14:textId="77777777" w:rsidTr="00447471">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4A53629C"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7BFADD4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1.734</w:t>
            </w:r>
          </w:p>
        </w:tc>
        <w:tc>
          <w:tcPr>
            <w:tcW w:w="1247" w:type="dxa"/>
            <w:tcBorders>
              <w:top w:val="nil"/>
              <w:left w:val="nil"/>
              <w:bottom w:val="single" w:sz="4" w:space="0" w:color="auto"/>
              <w:right w:val="single" w:sz="4" w:space="0" w:color="auto"/>
            </w:tcBorders>
            <w:shd w:val="clear" w:color="auto" w:fill="auto"/>
            <w:vAlign w:val="center"/>
            <w:hideMark/>
          </w:tcPr>
          <w:p w14:paraId="6207C82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1.969</w:t>
            </w:r>
          </w:p>
        </w:tc>
        <w:tc>
          <w:tcPr>
            <w:tcW w:w="1260" w:type="dxa"/>
            <w:gridSpan w:val="2"/>
            <w:tcBorders>
              <w:top w:val="nil"/>
              <w:left w:val="nil"/>
              <w:bottom w:val="single" w:sz="4" w:space="0" w:color="auto"/>
              <w:right w:val="single" w:sz="4" w:space="0" w:color="auto"/>
            </w:tcBorders>
            <w:shd w:val="clear" w:color="auto" w:fill="auto"/>
            <w:vAlign w:val="center"/>
            <w:hideMark/>
          </w:tcPr>
          <w:p w14:paraId="5F95840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1311" w:type="dxa"/>
            <w:gridSpan w:val="2"/>
            <w:tcBorders>
              <w:top w:val="nil"/>
              <w:left w:val="nil"/>
              <w:bottom w:val="single" w:sz="4" w:space="0" w:color="auto"/>
              <w:right w:val="single" w:sz="4" w:space="0" w:color="auto"/>
            </w:tcBorders>
            <w:shd w:val="clear" w:color="auto" w:fill="auto"/>
            <w:vAlign w:val="center"/>
            <w:hideMark/>
          </w:tcPr>
          <w:p w14:paraId="05F641C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1.727</w:t>
            </w:r>
          </w:p>
        </w:tc>
        <w:tc>
          <w:tcPr>
            <w:tcW w:w="1302" w:type="dxa"/>
            <w:gridSpan w:val="2"/>
            <w:tcBorders>
              <w:top w:val="nil"/>
              <w:left w:val="nil"/>
              <w:bottom w:val="single" w:sz="4" w:space="0" w:color="auto"/>
              <w:right w:val="single" w:sz="4" w:space="0" w:color="auto"/>
            </w:tcBorders>
            <w:shd w:val="clear" w:color="auto" w:fill="auto"/>
            <w:vAlign w:val="center"/>
            <w:hideMark/>
          </w:tcPr>
          <w:p w14:paraId="53455AB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1303" w:type="dxa"/>
            <w:gridSpan w:val="2"/>
            <w:tcBorders>
              <w:top w:val="nil"/>
              <w:left w:val="nil"/>
              <w:bottom w:val="single" w:sz="4" w:space="0" w:color="auto"/>
              <w:right w:val="single" w:sz="4" w:space="0" w:color="auto"/>
            </w:tcBorders>
            <w:shd w:val="clear" w:color="auto" w:fill="auto"/>
            <w:vAlign w:val="center"/>
            <w:hideMark/>
          </w:tcPr>
          <w:p w14:paraId="26B5CA8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1355" w:type="dxa"/>
            <w:tcBorders>
              <w:top w:val="nil"/>
              <w:left w:val="nil"/>
              <w:bottom w:val="single" w:sz="4" w:space="0" w:color="auto"/>
              <w:right w:val="single" w:sz="4" w:space="0" w:color="auto"/>
            </w:tcBorders>
            <w:shd w:val="clear" w:color="auto" w:fill="auto"/>
            <w:vAlign w:val="center"/>
            <w:hideMark/>
          </w:tcPr>
          <w:p w14:paraId="2727E27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1.021</w:t>
            </w:r>
          </w:p>
        </w:tc>
        <w:tc>
          <w:tcPr>
            <w:tcW w:w="1234" w:type="dxa"/>
            <w:tcBorders>
              <w:top w:val="nil"/>
              <w:left w:val="nil"/>
              <w:bottom w:val="single" w:sz="4" w:space="0" w:color="auto"/>
              <w:right w:val="single" w:sz="4" w:space="0" w:color="auto"/>
            </w:tcBorders>
            <w:shd w:val="clear" w:color="auto" w:fill="auto"/>
            <w:vAlign w:val="center"/>
            <w:hideMark/>
          </w:tcPr>
          <w:p w14:paraId="40285410"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10.218</w:t>
            </w:r>
          </w:p>
        </w:tc>
      </w:tr>
      <w:tr w:rsidR="00752AF8" w:rsidRPr="00F91EC4" w14:paraId="2F5E6E12" w14:textId="77777777" w:rsidTr="00447471">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032B0131"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23D9611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47" w:type="dxa"/>
            <w:tcBorders>
              <w:top w:val="nil"/>
              <w:left w:val="nil"/>
              <w:bottom w:val="single" w:sz="4" w:space="0" w:color="auto"/>
              <w:right w:val="single" w:sz="4" w:space="0" w:color="auto"/>
            </w:tcBorders>
            <w:shd w:val="clear" w:color="auto" w:fill="auto"/>
            <w:vAlign w:val="center"/>
            <w:hideMark/>
          </w:tcPr>
          <w:p w14:paraId="656E49E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260" w:type="dxa"/>
            <w:gridSpan w:val="2"/>
            <w:tcBorders>
              <w:top w:val="nil"/>
              <w:left w:val="nil"/>
              <w:bottom w:val="single" w:sz="4" w:space="0" w:color="auto"/>
              <w:right w:val="single" w:sz="4" w:space="0" w:color="auto"/>
            </w:tcBorders>
            <w:shd w:val="clear" w:color="auto" w:fill="auto"/>
            <w:vAlign w:val="center"/>
            <w:hideMark/>
          </w:tcPr>
          <w:p w14:paraId="5315391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0.090</w:t>
            </w:r>
          </w:p>
        </w:tc>
        <w:tc>
          <w:tcPr>
            <w:tcW w:w="1311" w:type="dxa"/>
            <w:gridSpan w:val="2"/>
            <w:tcBorders>
              <w:top w:val="nil"/>
              <w:left w:val="nil"/>
              <w:bottom w:val="single" w:sz="4" w:space="0" w:color="auto"/>
              <w:right w:val="single" w:sz="4" w:space="0" w:color="auto"/>
            </w:tcBorders>
            <w:shd w:val="clear" w:color="auto" w:fill="auto"/>
            <w:vAlign w:val="center"/>
            <w:hideMark/>
          </w:tcPr>
          <w:p w14:paraId="703D21D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302" w:type="dxa"/>
            <w:gridSpan w:val="2"/>
            <w:tcBorders>
              <w:top w:val="nil"/>
              <w:left w:val="nil"/>
              <w:bottom w:val="single" w:sz="4" w:space="0" w:color="auto"/>
              <w:right w:val="single" w:sz="4" w:space="0" w:color="auto"/>
            </w:tcBorders>
            <w:shd w:val="clear" w:color="auto" w:fill="auto"/>
            <w:vAlign w:val="center"/>
            <w:hideMark/>
          </w:tcPr>
          <w:p w14:paraId="74473AA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303" w:type="dxa"/>
            <w:gridSpan w:val="2"/>
            <w:tcBorders>
              <w:top w:val="nil"/>
              <w:left w:val="nil"/>
              <w:bottom w:val="single" w:sz="4" w:space="0" w:color="auto"/>
              <w:right w:val="single" w:sz="4" w:space="0" w:color="auto"/>
            </w:tcBorders>
            <w:shd w:val="clear" w:color="auto" w:fill="auto"/>
            <w:vAlign w:val="center"/>
            <w:hideMark/>
          </w:tcPr>
          <w:p w14:paraId="6BA2BA1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355" w:type="dxa"/>
            <w:tcBorders>
              <w:top w:val="nil"/>
              <w:left w:val="nil"/>
              <w:bottom w:val="single" w:sz="4" w:space="0" w:color="auto"/>
              <w:right w:val="single" w:sz="4" w:space="0" w:color="auto"/>
            </w:tcBorders>
            <w:shd w:val="clear" w:color="auto" w:fill="auto"/>
            <w:vAlign w:val="center"/>
            <w:hideMark/>
          </w:tcPr>
          <w:p w14:paraId="5CCADE7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0.040</w:t>
            </w:r>
          </w:p>
        </w:tc>
        <w:tc>
          <w:tcPr>
            <w:tcW w:w="1234" w:type="dxa"/>
            <w:tcBorders>
              <w:top w:val="nil"/>
              <w:left w:val="nil"/>
              <w:bottom w:val="single" w:sz="4" w:space="0" w:color="auto"/>
              <w:right w:val="single" w:sz="4" w:space="0" w:color="auto"/>
            </w:tcBorders>
            <w:shd w:val="clear" w:color="auto" w:fill="auto"/>
            <w:vAlign w:val="center"/>
            <w:hideMark/>
          </w:tcPr>
          <w:p w14:paraId="6DC4BB9D"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0.430</w:t>
            </w:r>
          </w:p>
        </w:tc>
      </w:tr>
      <w:tr w:rsidR="00752AF8" w:rsidRPr="00F91EC4" w14:paraId="5AB06423" w14:textId="77777777" w:rsidTr="00447471">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8214"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Sub-total Heading 7</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8D8156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1.824</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54BAE07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2.059</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20424EB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1.817</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2AD1696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1.767</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3EC5D92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1.061</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472993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1.061</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20FD1AA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1.061</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28F5043D"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10.648</w:t>
            </w:r>
          </w:p>
        </w:tc>
      </w:tr>
      <w:tr w:rsidR="00752AF8" w:rsidRPr="00F91EC4" w14:paraId="67227A71" w14:textId="77777777" w:rsidTr="00447471">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BFE7399"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Outside 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2BA589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47" w:type="dxa"/>
            <w:tcBorders>
              <w:top w:val="nil"/>
              <w:left w:val="nil"/>
              <w:bottom w:val="single" w:sz="4" w:space="0" w:color="auto"/>
              <w:right w:val="single" w:sz="4" w:space="0" w:color="auto"/>
            </w:tcBorders>
            <w:shd w:val="clear" w:color="auto" w:fill="auto"/>
            <w:vAlign w:val="center"/>
            <w:hideMark/>
          </w:tcPr>
          <w:p w14:paraId="0889801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E03BD70"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1087255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2BAF4DAC"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7F4390A1"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5E1065D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361F3AE0"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65DFFE2A" w14:textId="77777777" w:rsidTr="00447471">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0C01D70" w14:textId="77777777" w:rsidR="00752AF8" w:rsidRPr="00F91EC4" w:rsidRDefault="00752AF8" w:rsidP="00447471">
            <w:pPr>
              <w:rPr>
                <w:rFonts w:ascii="Arial Narrow" w:hAnsi="Arial Narrow"/>
                <w:noProof/>
                <w:color w:val="000000"/>
                <w:sz w:val="20"/>
                <w:szCs w:val="20"/>
              </w:rPr>
            </w:pPr>
            <w:r w:rsidRPr="00F91EC4">
              <w:rPr>
                <w:rFonts w:ascii="Arial Narrow" w:hAnsi="Arial Narrow"/>
                <w:noProof/>
                <w:color w:val="000000"/>
                <w:sz w:val="20"/>
                <w:szCs w:val="20"/>
              </w:rPr>
              <w:t>Outside 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55362A1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47" w:type="dxa"/>
            <w:tcBorders>
              <w:top w:val="nil"/>
              <w:left w:val="nil"/>
              <w:bottom w:val="single" w:sz="4" w:space="0" w:color="auto"/>
              <w:right w:val="single" w:sz="4" w:space="0" w:color="auto"/>
            </w:tcBorders>
            <w:shd w:val="clear" w:color="auto" w:fill="auto"/>
            <w:vAlign w:val="center"/>
            <w:hideMark/>
          </w:tcPr>
          <w:p w14:paraId="19FA0E2D"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8FE88F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47D89962"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5B812CE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05A46DC4"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1013B57F"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F2692F1"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0095D598" w14:textId="77777777" w:rsidTr="00447471">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6908F" w14:textId="77777777" w:rsidR="00752AF8" w:rsidRPr="00F91EC4" w:rsidRDefault="00752AF8" w:rsidP="00447471">
            <w:pPr>
              <w:jc w:val="center"/>
              <w:rPr>
                <w:rFonts w:ascii="Arial Narrow" w:hAnsi="Arial Narrow"/>
                <w:b/>
                <w:bCs/>
                <w:noProof/>
                <w:color w:val="000000"/>
                <w:sz w:val="22"/>
              </w:rPr>
            </w:pPr>
            <w:r w:rsidRPr="00F91EC4">
              <w:rPr>
                <w:rFonts w:ascii="Arial Narrow" w:hAnsi="Arial Narrow"/>
                <w:b/>
                <w:bCs/>
                <w:noProof/>
                <w:color w:val="000000"/>
                <w:sz w:val="22"/>
              </w:rPr>
              <w:t>Sub-total Other Headings</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2B84AF18"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1C3DE9D6"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0E40807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5B8D719B"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5C4C245E"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701C1AEA"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01416B03" w14:textId="77777777" w:rsidR="00752AF8" w:rsidRPr="00F91EC4" w:rsidRDefault="00752AF8" w:rsidP="00447471">
            <w:pPr>
              <w:jc w:val="center"/>
              <w:rPr>
                <w:rFonts w:ascii="Arial Narrow" w:hAnsi="Arial Narrow"/>
                <w:noProof/>
                <w:color w:val="000000"/>
                <w:sz w:val="20"/>
                <w:szCs w:val="20"/>
              </w:rPr>
            </w:pPr>
            <w:r w:rsidRPr="00F91EC4">
              <w:rPr>
                <w:rFonts w:ascii="Arial Narrow" w:hAnsi="Arial Narrow"/>
                <w:noProof/>
                <w:color w:val="000000"/>
                <w:sz w:val="20"/>
                <w:szCs w:val="20"/>
              </w:rPr>
              <w:t>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45B30A10" w14:textId="77777777" w:rsidR="00752AF8" w:rsidRPr="00F91EC4" w:rsidRDefault="00752AF8" w:rsidP="00447471">
            <w:pPr>
              <w:jc w:val="center"/>
              <w:rPr>
                <w:rFonts w:ascii="Arial Narrow" w:hAnsi="Arial Narrow"/>
                <w:b/>
                <w:bCs/>
                <w:noProof/>
                <w:color w:val="000000"/>
                <w:sz w:val="20"/>
                <w:szCs w:val="20"/>
              </w:rPr>
            </w:pPr>
            <w:r w:rsidRPr="00F91EC4">
              <w:rPr>
                <w:rFonts w:ascii="Arial Narrow" w:hAnsi="Arial Narrow"/>
                <w:b/>
                <w:bCs/>
                <w:noProof/>
                <w:color w:val="000000"/>
                <w:sz w:val="20"/>
                <w:szCs w:val="20"/>
              </w:rPr>
              <w:t> </w:t>
            </w:r>
          </w:p>
        </w:tc>
      </w:tr>
      <w:tr w:rsidR="00752AF8" w:rsidRPr="00F91EC4" w14:paraId="036B26DB" w14:textId="77777777" w:rsidTr="004474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tcBorders>
            <w:vAlign w:val="center"/>
          </w:tcPr>
          <w:p w14:paraId="0F2FD5A1" w14:textId="77777777" w:rsidR="00752AF8" w:rsidRPr="00F91EC4" w:rsidRDefault="00752AF8" w:rsidP="00447471">
            <w:pPr>
              <w:pStyle w:val="Text1"/>
              <w:spacing w:after="0"/>
              <w:ind w:left="0"/>
              <w:jc w:val="center"/>
              <w:rPr>
                <w:rFonts w:ascii="Arial Narrow" w:hAnsi="Arial Narrow"/>
                <w:b/>
                <w:noProof/>
                <w:sz w:val="22"/>
              </w:rPr>
            </w:pPr>
            <w:r w:rsidRPr="00F91EC4">
              <w:rPr>
                <w:rFonts w:ascii="Arial Narrow" w:hAnsi="Arial Narrow"/>
                <w:b/>
                <w:noProof/>
                <w:sz w:val="22"/>
              </w:rPr>
              <w:t>TOTAL</w:t>
            </w:r>
          </w:p>
          <w:p w14:paraId="392337D0" w14:textId="77777777" w:rsidR="00752AF8" w:rsidRPr="00F91EC4" w:rsidRDefault="00752AF8" w:rsidP="00447471">
            <w:pPr>
              <w:pStyle w:val="Text1"/>
              <w:spacing w:before="0"/>
              <w:ind w:left="0"/>
              <w:jc w:val="center"/>
              <w:rPr>
                <w:rFonts w:ascii="Arial Narrow" w:hAnsi="Arial Narrow"/>
                <w:b/>
                <w:noProof/>
                <w:sz w:val="22"/>
              </w:rPr>
            </w:pPr>
            <w:r w:rsidRPr="00F91EC4">
              <w:rPr>
                <w:rFonts w:ascii="Arial Narrow" w:hAnsi="Arial Narrow"/>
                <w:b/>
                <w:noProof/>
                <w:sz w:val="22"/>
              </w:rPr>
              <w:t>HEADING 7 and Outside HEADING 7</w:t>
            </w:r>
          </w:p>
        </w:tc>
        <w:tc>
          <w:tcPr>
            <w:tcW w:w="1273" w:type="dxa"/>
            <w:tcBorders>
              <w:top w:val="single" w:sz="12" w:space="0" w:color="auto"/>
            </w:tcBorders>
            <w:vAlign w:val="center"/>
          </w:tcPr>
          <w:p w14:paraId="1720FFFE"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1.824</w:t>
            </w:r>
          </w:p>
        </w:tc>
        <w:tc>
          <w:tcPr>
            <w:tcW w:w="1272" w:type="dxa"/>
            <w:gridSpan w:val="2"/>
            <w:tcBorders>
              <w:top w:val="single" w:sz="12" w:space="0" w:color="auto"/>
            </w:tcBorders>
            <w:vAlign w:val="center"/>
          </w:tcPr>
          <w:p w14:paraId="680971C3"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2.059</w:t>
            </w:r>
          </w:p>
        </w:tc>
        <w:tc>
          <w:tcPr>
            <w:tcW w:w="1273" w:type="dxa"/>
            <w:gridSpan w:val="2"/>
            <w:tcBorders>
              <w:top w:val="single" w:sz="12" w:space="0" w:color="auto"/>
            </w:tcBorders>
            <w:vAlign w:val="center"/>
          </w:tcPr>
          <w:p w14:paraId="4D5E3269"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1.817</w:t>
            </w:r>
          </w:p>
        </w:tc>
        <w:tc>
          <w:tcPr>
            <w:tcW w:w="1273" w:type="dxa"/>
            <w:tcBorders>
              <w:top w:val="single" w:sz="12" w:space="0" w:color="auto"/>
            </w:tcBorders>
            <w:vAlign w:val="center"/>
          </w:tcPr>
          <w:p w14:paraId="31C0C78D"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1.767</w:t>
            </w:r>
          </w:p>
        </w:tc>
        <w:tc>
          <w:tcPr>
            <w:tcW w:w="1273" w:type="dxa"/>
            <w:tcBorders>
              <w:top w:val="single" w:sz="12" w:space="0" w:color="auto"/>
            </w:tcBorders>
            <w:vAlign w:val="center"/>
          </w:tcPr>
          <w:p w14:paraId="4BB44B28"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1.061</w:t>
            </w:r>
          </w:p>
        </w:tc>
        <w:tc>
          <w:tcPr>
            <w:tcW w:w="1272" w:type="dxa"/>
            <w:gridSpan w:val="2"/>
            <w:tcBorders>
              <w:top w:val="single" w:sz="12" w:space="0" w:color="auto"/>
            </w:tcBorders>
            <w:vAlign w:val="center"/>
          </w:tcPr>
          <w:p w14:paraId="5EB41CB0"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1.061</w:t>
            </w:r>
          </w:p>
        </w:tc>
        <w:tc>
          <w:tcPr>
            <w:tcW w:w="1415" w:type="dxa"/>
            <w:gridSpan w:val="2"/>
            <w:tcBorders>
              <w:top w:val="single" w:sz="12" w:space="0" w:color="auto"/>
            </w:tcBorders>
            <w:vAlign w:val="center"/>
          </w:tcPr>
          <w:p w14:paraId="3EBD8000" w14:textId="77777777" w:rsidR="00752AF8" w:rsidRPr="00F91EC4" w:rsidRDefault="00752AF8" w:rsidP="00447471">
            <w:pPr>
              <w:jc w:val="center"/>
              <w:rPr>
                <w:rFonts w:ascii="Arial Narrow" w:hAnsi="Arial Narrow"/>
                <w:noProof/>
                <w:sz w:val="20"/>
                <w:szCs w:val="20"/>
              </w:rPr>
            </w:pPr>
            <w:r w:rsidRPr="00F91EC4">
              <w:rPr>
                <w:rFonts w:ascii="Arial Narrow" w:hAnsi="Arial Narrow"/>
                <w:noProof/>
                <w:color w:val="000000"/>
                <w:sz w:val="20"/>
                <w:szCs w:val="20"/>
              </w:rPr>
              <w:t>1.061</w:t>
            </w:r>
          </w:p>
        </w:tc>
        <w:tc>
          <w:tcPr>
            <w:tcW w:w="1273" w:type="dxa"/>
            <w:gridSpan w:val="2"/>
            <w:tcBorders>
              <w:top w:val="single" w:sz="12" w:space="0" w:color="auto"/>
            </w:tcBorders>
            <w:vAlign w:val="center"/>
          </w:tcPr>
          <w:p w14:paraId="06E467B4" w14:textId="77777777" w:rsidR="00752AF8" w:rsidRPr="00F91EC4" w:rsidRDefault="00752AF8" w:rsidP="00447471">
            <w:pPr>
              <w:jc w:val="center"/>
              <w:rPr>
                <w:rFonts w:ascii="Arial Narrow" w:hAnsi="Arial Narrow"/>
                <w:b/>
                <w:noProof/>
                <w:sz w:val="20"/>
                <w:szCs w:val="20"/>
              </w:rPr>
            </w:pPr>
            <w:r w:rsidRPr="00F91EC4">
              <w:rPr>
                <w:rFonts w:ascii="Arial Narrow" w:hAnsi="Arial Narrow"/>
                <w:b/>
                <w:bCs/>
                <w:noProof/>
                <w:color w:val="000000"/>
                <w:sz w:val="20"/>
                <w:szCs w:val="20"/>
              </w:rPr>
              <w:t>10,648</w:t>
            </w:r>
          </w:p>
        </w:tc>
      </w:tr>
    </w:tbl>
    <w:p w14:paraId="40BE5775" w14:textId="77777777" w:rsidR="00D014CD" w:rsidRPr="00F91EC4" w:rsidRDefault="00D014CD" w:rsidP="00D014CD">
      <w:pPr>
        <w:pStyle w:val="Text2"/>
        <w:spacing w:before="0" w:after="0"/>
        <w:ind w:left="0"/>
        <w:jc w:val="center"/>
        <w:rPr>
          <w:iCs/>
          <w:noProof/>
          <w:sz w:val="18"/>
          <w:szCs w:val="18"/>
        </w:rPr>
      </w:pPr>
      <w:r w:rsidRPr="00F91EC4">
        <w:rPr>
          <w:noProof/>
          <w:sz w:val="18"/>
        </w:rPr>
        <w:t>The administrative appropriations required will be met by the appropriations which are already assigned to management of the action and/or which have been redeployed, together if necessary with any additional allocation which may be granted to the managing DG under the annual allocation procedure and in the light of existing budgetary constraints.</w:t>
      </w:r>
    </w:p>
    <w:p w14:paraId="612DEA4F" w14:textId="77777777" w:rsidR="00D014CD" w:rsidRPr="00F91EC4" w:rsidRDefault="00D014CD" w:rsidP="00D014CD">
      <w:pPr>
        <w:keepNext/>
        <w:spacing w:before="240" w:after="0"/>
        <w:rPr>
          <w:noProof/>
        </w:rPr>
        <w:sectPr w:rsidR="00D014CD" w:rsidRPr="00F91EC4" w:rsidSect="00E50DA1">
          <w:pgSz w:w="15840" w:h="12240" w:orient="landscape" w:code="1"/>
          <w:pgMar w:top="1418" w:right="1247" w:bottom="1418" w:left="1247" w:header="709" w:footer="709" w:gutter="0"/>
          <w:cols w:space="708"/>
          <w:docGrid w:linePitch="360"/>
        </w:sectPr>
      </w:pPr>
    </w:p>
    <w:p w14:paraId="3982CB7D" w14:textId="7F18174D" w:rsidR="00D014CD" w:rsidRPr="00F91EC4" w:rsidRDefault="00DD0F7B" w:rsidP="00DD0F7B">
      <w:pPr>
        <w:pStyle w:val="ManualNumPar1"/>
        <w:rPr>
          <w:noProof/>
          <w:szCs w:val="28"/>
        </w:rPr>
      </w:pPr>
      <w:r w:rsidRPr="00DD0F7B">
        <w:rPr>
          <w:noProof/>
        </w:rPr>
        <w:t>10.</w:t>
      </w:r>
      <w:r w:rsidRPr="00DD0F7B">
        <w:rPr>
          <w:noProof/>
        </w:rPr>
        <w:tab/>
      </w:r>
      <w:r w:rsidR="00D014CD" w:rsidRPr="00F91EC4">
        <w:rPr>
          <w:noProof/>
        </w:rPr>
        <w:t>Methods of calculation used to estimate costs</w:t>
      </w:r>
    </w:p>
    <w:p w14:paraId="69C55EBD" w14:textId="01ED13AA" w:rsidR="00D014CD" w:rsidRPr="00F91EC4" w:rsidRDefault="00DD0F7B" w:rsidP="00DD0F7B">
      <w:pPr>
        <w:pStyle w:val="ManualNumPar2"/>
        <w:rPr>
          <w:noProof/>
          <w:szCs w:val="28"/>
        </w:rPr>
      </w:pPr>
      <w:r w:rsidRPr="00DD0F7B">
        <w:rPr>
          <w:noProof/>
        </w:rPr>
        <w:t>10.1.</w:t>
      </w:r>
      <w:r w:rsidRPr="00DD0F7B">
        <w:rPr>
          <w:noProof/>
        </w:rPr>
        <w:tab/>
      </w:r>
      <w:r w:rsidR="00D014CD" w:rsidRPr="00F91EC4">
        <w:rPr>
          <w:noProof/>
        </w:rPr>
        <w:t>Human resources</w:t>
      </w:r>
    </w:p>
    <w:p w14:paraId="53D05AD1" w14:textId="77777777" w:rsidR="00D014CD" w:rsidRPr="00F91EC4" w:rsidRDefault="00D014CD" w:rsidP="00D014CD">
      <w:pPr>
        <w:ind w:left="-357" w:firstLine="902"/>
        <w:rPr>
          <w:noProof/>
          <w:sz w:val="20"/>
          <w:szCs w:val="20"/>
        </w:rPr>
      </w:pPr>
    </w:p>
    <w:p w14:paraId="7B38DBD0" w14:textId="77777777" w:rsidR="00D014CD" w:rsidRPr="00F91EC4" w:rsidRDefault="00D014CD" w:rsidP="00D014CD">
      <w:pPr>
        <w:spacing w:after="60"/>
        <w:jc w:val="center"/>
        <w:rPr>
          <w:i/>
          <w:noProof/>
          <w:sz w:val="20"/>
          <w:szCs w:val="20"/>
        </w:rPr>
      </w:pPr>
    </w:p>
    <w:p w14:paraId="4F55BD3D" w14:textId="77777777" w:rsidR="00D014CD" w:rsidRPr="00F91EC4" w:rsidRDefault="00D014CD" w:rsidP="00D014CD">
      <w:pPr>
        <w:spacing w:after="60"/>
        <w:jc w:val="center"/>
        <w:rPr>
          <w:i/>
          <w:noProof/>
          <w:sz w:val="20"/>
          <w:szCs w:val="20"/>
        </w:rPr>
      </w:pPr>
      <w:r w:rsidRPr="00F91EC4">
        <w:rPr>
          <w:i/>
          <w:noProof/>
          <w:sz w:val="20"/>
        </w:rPr>
        <w:t>This part sets out the method of calculation used to estimate the human resources considered necessary (workload assumptions, including specific jobs (Sysper 2 work profiles), staff categories and the corresponding average costs)</w:t>
      </w:r>
    </w:p>
    <w:p w14:paraId="27499E9C" w14:textId="77777777" w:rsidR="00D014CD" w:rsidRPr="00F91EC4" w:rsidRDefault="00D014CD" w:rsidP="00D014CD">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2474"/>
      </w:tblGrid>
      <w:tr w:rsidR="00D014CD" w:rsidRPr="00F91EC4" w14:paraId="6925581E" w14:textId="77777777" w:rsidTr="00D014CD">
        <w:trPr>
          <w:jc w:val="center"/>
        </w:trPr>
        <w:tc>
          <w:tcPr>
            <w:tcW w:w="12474" w:type="dxa"/>
            <w:tcBorders>
              <w:top w:val="single" w:sz="4" w:space="0" w:color="auto"/>
            </w:tcBorders>
          </w:tcPr>
          <w:p w14:paraId="4E568B28" w14:textId="77777777" w:rsidR="00D014CD" w:rsidRPr="00F91EC4" w:rsidRDefault="00D014CD" w:rsidP="00D014CD">
            <w:pPr>
              <w:pStyle w:val="Text2"/>
              <w:spacing w:before="60" w:after="60"/>
              <w:ind w:left="0"/>
              <w:jc w:val="left"/>
              <w:rPr>
                <w:rFonts w:ascii="Arial Narrow" w:hAnsi="Arial Narrow"/>
                <w:b/>
                <w:noProof/>
                <w:sz w:val="22"/>
              </w:rPr>
            </w:pPr>
            <w:r w:rsidRPr="00F91EC4">
              <w:rPr>
                <w:rFonts w:ascii="Arial Narrow" w:hAnsi="Arial Narrow"/>
                <w:b/>
                <w:noProof/>
                <w:sz w:val="22"/>
              </w:rPr>
              <w:t>HEADING 7</w:t>
            </w:r>
            <w:r w:rsidRPr="00F91EC4">
              <w:rPr>
                <w:rFonts w:ascii="Arial Narrow" w:hAnsi="Arial Narrow"/>
                <w:noProof/>
                <w:sz w:val="22"/>
              </w:rPr>
              <w:t xml:space="preserve"> of the multiannual financial framework</w:t>
            </w:r>
          </w:p>
        </w:tc>
      </w:tr>
      <w:tr w:rsidR="00D014CD" w:rsidRPr="00F91EC4" w14:paraId="28724A7C" w14:textId="77777777" w:rsidTr="00D014CD">
        <w:trPr>
          <w:jc w:val="center"/>
        </w:trPr>
        <w:tc>
          <w:tcPr>
            <w:tcW w:w="12474" w:type="dxa"/>
          </w:tcPr>
          <w:p w14:paraId="58B267E4" w14:textId="77777777" w:rsidR="00D014CD" w:rsidRPr="00F91EC4" w:rsidRDefault="00D014CD" w:rsidP="00D014CD">
            <w:pPr>
              <w:pStyle w:val="Text2"/>
              <w:spacing w:before="20" w:after="20"/>
              <w:ind w:left="0"/>
              <w:jc w:val="center"/>
              <w:rPr>
                <w:rFonts w:ascii="Arial Narrow" w:hAnsi="Arial Narrow"/>
                <w:noProof/>
                <w:sz w:val="18"/>
                <w:szCs w:val="18"/>
              </w:rPr>
            </w:pPr>
            <w:r w:rsidRPr="00F91EC4">
              <w:rPr>
                <w:rFonts w:ascii="Arial Narrow" w:hAnsi="Arial Narrow"/>
                <w:noProof/>
                <w:sz w:val="18"/>
                <w:u w:val="single"/>
              </w:rPr>
              <w:t>NB:</w:t>
            </w:r>
            <w:r w:rsidRPr="00F91EC4">
              <w:rPr>
                <w:rFonts w:ascii="Arial Narrow" w:hAnsi="Arial Narrow"/>
                <w:noProof/>
                <w:sz w:val="18"/>
              </w:rPr>
              <w:t xml:space="preserve"> The average costs for each category of staff at Headquarters are available on BudgWeb:</w:t>
            </w:r>
          </w:p>
          <w:p w14:paraId="4F486C5F" w14:textId="77777777" w:rsidR="00D014CD" w:rsidRPr="00F91EC4" w:rsidRDefault="009E7EFF" w:rsidP="00D014CD">
            <w:pPr>
              <w:pStyle w:val="Text2"/>
              <w:spacing w:before="0" w:after="20"/>
              <w:ind w:left="0"/>
              <w:jc w:val="center"/>
              <w:rPr>
                <w:rFonts w:ascii="Arial Narrow" w:hAnsi="Arial Narrow"/>
                <w:noProof/>
                <w:sz w:val="18"/>
                <w:szCs w:val="18"/>
              </w:rPr>
            </w:pPr>
            <w:hyperlink r:id="rId32" w:history="1">
              <w:r w:rsidR="00D014CD" w:rsidRPr="00F91EC4">
                <w:rPr>
                  <w:rStyle w:val="Hyperlink"/>
                  <w:rFonts w:ascii="Arial Narrow" w:hAnsi="Arial Narrow"/>
                  <w:noProof/>
                  <w:sz w:val="18"/>
                  <w:szCs w:val="18"/>
                </w:rPr>
                <w:t>https://myintracomm.ec.europa.eu/budgweb/EN/pre/legalbasis/Pages/pre-040-020_preparation.aspx</w:t>
              </w:r>
            </w:hyperlink>
          </w:p>
        </w:tc>
      </w:tr>
      <w:tr w:rsidR="00D014CD" w:rsidRPr="00F91EC4" w14:paraId="1A27BE43" w14:textId="77777777" w:rsidTr="00D014CD">
        <w:trPr>
          <w:jc w:val="center"/>
        </w:trPr>
        <w:tc>
          <w:tcPr>
            <w:tcW w:w="12474" w:type="dxa"/>
          </w:tcPr>
          <w:p w14:paraId="43A045F2" w14:textId="77777777" w:rsidR="00D014CD" w:rsidRPr="00F91EC4" w:rsidRDefault="00D014CD" w:rsidP="00D014CD">
            <w:pPr>
              <w:pStyle w:val="Text2"/>
              <w:spacing w:before="40" w:after="0"/>
              <w:ind w:left="0"/>
              <w:jc w:val="left"/>
              <w:rPr>
                <w:rFonts w:ascii="Arial Narrow" w:hAnsi="Arial Narrow"/>
                <w:bCs/>
                <w:iCs/>
                <w:noProof/>
                <w:sz w:val="20"/>
                <w:szCs w:val="20"/>
              </w:rPr>
            </w:pPr>
            <w:r w:rsidRPr="00F91EC4">
              <w:rPr>
                <w:rFonts w:ascii="Wingdings" w:eastAsia="Wingdings" w:hAnsi="Wingdings" w:cs="Wingdings"/>
                <w:b/>
                <w:noProof/>
              </w:rPr>
              <w:t>□</w:t>
            </w:r>
            <w:r w:rsidRPr="00F91EC4">
              <w:rPr>
                <w:rFonts w:ascii="Arial Narrow" w:hAnsi="Arial Narrow"/>
                <w:b/>
                <w:noProof/>
              </w:rPr>
              <w:t xml:space="preserve"> </w:t>
            </w:r>
            <w:r w:rsidRPr="00F91EC4">
              <w:rPr>
                <w:rFonts w:ascii="Arial Narrow" w:hAnsi="Arial Narrow"/>
                <w:noProof/>
                <w:sz w:val="22"/>
              </w:rPr>
              <w:t>Officials and temporary staff</w:t>
            </w:r>
          </w:p>
          <w:p w14:paraId="76A83904" w14:textId="77777777" w:rsidR="00752AF8" w:rsidRPr="00F91EC4" w:rsidRDefault="00752AF8" w:rsidP="00752AF8">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10.5 FTE in 2022 for the preparation of delegated and implementing acts, organisation and supervision of market surveillance for emissions, review, reporting and update</w:t>
            </w:r>
          </w:p>
          <w:p w14:paraId="2EA04212" w14:textId="77777777" w:rsidR="00752AF8" w:rsidRPr="00F91EC4" w:rsidRDefault="00752AF8" w:rsidP="00752AF8">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12 FTE in 2023 for the preparation of delegated and implementing acts, organisation and supervision of market surveillance for emissions, review, reporting and update</w:t>
            </w:r>
          </w:p>
          <w:p w14:paraId="55136A81" w14:textId="77777777" w:rsidR="00752AF8" w:rsidRPr="00F91EC4" w:rsidRDefault="00752AF8" w:rsidP="00752AF8">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11 FTE in 2024-2025 for the follow-up of delegated and implementing acts, organisation and supervision of market surveillance for emissions, review, reporting and update</w:t>
            </w:r>
          </w:p>
          <w:p w14:paraId="64E9B904" w14:textId="77777777" w:rsidR="00752AF8" w:rsidRPr="00F91EC4" w:rsidRDefault="00752AF8" w:rsidP="00752AF8">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6.5 FTE in 2026-2028 for the follow-up of delegated and implementing acts, organisation and supervision of market surveillance for emissions, review, reporting and update</w:t>
            </w:r>
          </w:p>
          <w:p w14:paraId="756BCCB4" w14:textId="77777777" w:rsidR="00D014CD" w:rsidRPr="00F91EC4" w:rsidRDefault="00D014CD" w:rsidP="00D014CD">
            <w:pPr>
              <w:spacing w:before="0" w:after="0"/>
              <w:rPr>
                <w:rFonts w:ascii="Arial Narrow" w:eastAsia="Times New Roman" w:hAnsi="Arial Narrow"/>
                <w:noProof/>
                <w:sz w:val="20"/>
                <w:szCs w:val="20"/>
                <w:u w:val="single"/>
                <w:lang w:eastAsia="en-GB"/>
              </w:rPr>
            </w:pPr>
          </w:p>
          <w:p w14:paraId="43991811" w14:textId="77777777" w:rsidR="00D014CD" w:rsidRPr="00F91EC4" w:rsidRDefault="00D014CD" w:rsidP="00D014CD">
            <w:pPr>
              <w:pStyle w:val="Text2"/>
              <w:spacing w:before="0" w:after="0"/>
              <w:ind w:left="0"/>
              <w:rPr>
                <w:rFonts w:ascii="Arial Narrow" w:hAnsi="Arial Narrow"/>
                <w:noProof/>
                <w:sz w:val="20"/>
                <w:szCs w:val="20"/>
                <w:u w:val="single"/>
              </w:rPr>
            </w:pPr>
          </w:p>
          <w:p w14:paraId="633D159F" w14:textId="77777777" w:rsidR="00D014CD" w:rsidRPr="00F91EC4" w:rsidRDefault="00D014CD" w:rsidP="00D014CD">
            <w:pPr>
              <w:pStyle w:val="Text2"/>
              <w:spacing w:before="0" w:after="0"/>
              <w:ind w:left="0"/>
              <w:rPr>
                <w:rFonts w:ascii="Arial Narrow" w:hAnsi="Arial Narrow"/>
                <w:noProof/>
                <w:sz w:val="20"/>
                <w:szCs w:val="20"/>
                <w:u w:val="single"/>
              </w:rPr>
            </w:pPr>
          </w:p>
          <w:p w14:paraId="39735F9C" w14:textId="77777777" w:rsidR="00D014CD" w:rsidRPr="00F91EC4" w:rsidRDefault="00D014CD" w:rsidP="00D014CD">
            <w:pPr>
              <w:pStyle w:val="Text2"/>
              <w:spacing w:before="60" w:after="0"/>
              <w:ind w:left="0"/>
              <w:rPr>
                <w:rFonts w:ascii="Arial Narrow" w:hAnsi="Arial Narrow"/>
                <w:noProof/>
                <w:sz w:val="18"/>
                <w:szCs w:val="18"/>
                <w:u w:val="single"/>
              </w:rPr>
            </w:pPr>
          </w:p>
        </w:tc>
      </w:tr>
      <w:tr w:rsidR="00D014CD" w:rsidRPr="00F91EC4" w14:paraId="5844E1E8" w14:textId="77777777" w:rsidTr="00D014CD">
        <w:trPr>
          <w:jc w:val="center"/>
        </w:trPr>
        <w:tc>
          <w:tcPr>
            <w:tcW w:w="12474" w:type="dxa"/>
            <w:tcBorders>
              <w:bottom w:val="single" w:sz="4" w:space="0" w:color="auto"/>
            </w:tcBorders>
          </w:tcPr>
          <w:p w14:paraId="01BADAF9" w14:textId="77777777" w:rsidR="00D014CD" w:rsidRPr="00F91EC4" w:rsidRDefault="00D014CD" w:rsidP="00D014CD">
            <w:pPr>
              <w:pStyle w:val="Text2"/>
              <w:spacing w:before="40" w:after="0"/>
              <w:ind w:left="0"/>
              <w:jc w:val="left"/>
              <w:rPr>
                <w:rFonts w:ascii="Arial Narrow" w:hAnsi="Arial Narrow"/>
                <w:noProof/>
                <w:sz w:val="20"/>
                <w:szCs w:val="20"/>
              </w:rPr>
            </w:pPr>
            <w:r w:rsidRPr="00F91EC4">
              <w:rPr>
                <w:rFonts w:ascii="Wingdings" w:eastAsia="Wingdings" w:hAnsi="Wingdings" w:cs="Wingdings"/>
                <w:b/>
                <w:noProof/>
              </w:rPr>
              <w:t>□</w:t>
            </w:r>
            <w:r w:rsidRPr="00F91EC4">
              <w:rPr>
                <w:rFonts w:ascii="Arial Narrow" w:hAnsi="Arial Narrow"/>
                <w:b/>
                <w:noProof/>
              </w:rPr>
              <w:t xml:space="preserve"> </w:t>
            </w:r>
            <w:r w:rsidRPr="00F91EC4">
              <w:rPr>
                <w:rFonts w:ascii="Arial Narrow" w:hAnsi="Arial Narrow"/>
                <w:noProof/>
                <w:sz w:val="22"/>
              </w:rPr>
              <w:t>External staff</w:t>
            </w:r>
          </w:p>
          <w:p w14:paraId="786F32A2" w14:textId="77777777" w:rsidR="00D014CD" w:rsidRPr="00F91EC4" w:rsidRDefault="00D014CD" w:rsidP="00D014CD">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1 FTE in 2022-2023 for support to the preparation  delegated and implementing acts, organisation and supervision of market surveillance for emissions, review, reporting and update</w:t>
            </w:r>
          </w:p>
          <w:p w14:paraId="5CF66930" w14:textId="77777777" w:rsidR="00D014CD" w:rsidRPr="00F91EC4" w:rsidRDefault="00D014CD" w:rsidP="00D014CD">
            <w:pPr>
              <w:pStyle w:val="Text2"/>
              <w:spacing w:before="0" w:after="0"/>
              <w:ind w:left="0"/>
              <w:rPr>
                <w:rFonts w:ascii="Arial Narrow" w:hAnsi="Arial Narrow"/>
                <w:noProof/>
                <w:sz w:val="20"/>
                <w:szCs w:val="20"/>
                <w:u w:val="single"/>
              </w:rPr>
            </w:pPr>
          </w:p>
          <w:p w14:paraId="742E3C69" w14:textId="77777777" w:rsidR="00D014CD" w:rsidRPr="00F91EC4" w:rsidRDefault="00D014CD" w:rsidP="00D014CD">
            <w:pPr>
              <w:pStyle w:val="Text2"/>
              <w:spacing w:before="0" w:after="0"/>
              <w:ind w:left="0"/>
              <w:rPr>
                <w:rFonts w:ascii="Arial Narrow" w:hAnsi="Arial Narrow"/>
                <w:noProof/>
                <w:sz w:val="20"/>
                <w:szCs w:val="20"/>
                <w:u w:val="single"/>
              </w:rPr>
            </w:pPr>
          </w:p>
          <w:p w14:paraId="2CD09084" w14:textId="77777777" w:rsidR="00D014CD" w:rsidRPr="00F91EC4" w:rsidRDefault="00D014CD" w:rsidP="00D014CD">
            <w:pPr>
              <w:pStyle w:val="Text2"/>
              <w:spacing w:before="60" w:after="0"/>
              <w:ind w:left="0"/>
              <w:rPr>
                <w:rFonts w:ascii="Arial Narrow" w:hAnsi="Arial Narrow"/>
                <w:noProof/>
                <w:sz w:val="18"/>
                <w:szCs w:val="18"/>
                <w:u w:val="single"/>
              </w:rPr>
            </w:pPr>
          </w:p>
        </w:tc>
      </w:tr>
    </w:tbl>
    <w:p w14:paraId="659B65D5" w14:textId="77777777" w:rsidR="00D014CD" w:rsidRPr="00F91EC4" w:rsidRDefault="00D014CD" w:rsidP="00D014CD">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2474"/>
      </w:tblGrid>
      <w:tr w:rsidR="00D014CD" w:rsidRPr="00F91EC4" w14:paraId="7F8B2193" w14:textId="77777777" w:rsidTr="00D014CD">
        <w:trPr>
          <w:jc w:val="center"/>
        </w:trPr>
        <w:tc>
          <w:tcPr>
            <w:tcW w:w="12474" w:type="dxa"/>
            <w:tcBorders>
              <w:top w:val="single" w:sz="4" w:space="0" w:color="auto"/>
            </w:tcBorders>
          </w:tcPr>
          <w:p w14:paraId="159E9371" w14:textId="77777777" w:rsidR="00D014CD" w:rsidRPr="00F91EC4" w:rsidRDefault="00D014CD" w:rsidP="00D014CD">
            <w:pPr>
              <w:pStyle w:val="Text2"/>
              <w:spacing w:before="60" w:after="60"/>
              <w:ind w:left="0"/>
              <w:jc w:val="left"/>
              <w:rPr>
                <w:rFonts w:ascii="Arial Narrow" w:hAnsi="Arial Narrow"/>
                <w:b/>
                <w:noProof/>
                <w:sz w:val="22"/>
              </w:rPr>
            </w:pPr>
            <w:r w:rsidRPr="00F91EC4">
              <w:rPr>
                <w:rFonts w:ascii="Arial Narrow" w:hAnsi="Arial Narrow"/>
                <w:b/>
                <w:noProof/>
                <w:sz w:val="22"/>
              </w:rPr>
              <w:t>Outside HEADING 7</w:t>
            </w:r>
            <w:r w:rsidRPr="00F91EC4">
              <w:rPr>
                <w:rFonts w:ascii="Arial Narrow" w:hAnsi="Arial Narrow"/>
                <w:noProof/>
                <w:sz w:val="22"/>
              </w:rPr>
              <w:t xml:space="preserve"> of the multiannual financial framework</w:t>
            </w:r>
          </w:p>
        </w:tc>
      </w:tr>
      <w:tr w:rsidR="00D014CD" w:rsidRPr="00F91EC4" w14:paraId="185B2028" w14:textId="77777777" w:rsidTr="00D014CD">
        <w:trPr>
          <w:jc w:val="center"/>
        </w:trPr>
        <w:tc>
          <w:tcPr>
            <w:tcW w:w="12474" w:type="dxa"/>
          </w:tcPr>
          <w:p w14:paraId="17940834" w14:textId="77777777" w:rsidR="00D014CD" w:rsidRPr="00F91EC4" w:rsidRDefault="00D014CD" w:rsidP="00D014CD">
            <w:pPr>
              <w:pStyle w:val="Text2"/>
              <w:spacing w:before="40" w:after="0"/>
              <w:ind w:left="0"/>
              <w:jc w:val="left"/>
              <w:rPr>
                <w:rFonts w:ascii="Arial Narrow" w:hAnsi="Arial Narrow"/>
                <w:bCs/>
                <w:iCs/>
                <w:noProof/>
                <w:sz w:val="20"/>
                <w:szCs w:val="20"/>
              </w:rPr>
            </w:pPr>
            <w:r w:rsidRPr="00F91EC4">
              <w:rPr>
                <w:rFonts w:ascii="Wingdings" w:eastAsia="Wingdings" w:hAnsi="Wingdings" w:cs="Wingdings"/>
                <w:b/>
                <w:noProof/>
              </w:rPr>
              <w:t>□</w:t>
            </w:r>
            <w:r w:rsidRPr="00F91EC4">
              <w:rPr>
                <w:rFonts w:ascii="Arial Narrow" w:hAnsi="Arial Narrow"/>
                <w:b/>
                <w:noProof/>
              </w:rPr>
              <w:t xml:space="preserve"> </w:t>
            </w:r>
            <w:r w:rsidRPr="00F91EC4">
              <w:rPr>
                <w:rFonts w:ascii="Arial Narrow" w:hAnsi="Arial Narrow"/>
                <w:noProof/>
              </w:rPr>
              <w:t>Only posts financed from the research budget</w:t>
            </w:r>
            <w:r w:rsidRPr="00F91EC4">
              <w:rPr>
                <w:rFonts w:ascii="Arial Narrow" w:hAnsi="Arial Narrow"/>
                <w:noProof/>
                <w:sz w:val="22"/>
              </w:rPr>
              <w:t xml:space="preserve"> </w:t>
            </w:r>
          </w:p>
          <w:p w14:paraId="250B79DA" w14:textId="77777777" w:rsidR="00D014CD" w:rsidRPr="00F91EC4" w:rsidRDefault="00D014CD" w:rsidP="00D014CD">
            <w:pPr>
              <w:pStyle w:val="Text2"/>
              <w:spacing w:before="0" w:after="0"/>
              <w:ind w:left="0"/>
              <w:rPr>
                <w:rFonts w:ascii="Arial Narrow" w:hAnsi="Arial Narrow"/>
                <w:noProof/>
                <w:sz w:val="20"/>
                <w:szCs w:val="20"/>
                <w:u w:val="single"/>
              </w:rPr>
            </w:pPr>
          </w:p>
          <w:p w14:paraId="444E5432" w14:textId="77777777" w:rsidR="00D014CD" w:rsidRPr="00F91EC4" w:rsidRDefault="00D014CD" w:rsidP="00D014CD">
            <w:pPr>
              <w:pStyle w:val="Text2"/>
              <w:spacing w:before="0" w:after="0"/>
              <w:ind w:left="0"/>
              <w:rPr>
                <w:rFonts w:ascii="Arial Narrow" w:hAnsi="Arial Narrow"/>
                <w:noProof/>
                <w:sz w:val="20"/>
                <w:szCs w:val="20"/>
                <w:u w:val="single"/>
              </w:rPr>
            </w:pPr>
          </w:p>
          <w:p w14:paraId="0C00DE41" w14:textId="77777777" w:rsidR="00D014CD" w:rsidRPr="00F91EC4" w:rsidRDefault="00D014CD" w:rsidP="00D014CD">
            <w:pPr>
              <w:pStyle w:val="Text2"/>
              <w:spacing w:before="60" w:after="0"/>
              <w:ind w:left="0"/>
              <w:rPr>
                <w:rFonts w:ascii="Arial Narrow" w:hAnsi="Arial Narrow"/>
                <w:noProof/>
                <w:sz w:val="18"/>
                <w:szCs w:val="18"/>
                <w:u w:val="single"/>
              </w:rPr>
            </w:pPr>
          </w:p>
        </w:tc>
      </w:tr>
      <w:tr w:rsidR="00D014CD" w:rsidRPr="00F91EC4" w14:paraId="6C29C3C2" w14:textId="77777777" w:rsidTr="00D014CD">
        <w:trPr>
          <w:jc w:val="center"/>
        </w:trPr>
        <w:tc>
          <w:tcPr>
            <w:tcW w:w="12474" w:type="dxa"/>
            <w:tcBorders>
              <w:bottom w:val="single" w:sz="4" w:space="0" w:color="auto"/>
            </w:tcBorders>
          </w:tcPr>
          <w:p w14:paraId="7AED6F60" w14:textId="77777777" w:rsidR="00D014CD" w:rsidRPr="00F91EC4" w:rsidRDefault="00D014CD" w:rsidP="00D014CD">
            <w:pPr>
              <w:pStyle w:val="Text2"/>
              <w:spacing w:before="40" w:after="0"/>
              <w:ind w:left="0"/>
              <w:jc w:val="left"/>
              <w:rPr>
                <w:rFonts w:ascii="Arial Narrow" w:hAnsi="Arial Narrow"/>
                <w:noProof/>
                <w:sz w:val="20"/>
                <w:szCs w:val="20"/>
              </w:rPr>
            </w:pPr>
            <w:r w:rsidRPr="00F91EC4">
              <w:rPr>
                <w:rFonts w:ascii="Wingdings" w:eastAsia="Wingdings" w:hAnsi="Wingdings" w:cs="Wingdings"/>
                <w:b/>
                <w:noProof/>
              </w:rPr>
              <w:t>□</w:t>
            </w:r>
            <w:r w:rsidRPr="00F91EC4">
              <w:rPr>
                <w:rFonts w:ascii="Arial Narrow" w:hAnsi="Arial Narrow"/>
                <w:b/>
                <w:noProof/>
              </w:rPr>
              <w:t xml:space="preserve"> </w:t>
            </w:r>
            <w:r w:rsidRPr="00F91EC4">
              <w:rPr>
                <w:rFonts w:ascii="Arial Narrow" w:hAnsi="Arial Narrow"/>
                <w:noProof/>
                <w:sz w:val="22"/>
              </w:rPr>
              <w:t>External staff</w:t>
            </w:r>
          </w:p>
          <w:p w14:paraId="01D6B5B5" w14:textId="77777777" w:rsidR="00D014CD" w:rsidRPr="00F91EC4" w:rsidRDefault="00D014CD" w:rsidP="00D014CD">
            <w:pPr>
              <w:pStyle w:val="Text2"/>
              <w:spacing w:before="0" w:after="0"/>
              <w:ind w:left="0"/>
              <w:rPr>
                <w:rFonts w:ascii="Arial Narrow" w:hAnsi="Arial Narrow"/>
                <w:noProof/>
                <w:sz w:val="20"/>
                <w:szCs w:val="20"/>
                <w:u w:val="single"/>
              </w:rPr>
            </w:pPr>
          </w:p>
          <w:p w14:paraId="25058FBC" w14:textId="77777777" w:rsidR="00D014CD" w:rsidRPr="00F91EC4" w:rsidRDefault="00D014CD" w:rsidP="00D014CD">
            <w:pPr>
              <w:pStyle w:val="Text2"/>
              <w:spacing w:before="0" w:after="0"/>
              <w:ind w:left="0"/>
              <w:rPr>
                <w:rFonts w:ascii="Arial Narrow" w:hAnsi="Arial Narrow"/>
                <w:noProof/>
                <w:sz w:val="20"/>
                <w:szCs w:val="20"/>
                <w:u w:val="single"/>
              </w:rPr>
            </w:pPr>
          </w:p>
          <w:p w14:paraId="6167F4DE" w14:textId="77777777" w:rsidR="00D014CD" w:rsidRPr="00F91EC4" w:rsidRDefault="00D014CD" w:rsidP="00D014CD">
            <w:pPr>
              <w:pStyle w:val="Text2"/>
              <w:spacing w:before="60" w:after="0"/>
              <w:ind w:left="0"/>
              <w:rPr>
                <w:rFonts w:ascii="Arial Narrow" w:hAnsi="Arial Narrow"/>
                <w:noProof/>
                <w:sz w:val="18"/>
                <w:szCs w:val="18"/>
                <w:u w:val="single"/>
              </w:rPr>
            </w:pPr>
          </w:p>
        </w:tc>
      </w:tr>
    </w:tbl>
    <w:p w14:paraId="1947E4E3" w14:textId="77777777" w:rsidR="00D014CD" w:rsidRPr="00F91EC4" w:rsidRDefault="00D014CD" w:rsidP="00D014CD">
      <w:pPr>
        <w:spacing w:before="60"/>
        <w:ind w:left="-360" w:firstLine="900"/>
        <w:rPr>
          <w:noProof/>
          <w:sz w:val="20"/>
          <w:szCs w:val="20"/>
        </w:rPr>
      </w:pPr>
    </w:p>
    <w:p w14:paraId="7624923B" w14:textId="08A6CC02" w:rsidR="00D014CD" w:rsidRPr="00F91EC4" w:rsidRDefault="00DD0F7B" w:rsidP="00DD0F7B">
      <w:pPr>
        <w:pStyle w:val="ManualNumPar2"/>
        <w:rPr>
          <w:noProof/>
          <w:szCs w:val="28"/>
        </w:rPr>
      </w:pPr>
      <w:r w:rsidRPr="00DD0F7B">
        <w:rPr>
          <w:noProof/>
        </w:rPr>
        <w:t>10.2.</w:t>
      </w:r>
      <w:r w:rsidRPr="00DD0F7B">
        <w:rPr>
          <w:noProof/>
        </w:rPr>
        <w:tab/>
      </w:r>
      <w:r w:rsidR="00D014CD" w:rsidRPr="00F91EC4">
        <w:rPr>
          <w:noProof/>
        </w:rPr>
        <w:t>Other administrative expenditure</w:t>
      </w:r>
    </w:p>
    <w:p w14:paraId="740AE35B" w14:textId="77777777" w:rsidR="00D014CD" w:rsidRPr="00F91EC4" w:rsidRDefault="00D014CD" w:rsidP="00D014CD">
      <w:pPr>
        <w:ind w:left="-357" w:firstLine="902"/>
        <w:rPr>
          <w:noProof/>
          <w:sz w:val="20"/>
          <w:szCs w:val="20"/>
        </w:rPr>
      </w:pPr>
    </w:p>
    <w:p w14:paraId="60C1190F" w14:textId="77777777" w:rsidR="00D014CD" w:rsidRPr="00F91EC4" w:rsidRDefault="00D014CD" w:rsidP="00D014CD">
      <w:pPr>
        <w:spacing w:before="60"/>
        <w:ind w:left="539"/>
        <w:jc w:val="center"/>
        <w:rPr>
          <w:i/>
          <w:noProof/>
          <w:sz w:val="20"/>
          <w:szCs w:val="20"/>
        </w:rPr>
      </w:pPr>
      <w:r w:rsidRPr="00F91EC4">
        <w:rPr>
          <w:i/>
          <w:noProof/>
          <w:sz w:val="20"/>
        </w:rPr>
        <w:t xml:space="preserve">Give details of the method of calculation used for each budget line </w:t>
      </w:r>
    </w:p>
    <w:p w14:paraId="6AEB5027" w14:textId="77777777" w:rsidR="00D014CD" w:rsidRPr="00F91EC4" w:rsidRDefault="00D014CD" w:rsidP="00D014CD">
      <w:pPr>
        <w:spacing w:after="60"/>
        <w:ind w:left="539"/>
        <w:jc w:val="center"/>
        <w:rPr>
          <w:i/>
          <w:noProof/>
          <w:sz w:val="20"/>
          <w:szCs w:val="20"/>
        </w:rPr>
      </w:pPr>
      <w:r w:rsidRPr="00F91EC4">
        <w:rPr>
          <w:i/>
          <w:noProof/>
          <w:sz w:val="20"/>
        </w:rPr>
        <w:t>and in particular the underlying assumptions (e.g. number of meetings per year, average costs,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537"/>
      </w:tblGrid>
      <w:tr w:rsidR="00D014CD" w:rsidRPr="00F91EC4" w14:paraId="19317DB5" w14:textId="77777777" w:rsidTr="00D014CD">
        <w:trPr>
          <w:jc w:val="center"/>
        </w:trPr>
        <w:tc>
          <w:tcPr>
            <w:tcW w:w="9537" w:type="dxa"/>
            <w:tcBorders>
              <w:top w:val="single" w:sz="4" w:space="0" w:color="auto"/>
            </w:tcBorders>
          </w:tcPr>
          <w:p w14:paraId="606EE419" w14:textId="77777777" w:rsidR="00D014CD" w:rsidRPr="00F91EC4" w:rsidRDefault="00D014CD" w:rsidP="00D014CD">
            <w:pPr>
              <w:pStyle w:val="Text2"/>
              <w:spacing w:before="60" w:after="60"/>
              <w:ind w:left="0"/>
              <w:jc w:val="left"/>
              <w:rPr>
                <w:rFonts w:ascii="Arial Narrow" w:hAnsi="Arial Narrow"/>
                <w:b/>
                <w:noProof/>
                <w:sz w:val="22"/>
              </w:rPr>
            </w:pPr>
            <w:r w:rsidRPr="00F91EC4">
              <w:rPr>
                <w:rFonts w:ascii="Arial Narrow" w:hAnsi="Arial Narrow"/>
                <w:b/>
                <w:noProof/>
                <w:sz w:val="22"/>
              </w:rPr>
              <w:t>HEADING 7</w:t>
            </w:r>
            <w:r w:rsidRPr="00F91EC4">
              <w:rPr>
                <w:rFonts w:ascii="Arial Narrow" w:hAnsi="Arial Narrow"/>
                <w:noProof/>
                <w:sz w:val="22"/>
              </w:rPr>
              <w:t xml:space="preserve"> of the multiannual financial framework</w:t>
            </w:r>
          </w:p>
        </w:tc>
      </w:tr>
      <w:tr w:rsidR="00D014CD" w:rsidRPr="00F91EC4" w14:paraId="1B523F8B" w14:textId="77777777" w:rsidTr="00D014CD">
        <w:trPr>
          <w:jc w:val="center"/>
        </w:trPr>
        <w:tc>
          <w:tcPr>
            <w:tcW w:w="9537" w:type="dxa"/>
            <w:tcBorders>
              <w:bottom w:val="single" w:sz="4" w:space="0" w:color="auto"/>
            </w:tcBorders>
          </w:tcPr>
          <w:p w14:paraId="1AB04E71" w14:textId="77777777" w:rsidR="00D014CD" w:rsidRPr="00F91EC4" w:rsidRDefault="00D014CD" w:rsidP="00D014CD">
            <w:pPr>
              <w:pStyle w:val="Text2"/>
              <w:spacing w:before="0" w:after="0"/>
              <w:ind w:left="0"/>
              <w:rPr>
                <w:rFonts w:ascii="Arial Narrow" w:hAnsi="Arial Narrow"/>
                <w:noProof/>
                <w:sz w:val="22"/>
                <w:u w:val="single"/>
              </w:rPr>
            </w:pPr>
          </w:p>
          <w:p w14:paraId="78BDF5AD" w14:textId="77777777" w:rsidR="00D014CD" w:rsidRPr="00F91EC4" w:rsidRDefault="00D014CD" w:rsidP="00D014CD">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Around 12 missions in Member States in 2022-2028</w:t>
            </w:r>
          </w:p>
          <w:p w14:paraId="2A86E9A1" w14:textId="77777777" w:rsidR="00D014CD" w:rsidRPr="00F91EC4" w:rsidRDefault="00D014CD" w:rsidP="00D014CD">
            <w:pPr>
              <w:spacing w:before="0" w:after="0"/>
              <w:rPr>
                <w:rFonts w:ascii="Arial Narrow" w:eastAsia="Times New Roman" w:hAnsi="Arial Narrow"/>
                <w:noProof/>
                <w:sz w:val="20"/>
                <w:szCs w:val="20"/>
                <w:u w:val="single"/>
                <w:lang w:eastAsia="en-GB"/>
              </w:rPr>
            </w:pPr>
            <w:r w:rsidRPr="00F91EC4">
              <w:rPr>
                <w:rFonts w:ascii="Arial Narrow" w:eastAsia="Times New Roman" w:hAnsi="Arial Narrow"/>
                <w:noProof/>
                <w:sz w:val="20"/>
                <w:szCs w:val="20"/>
                <w:u w:val="single"/>
                <w:lang w:eastAsia="en-GB"/>
              </w:rPr>
              <w:t>Around 3 meeting days per year over 2022-2024 (TCMV and Forum meetings)</w:t>
            </w:r>
          </w:p>
          <w:p w14:paraId="14BDA207" w14:textId="77777777" w:rsidR="00D014CD" w:rsidRPr="00F91EC4" w:rsidRDefault="00D014CD" w:rsidP="00D014CD">
            <w:pPr>
              <w:pStyle w:val="Text2"/>
              <w:spacing w:before="0" w:after="0"/>
              <w:ind w:left="0"/>
              <w:rPr>
                <w:rFonts w:ascii="Arial Narrow" w:hAnsi="Arial Narrow"/>
                <w:noProof/>
                <w:sz w:val="22"/>
                <w:u w:val="single"/>
              </w:rPr>
            </w:pPr>
          </w:p>
          <w:p w14:paraId="49FDA688" w14:textId="77777777" w:rsidR="00D014CD" w:rsidRPr="00F91EC4" w:rsidRDefault="00D014CD" w:rsidP="00D014CD">
            <w:pPr>
              <w:pStyle w:val="Text2"/>
              <w:spacing w:before="0" w:after="0"/>
              <w:ind w:left="0"/>
              <w:rPr>
                <w:rFonts w:ascii="Arial Narrow" w:hAnsi="Arial Narrow"/>
                <w:noProof/>
                <w:sz w:val="22"/>
                <w:u w:val="single"/>
              </w:rPr>
            </w:pPr>
          </w:p>
          <w:p w14:paraId="22EA8DE5" w14:textId="77777777" w:rsidR="00D014CD" w:rsidRPr="00F91EC4" w:rsidRDefault="00D014CD" w:rsidP="00D014CD">
            <w:pPr>
              <w:pStyle w:val="Text2"/>
              <w:spacing w:before="60" w:after="0"/>
              <w:ind w:left="0"/>
              <w:rPr>
                <w:rFonts w:ascii="Arial Narrow" w:hAnsi="Arial Narrow"/>
                <w:noProof/>
                <w:sz w:val="22"/>
                <w:u w:val="single"/>
              </w:rPr>
            </w:pPr>
          </w:p>
        </w:tc>
      </w:tr>
    </w:tbl>
    <w:p w14:paraId="3D5C778F" w14:textId="77777777" w:rsidR="00D014CD" w:rsidRPr="00F91EC4" w:rsidRDefault="00D014CD" w:rsidP="00D014CD">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rsidR="00D014CD" w:rsidRPr="00F91EC4" w14:paraId="495ADD02" w14:textId="77777777" w:rsidTr="00D014CD">
        <w:trPr>
          <w:jc w:val="center"/>
        </w:trPr>
        <w:tc>
          <w:tcPr>
            <w:tcW w:w="9295" w:type="dxa"/>
            <w:tcBorders>
              <w:top w:val="single" w:sz="4" w:space="0" w:color="auto"/>
            </w:tcBorders>
          </w:tcPr>
          <w:p w14:paraId="1F638E68" w14:textId="77777777" w:rsidR="00D014CD" w:rsidRPr="00F91EC4" w:rsidRDefault="00D014CD" w:rsidP="00D014CD">
            <w:pPr>
              <w:pStyle w:val="Text2"/>
              <w:spacing w:before="60" w:after="60"/>
              <w:ind w:left="0"/>
              <w:jc w:val="left"/>
              <w:rPr>
                <w:rFonts w:ascii="Arial Narrow" w:hAnsi="Arial Narrow"/>
                <w:b/>
                <w:noProof/>
                <w:sz w:val="22"/>
              </w:rPr>
            </w:pPr>
            <w:r w:rsidRPr="00F91EC4">
              <w:rPr>
                <w:rFonts w:ascii="Arial Narrow" w:hAnsi="Arial Narrow"/>
                <w:b/>
                <w:noProof/>
                <w:sz w:val="22"/>
              </w:rPr>
              <w:t>Outside HEADING 7</w:t>
            </w:r>
            <w:r w:rsidRPr="00F91EC4">
              <w:rPr>
                <w:rFonts w:ascii="Arial Narrow" w:hAnsi="Arial Narrow"/>
                <w:noProof/>
                <w:sz w:val="22"/>
              </w:rPr>
              <w:t xml:space="preserve"> of the multiannual financial framework</w:t>
            </w:r>
          </w:p>
        </w:tc>
      </w:tr>
      <w:tr w:rsidR="00D014CD" w:rsidRPr="00F91EC4" w14:paraId="075705BC" w14:textId="77777777" w:rsidTr="00D014CD">
        <w:trPr>
          <w:jc w:val="center"/>
        </w:trPr>
        <w:tc>
          <w:tcPr>
            <w:tcW w:w="9295" w:type="dxa"/>
            <w:tcBorders>
              <w:bottom w:val="single" w:sz="4" w:space="0" w:color="auto"/>
            </w:tcBorders>
          </w:tcPr>
          <w:p w14:paraId="3DDD7C87" w14:textId="77777777" w:rsidR="00D014CD" w:rsidRPr="00F91EC4" w:rsidRDefault="00D014CD" w:rsidP="00D014CD">
            <w:pPr>
              <w:pStyle w:val="Text2"/>
              <w:spacing w:before="0" w:after="0"/>
              <w:ind w:left="0"/>
              <w:rPr>
                <w:rFonts w:ascii="Arial Narrow" w:hAnsi="Arial Narrow"/>
                <w:noProof/>
                <w:sz w:val="20"/>
                <w:szCs w:val="20"/>
                <w:u w:val="single"/>
              </w:rPr>
            </w:pPr>
          </w:p>
          <w:p w14:paraId="74FF28F9" w14:textId="77777777" w:rsidR="00D014CD" w:rsidRPr="00F91EC4" w:rsidRDefault="00D014CD" w:rsidP="00D014CD">
            <w:pPr>
              <w:pStyle w:val="Text2"/>
              <w:spacing w:before="0" w:after="0"/>
              <w:ind w:left="0"/>
              <w:rPr>
                <w:rFonts w:ascii="Arial Narrow" w:hAnsi="Arial Narrow"/>
                <w:noProof/>
                <w:sz w:val="20"/>
                <w:szCs w:val="20"/>
                <w:u w:val="single"/>
              </w:rPr>
            </w:pPr>
          </w:p>
          <w:p w14:paraId="7BD3C1CE" w14:textId="77777777" w:rsidR="00D014CD" w:rsidRPr="00F91EC4" w:rsidRDefault="00D014CD" w:rsidP="00D014CD">
            <w:pPr>
              <w:pStyle w:val="Text2"/>
              <w:spacing w:before="0" w:after="0"/>
              <w:ind w:left="0"/>
              <w:rPr>
                <w:rFonts w:ascii="Arial Narrow" w:hAnsi="Arial Narrow"/>
                <w:noProof/>
                <w:sz w:val="20"/>
                <w:szCs w:val="20"/>
                <w:u w:val="single"/>
              </w:rPr>
            </w:pPr>
          </w:p>
          <w:p w14:paraId="05BEE4AA" w14:textId="77777777" w:rsidR="00D014CD" w:rsidRPr="00F91EC4" w:rsidRDefault="00D014CD" w:rsidP="00D014CD">
            <w:pPr>
              <w:pStyle w:val="Text2"/>
              <w:spacing w:before="60" w:after="0"/>
              <w:ind w:left="0"/>
              <w:rPr>
                <w:rFonts w:ascii="Arial Narrow" w:hAnsi="Arial Narrow"/>
                <w:noProof/>
                <w:sz w:val="18"/>
                <w:szCs w:val="18"/>
                <w:u w:val="single"/>
              </w:rPr>
            </w:pPr>
          </w:p>
        </w:tc>
      </w:tr>
    </w:tbl>
    <w:p w14:paraId="3083A4B6" w14:textId="77777777" w:rsidR="00D014CD" w:rsidRPr="00F91EC4" w:rsidRDefault="00D014CD" w:rsidP="00D014CD">
      <w:pPr>
        <w:rPr>
          <w:noProof/>
        </w:rPr>
      </w:pPr>
    </w:p>
    <w:p w14:paraId="4552A26C" w14:textId="77777777" w:rsidR="0042706D" w:rsidRPr="00F91EC4" w:rsidRDefault="0042706D" w:rsidP="00D014CD">
      <w:pPr>
        <w:jc w:val="right"/>
        <w:rPr>
          <w:noProof/>
        </w:rPr>
      </w:pPr>
    </w:p>
    <w:sectPr w:rsidR="0042706D" w:rsidRPr="00F91EC4" w:rsidSect="00E50DA1">
      <w:pgSz w:w="16840" w:h="11907" w:orient="landscape" w:code="9"/>
      <w:pgMar w:top="1134" w:right="1418" w:bottom="567"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A5218B" w16cid:durableId="4A982239"/>
  <w16cid:commentId w16cid:paraId="2EDC6355" w16cid:durableId="6AA250D0"/>
  <w16cid:commentId w16cid:paraId="6FF7D6C4" w16cid:durableId="40343C4C"/>
  <w16cid:commentId w16cid:paraId="2FF5ECF9" w16cid:durableId="6079B2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7EA8" w14:textId="77777777" w:rsidR="00BF137B" w:rsidRDefault="00BF137B" w:rsidP="009439C4">
      <w:pPr>
        <w:spacing w:before="0" w:after="0"/>
      </w:pPr>
      <w:r>
        <w:separator/>
      </w:r>
    </w:p>
  </w:endnote>
  <w:endnote w:type="continuationSeparator" w:id="0">
    <w:p w14:paraId="0FF5CFD6" w14:textId="77777777" w:rsidR="00BF137B" w:rsidRDefault="00BF137B" w:rsidP="009439C4">
      <w:pPr>
        <w:spacing w:before="0" w:after="0"/>
      </w:pPr>
      <w:r>
        <w:continuationSeparator/>
      </w:r>
    </w:p>
  </w:endnote>
  <w:endnote w:type="continuationNotice" w:id="1">
    <w:p w14:paraId="13A85FAA" w14:textId="77777777" w:rsidR="00BF137B" w:rsidRDefault="00BF13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EUAlbertina">
    <w:altName w:val="Calibri"/>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70F1" w14:textId="6F82928A" w:rsidR="00BF137B" w:rsidRPr="00E50DA1" w:rsidRDefault="00E50DA1" w:rsidP="00E50DA1">
    <w:pPr>
      <w:pStyle w:val="Footer"/>
      <w:rPr>
        <w:rFonts w:ascii="Arial" w:hAnsi="Arial" w:cs="Arial"/>
        <w:b/>
        <w:sz w:val="48"/>
      </w:rPr>
    </w:pPr>
    <w:r w:rsidRPr="00E50DA1">
      <w:rPr>
        <w:rFonts w:ascii="Arial" w:hAnsi="Arial" w:cs="Arial"/>
        <w:b/>
        <w:sz w:val="48"/>
      </w:rPr>
      <w:t>EN</w:t>
    </w:r>
    <w:r w:rsidRPr="00E50DA1">
      <w:rPr>
        <w:rFonts w:ascii="Arial" w:hAnsi="Arial" w:cs="Arial"/>
        <w:b/>
        <w:sz w:val="48"/>
      </w:rPr>
      <w:tab/>
    </w:r>
    <w:r w:rsidRPr="00E50DA1">
      <w:rPr>
        <w:rFonts w:ascii="Arial" w:hAnsi="Arial" w:cs="Arial"/>
        <w:b/>
        <w:sz w:val="48"/>
      </w:rPr>
      <w:tab/>
    </w:r>
    <w:r w:rsidRPr="00E50DA1">
      <w:tab/>
    </w:r>
    <w:r w:rsidRPr="00E50DA1">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25E6" w14:textId="613B5770" w:rsidR="00BF137B" w:rsidRPr="00E50DA1" w:rsidRDefault="00E50DA1" w:rsidP="00E50DA1">
    <w:pPr>
      <w:pStyle w:val="FooterLandscape"/>
      <w:rPr>
        <w:rFonts w:ascii="Arial" w:hAnsi="Arial" w:cs="Arial"/>
        <w:b/>
        <w:sz w:val="48"/>
      </w:rPr>
    </w:pPr>
    <w:r w:rsidRPr="00E50DA1">
      <w:rPr>
        <w:rFonts w:ascii="Arial" w:hAnsi="Arial" w:cs="Arial"/>
        <w:b/>
        <w:sz w:val="48"/>
      </w:rPr>
      <w:t>EN</w:t>
    </w:r>
    <w:r w:rsidRPr="00E50DA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50DA1">
      <w:tab/>
    </w:r>
    <w:r w:rsidRPr="00E50DA1">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DE9E" w14:textId="77777777" w:rsidR="00E50DA1" w:rsidRPr="00E50DA1" w:rsidRDefault="00E50DA1" w:rsidP="00E50DA1">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BB04" w14:textId="6D9B5507" w:rsidR="00E50DA1" w:rsidRPr="00E50DA1" w:rsidRDefault="00E50DA1" w:rsidP="00E50DA1">
    <w:pPr>
      <w:pStyle w:val="Footer"/>
      <w:rPr>
        <w:rFonts w:ascii="Arial" w:hAnsi="Arial" w:cs="Arial"/>
        <w:b/>
        <w:sz w:val="48"/>
      </w:rPr>
    </w:pPr>
    <w:r w:rsidRPr="00E50DA1">
      <w:rPr>
        <w:rFonts w:ascii="Arial" w:hAnsi="Arial" w:cs="Arial"/>
        <w:b/>
        <w:sz w:val="48"/>
      </w:rPr>
      <w:t>EN</w:t>
    </w:r>
    <w:r w:rsidRPr="00E50DA1">
      <w:rPr>
        <w:rFonts w:ascii="Arial" w:hAnsi="Arial" w:cs="Arial"/>
        <w:b/>
        <w:sz w:val="48"/>
      </w:rPr>
      <w:tab/>
    </w:r>
    <w:r>
      <w:fldChar w:fldCharType="begin"/>
    </w:r>
    <w:r>
      <w:instrText xml:space="preserve"> PAGE  \* MERGEFORMAT </w:instrText>
    </w:r>
    <w:r>
      <w:fldChar w:fldCharType="separate"/>
    </w:r>
    <w:r w:rsidR="009E7EFF">
      <w:rPr>
        <w:noProof/>
      </w:rPr>
      <w:t>38</w:t>
    </w:r>
    <w:r>
      <w:fldChar w:fldCharType="end"/>
    </w:r>
    <w:r>
      <w:tab/>
    </w:r>
    <w:r w:rsidRPr="00E50DA1">
      <w:tab/>
    </w:r>
    <w:r w:rsidRPr="00E50DA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FBC3" w14:textId="77777777" w:rsidR="00E50DA1" w:rsidRPr="00E50DA1" w:rsidRDefault="00E50DA1" w:rsidP="00E50D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9B2B" w14:textId="21ED2D7E" w:rsidR="00E50DA1" w:rsidRPr="00E50DA1" w:rsidRDefault="00E50DA1" w:rsidP="00E50DA1">
    <w:pPr>
      <w:pStyle w:val="FooterLandscape"/>
      <w:rPr>
        <w:rFonts w:ascii="Arial" w:hAnsi="Arial" w:cs="Arial"/>
        <w:b/>
        <w:sz w:val="48"/>
      </w:rPr>
    </w:pPr>
    <w:r w:rsidRPr="00E50DA1">
      <w:rPr>
        <w:rFonts w:ascii="Arial" w:hAnsi="Arial" w:cs="Arial"/>
        <w:b/>
        <w:sz w:val="48"/>
      </w:rPr>
      <w:t>EN</w:t>
    </w:r>
    <w:r w:rsidRPr="00E50DA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50DA1">
      <w:tab/>
    </w:r>
    <w:r w:rsidRPr="00E50DA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74B2" w14:textId="77777777" w:rsidR="00E50DA1" w:rsidRPr="00E50DA1" w:rsidRDefault="00E50DA1" w:rsidP="00E50DA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4322" w14:textId="31E2D0DF" w:rsidR="00BF137B" w:rsidRPr="00E50DA1" w:rsidRDefault="00E50DA1" w:rsidP="00E50DA1">
    <w:pPr>
      <w:pStyle w:val="Footer"/>
      <w:rPr>
        <w:rFonts w:ascii="Arial" w:hAnsi="Arial" w:cs="Arial"/>
        <w:b/>
        <w:sz w:val="48"/>
      </w:rPr>
    </w:pPr>
    <w:r w:rsidRPr="00E50DA1">
      <w:rPr>
        <w:rFonts w:ascii="Arial" w:hAnsi="Arial" w:cs="Arial"/>
        <w:b/>
        <w:sz w:val="48"/>
      </w:rPr>
      <w:t>EN</w:t>
    </w:r>
    <w:r w:rsidRPr="00E50DA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50DA1">
      <w:tab/>
    </w:r>
    <w:r w:rsidRPr="00E50DA1">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BBB7" w14:textId="77777777" w:rsidR="00E50DA1" w:rsidRPr="00E50DA1" w:rsidRDefault="00E50DA1" w:rsidP="00E50DA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25B9" w14:textId="0D2ACF77" w:rsidR="00E50DA1" w:rsidRPr="00E50DA1" w:rsidRDefault="00E50DA1" w:rsidP="00E50DA1">
    <w:pPr>
      <w:pStyle w:val="Footer"/>
      <w:rPr>
        <w:rFonts w:ascii="Arial" w:hAnsi="Arial" w:cs="Arial"/>
        <w:b/>
        <w:sz w:val="48"/>
      </w:rPr>
    </w:pPr>
    <w:r w:rsidRPr="00E50DA1">
      <w:rPr>
        <w:rFonts w:ascii="Arial" w:hAnsi="Arial" w:cs="Arial"/>
        <w:b/>
        <w:sz w:val="48"/>
      </w:rPr>
      <w:t>EN</w:t>
    </w:r>
    <w:r w:rsidRPr="00E50DA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50DA1">
      <w:tab/>
    </w:r>
    <w:r w:rsidRPr="00E50DA1">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94CA" w14:textId="77777777" w:rsidR="00E50DA1" w:rsidRPr="00E50DA1" w:rsidRDefault="00E50DA1" w:rsidP="00E5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2D41" w14:textId="77777777" w:rsidR="00BF137B" w:rsidRDefault="00BF137B" w:rsidP="009439C4">
      <w:pPr>
        <w:spacing w:before="0" w:after="0"/>
      </w:pPr>
      <w:r>
        <w:separator/>
      </w:r>
    </w:p>
  </w:footnote>
  <w:footnote w:type="continuationSeparator" w:id="0">
    <w:p w14:paraId="6FB8BCD8" w14:textId="77777777" w:rsidR="00BF137B" w:rsidRDefault="00BF137B" w:rsidP="009439C4">
      <w:pPr>
        <w:spacing w:before="0" w:after="0"/>
      </w:pPr>
      <w:r>
        <w:continuationSeparator/>
      </w:r>
    </w:p>
  </w:footnote>
  <w:footnote w:type="continuationNotice" w:id="1">
    <w:p w14:paraId="11C16473" w14:textId="77777777" w:rsidR="00BF137B" w:rsidRDefault="00BF137B">
      <w:pPr>
        <w:spacing w:before="0" w:after="0"/>
      </w:pPr>
    </w:p>
  </w:footnote>
  <w:footnote w:id="2">
    <w:p w14:paraId="3BFEF006" w14:textId="77777777" w:rsidR="00BF137B" w:rsidRPr="00DD12E0" w:rsidRDefault="00BF137B" w:rsidP="00235561">
      <w:pPr>
        <w:pStyle w:val="FootnoteText"/>
        <w:rPr>
          <w:rFonts w:eastAsia="Times New Roman"/>
        </w:rPr>
      </w:pPr>
      <w:r w:rsidRPr="00DD12E0">
        <w:rPr>
          <w:rStyle w:val="FootnoteReference"/>
          <w:rFonts w:eastAsia="Times New Roman"/>
        </w:rPr>
        <w:footnoteRef/>
      </w:r>
      <w:r w:rsidRPr="00DD12E0">
        <w:rPr>
          <w:rFonts w:eastAsia="Times New Roman"/>
        </w:rPr>
        <w:tab/>
        <w:t>Directive 2008/50/EC of the European Parliament and of the Council of 21 May 2008 on ambient air quality</w:t>
      </w:r>
    </w:p>
    <w:p w14:paraId="3E4AF4F7" w14:textId="77777777" w:rsidR="00BF137B" w:rsidRPr="00DD12E0" w:rsidRDefault="00BF137B" w:rsidP="00235561">
      <w:pPr>
        <w:pStyle w:val="FootnoteText"/>
      </w:pPr>
      <w:r w:rsidRPr="00DD12E0">
        <w:rPr>
          <w:rFonts w:eastAsia="Times New Roman"/>
        </w:rPr>
        <w:t>and cleaner air for Europe (OJ L 152, 11.6.2008, p. 1–44)</w:t>
      </w:r>
    </w:p>
  </w:footnote>
  <w:footnote w:id="3">
    <w:p w14:paraId="5CA478F4" w14:textId="77777777" w:rsidR="00BF137B" w:rsidRPr="00DD12E0" w:rsidRDefault="00BF137B" w:rsidP="0038700B">
      <w:pPr>
        <w:pStyle w:val="FootnoteText"/>
      </w:pPr>
      <w:r w:rsidRPr="00DD12E0">
        <w:rPr>
          <w:rStyle w:val="FootnoteReference"/>
        </w:rPr>
        <w:footnoteRef/>
      </w:r>
      <w:r w:rsidRPr="00DD12E0">
        <w:tab/>
      </w:r>
      <w:hyperlink r:id="rId1" w:history="1">
        <w:r w:rsidRPr="00DD12E0">
          <w:rPr>
            <w:rStyle w:val="Hyperlink"/>
            <w:rFonts w:eastAsia="Times New Roman"/>
          </w:rPr>
          <w:t>EEA, 2020.</w:t>
        </w:r>
      </w:hyperlink>
      <w:r w:rsidRPr="00DD12E0">
        <w:rPr>
          <w:rFonts w:eastAsia="Times New Roman"/>
        </w:rPr>
        <w:t xml:space="preserve"> Air quality in Europe – 2020 report.</w:t>
      </w:r>
    </w:p>
  </w:footnote>
  <w:footnote w:id="4">
    <w:p w14:paraId="2CC0FE96" w14:textId="77777777" w:rsidR="00BF137B" w:rsidRPr="00D45DEC" w:rsidRDefault="00BF137B" w:rsidP="00057C61">
      <w:pPr>
        <w:pStyle w:val="FootnoteText"/>
        <w:rPr>
          <w:lang w:val="es-ES"/>
        </w:rPr>
      </w:pPr>
      <w:r w:rsidRPr="00DD12E0">
        <w:rPr>
          <w:rStyle w:val="FootnoteReference"/>
          <w:rFonts w:eastAsia="Times New Roman"/>
        </w:rPr>
        <w:footnoteRef/>
      </w:r>
      <w:r w:rsidRPr="00D45DEC">
        <w:rPr>
          <w:rFonts w:eastAsia="Times New Roman"/>
          <w:lang w:val="es-ES"/>
        </w:rPr>
        <w:tab/>
      </w:r>
      <w:hyperlink r:id="rId2" w:history="1">
        <w:r w:rsidRPr="00D45DEC">
          <w:rPr>
            <w:rStyle w:val="Hyperlink"/>
            <w:rFonts w:eastAsia="Times New Roman"/>
            <w:lang w:val="es-ES"/>
          </w:rPr>
          <w:t>JRC, 2019.</w:t>
        </w:r>
      </w:hyperlink>
      <w:r w:rsidRPr="00D45DEC">
        <w:rPr>
          <w:rFonts w:eastAsia="Times New Roman"/>
          <w:lang w:val="es-ES"/>
        </w:rPr>
        <w:t xml:space="preserve"> Urban NO</w:t>
      </w:r>
      <w:r w:rsidRPr="00D45DEC">
        <w:rPr>
          <w:rFonts w:eastAsia="Times New Roman"/>
          <w:vertAlign w:val="subscript"/>
          <w:lang w:val="es-ES"/>
        </w:rPr>
        <w:t>2</w:t>
      </w:r>
      <w:r w:rsidRPr="00D45DEC">
        <w:rPr>
          <w:rFonts w:eastAsia="Times New Roman"/>
          <w:lang w:val="es-ES"/>
        </w:rPr>
        <w:t xml:space="preserve"> Atlas</w:t>
      </w:r>
    </w:p>
  </w:footnote>
  <w:footnote w:id="5">
    <w:p w14:paraId="02F38116" w14:textId="77777777" w:rsidR="00BF137B" w:rsidRPr="00DD12E0" w:rsidRDefault="00BF137B" w:rsidP="00057C61">
      <w:pPr>
        <w:pStyle w:val="FootnoteText"/>
      </w:pPr>
      <w:r w:rsidRPr="00DD12E0">
        <w:rPr>
          <w:rStyle w:val="FootnoteReference"/>
          <w:rFonts w:eastAsia="Times New Roman"/>
        </w:rPr>
        <w:footnoteRef/>
      </w:r>
      <w:r w:rsidRPr="006D52E1">
        <w:rPr>
          <w:rFonts w:eastAsia="Times New Roman"/>
        </w:rPr>
        <w:tab/>
      </w:r>
      <w:hyperlink r:id="rId3" w:history="1">
        <w:r w:rsidRPr="006D52E1">
          <w:rPr>
            <w:rStyle w:val="Hyperlink"/>
          </w:rPr>
          <w:t>EEA, 2020</w:t>
        </w:r>
      </w:hyperlink>
      <w:r w:rsidRPr="006D52E1">
        <w:t>.</w:t>
      </w:r>
      <w:r w:rsidRPr="006D52E1" w:rsidDel="004311C4">
        <w:t xml:space="preserve"> </w:t>
      </w:r>
      <w:r w:rsidRPr="00DD12E0">
        <w:t>Air pollutant emissions data viewer (Gothenburg Protocol, LRTAP Convention) 1990-2018</w:t>
      </w:r>
    </w:p>
  </w:footnote>
  <w:footnote w:id="6">
    <w:p w14:paraId="52ABCC22" w14:textId="77777777" w:rsidR="00BF137B" w:rsidRPr="00DD12E0" w:rsidRDefault="00BF137B" w:rsidP="00235561">
      <w:pPr>
        <w:pStyle w:val="FootnoteText"/>
      </w:pPr>
      <w:r w:rsidRPr="00DD12E0">
        <w:rPr>
          <w:rStyle w:val="FootnoteReference"/>
          <w:rFonts w:eastAsia="Times New Roman"/>
        </w:rPr>
        <w:footnoteRef/>
      </w:r>
      <w:r w:rsidRPr="00DD12E0">
        <w:rPr>
          <w:rFonts w:eastAsia="Times New Roman"/>
        </w:rPr>
        <w:tab/>
        <w:t>COM(2019) 640 final</w:t>
      </w:r>
    </w:p>
  </w:footnote>
  <w:footnote w:id="7">
    <w:p w14:paraId="23C31577" w14:textId="77777777" w:rsidR="00BF137B" w:rsidRPr="00DD12E0" w:rsidRDefault="00BF137B" w:rsidP="00B46FB8">
      <w:pPr>
        <w:pStyle w:val="FootnoteText"/>
      </w:pPr>
      <w:r w:rsidRPr="00DD12E0">
        <w:rPr>
          <w:rStyle w:val="FootnoteReference"/>
          <w:rFonts w:eastAsia="Times New Roman"/>
        </w:rPr>
        <w:footnoteRef/>
      </w:r>
      <w:r w:rsidRPr="00DD12E0">
        <w:rPr>
          <w:rFonts w:eastAsia="Times New Roman"/>
        </w:rPr>
        <w:tab/>
        <w:t>COM(2021) 118 final</w:t>
      </w:r>
    </w:p>
  </w:footnote>
  <w:footnote w:id="8">
    <w:p w14:paraId="0E1B29EF" w14:textId="77777777" w:rsidR="00BF137B" w:rsidRPr="00DD12E0" w:rsidRDefault="00BF137B" w:rsidP="00235561">
      <w:pPr>
        <w:pStyle w:val="FootnoteText"/>
      </w:pPr>
      <w:r w:rsidRPr="00DD12E0">
        <w:rPr>
          <w:rStyle w:val="FootnoteReference"/>
        </w:rPr>
        <w:footnoteRef/>
      </w:r>
      <w:r w:rsidRPr="00DD12E0">
        <w:tab/>
        <w:t>COM(2021) 556 final</w:t>
      </w:r>
    </w:p>
  </w:footnote>
  <w:footnote w:id="9">
    <w:p w14:paraId="4324760A" w14:textId="77777777" w:rsidR="00BF137B" w:rsidRPr="00DD12E0" w:rsidRDefault="00BF137B">
      <w:pPr>
        <w:pStyle w:val="FootnoteText"/>
      </w:pPr>
      <w:r w:rsidRPr="00DD12E0">
        <w:rPr>
          <w:rStyle w:val="FootnoteReference"/>
        </w:rPr>
        <w:footnoteRef/>
      </w:r>
      <w:r w:rsidRPr="00DD12E0">
        <w:tab/>
        <w:t>In 2022, this will be followed by a proposal on CO</w:t>
      </w:r>
      <w:r w:rsidRPr="00DD12E0">
        <w:rPr>
          <w:vertAlign w:val="subscript"/>
        </w:rPr>
        <w:t>2</w:t>
      </w:r>
      <w:r w:rsidRPr="00DD12E0">
        <w:t xml:space="preserve"> emission performance standards for heavy-duty vehicles.</w:t>
      </w:r>
    </w:p>
  </w:footnote>
  <w:footnote w:id="10">
    <w:p w14:paraId="68D12AA8" w14:textId="77777777" w:rsidR="00BF137B" w:rsidRPr="00DD12E0" w:rsidRDefault="00BF137B" w:rsidP="00235561">
      <w:pPr>
        <w:pStyle w:val="FootnoteText"/>
      </w:pPr>
      <w:r w:rsidRPr="00DD12E0">
        <w:rPr>
          <w:rStyle w:val="FootnoteReference"/>
        </w:rPr>
        <w:footnoteRef/>
      </w:r>
      <w:r w:rsidRPr="00DD12E0">
        <w:tab/>
        <w:t>COM(2020) 789 final</w:t>
      </w:r>
    </w:p>
  </w:footnote>
  <w:footnote w:id="11">
    <w:p w14:paraId="3B5E64BF" w14:textId="77777777" w:rsidR="00BF137B" w:rsidRPr="00DD12E0" w:rsidRDefault="00BF137B" w:rsidP="00235561">
      <w:pPr>
        <w:pStyle w:val="FootnoteText"/>
      </w:pPr>
      <w:r w:rsidRPr="00DD12E0">
        <w:rPr>
          <w:rStyle w:val="FootnoteReference"/>
        </w:rPr>
        <w:footnoteRef/>
      </w:r>
      <w:r w:rsidRPr="00DD12E0">
        <w:tab/>
        <w:t>COM(2021) 400 final</w:t>
      </w:r>
    </w:p>
  </w:footnote>
  <w:footnote w:id="12">
    <w:p w14:paraId="2F4BB493" w14:textId="77777777" w:rsidR="00BF137B" w:rsidRPr="00DD12E0" w:rsidRDefault="00BF137B" w:rsidP="00235561">
      <w:pPr>
        <w:pStyle w:val="FootnoteText"/>
      </w:pPr>
      <w:r w:rsidRPr="00DD12E0">
        <w:rPr>
          <w:rStyle w:val="FootnoteReference"/>
          <w:rFonts w:eastAsia="Times New Roman"/>
        </w:rPr>
        <w:footnoteRef/>
      </w:r>
      <w:r w:rsidRPr="00DD12E0">
        <w:rPr>
          <w:rFonts w:eastAsia="Times New Roman"/>
        </w:rPr>
        <w:tab/>
        <w:t xml:space="preserve">COM(2020) 102 final and </w:t>
      </w:r>
      <w:r w:rsidRPr="00DD12E0">
        <w:t>COM(2021) 350 final</w:t>
      </w:r>
    </w:p>
  </w:footnote>
  <w:footnote w:id="13">
    <w:p w14:paraId="065B464B" w14:textId="77777777" w:rsidR="00BF137B" w:rsidRPr="00DD12E0" w:rsidRDefault="00BF137B">
      <w:pPr>
        <w:pStyle w:val="FootnoteText"/>
      </w:pPr>
      <w:r w:rsidRPr="00DD12E0">
        <w:rPr>
          <w:rStyle w:val="FootnoteReference"/>
        </w:rPr>
        <w:footnoteRef/>
      </w:r>
      <w:r w:rsidRPr="00DD12E0">
        <w:tab/>
        <w:t>Found in Annex II of Regulation 2018/858</w:t>
      </w:r>
    </w:p>
  </w:footnote>
  <w:footnote w:id="14">
    <w:p w14:paraId="76A46B62" w14:textId="77777777" w:rsidR="00BF137B" w:rsidRPr="00BA653B" w:rsidRDefault="00BF137B" w:rsidP="00E93FFE">
      <w:pPr>
        <w:pStyle w:val="FootnoteText"/>
      </w:pPr>
      <w:r w:rsidRPr="00DD12E0">
        <w:rPr>
          <w:rStyle w:val="FootnoteReference"/>
        </w:rPr>
        <w:footnoteRef/>
      </w:r>
      <w:r w:rsidRPr="00BA653B">
        <w:tab/>
        <w:t>Regulation (EU) 2019/631</w:t>
      </w:r>
      <w:r w:rsidRPr="00BA653B">
        <w:rPr>
          <w:rStyle w:val="Hyperlink"/>
          <w:u w:val="none"/>
        </w:rPr>
        <w:t xml:space="preserve"> </w:t>
      </w:r>
      <w:r w:rsidRPr="00BA653B">
        <w:rPr>
          <w:rStyle w:val="Hyperlink"/>
          <w:color w:val="auto"/>
          <w:u w:val="none"/>
        </w:rPr>
        <w:t>and</w:t>
      </w:r>
      <w:r w:rsidRPr="00BA653B">
        <w:t xml:space="preserve"> Regulation (EU) 2019/1242 </w:t>
      </w:r>
    </w:p>
  </w:footnote>
  <w:footnote w:id="15">
    <w:p w14:paraId="1CB87B06" w14:textId="77777777" w:rsidR="00BF137B" w:rsidRPr="00BA653B" w:rsidRDefault="00BF137B" w:rsidP="00DE1E8D">
      <w:pPr>
        <w:pStyle w:val="FootnoteText"/>
      </w:pPr>
      <w:r w:rsidRPr="00DD12E0">
        <w:rPr>
          <w:rStyle w:val="FootnoteReference"/>
        </w:rPr>
        <w:footnoteRef/>
      </w:r>
      <w:r w:rsidRPr="00BA653B">
        <w:tab/>
        <w:t>Directive 2008/50/EC</w:t>
      </w:r>
    </w:p>
  </w:footnote>
  <w:footnote w:id="16">
    <w:p w14:paraId="6C5468B9" w14:textId="77777777" w:rsidR="00BF137B" w:rsidRPr="00BA653B" w:rsidRDefault="00BF137B" w:rsidP="00DE1E8D">
      <w:pPr>
        <w:pStyle w:val="FootnoteText"/>
      </w:pPr>
      <w:r w:rsidRPr="00DD12E0">
        <w:rPr>
          <w:rStyle w:val="FootnoteReference"/>
        </w:rPr>
        <w:footnoteRef/>
      </w:r>
      <w:r w:rsidRPr="00BA653B">
        <w:tab/>
        <w:t>Directive (EU) 2016/2284</w:t>
      </w:r>
    </w:p>
  </w:footnote>
  <w:footnote w:id="17">
    <w:p w14:paraId="7D426F59" w14:textId="1515CBFE" w:rsidR="00BF137B" w:rsidRDefault="00BF137B" w:rsidP="00B556CF">
      <w:pPr>
        <w:pStyle w:val="FootnoteText"/>
      </w:pPr>
      <w:r>
        <w:rPr>
          <w:rStyle w:val="FootnoteReference"/>
        </w:rPr>
        <w:footnoteRef/>
      </w:r>
      <w:r w:rsidRPr="00F67DE6">
        <w:rPr>
          <w:lang w:val="en-US"/>
        </w:rPr>
        <w:tab/>
      </w:r>
      <w:r>
        <w:rPr>
          <w:lang w:val="en-US"/>
        </w:rPr>
        <w:t>COM(2022) 542, Proposal for a Directive of the European Parliament and of the Council on ambient air quality and cleaner air for Europe</w:t>
      </w:r>
    </w:p>
  </w:footnote>
  <w:footnote w:id="18">
    <w:p w14:paraId="78B6AA21" w14:textId="77777777" w:rsidR="00BF137B" w:rsidRPr="00DD12E0" w:rsidRDefault="00BF137B" w:rsidP="00F67DE6">
      <w:pPr>
        <w:pStyle w:val="FootnoteText"/>
      </w:pPr>
      <w:r w:rsidRPr="00DD12E0">
        <w:rPr>
          <w:rStyle w:val="FootnoteReference"/>
        </w:rPr>
        <w:footnoteRef/>
      </w:r>
      <w:r w:rsidRPr="00DD12E0">
        <w:tab/>
      </w:r>
      <w:hyperlink r:id="rId4" w:history="1">
        <w:r w:rsidRPr="00DD12E0">
          <w:rPr>
            <w:rStyle w:val="Hyperlink"/>
          </w:rPr>
          <w:t>Regulation 2021/119</w:t>
        </w:r>
      </w:hyperlink>
      <w:r w:rsidRPr="00DD12E0">
        <w:t xml:space="preserve"> establishing the </w:t>
      </w:r>
      <w:r w:rsidRPr="00F67DE6">
        <w:rPr>
          <w:lang w:val="en-US"/>
        </w:rPr>
        <w:t>framework</w:t>
      </w:r>
      <w:r w:rsidRPr="00DD12E0">
        <w:t xml:space="preserve"> for achieving climate neutrality and amending Regulations (EC) No 401/2009 and (EU) 2018/1999 (‘European Climate Law’)</w:t>
      </w:r>
    </w:p>
  </w:footnote>
  <w:footnote w:id="19">
    <w:p w14:paraId="12A9BD7C" w14:textId="77777777" w:rsidR="00BF137B" w:rsidRPr="00DD12E0" w:rsidRDefault="00BF137B" w:rsidP="00A8744D">
      <w:pPr>
        <w:pStyle w:val="FootnoteText"/>
      </w:pPr>
      <w:r w:rsidRPr="00DD12E0">
        <w:rPr>
          <w:rStyle w:val="FootnoteReference"/>
        </w:rPr>
        <w:footnoteRef/>
      </w:r>
      <w:r w:rsidRPr="00DD12E0">
        <w:tab/>
        <w:t>COM(2021) 556 final</w:t>
      </w:r>
    </w:p>
  </w:footnote>
  <w:footnote w:id="20">
    <w:p w14:paraId="14D6FD84" w14:textId="77777777" w:rsidR="00BF137B" w:rsidRPr="00DD12E0" w:rsidRDefault="00BF137B" w:rsidP="00C52541">
      <w:pPr>
        <w:pStyle w:val="FootnoteText"/>
      </w:pPr>
      <w:r w:rsidRPr="00DD12E0">
        <w:rPr>
          <w:rStyle w:val="FootnoteReference"/>
        </w:rPr>
        <w:footnoteRef/>
      </w:r>
      <w:r w:rsidRPr="00DD12E0">
        <w:tab/>
      </w:r>
      <w:hyperlink r:id="rId5" w:history="1">
        <w:r w:rsidRPr="00DD12E0">
          <w:rPr>
            <w:rStyle w:val="Hyperlink"/>
          </w:rPr>
          <w:t>Directive 2014/45/EU</w:t>
        </w:r>
      </w:hyperlink>
      <w:r w:rsidRPr="00DD12E0">
        <w:t xml:space="preserve"> on periodic roadworthiness tests for motor vehicles and their trailers; </w:t>
      </w:r>
      <w:hyperlink r:id="rId6" w:history="1">
        <w:r w:rsidRPr="00DD12E0">
          <w:rPr>
            <w:rStyle w:val="Hyperlink"/>
          </w:rPr>
          <w:t>Directive 2014/47/EU</w:t>
        </w:r>
      </w:hyperlink>
      <w:r w:rsidRPr="00DD12E0">
        <w:t xml:space="preserve"> on the technical roadside inspection of the roadworthiness of commercial vehicles circulating in the Union</w:t>
      </w:r>
    </w:p>
  </w:footnote>
  <w:footnote w:id="21">
    <w:p w14:paraId="16C85EAA" w14:textId="5784EE5F" w:rsidR="00BF137B" w:rsidRDefault="00BF137B">
      <w:pPr>
        <w:pStyle w:val="FootnoteText"/>
      </w:pPr>
      <w:r>
        <w:rPr>
          <w:rStyle w:val="FootnoteReference"/>
        </w:rPr>
        <w:footnoteRef/>
      </w:r>
      <w:r>
        <w:tab/>
      </w:r>
      <w:r w:rsidRPr="0087700B">
        <w:t>Vehicle safety – revising the EU’s roadworthiness package (europa.eu)</w:t>
      </w:r>
      <w:r>
        <w:t xml:space="preserve"> </w:t>
      </w:r>
    </w:p>
  </w:footnote>
  <w:footnote w:id="22">
    <w:p w14:paraId="1FE44B98" w14:textId="77777777" w:rsidR="00BF137B" w:rsidRPr="00DD12E0" w:rsidRDefault="00BF137B" w:rsidP="00DE1E8D">
      <w:pPr>
        <w:pStyle w:val="FootnoteText"/>
      </w:pPr>
      <w:r w:rsidRPr="00DD12E0">
        <w:rPr>
          <w:rStyle w:val="FootnoteReference"/>
        </w:rPr>
        <w:footnoteRef/>
      </w:r>
      <w:r w:rsidRPr="00DD12E0">
        <w:tab/>
      </w:r>
      <w:hyperlink r:id="rId7" w:history="1">
        <w:r w:rsidRPr="007074A6">
          <w:rPr>
            <w:rStyle w:val="Hyperlink"/>
          </w:rPr>
          <w:t>Directive 1999/62/EC</w:t>
        </w:r>
      </w:hyperlink>
      <w:r>
        <w:t xml:space="preserve"> on the charging of vehicles for the use of road infrastructures </w:t>
      </w:r>
    </w:p>
  </w:footnote>
  <w:footnote w:id="23">
    <w:p w14:paraId="1434C3AA" w14:textId="77777777" w:rsidR="00BF137B" w:rsidRPr="00DD12E0" w:rsidRDefault="00BF137B" w:rsidP="00DE1E8D">
      <w:pPr>
        <w:pStyle w:val="FootnoteText"/>
      </w:pPr>
      <w:r w:rsidRPr="00DD12E0">
        <w:rPr>
          <w:rStyle w:val="FootnoteReference"/>
        </w:rPr>
        <w:footnoteRef/>
      </w:r>
      <w:r w:rsidRPr="00DD12E0">
        <w:tab/>
      </w:r>
      <w:hyperlink r:id="rId8" w:history="1">
        <w:r w:rsidRPr="00DD12E0">
          <w:rPr>
            <w:rStyle w:val="Hyperlink"/>
          </w:rPr>
          <w:t>Directive 2019/1161/EU</w:t>
        </w:r>
      </w:hyperlink>
      <w:r w:rsidRPr="00DD12E0">
        <w:t xml:space="preserve"> on the promotion of clean and energy-efficient road transport vehicles</w:t>
      </w:r>
    </w:p>
  </w:footnote>
  <w:footnote w:id="24">
    <w:p w14:paraId="47430223" w14:textId="77777777" w:rsidR="00BF137B" w:rsidRPr="00DD12E0" w:rsidRDefault="00BF137B" w:rsidP="00DE1E8D">
      <w:pPr>
        <w:pStyle w:val="FootnoteText"/>
      </w:pPr>
      <w:r w:rsidRPr="00DD12E0">
        <w:rPr>
          <w:rStyle w:val="FootnoteReference"/>
        </w:rPr>
        <w:footnoteRef/>
      </w:r>
      <w:r w:rsidRPr="00DD12E0">
        <w:tab/>
      </w:r>
      <w:hyperlink r:id="rId9" w:history="1">
        <w:r w:rsidRPr="00DD12E0">
          <w:rPr>
            <w:rStyle w:val="Hyperlink"/>
          </w:rPr>
          <w:t>Directive 2009/30/EC</w:t>
        </w:r>
      </w:hyperlink>
      <w:r w:rsidRPr="00DD12E0">
        <w:t xml:space="preserve"> as regards the specification of petrol, diesel and gas-oil and introducing a mechanism to monitor and reduce greenhouse gas emissions</w:t>
      </w:r>
    </w:p>
  </w:footnote>
  <w:footnote w:id="25">
    <w:p w14:paraId="70B5C716" w14:textId="77777777" w:rsidR="00BF137B" w:rsidRPr="00DD12E0" w:rsidRDefault="00BF137B">
      <w:pPr>
        <w:pStyle w:val="FootnoteText"/>
      </w:pPr>
      <w:r w:rsidRPr="00DD12E0">
        <w:rPr>
          <w:rStyle w:val="FootnoteReference"/>
        </w:rPr>
        <w:footnoteRef/>
      </w:r>
      <w:r w:rsidRPr="00DD12E0">
        <w:tab/>
      </w:r>
      <w:r w:rsidRPr="00DD12E0">
        <w:rPr>
          <w:rFonts w:eastAsia="Times New Roman"/>
        </w:rPr>
        <w:t xml:space="preserve">COM(2020) 66 final </w:t>
      </w:r>
    </w:p>
  </w:footnote>
  <w:footnote w:id="26">
    <w:p w14:paraId="08A3970C" w14:textId="77777777" w:rsidR="00BF137B" w:rsidRPr="00DD12E0" w:rsidRDefault="00BF137B" w:rsidP="00150E6C">
      <w:pPr>
        <w:pStyle w:val="FootnoteText"/>
      </w:pPr>
      <w:r w:rsidRPr="00DD12E0">
        <w:rPr>
          <w:rStyle w:val="FootnoteReference"/>
          <w:rFonts w:eastAsia="Times New Roman"/>
        </w:rPr>
        <w:footnoteRef/>
      </w:r>
      <w:r w:rsidRPr="00DD12E0">
        <w:rPr>
          <w:rFonts w:eastAsia="Times New Roman"/>
        </w:rPr>
        <w:tab/>
        <w:t xml:space="preserve">COM(2020) 102 final and </w:t>
      </w:r>
      <w:r w:rsidRPr="00DD12E0">
        <w:t>COM(2021) 350 final</w:t>
      </w:r>
    </w:p>
  </w:footnote>
  <w:footnote w:id="27">
    <w:p w14:paraId="06E66B2C" w14:textId="77777777" w:rsidR="00BF137B" w:rsidRPr="00DD12E0" w:rsidRDefault="00BF137B">
      <w:pPr>
        <w:pStyle w:val="FootnoteText"/>
      </w:pPr>
      <w:r w:rsidRPr="00DD12E0">
        <w:rPr>
          <w:rStyle w:val="FootnoteReference"/>
        </w:rPr>
        <w:footnoteRef/>
      </w:r>
      <w:r w:rsidRPr="00DD12E0">
        <w:tab/>
        <w:t>Directive 2000/53/EC on end-of-life vehicles</w:t>
      </w:r>
    </w:p>
  </w:footnote>
  <w:footnote w:id="28">
    <w:p w14:paraId="50AA3938" w14:textId="77777777" w:rsidR="00BF137B" w:rsidRPr="00DD12E0" w:rsidRDefault="00BF137B">
      <w:pPr>
        <w:pStyle w:val="FootnoteText"/>
      </w:pPr>
      <w:r w:rsidRPr="00DD12E0">
        <w:rPr>
          <w:rStyle w:val="FootnoteReference"/>
        </w:rPr>
        <w:footnoteRef/>
      </w:r>
      <w:r w:rsidRPr="00DD12E0">
        <w:tab/>
        <w:t>Directive 2005/64/EC on the reusability, recyclability and recoverability of vehicles</w:t>
      </w:r>
    </w:p>
  </w:footnote>
  <w:footnote w:id="29">
    <w:p w14:paraId="2D620910" w14:textId="77777777" w:rsidR="00BF137B" w:rsidRPr="00DD12E0" w:rsidRDefault="00BF137B">
      <w:pPr>
        <w:pStyle w:val="FootnoteText"/>
      </w:pPr>
      <w:r w:rsidRPr="00DD12E0">
        <w:rPr>
          <w:rStyle w:val="FootnoteReference"/>
        </w:rPr>
        <w:footnoteRef/>
      </w:r>
      <w:r w:rsidRPr="00DD12E0">
        <w:tab/>
        <w:t>COM(2020) 98 final</w:t>
      </w:r>
    </w:p>
  </w:footnote>
  <w:footnote w:id="30">
    <w:p w14:paraId="25027DFC" w14:textId="77777777" w:rsidR="00BF137B" w:rsidRPr="00DD12E0" w:rsidRDefault="00BF137B" w:rsidP="00CF2FD6">
      <w:pPr>
        <w:pStyle w:val="FootnoteText"/>
      </w:pPr>
      <w:r w:rsidRPr="00DD12E0">
        <w:rPr>
          <w:rStyle w:val="FootnoteReference"/>
        </w:rPr>
        <w:footnoteRef/>
      </w:r>
      <w:r w:rsidRPr="00DD12E0">
        <w:tab/>
        <w:t>COM(2020) 456 final</w:t>
      </w:r>
    </w:p>
  </w:footnote>
  <w:footnote w:id="31">
    <w:p w14:paraId="6BA7F7D9" w14:textId="77777777" w:rsidR="00BF137B" w:rsidRPr="00DD12E0" w:rsidRDefault="00BF137B" w:rsidP="00B97FF9">
      <w:pPr>
        <w:pStyle w:val="FootnoteText"/>
      </w:pPr>
      <w:r w:rsidRPr="00DD12E0">
        <w:rPr>
          <w:rStyle w:val="FootnoteReference"/>
        </w:rPr>
        <w:footnoteRef/>
      </w:r>
      <w:r w:rsidRPr="00DD12E0">
        <w:tab/>
        <w:t>Regulation (EU) 2021/241</w:t>
      </w:r>
    </w:p>
  </w:footnote>
  <w:footnote w:id="32">
    <w:p w14:paraId="25DC2EBA" w14:textId="77777777" w:rsidR="00BF137B" w:rsidRPr="00F67DE6" w:rsidRDefault="00BF137B" w:rsidP="00901104">
      <w:pPr>
        <w:pStyle w:val="FootnoteText"/>
        <w:rPr>
          <w:lang w:val="fr-BE"/>
        </w:rPr>
      </w:pPr>
      <w:r w:rsidRPr="00DD12E0">
        <w:rPr>
          <w:rStyle w:val="FootnoteReference"/>
        </w:rPr>
        <w:footnoteRef/>
      </w:r>
      <w:r w:rsidRPr="00F67DE6">
        <w:rPr>
          <w:lang w:val="fr-BE"/>
        </w:rPr>
        <w:tab/>
        <w:t>Regulation (EU) 2021/523</w:t>
      </w:r>
    </w:p>
  </w:footnote>
  <w:footnote w:id="33">
    <w:p w14:paraId="0AF968D2" w14:textId="77777777" w:rsidR="00BF137B" w:rsidRPr="00F67DE6" w:rsidRDefault="00BF137B" w:rsidP="00901104">
      <w:pPr>
        <w:pStyle w:val="FootnoteText"/>
        <w:rPr>
          <w:lang w:val="fr-BE"/>
        </w:rPr>
      </w:pPr>
      <w:r w:rsidRPr="00DD12E0">
        <w:rPr>
          <w:rStyle w:val="FootnoteReference"/>
        </w:rPr>
        <w:footnoteRef/>
      </w:r>
      <w:r w:rsidRPr="00F67DE6">
        <w:rPr>
          <w:lang w:val="fr-BE"/>
        </w:rPr>
        <w:tab/>
        <w:t>Regulation (EU) 2021/695</w:t>
      </w:r>
    </w:p>
  </w:footnote>
  <w:footnote w:id="34">
    <w:p w14:paraId="1D36EC33" w14:textId="77777777" w:rsidR="00BF137B" w:rsidRPr="00F67DE6" w:rsidRDefault="00BF137B" w:rsidP="00533D91">
      <w:pPr>
        <w:pStyle w:val="FootnoteText"/>
        <w:rPr>
          <w:lang w:val="fr-BE"/>
        </w:rPr>
      </w:pPr>
      <w:r w:rsidRPr="00DD12E0">
        <w:rPr>
          <w:rStyle w:val="FootnoteReference"/>
        </w:rPr>
        <w:footnoteRef/>
      </w:r>
      <w:r w:rsidRPr="00F67DE6">
        <w:rPr>
          <w:lang w:val="fr-BE"/>
        </w:rPr>
        <w:tab/>
        <w:t>Directive 2005/29/EC</w:t>
      </w:r>
    </w:p>
  </w:footnote>
  <w:footnote w:id="35">
    <w:p w14:paraId="5F1024EF" w14:textId="77777777" w:rsidR="00BF137B" w:rsidRPr="00DD12E0" w:rsidRDefault="00BF137B" w:rsidP="00533D91">
      <w:pPr>
        <w:pStyle w:val="FootnoteText"/>
      </w:pPr>
      <w:r w:rsidRPr="00DD12E0">
        <w:rPr>
          <w:rStyle w:val="FootnoteReference"/>
        </w:rPr>
        <w:footnoteRef/>
      </w:r>
      <w:r w:rsidRPr="00DD12E0">
        <w:tab/>
        <w:t>Directive 2011/83/EU</w:t>
      </w:r>
    </w:p>
  </w:footnote>
  <w:footnote w:id="36">
    <w:p w14:paraId="0965DED0" w14:textId="77777777" w:rsidR="00BF137B" w:rsidRPr="00DD12E0" w:rsidRDefault="00BF137B">
      <w:pPr>
        <w:pStyle w:val="FootnoteText"/>
      </w:pPr>
      <w:r w:rsidRPr="00DD12E0">
        <w:rPr>
          <w:rStyle w:val="FootnoteReference"/>
        </w:rPr>
        <w:footnoteRef/>
      </w:r>
      <w:r w:rsidRPr="00DD12E0">
        <w:tab/>
        <w:t>COM(2021) 219 final</w:t>
      </w:r>
    </w:p>
  </w:footnote>
  <w:footnote w:id="37">
    <w:p w14:paraId="242179F3" w14:textId="77777777" w:rsidR="00BF137B" w:rsidRPr="00DD12E0" w:rsidRDefault="00BF137B">
      <w:pPr>
        <w:pStyle w:val="FootnoteText"/>
      </w:pPr>
      <w:r w:rsidRPr="00DD12E0">
        <w:rPr>
          <w:rStyle w:val="FootnoteReference"/>
        </w:rPr>
        <w:footnoteRef/>
      </w:r>
      <w:r w:rsidRPr="00DD12E0">
        <w:tab/>
        <w:t>COM(2019) 640 final</w:t>
      </w:r>
    </w:p>
  </w:footnote>
  <w:footnote w:id="38">
    <w:p w14:paraId="33503572" w14:textId="77777777" w:rsidR="00BF137B" w:rsidRPr="00DD12E0" w:rsidRDefault="00BF137B">
      <w:pPr>
        <w:pStyle w:val="FootnoteText"/>
      </w:pPr>
      <w:r w:rsidRPr="00DD12E0">
        <w:rPr>
          <w:rStyle w:val="FootnoteReference"/>
        </w:rPr>
        <w:footnoteRef/>
      </w:r>
      <w:r w:rsidRPr="00DD12E0">
        <w:tab/>
      </w:r>
      <w:r w:rsidRPr="00DD12E0">
        <w:rPr>
          <w:rFonts w:eastAsia="Times New Roman"/>
        </w:rPr>
        <w:t>COM(2021) 118 final</w:t>
      </w:r>
    </w:p>
  </w:footnote>
  <w:footnote w:id="39">
    <w:p w14:paraId="271F2BE9" w14:textId="1C727E42" w:rsidR="00BF137B" w:rsidRDefault="00BF137B">
      <w:pPr>
        <w:pStyle w:val="FootnoteText"/>
      </w:pPr>
      <w:r>
        <w:rPr>
          <w:rStyle w:val="FootnoteReference"/>
        </w:rPr>
        <w:footnoteRef/>
      </w:r>
      <w:r>
        <w:tab/>
        <w:t>In</w:t>
      </w:r>
      <w:r w:rsidRPr="006E605B">
        <w:t xml:space="preserve"> particularly </w:t>
      </w:r>
      <w:r>
        <w:t xml:space="preserve">for </w:t>
      </w:r>
      <w:r w:rsidRPr="006E605B">
        <w:t>the following: Goal 3: Good health and well-being, Goal 6: Clean water and sanitation, Goal 13: Climate action, Goal 14: Life below water and Goal 15: Life on land</w:t>
      </w:r>
      <w:r>
        <w:t>.</w:t>
      </w:r>
    </w:p>
  </w:footnote>
  <w:footnote w:id="40">
    <w:p w14:paraId="71E446C9" w14:textId="77777777" w:rsidR="00BF137B" w:rsidRPr="00DD12E0" w:rsidRDefault="00BF137B">
      <w:pPr>
        <w:pStyle w:val="FootnoteText"/>
      </w:pPr>
      <w:r w:rsidRPr="00DD12E0">
        <w:rPr>
          <w:rStyle w:val="FootnoteReference"/>
        </w:rPr>
        <w:footnoteRef/>
      </w:r>
      <w:r w:rsidRPr="00DD12E0">
        <w:tab/>
        <w:t>Directive (EU) 2016/2284</w:t>
      </w:r>
    </w:p>
  </w:footnote>
  <w:footnote w:id="41">
    <w:p w14:paraId="5D7C6F40" w14:textId="77777777" w:rsidR="00BF137B" w:rsidRPr="00DD12E0" w:rsidRDefault="00BF137B" w:rsidP="00AF3B89">
      <w:pPr>
        <w:pStyle w:val="FootnoteText"/>
        <w:rPr>
          <w:rFonts w:cstheme="minorBidi"/>
        </w:rPr>
      </w:pPr>
      <w:r w:rsidRPr="00DD12E0">
        <w:rPr>
          <w:rStyle w:val="FootnoteReference"/>
        </w:rPr>
        <w:footnoteRef/>
      </w:r>
      <w:r w:rsidRPr="00DD12E0">
        <w:tab/>
      </w:r>
      <w:hyperlink r:id="rId10" w:history="1">
        <w:r w:rsidRPr="00DD12E0">
          <w:rPr>
            <w:rStyle w:val="Hyperlink"/>
          </w:rPr>
          <w:t>Directive (EU) 2015/1535</w:t>
        </w:r>
      </w:hyperlink>
      <w:r w:rsidRPr="00DD12E0">
        <w:t xml:space="preserve"> laying down a procedure for the provision of information in the field of technical regulations and of rules on Information Society services; see also </w:t>
      </w:r>
      <w:hyperlink r:id="rId11" w:history="1">
        <w:r w:rsidRPr="00DD12E0">
          <w:rPr>
            <w:rStyle w:val="Hyperlink"/>
          </w:rPr>
          <w:t>2015/1535 notification procedure</w:t>
        </w:r>
      </w:hyperlink>
    </w:p>
  </w:footnote>
  <w:footnote w:id="42">
    <w:p w14:paraId="09C4C930" w14:textId="411CACFF" w:rsidR="00BF137B" w:rsidRPr="00DD12E0" w:rsidRDefault="00BF137B" w:rsidP="00C24E66">
      <w:pPr>
        <w:pStyle w:val="FootnoteText"/>
      </w:pPr>
      <w:r w:rsidRPr="00DD12E0">
        <w:rPr>
          <w:rStyle w:val="FootnoteReference"/>
        </w:rPr>
        <w:footnoteRef/>
      </w:r>
      <w:r w:rsidRPr="00DD12E0">
        <w:tab/>
        <w:t>OJ C , , p. .</w:t>
      </w:r>
    </w:p>
  </w:footnote>
  <w:footnote w:id="43">
    <w:p w14:paraId="5D66EF3B" w14:textId="524E832B" w:rsidR="00BF137B" w:rsidRPr="00DD12E0" w:rsidRDefault="00BF137B" w:rsidP="00C24E66">
      <w:pPr>
        <w:pStyle w:val="FootnoteText"/>
      </w:pPr>
      <w:r w:rsidRPr="00DD12E0">
        <w:rPr>
          <w:rStyle w:val="FootnoteReference"/>
        </w:rPr>
        <w:footnoteRef/>
      </w:r>
      <w:r w:rsidRPr="00DD12E0">
        <w:tab/>
        <w:t>OJ C , , p. .</w:t>
      </w:r>
    </w:p>
  </w:footnote>
  <w:footnote w:id="44">
    <w:p w14:paraId="50F49E7F" w14:textId="77777777" w:rsidR="00BF137B" w:rsidRPr="00A563CD" w:rsidRDefault="00BF137B" w:rsidP="00B80D1D">
      <w:pPr>
        <w:pStyle w:val="FootnoteText"/>
      </w:pPr>
      <w:r w:rsidRPr="00454560">
        <w:rPr>
          <w:rStyle w:val="FootnoteReference"/>
        </w:rPr>
        <w:footnoteRef/>
      </w:r>
      <w:r>
        <w:tab/>
      </w:r>
      <w:r w:rsidRPr="00A563CD">
        <w:t>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(OJ L 151, 14.6.2018, p. 1).</w:t>
      </w:r>
    </w:p>
  </w:footnote>
  <w:footnote w:id="45">
    <w:p w14:paraId="537155D6" w14:textId="77777777" w:rsidR="00BF137B" w:rsidRDefault="00BF137B">
      <w:pPr>
        <w:pStyle w:val="FootnoteText"/>
      </w:pPr>
      <w:r w:rsidRPr="00454560">
        <w:rPr>
          <w:rStyle w:val="FootnoteReference"/>
        </w:rPr>
        <w:footnoteRef/>
      </w:r>
      <w:r>
        <w:tab/>
      </w:r>
      <w:r w:rsidRPr="00A563CD">
        <w:t xml:space="preserve">Regulation (EC) No 715/2007 of the European Parliament and of the Council of 20 June 2007 on </w:t>
      </w:r>
      <w:r>
        <w:t>type-approval</w:t>
      </w:r>
      <w:r w:rsidRPr="00A563CD">
        <w:t xml:space="preserve"> of motor vehicles with respect to emissions from light passenger and commercial vehicles (Euro 5 and Euro 6) and on access to vehicle repair and mai</w:t>
      </w:r>
      <w:r w:rsidRPr="00FD4802">
        <w:t>ntenance information (OJ L 171, 29.6.2007, p. 1).</w:t>
      </w:r>
    </w:p>
  </w:footnote>
  <w:footnote w:id="46">
    <w:p w14:paraId="3DF6DB91" w14:textId="77777777" w:rsidR="00BF137B" w:rsidRDefault="00BF137B">
      <w:pPr>
        <w:pStyle w:val="FootnoteText"/>
      </w:pPr>
      <w:r w:rsidRPr="00454560">
        <w:rPr>
          <w:rStyle w:val="FootnoteReference"/>
        </w:rPr>
        <w:footnoteRef/>
      </w:r>
      <w:r>
        <w:tab/>
      </w:r>
      <w:r w:rsidRPr="00A563CD">
        <w:t>Regulation (EC) No 595/2009 of the European Parliament and of the Council of 18 June 2009 on type-approval of motor vehicles and engines with respect to emissions from heavy duty vehicles (Euro VI) and on access to vehicle repair and maintenance informatio</w:t>
      </w:r>
      <w:r w:rsidRPr="00FD4802">
        <w:t>n and amending Regulation (EC) No 715/2007 and Directive 2007/46/EC and repealing Directives 80/1269/EEC, 2005/55/EC and 2005/78/EC (OJ L 188, 18.7.2009, p. 1).</w:t>
      </w:r>
    </w:p>
  </w:footnote>
  <w:footnote w:id="47">
    <w:p w14:paraId="425227F0" w14:textId="77777777" w:rsidR="00BF137B" w:rsidRDefault="00BF137B">
      <w:pPr>
        <w:pStyle w:val="FootnoteText"/>
      </w:pPr>
      <w:r w:rsidRPr="00454560">
        <w:rPr>
          <w:rStyle w:val="FootnoteReference"/>
        </w:rPr>
        <w:footnoteRef/>
      </w:r>
      <w:r>
        <w:tab/>
        <w:t xml:space="preserve">Regulation (EU) 2019/2144 of the European Parliament and of the Council of 27 November 2019 </w:t>
      </w:r>
      <w:r w:rsidRPr="00D41148">
        <w:t>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 No 631/2009, (EU) No 406/2010, (EU) No 672/2010, (EU) No 1003/2010, (EU) No 1005/2010, (EU) No 1008/2010, (EU) No 1009/2010, (EU) No 19/2011, (EU) No 109/2011, (EU) No 458/2011, (EU) No 65/2012, (EU) No 130/2012, (EU) No 347/2012, (EU) No 351/2012, (EU) No 1230/2012 and (EU) 2015/166</w:t>
      </w:r>
      <w:r w:rsidDel="00922BC4">
        <w:t xml:space="preserve"> </w:t>
      </w:r>
      <w:r>
        <w:t>(OJ L 325, 16.12.2019, p. 1).</w:t>
      </w:r>
      <w:r>
        <w:rPr>
          <w:rFonts w:ascii="Segoe UI" w:hAnsi="Segoe UI" w:cs="Segoe UI"/>
          <w:b/>
          <w:bCs/>
          <w:color w:val="333333"/>
          <w:sz w:val="21"/>
          <w:szCs w:val="21"/>
          <w:shd w:val="clear" w:color="auto" w:fill="FFFFFF"/>
        </w:rPr>
        <w:t xml:space="preserve"> </w:t>
      </w:r>
    </w:p>
  </w:footnote>
  <w:footnote w:id="48">
    <w:p w14:paraId="64D2E8FE" w14:textId="77777777" w:rsidR="00BF137B" w:rsidRDefault="00BF137B">
      <w:pPr>
        <w:pStyle w:val="FootnoteText"/>
      </w:pPr>
      <w:r w:rsidRPr="00454560">
        <w:rPr>
          <w:rStyle w:val="FootnoteReference"/>
        </w:rPr>
        <w:footnoteRef/>
      </w:r>
      <w:r>
        <w:tab/>
      </w:r>
      <w:r w:rsidRPr="003125BF">
        <w:t>United Nations Global Technical Regulation on In-vehicle Battery Durability for Electrified Vehicles, UN GTR 22</w:t>
      </w:r>
    </w:p>
  </w:footnote>
  <w:footnote w:id="49">
    <w:p w14:paraId="0A414B11" w14:textId="77777777" w:rsidR="00BF137B" w:rsidRPr="00EA2B41" w:rsidRDefault="00BF137B" w:rsidP="00C02142">
      <w:pPr>
        <w:pStyle w:val="FootnoteText"/>
      </w:pPr>
      <w:r w:rsidRPr="00454560">
        <w:rPr>
          <w:rStyle w:val="FootnoteReference"/>
        </w:rPr>
        <w:footnoteRef/>
      </w:r>
      <w:r>
        <w:tab/>
      </w:r>
      <w:r w:rsidRPr="00EA2B41">
        <w:rPr>
          <w:lang w:val="fi-FI"/>
        </w:rPr>
        <w:t xml:space="preserve">Regulation (EU) 2019/631 of the European Parliament and of the Council of 17 April 2019 setting CO2 emission performance standards for new passenger cars and for new light commercial vehicles, and repealing Regulations (EC) No 443/2009 and (EU) No 510/2011 </w:t>
      </w:r>
      <w:r>
        <w:rPr>
          <w:lang w:val="en-IE"/>
        </w:rPr>
        <w:t>(</w:t>
      </w:r>
      <w:r w:rsidRPr="00EA2B41">
        <w:rPr>
          <w:lang w:val="fi-FI"/>
        </w:rPr>
        <w:t>OJ L 111, 25.4.2019, p. 13</w:t>
      </w:r>
      <w:r>
        <w:rPr>
          <w:lang w:val="en-IE"/>
        </w:rPr>
        <w:t>).</w:t>
      </w:r>
    </w:p>
  </w:footnote>
  <w:footnote w:id="50">
    <w:p w14:paraId="05E98925" w14:textId="77777777" w:rsidR="00BF137B" w:rsidRDefault="00BF137B" w:rsidP="00DA5B65">
      <w:pPr>
        <w:pStyle w:val="FootnoteText"/>
      </w:pPr>
      <w:r w:rsidRPr="00454560">
        <w:rPr>
          <w:rStyle w:val="FootnoteReference"/>
        </w:rPr>
        <w:footnoteRef/>
      </w:r>
      <w:r>
        <w:tab/>
      </w:r>
      <w:r w:rsidRPr="00842303">
        <w:t>Regulation (EU) 2019/1242 of the European Parliament and of the Council of 20 June 2019 setting CO2 emission performance standards for new heavy-duty vehicles and amending Regulations (EC) No 595/2009 and (EU) 2018/956 of the European Parliament and of the Council and Council Directive 96/53/EC</w:t>
      </w:r>
      <w:r>
        <w:t xml:space="preserve"> (</w:t>
      </w:r>
      <w:r w:rsidRPr="00842303">
        <w:t>OJ L 198, 25.7.2019, p. 202</w:t>
      </w:r>
      <w:r>
        <w:t>)</w:t>
      </w:r>
    </w:p>
  </w:footnote>
  <w:footnote w:id="51">
    <w:p w14:paraId="6B3F0C3B" w14:textId="77777777" w:rsidR="00BF137B" w:rsidRPr="00DD12E0" w:rsidRDefault="00BF137B" w:rsidP="00EF0984">
      <w:pPr>
        <w:pStyle w:val="FootnoteText"/>
      </w:pPr>
      <w:r w:rsidRPr="00DD12E0">
        <w:rPr>
          <w:rStyle w:val="FootnoteReference"/>
        </w:rPr>
        <w:footnoteRef/>
      </w:r>
      <w:r w:rsidRPr="00DD12E0">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52">
    <w:p w14:paraId="6CC531AF" w14:textId="77777777" w:rsidR="00BF137B" w:rsidRPr="00DD12E0" w:rsidRDefault="00BF137B" w:rsidP="00834094">
      <w:pPr>
        <w:pStyle w:val="FootnoteText"/>
      </w:pPr>
      <w:r w:rsidRPr="00DD12E0">
        <w:rPr>
          <w:rStyle w:val="FootnoteReference"/>
        </w:rPr>
        <w:footnoteRef/>
      </w:r>
      <w:r w:rsidRPr="00DD12E0">
        <w:tab/>
      </w:r>
      <w:hyperlink r:id="rId12" w:history="1">
        <w:r w:rsidRPr="00DD12E0">
          <w:rPr>
            <w:rStyle w:val="Hyperlink"/>
            <w:color w:val="5599FF"/>
            <w:sz w:val="19"/>
            <w:szCs w:val="19"/>
            <w:shd w:val="clear" w:color="auto" w:fill="FFFFFF"/>
          </w:rPr>
          <w:t>OJ L 123, 12.5.2016, p. 1</w:t>
        </w:r>
      </w:hyperlink>
      <w:r w:rsidRPr="00DD12E0">
        <w:t>.</w:t>
      </w:r>
    </w:p>
  </w:footnote>
  <w:footnote w:id="53">
    <w:p w14:paraId="64100952" w14:textId="77777777" w:rsidR="00BF137B" w:rsidRPr="00DD12E0" w:rsidRDefault="00BF137B" w:rsidP="00EF0984">
      <w:pPr>
        <w:pStyle w:val="FootnoteText"/>
      </w:pPr>
      <w:r w:rsidRPr="00DD12E0">
        <w:rPr>
          <w:rStyle w:val="FootnoteReference"/>
        </w:rPr>
        <w:footnoteRef/>
      </w:r>
      <w:r w:rsidRPr="00DD12E0">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w:t>
      </w:r>
    </w:p>
  </w:footnote>
  <w:footnote w:id="54">
    <w:p w14:paraId="56428DA4" w14:textId="77777777" w:rsidR="00BF137B" w:rsidRPr="00DD12E0" w:rsidRDefault="00BF137B" w:rsidP="00EF0984">
      <w:pPr>
        <w:pStyle w:val="FootnoteText"/>
      </w:pPr>
      <w:r w:rsidRPr="00DD12E0">
        <w:rPr>
          <w:rStyle w:val="FootnoteReference"/>
        </w:rPr>
        <w:footnoteRef/>
      </w:r>
      <w:r w:rsidRPr="00DD12E0">
        <w:tab/>
        <w:t>Regulation (EC) No 45/2001 of the European Parliament and of the Council of 18 December 2000 on the protection of individuals with regard to the processing of personal data by the Union institutions and bodies and on the free movement of such data (OJ L 8, 12.1.2001, p. 1).</w:t>
      </w:r>
    </w:p>
  </w:footnote>
  <w:footnote w:id="55">
    <w:p w14:paraId="5240BA46" w14:textId="77777777" w:rsidR="00BF137B" w:rsidRPr="003A4121" w:rsidRDefault="00BF137B">
      <w:pPr>
        <w:pStyle w:val="FootnoteText"/>
      </w:pPr>
      <w:r w:rsidRPr="00454560">
        <w:rPr>
          <w:rStyle w:val="FootnoteReference"/>
        </w:rPr>
        <w:footnoteRef/>
      </w:r>
      <w:r>
        <w:tab/>
      </w:r>
      <w:r w:rsidRPr="003A4121">
        <w:rPr>
          <w:lang w:val="fi-FI"/>
        </w:rPr>
        <w:t>UN Regulation No 155 – Uniform provisions concerning the approval of vehicles with regards to cybersecurity and cybersecurity management system (OJ L 82, 9.3.2021, p. 30).</w:t>
      </w:r>
    </w:p>
  </w:footnote>
  <w:footnote w:id="56">
    <w:p w14:paraId="1836E646" w14:textId="77777777" w:rsidR="00BF137B" w:rsidRPr="00DD12E0" w:rsidRDefault="00BF137B" w:rsidP="003D5D9E">
      <w:pPr>
        <w:pStyle w:val="FootnoteText"/>
      </w:pPr>
      <w:r w:rsidRPr="00DD12E0">
        <w:rPr>
          <w:rStyle w:val="FootnoteReference"/>
        </w:rPr>
        <w:footnoteRef/>
      </w:r>
      <w:r w:rsidRPr="00DD12E0">
        <w:tab/>
        <w:t>Directive 2014/47/</w:t>
      </w:r>
      <w:r w:rsidRPr="00A31961">
        <w:t xml:space="preserve"> </w:t>
      </w:r>
      <w:r w:rsidRPr="00CD4FCE">
        <w:t xml:space="preserve">EU of the European Parliament and of the Council of 3 April 2014 on the technical roadside inspection of the roadworthiness of commercial vehicles circulating in the Union and repealing Directive 2000/30/EC </w:t>
      </w:r>
      <w:r>
        <w:t>(</w:t>
      </w:r>
      <w:r w:rsidRPr="002A3ADB">
        <w:t>OJ L 127, 29.4.2014, p. 134</w:t>
      </w:r>
      <w:r>
        <w:t>).</w:t>
      </w:r>
    </w:p>
  </w:footnote>
  <w:footnote w:id="57">
    <w:p w14:paraId="0D2CD2EA" w14:textId="77777777" w:rsidR="00BF137B" w:rsidRPr="00DD12E0" w:rsidRDefault="00BF137B" w:rsidP="003D5D9E">
      <w:pPr>
        <w:pStyle w:val="FootnoteText"/>
      </w:pPr>
      <w:r w:rsidRPr="00DD12E0">
        <w:rPr>
          <w:rStyle w:val="FootnoteReference"/>
        </w:rPr>
        <w:footnoteRef/>
      </w:r>
      <w:r w:rsidRPr="00DD12E0">
        <w:tab/>
      </w:r>
      <w:r>
        <w:t xml:space="preserve">Directive 2014/45/EU of the European Parliament and of the Council of 3 April 2014 </w:t>
      </w:r>
      <w:r w:rsidRPr="00F340E5">
        <w:t>on periodic roadworthiness tests for motor vehicles and their trailers and repealing Directive 2009/40/EC</w:t>
      </w:r>
      <w:r>
        <w:t xml:space="preserve"> (OJ L 127, 29.4.2014, p. 129)</w:t>
      </w:r>
    </w:p>
  </w:footnote>
  <w:footnote w:id="58">
    <w:p w14:paraId="0BA4196D" w14:textId="77777777" w:rsidR="00BF137B" w:rsidRPr="00DD12E0" w:rsidRDefault="00BF137B" w:rsidP="00C24E66">
      <w:pPr>
        <w:pStyle w:val="FootnoteText"/>
        <w:rPr>
          <w:szCs w:val="24"/>
        </w:rPr>
      </w:pPr>
      <w:r w:rsidRPr="00DD12E0">
        <w:rPr>
          <w:rStyle w:val="FootnoteReference"/>
        </w:rPr>
        <w:footnoteRef/>
      </w:r>
      <w:r w:rsidRPr="00DD12E0">
        <w:tab/>
        <w:t>As referred to in Article 58(2)(a) or (b) of the Financial Regulation.</w:t>
      </w:r>
    </w:p>
  </w:footnote>
  <w:footnote w:id="59">
    <w:p w14:paraId="317029D7" w14:textId="77777777" w:rsidR="00BF137B" w:rsidRPr="00DD12E0" w:rsidRDefault="00BF137B" w:rsidP="00C24E66">
      <w:pPr>
        <w:pStyle w:val="FootnoteText"/>
        <w:jc w:val="left"/>
        <w:rPr>
          <w:szCs w:val="24"/>
        </w:rPr>
      </w:pPr>
      <w:r w:rsidRPr="00DD12E0">
        <w:rPr>
          <w:rStyle w:val="FootnoteReference"/>
        </w:rPr>
        <w:footnoteRef/>
      </w:r>
      <w:r w:rsidRPr="00DD12E0">
        <w:tab/>
        <w:t xml:space="preserve">Details of management modes and references to the Financial Regulation may be found on the BudgWeb site: </w:t>
      </w:r>
      <w:hyperlink r:id="rId13" w:history="1">
        <w:r w:rsidRPr="00DD12E0">
          <w:rPr>
            <w:rStyle w:val="Hyperlink"/>
            <w:szCs w:val="24"/>
          </w:rPr>
          <w:t>https://myintracomm.ec.europa.eu/budgweb/EN/man/budgmanag/Pages/budgmanag.aspx</w:t>
        </w:r>
      </w:hyperlink>
      <w:r w:rsidRPr="00DD12E0">
        <w:rPr>
          <w:szCs w:val="24"/>
        </w:rPr>
        <w:t xml:space="preserve"> </w:t>
      </w:r>
    </w:p>
  </w:footnote>
  <w:footnote w:id="60">
    <w:p w14:paraId="3701DC45" w14:textId="77777777" w:rsidR="00BF137B" w:rsidRPr="00DD12E0" w:rsidRDefault="00BF137B" w:rsidP="00C24E66">
      <w:pPr>
        <w:pStyle w:val="FootnoteText"/>
        <w:rPr>
          <w:szCs w:val="24"/>
        </w:rPr>
      </w:pPr>
      <w:r w:rsidRPr="00DD12E0">
        <w:rPr>
          <w:rStyle w:val="FootnoteReference"/>
        </w:rPr>
        <w:footnoteRef/>
      </w:r>
      <w:r w:rsidRPr="00DD12E0">
        <w:tab/>
        <w:t>Diff. = Differentiated appropriations / Non-diff. = Non-differentiated appropriations.</w:t>
      </w:r>
    </w:p>
  </w:footnote>
  <w:footnote w:id="61">
    <w:p w14:paraId="5D6C21A0" w14:textId="77777777" w:rsidR="00BF137B" w:rsidRPr="00DD12E0" w:rsidRDefault="00BF137B" w:rsidP="00C24E66">
      <w:pPr>
        <w:pStyle w:val="FootnoteText"/>
        <w:rPr>
          <w:szCs w:val="24"/>
        </w:rPr>
      </w:pPr>
      <w:r w:rsidRPr="00DD12E0">
        <w:rPr>
          <w:rStyle w:val="FootnoteReference"/>
        </w:rPr>
        <w:footnoteRef/>
      </w:r>
      <w:r w:rsidRPr="00DD12E0">
        <w:tab/>
        <w:t xml:space="preserve">EFTA: European Free Trade Association. </w:t>
      </w:r>
    </w:p>
  </w:footnote>
  <w:footnote w:id="62">
    <w:p w14:paraId="1852D9CF" w14:textId="77777777" w:rsidR="00BF137B" w:rsidRPr="00DD12E0" w:rsidRDefault="00BF137B" w:rsidP="00C24E66">
      <w:pPr>
        <w:pStyle w:val="FootnoteText"/>
        <w:rPr>
          <w:szCs w:val="24"/>
        </w:rPr>
      </w:pPr>
      <w:r w:rsidRPr="00DD12E0">
        <w:rPr>
          <w:rStyle w:val="FootnoteReference"/>
        </w:rPr>
        <w:footnoteRef/>
      </w:r>
      <w:r w:rsidRPr="00DD12E0">
        <w:tab/>
        <w:t>Candidate countries and, where applicable, potential candidates from the Western Balkans.</w:t>
      </w:r>
    </w:p>
  </w:footnote>
  <w:footnote w:id="63">
    <w:p w14:paraId="3D7A9624" w14:textId="77777777" w:rsidR="00BF137B" w:rsidRPr="00DD12E0" w:rsidRDefault="00BF137B" w:rsidP="00C24E66">
      <w:pPr>
        <w:pStyle w:val="FootnoteText"/>
        <w:rPr>
          <w:sz w:val="18"/>
          <w:szCs w:val="18"/>
        </w:rPr>
      </w:pPr>
      <w:r w:rsidRPr="00DD12E0">
        <w:rPr>
          <w:rStyle w:val="FootnoteReference"/>
        </w:rPr>
        <w:footnoteRef/>
      </w:r>
      <w:r w:rsidRPr="00DD12E0">
        <w:rPr>
          <w:sz w:val="18"/>
          <w:szCs w:val="18"/>
        </w:rPr>
        <w:tab/>
        <w:t>According to the official budget nomenclature.</w:t>
      </w:r>
    </w:p>
  </w:footnote>
  <w:footnote w:id="64">
    <w:p w14:paraId="22DEC8E8" w14:textId="77777777" w:rsidR="00BF137B" w:rsidRPr="00DD12E0" w:rsidRDefault="00BF137B" w:rsidP="00C24E66">
      <w:pPr>
        <w:pStyle w:val="FootnoteText"/>
        <w:rPr>
          <w:szCs w:val="24"/>
        </w:rPr>
      </w:pPr>
      <w:r w:rsidRPr="00DD12E0">
        <w:rPr>
          <w:rStyle w:val="FootnoteReference"/>
        </w:rPr>
        <w:footnoteRef/>
      </w:r>
      <w:r w:rsidRPr="00DD12E0">
        <w:rPr>
          <w:sz w:val="18"/>
          <w:szCs w:val="18"/>
        </w:rPr>
        <w:tab/>
        <w:t>Technical and/or administrative assistance and expenditure in support of the implementation of EU programmes and/or actions (former ‘BA’ lines), indirect research, direct research.</w:t>
      </w:r>
    </w:p>
  </w:footnote>
  <w:footnote w:id="65">
    <w:p w14:paraId="57CE405A" w14:textId="77777777" w:rsidR="00BF137B" w:rsidRDefault="00BF137B" w:rsidP="00D014CD">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66">
    <w:p w14:paraId="1E878EE5" w14:textId="77777777" w:rsidR="00BF137B" w:rsidRPr="00DD12E0" w:rsidRDefault="00BF137B" w:rsidP="001A3E51">
      <w:pPr>
        <w:pStyle w:val="FootnoteText"/>
        <w:rPr>
          <w:szCs w:val="24"/>
        </w:rPr>
      </w:pPr>
      <w:r w:rsidRPr="00DD12E0">
        <w:rPr>
          <w:rStyle w:val="FootnoteReference"/>
        </w:rPr>
        <w:footnoteRef/>
      </w:r>
      <w:r w:rsidRPr="00DD12E0">
        <w:rPr>
          <w:sz w:val="18"/>
          <w:szCs w:val="18"/>
        </w:rPr>
        <w:tab/>
        <w:t>Technical and/or administrative assistance and expenditure in support of the implementation of EU programmes and/or actions (former ‘BA’ lines), indirect research, direct research.</w:t>
      </w:r>
    </w:p>
  </w:footnote>
  <w:footnote w:id="67">
    <w:p w14:paraId="5181A4A2" w14:textId="77777777" w:rsidR="00BF137B" w:rsidRPr="00DD12E0" w:rsidRDefault="00BF137B" w:rsidP="00752AF8">
      <w:pPr>
        <w:pStyle w:val="FootnoteText"/>
        <w:rPr>
          <w:szCs w:val="24"/>
        </w:rPr>
      </w:pPr>
      <w:r w:rsidRPr="00DD12E0">
        <w:rPr>
          <w:rStyle w:val="FootnoteReference"/>
        </w:rPr>
        <w:footnoteRef/>
      </w:r>
      <w:r w:rsidRPr="00DD12E0">
        <w:tab/>
        <w:t xml:space="preserve">AC= Contract Staff; AL = Local Staff; END= Seconded National Expert; INT = agency staff; JPD= Junior Professionals in Delegations. </w:t>
      </w:r>
    </w:p>
  </w:footnote>
  <w:footnote w:id="68">
    <w:p w14:paraId="7595B297" w14:textId="77777777" w:rsidR="00BF137B" w:rsidRDefault="00BF137B" w:rsidP="00D014CD">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 w:id="69">
    <w:p w14:paraId="0AF13F99" w14:textId="77777777" w:rsidR="00BF137B" w:rsidRPr="00DD12E0" w:rsidRDefault="00BF137B" w:rsidP="00752AF8">
      <w:pPr>
        <w:pStyle w:val="FootnoteText"/>
        <w:spacing w:after="120"/>
      </w:pPr>
      <w:r w:rsidRPr="00DD12E0">
        <w:rPr>
          <w:rStyle w:val="FootnoteReference"/>
        </w:rPr>
        <w:footnoteRef/>
      </w:r>
      <w:r w:rsidRPr="00DD12E0">
        <w:tab/>
      </w:r>
      <w:r w:rsidRPr="00DD12E0">
        <w:rPr>
          <w:sz w:val="18"/>
        </w:rPr>
        <w:t>AC = Contract Staff; AL = Local Staff; END = Seconded National Expert; INT= agency staff; JPD= Junior Professionals in Delegations.</w:t>
      </w:r>
    </w:p>
  </w:footnote>
  <w:footnote w:id="70">
    <w:p w14:paraId="6421840E" w14:textId="77777777" w:rsidR="00BF137B" w:rsidRPr="00A66633" w:rsidRDefault="00BF137B" w:rsidP="00D014CD">
      <w:pPr>
        <w:pStyle w:val="FootnoteText"/>
      </w:pPr>
      <w:r w:rsidRPr="00416C7E">
        <w:rPr>
          <w:rStyle w:val="FootnoteReference"/>
        </w:rPr>
        <w:footnoteRef/>
      </w:r>
      <w:r>
        <w:tab/>
      </w:r>
      <w:r w:rsidRPr="003E2F7A">
        <w:rPr>
          <w:sz w:val="18"/>
          <w:szCs w:val="18"/>
        </w:rPr>
        <w:t xml:space="preserve">Please choose the relevant </w:t>
      </w:r>
      <w:r>
        <w:rPr>
          <w:sz w:val="18"/>
          <w:szCs w:val="18"/>
        </w:rPr>
        <w:t>b</w:t>
      </w:r>
      <w:r w:rsidRPr="003E2F7A">
        <w:rPr>
          <w:sz w:val="18"/>
          <w:szCs w:val="18"/>
        </w:rPr>
        <w:t>udget line</w:t>
      </w:r>
      <w:r>
        <w:rPr>
          <w:sz w:val="18"/>
          <w:szCs w:val="18"/>
        </w:rPr>
        <w:t>, or specify another if necessary; in case more budget lines are concerned, staff should be differentiated by each budget line concerned</w:t>
      </w:r>
    </w:p>
  </w:footnote>
  <w:footnote w:id="71">
    <w:p w14:paraId="74D4051E" w14:textId="77777777" w:rsidR="00BF137B" w:rsidRDefault="00BF137B" w:rsidP="00D014CD">
      <w:pPr>
        <w:pStyle w:val="FootnoteText"/>
        <w:spacing w:after="120"/>
      </w:pPr>
      <w:r w:rsidRPr="00416C7E">
        <w:rPr>
          <w:rStyle w:val="FootnoteReference"/>
        </w:rPr>
        <w:footnoteRef/>
      </w:r>
      <w:r>
        <w:tab/>
      </w:r>
      <w:r>
        <w:rPr>
          <w:sz w:val="18"/>
        </w:rPr>
        <w:t xml:space="preserve">AC = Contract Staff; AL = Local Staff; END = Seconded National Expert; INT= agency staff; </w:t>
      </w:r>
      <w:r w:rsidRPr="00C94718">
        <w:rPr>
          <w:sz w:val="18"/>
        </w:rPr>
        <w:t>JPD= Junior Professionals in Delegations</w:t>
      </w:r>
      <w:r>
        <w:rPr>
          <w:sz w:val="18"/>
        </w:rPr>
        <w:t>.</w:t>
      </w:r>
    </w:p>
  </w:footnote>
  <w:footnote w:id="72">
    <w:p w14:paraId="04D54FA8" w14:textId="77777777" w:rsidR="00BF137B" w:rsidRPr="00B07DC2" w:rsidRDefault="00BF137B" w:rsidP="00D014CD">
      <w:pPr>
        <w:pStyle w:val="FootnoteText"/>
      </w:pPr>
      <w:r w:rsidRPr="00416C7E">
        <w:rPr>
          <w:rStyle w:val="FootnoteReference"/>
        </w:rPr>
        <w:footnoteRef/>
      </w:r>
      <w:r>
        <w:tab/>
      </w:r>
      <w:r w:rsidRPr="0026123D">
        <w:rPr>
          <w:sz w:val="18"/>
          <w:szCs w:val="18"/>
        </w:rPr>
        <w:t>Please choose the relevant budget line</w:t>
      </w:r>
      <w:r>
        <w:rPr>
          <w:sz w:val="18"/>
          <w:szCs w:val="18"/>
        </w:rPr>
        <w:t>, or specify another if necessary; in case more budget lines are concerned, staff should be differentiated by each budget line concerned</w:t>
      </w:r>
    </w:p>
  </w:footnote>
  <w:footnote w:id="73">
    <w:p w14:paraId="065D87F9" w14:textId="77777777" w:rsidR="00BF137B" w:rsidRPr="00DD12E0" w:rsidRDefault="00BF137B" w:rsidP="00752AF8">
      <w:pPr>
        <w:pStyle w:val="FootnoteText"/>
      </w:pPr>
      <w:r w:rsidRPr="00DD12E0">
        <w:rPr>
          <w:rStyle w:val="FootnoteReference"/>
        </w:rPr>
        <w:footnoteRef/>
      </w:r>
      <w:r w:rsidRPr="00DD12E0">
        <w:tab/>
      </w:r>
      <w:r w:rsidRPr="00DD12E0">
        <w:rPr>
          <w:sz w:val="18"/>
        </w:rPr>
        <w:t>Specify the type of committee and the group to which it belongs.</w:t>
      </w:r>
    </w:p>
  </w:footnote>
  <w:footnote w:id="74">
    <w:p w14:paraId="4D3607D0" w14:textId="77777777" w:rsidR="00BF137B" w:rsidRPr="00DD12E0" w:rsidRDefault="00BF137B" w:rsidP="00752AF8">
      <w:pPr>
        <w:pStyle w:val="FootnoteText"/>
      </w:pPr>
      <w:r w:rsidRPr="00DD12E0">
        <w:rPr>
          <w:rStyle w:val="FootnoteReference"/>
        </w:rPr>
        <w:footnoteRef/>
      </w:r>
      <w:r w:rsidRPr="00DD12E0">
        <w:rPr>
          <w:sz w:val="18"/>
        </w:rPr>
        <w:tab/>
        <w:t>The opinion of DG DIGIT – IT Investments Team is required (see the Guidelines on Financing of IT, C(2020)6126 final of 10.9.2020, page 7)</w:t>
      </w:r>
    </w:p>
  </w:footnote>
  <w:footnote w:id="75">
    <w:p w14:paraId="2CD6A4C9" w14:textId="77777777" w:rsidR="00BF137B" w:rsidRPr="00CB3E86" w:rsidRDefault="00BF137B" w:rsidP="00D014CD">
      <w:pPr>
        <w:pStyle w:val="FootnoteText"/>
      </w:pPr>
      <w:r w:rsidRPr="00416C7E">
        <w:rPr>
          <w:rStyle w:val="FootnoteReference"/>
        </w:rPr>
        <w:footnoteRef/>
      </w:r>
      <w:r>
        <w:tab/>
      </w:r>
      <w:r w:rsidRPr="00CB3E86">
        <w:rPr>
          <w:sz w:val="18"/>
        </w:rPr>
        <w:t>The opinion of DG DIGIT – IT Investments Team is required (see the Guidelines on Financing of IT, C(2020)6126 final of 10.9.2020, page 7)</w:t>
      </w:r>
    </w:p>
  </w:footnote>
  <w:footnote w:id="76">
    <w:p w14:paraId="417C6DEA" w14:textId="77777777" w:rsidR="00BF137B" w:rsidRPr="00CB3E86" w:rsidRDefault="00BF137B" w:rsidP="00D014CD">
      <w:pPr>
        <w:pStyle w:val="FootnoteText"/>
      </w:pPr>
      <w:r w:rsidRPr="00416C7E">
        <w:rPr>
          <w:rStyle w:val="FootnoteReference"/>
        </w:rPr>
        <w:footnoteRef/>
      </w:r>
      <w:r>
        <w:tab/>
      </w:r>
      <w:r w:rsidRPr="003B7F97">
        <w:rPr>
          <w:sz w:val="18"/>
        </w:rPr>
        <w:t>This item includes local administrative systems and contributions to the co-financing of corporate IT systems (see the Guidelines on Financing of IT, C(2020)6126 final of 10.9.2020)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AFAE" w14:textId="77777777" w:rsidR="00E50DA1" w:rsidRPr="00E50DA1" w:rsidRDefault="00E50DA1" w:rsidP="00E50DA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BBF8" w14:textId="77777777" w:rsidR="00E50DA1" w:rsidRPr="00E50DA1" w:rsidRDefault="00E50DA1" w:rsidP="00E50DA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92F1" w14:textId="77777777" w:rsidR="00BF137B" w:rsidRPr="00BA653B" w:rsidRDefault="00BF137B" w:rsidP="00E50D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9E48" w14:textId="77777777" w:rsidR="00E50DA1" w:rsidRPr="00E50DA1" w:rsidRDefault="00E50DA1" w:rsidP="00E50D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EA2D" w14:textId="77777777" w:rsidR="00E50DA1" w:rsidRPr="00BA653B" w:rsidRDefault="00E50DA1" w:rsidP="00E50D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492C" w14:textId="77777777" w:rsidR="00E50DA1" w:rsidRPr="00E50DA1" w:rsidRDefault="00E50DA1" w:rsidP="00E50D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1406" w14:textId="77777777" w:rsidR="00BF137B" w:rsidRPr="00BA653B" w:rsidRDefault="00BF137B" w:rsidP="00E50DA1">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B7B2" w14:textId="77777777" w:rsidR="00E50DA1" w:rsidRPr="00E50DA1" w:rsidRDefault="00E50DA1" w:rsidP="00E50DA1">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8FB2FF8"/>
    <w:multiLevelType w:val="multilevel"/>
    <w:tmpl w:val="CB18D9A0"/>
    <w:name w:val="0.67198912"/>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3"/>
  </w:num>
  <w:num w:numId="7">
    <w:abstractNumId w:val="27"/>
  </w:num>
  <w:num w:numId="8">
    <w:abstractNumId w:val="28"/>
  </w:num>
  <w:num w:numId="9">
    <w:abstractNumId w:val="9"/>
  </w:num>
  <w:num w:numId="10">
    <w:abstractNumId w:val="1"/>
  </w:num>
  <w:num w:numId="11">
    <w:abstractNumId w:val="10"/>
  </w:num>
  <w:num w:numId="12">
    <w:abstractNumId w:val="8"/>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num>
  <w:num w:numId="46">
    <w:abstractNumId w:val="22"/>
  </w:num>
  <w:num w:numId="47">
    <w:abstractNumId w:val="11"/>
  </w:num>
  <w:num w:numId="48">
    <w:abstractNumId w:val="25"/>
  </w:num>
  <w:num w:numId="49">
    <w:abstractNumId w:val="5"/>
  </w:num>
  <w:num w:numId="50">
    <w:abstractNumId w:val="12"/>
  </w:num>
  <w:num w:numId="51">
    <w:abstractNumId w:val="13"/>
  </w:num>
  <w:num w:numId="52">
    <w:abstractNumId w:val="3"/>
  </w:num>
  <w:num w:numId="53">
    <w:abstractNumId w:val="24"/>
  </w:num>
  <w:num w:numId="54">
    <w:abstractNumId w:val="2"/>
  </w:num>
  <w:num w:numId="55">
    <w:abstractNumId w:val="14"/>
  </w:num>
  <w:num w:numId="56">
    <w:abstractNumId w:val="20"/>
  </w:num>
  <w:num w:numId="57">
    <w:abstractNumId w:val="21"/>
  </w:num>
  <w:num w:numId="58">
    <w:abstractNumId w:val="4"/>
  </w:num>
  <w:num w:numId="59">
    <w:abstractNumId w:val="18"/>
  </w:num>
  <w:num w:numId="60">
    <w:abstractNumId w:val="29"/>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11"/>
  </w:num>
  <w:num w:numId="64">
    <w:abstractNumId w:val="25"/>
  </w:num>
  <w:num w:numId="65">
    <w:abstractNumId w:val="5"/>
  </w:num>
  <w:num w:numId="66">
    <w:abstractNumId w:val="12"/>
  </w:num>
  <w:num w:numId="67">
    <w:abstractNumId w:val="13"/>
  </w:num>
  <w:num w:numId="68">
    <w:abstractNumId w:val="3"/>
  </w:num>
  <w:num w:numId="69">
    <w:abstractNumId w:val="24"/>
  </w:num>
  <w:num w:numId="70">
    <w:abstractNumId w:val="2"/>
  </w:num>
  <w:num w:numId="71">
    <w:abstractNumId w:val="14"/>
  </w:num>
  <w:num w:numId="72">
    <w:abstractNumId w:val="20"/>
  </w:num>
  <w:num w:numId="73">
    <w:abstractNumId w:val="21"/>
  </w:num>
  <w:num w:numId="74">
    <w:abstractNumId w:val="4"/>
  </w:num>
  <w:num w:numId="75">
    <w:abstractNumId w:val="18"/>
  </w:num>
  <w:num w:numId="76">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192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1-06 17:58:43"/>
    <w:docVar w:name="DQCResult_Distribution" w:val="2;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True"/>
    <w:docVar w:name="LW_COVERPAGE_GUID" w:val="57E77928-FA91-491E-A189-F6666887024F"/>
    <w:docVar w:name="LW_COVERPAGE_TYPE" w:val="1"/>
    <w:docVar w:name="LW_CROSSREFERENCE" w:val="{SEC(2022) 397 final} - {SWD(2022) 358 final} - {SWD(2022) 359 final} - {SWD(2022) 360 final}"/>
    <w:docVar w:name="LW_DocType" w:val="COM"/>
    <w:docVar w:name="LW_EMISSION" w:val="10.11.2022"/>
    <w:docVar w:name="LW_EMISSION_ISODATE" w:val="2022-11-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65"/>
    <w:docVar w:name="LW_REF.II.NEW.CP_YEAR" w:val="2022"/>
    <w:docVar w:name="LW_REF.INST.NEW" w:val="COM"/>
    <w:docVar w:name="LW_REF.INST.NEW_ADOPTED" w:val="final"/>
    <w:docVar w:name="LW_REF.INST.NEW_TEXT" w:val="(2022) 5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ype-approval of motor vehicles and engines and of systems, components and separate technical units intended for such vehicles, with respect to their emissions and battery durability (Euro 7) and repealing Regulations (EC) No 715/2007 and (EC) No 595/2009"/>
    <w:docVar w:name="LW_TYPE.DOC.CP" w:val="REGULATION OF THE EUROPEAN PARLIAMENT AND OF THE COUNCIL"/>
    <w:docVar w:name="LwApiVersions" w:val="LW4CoDe 1.23.2.0; LW 8.0, Build 20211117"/>
  </w:docVars>
  <w:rsids>
    <w:rsidRoot w:val="009439C4"/>
    <w:rsid w:val="0000249A"/>
    <w:rsid w:val="00002615"/>
    <w:rsid w:val="000043FD"/>
    <w:rsid w:val="00004C56"/>
    <w:rsid w:val="00005BC8"/>
    <w:rsid w:val="000062C5"/>
    <w:rsid w:val="00007C2F"/>
    <w:rsid w:val="00012FFE"/>
    <w:rsid w:val="000134DC"/>
    <w:rsid w:val="00014266"/>
    <w:rsid w:val="0001495A"/>
    <w:rsid w:val="00014B88"/>
    <w:rsid w:val="00015D4D"/>
    <w:rsid w:val="00017913"/>
    <w:rsid w:val="00017F75"/>
    <w:rsid w:val="000203DC"/>
    <w:rsid w:val="00021CD5"/>
    <w:rsid w:val="00022076"/>
    <w:rsid w:val="0002280A"/>
    <w:rsid w:val="00022F3B"/>
    <w:rsid w:val="00023934"/>
    <w:rsid w:val="00024A2B"/>
    <w:rsid w:val="0002570C"/>
    <w:rsid w:val="00026072"/>
    <w:rsid w:val="00030054"/>
    <w:rsid w:val="000302F5"/>
    <w:rsid w:val="00030AEA"/>
    <w:rsid w:val="00032A0C"/>
    <w:rsid w:val="00033DF2"/>
    <w:rsid w:val="00034DEB"/>
    <w:rsid w:val="00035FBE"/>
    <w:rsid w:val="000360A7"/>
    <w:rsid w:val="000408C9"/>
    <w:rsid w:val="000411D0"/>
    <w:rsid w:val="00042769"/>
    <w:rsid w:val="00044A94"/>
    <w:rsid w:val="00045206"/>
    <w:rsid w:val="000455E1"/>
    <w:rsid w:val="00046CCD"/>
    <w:rsid w:val="0005066A"/>
    <w:rsid w:val="00050928"/>
    <w:rsid w:val="0005192D"/>
    <w:rsid w:val="00051A51"/>
    <w:rsid w:val="0005244B"/>
    <w:rsid w:val="00054EA3"/>
    <w:rsid w:val="000556CA"/>
    <w:rsid w:val="000569BD"/>
    <w:rsid w:val="00056C7B"/>
    <w:rsid w:val="00057C61"/>
    <w:rsid w:val="00060812"/>
    <w:rsid w:val="00060E5E"/>
    <w:rsid w:val="00062435"/>
    <w:rsid w:val="00062E18"/>
    <w:rsid w:val="00064D5D"/>
    <w:rsid w:val="000650C1"/>
    <w:rsid w:val="000651EB"/>
    <w:rsid w:val="00065340"/>
    <w:rsid w:val="0006548E"/>
    <w:rsid w:val="00065B77"/>
    <w:rsid w:val="00066DD3"/>
    <w:rsid w:val="00070307"/>
    <w:rsid w:val="00070C2D"/>
    <w:rsid w:val="00070C73"/>
    <w:rsid w:val="00073723"/>
    <w:rsid w:val="00074085"/>
    <w:rsid w:val="00080494"/>
    <w:rsid w:val="00080520"/>
    <w:rsid w:val="00080D16"/>
    <w:rsid w:val="00081293"/>
    <w:rsid w:val="0008168F"/>
    <w:rsid w:val="00081A22"/>
    <w:rsid w:val="000826A0"/>
    <w:rsid w:val="00082CA0"/>
    <w:rsid w:val="00082E8A"/>
    <w:rsid w:val="000836AA"/>
    <w:rsid w:val="00083940"/>
    <w:rsid w:val="00085396"/>
    <w:rsid w:val="00087D67"/>
    <w:rsid w:val="000908CC"/>
    <w:rsid w:val="0009238F"/>
    <w:rsid w:val="00092A9B"/>
    <w:rsid w:val="000932BE"/>
    <w:rsid w:val="000960A0"/>
    <w:rsid w:val="00096367"/>
    <w:rsid w:val="00096401"/>
    <w:rsid w:val="00096656"/>
    <w:rsid w:val="000A048A"/>
    <w:rsid w:val="000A0962"/>
    <w:rsid w:val="000A1542"/>
    <w:rsid w:val="000A25E3"/>
    <w:rsid w:val="000A3010"/>
    <w:rsid w:val="000A372F"/>
    <w:rsid w:val="000A37D3"/>
    <w:rsid w:val="000A395B"/>
    <w:rsid w:val="000A4E39"/>
    <w:rsid w:val="000A5926"/>
    <w:rsid w:val="000A6594"/>
    <w:rsid w:val="000A7517"/>
    <w:rsid w:val="000B074B"/>
    <w:rsid w:val="000B2876"/>
    <w:rsid w:val="000B2E72"/>
    <w:rsid w:val="000B4B1C"/>
    <w:rsid w:val="000B5427"/>
    <w:rsid w:val="000B5A98"/>
    <w:rsid w:val="000B5B0A"/>
    <w:rsid w:val="000B5D19"/>
    <w:rsid w:val="000B7695"/>
    <w:rsid w:val="000C1568"/>
    <w:rsid w:val="000D078E"/>
    <w:rsid w:val="000D0F5E"/>
    <w:rsid w:val="000D13FB"/>
    <w:rsid w:val="000D1ABF"/>
    <w:rsid w:val="000D275F"/>
    <w:rsid w:val="000D2D5F"/>
    <w:rsid w:val="000D4702"/>
    <w:rsid w:val="000D6AA8"/>
    <w:rsid w:val="000E022A"/>
    <w:rsid w:val="000E0388"/>
    <w:rsid w:val="000E0E1D"/>
    <w:rsid w:val="000E198E"/>
    <w:rsid w:val="000E26E0"/>
    <w:rsid w:val="000E30F0"/>
    <w:rsid w:val="000E315D"/>
    <w:rsid w:val="000E4E55"/>
    <w:rsid w:val="000E54A8"/>
    <w:rsid w:val="000E6425"/>
    <w:rsid w:val="000E65C0"/>
    <w:rsid w:val="000F059A"/>
    <w:rsid w:val="000F0C72"/>
    <w:rsid w:val="000F0CD2"/>
    <w:rsid w:val="000F493C"/>
    <w:rsid w:val="000F54DF"/>
    <w:rsid w:val="000F6DDA"/>
    <w:rsid w:val="00101AEA"/>
    <w:rsid w:val="00102D77"/>
    <w:rsid w:val="00103647"/>
    <w:rsid w:val="00113380"/>
    <w:rsid w:val="0011513F"/>
    <w:rsid w:val="0011534D"/>
    <w:rsid w:val="0012207E"/>
    <w:rsid w:val="001225B1"/>
    <w:rsid w:val="00123C44"/>
    <w:rsid w:val="00123CA3"/>
    <w:rsid w:val="001240D7"/>
    <w:rsid w:val="001262E3"/>
    <w:rsid w:val="00127786"/>
    <w:rsid w:val="001278CA"/>
    <w:rsid w:val="00132E6F"/>
    <w:rsid w:val="0013318B"/>
    <w:rsid w:val="0013384E"/>
    <w:rsid w:val="00133ACA"/>
    <w:rsid w:val="00135132"/>
    <w:rsid w:val="001354FB"/>
    <w:rsid w:val="0013571F"/>
    <w:rsid w:val="00136C68"/>
    <w:rsid w:val="001417FF"/>
    <w:rsid w:val="001426C3"/>
    <w:rsid w:val="00142884"/>
    <w:rsid w:val="0014426E"/>
    <w:rsid w:val="001448C7"/>
    <w:rsid w:val="00144EF9"/>
    <w:rsid w:val="0014683D"/>
    <w:rsid w:val="001469BE"/>
    <w:rsid w:val="0015076E"/>
    <w:rsid w:val="00150E6C"/>
    <w:rsid w:val="001520C7"/>
    <w:rsid w:val="001524A5"/>
    <w:rsid w:val="00152F51"/>
    <w:rsid w:val="00153273"/>
    <w:rsid w:val="00153E82"/>
    <w:rsid w:val="00154F35"/>
    <w:rsid w:val="0015509E"/>
    <w:rsid w:val="00157918"/>
    <w:rsid w:val="00157FDC"/>
    <w:rsid w:val="00161E18"/>
    <w:rsid w:val="001626B5"/>
    <w:rsid w:val="00162C0F"/>
    <w:rsid w:val="001654B5"/>
    <w:rsid w:val="001655DE"/>
    <w:rsid w:val="001656B6"/>
    <w:rsid w:val="00166E59"/>
    <w:rsid w:val="00167C6B"/>
    <w:rsid w:val="00170246"/>
    <w:rsid w:val="001711D4"/>
    <w:rsid w:val="001716CD"/>
    <w:rsid w:val="001731D5"/>
    <w:rsid w:val="00173C29"/>
    <w:rsid w:val="00174285"/>
    <w:rsid w:val="00176390"/>
    <w:rsid w:val="00181F32"/>
    <w:rsid w:val="00182007"/>
    <w:rsid w:val="00183F3C"/>
    <w:rsid w:val="00184A61"/>
    <w:rsid w:val="00185D12"/>
    <w:rsid w:val="001900A3"/>
    <w:rsid w:val="00190238"/>
    <w:rsid w:val="00190643"/>
    <w:rsid w:val="00190BAB"/>
    <w:rsid w:val="001931AB"/>
    <w:rsid w:val="00194B2D"/>
    <w:rsid w:val="001957A3"/>
    <w:rsid w:val="00195E9C"/>
    <w:rsid w:val="00196752"/>
    <w:rsid w:val="00197E1E"/>
    <w:rsid w:val="001A0404"/>
    <w:rsid w:val="001A0466"/>
    <w:rsid w:val="001A054E"/>
    <w:rsid w:val="001A0EDF"/>
    <w:rsid w:val="001A10C2"/>
    <w:rsid w:val="001A230D"/>
    <w:rsid w:val="001A3618"/>
    <w:rsid w:val="001A3E51"/>
    <w:rsid w:val="001A4674"/>
    <w:rsid w:val="001A74A5"/>
    <w:rsid w:val="001B2AFE"/>
    <w:rsid w:val="001B2DF7"/>
    <w:rsid w:val="001B50B3"/>
    <w:rsid w:val="001B50F8"/>
    <w:rsid w:val="001B54E9"/>
    <w:rsid w:val="001B59B0"/>
    <w:rsid w:val="001B6668"/>
    <w:rsid w:val="001C1413"/>
    <w:rsid w:val="001C1436"/>
    <w:rsid w:val="001C1457"/>
    <w:rsid w:val="001C1F27"/>
    <w:rsid w:val="001C2816"/>
    <w:rsid w:val="001C54CD"/>
    <w:rsid w:val="001C6531"/>
    <w:rsid w:val="001C7941"/>
    <w:rsid w:val="001D1A01"/>
    <w:rsid w:val="001D6AA3"/>
    <w:rsid w:val="001E1268"/>
    <w:rsid w:val="001E28BF"/>
    <w:rsid w:val="001E3078"/>
    <w:rsid w:val="001E55AF"/>
    <w:rsid w:val="001E5C40"/>
    <w:rsid w:val="001E62D6"/>
    <w:rsid w:val="001E63AF"/>
    <w:rsid w:val="001E66B8"/>
    <w:rsid w:val="001E6D6F"/>
    <w:rsid w:val="001E6EEA"/>
    <w:rsid w:val="001E7088"/>
    <w:rsid w:val="001E7319"/>
    <w:rsid w:val="001F05B1"/>
    <w:rsid w:val="001F1F77"/>
    <w:rsid w:val="001F42C3"/>
    <w:rsid w:val="001F43C3"/>
    <w:rsid w:val="001F50F6"/>
    <w:rsid w:val="001F516A"/>
    <w:rsid w:val="001F715F"/>
    <w:rsid w:val="001F7384"/>
    <w:rsid w:val="001F76A8"/>
    <w:rsid w:val="001F7976"/>
    <w:rsid w:val="00201C19"/>
    <w:rsid w:val="00202433"/>
    <w:rsid w:val="00205C20"/>
    <w:rsid w:val="002066B8"/>
    <w:rsid w:val="0021008A"/>
    <w:rsid w:val="002145A6"/>
    <w:rsid w:val="00214841"/>
    <w:rsid w:val="002167FB"/>
    <w:rsid w:val="0021748C"/>
    <w:rsid w:val="002174BC"/>
    <w:rsid w:val="00220506"/>
    <w:rsid w:val="00221294"/>
    <w:rsid w:val="0022247B"/>
    <w:rsid w:val="00224978"/>
    <w:rsid w:val="00225320"/>
    <w:rsid w:val="00226161"/>
    <w:rsid w:val="00226509"/>
    <w:rsid w:val="002266C5"/>
    <w:rsid w:val="00227C52"/>
    <w:rsid w:val="002326C8"/>
    <w:rsid w:val="00232E98"/>
    <w:rsid w:val="002342EE"/>
    <w:rsid w:val="00234722"/>
    <w:rsid w:val="00234B88"/>
    <w:rsid w:val="00234BF8"/>
    <w:rsid w:val="002351B5"/>
    <w:rsid w:val="00235561"/>
    <w:rsid w:val="00236969"/>
    <w:rsid w:val="00236F7A"/>
    <w:rsid w:val="002374AD"/>
    <w:rsid w:val="002420CC"/>
    <w:rsid w:val="002424D9"/>
    <w:rsid w:val="00242994"/>
    <w:rsid w:val="002439A5"/>
    <w:rsid w:val="0024673C"/>
    <w:rsid w:val="002469BA"/>
    <w:rsid w:val="00246D6D"/>
    <w:rsid w:val="00247583"/>
    <w:rsid w:val="00252D73"/>
    <w:rsid w:val="00252E28"/>
    <w:rsid w:val="00253BE5"/>
    <w:rsid w:val="0025495E"/>
    <w:rsid w:val="00254F2C"/>
    <w:rsid w:val="00257C80"/>
    <w:rsid w:val="00260269"/>
    <w:rsid w:val="00260991"/>
    <w:rsid w:val="0026270F"/>
    <w:rsid w:val="002657E0"/>
    <w:rsid w:val="00265CC8"/>
    <w:rsid w:val="002660FD"/>
    <w:rsid w:val="0026619A"/>
    <w:rsid w:val="002664AA"/>
    <w:rsid w:val="00266720"/>
    <w:rsid w:val="00266A30"/>
    <w:rsid w:val="00271C05"/>
    <w:rsid w:val="00272833"/>
    <w:rsid w:val="0027360E"/>
    <w:rsid w:val="00273F66"/>
    <w:rsid w:val="00274A0E"/>
    <w:rsid w:val="00275882"/>
    <w:rsid w:val="0027590E"/>
    <w:rsid w:val="00276305"/>
    <w:rsid w:val="00276646"/>
    <w:rsid w:val="00280141"/>
    <w:rsid w:val="00284B34"/>
    <w:rsid w:val="00285B9E"/>
    <w:rsid w:val="0028766F"/>
    <w:rsid w:val="00287F1A"/>
    <w:rsid w:val="002938F9"/>
    <w:rsid w:val="002940FB"/>
    <w:rsid w:val="00294355"/>
    <w:rsid w:val="00295445"/>
    <w:rsid w:val="002973DF"/>
    <w:rsid w:val="002A0334"/>
    <w:rsid w:val="002A0656"/>
    <w:rsid w:val="002A104D"/>
    <w:rsid w:val="002A19CA"/>
    <w:rsid w:val="002A1C37"/>
    <w:rsid w:val="002A3C12"/>
    <w:rsid w:val="002A3F4D"/>
    <w:rsid w:val="002A4A14"/>
    <w:rsid w:val="002A4D37"/>
    <w:rsid w:val="002A5E94"/>
    <w:rsid w:val="002A6E5D"/>
    <w:rsid w:val="002A783F"/>
    <w:rsid w:val="002B1E3C"/>
    <w:rsid w:val="002B2B3D"/>
    <w:rsid w:val="002B3012"/>
    <w:rsid w:val="002B3160"/>
    <w:rsid w:val="002B46C5"/>
    <w:rsid w:val="002B4ECB"/>
    <w:rsid w:val="002B57A0"/>
    <w:rsid w:val="002B58D2"/>
    <w:rsid w:val="002B5A1E"/>
    <w:rsid w:val="002B647A"/>
    <w:rsid w:val="002B6A20"/>
    <w:rsid w:val="002B7E5B"/>
    <w:rsid w:val="002C00BE"/>
    <w:rsid w:val="002C0B93"/>
    <w:rsid w:val="002C10E2"/>
    <w:rsid w:val="002C155A"/>
    <w:rsid w:val="002C1AB8"/>
    <w:rsid w:val="002C2019"/>
    <w:rsid w:val="002C38D2"/>
    <w:rsid w:val="002C4B47"/>
    <w:rsid w:val="002C4F8A"/>
    <w:rsid w:val="002C573B"/>
    <w:rsid w:val="002C598D"/>
    <w:rsid w:val="002C64B7"/>
    <w:rsid w:val="002D33FD"/>
    <w:rsid w:val="002D3ADD"/>
    <w:rsid w:val="002D5A85"/>
    <w:rsid w:val="002D5D3A"/>
    <w:rsid w:val="002D5F85"/>
    <w:rsid w:val="002D75FB"/>
    <w:rsid w:val="002E1E41"/>
    <w:rsid w:val="002E1F88"/>
    <w:rsid w:val="002E3507"/>
    <w:rsid w:val="002E431D"/>
    <w:rsid w:val="002E4749"/>
    <w:rsid w:val="002E5403"/>
    <w:rsid w:val="002E5B56"/>
    <w:rsid w:val="002E689C"/>
    <w:rsid w:val="002E71FB"/>
    <w:rsid w:val="002E79DF"/>
    <w:rsid w:val="002F01C3"/>
    <w:rsid w:val="002F0446"/>
    <w:rsid w:val="002F06D5"/>
    <w:rsid w:val="002F1F6B"/>
    <w:rsid w:val="002F2845"/>
    <w:rsid w:val="002F3E55"/>
    <w:rsid w:val="002F5236"/>
    <w:rsid w:val="002F5AB6"/>
    <w:rsid w:val="00300823"/>
    <w:rsid w:val="00301142"/>
    <w:rsid w:val="00304616"/>
    <w:rsid w:val="00305171"/>
    <w:rsid w:val="00306CD8"/>
    <w:rsid w:val="00306F97"/>
    <w:rsid w:val="00307473"/>
    <w:rsid w:val="00310BEA"/>
    <w:rsid w:val="00311018"/>
    <w:rsid w:val="00311BAB"/>
    <w:rsid w:val="003125BF"/>
    <w:rsid w:val="00312C5C"/>
    <w:rsid w:val="00312D1A"/>
    <w:rsid w:val="0031477C"/>
    <w:rsid w:val="003147E1"/>
    <w:rsid w:val="00314897"/>
    <w:rsid w:val="00314C98"/>
    <w:rsid w:val="00315A4F"/>
    <w:rsid w:val="0031648D"/>
    <w:rsid w:val="00316B5A"/>
    <w:rsid w:val="00316D27"/>
    <w:rsid w:val="0032020A"/>
    <w:rsid w:val="00320FF8"/>
    <w:rsid w:val="00321310"/>
    <w:rsid w:val="003218F6"/>
    <w:rsid w:val="0032198F"/>
    <w:rsid w:val="00321B6C"/>
    <w:rsid w:val="003222C8"/>
    <w:rsid w:val="003224F6"/>
    <w:rsid w:val="00325D53"/>
    <w:rsid w:val="00325EB0"/>
    <w:rsid w:val="0032776C"/>
    <w:rsid w:val="003303AE"/>
    <w:rsid w:val="00330DE4"/>
    <w:rsid w:val="00331974"/>
    <w:rsid w:val="00333778"/>
    <w:rsid w:val="00333D40"/>
    <w:rsid w:val="003341F2"/>
    <w:rsid w:val="003349EA"/>
    <w:rsid w:val="003372F6"/>
    <w:rsid w:val="00337BCA"/>
    <w:rsid w:val="00341F26"/>
    <w:rsid w:val="00342009"/>
    <w:rsid w:val="00342C26"/>
    <w:rsid w:val="003459EA"/>
    <w:rsid w:val="0034667A"/>
    <w:rsid w:val="0034717B"/>
    <w:rsid w:val="003473F2"/>
    <w:rsid w:val="00347D10"/>
    <w:rsid w:val="00347EB0"/>
    <w:rsid w:val="00350B00"/>
    <w:rsid w:val="00350FBF"/>
    <w:rsid w:val="003516F0"/>
    <w:rsid w:val="00352B65"/>
    <w:rsid w:val="0035403F"/>
    <w:rsid w:val="0035609C"/>
    <w:rsid w:val="003572D8"/>
    <w:rsid w:val="00361DCA"/>
    <w:rsid w:val="00363B3F"/>
    <w:rsid w:val="00363CC6"/>
    <w:rsid w:val="00363E2B"/>
    <w:rsid w:val="00364391"/>
    <w:rsid w:val="003664FD"/>
    <w:rsid w:val="003672BE"/>
    <w:rsid w:val="0037065D"/>
    <w:rsid w:val="00370B07"/>
    <w:rsid w:val="00370DAA"/>
    <w:rsid w:val="00370E4E"/>
    <w:rsid w:val="003717F6"/>
    <w:rsid w:val="0037249E"/>
    <w:rsid w:val="00372509"/>
    <w:rsid w:val="003726B6"/>
    <w:rsid w:val="0037607E"/>
    <w:rsid w:val="00376C4C"/>
    <w:rsid w:val="00377227"/>
    <w:rsid w:val="00377628"/>
    <w:rsid w:val="00380DB4"/>
    <w:rsid w:val="0038150A"/>
    <w:rsid w:val="00383061"/>
    <w:rsid w:val="00385656"/>
    <w:rsid w:val="00385670"/>
    <w:rsid w:val="00385A64"/>
    <w:rsid w:val="003863E9"/>
    <w:rsid w:val="0038694B"/>
    <w:rsid w:val="00386A2E"/>
    <w:rsid w:val="00386FAB"/>
    <w:rsid w:val="0038700B"/>
    <w:rsid w:val="0038705B"/>
    <w:rsid w:val="00391B91"/>
    <w:rsid w:val="0039254F"/>
    <w:rsid w:val="00393B8A"/>
    <w:rsid w:val="003949CC"/>
    <w:rsid w:val="00394B0C"/>
    <w:rsid w:val="00396393"/>
    <w:rsid w:val="00396FB1"/>
    <w:rsid w:val="003975E0"/>
    <w:rsid w:val="00397D48"/>
    <w:rsid w:val="003A06A3"/>
    <w:rsid w:val="003A24E6"/>
    <w:rsid w:val="003A3C1A"/>
    <w:rsid w:val="003A4121"/>
    <w:rsid w:val="003A4BA8"/>
    <w:rsid w:val="003A585E"/>
    <w:rsid w:val="003A65E8"/>
    <w:rsid w:val="003A7929"/>
    <w:rsid w:val="003B04E6"/>
    <w:rsid w:val="003B27A2"/>
    <w:rsid w:val="003B2EC3"/>
    <w:rsid w:val="003B2F82"/>
    <w:rsid w:val="003B4A88"/>
    <w:rsid w:val="003B5443"/>
    <w:rsid w:val="003B641B"/>
    <w:rsid w:val="003B647A"/>
    <w:rsid w:val="003B6B5A"/>
    <w:rsid w:val="003B6DEC"/>
    <w:rsid w:val="003C2588"/>
    <w:rsid w:val="003C2C27"/>
    <w:rsid w:val="003C3CD3"/>
    <w:rsid w:val="003C5B70"/>
    <w:rsid w:val="003C6D21"/>
    <w:rsid w:val="003C733E"/>
    <w:rsid w:val="003D040E"/>
    <w:rsid w:val="003D0AC7"/>
    <w:rsid w:val="003D5D9E"/>
    <w:rsid w:val="003D66A8"/>
    <w:rsid w:val="003D700B"/>
    <w:rsid w:val="003D7415"/>
    <w:rsid w:val="003E1F7E"/>
    <w:rsid w:val="003E20AC"/>
    <w:rsid w:val="003E31F2"/>
    <w:rsid w:val="003E3E3F"/>
    <w:rsid w:val="003E6D54"/>
    <w:rsid w:val="003E7424"/>
    <w:rsid w:val="003F155E"/>
    <w:rsid w:val="003F24C6"/>
    <w:rsid w:val="003F51BE"/>
    <w:rsid w:val="00401A02"/>
    <w:rsid w:val="004023C2"/>
    <w:rsid w:val="00403DCF"/>
    <w:rsid w:val="00405371"/>
    <w:rsid w:val="004055C0"/>
    <w:rsid w:val="00406607"/>
    <w:rsid w:val="004068AA"/>
    <w:rsid w:val="00406F35"/>
    <w:rsid w:val="004074F3"/>
    <w:rsid w:val="00407FBE"/>
    <w:rsid w:val="00410479"/>
    <w:rsid w:val="00411A7C"/>
    <w:rsid w:val="00412582"/>
    <w:rsid w:val="00413217"/>
    <w:rsid w:val="00413296"/>
    <w:rsid w:val="004139B4"/>
    <w:rsid w:val="00413DD4"/>
    <w:rsid w:val="00414DAB"/>
    <w:rsid w:val="004166E5"/>
    <w:rsid w:val="00416C7E"/>
    <w:rsid w:val="00420C91"/>
    <w:rsid w:val="00421302"/>
    <w:rsid w:val="004219F1"/>
    <w:rsid w:val="004240DF"/>
    <w:rsid w:val="0042706D"/>
    <w:rsid w:val="00427A73"/>
    <w:rsid w:val="00430E4A"/>
    <w:rsid w:val="004310EF"/>
    <w:rsid w:val="00433409"/>
    <w:rsid w:val="00434C93"/>
    <w:rsid w:val="00435858"/>
    <w:rsid w:val="00435EF2"/>
    <w:rsid w:val="004362E9"/>
    <w:rsid w:val="004378EA"/>
    <w:rsid w:val="004412D5"/>
    <w:rsid w:val="004423B1"/>
    <w:rsid w:val="004431E3"/>
    <w:rsid w:val="00444C51"/>
    <w:rsid w:val="00445669"/>
    <w:rsid w:val="00446265"/>
    <w:rsid w:val="00447471"/>
    <w:rsid w:val="004519E9"/>
    <w:rsid w:val="00452A3B"/>
    <w:rsid w:val="00452ACC"/>
    <w:rsid w:val="00453058"/>
    <w:rsid w:val="0045352D"/>
    <w:rsid w:val="004543C4"/>
    <w:rsid w:val="00454560"/>
    <w:rsid w:val="0045770F"/>
    <w:rsid w:val="00460114"/>
    <w:rsid w:val="0046025F"/>
    <w:rsid w:val="00460FA3"/>
    <w:rsid w:val="00461B99"/>
    <w:rsid w:val="004621F9"/>
    <w:rsid w:val="00462288"/>
    <w:rsid w:val="00464928"/>
    <w:rsid w:val="00464C54"/>
    <w:rsid w:val="00465455"/>
    <w:rsid w:val="00465568"/>
    <w:rsid w:val="00465717"/>
    <w:rsid w:val="004712D3"/>
    <w:rsid w:val="00472385"/>
    <w:rsid w:val="0047271D"/>
    <w:rsid w:val="004754D3"/>
    <w:rsid w:val="0047669A"/>
    <w:rsid w:val="004771A4"/>
    <w:rsid w:val="00477FF6"/>
    <w:rsid w:val="00480E0E"/>
    <w:rsid w:val="00480E76"/>
    <w:rsid w:val="00481CFE"/>
    <w:rsid w:val="00481F42"/>
    <w:rsid w:val="004828CA"/>
    <w:rsid w:val="004874A8"/>
    <w:rsid w:val="00490A89"/>
    <w:rsid w:val="00491A36"/>
    <w:rsid w:val="0049272D"/>
    <w:rsid w:val="00492BD9"/>
    <w:rsid w:val="004960E0"/>
    <w:rsid w:val="004972D8"/>
    <w:rsid w:val="004A040B"/>
    <w:rsid w:val="004A05CE"/>
    <w:rsid w:val="004A0B8A"/>
    <w:rsid w:val="004A2C1A"/>
    <w:rsid w:val="004A3F21"/>
    <w:rsid w:val="004A5543"/>
    <w:rsid w:val="004A5CA4"/>
    <w:rsid w:val="004A744E"/>
    <w:rsid w:val="004B1490"/>
    <w:rsid w:val="004B356D"/>
    <w:rsid w:val="004B4CB3"/>
    <w:rsid w:val="004B51BC"/>
    <w:rsid w:val="004B5B73"/>
    <w:rsid w:val="004B6DEE"/>
    <w:rsid w:val="004B7159"/>
    <w:rsid w:val="004B76C6"/>
    <w:rsid w:val="004C1B68"/>
    <w:rsid w:val="004C24C5"/>
    <w:rsid w:val="004C3038"/>
    <w:rsid w:val="004C3346"/>
    <w:rsid w:val="004C40F6"/>
    <w:rsid w:val="004C41D0"/>
    <w:rsid w:val="004C4A61"/>
    <w:rsid w:val="004C543B"/>
    <w:rsid w:val="004C7E06"/>
    <w:rsid w:val="004D06D0"/>
    <w:rsid w:val="004D08E8"/>
    <w:rsid w:val="004D28D4"/>
    <w:rsid w:val="004D3A6C"/>
    <w:rsid w:val="004D5BE3"/>
    <w:rsid w:val="004D732E"/>
    <w:rsid w:val="004D7D83"/>
    <w:rsid w:val="004E1764"/>
    <w:rsid w:val="004E2A19"/>
    <w:rsid w:val="004E2DEB"/>
    <w:rsid w:val="004E4A1E"/>
    <w:rsid w:val="004E6A36"/>
    <w:rsid w:val="004F1A31"/>
    <w:rsid w:val="004F2A3F"/>
    <w:rsid w:val="004F3F95"/>
    <w:rsid w:val="004F5604"/>
    <w:rsid w:val="004F5AB9"/>
    <w:rsid w:val="004F715E"/>
    <w:rsid w:val="004F771D"/>
    <w:rsid w:val="004F7909"/>
    <w:rsid w:val="00500A71"/>
    <w:rsid w:val="00500D75"/>
    <w:rsid w:val="00501ACD"/>
    <w:rsid w:val="005022CF"/>
    <w:rsid w:val="00502D34"/>
    <w:rsid w:val="00502DB3"/>
    <w:rsid w:val="00503CD9"/>
    <w:rsid w:val="0051438A"/>
    <w:rsid w:val="00515ACB"/>
    <w:rsid w:val="00515B40"/>
    <w:rsid w:val="00516515"/>
    <w:rsid w:val="00517AC1"/>
    <w:rsid w:val="00520A13"/>
    <w:rsid w:val="00522FF8"/>
    <w:rsid w:val="005230ED"/>
    <w:rsid w:val="005238E9"/>
    <w:rsid w:val="00523F94"/>
    <w:rsid w:val="005300A4"/>
    <w:rsid w:val="00531D1F"/>
    <w:rsid w:val="00533742"/>
    <w:rsid w:val="00533ABA"/>
    <w:rsid w:val="00533BC0"/>
    <w:rsid w:val="00533C8D"/>
    <w:rsid w:val="00533D91"/>
    <w:rsid w:val="0053432E"/>
    <w:rsid w:val="0053442B"/>
    <w:rsid w:val="005361B7"/>
    <w:rsid w:val="00537460"/>
    <w:rsid w:val="005420FE"/>
    <w:rsid w:val="00542DE3"/>
    <w:rsid w:val="00543DD6"/>
    <w:rsid w:val="0054459E"/>
    <w:rsid w:val="00544F16"/>
    <w:rsid w:val="00546A7D"/>
    <w:rsid w:val="00546EEB"/>
    <w:rsid w:val="0055106C"/>
    <w:rsid w:val="0055147B"/>
    <w:rsid w:val="005525D4"/>
    <w:rsid w:val="00555A07"/>
    <w:rsid w:val="005606DF"/>
    <w:rsid w:val="0056148E"/>
    <w:rsid w:val="005629B4"/>
    <w:rsid w:val="005631BF"/>
    <w:rsid w:val="00564DDC"/>
    <w:rsid w:val="00564E9D"/>
    <w:rsid w:val="0056556E"/>
    <w:rsid w:val="00565E3D"/>
    <w:rsid w:val="00566FF5"/>
    <w:rsid w:val="00567FE5"/>
    <w:rsid w:val="0057005B"/>
    <w:rsid w:val="00571DF2"/>
    <w:rsid w:val="0057230A"/>
    <w:rsid w:val="00573A42"/>
    <w:rsid w:val="00574085"/>
    <w:rsid w:val="0057C932"/>
    <w:rsid w:val="005806BB"/>
    <w:rsid w:val="0058103D"/>
    <w:rsid w:val="00582558"/>
    <w:rsid w:val="005827A9"/>
    <w:rsid w:val="00582830"/>
    <w:rsid w:val="00582945"/>
    <w:rsid w:val="00582CB0"/>
    <w:rsid w:val="00584FDF"/>
    <w:rsid w:val="0058668A"/>
    <w:rsid w:val="005866B2"/>
    <w:rsid w:val="005902DF"/>
    <w:rsid w:val="00590704"/>
    <w:rsid w:val="00590BAB"/>
    <w:rsid w:val="00591977"/>
    <w:rsid w:val="00591E3D"/>
    <w:rsid w:val="00592137"/>
    <w:rsid w:val="00592DF3"/>
    <w:rsid w:val="0059377F"/>
    <w:rsid w:val="0059465C"/>
    <w:rsid w:val="00594BA8"/>
    <w:rsid w:val="00594C5F"/>
    <w:rsid w:val="005952CC"/>
    <w:rsid w:val="005955D5"/>
    <w:rsid w:val="00596379"/>
    <w:rsid w:val="0059700F"/>
    <w:rsid w:val="005977AF"/>
    <w:rsid w:val="005A05DE"/>
    <w:rsid w:val="005A07B8"/>
    <w:rsid w:val="005A0C0A"/>
    <w:rsid w:val="005A166B"/>
    <w:rsid w:val="005A4977"/>
    <w:rsid w:val="005A4A8E"/>
    <w:rsid w:val="005A4AF7"/>
    <w:rsid w:val="005A4EC8"/>
    <w:rsid w:val="005A581A"/>
    <w:rsid w:val="005A5D41"/>
    <w:rsid w:val="005A5EA6"/>
    <w:rsid w:val="005B0B55"/>
    <w:rsid w:val="005B1FDA"/>
    <w:rsid w:val="005B433E"/>
    <w:rsid w:val="005B480E"/>
    <w:rsid w:val="005C26FA"/>
    <w:rsid w:val="005C3173"/>
    <w:rsid w:val="005C3FA8"/>
    <w:rsid w:val="005C4406"/>
    <w:rsid w:val="005C47E9"/>
    <w:rsid w:val="005C55EA"/>
    <w:rsid w:val="005C591C"/>
    <w:rsid w:val="005C70E3"/>
    <w:rsid w:val="005D03D4"/>
    <w:rsid w:val="005D0770"/>
    <w:rsid w:val="005D1FB9"/>
    <w:rsid w:val="005D4591"/>
    <w:rsid w:val="005D6314"/>
    <w:rsid w:val="005D735E"/>
    <w:rsid w:val="005D7839"/>
    <w:rsid w:val="005D7AF6"/>
    <w:rsid w:val="005E02D7"/>
    <w:rsid w:val="005E09B2"/>
    <w:rsid w:val="005E0F8D"/>
    <w:rsid w:val="005E2349"/>
    <w:rsid w:val="005E2F02"/>
    <w:rsid w:val="005E3377"/>
    <w:rsid w:val="005E4CEE"/>
    <w:rsid w:val="005E5457"/>
    <w:rsid w:val="005E5E82"/>
    <w:rsid w:val="005E7FB2"/>
    <w:rsid w:val="005F0B88"/>
    <w:rsid w:val="005F1023"/>
    <w:rsid w:val="005F2562"/>
    <w:rsid w:val="005F4BEE"/>
    <w:rsid w:val="005F4FA1"/>
    <w:rsid w:val="005F564D"/>
    <w:rsid w:val="005F58C5"/>
    <w:rsid w:val="005F62DA"/>
    <w:rsid w:val="005F6468"/>
    <w:rsid w:val="00601455"/>
    <w:rsid w:val="0060183F"/>
    <w:rsid w:val="0060352F"/>
    <w:rsid w:val="0060CBA3"/>
    <w:rsid w:val="00611E3D"/>
    <w:rsid w:val="00612ED1"/>
    <w:rsid w:val="00613859"/>
    <w:rsid w:val="00613CE1"/>
    <w:rsid w:val="00614215"/>
    <w:rsid w:val="00614319"/>
    <w:rsid w:val="0061465A"/>
    <w:rsid w:val="00614CE2"/>
    <w:rsid w:val="006156D8"/>
    <w:rsid w:val="00615D42"/>
    <w:rsid w:val="00616DC2"/>
    <w:rsid w:val="006221B6"/>
    <w:rsid w:val="00627572"/>
    <w:rsid w:val="00627C89"/>
    <w:rsid w:val="00630101"/>
    <w:rsid w:val="00630322"/>
    <w:rsid w:val="0063262D"/>
    <w:rsid w:val="00632746"/>
    <w:rsid w:val="0063495C"/>
    <w:rsid w:val="00635416"/>
    <w:rsid w:val="0063572D"/>
    <w:rsid w:val="006359B0"/>
    <w:rsid w:val="00635F71"/>
    <w:rsid w:val="00637667"/>
    <w:rsid w:val="00640691"/>
    <w:rsid w:val="0064087D"/>
    <w:rsid w:val="00640F63"/>
    <w:rsid w:val="0064104E"/>
    <w:rsid w:val="0064162E"/>
    <w:rsid w:val="00641B6B"/>
    <w:rsid w:val="00642D75"/>
    <w:rsid w:val="00642F20"/>
    <w:rsid w:val="00643EA8"/>
    <w:rsid w:val="00644101"/>
    <w:rsid w:val="0064440B"/>
    <w:rsid w:val="00644676"/>
    <w:rsid w:val="006451FF"/>
    <w:rsid w:val="00645927"/>
    <w:rsid w:val="00646618"/>
    <w:rsid w:val="00646A80"/>
    <w:rsid w:val="00647066"/>
    <w:rsid w:val="00650C95"/>
    <w:rsid w:val="00651A31"/>
    <w:rsid w:val="00651FF5"/>
    <w:rsid w:val="006535EE"/>
    <w:rsid w:val="00653808"/>
    <w:rsid w:val="00655799"/>
    <w:rsid w:val="00657004"/>
    <w:rsid w:val="00660DBD"/>
    <w:rsid w:val="00661005"/>
    <w:rsid w:val="006610AB"/>
    <w:rsid w:val="00662F55"/>
    <w:rsid w:val="00663EE2"/>
    <w:rsid w:val="006647BB"/>
    <w:rsid w:val="00664D45"/>
    <w:rsid w:val="00664DDE"/>
    <w:rsid w:val="00666910"/>
    <w:rsid w:val="006706D5"/>
    <w:rsid w:val="00670D9C"/>
    <w:rsid w:val="00671A28"/>
    <w:rsid w:val="00671F4F"/>
    <w:rsid w:val="006720E7"/>
    <w:rsid w:val="0067255F"/>
    <w:rsid w:val="0067307F"/>
    <w:rsid w:val="0067362B"/>
    <w:rsid w:val="00673D18"/>
    <w:rsid w:val="0067496D"/>
    <w:rsid w:val="006759ED"/>
    <w:rsid w:val="00677BB5"/>
    <w:rsid w:val="0068278C"/>
    <w:rsid w:val="00682B8A"/>
    <w:rsid w:val="006832A9"/>
    <w:rsid w:val="006843BD"/>
    <w:rsid w:val="00684A7B"/>
    <w:rsid w:val="00685CD5"/>
    <w:rsid w:val="00687D62"/>
    <w:rsid w:val="0069151A"/>
    <w:rsid w:val="00691D90"/>
    <w:rsid w:val="006925F7"/>
    <w:rsid w:val="00692739"/>
    <w:rsid w:val="006942C2"/>
    <w:rsid w:val="006942D3"/>
    <w:rsid w:val="00694EFF"/>
    <w:rsid w:val="006955F1"/>
    <w:rsid w:val="00695B75"/>
    <w:rsid w:val="006966DC"/>
    <w:rsid w:val="006A0D10"/>
    <w:rsid w:val="006A2004"/>
    <w:rsid w:val="006A4026"/>
    <w:rsid w:val="006A57E5"/>
    <w:rsid w:val="006A59BE"/>
    <w:rsid w:val="006A743E"/>
    <w:rsid w:val="006B029C"/>
    <w:rsid w:val="006B1271"/>
    <w:rsid w:val="006B1DD4"/>
    <w:rsid w:val="006B1E23"/>
    <w:rsid w:val="006B2A17"/>
    <w:rsid w:val="006B4079"/>
    <w:rsid w:val="006B7981"/>
    <w:rsid w:val="006C003C"/>
    <w:rsid w:val="006C03B5"/>
    <w:rsid w:val="006C0BFC"/>
    <w:rsid w:val="006C1156"/>
    <w:rsid w:val="006C4894"/>
    <w:rsid w:val="006C4A75"/>
    <w:rsid w:val="006C602C"/>
    <w:rsid w:val="006C6377"/>
    <w:rsid w:val="006C6AA8"/>
    <w:rsid w:val="006D0385"/>
    <w:rsid w:val="006D096C"/>
    <w:rsid w:val="006D17B1"/>
    <w:rsid w:val="006D244F"/>
    <w:rsid w:val="006D52E1"/>
    <w:rsid w:val="006D66A9"/>
    <w:rsid w:val="006E01CE"/>
    <w:rsid w:val="006E02CD"/>
    <w:rsid w:val="006E0644"/>
    <w:rsid w:val="006E1131"/>
    <w:rsid w:val="006E13C1"/>
    <w:rsid w:val="006E1F97"/>
    <w:rsid w:val="006E261D"/>
    <w:rsid w:val="006E2ACA"/>
    <w:rsid w:val="006E3F3D"/>
    <w:rsid w:val="006E4593"/>
    <w:rsid w:val="006E48C2"/>
    <w:rsid w:val="006E5079"/>
    <w:rsid w:val="006E605B"/>
    <w:rsid w:val="006E691E"/>
    <w:rsid w:val="006E6F9E"/>
    <w:rsid w:val="006E7501"/>
    <w:rsid w:val="006E75B5"/>
    <w:rsid w:val="006E784D"/>
    <w:rsid w:val="006F05C1"/>
    <w:rsid w:val="006F0C8D"/>
    <w:rsid w:val="006F10C2"/>
    <w:rsid w:val="006F1337"/>
    <w:rsid w:val="006F1F62"/>
    <w:rsid w:val="006F3322"/>
    <w:rsid w:val="006F38B5"/>
    <w:rsid w:val="006F45DF"/>
    <w:rsid w:val="006F4999"/>
    <w:rsid w:val="006F5BC1"/>
    <w:rsid w:val="006F5E8B"/>
    <w:rsid w:val="006F6FC0"/>
    <w:rsid w:val="006F728E"/>
    <w:rsid w:val="0070091B"/>
    <w:rsid w:val="0070128F"/>
    <w:rsid w:val="00701F6F"/>
    <w:rsid w:val="007023E5"/>
    <w:rsid w:val="00703500"/>
    <w:rsid w:val="00704902"/>
    <w:rsid w:val="00705A76"/>
    <w:rsid w:val="007065B8"/>
    <w:rsid w:val="007074A6"/>
    <w:rsid w:val="007112AD"/>
    <w:rsid w:val="00711F86"/>
    <w:rsid w:val="00714038"/>
    <w:rsid w:val="0071484F"/>
    <w:rsid w:val="00714F99"/>
    <w:rsid w:val="00715EB7"/>
    <w:rsid w:val="007168E9"/>
    <w:rsid w:val="007172BD"/>
    <w:rsid w:val="00717FE0"/>
    <w:rsid w:val="00717FE3"/>
    <w:rsid w:val="00720867"/>
    <w:rsid w:val="00721222"/>
    <w:rsid w:val="00721F04"/>
    <w:rsid w:val="00721F0C"/>
    <w:rsid w:val="00722E1B"/>
    <w:rsid w:val="00723A46"/>
    <w:rsid w:val="00723BB0"/>
    <w:rsid w:val="007242BB"/>
    <w:rsid w:val="0072462A"/>
    <w:rsid w:val="007248FF"/>
    <w:rsid w:val="0072544A"/>
    <w:rsid w:val="0073564E"/>
    <w:rsid w:val="00735A9F"/>
    <w:rsid w:val="00736BD6"/>
    <w:rsid w:val="00736C15"/>
    <w:rsid w:val="00736CD0"/>
    <w:rsid w:val="00737753"/>
    <w:rsid w:val="00741448"/>
    <w:rsid w:val="00741A11"/>
    <w:rsid w:val="00742DDF"/>
    <w:rsid w:val="007434B9"/>
    <w:rsid w:val="00744AD9"/>
    <w:rsid w:val="00745F8A"/>
    <w:rsid w:val="00746BC2"/>
    <w:rsid w:val="00747406"/>
    <w:rsid w:val="007478A6"/>
    <w:rsid w:val="007506D5"/>
    <w:rsid w:val="00750BF0"/>
    <w:rsid w:val="007514C9"/>
    <w:rsid w:val="007515CC"/>
    <w:rsid w:val="0075282B"/>
    <w:rsid w:val="00752AF8"/>
    <w:rsid w:val="00753264"/>
    <w:rsid w:val="0075333A"/>
    <w:rsid w:val="00754336"/>
    <w:rsid w:val="00754D85"/>
    <w:rsid w:val="00755C3E"/>
    <w:rsid w:val="00755D6D"/>
    <w:rsid w:val="007561E4"/>
    <w:rsid w:val="00760BAC"/>
    <w:rsid w:val="00760C9F"/>
    <w:rsid w:val="00761765"/>
    <w:rsid w:val="00761D1A"/>
    <w:rsid w:val="0076270D"/>
    <w:rsid w:val="007633DB"/>
    <w:rsid w:val="00765B0B"/>
    <w:rsid w:val="00767659"/>
    <w:rsid w:val="00767FDF"/>
    <w:rsid w:val="00771518"/>
    <w:rsid w:val="00771BC6"/>
    <w:rsid w:val="0077479B"/>
    <w:rsid w:val="007778DF"/>
    <w:rsid w:val="00777CB7"/>
    <w:rsid w:val="00780DBA"/>
    <w:rsid w:val="007864A2"/>
    <w:rsid w:val="007865C9"/>
    <w:rsid w:val="00786BB1"/>
    <w:rsid w:val="00787D9D"/>
    <w:rsid w:val="007907A4"/>
    <w:rsid w:val="007916CC"/>
    <w:rsid w:val="007928B5"/>
    <w:rsid w:val="007949D0"/>
    <w:rsid w:val="00794A0A"/>
    <w:rsid w:val="00796010"/>
    <w:rsid w:val="00796352"/>
    <w:rsid w:val="00796D33"/>
    <w:rsid w:val="007970AF"/>
    <w:rsid w:val="007977A1"/>
    <w:rsid w:val="00797967"/>
    <w:rsid w:val="007979EB"/>
    <w:rsid w:val="00797B95"/>
    <w:rsid w:val="007A1BAE"/>
    <w:rsid w:val="007A2A73"/>
    <w:rsid w:val="007A3741"/>
    <w:rsid w:val="007A4112"/>
    <w:rsid w:val="007A47F8"/>
    <w:rsid w:val="007A5A1E"/>
    <w:rsid w:val="007A623C"/>
    <w:rsid w:val="007A6CC8"/>
    <w:rsid w:val="007A7BFF"/>
    <w:rsid w:val="007B2127"/>
    <w:rsid w:val="007B2C61"/>
    <w:rsid w:val="007B3961"/>
    <w:rsid w:val="007B6C4A"/>
    <w:rsid w:val="007B7518"/>
    <w:rsid w:val="007C06F6"/>
    <w:rsid w:val="007C24DD"/>
    <w:rsid w:val="007C317B"/>
    <w:rsid w:val="007C3EA1"/>
    <w:rsid w:val="007C46F4"/>
    <w:rsid w:val="007C6AFB"/>
    <w:rsid w:val="007C70B4"/>
    <w:rsid w:val="007C7B13"/>
    <w:rsid w:val="007D1A2B"/>
    <w:rsid w:val="007D225E"/>
    <w:rsid w:val="007D29AD"/>
    <w:rsid w:val="007D2D00"/>
    <w:rsid w:val="007D4B9E"/>
    <w:rsid w:val="007D6F46"/>
    <w:rsid w:val="007D7C27"/>
    <w:rsid w:val="007E13AE"/>
    <w:rsid w:val="007E1C5F"/>
    <w:rsid w:val="007E1EDD"/>
    <w:rsid w:val="007E223B"/>
    <w:rsid w:val="007E3C9A"/>
    <w:rsid w:val="007E4F14"/>
    <w:rsid w:val="007E5E5D"/>
    <w:rsid w:val="007E6315"/>
    <w:rsid w:val="007E6FA9"/>
    <w:rsid w:val="007E764E"/>
    <w:rsid w:val="007F18A1"/>
    <w:rsid w:val="007F2B00"/>
    <w:rsid w:val="007F2BD2"/>
    <w:rsid w:val="007F3214"/>
    <w:rsid w:val="007F4244"/>
    <w:rsid w:val="007F7137"/>
    <w:rsid w:val="00802D34"/>
    <w:rsid w:val="00803CBE"/>
    <w:rsid w:val="00805056"/>
    <w:rsid w:val="00805C27"/>
    <w:rsid w:val="00805C5E"/>
    <w:rsid w:val="00806060"/>
    <w:rsid w:val="00806B5A"/>
    <w:rsid w:val="00807AB0"/>
    <w:rsid w:val="00811951"/>
    <w:rsid w:val="00811A00"/>
    <w:rsid w:val="00811A40"/>
    <w:rsid w:val="00811DFF"/>
    <w:rsid w:val="00812061"/>
    <w:rsid w:val="00812A4F"/>
    <w:rsid w:val="00814A9B"/>
    <w:rsid w:val="00814AA4"/>
    <w:rsid w:val="00814DE0"/>
    <w:rsid w:val="0081512A"/>
    <w:rsid w:val="00815FC2"/>
    <w:rsid w:val="008172F3"/>
    <w:rsid w:val="0081773A"/>
    <w:rsid w:val="008211AA"/>
    <w:rsid w:val="008218E9"/>
    <w:rsid w:val="00821ABA"/>
    <w:rsid w:val="00821C29"/>
    <w:rsid w:val="008224B7"/>
    <w:rsid w:val="00823106"/>
    <w:rsid w:val="00824159"/>
    <w:rsid w:val="008264F5"/>
    <w:rsid w:val="008265A4"/>
    <w:rsid w:val="008305AE"/>
    <w:rsid w:val="00830A52"/>
    <w:rsid w:val="00831076"/>
    <w:rsid w:val="0083256A"/>
    <w:rsid w:val="00834094"/>
    <w:rsid w:val="008348EB"/>
    <w:rsid w:val="00835709"/>
    <w:rsid w:val="0083660B"/>
    <w:rsid w:val="008367EC"/>
    <w:rsid w:val="00836AB9"/>
    <w:rsid w:val="00837A4D"/>
    <w:rsid w:val="00837E38"/>
    <w:rsid w:val="00837F3D"/>
    <w:rsid w:val="00841D94"/>
    <w:rsid w:val="00842303"/>
    <w:rsid w:val="00843967"/>
    <w:rsid w:val="00845B40"/>
    <w:rsid w:val="00850CA3"/>
    <w:rsid w:val="008516B0"/>
    <w:rsid w:val="00851DA6"/>
    <w:rsid w:val="00851E17"/>
    <w:rsid w:val="0085489E"/>
    <w:rsid w:val="00855863"/>
    <w:rsid w:val="00855CC9"/>
    <w:rsid w:val="00857A65"/>
    <w:rsid w:val="00857C3B"/>
    <w:rsid w:val="00860902"/>
    <w:rsid w:val="0086269E"/>
    <w:rsid w:val="008626D2"/>
    <w:rsid w:val="008627C4"/>
    <w:rsid w:val="00862984"/>
    <w:rsid w:val="00862A4A"/>
    <w:rsid w:val="008632FA"/>
    <w:rsid w:val="00863B73"/>
    <w:rsid w:val="00863D09"/>
    <w:rsid w:val="00864E0B"/>
    <w:rsid w:val="00864F18"/>
    <w:rsid w:val="0086556C"/>
    <w:rsid w:val="0087007F"/>
    <w:rsid w:val="00871FD7"/>
    <w:rsid w:val="00873330"/>
    <w:rsid w:val="0087358F"/>
    <w:rsid w:val="00874237"/>
    <w:rsid w:val="008742BB"/>
    <w:rsid w:val="008750D9"/>
    <w:rsid w:val="00875178"/>
    <w:rsid w:val="008752CB"/>
    <w:rsid w:val="00876E51"/>
    <w:rsid w:val="00876EB9"/>
    <w:rsid w:val="0087700B"/>
    <w:rsid w:val="00877BB4"/>
    <w:rsid w:val="008802C8"/>
    <w:rsid w:val="00881585"/>
    <w:rsid w:val="00884634"/>
    <w:rsid w:val="00885EA3"/>
    <w:rsid w:val="00886811"/>
    <w:rsid w:val="008920C4"/>
    <w:rsid w:val="0089262D"/>
    <w:rsid w:val="008926A5"/>
    <w:rsid w:val="00894028"/>
    <w:rsid w:val="008967EA"/>
    <w:rsid w:val="00896F36"/>
    <w:rsid w:val="008A1E98"/>
    <w:rsid w:val="008A1FE4"/>
    <w:rsid w:val="008A3066"/>
    <w:rsid w:val="008A3EE3"/>
    <w:rsid w:val="008A45AC"/>
    <w:rsid w:val="008A6362"/>
    <w:rsid w:val="008A7865"/>
    <w:rsid w:val="008B09A1"/>
    <w:rsid w:val="008B2D43"/>
    <w:rsid w:val="008B2ED8"/>
    <w:rsid w:val="008B3AE2"/>
    <w:rsid w:val="008B3DCE"/>
    <w:rsid w:val="008B5D49"/>
    <w:rsid w:val="008B6654"/>
    <w:rsid w:val="008B7178"/>
    <w:rsid w:val="008B787A"/>
    <w:rsid w:val="008B7A28"/>
    <w:rsid w:val="008C0018"/>
    <w:rsid w:val="008C0E2E"/>
    <w:rsid w:val="008C37B9"/>
    <w:rsid w:val="008C508B"/>
    <w:rsid w:val="008C5E5A"/>
    <w:rsid w:val="008C6AEE"/>
    <w:rsid w:val="008D0CCB"/>
    <w:rsid w:val="008D3DA9"/>
    <w:rsid w:val="008D4C89"/>
    <w:rsid w:val="008D6160"/>
    <w:rsid w:val="008D71EF"/>
    <w:rsid w:val="008D748E"/>
    <w:rsid w:val="008E00F9"/>
    <w:rsid w:val="008E11BA"/>
    <w:rsid w:val="008E5207"/>
    <w:rsid w:val="008E5545"/>
    <w:rsid w:val="008E62A2"/>
    <w:rsid w:val="008E673F"/>
    <w:rsid w:val="008E73B9"/>
    <w:rsid w:val="008E7CCD"/>
    <w:rsid w:val="008F1997"/>
    <w:rsid w:val="008F238B"/>
    <w:rsid w:val="008F2DEB"/>
    <w:rsid w:val="008F31C6"/>
    <w:rsid w:val="008F4AA2"/>
    <w:rsid w:val="008F6B02"/>
    <w:rsid w:val="008F7792"/>
    <w:rsid w:val="008F7B87"/>
    <w:rsid w:val="00901104"/>
    <w:rsid w:val="0090197C"/>
    <w:rsid w:val="00901C57"/>
    <w:rsid w:val="00902F6B"/>
    <w:rsid w:val="0090414C"/>
    <w:rsid w:val="00905639"/>
    <w:rsid w:val="009070DA"/>
    <w:rsid w:val="00907118"/>
    <w:rsid w:val="00912BC6"/>
    <w:rsid w:val="00913FF3"/>
    <w:rsid w:val="00914AD9"/>
    <w:rsid w:val="009150E2"/>
    <w:rsid w:val="0091551B"/>
    <w:rsid w:val="0092159D"/>
    <w:rsid w:val="009215A0"/>
    <w:rsid w:val="009219DA"/>
    <w:rsid w:val="00922BC4"/>
    <w:rsid w:val="00923A25"/>
    <w:rsid w:val="00924433"/>
    <w:rsid w:val="00924A49"/>
    <w:rsid w:val="00924C5F"/>
    <w:rsid w:val="009252BD"/>
    <w:rsid w:val="0092746B"/>
    <w:rsid w:val="00931CCA"/>
    <w:rsid w:val="00931E15"/>
    <w:rsid w:val="0093280C"/>
    <w:rsid w:val="00932AE0"/>
    <w:rsid w:val="00933C86"/>
    <w:rsid w:val="00934A73"/>
    <w:rsid w:val="00934FF6"/>
    <w:rsid w:val="009351D2"/>
    <w:rsid w:val="00936CEA"/>
    <w:rsid w:val="009401C2"/>
    <w:rsid w:val="009427D8"/>
    <w:rsid w:val="009439C4"/>
    <w:rsid w:val="00944B54"/>
    <w:rsid w:val="00944D3D"/>
    <w:rsid w:val="009454DB"/>
    <w:rsid w:val="00947029"/>
    <w:rsid w:val="00947C55"/>
    <w:rsid w:val="00950152"/>
    <w:rsid w:val="009503EA"/>
    <w:rsid w:val="00950B3E"/>
    <w:rsid w:val="00951619"/>
    <w:rsid w:val="00951D6A"/>
    <w:rsid w:val="00952AB5"/>
    <w:rsid w:val="00953196"/>
    <w:rsid w:val="00953EC3"/>
    <w:rsid w:val="00954EAD"/>
    <w:rsid w:val="00955F89"/>
    <w:rsid w:val="00956415"/>
    <w:rsid w:val="00956505"/>
    <w:rsid w:val="0095787D"/>
    <w:rsid w:val="00957E7B"/>
    <w:rsid w:val="00960ABB"/>
    <w:rsid w:val="0096143A"/>
    <w:rsid w:val="009616FF"/>
    <w:rsid w:val="00961F9F"/>
    <w:rsid w:val="00963F15"/>
    <w:rsid w:val="009648AD"/>
    <w:rsid w:val="009648DE"/>
    <w:rsid w:val="0096539A"/>
    <w:rsid w:val="0096544B"/>
    <w:rsid w:val="00965F95"/>
    <w:rsid w:val="00966957"/>
    <w:rsid w:val="00966BD0"/>
    <w:rsid w:val="009678A7"/>
    <w:rsid w:val="0097026A"/>
    <w:rsid w:val="00970989"/>
    <w:rsid w:val="009713EB"/>
    <w:rsid w:val="00971E9B"/>
    <w:rsid w:val="00973766"/>
    <w:rsid w:val="00974BEA"/>
    <w:rsid w:val="00975946"/>
    <w:rsid w:val="00976BDB"/>
    <w:rsid w:val="0098034F"/>
    <w:rsid w:val="00980BDF"/>
    <w:rsid w:val="009814FA"/>
    <w:rsid w:val="009839CE"/>
    <w:rsid w:val="00985165"/>
    <w:rsid w:val="00985DA1"/>
    <w:rsid w:val="00985EEA"/>
    <w:rsid w:val="00986431"/>
    <w:rsid w:val="00986AD3"/>
    <w:rsid w:val="00986B33"/>
    <w:rsid w:val="00986C02"/>
    <w:rsid w:val="00987AD5"/>
    <w:rsid w:val="00992B61"/>
    <w:rsid w:val="00993131"/>
    <w:rsid w:val="00993763"/>
    <w:rsid w:val="009937FA"/>
    <w:rsid w:val="00993F09"/>
    <w:rsid w:val="00994ADE"/>
    <w:rsid w:val="00996E28"/>
    <w:rsid w:val="00996FB9"/>
    <w:rsid w:val="0099774A"/>
    <w:rsid w:val="009A06C2"/>
    <w:rsid w:val="009A083E"/>
    <w:rsid w:val="009A1917"/>
    <w:rsid w:val="009A252B"/>
    <w:rsid w:val="009A2899"/>
    <w:rsid w:val="009A2E07"/>
    <w:rsid w:val="009A315D"/>
    <w:rsid w:val="009A5900"/>
    <w:rsid w:val="009A6015"/>
    <w:rsid w:val="009A650E"/>
    <w:rsid w:val="009B4949"/>
    <w:rsid w:val="009B6745"/>
    <w:rsid w:val="009B7138"/>
    <w:rsid w:val="009B7DC9"/>
    <w:rsid w:val="009C0155"/>
    <w:rsid w:val="009C215E"/>
    <w:rsid w:val="009C21BF"/>
    <w:rsid w:val="009C2429"/>
    <w:rsid w:val="009C25E3"/>
    <w:rsid w:val="009C2A4D"/>
    <w:rsid w:val="009C31BD"/>
    <w:rsid w:val="009C33AE"/>
    <w:rsid w:val="009C721B"/>
    <w:rsid w:val="009C761C"/>
    <w:rsid w:val="009D26A6"/>
    <w:rsid w:val="009D2DE8"/>
    <w:rsid w:val="009D3758"/>
    <w:rsid w:val="009D3D51"/>
    <w:rsid w:val="009D41F2"/>
    <w:rsid w:val="009D5283"/>
    <w:rsid w:val="009D52F4"/>
    <w:rsid w:val="009D564D"/>
    <w:rsid w:val="009D5A8A"/>
    <w:rsid w:val="009E0161"/>
    <w:rsid w:val="009E2DCA"/>
    <w:rsid w:val="009E3739"/>
    <w:rsid w:val="009E4058"/>
    <w:rsid w:val="009E6F48"/>
    <w:rsid w:val="009E7018"/>
    <w:rsid w:val="009E7EFF"/>
    <w:rsid w:val="009F1220"/>
    <w:rsid w:val="009F1BC6"/>
    <w:rsid w:val="009F201A"/>
    <w:rsid w:val="009F232B"/>
    <w:rsid w:val="009F37C8"/>
    <w:rsid w:val="009F43D0"/>
    <w:rsid w:val="009F4522"/>
    <w:rsid w:val="009F48DA"/>
    <w:rsid w:val="009F5004"/>
    <w:rsid w:val="009F792B"/>
    <w:rsid w:val="00A00190"/>
    <w:rsid w:val="00A007F7"/>
    <w:rsid w:val="00A0350E"/>
    <w:rsid w:val="00A03911"/>
    <w:rsid w:val="00A05147"/>
    <w:rsid w:val="00A0525A"/>
    <w:rsid w:val="00A0529F"/>
    <w:rsid w:val="00A077CB"/>
    <w:rsid w:val="00A07FD2"/>
    <w:rsid w:val="00A11D34"/>
    <w:rsid w:val="00A121DE"/>
    <w:rsid w:val="00A140CD"/>
    <w:rsid w:val="00A1574A"/>
    <w:rsid w:val="00A15B79"/>
    <w:rsid w:val="00A1758B"/>
    <w:rsid w:val="00A17DA6"/>
    <w:rsid w:val="00A20A75"/>
    <w:rsid w:val="00A21CCC"/>
    <w:rsid w:val="00A21E8D"/>
    <w:rsid w:val="00A224BB"/>
    <w:rsid w:val="00A2291B"/>
    <w:rsid w:val="00A22981"/>
    <w:rsid w:val="00A2385B"/>
    <w:rsid w:val="00A251AF"/>
    <w:rsid w:val="00A258DE"/>
    <w:rsid w:val="00A265FB"/>
    <w:rsid w:val="00A300DE"/>
    <w:rsid w:val="00A31961"/>
    <w:rsid w:val="00A33540"/>
    <w:rsid w:val="00A339F8"/>
    <w:rsid w:val="00A33D6B"/>
    <w:rsid w:val="00A3572A"/>
    <w:rsid w:val="00A37163"/>
    <w:rsid w:val="00A37722"/>
    <w:rsid w:val="00A37A64"/>
    <w:rsid w:val="00A4008B"/>
    <w:rsid w:val="00A41B55"/>
    <w:rsid w:val="00A42CA2"/>
    <w:rsid w:val="00A43086"/>
    <w:rsid w:val="00A434BB"/>
    <w:rsid w:val="00A43C4C"/>
    <w:rsid w:val="00A44FD5"/>
    <w:rsid w:val="00A45539"/>
    <w:rsid w:val="00A45860"/>
    <w:rsid w:val="00A51BC2"/>
    <w:rsid w:val="00A51EA5"/>
    <w:rsid w:val="00A536D1"/>
    <w:rsid w:val="00A557F2"/>
    <w:rsid w:val="00A57F34"/>
    <w:rsid w:val="00A62266"/>
    <w:rsid w:val="00A622DB"/>
    <w:rsid w:val="00A623DA"/>
    <w:rsid w:val="00A62402"/>
    <w:rsid w:val="00A62703"/>
    <w:rsid w:val="00A629AE"/>
    <w:rsid w:val="00A6387D"/>
    <w:rsid w:val="00A65C0A"/>
    <w:rsid w:val="00A662E0"/>
    <w:rsid w:val="00A6748F"/>
    <w:rsid w:val="00A67520"/>
    <w:rsid w:val="00A6763A"/>
    <w:rsid w:val="00A67DD6"/>
    <w:rsid w:val="00A70057"/>
    <w:rsid w:val="00A71425"/>
    <w:rsid w:val="00A7175C"/>
    <w:rsid w:val="00A7221C"/>
    <w:rsid w:val="00A72239"/>
    <w:rsid w:val="00A7256B"/>
    <w:rsid w:val="00A7443E"/>
    <w:rsid w:val="00A76B68"/>
    <w:rsid w:val="00A7757F"/>
    <w:rsid w:val="00A77B9F"/>
    <w:rsid w:val="00A816B1"/>
    <w:rsid w:val="00A82628"/>
    <w:rsid w:val="00A82CA2"/>
    <w:rsid w:val="00A87365"/>
    <w:rsid w:val="00A8744D"/>
    <w:rsid w:val="00A9009B"/>
    <w:rsid w:val="00A905C7"/>
    <w:rsid w:val="00A95A5C"/>
    <w:rsid w:val="00A963B4"/>
    <w:rsid w:val="00AA01A4"/>
    <w:rsid w:val="00AA0D7C"/>
    <w:rsid w:val="00AA1129"/>
    <w:rsid w:val="00AA1A11"/>
    <w:rsid w:val="00AA1B89"/>
    <w:rsid w:val="00AA2224"/>
    <w:rsid w:val="00AA271F"/>
    <w:rsid w:val="00AA426F"/>
    <w:rsid w:val="00AA4E99"/>
    <w:rsid w:val="00AA52C9"/>
    <w:rsid w:val="00AA6D75"/>
    <w:rsid w:val="00AA6EB3"/>
    <w:rsid w:val="00AA7417"/>
    <w:rsid w:val="00AA776F"/>
    <w:rsid w:val="00AB120F"/>
    <w:rsid w:val="00AB1971"/>
    <w:rsid w:val="00AB3EBC"/>
    <w:rsid w:val="00AB40AE"/>
    <w:rsid w:val="00AB42DF"/>
    <w:rsid w:val="00AB5681"/>
    <w:rsid w:val="00AB56CB"/>
    <w:rsid w:val="00AB5B08"/>
    <w:rsid w:val="00AB7723"/>
    <w:rsid w:val="00AC1490"/>
    <w:rsid w:val="00AC1A9C"/>
    <w:rsid w:val="00AC1EB1"/>
    <w:rsid w:val="00AC4077"/>
    <w:rsid w:val="00AC47A8"/>
    <w:rsid w:val="00AC591A"/>
    <w:rsid w:val="00AC6D55"/>
    <w:rsid w:val="00AD04A5"/>
    <w:rsid w:val="00AD1A80"/>
    <w:rsid w:val="00AD25DA"/>
    <w:rsid w:val="00AD4143"/>
    <w:rsid w:val="00AD414E"/>
    <w:rsid w:val="00AD52D2"/>
    <w:rsid w:val="00AD57DE"/>
    <w:rsid w:val="00AD62D5"/>
    <w:rsid w:val="00AD73AD"/>
    <w:rsid w:val="00AD7550"/>
    <w:rsid w:val="00AE0E3C"/>
    <w:rsid w:val="00AE0F85"/>
    <w:rsid w:val="00AE11A4"/>
    <w:rsid w:val="00AE487D"/>
    <w:rsid w:val="00AE55AF"/>
    <w:rsid w:val="00AE7D62"/>
    <w:rsid w:val="00AF0D37"/>
    <w:rsid w:val="00AF0EEC"/>
    <w:rsid w:val="00AF1B17"/>
    <w:rsid w:val="00AF1F07"/>
    <w:rsid w:val="00AF273C"/>
    <w:rsid w:val="00AF3B89"/>
    <w:rsid w:val="00AF4C85"/>
    <w:rsid w:val="00AF50DE"/>
    <w:rsid w:val="00AF6D35"/>
    <w:rsid w:val="00B033BE"/>
    <w:rsid w:val="00B038BD"/>
    <w:rsid w:val="00B0602A"/>
    <w:rsid w:val="00B06608"/>
    <w:rsid w:val="00B06F81"/>
    <w:rsid w:val="00B07E46"/>
    <w:rsid w:val="00B07FB1"/>
    <w:rsid w:val="00B1022A"/>
    <w:rsid w:val="00B11057"/>
    <w:rsid w:val="00B1123E"/>
    <w:rsid w:val="00B118FE"/>
    <w:rsid w:val="00B12B0C"/>
    <w:rsid w:val="00B13483"/>
    <w:rsid w:val="00B15B35"/>
    <w:rsid w:val="00B15DA5"/>
    <w:rsid w:val="00B16B1E"/>
    <w:rsid w:val="00B1726F"/>
    <w:rsid w:val="00B17EF8"/>
    <w:rsid w:val="00B2001B"/>
    <w:rsid w:val="00B2074B"/>
    <w:rsid w:val="00B20B2E"/>
    <w:rsid w:val="00B20B2F"/>
    <w:rsid w:val="00B2126B"/>
    <w:rsid w:val="00B21759"/>
    <w:rsid w:val="00B21C21"/>
    <w:rsid w:val="00B21D44"/>
    <w:rsid w:val="00B22C42"/>
    <w:rsid w:val="00B22F4B"/>
    <w:rsid w:val="00B2312F"/>
    <w:rsid w:val="00B257F7"/>
    <w:rsid w:val="00B2797A"/>
    <w:rsid w:val="00B30857"/>
    <w:rsid w:val="00B31CE4"/>
    <w:rsid w:val="00B324ED"/>
    <w:rsid w:val="00B33CF5"/>
    <w:rsid w:val="00B34BE4"/>
    <w:rsid w:val="00B354AD"/>
    <w:rsid w:val="00B35502"/>
    <w:rsid w:val="00B35D7D"/>
    <w:rsid w:val="00B36040"/>
    <w:rsid w:val="00B37BCE"/>
    <w:rsid w:val="00B37CC5"/>
    <w:rsid w:val="00B37F36"/>
    <w:rsid w:val="00B409A7"/>
    <w:rsid w:val="00B40E34"/>
    <w:rsid w:val="00B41173"/>
    <w:rsid w:val="00B43828"/>
    <w:rsid w:val="00B44B93"/>
    <w:rsid w:val="00B46917"/>
    <w:rsid w:val="00B46FB8"/>
    <w:rsid w:val="00B519D5"/>
    <w:rsid w:val="00B536D4"/>
    <w:rsid w:val="00B549AF"/>
    <w:rsid w:val="00B55066"/>
    <w:rsid w:val="00B550C1"/>
    <w:rsid w:val="00B552F2"/>
    <w:rsid w:val="00B556CF"/>
    <w:rsid w:val="00B55F1A"/>
    <w:rsid w:val="00B56046"/>
    <w:rsid w:val="00B5636F"/>
    <w:rsid w:val="00B627A1"/>
    <w:rsid w:val="00B62D9D"/>
    <w:rsid w:val="00B62E2F"/>
    <w:rsid w:val="00B63326"/>
    <w:rsid w:val="00B640D8"/>
    <w:rsid w:val="00B65031"/>
    <w:rsid w:val="00B65236"/>
    <w:rsid w:val="00B725BA"/>
    <w:rsid w:val="00B7452E"/>
    <w:rsid w:val="00B74C63"/>
    <w:rsid w:val="00B75054"/>
    <w:rsid w:val="00B7536B"/>
    <w:rsid w:val="00B77906"/>
    <w:rsid w:val="00B800F4"/>
    <w:rsid w:val="00B80D1D"/>
    <w:rsid w:val="00B8125F"/>
    <w:rsid w:val="00B81FA3"/>
    <w:rsid w:val="00B82333"/>
    <w:rsid w:val="00B82591"/>
    <w:rsid w:val="00B82C24"/>
    <w:rsid w:val="00B82D65"/>
    <w:rsid w:val="00B8645D"/>
    <w:rsid w:val="00B930AF"/>
    <w:rsid w:val="00B93946"/>
    <w:rsid w:val="00B93CB9"/>
    <w:rsid w:val="00B954DA"/>
    <w:rsid w:val="00B97134"/>
    <w:rsid w:val="00B97429"/>
    <w:rsid w:val="00B97863"/>
    <w:rsid w:val="00B97FF9"/>
    <w:rsid w:val="00BA01FA"/>
    <w:rsid w:val="00BA0525"/>
    <w:rsid w:val="00BA1260"/>
    <w:rsid w:val="00BA2DA6"/>
    <w:rsid w:val="00BA30DB"/>
    <w:rsid w:val="00BA4A68"/>
    <w:rsid w:val="00BA4B68"/>
    <w:rsid w:val="00BA535D"/>
    <w:rsid w:val="00BA5AAC"/>
    <w:rsid w:val="00BA653B"/>
    <w:rsid w:val="00BB20E2"/>
    <w:rsid w:val="00BB34E7"/>
    <w:rsid w:val="00BB4386"/>
    <w:rsid w:val="00BB50D9"/>
    <w:rsid w:val="00BB6708"/>
    <w:rsid w:val="00BB761D"/>
    <w:rsid w:val="00BC0A46"/>
    <w:rsid w:val="00BC0B04"/>
    <w:rsid w:val="00BC0FB3"/>
    <w:rsid w:val="00BC1034"/>
    <w:rsid w:val="00BC3932"/>
    <w:rsid w:val="00BC5183"/>
    <w:rsid w:val="00BD0EDD"/>
    <w:rsid w:val="00BD118E"/>
    <w:rsid w:val="00BD2841"/>
    <w:rsid w:val="00BD28F2"/>
    <w:rsid w:val="00BD2ADE"/>
    <w:rsid w:val="00BD2EB4"/>
    <w:rsid w:val="00BD3EDF"/>
    <w:rsid w:val="00BD45EE"/>
    <w:rsid w:val="00BD47AA"/>
    <w:rsid w:val="00BD5DE6"/>
    <w:rsid w:val="00BD6B62"/>
    <w:rsid w:val="00BD702E"/>
    <w:rsid w:val="00BE1F3D"/>
    <w:rsid w:val="00BE246D"/>
    <w:rsid w:val="00BE4004"/>
    <w:rsid w:val="00BE517F"/>
    <w:rsid w:val="00BE540E"/>
    <w:rsid w:val="00BE5533"/>
    <w:rsid w:val="00BE6D01"/>
    <w:rsid w:val="00BE6E11"/>
    <w:rsid w:val="00BF137B"/>
    <w:rsid w:val="00BF17AA"/>
    <w:rsid w:val="00BF2D9A"/>
    <w:rsid w:val="00BF3245"/>
    <w:rsid w:val="00BF338C"/>
    <w:rsid w:val="00BF4CEE"/>
    <w:rsid w:val="00BF5082"/>
    <w:rsid w:val="00BF5E26"/>
    <w:rsid w:val="00BF6838"/>
    <w:rsid w:val="00BF74B9"/>
    <w:rsid w:val="00BF7C13"/>
    <w:rsid w:val="00BF7E6C"/>
    <w:rsid w:val="00C00BF4"/>
    <w:rsid w:val="00C016EB"/>
    <w:rsid w:val="00C0174E"/>
    <w:rsid w:val="00C01B7B"/>
    <w:rsid w:val="00C02142"/>
    <w:rsid w:val="00C02B76"/>
    <w:rsid w:val="00C034C3"/>
    <w:rsid w:val="00C045AE"/>
    <w:rsid w:val="00C05015"/>
    <w:rsid w:val="00C05306"/>
    <w:rsid w:val="00C063ED"/>
    <w:rsid w:val="00C06FAC"/>
    <w:rsid w:val="00C1151E"/>
    <w:rsid w:val="00C120E7"/>
    <w:rsid w:val="00C122CA"/>
    <w:rsid w:val="00C12315"/>
    <w:rsid w:val="00C12565"/>
    <w:rsid w:val="00C13141"/>
    <w:rsid w:val="00C131FF"/>
    <w:rsid w:val="00C13A27"/>
    <w:rsid w:val="00C13A47"/>
    <w:rsid w:val="00C13DFD"/>
    <w:rsid w:val="00C1423E"/>
    <w:rsid w:val="00C142EE"/>
    <w:rsid w:val="00C15153"/>
    <w:rsid w:val="00C20341"/>
    <w:rsid w:val="00C21D62"/>
    <w:rsid w:val="00C22202"/>
    <w:rsid w:val="00C22733"/>
    <w:rsid w:val="00C227DA"/>
    <w:rsid w:val="00C24556"/>
    <w:rsid w:val="00C246D7"/>
    <w:rsid w:val="00C24E66"/>
    <w:rsid w:val="00C252AC"/>
    <w:rsid w:val="00C257E1"/>
    <w:rsid w:val="00C27C4F"/>
    <w:rsid w:val="00C3046A"/>
    <w:rsid w:val="00C305B0"/>
    <w:rsid w:val="00C31176"/>
    <w:rsid w:val="00C31780"/>
    <w:rsid w:val="00C33512"/>
    <w:rsid w:val="00C33B2C"/>
    <w:rsid w:val="00C3412E"/>
    <w:rsid w:val="00C36182"/>
    <w:rsid w:val="00C3626B"/>
    <w:rsid w:val="00C36874"/>
    <w:rsid w:val="00C36C7F"/>
    <w:rsid w:val="00C4028F"/>
    <w:rsid w:val="00C41C87"/>
    <w:rsid w:val="00C43AB1"/>
    <w:rsid w:val="00C45A05"/>
    <w:rsid w:val="00C50DB3"/>
    <w:rsid w:val="00C52541"/>
    <w:rsid w:val="00C547F9"/>
    <w:rsid w:val="00C54806"/>
    <w:rsid w:val="00C54BCC"/>
    <w:rsid w:val="00C54D0F"/>
    <w:rsid w:val="00C54D32"/>
    <w:rsid w:val="00C56B00"/>
    <w:rsid w:val="00C57AEF"/>
    <w:rsid w:val="00C57E77"/>
    <w:rsid w:val="00C6014D"/>
    <w:rsid w:val="00C636B7"/>
    <w:rsid w:val="00C63EEA"/>
    <w:rsid w:val="00C67681"/>
    <w:rsid w:val="00C67E76"/>
    <w:rsid w:val="00C705F2"/>
    <w:rsid w:val="00C709FA"/>
    <w:rsid w:val="00C71C71"/>
    <w:rsid w:val="00C73768"/>
    <w:rsid w:val="00C737E9"/>
    <w:rsid w:val="00C75614"/>
    <w:rsid w:val="00C76389"/>
    <w:rsid w:val="00C76522"/>
    <w:rsid w:val="00C76798"/>
    <w:rsid w:val="00C77D07"/>
    <w:rsid w:val="00C807E1"/>
    <w:rsid w:val="00C827E4"/>
    <w:rsid w:val="00C82ECF"/>
    <w:rsid w:val="00C83D00"/>
    <w:rsid w:val="00C861AB"/>
    <w:rsid w:val="00C86E3C"/>
    <w:rsid w:val="00C87916"/>
    <w:rsid w:val="00C91450"/>
    <w:rsid w:val="00C9190F"/>
    <w:rsid w:val="00C94969"/>
    <w:rsid w:val="00C96D0A"/>
    <w:rsid w:val="00CA09B6"/>
    <w:rsid w:val="00CA0C18"/>
    <w:rsid w:val="00CA253A"/>
    <w:rsid w:val="00CA2D9B"/>
    <w:rsid w:val="00CA476F"/>
    <w:rsid w:val="00CA56E8"/>
    <w:rsid w:val="00CA5CF2"/>
    <w:rsid w:val="00CB0033"/>
    <w:rsid w:val="00CB25C4"/>
    <w:rsid w:val="00CB312F"/>
    <w:rsid w:val="00CB3257"/>
    <w:rsid w:val="00CB3455"/>
    <w:rsid w:val="00CB3FE3"/>
    <w:rsid w:val="00CB55D0"/>
    <w:rsid w:val="00CB6866"/>
    <w:rsid w:val="00CB7FF2"/>
    <w:rsid w:val="00CC16DF"/>
    <w:rsid w:val="00CC40A0"/>
    <w:rsid w:val="00CC461C"/>
    <w:rsid w:val="00CC585B"/>
    <w:rsid w:val="00CC5BC2"/>
    <w:rsid w:val="00CC7FFC"/>
    <w:rsid w:val="00CD00A6"/>
    <w:rsid w:val="00CD09C1"/>
    <w:rsid w:val="00CD153B"/>
    <w:rsid w:val="00CD2A1A"/>
    <w:rsid w:val="00CD4081"/>
    <w:rsid w:val="00CD4940"/>
    <w:rsid w:val="00CD4BE3"/>
    <w:rsid w:val="00CD5B0E"/>
    <w:rsid w:val="00CD5C85"/>
    <w:rsid w:val="00CD5FAD"/>
    <w:rsid w:val="00CE1340"/>
    <w:rsid w:val="00CE40D6"/>
    <w:rsid w:val="00CE5C8B"/>
    <w:rsid w:val="00CF0568"/>
    <w:rsid w:val="00CF2F8B"/>
    <w:rsid w:val="00CF2FD6"/>
    <w:rsid w:val="00CF35EF"/>
    <w:rsid w:val="00CF4CFA"/>
    <w:rsid w:val="00CF56C7"/>
    <w:rsid w:val="00CF7967"/>
    <w:rsid w:val="00CF7B6E"/>
    <w:rsid w:val="00CF7FA9"/>
    <w:rsid w:val="00D014CD"/>
    <w:rsid w:val="00D01707"/>
    <w:rsid w:val="00D0172A"/>
    <w:rsid w:val="00D02400"/>
    <w:rsid w:val="00D0347C"/>
    <w:rsid w:val="00D03BCB"/>
    <w:rsid w:val="00D049F4"/>
    <w:rsid w:val="00D07D29"/>
    <w:rsid w:val="00D07E5A"/>
    <w:rsid w:val="00D114AD"/>
    <w:rsid w:val="00D117F5"/>
    <w:rsid w:val="00D1326E"/>
    <w:rsid w:val="00D14834"/>
    <w:rsid w:val="00D16640"/>
    <w:rsid w:val="00D16CA3"/>
    <w:rsid w:val="00D16D64"/>
    <w:rsid w:val="00D17D34"/>
    <w:rsid w:val="00D20603"/>
    <w:rsid w:val="00D20776"/>
    <w:rsid w:val="00D20E51"/>
    <w:rsid w:val="00D20E92"/>
    <w:rsid w:val="00D21A3D"/>
    <w:rsid w:val="00D23ECA"/>
    <w:rsid w:val="00D2401D"/>
    <w:rsid w:val="00D26607"/>
    <w:rsid w:val="00D26C9D"/>
    <w:rsid w:val="00D3123D"/>
    <w:rsid w:val="00D312D3"/>
    <w:rsid w:val="00D31635"/>
    <w:rsid w:val="00D327FD"/>
    <w:rsid w:val="00D33522"/>
    <w:rsid w:val="00D33D87"/>
    <w:rsid w:val="00D34359"/>
    <w:rsid w:val="00D358AA"/>
    <w:rsid w:val="00D36D42"/>
    <w:rsid w:val="00D36F72"/>
    <w:rsid w:val="00D36FF4"/>
    <w:rsid w:val="00D40BB3"/>
    <w:rsid w:val="00D41148"/>
    <w:rsid w:val="00D415D5"/>
    <w:rsid w:val="00D41904"/>
    <w:rsid w:val="00D423B8"/>
    <w:rsid w:val="00D423E1"/>
    <w:rsid w:val="00D442AB"/>
    <w:rsid w:val="00D44444"/>
    <w:rsid w:val="00D455ED"/>
    <w:rsid w:val="00D45856"/>
    <w:rsid w:val="00D45DEC"/>
    <w:rsid w:val="00D470AE"/>
    <w:rsid w:val="00D50081"/>
    <w:rsid w:val="00D50306"/>
    <w:rsid w:val="00D503BF"/>
    <w:rsid w:val="00D50A92"/>
    <w:rsid w:val="00D51DFC"/>
    <w:rsid w:val="00D528B3"/>
    <w:rsid w:val="00D5296B"/>
    <w:rsid w:val="00D54BBD"/>
    <w:rsid w:val="00D550A5"/>
    <w:rsid w:val="00D5548F"/>
    <w:rsid w:val="00D60748"/>
    <w:rsid w:val="00D61A93"/>
    <w:rsid w:val="00D6293B"/>
    <w:rsid w:val="00D62E07"/>
    <w:rsid w:val="00D63B00"/>
    <w:rsid w:val="00D643CF"/>
    <w:rsid w:val="00D655B6"/>
    <w:rsid w:val="00D66001"/>
    <w:rsid w:val="00D66F5B"/>
    <w:rsid w:val="00D708B0"/>
    <w:rsid w:val="00D70FF2"/>
    <w:rsid w:val="00D72CAF"/>
    <w:rsid w:val="00D73D5F"/>
    <w:rsid w:val="00D74ACF"/>
    <w:rsid w:val="00D77486"/>
    <w:rsid w:val="00D7763F"/>
    <w:rsid w:val="00D82088"/>
    <w:rsid w:val="00D82486"/>
    <w:rsid w:val="00D83476"/>
    <w:rsid w:val="00D83B56"/>
    <w:rsid w:val="00D843A4"/>
    <w:rsid w:val="00D85265"/>
    <w:rsid w:val="00D859BD"/>
    <w:rsid w:val="00D86671"/>
    <w:rsid w:val="00D875AA"/>
    <w:rsid w:val="00D87D23"/>
    <w:rsid w:val="00D91576"/>
    <w:rsid w:val="00D917BC"/>
    <w:rsid w:val="00D9300E"/>
    <w:rsid w:val="00D93D55"/>
    <w:rsid w:val="00D955E1"/>
    <w:rsid w:val="00DA11F4"/>
    <w:rsid w:val="00DA12E9"/>
    <w:rsid w:val="00DA2465"/>
    <w:rsid w:val="00DA2BB8"/>
    <w:rsid w:val="00DA499A"/>
    <w:rsid w:val="00DA4E0C"/>
    <w:rsid w:val="00DA519E"/>
    <w:rsid w:val="00DA51F3"/>
    <w:rsid w:val="00DA54C7"/>
    <w:rsid w:val="00DA5B65"/>
    <w:rsid w:val="00DA6730"/>
    <w:rsid w:val="00DA7985"/>
    <w:rsid w:val="00DB3652"/>
    <w:rsid w:val="00DB4FC6"/>
    <w:rsid w:val="00DB58A2"/>
    <w:rsid w:val="00DB5F56"/>
    <w:rsid w:val="00DC05B5"/>
    <w:rsid w:val="00DC09D9"/>
    <w:rsid w:val="00DC0E45"/>
    <w:rsid w:val="00DC0F0C"/>
    <w:rsid w:val="00DC1880"/>
    <w:rsid w:val="00DC1B0A"/>
    <w:rsid w:val="00DC2991"/>
    <w:rsid w:val="00DC2CEB"/>
    <w:rsid w:val="00DC3654"/>
    <w:rsid w:val="00DC44F6"/>
    <w:rsid w:val="00DC45C4"/>
    <w:rsid w:val="00DC4A3B"/>
    <w:rsid w:val="00DC4A8B"/>
    <w:rsid w:val="00DC4F95"/>
    <w:rsid w:val="00DC5B7B"/>
    <w:rsid w:val="00DC693B"/>
    <w:rsid w:val="00DC7F7C"/>
    <w:rsid w:val="00DD030B"/>
    <w:rsid w:val="00DD0D2E"/>
    <w:rsid w:val="00DD0F7B"/>
    <w:rsid w:val="00DD12E0"/>
    <w:rsid w:val="00DD4767"/>
    <w:rsid w:val="00DD47AB"/>
    <w:rsid w:val="00DD4C5E"/>
    <w:rsid w:val="00DD61F3"/>
    <w:rsid w:val="00DD7870"/>
    <w:rsid w:val="00DE0CE0"/>
    <w:rsid w:val="00DE0F14"/>
    <w:rsid w:val="00DE158D"/>
    <w:rsid w:val="00DE1E8D"/>
    <w:rsid w:val="00DE2763"/>
    <w:rsid w:val="00DE28F6"/>
    <w:rsid w:val="00DE2A35"/>
    <w:rsid w:val="00DE41AD"/>
    <w:rsid w:val="00DE428E"/>
    <w:rsid w:val="00DE6C64"/>
    <w:rsid w:val="00DE7523"/>
    <w:rsid w:val="00DF0290"/>
    <w:rsid w:val="00DF054C"/>
    <w:rsid w:val="00DF068B"/>
    <w:rsid w:val="00DF1312"/>
    <w:rsid w:val="00DF1BEB"/>
    <w:rsid w:val="00DF3343"/>
    <w:rsid w:val="00DF458A"/>
    <w:rsid w:val="00DF5CB0"/>
    <w:rsid w:val="00DF68D9"/>
    <w:rsid w:val="00DF69B6"/>
    <w:rsid w:val="00E050A3"/>
    <w:rsid w:val="00E05C24"/>
    <w:rsid w:val="00E065F2"/>
    <w:rsid w:val="00E07675"/>
    <w:rsid w:val="00E118EC"/>
    <w:rsid w:val="00E132D6"/>
    <w:rsid w:val="00E161C4"/>
    <w:rsid w:val="00E165D6"/>
    <w:rsid w:val="00E16BDB"/>
    <w:rsid w:val="00E17088"/>
    <w:rsid w:val="00E21E1C"/>
    <w:rsid w:val="00E21F8E"/>
    <w:rsid w:val="00E226CB"/>
    <w:rsid w:val="00E22C98"/>
    <w:rsid w:val="00E22FE4"/>
    <w:rsid w:val="00E238D5"/>
    <w:rsid w:val="00E24191"/>
    <w:rsid w:val="00E30D7A"/>
    <w:rsid w:val="00E335A7"/>
    <w:rsid w:val="00E33B60"/>
    <w:rsid w:val="00E40D4B"/>
    <w:rsid w:val="00E40DBE"/>
    <w:rsid w:val="00E41135"/>
    <w:rsid w:val="00E431E5"/>
    <w:rsid w:val="00E43D92"/>
    <w:rsid w:val="00E43E02"/>
    <w:rsid w:val="00E4478D"/>
    <w:rsid w:val="00E50DA1"/>
    <w:rsid w:val="00E511A8"/>
    <w:rsid w:val="00E51A30"/>
    <w:rsid w:val="00E5274E"/>
    <w:rsid w:val="00E538AE"/>
    <w:rsid w:val="00E54990"/>
    <w:rsid w:val="00E54CD4"/>
    <w:rsid w:val="00E5571D"/>
    <w:rsid w:val="00E55C18"/>
    <w:rsid w:val="00E5608F"/>
    <w:rsid w:val="00E56773"/>
    <w:rsid w:val="00E57503"/>
    <w:rsid w:val="00E62A21"/>
    <w:rsid w:val="00E63E8D"/>
    <w:rsid w:val="00E66401"/>
    <w:rsid w:val="00E71277"/>
    <w:rsid w:val="00E71784"/>
    <w:rsid w:val="00E72302"/>
    <w:rsid w:val="00E73654"/>
    <w:rsid w:val="00E73F56"/>
    <w:rsid w:val="00E742E6"/>
    <w:rsid w:val="00E74559"/>
    <w:rsid w:val="00E74E37"/>
    <w:rsid w:val="00E74F94"/>
    <w:rsid w:val="00E75061"/>
    <w:rsid w:val="00E7708C"/>
    <w:rsid w:val="00E8186B"/>
    <w:rsid w:val="00E81E52"/>
    <w:rsid w:val="00E83594"/>
    <w:rsid w:val="00E835CF"/>
    <w:rsid w:val="00E83755"/>
    <w:rsid w:val="00E841FD"/>
    <w:rsid w:val="00E84858"/>
    <w:rsid w:val="00E84A44"/>
    <w:rsid w:val="00E84CAE"/>
    <w:rsid w:val="00E84CC1"/>
    <w:rsid w:val="00E861A6"/>
    <w:rsid w:val="00E868D3"/>
    <w:rsid w:val="00E879B3"/>
    <w:rsid w:val="00E91D71"/>
    <w:rsid w:val="00E92819"/>
    <w:rsid w:val="00E93142"/>
    <w:rsid w:val="00E9353E"/>
    <w:rsid w:val="00E93FFE"/>
    <w:rsid w:val="00E9478D"/>
    <w:rsid w:val="00E94CC9"/>
    <w:rsid w:val="00E96565"/>
    <w:rsid w:val="00E96E63"/>
    <w:rsid w:val="00EA019A"/>
    <w:rsid w:val="00EA181F"/>
    <w:rsid w:val="00EA1C02"/>
    <w:rsid w:val="00EA2B41"/>
    <w:rsid w:val="00EA3958"/>
    <w:rsid w:val="00EA4958"/>
    <w:rsid w:val="00EA615A"/>
    <w:rsid w:val="00EA64EE"/>
    <w:rsid w:val="00EA6EE6"/>
    <w:rsid w:val="00EB0702"/>
    <w:rsid w:val="00EB0AD4"/>
    <w:rsid w:val="00EB0FCC"/>
    <w:rsid w:val="00EB108F"/>
    <w:rsid w:val="00EB462B"/>
    <w:rsid w:val="00EB4845"/>
    <w:rsid w:val="00EB4E04"/>
    <w:rsid w:val="00EB4EF9"/>
    <w:rsid w:val="00EB6650"/>
    <w:rsid w:val="00EB7261"/>
    <w:rsid w:val="00EB7371"/>
    <w:rsid w:val="00EC0168"/>
    <w:rsid w:val="00EC0685"/>
    <w:rsid w:val="00EC1527"/>
    <w:rsid w:val="00EC19F9"/>
    <w:rsid w:val="00EC1A45"/>
    <w:rsid w:val="00EC1ADC"/>
    <w:rsid w:val="00EC25D2"/>
    <w:rsid w:val="00EC2E42"/>
    <w:rsid w:val="00EC4883"/>
    <w:rsid w:val="00EC631F"/>
    <w:rsid w:val="00EC7C1B"/>
    <w:rsid w:val="00ED12F4"/>
    <w:rsid w:val="00ED1738"/>
    <w:rsid w:val="00ED3459"/>
    <w:rsid w:val="00ED34EF"/>
    <w:rsid w:val="00ED4B27"/>
    <w:rsid w:val="00ED4C52"/>
    <w:rsid w:val="00ED7143"/>
    <w:rsid w:val="00ED7188"/>
    <w:rsid w:val="00ED7481"/>
    <w:rsid w:val="00EE1483"/>
    <w:rsid w:val="00EE278D"/>
    <w:rsid w:val="00EE44F5"/>
    <w:rsid w:val="00EE453E"/>
    <w:rsid w:val="00EE6423"/>
    <w:rsid w:val="00EE6880"/>
    <w:rsid w:val="00EF0984"/>
    <w:rsid w:val="00EF14F7"/>
    <w:rsid w:val="00EF2507"/>
    <w:rsid w:val="00EF26CF"/>
    <w:rsid w:val="00EF30D2"/>
    <w:rsid w:val="00EF37B8"/>
    <w:rsid w:val="00EF37F3"/>
    <w:rsid w:val="00EF40BD"/>
    <w:rsid w:val="00EF43BE"/>
    <w:rsid w:val="00EF4D0F"/>
    <w:rsid w:val="00EF7AC9"/>
    <w:rsid w:val="00F00873"/>
    <w:rsid w:val="00F00E8D"/>
    <w:rsid w:val="00F01DEF"/>
    <w:rsid w:val="00F02CCB"/>
    <w:rsid w:val="00F04EC2"/>
    <w:rsid w:val="00F05231"/>
    <w:rsid w:val="00F05592"/>
    <w:rsid w:val="00F05F08"/>
    <w:rsid w:val="00F079FC"/>
    <w:rsid w:val="00F07E11"/>
    <w:rsid w:val="00F106AD"/>
    <w:rsid w:val="00F13484"/>
    <w:rsid w:val="00F140BC"/>
    <w:rsid w:val="00F155FE"/>
    <w:rsid w:val="00F16377"/>
    <w:rsid w:val="00F164C2"/>
    <w:rsid w:val="00F20062"/>
    <w:rsid w:val="00F21C11"/>
    <w:rsid w:val="00F242B9"/>
    <w:rsid w:val="00F24CEC"/>
    <w:rsid w:val="00F3024E"/>
    <w:rsid w:val="00F30334"/>
    <w:rsid w:val="00F30AF3"/>
    <w:rsid w:val="00F3235F"/>
    <w:rsid w:val="00F342CC"/>
    <w:rsid w:val="00F346A8"/>
    <w:rsid w:val="00F36FD8"/>
    <w:rsid w:val="00F3735D"/>
    <w:rsid w:val="00F40DF4"/>
    <w:rsid w:val="00F41F4F"/>
    <w:rsid w:val="00F4224C"/>
    <w:rsid w:val="00F42DCE"/>
    <w:rsid w:val="00F44CE5"/>
    <w:rsid w:val="00F46FBE"/>
    <w:rsid w:val="00F50D1C"/>
    <w:rsid w:val="00F51830"/>
    <w:rsid w:val="00F5248A"/>
    <w:rsid w:val="00F524F6"/>
    <w:rsid w:val="00F52893"/>
    <w:rsid w:val="00F52F59"/>
    <w:rsid w:val="00F53090"/>
    <w:rsid w:val="00F53218"/>
    <w:rsid w:val="00F538F1"/>
    <w:rsid w:val="00F53AC4"/>
    <w:rsid w:val="00F53D53"/>
    <w:rsid w:val="00F541F9"/>
    <w:rsid w:val="00F561FE"/>
    <w:rsid w:val="00F571A2"/>
    <w:rsid w:val="00F5774C"/>
    <w:rsid w:val="00F5774E"/>
    <w:rsid w:val="00F57E19"/>
    <w:rsid w:val="00F60CB7"/>
    <w:rsid w:val="00F63B74"/>
    <w:rsid w:val="00F63C1E"/>
    <w:rsid w:val="00F63E10"/>
    <w:rsid w:val="00F640A5"/>
    <w:rsid w:val="00F6623B"/>
    <w:rsid w:val="00F67DE6"/>
    <w:rsid w:val="00F70157"/>
    <w:rsid w:val="00F70777"/>
    <w:rsid w:val="00F70D93"/>
    <w:rsid w:val="00F71CD4"/>
    <w:rsid w:val="00F72810"/>
    <w:rsid w:val="00F7549B"/>
    <w:rsid w:val="00F75A21"/>
    <w:rsid w:val="00F76480"/>
    <w:rsid w:val="00F77B11"/>
    <w:rsid w:val="00F8127E"/>
    <w:rsid w:val="00F81704"/>
    <w:rsid w:val="00F8193F"/>
    <w:rsid w:val="00F81C42"/>
    <w:rsid w:val="00F82E99"/>
    <w:rsid w:val="00F833D1"/>
    <w:rsid w:val="00F84BF3"/>
    <w:rsid w:val="00F855A8"/>
    <w:rsid w:val="00F85655"/>
    <w:rsid w:val="00F85C17"/>
    <w:rsid w:val="00F87213"/>
    <w:rsid w:val="00F91DBD"/>
    <w:rsid w:val="00F91EC4"/>
    <w:rsid w:val="00F91ECB"/>
    <w:rsid w:val="00F923C0"/>
    <w:rsid w:val="00F92A02"/>
    <w:rsid w:val="00F9573A"/>
    <w:rsid w:val="00F967F0"/>
    <w:rsid w:val="00FA052C"/>
    <w:rsid w:val="00FA0979"/>
    <w:rsid w:val="00FA1834"/>
    <w:rsid w:val="00FA2088"/>
    <w:rsid w:val="00FA35D8"/>
    <w:rsid w:val="00FA3C6F"/>
    <w:rsid w:val="00FA4CCC"/>
    <w:rsid w:val="00FB0647"/>
    <w:rsid w:val="00FB2D64"/>
    <w:rsid w:val="00FB4880"/>
    <w:rsid w:val="00FB67FB"/>
    <w:rsid w:val="00FC15F5"/>
    <w:rsid w:val="00FC198A"/>
    <w:rsid w:val="00FC22C5"/>
    <w:rsid w:val="00FC272E"/>
    <w:rsid w:val="00FC34A4"/>
    <w:rsid w:val="00FC4E26"/>
    <w:rsid w:val="00FC5313"/>
    <w:rsid w:val="00FC59B1"/>
    <w:rsid w:val="00FC5AB8"/>
    <w:rsid w:val="00FC5C5C"/>
    <w:rsid w:val="00FC71ED"/>
    <w:rsid w:val="00FC75DC"/>
    <w:rsid w:val="00FC7939"/>
    <w:rsid w:val="00FD00D8"/>
    <w:rsid w:val="00FD1BAE"/>
    <w:rsid w:val="00FD2ABB"/>
    <w:rsid w:val="00FD3B6C"/>
    <w:rsid w:val="00FD41E6"/>
    <w:rsid w:val="00FD4C43"/>
    <w:rsid w:val="00FD4EB8"/>
    <w:rsid w:val="00FD58A1"/>
    <w:rsid w:val="00FD70CB"/>
    <w:rsid w:val="00FE3472"/>
    <w:rsid w:val="00FE69DB"/>
    <w:rsid w:val="00FE73F7"/>
    <w:rsid w:val="00FE7778"/>
    <w:rsid w:val="00FE7E43"/>
    <w:rsid w:val="00FF0331"/>
    <w:rsid w:val="00FF1255"/>
    <w:rsid w:val="00FF1369"/>
    <w:rsid w:val="00FF2486"/>
    <w:rsid w:val="00FF2692"/>
    <w:rsid w:val="00FF58AA"/>
    <w:rsid w:val="00FF61B3"/>
    <w:rsid w:val="00FF6CDC"/>
    <w:rsid w:val="00FF7C2D"/>
    <w:rsid w:val="0109B97F"/>
    <w:rsid w:val="016DACA5"/>
    <w:rsid w:val="0274D570"/>
    <w:rsid w:val="0331D6B6"/>
    <w:rsid w:val="0342F9C5"/>
    <w:rsid w:val="03801F66"/>
    <w:rsid w:val="048E1ABE"/>
    <w:rsid w:val="04BFDE26"/>
    <w:rsid w:val="05BE036B"/>
    <w:rsid w:val="064AF799"/>
    <w:rsid w:val="06A04849"/>
    <w:rsid w:val="08B97179"/>
    <w:rsid w:val="08CF7C82"/>
    <w:rsid w:val="0912DC59"/>
    <w:rsid w:val="092FDB9D"/>
    <w:rsid w:val="09E921B8"/>
    <w:rsid w:val="0A282803"/>
    <w:rsid w:val="0AADBE44"/>
    <w:rsid w:val="0AC3BE78"/>
    <w:rsid w:val="0AEB0076"/>
    <w:rsid w:val="0B836857"/>
    <w:rsid w:val="0BB21D00"/>
    <w:rsid w:val="0BDD744E"/>
    <w:rsid w:val="0C5321DC"/>
    <w:rsid w:val="0CCB179E"/>
    <w:rsid w:val="0D639B5A"/>
    <w:rsid w:val="0E0954F5"/>
    <w:rsid w:val="0E93E729"/>
    <w:rsid w:val="0EA7CC64"/>
    <w:rsid w:val="0F616FD4"/>
    <w:rsid w:val="0F8099C9"/>
    <w:rsid w:val="10CC5E5A"/>
    <w:rsid w:val="10D4A183"/>
    <w:rsid w:val="1128221F"/>
    <w:rsid w:val="11474839"/>
    <w:rsid w:val="115264B2"/>
    <w:rsid w:val="115CA234"/>
    <w:rsid w:val="1197EA39"/>
    <w:rsid w:val="11CC156B"/>
    <w:rsid w:val="128357F4"/>
    <w:rsid w:val="12891B09"/>
    <w:rsid w:val="12E9F1DF"/>
    <w:rsid w:val="12FBFE11"/>
    <w:rsid w:val="138DEB4D"/>
    <w:rsid w:val="13A53FE9"/>
    <w:rsid w:val="1406D334"/>
    <w:rsid w:val="144CA53D"/>
    <w:rsid w:val="14AD70E0"/>
    <w:rsid w:val="1581BD7A"/>
    <w:rsid w:val="168566CA"/>
    <w:rsid w:val="179DC2C0"/>
    <w:rsid w:val="179F2CF3"/>
    <w:rsid w:val="191CCB23"/>
    <w:rsid w:val="19439FFA"/>
    <w:rsid w:val="1945FF67"/>
    <w:rsid w:val="194CD030"/>
    <w:rsid w:val="19982012"/>
    <w:rsid w:val="19D99057"/>
    <w:rsid w:val="1A17914A"/>
    <w:rsid w:val="1B2B9964"/>
    <w:rsid w:val="1B432A85"/>
    <w:rsid w:val="1B44EC3F"/>
    <w:rsid w:val="1B48373F"/>
    <w:rsid w:val="1C60C648"/>
    <w:rsid w:val="1D3E50EE"/>
    <w:rsid w:val="1DBD0059"/>
    <w:rsid w:val="1DBDACF7"/>
    <w:rsid w:val="1EA0600D"/>
    <w:rsid w:val="1EC60772"/>
    <w:rsid w:val="1ECAD6DC"/>
    <w:rsid w:val="1EFC16F2"/>
    <w:rsid w:val="1F0BF436"/>
    <w:rsid w:val="21E6A59F"/>
    <w:rsid w:val="222781B8"/>
    <w:rsid w:val="2284CE73"/>
    <w:rsid w:val="22C00C58"/>
    <w:rsid w:val="2308D381"/>
    <w:rsid w:val="23827600"/>
    <w:rsid w:val="2385E598"/>
    <w:rsid w:val="238EC950"/>
    <w:rsid w:val="244E62C3"/>
    <w:rsid w:val="249F51C5"/>
    <w:rsid w:val="25311DE1"/>
    <w:rsid w:val="26FA543F"/>
    <w:rsid w:val="27407011"/>
    <w:rsid w:val="275B7F9C"/>
    <w:rsid w:val="279C283E"/>
    <w:rsid w:val="27DA6A15"/>
    <w:rsid w:val="2824A974"/>
    <w:rsid w:val="287CFFAC"/>
    <w:rsid w:val="29153279"/>
    <w:rsid w:val="29D88F27"/>
    <w:rsid w:val="2A26B1E0"/>
    <w:rsid w:val="2A3BED6F"/>
    <w:rsid w:val="2A4296AE"/>
    <w:rsid w:val="2AB2C5BD"/>
    <w:rsid w:val="2AD0BD84"/>
    <w:rsid w:val="2B379FD1"/>
    <w:rsid w:val="2BCE83C6"/>
    <w:rsid w:val="2C785C12"/>
    <w:rsid w:val="2CC3839D"/>
    <w:rsid w:val="2E166BF7"/>
    <w:rsid w:val="2E3CC288"/>
    <w:rsid w:val="2E406736"/>
    <w:rsid w:val="2EE7B5AB"/>
    <w:rsid w:val="2FB23C58"/>
    <w:rsid w:val="308F5A8D"/>
    <w:rsid w:val="3112A869"/>
    <w:rsid w:val="3178BD4A"/>
    <w:rsid w:val="31DAB1E1"/>
    <w:rsid w:val="325FC386"/>
    <w:rsid w:val="32D04244"/>
    <w:rsid w:val="3339542A"/>
    <w:rsid w:val="335F9D31"/>
    <w:rsid w:val="337B591E"/>
    <w:rsid w:val="33CBAA2C"/>
    <w:rsid w:val="33D1E615"/>
    <w:rsid w:val="33E170A7"/>
    <w:rsid w:val="33E9D968"/>
    <w:rsid w:val="33FB18FA"/>
    <w:rsid w:val="3487F53F"/>
    <w:rsid w:val="3492C7CF"/>
    <w:rsid w:val="34E005CC"/>
    <w:rsid w:val="34F392E7"/>
    <w:rsid w:val="34F7C22C"/>
    <w:rsid w:val="35445EBB"/>
    <w:rsid w:val="36296B62"/>
    <w:rsid w:val="3671ACEC"/>
    <w:rsid w:val="368B211E"/>
    <w:rsid w:val="36D42339"/>
    <w:rsid w:val="36E25C53"/>
    <w:rsid w:val="3798D9C7"/>
    <w:rsid w:val="3827B28E"/>
    <w:rsid w:val="38380589"/>
    <w:rsid w:val="3843CD3E"/>
    <w:rsid w:val="3876117D"/>
    <w:rsid w:val="3879F064"/>
    <w:rsid w:val="39079F45"/>
    <w:rsid w:val="39627782"/>
    <w:rsid w:val="3AEF9D06"/>
    <w:rsid w:val="3B016553"/>
    <w:rsid w:val="3BBF7DAE"/>
    <w:rsid w:val="3C6AB3DE"/>
    <w:rsid w:val="3CA0DE71"/>
    <w:rsid w:val="3CA9E7BD"/>
    <w:rsid w:val="3CD403E4"/>
    <w:rsid w:val="3D15CBFF"/>
    <w:rsid w:val="3D291324"/>
    <w:rsid w:val="3E72AA27"/>
    <w:rsid w:val="3E7E7161"/>
    <w:rsid w:val="3F5A9DA0"/>
    <w:rsid w:val="3FD58A6A"/>
    <w:rsid w:val="403CFB44"/>
    <w:rsid w:val="410BC75A"/>
    <w:rsid w:val="41262BA6"/>
    <w:rsid w:val="41643083"/>
    <w:rsid w:val="416C1E09"/>
    <w:rsid w:val="4186B1C4"/>
    <w:rsid w:val="41B77CAC"/>
    <w:rsid w:val="421E2CD9"/>
    <w:rsid w:val="43145002"/>
    <w:rsid w:val="4318842F"/>
    <w:rsid w:val="436ED1FA"/>
    <w:rsid w:val="43ADD958"/>
    <w:rsid w:val="4496D754"/>
    <w:rsid w:val="44A032C7"/>
    <w:rsid w:val="44A52A29"/>
    <w:rsid w:val="45866A8B"/>
    <w:rsid w:val="45BEE384"/>
    <w:rsid w:val="45DF9429"/>
    <w:rsid w:val="466521C9"/>
    <w:rsid w:val="468602F6"/>
    <w:rsid w:val="46C89D03"/>
    <w:rsid w:val="47840730"/>
    <w:rsid w:val="47A82546"/>
    <w:rsid w:val="47E4D2D3"/>
    <w:rsid w:val="480D0E11"/>
    <w:rsid w:val="481AF4A3"/>
    <w:rsid w:val="48E9FF86"/>
    <w:rsid w:val="4AAC7FAA"/>
    <w:rsid w:val="4AFF2C86"/>
    <w:rsid w:val="4B136A76"/>
    <w:rsid w:val="4B1C9D24"/>
    <w:rsid w:val="4BBCFA4D"/>
    <w:rsid w:val="4BBF9A8F"/>
    <w:rsid w:val="4C003A40"/>
    <w:rsid w:val="4C0CEF5D"/>
    <w:rsid w:val="4C7B3388"/>
    <w:rsid w:val="4CAED0B0"/>
    <w:rsid w:val="4CDCA2E5"/>
    <w:rsid w:val="4D0E7279"/>
    <w:rsid w:val="4DCAF11E"/>
    <w:rsid w:val="4DD706DE"/>
    <w:rsid w:val="4DEA6D82"/>
    <w:rsid w:val="4E3DF21E"/>
    <w:rsid w:val="4E4B5AE0"/>
    <w:rsid w:val="4E7C7EAF"/>
    <w:rsid w:val="4EC59ED9"/>
    <w:rsid w:val="4ED47B94"/>
    <w:rsid w:val="4F1D4E21"/>
    <w:rsid w:val="4F3E437F"/>
    <w:rsid w:val="4F838FF5"/>
    <w:rsid w:val="4FFB52EE"/>
    <w:rsid w:val="5014CFE3"/>
    <w:rsid w:val="5158B130"/>
    <w:rsid w:val="52376B9F"/>
    <w:rsid w:val="53391E83"/>
    <w:rsid w:val="5358CF41"/>
    <w:rsid w:val="53B5C1BF"/>
    <w:rsid w:val="5431D849"/>
    <w:rsid w:val="5451E5A7"/>
    <w:rsid w:val="54E40AFF"/>
    <w:rsid w:val="55486E2D"/>
    <w:rsid w:val="57E6E9FF"/>
    <w:rsid w:val="580E3510"/>
    <w:rsid w:val="584E4498"/>
    <w:rsid w:val="58A60DCA"/>
    <w:rsid w:val="5ABC5A51"/>
    <w:rsid w:val="5AFBC56F"/>
    <w:rsid w:val="5C8F3F6F"/>
    <w:rsid w:val="5C9243B3"/>
    <w:rsid w:val="5CA23599"/>
    <w:rsid w:val="5CD2E764"/>
    <w:rsid w:val="5D563C09"/>
    <w:rsid w:val="5D65D791"/>
    <w:rsid w:val="5EAB1AEA"/>
    <w:rsid w:val="5EEB682E"/>
    <w:rsid w:val="5F3B5F71"/>
    <w:rsid w:val="60197D7D"/>
    <w:rsid w:val="60D72FD2"/>
    <w:rsid w:val="60F1C38D"/>
    <w:rsid w:val="61C3053F"/>
    <w:rsid w:val="61FE657D"/>
    <w:rsid w:val="624D42DA"/>
    <w:rsid w:val="6259D7D6"/>
    <w:rsid w:val="628F2F82"/>
    <w:rsid w:val="62C7A2BE"/>
    <w:rsid w:val="62DE0A30"/>
    <w:rsid w:val="63191563"/>
    <w:rsid w:val="631CC854"/>
    <w:rsid w:val="633A4974"/>
    <w:rsid w:val="64778904"/>
    <w:rsid w:val="647B4886"/>
    <w:rsid w:val="64C4D670"/>
    <w:rsid w:val="6543FC01"/>
    <w:rsid w:val="65A263E6"/>
    <w:rsid w:val="65B92A31"/>
    <w:rsid w:val="669070EA"/>
    <w:rsid w:val="66F6D9EB"/>
    <w:rsid w:val="671D2BA8"/>
    <w:rsid w:val="6779B99A"/>
    <w:rsid w:val="678818E1"/>
    <w:rsid w:val="67CD4B62"/>
    <w:rsid w:val="681DC095"/>
    <w:rsid w:val="68CD3C43"/>
    <w:rsid w:val="6967BFED"/>
    <w:rsid w:val="69AD619B"/>
    <w:rsid w:val="6B3765F0"/>
    <w:rsid w:val="6B912B93"/>
    <w:rsid w:val="6BF0AF43"/>
    <w:rsid w:val="6C7A71A2"/>
    <w:rsid w:val="6CF47D0F"/>
    <w:rsid w:val="6D3038FE"/>
    <w:rsid w:val="6D566793"/>
    <w:rsid w:val="6D5D704F"/>
    <w:rsid w:val="6D882BF9"/>
    <w:rsid w:val="6DB35F08"/>
    <w:rsid w:val="6DDFF52B"/>
    <w:rsid w:val="6E14BFD2"/>
    <w:rsid w:val="6EFA8D4D"/>
    <w:rsid w:val="6F5ADC1F"/>
    <w:rsid w:val="701C562E"/>
    <w:rsid w:val="70CB25BE"/>
    <w:rsid w:val="70ECBE16"/>
    <w:rsid w:val="70F6AC80"/>
    <w:rsid w:val="7141BBD0"/>
    <w:rsid w:val="717B5D9A"/>
    <w:rsid w:val="725D8285"/>
    <w:rsid w:val="725EC0C9"/>
    <w:rsid w:val="72F01ACA"/>
    <w:rsid w:val="7315B106"/>
    <w:rsid w:val="7350CA2F"/>
    <w:rsid w:val="739C4441"/>
    <w:rsid w:val="74D65DE3"/>
    <w:rsid w:val="74DB5932"/>
    <w:rsid w:val="75308E2B"/>
    <w:rsid w:val="758B2D93"/>
    <w:rsid w:val="7596618B"/>
    <w:rsid w:val="7643FCAE"/>
    <w:rsid w:val="7661328B"/>
    <w:rsid w:val="768B8F91"/>
    <w:rsid w:val="76DEB4D9"/>
    <w:rsid w:val="77585173"/>
    <w:rsid w:val="7793272C"/>
    <w:rsid w:val="77ED131E"/>
    <w:rsid w:val="790B3702"/>
    <w:rsid w:val="799E75F3"/>
    <w:rsid w:val="7B7CEA19"/>
    <w:rsid w:val="7BBC2FEA"/>
    <w:rsid w:val="7C5597D6"/>
    <w:rsid w:val="7D1F922C"/>
    <w:rsid w:val="7D51DABE"/>
    <w:rsid w:val="7E72B054"/>
    <w:rsid w:val="7E95D46B"/>
    <w:rsid w:val="7F6CC10E"/>
    <w:rsid w:val="7F8D5949"/>
    <w:rsid w:val="7F982825"/>
    <w:rsid w:val="7FCDB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901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439C4"/>
    <w:pPr>
      <w:numPr>
        <w:numId w:val="2"/>
      </w:numPr>
    </w:pPr>
    <w:rPr>
      <w:rFonts w:eastAsia="Times New Roman"/>
      <w:lang w:eastAsia="de-DE"/>
    </w:rPr>
  </w:style>
  <w:style w:type="paragraph" w:styleId="ListNumber">
    <w:name w:val="List Number"/>
    <w:basedOn w:val="Normal"/>
    <w:rsid w:val="009439C4"/>
    <w:pPr>
      <w:numPr>
        <w:numId w:val="27"/>
      </w:numPr>
    </w:pPr>
    <w:rPr>
      <w:rFonts w:eastAsia="Times New Roman"/>
      <w:lang w:eastAsia="de-DE"/>
    </w:rPr>
  </w:style>
  <w:style w:type="paragraph" w:customStyle="1" w:styleId="ListBullet1">
    <w:name w:val="List Bullet 1"/>
    <w:basedOn w:val="Normal"/>
    <w:rsid w:val="009439C4"/>
    <w:pPr>
      <w:numPr>
        <w:numId w:val="1"/>
      </w:numPr>
    </w:pPr>
    <w:rPr>
      <w:rFonts w:eastAsia="Times New Roman"/>
      <w:lang w:eastAsia="de-DE"/>
    </w:rPr>
  </w:style>
  <w:style w:type="paragraph" w:customStyle="1" w:styleId="ListDash">
    <w:name w:val="List Dash"/>
    <w:basedOn w:val="Normal"/>
    <w:rsid w:val="009439C4"/>
    <w:pPr>
      <w:numPr>
        <w:numId w:val="3"/>
      </w:numPr>
    </w:pPr>
    <w:rPr>
      <w:rFonts w:eastAsia="Times New Roman"/>
      <w:lang w:eastAsia="de-DE"/>
    </w:rPr>
  </w:style>
  <w:style w:type="paragraph" w:customStyle="1" w:styleId="ListDash1">
    <w:name w:val="List Dash 1"/>
    <w:basedOn w:val="Normal"/>
    <w:rsid w:val="009439C4"/>
    <w:pPr>
      <w:numPr>
        <w:numId w:val="4"/>
      </w:numPr>
    </w:pPr>
    <w:rPr>
      <w:rFonts w:eastAsia="Times New Roman"/>
      <w:lang w:eastAsia="de-DE"/>
    </w:rPr>
  </w:style>
  <w:style w:type="paragraph" w:customStyle="1" w:styleId="ListDash2">
    <w:name w:val="List Dash 2"/>
    <w:basedOn w:val="Normal"/>
    <w:rsid w:val="009439C4"/>
    <w:pPr>
      <w:numPr>
        <w:numId w:val="5"/>
      </w:numPr>
    </w:pPr>
    <w:rPr>
      <w:rFonts w:eastAsia="Times New Roman"/>
      <w:lang w:eastAsia="de-DE"/>
    </w:rPr>
  </w:style>
  <w:style w:type="paragraph" w:customStyle="1" w:styleId="ListNumberLevel2">
    <w:name w:val="List Number (Level 2)"/>
    <w:basedOn w:val="Normal"/>
    <w:rsid w:val="009439C4"/>
    <w:pPr>
      <w:numPr>
        <w:ilvl w:val="1"/>
        <w:numId w:val="27"/>
      </w:numPr>
    </w:pPr>
    <w:rPr>
      <w:rFonts w:eastAsia="Times New Roman"/>
      <w:lang w:eastAsia="de-DE"/>
    </w:rPr>
  </w:style>
  <w:style w:type="paragraph" w:customStyle="1" w:styleId="ListNumberLevel3">
    <w:name w:val="List Number (Level 3)"/>
    <w:basedOn w:val="Normal"/>
    <w:rsid w:val="009439C4"/>
    <w:pPr>
      <w:numPr>
        <w:ilvl w:val="2"/>
        <w:numId w:val="27"/>
      </w:numPr>
    </w:pPr>
    <w:rPr>
      <w:rFonts w:eastAsia="Times New Roman"/>
      <w:lang w:eastAsia="de-DE"/>
    </w:rPr>
  </w:style>
  <w:style w:type="paragraph" w:customStyle="1" w:styleId="ListNumberLevel4">
    <w:name w:val="List Number (Level 4)"/>
    <w:basedOn w:val="Normal"/>
    <w:rsid w:val="009439C4"/>
    <w:pPr>
      <w:numPr>
        <w:ilvl w:val="3"/>
        <w:numId w:val="27"/>
      </w:numPr>
    </w:pPr>
    <w:rPr>
      <w:rFonts w:eastAsia="Times New Roman"/>
      <w:lang w:eastAsia="de-DE"/>
    </w:rPr>
  </w:style>
  <w:style w:type="table" w:styleId="TableGrid">
    <w:name w:val="Table Grid"/>
    <w:aliases w:val="Document Table,CV1,Gena,Tabellengitternetz,Deloitte,HTG"/>
    <w:basedOn w:val="TableNormal"/>
    <w:rsid w:val="009439C4"/>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439C4"/>
    <w:rPr>
      <w:color w:val="0000FF"/>
      <w:u w:val="single"/>
    </w:rPr>
  </w:style>
  <w:style w:type="paragraph" w:styleId="ListBullet">
    <w:name w:val="List Bullet"/>
    <w:basedOn w:val="Normal"/>
    <w:rsid w:val="009439C4"/>
    <w:pPr>
      <w:numPr>
        <w:numId w:val="6"/>
      </w:numPr>
    </w:pPr>
    <w:rPr>
      <w:rFonts w:eastAsia="Times New Roman"/>
      <w:lang w:val="fr-FR" w:eastAsia="en-GB"/>
    </w:rPr>
  </w:style>
  <w:style w:type="paragraph" w:styleId="ListBullet2">
    <w:name w:val="List Bullet 2"/>
    <w:basedOn w:val="Normal"/>
    <w:rsid w:val="009439C4"/>
    <w:pPr>
      <w:numPr>
        <w:numId w:val="7"/>
      </w:numPr>
    </w:pPr>
    <w:rPr>
      <w:rFonts w:eastAsia="Times New Roman"/>
      <w:lang w:val="fr-FR" w:eastAsia="en-GB"/>
    </w:rPr>
  </w:style>
  <w:style w:type="paragraph" w:styleId="ListBullet3">
    <w:name w:val="List Bullet 3"/>
    <w:basedOn w:val="Normal"/>
    <w:rsid w:val="009439C4"/>
    <w:pPr>
      <w:numPr>
        <w:numId w:val="8"/>
      </w:numPr>
    </w:pPr>
    <w:rPr>
      <w:rFonts w:eastAsia="Times New Roman"/>
      <w:lang w:val="fr-FR" w:eastAsia="en-GB"/>
    </w:rPr>
  </w:style>
  <w:style w:type="paragraph" w:styleId="ListNumber2">
    <w:name w:val="List Number 2"/>
    <w:basedOn w:val="Normal"/>
    <w:rsid w:val="009439C4"/>
    <w:pPr>
      <w:numPr>
        <w:numId w:val="11"/>
      </w:numPr>
    </w:pPr>
    <w:rPr>
      <w:rFonts w:eastAsia="Times New Roman"/>
      <w:lang w:val="fr-FR" w:eastAsia="en-GB"/>
    </w:rPr>
  </w:style>
  <w:style w:type="paragraph" w:styleId="ListNumber3">
    <w:name w:val="List Number 3"/>
    <w:basedOn w:val="Normal"/>
    <w:rsid w:val="009439C4"/>
    <w:pPr>
      <w:numPr>
        <w:numId w:val="12"/>
      </w:numPr>
    </w:pPr>
    <w:rPr>
      <w:rFonts w:eastAsia="Times New Roman"/>
      <w:lang w:val="fr-FR" w:eastAsia="en-GB"/>
    </w:rPr>
  </w:style>
  <w:style w:type="paragraph" w:styleId="ListNumber4">
    <w:name w:val="List Number 4"/>
    <w:basedOn w:val="Normal"/>
    <w:rsid w:val="009439C4"/>
    <w:pPr>
      <w:numPr>
        <w:numId w:val="13"/>
      </w:numPr>
    </w:pPr>
    <w:rPr>
      <w:rFonts w:eastAsia="Times New Roman"/>
      <w:lang w:val="fr-FR" w:eastAsia="en-GB"/>
    </w:rPr>
  </w:style>
  <w:style w:type="paragraph" w:customStyle="1" w:styleId="ListDash3">
    <w:name w:val="List Dash 3"/>
    <w:basedOn w:val="Normal"/>
    <w:rsid w:val="009439C4"/>
    <w:pPr>
      <w:tabs>
        <w:tab w:val="num" w:pos="1134"/>
      </w:tabs>
      <w:ind w:left="1134" w:hanging="283"/>
    </w:pPr>
    <w:rPr>
      <w:rFonts w:eastAsia="Times New Roman"/>
      <w:lang w:val="fr-FR" w:eastAsia="en-GB"/>
    </w:rPr>
  </w:style>
  <w:style w:type="paragraph" w:customStyle="1" w:styleId="ListDash4">
    <w:name w:val="List Dash 4"/>
    <w:basedOn w:val="Normal"/>
    <w:rsid w:val="009439C4"/>
    <w:pPr>
      <w:numPr>
        <w:numId w:val="9"/>
      </w:numPr>
    </w:pPr>
    <w:rPr>
      <w:rFonts w:eastAsia="Times New Roman"/>
      <w:lang w:val="fr-FR" w:eastAsia="en-GB"/>
    </w:rPr>
  </w:style>
  <w:style w:type="paragraph" w:customStyle="1" w:styleId="ListNumber1">
    <w:name w:val="List Number 1"/>
    <w:basedOn w:val="Text1"/>
    <w:rsid w:val="009439C4"/>
    <w:pPr>
      <w:numPr>
        <w:numId w:val="10"/>
      </w:numPr>
    </w:pPr>
    <w:rPr>
      <w:rFonts w:eastAsia="Times New Roman"/>
      <w:lang w:val="fr-FR" w:eastAsia="en-GB"/>
    </w:rPr>
  </w:style>
  <w:style w:type="paragraph" w:customStyle="1" w:styleId="ListNumber1Level2">
    <w:name w:val="List Number 1 (Level 2)"/>
    <w:basedOn w:val="Text1"/>
    <w:rsid w:val="009439C4"/>
    <w:pPr>
      <w:numPr>
        <w:ilvl w:val="1"/>
        <w:numId w:val="10"/>
      </w:numPr>
    </w:pPr>
    <w:rPr>
      <w:rFonts w:eastAsia="Times New Roman"/>
      <w:lang w:val="fr-FR" w:eastAsia="en-GB"/>
    </w:rPr>
  </w:style>
  <w:style w:type="paragraph" w:customStyle="1" w:styleId="ListNumber2Level2">
    <w:name w:val="List Number 2 (Level 2)"/>
    <w:basedOn w:val="Text2"/>
    <w:rsid w:val="009439C4"/>
    <w:pPr>
      <w:numPr>
        <w:ilvl w:val="1"/>
        <w:numId w:val="11"/>
      </w:numPr>
    </w:pPr>
    <w:rPr>
      <w:rFonts w:eastAsia="Times New Roman"/>
      <w:lang w:val="fr-FR" w:eastAsia="en-GB"/>
    </w:rPr>
  </w:style>
  <w:style w:type="paragraph" w:customStyle="1" w:styleId="ListNumber3Level2">
    <w:name w:val="List Number 3 (Level 2)"/>
    <w:basedOn w:val="Text3"/>
    <w:rsid w:val="009439C4"/>
    <w:pPr>
      <w:numPr>
        <w:ilvl w:val="1"/>
        <w:numId w:val="12"/>
      </w:numPr>
    </w:pPr>
    <w:rPr>
      <w:rFonts w:eastAsia="Times New Roman"/>
      <w:lang w:val="fr-FR" w:eastAsia="en-GB"/>
    </w:rPr>
  </w:style>
  <w:style w:type="paragraph" w:customStyle="1" w:styleId="ListNumber4Level2">
    <w:name w:val="List Number 4 (Level 2)"/>
    <w:basedOn w:val="Text4"/>
    <w:rsid w:val="009439C4"/>
    <w:pPr>
      <w:numPr>
        <w:ilvl w:val="1"/>
        <w:numId w:val="13"/>
      </w:numPr>
    </w:pPr>
    <w:rPr>
      <w:rFonts w:eastAsia="Times New Roman"/>
      <w:lang w:val="fr-FR" w:eastAsia="en-GB"/>
    </w:rPr>
  </w:style>
  <w:style w:type="paragraph" w:customStyle="1" w:styleId="ListNumber1Level3">
    <w:name w:val="List Number 1 (Level 3)"/>
    <w:basedOn w:val="Text1"/>
    <w:rsid w:val="009439C4"/>
    <w:pPr>
      <w:numPr>
        <w:ilvl w:val="2"/>
        <w:numId w:val="10"/>
      </w:numPr>
    </w:pPr>
    <w:rPr>
      <w:rFonts w:eastAsia="Times New Roman"/>
      <w:lang w:val="fr-FR" w:eastAsia="en-GB"/>
    </w:rPr>
  </w:style>
  <w:style w:type="paragraph" w:customStyle="1" w:styleId="ListNumber2Level3">
    <w:name w:val="List Number 2 (Level 3)"/>
    <w:basedOn w:val="Text2"/>
    <w:rsid w:val="009439C4"/>
    <w:pPr>
      <w:numPr>
        <w:ilvl w:val="2"/>
        <w:numId w:val="11"/>
      </w:numPr>
    </w:pPr>
    <w:rPr>
      <w:rFonts w:eastAsia="Times New Roman"/>
      <w:lang w:val="fr-FR" w:eastAsia="en-GB"/>
    </w:rPr>
  </w:style>
  <w:style w:type="paragraph" w:customStyle="1" w:styleId="ListNumber3Level3">
    <w:name w:val="List Number 3 (Level 3)"/>
    <w:basedOn w:val="Text3"/>
    <w:rsid w:val="009439C4"/>
    <w:pPr>
      <w:numPr>
        <w:ilvl w:val="2"/>
        <w:numId w:val="12"/>
      </w:numPr>
    </w:pPr>
    <w:rPr>
      <w:rFonts w:eastAsia="Times New Roman"/>
      <w:lang w:val="fr-FR" w:eastAsia="en-GB"/>
    </w:rPr>
  </w:style>
  <w:style w:type="paragraph" w:customStyle="1" w:styleId="ListNumber4Level3">
    <w:name w:val="List Number 4 (Level 3)"/>
    <w:basedOn w:val="Text4"/>
    <w:rsid w:val="009439C4"/>
    <w:pPr>
      <w:numPr>
        <w:ilvl w:val="2"/>
        <w:numId w:val="13"/>
      </w:numPr>
    </w:pPr>
    <w:rPr>
      <w:rFonts w:eastAsia="Times New Roman"/>
      <w:lang w:val="fr-FR" w:eastAsia="en-GB"/>
    </w:rPr>
  </w:style>
  <w:style w:type="paragraph" w:customStyle="1" w:styleId="ListNumber1Level4">
    <w:name w:val="List Number 1 (Level 4)"/>
    <w:basedOn w:val="Text1"/>
    <w:rsid w:val="009439C4"/>
    <w:pPr>
      <w:numPr>
        <w:ilvl w:val="3"/>
        <w:numId w:val="10"/>
      </w:numPr>
    </w:pPr>
    <w:rPr>
      <w:rFonts w:eastAsia="Times New Roman"/>
      <w:lang w:val="fr-FR" w:eastAsia="en-GB"/>
    </w:rPr>
  </w:style>
  <w:style w:type="paragraph" w:customStyle="1" w:styleId="ListNumber2Level4">
    <w:name w:val="List Number 2 (Level 4)"/>
    <w:basedOn w:val="Text2"/>
    <w:rsid w:val="009439C4"/>
    <w:pPr>
      <w:tabs>
        <w:tab w:val="num" w:pos="1134"/>
      </w:tabs>
      <w:ind w:left="1134" w:hanging="283"/>
    </w:pPr>
    <w:rPr>
      <w:rFonts w:eastAsia="Times New Roman"/>
      <w:lang w:val="fr-FR" w:eastAsia="en-GB"/>
    </w:rPr>
  </w:style>
  <w:style w:type="paragraph" w:customStyle="1" w:styleId="ListNumber3Level4">
    <w:name w:val="List Number 3 (Level 4)"/>
    <w:basedOn w:val="Text3"/>
    <w:rsid w:val="009439C4"/>
    <w:pPr>
      <w:numPr>
        <w:ilvl w:val="3"/>
        <w:numId w:val="12"/>
      </w:numPr>
    </w:pPr>
    <w:rPr>
      <w:rFonts w:eastAsia="Times New Roman"/>
      <w:lang w:val="fr-FR" w:eastAsia="en-GB"/>
    </w:rPr>
  </w:style>
  <w:style w:type="paragraph" w:customStyle="1" w:styleId="ListNumber4Level4">
    <w:name w:val="List Number 4 (Level 4)"/>
    <w:basedOn w:val="Text4"/>
    <w:rsid w:val="009439C4"/>
    <w:pPr>
      <w:numPr>
        <w:ilvl w:val="3"/>
        <w:numId w:val="13"/>
      </w:numPr>
    </w:pPr>
    <w:rPr>
      <w:rFonts w:eastAsia="Times New Roman"/>
      <w:lang w:val="fr-FR" w:eastAsia="en-GB"/>
    </w:rPr>
  </w:style>
  <w:style w:type="paragraph" w:customStyle="1" w:styleId="Annexetitreacte">
    <w:name w:val="Annexe titre (acte)"/>
    <w:basedOn w:val="Normal"/>
    <w:next w:val="Normal"/>
    <w:rsid w:val="009439C4"/>
    <w:pPr>
      <w:jc w:val="center"/>
    </w:pPr>
    <w:rPr>
      <w:rFonts w:eastAsia="Times New Roman"/>
      <w:b/>
      <w:u w:val="single"/>
      <w:lang w:val="fr-FR" w:eastAsia="en-GB"/>
    </w:rPr>
  </w:style>
  <w:style w:type="paragraph" w:customStyle="1" w:styleId="Annexetitreexposglobal">
    <w:name w:val="Annexe titre (exposé global)"/>
    <w:basedOn w:val="Normal"/>
    <w:next w:val="Normal"/>
    <w:rsid w:val="009439C4"/>
    <w:pPr>
      <w:jc w:val="center"/>
    </w:pPr>
    <w:rPr>
      <w:rFonts w:eastAsia="Times New Roman"/>
      <w:b/>
      <w:u w:val="single"/>
      <w:lang w:val="fr-FR" w:eastAsia="en-GB"/>
    </w:rPr>
  </w:style>
  <w:style w:type="paragraph" w:customStyle="1" w:styleId="Annexetitrefichefinacte">
    <w:name w:val="Annexe titre (fiche fin. acte)"/>
    <w:basedOn w:val="Normal"/>
    <w:next w:val="Normal"/>
    <w:rsid w:val="009439C4"/>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439C4"/>
    <w:pPr>
      <w:jc w:val="center"/>
    </w:pPr>
    <w:rPr>
      <w:rFonts w:eastAsia="Times New Roman"/>
      <w:b/>
      <w:u w:val="single"/>
      <w:lang w:val="fr-FR" w:eastAsia="en-GB"/>
    </w:rPr>
  </w:style>
  <w:style w:type="paragraph" w:customStyle="1" w:styleId="Annexetitreglobale">
    <w:name w:val="Annexe titre (globale)"/>
    <w:basedOn w:val="Normal"/>
    <w:next w:val="Normal"/>
    <w:rsid w:val="009439C4"/>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439C4"/>
    <w:pPr>
      <w:jc w:val="center"/>
    </w:pPr>
    <w:rPr>
      <w:rFonts w:eastAsia="Times New Roman"/>
      <w:b/>
      <w:u w:val="single"/>
      <w:lang w:val="fr-FR" w:eastAsia="en-GB"/>
    </w:rPr>
  </w:style>
  <w:style w:type="paragraph" w:customStyle="1" w:styleId="Langueoriginale">
    <w:name w:val="Langue originale"/>
    <w:basedOn w:val="Normal"/>
    <w:rsid w:val="009439C4"/>
    <w:pPr>
      <w:spacing w:before="360"/>
      <w:jc w:val="center"/>
    </w:pPr>
    <w:rPr>
      <w:rFonts w:eastAsia="Times New Roman"/>
      <w:caps/>
      <w:lang w:val="fr-FR" w:eastAsia="en-GB"/>
    </w:rPr>
  </w:style>
  <w:style w:type="paragraph" w:customStyle="1" w:styleId="Phrasefinale">
    <w:name w:val="Phrase finale"/>
    <w:basedOn w:val="Normal"/>
    <w:next w:val="Normal"/>
    <w:rsid w:val="009439C4"/>
    <w:pPr>
      <w:spacing w:before="360" w:after="0"/>
      <w:jc w:val="center"/>
    </w:pPr>
    <w:rPr>
      <w:rFonts w:eastAsia="Times New Roman"/>
      <w:lang w:val="fr-FR" w:eastAsia="en-GB"/>
    </w:rPr>
  </w:style>
  <w:style w:type="paragraph" w:customStyle="1" w:styleId="Prliminairetitre">
    <w:name w:val="Préliminaire titre"/>
    <w:basedOn w:val="Normal"/>
    <w:next w:val="Normal"/>
    <w:rsid w:val="009439C4"/>
    <w:pPr>
      <w:spacing w:before="360" w:after="360"/>
      <w:jc w:val="center"/>
    </w:pPr>
    <w:rPr>
      <w:rFonts w:eastAsia="Times New Roman"/>
      <w:b/>
      <w:lang w:val="fr-FR" w:eastAsia="en-GB"/>
    </w:rPr>
  </w:style>
  <w:style w:type="paragraph" w:customStyle="1" w:styleId="Prliminairetype">
    <w:name w:val="Préliminaire type"/>
    <w:basedOn w:val="Normal"/>
    <w:next w:val="Normal"/>
    <w:rsid w:val="009439C4"/>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439C4"/>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439C4"/>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439C4"/>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439C4"/>
    <w:pPr>
      <w:spacing w:before="0" w:after="0"/>
      <w:jc w:val="center"/>
    </w:pPr>
    <w:rPr>
      <w:rFonts w:eastAsia="Times New Roman"/>
      <w:b/>
      <w:lang w:val="fr-FR" w:eastAsia="en-GB"/>
    </w:rPr>
  </w:style>
  <w:style w:type="paragraph" w:customStyle="1" w:styleId="Statutprliminaire">
    <w:name w:val="Statut (préliminaire)"/>
    <w:basedOn w:val="Normal"/>
    <w:next w:val="Normal"/>
    <w:rsid w:val="009439C4"/>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439C4"/>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439C4"/>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439C4"/>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439C4"/>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439C4"/>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439C4"/>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439C4"/>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439C4"/>
    <w:pPr>
      <w:jc w:val="center"/>
    </w:pPr>
    <w:rPr>
      <w:rFonts w:eastAsia="Times New Roman"/>
      <w:b/>
      <w:u w:val="single"/>
      <w:lang w:val="fr-FR" w:eastAsia="en-GB"/>
    </w:rPr>
  </w:style>
  <w:style w:type="character" w:styleId="CommentReference">
    <w:name w:val="annotation reference"/>
    <w:rsid w:val="009439C4"/>
    <w:rPr>
      <w:rFonts w:cs="Times New Roman"/>
      <w:sz w:val="16"/>
      <w:szCs w:val="16"/>
    </w:rPr>
  </w:style>
  <w:style w:type="paragraph" w:styleId="CommentText">
    <w:name w:val="annotation text"/>
    <w:basedOn w:val="Normal"/>
    <w:link w:val="CommentTextChar"/>
    <w:rsid w:val="009439C4"/>
    <w:rPr>
      <w:rFonts w:eastAsia="Times New Roman"/>
      <w:sz w:val="20"/>
      <w:szCs w:val="20"/>
      <w:lang w:val="fr-FR" w:eastAsia="en-GB"/>
    </w:rPr>
  </w:style>
  <w:style w:type="character" w:customStyle="1" w:styleId="CommentTextChar">
    <w:name w:val="Comment Text Char"/>
    <w:basedOn w:val="DefaultParagraphFont"/>
    <w:link w:val="CommentText"/>
    <w:rsid w:val="009439C4"/>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9439C4"/>
    <w:rPr>
      <w:b/>
      <w:bCs/>
    </w:rPr>
  </w:style>
  <w:style w:type="character" w:customStyle="1" w:styleId="CommentSubjectChar">
    <w:name w:val="Comment Subject Char"/>
    <w:basedOn w:val="CommentTextChar"/>
    <w:link w:val="CommentSubject"/>
    <w:rsid w:val="009439C4"/>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9439C4"/>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9439C4"/>
    <w:rPr>
      <w:rFonts w:ascii="Tahoma" w:eastAsia="Times New Roman" w:hAnsi="Tahoma" w:cs="Tahoma"/>
      <w:sz w:val="16"/>
      <w:szCs w:val="16"/>
      <w:lang w:val="fr-FR" w:eastAsia="en-GB"/>
    </w:rPr>
  </w:style>
  <w:style w:type="paragraph" w:styleId="Caption">
    <w:name w:val="caption"/>
    <w:basedOn w:val="Normal"/>
    <w:next w:val="Normal"/>
    <w:qFormat/>
    <w:rsid w:val="009439C4"/>
    <w:rPr>
      <w:rFonts w:eastAsia="Times New Roman"/>
      <w:b/>
      <w:bCs/>
      <w:sz w:val="20"/>
      <w:szCs w:val="20"/>
      <w:lang w:val="fr-FR" w:eastAsia="en-GB"/>
    </w:rPr>
  </w:style>
  <w:style w:type="paragraph" w:styleId="TableofFigures">
    <w:name w:val="table of figures"/>
    <w:basedOn w:val="Normal"/>
    <w:next w:val="Normal"/>
    <w:rsid w:val="009439C4"/>
    <w:rPr>
      <w:rFonts w:eastAsia="Times New Roman"/>
      <w:lang w:val="fr-FR" w:eastAsia="en-GB"/>
    </w:rPr>
  </w:style>
  <w:style w:type="character" w:styleId="PageNumber">
    <w:name w:val="page number"/>
    <w:rsid w:val="009439C4"/>
  </w:style>
  <w:style w:type="character" w:customStyle="1" w:styleId="tw4winMark">
    <w:name w:val="tw4winMark"/>
    <w:rsid w:val="009439C4"/>
    <w:rPr>
      <w:vanish/>
      <w:color w:val="800080"/>
      <w:vertAlign w:val="subscript"/>
    </w:rPr>
  </w:style>
  <w:style w:type="character" w:styleId="FollowedHyperlink">
    <w:name w:val="FollowedHyperlink"/>
    <w:uiPriority w:val="99"/>
    <w:rsid w:val="009439C4"/>
    <w:rPr>
      <w:color w:val="800080"/>
      <w:u w:val="single"/>
    </w:rPr>
  </w:style>
  <w:style w:type="paragraph" w:customStyle="1" w:styleId="Sous-titreobjet">
    <w:name w:val="Sous-titre objet"/>
    <w:basedOn w:val="Normal"/>
    <w:rsid w:val="009439C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439C4"/>
  </w:style>
  <w:style w:type="paragraph" w:styleId="Revision">
    <w:name w:val="Revision"/>
    <w:hidden/>
    <w:uiPriority w:val="99"/>
    <w:semiHidden/>
    <w:rsid w:val="009439C4"/>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439C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439C4"/>
    <w:rPr>
      <w:rFonts w:ascii="Times New Roman" w:hAnsi="Times New Roman" w:cs="Times New Roman"/>
      <w:b/>
      <w:sz w:val="28"/>
      <w:lang w:val="en-GB"/>
    </w:rPr>
  </w:style>
  <w:style w:type="character" w:customStyle="1" w:styleId="FooterCoverPageChar">
    <w:name w:val="Footer Cover Page Char"/>
    <w:link w:val="FooterCoverPage"/>
    <w:rsid w:val="009439C4"/>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439C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439C4"/>
    <w:rPr>
      <w:rFonts w:ascii="Times New Roman" w:eastAsia="Calibri" w:hAnsi="Times New Roman" w:cs="Times New Roman"/>
      <w:sz w:val="24"/>
      <w:lang w:val="en-GB" w:eastAsia="en-GB"/>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
    <w:basedOn w:val="Normal"/>
    <w:link w:val="ListParagraphChar"/>
    <w:uiPriority w:val="34"/>
    <w:qFormat/>
    <w:rsid w:val="00C24E66"/>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basedOn w:val="DefaultParagraphFont"/>
    <w:link w:val="ListParagraph"/>
    <w:uiPriority w:val="34"/>
    <w:qFormat/>
    <w:locked/>
    <w:rsid w:val="00A6748F"/>
    <w:rPr>
      <w:rFonts w:ascii="Times New Roman" w:hAnsi="Times New Roman" w:cs="Times New Roman"/>
      <w:sz w:val="24"/>
      <w:lang w:val="en-GB"/>
    </w:rPr>
  </w:style>
  <w:style w:type="character" w:customStyle="1" w:styleId="normaltextrun">
    <w:name w:val="normaltextrun"/>
    <w:basedOn w:val="DefaultParagraphFont"/>
    <w:rsid w:val="0015076E"/>
  </w:style>
  <w:style w:type="character" w:customStyle="1" w:styleId="eop">
    <w:name w:val="eop"/>
    <w:basedOn w:val="DefaultParagraphFont"/>
    <w:rsid w:val="0015076E"/>
  </w:style>
  <w:style w:type="character" w:customStyle="1" w:styleId="sub">
    <w:name w:val="sub"/>
    <w:basedOn w:val="DefaultParagraphFont"/>
    <w:rsid w:val="009A1917"/>
  </w:style>
  <w:style w:type="paragraph" w:customStyle="1" w:styleId="Normal1">
    <w:name w:val="Normal1"/>
    <w:basedOn w:val="Normal"/>
    <w:rsid w:val="009A1917"/>
    <w:pPr>
      <w:spacing w:before="100" w:beforeAutospacing="1" w:after="100" w:afterAutospacing="1"/>
      <w:jc w:val="left"/>
    </w:pPr>
    <w:rPr>
      <w:rFonts w:eastAsia="Times New Roman"/>
      <w:szCs w:val="24"/>
      <w:lang w:val="en-US"/>
    </w:rPr>
  </w:style>
  <w:style w:type="character" w:customStyle="1" w:styleId="CRMarker">
    <w:name w:val="CR Marker"/>
    <w:basedOn w:val="DefaultParagraphFont"/>
    <w:uiPriority w:val="99"/>
    <w:rsid w:val="008C0E2E"/>
    <w:rPr>
      <w:rFonts w:ascii="Wingdings" w:hAnsi="Wingdings" w:cs="Wingdings"/>
    </w:rPr>
  </w:style>
  <w:style w:type="paragraph" w:customStyle="1" w:styleId="CRSeparator">
    <w:name w:val="CR Separator"/>
    <w:basedOn w:val="Normal"/>
    <w:next w:val="CRReference"/>
    <w:uiPriority w:val="99"/>
    <w:rsid w:val="008C0E2E"/>
    <w:pPr>
      <w:keepNext/>
      <w:pBdr>
        <w:top w:val="single" w:sz="4" w:space="1" w:color="auto"/>
      </w:pBdr>
      <w:autoSpaceDE w:val="0"/>
      <w:autoSpaceDN w:val="0"/>
      <w:spacing w:before="0" w:after="0"/>
    </w:pPr>
    <w:rPr>
      <w:rFonts w:eastAsiaTheme="minorEastAsia"/>
      <w:szCs w:val="24"/>
      <w:lang w:val="fr-FR" w:eastAsia="en-GB"/>
    </w:rPr>
  </w:style>
  <w:style w:type="paragraph" w:customStyle="1" w:styleId="CRReference">
    <w:name w:val="CR Reference"/>
    <w:basedOn w:val="Normal"/>
    <w:uiPriority w:val="99"/>
    <w:rsid w:val="008C0E2E"/>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en-GB"/>
    </w:rPr>
  </w:style>
  <w:style w:type="character" w:customStyle="1" w:styleId="super">
    <w:name w:val="super"/>
    <w:basedOn w:val="DefaultParagraphFont"/>
    <w:rsid w:val="00A42CA2"/>
  </w:style>
  <w:style w:type="paragraph" w:customStyle="1" w:styleId="doc-ti">
    <w:name w:val="doc-ti"/>
    <w:basedOn w:val="Normal"/>
    <w:rsid w:val="00A42CA2"/>
    <w:pPr>
      <w:spacing w:before="100" w:beforeAutospacing="1" w:after="100" w:afterAutospacing="1"/>
      <w:jc w:val="left"/>
    </w:pPr>
    <w:rPr>
      <w:rFonts w:eastAsia="Times New Roman"/>
      <w:szCs w:val="24"/>
      <w:lang w:val="en-US"/>
    </w:rPr>
  </w:style>
  <w:style w:type="paragraph" w:customStyle="1" w:styleId="CM1">
    <w:name w:val="CM1"/>
    <w:basedOn w:val="Normal"/>
    <w:next w:val="Normal"/>
    <w:uiPriority w:val="99"/>
    <w:rsid w:val="005E0F8D"/>
    <w:pPr>
      <w:autoSpaceDE w:val="0"/>
      <w:autoSpaceDN w:val="0"/>
      <w:adjustRightInd w:val="0"/>
      <w:spacing w:before="0" w:after="0"/>
      <w:jc w:val="left"/>
    </w:pPr>
    <w:rPr>
      <w:szCs w:val="24"/>
      <w:lang w:val="fr-BE"/>
    </w:rPr>
  </w:style>
  <w:style w:type="paragraph" w:customStyle="1" w:styleId="CM3">
    <w:name w:val="CM3"/>
    <w:basedOn w:val="Normal"/>
    <w:next w:val="Normal"/>
    <w:uiPriority w:val="99"/>
    <w:rsid w:val="005E0F8D"/>
    <w:pPr>
      <w:autoSpaceDE w:val="0"/>
      <w:autoSpaceDN w:val="0"/>
      <w:adjustRightInd w:val="0"/>
      <w:spacing w:before="0" w:after="0"/>
      <w:jc w:val="left"/>
    </w:pPr>
    <w:rPr>
      <w:szCs w:val="24"/>
      <w:lang w:val="fr-BE"/>
    </w:rPr>
  </w:style>
  <w:style w:type="paragraph" w:customStyle="1" w:styleId="CM4">
    <w:name w:val="CM4"/>
    <w:basedOn w:val="Normal"/>
    <w:next w:val="Normal"/>
    <w:uiPriority w:val="99"/>
    <w:rsid w:val="005E0F8D"/>
    <w:pPr>
      <w:autoSpaceDE w:val="0"/>
      <w:autoSpaceDN w:val="0"/>
      <w:adjustRightInd w:val="0"/>
      <w:spacing w:before="0" w:after="0"/>
      <w:jc w:val="left"/>
    </w:pPr>
    <w:rPr>
      <w:szCs w:val="24"/>
      <w:lang w:val="fr-BE"/>
    </w:rPr>
  </w:style>
  <w:style w:type="paragraph" w:customStyle="1" w:styleId="LegalNumPar">
    <w:name w:val="LegalNumPar"/>
    <w:basedOn w:val="Normal"/>
    <w:rsid w:val="008632FA"/>
    <w:pPr>
      <w:numPr>
        <w:numId w:val="28"/>
      </w:numPr>
      <w:spacing w:line="360" w:lineRule="auto"/>
    </w:pPr>
  </w:style>
  <w:style w:type="paragraph" w:customStyle="1" w:styleId="LegalNumPar2">
    <w:name w:val="LegalNumPar2"/>
    <w:basedOn w:val="Normal"/>
    <w:rsid w:val="008632FA"/>
    <w:pPr>
      <w:numPr>
        <w:ilvl w:val="1"/>
        <w:numId w:val="28"/>
      </w:numPr>
      <w:spacing w:line="360" w:lineRule="auto"/>
    </w:pPr>
  </w:style>
  <w:style w:type="paragraph" w:customStyle="1" w:styleId="LegalNumPar3">
    <w:name w:val="LegalNumPar3"/>
    <w:basedOn w:val="Normal"/>
    <w:rsid w:val="008632FA"/>
    <w:pPr>
      <w:numPr>
        <w:ilvl w:val="2"/>
        <w:numId w:val="28"/>
      </w:numPr>
      <w:spacing w:line="360" w:lineRule="auto"/>
    </w:pPr>
  </w:style>
  <w:style w:type="character" w:customStyle="1" w:styleId="tw4winError">
    <w:name w:val="tw4winError"/>
    <w:rsid w:val="0042706D"/>
    <w:rPr>
      <w:color w:val="00FF00"/>
      <w:sz w:val="40"/>
      <w:lang w:val="en-GB" w:eastAsia="en-GB"/>
    </w:rPr>
  </w:style>
  <w:style w:type="character" w:customStyle="1" w:styleId="tw4winTerm">
    <w:name w:val="tw4winTerm"/>
    <w:rsid w:val="0042706D"/>
    <w:rPr>
      <w:color w:val="0000FF"/>
      <w:lang w:val="en-GB" w:eastAsia="en-GB"/>
    </w:rPr>
  </w:style>
  <w:style w:type="character" w:customStyle="1" w:styleId="tw4winPopup">
    <w:name w:val="tw4winPopup"/>
    <w:rsid w:val="0042706D"/>
    <w:rPr>
      <w:noProof/>
      <w:color w:val="008000"/>
      <w:lang w:val="en-GB" w:eastAsia="en-GB"/>
    </w:rPr>
  </w:style>
  <w:style w:type="character" w:customStyle="1" w:styleId="tw4winJump">
    <w:name w:val="tw4winJump"/>
    <w:rsid w:val="0042706D"/>
    <w:rPr>
      <w:noProof/>
      <w:color w:val="008080"/>
      <w:lang w:val="en-GB" w:eastAsia="en-GB"/>
    </w:rPr>
  </w:style>
  <w:style w:type="character" w:customStyle="1" w:styleId="tw4winExternal">
    <w:name w:val="tw4winExternal"/>
    <w:rsid w:val="0042706D"/>
    <w:rPr>
      <w:noProof/>
      <w:color w:val="808080"/>
      <w:lang w:val="en-GB" w:eastAsia="en-GB"/>
    </w:rPr>
  </w:style>
  <w:style w:type="character" w:customStyle="1" w:styleId="tw4winInternal">
    <w:name w:val="tw4winInternal"/>
    <w:rsid w:val="0042706D"/>
    <w:rPr>
      <w:noProof/>
      <w:color w:val="FF0000"/>
      <w:lang w:val="en-GB" w:eastAsia="en-GB"/>
    </w:rPr>
  </w:style>
  <w:style w:type="character" w:customStyle="1" w:styleId="DONOTTRANSLATE">
    <w:name w:val="DO_NOT_TRANSLATE"/>
    <w:rsid w:val="0042706D"/>
    <w:rPr>
      <w:noProof/>
      <w:color w:val="800000"/>
      <w:lang w:val="en-GB" w:eastAsia="en-GB"/>
    </w:rPr>
  </w:style>
  <w:style w:type="paragraph" w:customStyle="1" w:styleId="Ttitrearticle">
    <w:name w:val="Ttitre article"/>
    <w:basedOn w:val="Text1"/>
    <w:rsid w:val="007949D0"/>
    <w:pPr>
      <w:jc w:val="center"/>
    </w:pPr>
    <w:rPr>
      <w:i/>
      <w:color w:val="000000" w:themeColor="text1"/>
    </w:rPr>
  </w:style>
  <w:style w:type="paragraph" w:styleId="Header">
    <w:name w:val="header"/>
    <w:basedOn w:val="Normal"/>
    <w:link w:val="HeaderChar"/>
    <w:uiPriority w:val="99"/>
    <w:unhideWhenUsed/>
    <w:rsid w:val="00E50DA1"/>
    <w:pPr>
      <w:tabs>
        <w:tab w:val="center" w:pos="4535"/>
        <w:tab w:val="right" w:pos="9071"/>
      </w:tabs>
      <w:spacing w:before="0"/>
    </w:pPr>
  </w:style>
  <w:style w:type="character" w:customStyle="1" w:styleId="HeaderChar">
    <w:name w:val="Header Char"/>
    <w:basedOn w:val="DefaultParagraphFont"/>
    <w:link w:val="Header"/>
    <w:uiPriority w:val="99"/>
    <w:rsid w:val="00E50DA1"/>
    <w:rPr>
      <w:rFonts w:ascii="Times New Roman" w:hAnsi="Times New Roman" w:cs="Times New Roman"/>
      <w:sz w:val="24"/>
      <w:lang w:val="en-GB"/>
    </w:rPr>
  </w:style>
  <w:style w:type="paragraph" w:styleId="Footer">
    <w:name w:val="footer"/>
    <w:basedOn w:val="Normal"/>
    <w:link w:val="FooterChar"/>
    <w:uiPriority w:val="99"/>
    <w:unhideWhenUsed/>
    <w:rsid w:val="00E50DA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50DA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50DA1"/>
    <w:pPr>
      <w:tabs>
        <w:tab w:val="center" w:pos="7285"/>
        <w:tab w:val="right" w:pos="14003"/>
      </w:tabs>
      <w:spacing w:before="0"/>
    </w:pPr>
  </w:style>
  <w:style w:type="paragraph" w:customStyle="1" w:styleId="FooterLandscape">
    <w:name w:val="FooterLandscape"/>
    <w:basedOn w:val="Normal"/>
    <w:rsid w:val="00E50DA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50DA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50DA1"/>
    <w:pPr>
      <w:spacing w:before="0"/>
      <w:jc w:val="right"/>
    </w:pPr>
    <w:rPr>
      <w:sz w:val="28"/>
    </w:rPr>
  </w:style>
  <w:style w:type="paragraph" w:customStyle="1" w:styleId="FooterSensitivity">
    <w:name w:val="Footer Sensitivity"/>
    <w:basedOn w:val="Normal"/>
    <w:rsid w:val="00E50DA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2"/>
      </w:numPr>
    </w:pPr>
  </w:style>
  <w:style w:type="paragraph" w:customStyle="1" w:styleId="Tiret1">
    <w:name w:val="Tiret 1"/>
    <w:basedOn w:val="Point1"/>
    <w:pPr>
      <w:numPr>
        <w:numId w:val="63"/>
      </w:numPr>
    </w:pPr>
  </w:style>
  <w:style w:type="paragraph" w:customStyle="1" w:styleId="Tiret2">
    <w:name w:val="Tiret 2"/>
    <w:basedOn w:val="Point2"/>
    <w:pPr>
      <w:numPr>
        <w:numId w:val="64"/>
      </w:numPr>
    </w:pPr>
  </w:style>
  <w:style w:type="paragraph" w:customStyle="1" w:styleId="Tiret3">
    <w:name w:val="Tiret 3"/>
    <w:basedOn w:val="Point3"/>
    <w:pPr>
      <w:numPr>
        <w:numId w:val="65"/>
      </w:numPr>
    </w:pPr>
  </w:style>
  <w:style w:type="paragraph" w:customStyle="1" w:styleId="Tiret4">
    <w:name w:val="Tiret 4"/>
    <w:basedOn w:val="Point4"/>
    <w:pPr>
      <w:numPr>
        <w:numId w:val="66"/>
      </w:numPr>
    </w:pPr>
  </w:style>
  <w:style w:type="paragraph" w:customStyle="1" w:styleId="Tiret5">
    <w:name w:val="Tiret 5"/>
    <w:basedOn w:val="Point5"/>
    <w:pPr>
      <w:numPr>
        <w:numId w:val="6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8"/>
      </w:numPr>
    </w:pPr>
  </w:style>
  <w:style w:type="paragraph" w:customStyle="1" w:styleId="NumPar2">
    <w:name w:val="NumPar 2"/>
    <w:basedOn w:val="Normal"/>
    <w:next w:val="Text1"/>
    <w:pPr>
      <w:numPr>
        <w:ilvl w:val="1"/>
        <w:numId w:val="68"/>
      </w:numPr>
    </w:pPr>
  </w:style>
  <w:style w:type="paragraph" w:customStyle="1" w:styleId="NumPar3">
    <w:name w:val="NumPar 3"/>
    <w:basedOn w:val="Normal"/>
    <w:next w:val="Text1"/>
    <w:pPr>
      <w:numPr>
        <w:ilvl w:val="2"/>
        <w:numId w:val="68"/>
      </w:numPr>
    </w:pPr>
  </w:style>
  <w:style w:type="paragraph" w:customStyle="1" w:styleId="NumPar4">
    <w:name w:val="NumPar 4"/>
    <w:basedOn w:val="Normal"/>
    <w:next w:val="Text1"/>
    <w:pPr>
      <w:numPr>
        <w:ilvl w:val="3"/>
        <w:numId w:val="68"/>
      </w:numPr>
    </w:pPr>
  </w:style>
  <w:style w:type="paragraph" w:customStyle="1" w:styleId="NumPar5">
    <w:name w:val="NumPar 5"/>
    <w:basedOn w:val="Normal"/>
    <w:next w:val="Text2"/>
    <w:pPr>
      <w:numPr>
        <w:ilvl w:val="4"/>
        <w:numId w:val="68"/>
      </w:numPr>
    </w:pPr>
  </w:style>
  <w:style w:type="paragraph" w:customStyle="1" w:styleId="NumPar6">
    <w:name w:val="NumPar 6"/>
    <w:basedOn w:val="Normal"/>
    <w:next w:val="Text2"/>
    <w:pPr>
      <w:numPr>
        <w:ilvl w:val="5"/>
        <w:numId w:val="68"/>
      </w:numPr>
    </w:pPr>
  </w:style>
  <w:style w:type="paragraph" w:customStyle="1" w:styleId="NumPar7">
    <w:name w:val="NumPar 7"/>
    <w:basedOn w:val="Normal"/>
    <w:next w:val="Text2"/>
    <w:pPr>
      <w:numPr>
        <w:ilvl w:val="6"/>
        <w:numId w:val="6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4478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0"/>
      </w:numPr>
    </w:pPr>
  </w:style>
  <w:style w:type="paragraph" w:customStyle="1" w:styleId="Point1number">
    <w:name w:val="Point 1 (number)"/>
    <w:basedOn w:val="Normal"/>
    <w:pPr>
      <w:numPr>
        <w:ilvl w:val="2"/>
        <w:numId w:val="70"/>
      </w:numPr>
    </w:pPr>
  </w:style>
  <w:style w:type="paragraph" w:customStyle="1" w:styleId="Point2number">
    <w:name w:val="Point 2 (number)"/>
    <w:basedOn w:val="Normal"/>
    <w:pPr>
      <w:numPr>
        <w:ilvl w:val="4"/>
        <w:numId w:val="70"/>
      </w:numPr>
    </w:pPr>
  </w:style>
  <w:style w:type="paragraph" w:customStyle="1" w:styleId="Point3number">
    <w:name w:val="Point 3 (number)"/>
    <w:basedOn w:val="Normal"/>
    <w:pPr>
      <w:numPr>
        <w:ilvl w:val="6"/>
        <w:numId w:val="70"/>
      </w:numPr>
    </w:pPr>
  </w:style>
  <w:style w:type="paragraph" w:customStyle="1" w:styleId="Point0letter">
    <w:name w:val="Point 0 (letter)"/>
    <w:basedOn w:val="Normal"/>
    <w:pPr>
      <w:numPr>
        <w:ilvl w:val="1"/>
        <w:numId w:val="70"/>
      </w:numPr>
    </w:pPr>
  </w:style>
  <w:style w:type="paragraph" w:customStyle="1" w:styleId="Point1letter">
    <w:name w:val="Point 1 (letter)"/>
    <w:basedOn w:val="Normal"/>
    <w:pPr>
      <w:numPr>
        <w:ilvl w:val="3"/>
        <w:numId w:val="70"/>
      </w:numPr>
    </w:pPr>
  </w:style>
  <w:style w:type="paragraph" w:customStyle="1" w:styleId="Point2letter">
    <w:name w:val="Point 2 (letter)"/>
    <w:basedOn w:val="Normal"/>
    <w:pPr>
      <w:numPr>
        <w:ilvl w:val="5"/>
        <w:numId w:val="70"/>
      </w:numPr>
    </w:pPr>
  </w:style>
  <w:style w:type="paragraph" w:customStyle="1" w:styleId="Point3letter">
    <w:name w:val="Point 3 (letter)"/>
    <w:basedOn w:val="Normal"/>
    <w:pPr>
      <w:numPr>
        <w:ilvl w:val="7"/>
        <w:numId w:val="70"/>
      </w:numPr>
    </w:pPr>
  </w:style>
  <w:style w:type="paragraph" w:customStyle="1" w:styleId="Point4letter">
    <w:name w:val="Point 4 (letter)"/>
    <w:basedOn w:val="Normal"/>
    <w:pPr>
      <w:numPr>
        <w:ilvl w:val="8"/>
        <w:numId w:val="70"/>
      </w:numPr>
    </w:pPr>
  </w:style>
  <w:style w:type="paragraph" w:customStyle="1" w:styleId="Bullet0">
    <w:name w:val="Bullet 0"/>
    <w:basedOn w:val="Normal"/>
    <w:pPr>
      <w:numPr>
        <w:numId w:val="71"/>
      </w:numPr>
    </w:pPr>
  </w:style>
  <w:style w:type="paragraph" w:customStyle="1" w:styleId="Bullet1">
    <w:name w:val="Bullet 1"/>
    <w:basedOn w:val="Normal"/>
    <w:pPr>
      <w:numPr>
        <w:numId w:val="72"/>
      </w:numPr>
    </w:pPr>
  </w:style>
  <w:style w:type="paragraph" w:customStyle="1" w:styleId="Bullet2">
    <w:name w:val="Bullet 2"/>
    <w:basedOn w:val="Normal"/>
    <w:pPr>
      <w:numPr>
        <w:numId w:val="73"/>
      </w:numPr>
    </w:pPr>
  </w:style>
  <w:style w:type="paragraph" w:customStyle="1" w:styleId="Bullet3">
    <w:name w:val="Bullet 3"/>
    <w:basedOn w:val="Normal"/>
    <w:pPr>
      <w:numPr>
        <w:numId w:val="74"/>
      </w:numPr>
    </w:pPr>
  </w:style>
  <w:style w:type="paragraph" w:customStyle="1" w:styleId="Bullet4">
    <w:name w:val="Bullet 4"/>
    <w:basedOn w:val="Normal"/>
    <w:pPr>
      <w:numPr>
        <w:numId w:val="7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342">
      <w:bodyDiv w:val="1"/>
      <w:marLeft w:val="0"/>
      <w:marRight w:val="0"/>
      <w:marTop w:val="0"/>
      <w:marBottom w:val="0"/>
      <w:divBdr>
        <w:top w:val="none" w:sz="0" w:space="0" w:color="auto"/>
        <w:left w:val="none" w:sz="0" w:space="0" w:color="auto"/>
        <w:bottom w:val="none" w:sz="0" w:space="0" w:color="auto"/>
        <w:right w:val="none" w:sz="0" w:space="0" w:color="auto"/>
      </w:divBdr>
    </w:div>
    <w:div w:id="36244553">
      <w:bodyDiv w:val="1"/>
      <w:marLeft w:val="0"/>
      <w:marRight w:val="0"/>
      <w:marTop w:val="0"/>
      <w:marBottom w:val="0"/>
      <w:divBdr>
        <w:top w:val="none" w:sz="0" w:space="0" w:color="auto"/>
        <w:left w:val="none" w:sz="0" w:space="0" w:color="auto"/>
        <w:bottom w:val="none" w:sz="0" w:space="0" w:color="auto"/>
        <w:right w:val="none" w:sz="0" w:space="0" w:color="auto"/>
      </w:divBdr>
    </w:div>
    <w:div w:id="140923317">
      <w:bodyDiv w:val="1"/>
      <w:marLeft w:val="0"/>
      <w:marRight w:val="0"/>
      <w:marTop w:val="0"/>
      <w:marBottom w:val="0"/>
      <w:divBdr>
        <w:top w:val="none" w:sz="0" w:space="0" w:color="auto"/>
        <w:left w:val="none" w:sz="0" w:space="0" w:color="auto"/>
        <w:bottom w:val="none" w:sz="0" w:space="0" w:color="auto"/>
        <w:right w:val="none" w:sz="0" w:space="0" w:color="auto"/>
      </w:divBdr>
    </w:div>
    <w:div w:id="169570208">
      <w:bodyDiv w:val="1"/>
      <w:marLeft w:val="0"/>
      <w:marRight w:val="0"/>
      <w:marTop w:val="0"/>
      <w:marBottom w:val="0"/>
      <w:divBdr>
        <w:top w:val="none" w:sz="0" w:space="0" w:color="auto"/>
        <w:left w:val="none" w:sz="0" w:space="0" w:color="auto"/>
        <w:bottom w:val="none" w:sz="0" w:space="0" w:color="auto"/>
        <w:right w:val="none" w:sz="0" w:space="0" w:color="auto"/>
      </w:divBdr>
    </w:div>
    <w:div w:id="176963098">
      <w:bodyDiv w:val="1"/>
      <w:marLeft w:val="0"/>
      <w:marRight w:val="0"/>
      <w:marTop w:val="0"/>
      <w:marBottom w:val="0"/>
      <w:divBdr>
        <w:top w:val="none" w:sz="0" w:space="0" w:color="auto"/>
        <w:left w:val="none" w:sz="0" w:space="0" w:color="auto"/>
        <w:bottom w:val="none" w:sz="0" w:space="0" w:color="auto"/>
        <w:right w:val="none" w:sz="0" w:space="0" w:color="auto"/>
      </w:divBdr>
    </w:div>
    <w:div w:id="203104125">
      <w:bodyDiv w:val="1"/>
      <w:marLeft w:val="0"/>
      <w:marRight w:val="0"/>
      <w:marTop w:val="0"/>
      <w:marBottom w:val="0"/>
      <w:divBdr>
        <w:top w:val="none" w:sz="0" w:space="0" w:color="auto"/>
        <w:left w:val="none" w:sz="0" w:space="0" w:color="auto"/>
        <w:bottom w:val="none" w:sz="0" w:space="0" w:color="auto"/>
        <w:right w:val="none" w:sz="0" w:space="0" w:color="auto"/>
      </w:divBdr>
      <w:divsChild>
        <w:div w:id="1619992278">
          <w:marLeft w:val="0"/>
          <w:marRight w:val="75"/>
          <w:marTop w:val="150"/>
          <w:marBottom w:val="0"/>
          <w:divBdr>
            <w:top w:val="single" w:sz="6" w:space="2" w:color="94C0D2"/>
            <w:left w:val="single" w:sz="6" w:space="2" w:color="94C0D2"/>
            <w:bottom w:val="single" w:sz="6" w:space="4" w:color="94C0D2"/>
            <w:right w:val="single" w:sz="6" w:space="2" w:color="94C0D2"/>
          </w:divBdr>
        </w:div>
      </w:divsChild>
    </w:div>
    <w:div w:id="203567993">
      <w:bodyDiv w:val="1"/>
      <w:marLeft w:val="0"/>
      <w:marRight w:val="0"/>
      <w:marTop w:val="0"/>
      <w:marBottom w:val="0"/>
      <w:divBdr>
        <w:top w:val="none" w:sz="0" w:space="0" w:color="auto"/>
        <w:left w:val="none" w:sz="0" w:space="0" w:color="auto"/>
        <w:bottom w:val="none" w:sz="0" w:space="0" w:color="auto"/>
        <w:right w:val="none" w:sz="0" w:space="0" w:color="auto"/>
      </w:divBdr>
    </w:div>
    <w:div w:id="230236151">
      <w:bodyDiv w:val="1"/>
      <w:marLeft w:val="0"/>
      <w:marRight w:val="0"/>
      <w:marTop w:val="0"/>
      <w:marBottom w:val="0"/>
      <w:divBdr>
        <w:top w:val="none" w:sz="0" w:space="0" w:color="auto"/>
        <w:left w:val="none" w:sz="0" w:space="0" w:color="auto"/>
        <w:bottom w:val="none" w:sz="0" w:space="0" w:color="auto"/>
        <w:right w:val="none" w:sz="0" w:space="0" w:color="auto"/>
      </w:divBdr>
    </w:div>
    <w:div w:id="257638271">
      <w:bodyDiv w:val="1"/>
      <w:marLeft w:val="0"/>
      <w:marRight w:val="0"/>
      <w:marTop w:val="0"/>
      <w:marBottom w:val="0"/>
      <w:divBdr>
        <w:top w:val="none" w:sz="0" w:space="0" w:color="auto"/>
        <w:left w:val="none" w:sz="0" w:space="0" w:color="auto"/>
        <w:bottom w:val="none" w:sz="0" w:space="0" w:color="auto"/>
        <w:right w:val="none" w:sz="0" w:space="0" w:color="auto"/>
      </w:divBdr>
    </w:div>
    <w:div w:id="290986435">
      <w:bodyDiv w:val="1"/>
      <w:marLeft w:val="0"/>
      <w:marRight w:val="0"/>
      <w:marTop w:val="0"/>
      <w:marBottom w:val="0"/>
      <w:divBdr>
        <w:top w:val="none" w:sz="0" w:space="0" w:color="auto"/>
        <w:left w:val="none" w:sz="0" w:space="0" w:color="auto"/>
        <w:bottom w:val="none" w:sz="0" w:space="0" w:color="auto"/>
        <w:right w:val="none" w:sz="0" w:space="0" w:color="auto"/>
      </w:divBdr>
    </w:div>
    <w:div w:id="323702543">
      <w:bodyDiv w:val="1"/>
      <w:marLeft w:val="0"/>
      <w:marRight w:val="0"/>
      <w:marTop w:val="0"/>
      <w:marBottom w:val="0"/>
      <w:divBdr>
        <w:top w:val="none" w:sz="0" w:space="0" w:color="auto"/>
        <w:left w:val="none" w:sz="0" w:space="0" w:color="auto"/>
        <w:bottom w:val="none" w:sz="0" w:space="0" w:color="auto"/>
        <w:right w:val="none" w:sz="0" w:space="0" w:color="auto"/>
      </w:divBdr>
    </w:div>
    <w:div w:id="357243689">
      <w:bodyDiv w:val="1"/>
      <w:marLeft w:val="0"/>
      <w:marRight w:val="0"/>
      <w:marTop w:val="0"/>
      <w:marBottom w:val="0"/>
      <w:divBdr>
        <w:top w:val="none" w:sz="0" w:space="0" w:color="auto"/>
        <w:left w:val="none" w:sz="0" w:space="0" w:color="auto"/>
        <w:bottom w:val="none" w:sz="0" w:space="0" w:color="auto"/>
        <w:right w:val="none" w:sz="0" w:space="0" w:color="auto"/>
      </w:divBdr>
    </w:div>
    <w:div w:id="381712441">
      <w:bodyDiv w:val="1"/>
      <w:marLeft w:val="0"/>
      <w:marRight w:val="0"/>
      <w:marTop w:val="0"/>
      <w:marBottom w:val="0"/>
      <w:divBdr>
        <w:top w:val="none" w:sz="0" w:space="0" w:color="auto"/>
        <w:left w:val="none" w:sz="0" w:space="0" w:color="auto"/>
        <w:bottom w:val="none" w:sz="0" w:space="0" w:color="auto"/>
        <w:right w:val="none" w:sz="0" w:space="0" w:color="auto"/>
      </w:divBdr>
    </w:div>
    <w:div w:id="496071267">
      <w:bodyDiv w:val="1"/>
      <w:marLeft w:val="0"/>
      <w:marRight w:val="0"/>
      <w:marTop w:val="0"/>
      <w:marBottom w:val="0"/>
      <w:divBdr>
        <w:top w:val="none" w:sz="0" w:space="0" w:color="auto"/>
        <w:left w:val="none" w:sz="0" w:space="0" w:color="auto"/>
        <w:bottom w:val="none" w:sz="0" w:space="0" w:color="auto"/>
        <w:right w:val="none" w:sz="0" w:space="0" w:color="auto"/>
      </w:divBdr>
    </w:div>
    <w:div w:id="507136654">
      <w:bodyDiv w:val="1"/>
      <w:marLeft w:val="0"/>
      <w:marRight w:val="0"/>
      <w:marTop w:val="0"/>
      <w:marBottom w:val="0"/>
      <w:divBdr>
        <w:top w:val="none" w:sz="0" w:space="0" w:color="auto"/>
        <w:left w:val="none" w:sz="0" w:space="0" w:color="auto"/>
        <w:bottom w:val="none" w:sz="0" w:space="0" w:color="auto"/>
        <w:right w:val="none" w:sz="0" w:space="0" w:color="auto"/>
      </w:divBdr>
    </w:div>
    <w:div w:id="507790253">
      <w:bodyDiv w:val="1"/>
      <w:marLeft w:val="0"/>
      <w:marRight w:val="0"/>
      <w:marTop w:val="0"/>
      <w:marBottom w:val="0"/>
      <w:divBdr>
        <w:top w:val="none" w:sz="0" w:space="0" w:color="auto"/>
        <w:left w:val="none" w:sz="0" w:space="0" w:color="auto"/>
        <w:bottom w:val="none" w:sz="0" w:space="0" w:color="auto"/>
        <w:right w:val="none" w:sz="0" w:space="0" w:color="auto"/>
      </w:divBdr>
    </w:div>
    <w:div w:id="515078691">
      <w:bodyDiv w:val="1"/>
      <w:marLeft w:val="0"/>
      <w:marRight w:val="0"/>
      <w:marTop w:val="0"/>
      <w:marBottom w:val="0"/>
      <w:divBdr>
        <w:top w:val="none" w:sz="0" w:space="0" w:color="auto"/>
        <w:left w:val="none" w:sz="0" w:space="0" w:color="auto"/>
        <w:bottom w:val="none" w:sz="0" w:space="0" w:color="auto"/>
        <w:right w:val="none" w:sz="0" w:space="0" w:color="auto"/>
      </w:divBdr>
    </w:div>
    <w:div w:id="581256717">
      <w:bodyDiv w:val="1"/>
      <w:marLeft w:val="0"/>
      <w:marRight w:val="0"/>
      <w:marTop w:val="0"/>
      <w:marBottom w:val="0"/>
      <w:divBdr>
        <w:top w:val="none" w:sz="0" w:space="0" w:color="auto"/>
        <w:left w:val="none" w:sz="0" w:space="0" w:color="auto"/>
        <w:bottom w:val="none" w:sz="0" w:space="0" w:color="auto"/>
        <w:right w:val="none" w:sz="0" w:space="0" w:color="auto"/>
      </w:divBdr>
    </w:div>
    <w:div w:id="594632952">
      <w:bodyDiv w:val="1"/>
      <w:marLeft w:val="0"/>
      <w:marRight w:val="0"/>
      <w:marTop w:val="0"/>
      <w:marBottom w:val="0"/>
      <w:divBdr>
        <w:top w:val="none" w:sz="0" w:space="0" w:color="auto"/>
        <w:left w:val="none" w:sz="0" w:space="0" w:color="auto"/>
        <w:bottom w:val="none" w:sz="0" w:space="0" w:color="auto"/>
        <w:right w:val="none" w:sz="0" w:space="0" w:color="auto"/>
      </w:divBdr>
    </w:div>
    <w:div w:id="595023298">
      <w:bodyDiv w:val="1"/>
      <w:marLeft w:val="0"/>
      <w:marRight w:val="0"/>
      <w:marTop w:val="0"/>
      <w:marBottom w:val="0"/>
      <w:divBdr>
        <w:top w:val="none" w:sz="0" w:space="0" w:color="auto"/>
        <w:left w:val="none" w:sz="0" w:space="0" w:color="auto"/>
        <w:bottom w:val="none" w:sz="0" w:space="0" w:color="auto"/>
        <w:right w:val="none" w:sz="0" w:space="0" w:color="auto"/>
      </w:divBdr>
    </w:div>
    <w:div w:id="634721375">
      <w:bodyDiv w:val="1"/>
      <w:marLeft w:val="0"/>
      <w:marRight w:val="0"/>
      <w:marTop w:val="0"/>
      <w:marBottom w:val="0"/>
      <w:divBdr>
        <w:top w:val="none" w:sz="0" w:space="0" w:color="auto"/>
        <w:left w:val="none" w:sz="0" w:space="0" w:color="auto"/>
        <w:bottom w:val="none" w:sz="0" w:space="0" w:color="auto"/>
        <w:right w:val="none" w:sz="0" w:space="0" w:color="auto"/>
      </w:divBdr>
    </w:div>
    <w:div w:id="740904418">
      <w:bodyDiv w:val="1"/>
      <w:marLeft w:val="0"/>
      <w:marRight w:val="0"/>
      <w:marTop w:val="0"/>
      <w:marBottom w:val="0"/>
      <w:divBdr>
        <w:top w:val="none" w:sz="0" w:space="0" w:color="auto"/>
        <w:left w:val="none" w:sz="0" w:space="0" w:color="auto"/>
        <w:bottom w:val="none" w:sz="0" w:space="0" w:color="auto"/>
        <w:right w:val="none" w:sz="0" w:space="0" w:color="auto"/>
      </w:divBdr>
    </w:div>
    <w:div w:id="815343937">
      <w:bodyDiv w:val="1"/>
      <w:marLeft w:val="0"/>
      <w:marRight w:val="0"/>
      <w:marTop w:val="0"/>
      <w:marBottom w:val="0"/>
      <w:divBdr>
        <w:top w:val="none" w:sz="0" w:space="0" w:color="auto"/>
        <w:left w:val="none" w:sz="0" w:space="0" w:color="auto"/>
        <w:bottom w:val="none" w:sz="0" w:space="0" w:color="auto"/>
        <w:right w:val="none" w:sz="0" w:space="0" w:color="auto"/>
      </w:divBdr>
    </w:div>
    <w:div w:id="894124331">
      <w:bodyDiv w:val="1"/>
      <w:marLeft w:val="0"/>
      <w:marRight w:val="0"/>
      <w:marTop w:val="0"/>
      <w:marBottom w:val="0"/>
      <w:divBdr>
        <w:top w:val="none" w:sz="0" w:space="0" w:color="auto"/>
        <w:left w:val="none" w:sz="0" w:space="0" w:color="auto"/>
        <w:bottom w:val="none" w:sz="0" w:space="0" w:color="auto"/>
        <w:right w:val="none" w:sz="0" w:space="0" w:color="auto"/>
      </w:divBdr>
    </w:div>
    <w:div w:id="907108629">
      <w:bodyDiv w:val="1"/>
      <w:marLeft w:val="0"/>
      <w:marRight w:val="0"/>
      <w:marTop w:val="0"/>
      <w:marBottom w:val="0"/>
      <w:divBdr>
        <w:top w:val="none" w:sz="0" w:space="0" w:color="auto"/>
        <w:left w:val="none" w:sz="0" w:space="0" w:color="auto"/>
        <w:bottom w:val="none" w:sz="0" w:space="0" w:color="auto"/>
        <w:right w:val="none" w:sz="0" w:space="0" w:color="auto"/>
      </w:divBdr>
    </w:div>
    <w:div w:id="907154467">
      <w:bodyDiv w:val="1"/>
      <w:marLeft w:val="0"/>
      <w:marRight w:val="0"/>
      <w:marTop w:val="0"/>
      <w:marBottom w:val="0"/>
      <w:divBdr>
        <w:top w:val="none" w:sz="0" w:space="0" w:color="auto"/>
        <w:left w:val="none" w:sz="0" w:space="0" w:color="auto"/>
        <w:bottom w:val="none" w:sz="0" w:space="0" w:color="auto"/>
        <w:right w:val="none" w:sz="0" w:space="0" w:color="auto"/>
      </w:divBdr>
    </w:div>
    <w:div w:id="927344046">
      <w:bodyDiv w:val="1"/>
      <w:marLeft w:val="0"/>
      <w:marRight w:val="0"/>
      <w:marTop w:val="0"/>
      <w:marBottom w:val="0"/>
      <w:divBdr>
        <w:top w:val="none" w:sz="0" w:space="0" w:color="auto"/>
        <w:left w:val="none" w:sz="0" w:space="0" w:color="auto"/>
        <w:bottom w:val="none" w:sz="0" w:space="0" w:color="auto"/>
        <w:right w:val="none" w:sz="0" w:space="0" w:color="auto"/>
      </w:divBdr>
    </w:div>
    <w:div w:id="976029959">
      <w:bodyDiv w:val="1"/>
      <w:marLeft w:val="0"/>
      <w:marRight w:val="0"/>
      <w:marTop w:val="0"/>
      <w:marBottom w:val="0"/>
      <w:divBdr>
        <w:top w:val="none" w:sz="0" w:space="0" w:color="auto"/>
        <w:left w:val="none" w:sz="0" w:space="0" w:color="auto"/>
        <w:bottom w:val="none" w:sz="0" w:space="0" w:color="auto"/>
        <w:right w:val="none" w:sz="0" w:space="0" w:color="auto"/>
      </w:divBdr>
    </w:div>
    <w:div w:id="1056201776">
      <w:bodyDiv w:val="1"/>
      <w:marLeft w:val="0"/>
      <w:marRight w:val="0"/>
      <w:marTop w:val="0"/>
      <w:marBottom w:val="0"/>
      <w:divBdr>
        <w:top w:val="none" w:sz="0" w:space="0" w:color="auto"/>
        <w:left w:val="none" w:sz="0" w:space="0" w:color="auto"/>
        <w:bottom w:val="none" w:sz="0" w:space="0" w:color="auto"/>
        <w:right w:val="none" w:sz="0" w:space="0" w:color="auto"/>
      </w:divBdr>
    </w:div>
    <w:div w:id="1057096387">
      <w:bodyDiv w:val="1"/>
      <w:marLeft w:val="0"/>
      <w:marRight w:val="0"/>
      <w:marTop w:val="0"/>
      <w:marBottom w:val="0"/>
      <w:divBdr>
        <w:top w:val="none" w:sz="0" w:space="0" w:color="auto"/>
        <w:left w:val="none" w:sz="0" w:space="0" w:color="auto"/>
        <w:bottom w:val="none" w:sz="0" w:space="0" w:color="auto"/>
        <w:right w:val="none" w:sz="0" w:space="0" w:color="auto"/>
      </w:divBdr>
    </w:div>
    <w:div w:id="1190611003">
      <w:bodyDiv w:val="1"/>
      <w:marLeft w:val="0"/>
      <w:marRight w:val="0"/>
      <w:marTop w:val="0"/>
      <w:marBottom w:val="0"/>
      <w:divBdr>
        <w:top w:val="none" w:sz="0" w:space="0" w:color="auto"/>
        <w:left w:val="none" w:sz="0" w:space="0" w:color="auto"/>
        <w:bottom w:val="none" w:sz="0" w:space="0" w:color="auto"/>
        <w:right w:val="none" w:sz="0" w:space="0" w:color="auto"/>
      </w:divBdr>
    </w:div>
    <w:div w:id="1207526505">
      <w:bodyDiv w:val="1"/>
      <w:marLeft w:val="0"/>
      <w:marRight w:val="0"/>
      <w:marTop w:val="0"/>
      <w:marBottom w:val="0"/>
      <w:divBdr>
        <w:top w:val="none" w:sz="0" w:space="0" w:color="auto"/>
        <w:left w:val="none" w:sz="0" w:space="0" w:color="auto"/>
        <w:bottom w:val="none" w:sz="0" w:space="0" w:color="auto"/>
        <w:right w:val="none" w:sz="0" w:space="0" w:color="auto"/>
      </w:divBdr>
    </w:div>
    <w:div w:id="1227763721">
      <w:bodyDiv w:val="1"/>
      <w:marLeft w:val="0"/>
      <w:marRight w:val="0"/>
      <w:marTop w:val="0"/>
      <w:marBottom w:val="0"/>
      <w:divBdr>
        <w:top w:val="none" w:sz="0" w:space="0" w:color="auto"/>
        <w:left w:val="none" w:sz="0" w:space="0" w:color="auto"/>
        <w:bottom w:val="none" w:sz="0" w:space="0" w:color="auto"/>
        <w:right w:val="none" w:sz="0" w:space="0" w:color="auto"/>
      </w:divBdr>
    </w:div>
    <w:div w:id="1230921415">
      <w:bodyDiv w:val="1"/>
      <w:marLeft w:val="0"/>
      <w:marRight w:val="0"/>
      <w:marTop w:val="0"/>
      <w:marBottom w:val="0"/>
      <w:divBdr>
        <w:top w:val="none" w:sz="0" w:space="0" w:color="auto"/>
        <w:left w:val="none" w:sz="0" w:space="0" w:color="auto"/>
        <w:bottom w:val="none" w:sz="0" w:space="0" w:color="auto"/>
        <w:right w:val="none" w:sz="0" w:space="0" w:color="auto"/>
      </w:divBdr>
    </w:div>
    <w:div w:id="1255361943">
      <w:bodyDiv w:val="1"/>
      <w:marLeft w:val="0"/>
      <w:marRight w:val="0"/>
      <w:marTop w:val="0"/>
      <w:marBottom w:val="0"/>
      <w:divBdr>
        <w:top w:val="none" w:sz="0" w:space="0" w:color="auto"/>
        <w:left w:val="none" w:sz="0" w:space="0" w:color="auto"/>
        <w:bottom w:val="none" w:sz="0" w:space="0" w:color="auto"/>
        <w:right w:val="none" w:sz="0" w:space="0" w:color="auto"/>
      </w:divBdr>
    </w:div>
    <w:div w:id="1290631295">
      <w:bodyDiv w:val="1"/>
      <w:marLeft w:val="0"/>
      <w:marRight w:val="0"/>
      <w:marTop w:val="0"/>
      <w:marBottom w:val="0"/>
      <w:divBdr>
        <w:top w:val="none" w:sz="0" w:space="0" w:color="auto"/>
        <w:left w:val="none" w:sz="0" w:space="0" w:color="auto"/>
        <w:bottom w:val="none" w:sz="0" w:space="0" w:color="auto"/>
        <w:right w:val="none" w:sz="0" w:space="0" w:color="auto"/>
      </w:divBdr>
    </w:div>
    <w:div w:id="1344554808">
      <w:bodyDiv w:val="1"/>
      <w:marLeft w:val="0"/>
      <w:marRight w:val="0"/>
      <w:marTop w:val="0"/>
      <w:marBottom w:val="0"/>
      <w:divBdr>
        <w:top w:val="none" w:sz="0" w:space="0" w:color="auto"/>
        <w:left w:val="none" w:sz="0" w:space="0" w:color="auto"/>
        <w:bottom w:val="none" w:sz="0" w:space="0" w:color="auto"/>
        <w:right w:val="none" w:sz="0" w:space="0" w:color="auto"/>
      </w:divBdr>
    </w:div>
    <w:div w:id="1369993976">
      <w:bodyDiv w:val="1"/>
      <w:marLeft w:val="0"/>
      <w:marRight w:val="0"/>
      <w:marTop w:val="0"/>
      <w:marBottom w:val="0"/>
      <w:divBdr>
        <w:top w:val="none" w:sz="0" w:space="0" w:color="auto"/>
        <w:left w:val="none" w:sz="0" w:space="0" w:color="auto"/>
        <w:bottom w:val="none" w:sz="0" w:space="0" w:color="auto"/>
        <w:right w:val="none" w:sz="0" w:space="0" w:color="auto"/>
      </w:divBdr>
    </w:div>
    <w:div w:id="1408184945">
      <w:bodyDiv w:val="1"/>
      <w:marLeft w:val="0"/>
      <w:marRight w:val="0"/>
      <w:marTop w:val="0"/>
      <w:marBottom w:val="0"/>
      <w:divBdr>
        <w:top w:val="none" w:sz="0" w:space="0" w:color="auto"/>
        <w:left w:val="none" w:sz="0" w:space="0" w:color="auto"/>
        <w:bottom w:val="none" w:sz="0" w:space="0" w:color="auto"/>
        <w:right w:val="none" w:sz="0" w:space="0" w:color="auto"/>
      </w:divBdr>
    </w:div>
    <w:div w:id="1415542698">
      <w:bodyDiv w:val="1"/>
      <w:marLeft w:val="0"/>
      <w:marRight w:val="0"/>
      <w:marTop w:val="0"/>
      <w:marBottom w:val="0"/>
      <w:divBdr>
        <w:top w:val="none" w:sz="0" w:space="0" w:color="auto"/>
        <w:left w:val="none" w:sz="0" w:space="0" w:color="auto"/>
        <w:bottom w:val="none" w:sz="0" w:space="0" w:color="auto"/>
        <w:right w:val="none" w:sz="0" w:space="0" w:color="auto"/>
      </w:divBdr>
    </w:div>
    <w:div w:id="1471748533">
      <w:bodyDiv w:val="1"/>
      <w:marLeft w:val="0"/>
      <w:marRight w:val="0"/>
      <w:marTop w:val="0"/>
      <w:marBottom w:val="0"/>
      <w:divBdr>
        <w:top w:val="none" w:sz="0" w:space="0" w:color="auto"/>
        <w:left w:val="none" w:sz="0" w:space="0" w:color="auto"/>
        <w:bottom w:val="none" w:sz="0" w:space="0" w:color="auto"/>
        <w:right w:val="none" w:sz="0" w:space="0" w:color="auto"/>
      </w:divBdr>
    </w:div>
    <w:div w:id="1497303921">
      <w:bodyDiv w:val="1"/>
      <w:marLeft w:val="0"/>
      <w:marRight w:val="0"/>
      <w:marTop w:val="0"/>
      <w:marBottom w:val="0"/>
      <w:divBdr>
        <w:top w:val="none" w:sz="0" w:space="0" w:color="auto"/>
        <w:left w:val="none" w:sz="0" w:space="0" w:color="auto"/>
        <w:bottom w:val="none" w:sz="0" w:space="0" w:color="auto"/>
        <w:right w:val="none" w:sz="0" w:space="0" w:color="auto"/>
      </w:divBdr>
    </w:div>
    <w:div w:id="1527912969">
      <w:bodyDiv w:val="1"/>
      <w:marLeft w:val="0"/>
      <w:marRight w:val="0"/>
      <w:marTop w:val="0"/>
      <w:marBottom w:val="0"/>
      <w:divBdr>
        <w:top w:val="none" w:sz="0" w:space="0" w:color="auto"/>
        <w:left w:val="none" w:sz="0" w:space="0" w:color="auto"/>
        <w:bottom w:val="none" w:sz="0" w:space="0" w:color="auto"/>
        <w:right w:val="none" w:sz="0" w:space="0" w:color="auto"/>
      </w:divBdr>
    </w:div>
    <w:div w:id="1572428229">
      <w:bodyDiv w:val="1"/>
      <w:marLeft w:val="0"/>
      <w:marRight w:val="0"/>
      <w:marTop w:val="0"/>
      <w:marBottom w:val="0"/>
      <w:divBdr>
        <w:top w:val="none" w:sz="0" w:space="0" w:color="auto"/>
        <w:left w:val="none" w:sz="0" w:space="0" w:color="auto"/>
        <w:bottom w:val="none" w:sz="0" w:space="0" w:color="auto"/>
        <w:right w:val="none" w:sz="0" w:space="0" w:color="auto"/>
      </w:divBdr>
      <w:divsChild>
        <w:div w:id="613247006">
          <w:marLeft w:val="0"/>
          <w:marRight w:val="0"/>
          <w:marTop w:val="0"/>
          <w:marBottom w:val="0"/>
          <w:divBdr>
            <w:top w:val="none" w:sz="0" w:space="0" w:color="auto"/>
            <w:left w:val="none" w:sz="0" w:space="0" w:color="auto"/>
            <w:bottom w:val="none" w:sz="0" w:space="0" w:color="auto"/>
            <w:right w:val="none" w:sz="0" w:space="0" w:color="auto"/>
          </w:divBdr>
          <w:divsChild>
            <w:div w:id="2812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2114">
      <w:bodyDiv w:val="1"/>
      <w:marLeft w:val="0"/>
      <w:marRight w:val="0"/>
      <w:marTop w:val="0"/>
      <w:marBottom w:val="0"/>
      <w:divBdr>
        <w:top w:val="none" w:sz="0" w:space="0" w:color="auto"/>
        <w:left w:val="none" w:sz="0" w:space="0" w:color="auto"/>
        <w:bottom w:val="none" w:sz="0" w:space="0" w:color="auto"/>
        <w:right w:val="none" w:sz="0" w:space="0" w:color="auto"/>
      </w:divBdr>
    </w:div>
    <w:div w:id="1611818498">
      <w:bodyDiv w:val="1"/>
      <w:marLeft w:val="0"/>
      <w:marRight w:val="0"/>
      <w:marTop w:val="0"/>
      <w:marBottom w:val="0"/>
      <w:divBdr>
        <w:top w:val="none" w:sz="0" w:space="0" w:color="auto"/>
        <w:left w:val="none" w:sz="0" w:space="0" w:color="auto"/>
        <w:bottom w:val="none" w:sz="0" w:space="0" w:color="auto"/>
        <w:right w:val="none" w:sz="0" w:space="0" w:color="auto"/>
      </w:divBdr>
    </w:div>
    <w:div w:id="1627200552">
      <w:bodyDiv w:val="1"/>
      <w:marLeft w:val="0"/>
      <w:marRight w:val="0"/>
      <w:marTop w:val="0"/>
      <w:marBottom w:val="0"/>
      <w:divBdr>
        <w:top w:val="none" w:sz="0" w:space="0" w:color="auto"/>
        <w:left w:val="none" w:sz="0" w:space="0" w:color="auto"/>
        <w:bottom w:val="none" w:sz="0" w:space="0" w:color="auto"/>
        <w:right w:val="none" w:sz="0" w:space="0" w:color="auto"/>
      </w:divBdr>
    </w:div>
    <w:div w:id="1676372174">
      <w:bodyDiv w:val="1"/>
      <w:marLeft w:val="0"/>
      <w:marRight w:val="0"/>
      <w:marTop w:val="0"/>
      <w:marBottom w:val="0"/>
      <w:divBdr>
        <w:top w:val="none" w:sz="0" w:space="0" w:color="auto"/>
        <w:left w:val="none" w:sz="0" w:space="0" w:color="auto"/>
        <w:bottom w:val="none" w:sz="0" w:space="0" w:color="auto"/>
        <w:right w:val="none" w:sz="0" w:space="0" w:color="auto"/>
      </w:divBdr>
    </w:div>
    <w:div w:id="1682269237">
      <w:bodyDiv w:val="1"/>
      <w:marLeft w:val="0"/>
      <w:marRight w:val="0"/>
      <w:marTop w:val="0"/>
      <w:marBottom w:val="0"/>
      <w:divBdr>
        <w:top w:val="none" w:sz="0" w:space="0" w:color="auto"/>
        <w:left w:val="none" w:sz="0" w:space="0" w:color="auto"/>
        <w:bottom w:val="none" w:sz="0" w:space="0" w:color="auto"/>
        <w:right w:val="none" w:sz="0" w:space="0" w:color="auto"/>
      </w:divBdr>
    </w:div>
    <w:div w:id="1822771859">
      <w:bodyDiv w:val="1"/>
      <w:marLeft w:val="0"/>
      <w:marRight w:val="0"/>
      <w:marTop w:val="0"/>
      <w:marBottom w:val="0"/>
      <w:divBdr>
        <w:top w:val="none" w:sz="0" w:space="0" w:color="auto"/>
        <w:left w:val="none" w:sz="0" w:space="0" w:color="auto"/>
        <w:bottom w:val="none" w:sz="0" w:space="0" w:color="auto"/>
        <w:right w:val="none" w:sz="0" w:space="0" w:color="auto"/>
      </w:divBdr>
      <w:divsChild>
        <w:div w:id="411246814">
          <w:marLeft w:val="0"/>
          <w:marRight w:val="0"/>
          <w:marTop w:val="0"/>
          <w:marBottom w:val="0"/>
          <w:divBdr>
            <w:top w:val="none" w:sz="0" w:space="0" w:color="auto"/>
            <w:left w:val="none" w:sz="0" w:space="0" w:color="auto"/>
            <w:bottom w:val="none" w:sz="0" w:space="0" w:color="auto"/>
            <w:right w:val="none" w:sz="0" w:space="0" w:color="auto"/>
          </w:divBdr>
          <w:divsChild>
            <w:div w:id="17612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7292">
      <w:bodyDiv w:val="1"/>
      <w:marLeft w:val="0"/>
      <w:marRight w:val="0"/>
      <w:marTop w:val="0"/>
      <w:marBottom w:val="0"/>
      <w:divBdr>
        <w:top w:val="none" w:sz="0" w:space="0" w:color="auto"/>
        <w:left w:val="none" w:sz="0" w:space="0" w:color="auto"/>
        <w:bottom w:val="none" w:sz="0" w:space="0" w:color="auto"/>
        <w:right w:val="none" w:sz="0" w:space="0" w:color="auto"/>
      </w:divBdr>
      <w:divsChild>
        <w:div w:id="1255364513">
          <w:marLeft w:val="0"/>
          <w:marRight w:val="75"/>
          <w:marTop w:val="150"/>
          <w:marBottom w:val="0"/>
          <w:divBdr>
            <w:top w:val="single" w:sz="6" w:space="2" w:color="94C0D2"/>
            <w:left w:val="single" w:sz="6" w:space="2" w:color="94C0D2"/>
            <w:bottom w:val="single" w:sz="6" w:space="4" w:color="94C0D2"/>
            <w:right w:val="single" w:sz="6" w:space="2" w:color="94C0D2"/>
          </w:divBdr>
        </w:div>
      </w:divsChild>
    </w:div>
    <w:div w:id="1845364381">
      <w:bodyDiv w:val="1"/>
      <w:marLeft w:val="0"/>
      <w:marRight w:val="0"/>
      <w:marTop w:val="0"/>
      <w:marBottom w:val="0"/>
      <w:divBdr>
        <w:top w:val="none" w:sz="0" w:space="0" w:color="auto"/>
        <w:left w:val="none" w:sz="0" w:space="0" w:color="auto"/>
        <w:bottom w:val="none" w:sz="0" w:space="0" w:color="auto"/>
        <w:right w:val="none" w:sz="0" w:space="0" w:color="auto"/>
      </w:divBdr>
    </w:div>
    <w:div w:id="1855414422">
      <w:bodyDiv w:val="1"/>
      <w:marLeft w:val="0"/>
      <w:marRight w:val="0"/>
      <w:marTop w:val="0"/>
      <w:marBottom w:val="0"/>
      <w:divBdr>
        <w:top w:val="none" w:sz="0" w:space="0" w:color="auto"/>
        <w:left w:val="none" w:sz="0" w:space="0" w:color="auto"/>
        <w:bottom w:val="none" w:sz="0" w:space="0" w:color="auto"/>
        <w:right w:val="none" w:sz="0" w:space="0" w:color="auto"/>
      </w:divBdr>
    </w:div>
    <w:div w:id="1857842688">
      <w:bodyDiv w:val="1"/>
      <w:marLeft w:val="0"/>
      <w:marRight w:val="0"/>
      <w:marTop w:val="0"/>
      <w:marBottom w:val="0"/>
      <w:divBdr>
        <w:top w:val="none" w:sz="0" w:space="0" w:color="auto"/>
        <w:left w:val="none" w:sz="0" w:space="0" w:color="auto"/>
        <w:bottom w:val="none" w:sz="0" w:space="0" w:color="auto"/>
        <w:right w:val="none" w:sz="0" w:space="0" w:color="auto"/>
      </w:divBdr>
    </w:div>
    <w:div w:id="1866597302">
      <w:bodyDiv w:val="1"/>
      <w:marLeft w:val="0"/>
      <w:marRight w:val="0"/>
      <w:marTop w:val="0"/>
      <w:marBottom w:val="0"/>
      <w:divBdr>
        <w:top w:val="none" w:sz="0" w:space="0" w:color="auto"/>
        <w:left w:val="none" w:sz="0" w:space="0" w:color="auto"/>
        <w:bottom w:val="none" w:sz="0" w:space="0" w:color="auto"/>
        <w:right w:val="none" w:sz="0" w:space="0" w:color="auto"/>
      </w:divBdr>
    </w:div>
    <w:div w:id="1910580249">
      <w:bodyDiv w:val="1"/>
      <w:marLeft w:val="0"/>
      <w:marRight w:val="0"/>
      <w:marTop w:val="0"/>
      <w:marBottom w:val="0"/>
      <w:divBdr>
        <w:top w:val="none" w:sz="0" w:space="0" w:color="auto"/>
        <w:left w:val="none" w:sz="0" w:space="0" w:color="auto"/>
        <w:bottom w:val="none" w:sz="0" w:space="0" w:color="auto"/>
        <w:right w:val="none" w:sz="0" w:space="0" w:color="auto"/>
      </w:divBdr>
    </w:div>
    <w:div w:id="1923564628">
      <w:bodyDiv w:val="1"/>
      <w:marLeft w:val="0"/>
      <w:marRight w:val="0"/>
      <w:marTop w:val="0"/>
      <w:marBottom w:val="0"/>
      <w:divBdr>
        <w:top w:val="none" w:sz="0" w:space="0" w:color="auto"/>
        <w:left w:val="none" w:sz="0" w:space="0" w:color="auto"/>
        <w:bottom w:val="none" w:sz="0" w:space="0" w:color="auto"/>
        <w:right w:val="none" w:sz="0" w:space="0" w:color="auto"/>
      </w:divBdr>
      <w:divsChild>
        <w:div w:id="211158096">
          <w:marLeft w:val="0"/>
          <w:marRight w:val="0"/>
          <w:marTop w:val="0"/>
          <w:marBottom w:val="0"/>
          <w:divBdr>
            <w:top w:val="none" w:sz="0" w:space="0" w:color="auto"/>
            <w:left w:val="none" w:sz="0" w:space="0" w:color="auto"/>
            <w:bottom w:val="none" w:sz="0" w:space="0" w:color="auto"/>
            <w:right w:val="none" w:sz="0" w:space="0" w:color="auto"/>
          </w:divBdr>
          <w:divsChild>
            <w:div w:id="8803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00189">
      <w:bodyDiv w:val="1"/>
      <w:marLeft w:val="0"/>
      <w:marRight w:val="0"/>
      <w:marTop w:val="0"/>
      <w:marBottom w:val="0"/>
      <w:divBdr>
        <w:top w:val="none" w:sz="0" w:space="0" w:color="auto"/>
        <w:left w:val="none" w:sz="0" w:space="0" w:color="auto"/>
        <w:bottom w:val="none" w:sz="0" w:space="0" w:color="auto"/>
        <w:right w:val="none" w:sz="0" w:space="0" w:color="auto"/>
      </w:divBdr>
    </w:div>
    <w:div w:id="21385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6.xml"/><Relationship Id="R907d0469d4ca4e9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32" Type="http://schemas.openxmlformats.org/officeDocument/2006/relationships/hyperlink" Target="https://myintracomm.ec.europa.eu/budgweb/EN/pre/legalbasis/Pages/pre-040-020_preparation.aspx" TargetMode="Externa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19/1161/oj" TargetMode="External"/><Relationship Id="rId13" Type="http://schemas.openxmlformats.org/officeDocument/2006/relationships/hyperlink" Target="https://myintracomm.ec.europa.eu/budgweb/EN/man/budgmanag/Pages/budgmanag.aspx" TargetMode="External"/><Relationship Id="rId3" Type="http://schemas.openxmlformats.org/officeDocument/2006/relationships/hyperlink" Target="https://www.eea.europa.eu/data-and-maps/dashboards/air-pollutant-emissions-data-viewer-3" TargetMode="External"/><Relationship Id="rId7" Type="http://schemas.openxmlformats.org/officeDocument/2006/relationships/hyperlink" Target="https://eur-lex.europa.eu/legal-content/EN/TXT/?uri=CELEX:01999L0062-20220324" TargetMode="External"/><Relationship Id="rId12" Type="http://schemas.openxmlformats.org/officeDocument/2006/relationships/hyperlink" Target="https://eur-lex.europa.eu/legal-content/EN/AUTO/?uri=OJ:L:2016:123:TOC" TargetMode="External"/><Relationship Id="rId2" Type="http://schemas.openxmlformats.org/officeDocument/2006/relationships/hyperlink" Target="https://ec.europa.eu/jrc/en/publication/eur-scientific-and-technical-research-reports/urban-no2-atlas" TargetMode="External"/><Relationship Id="rId1" Type="http://schemas.openxmlformats.org/officeDocument/2006/relationships/hyperlink" Target="https://www.eea.europa.eu/publications/air-quality-in-europe-2020-report" TargetMode="External"/><Relationship Id="rId6" Type="http://schemas.openxmlformats.org/officeDocument/2006/relationships/hyperlink" Target="https://eur-lex.europa.eu/eli/dir/2014/47/oj" TargetMode="External"/><Relationship Id="rId11" Type="http://schemas.openxmlformats.org/officeDocument/2006/relationships/hyperlink" Target="https://ec.europa.eu/growth/single-market/barriers-to-trade/tris_en" TargetMode="External"/><Relationship Id="rId5" Type="http://schemas.openxmlformats.org/officeDocument/2006/relationships/hyperlink" Target="https://eur-lex.europa.eu/legal-content/EN/TXT/?uri=CELEX:02014L0045-20140429" TargetMode="External"/><Relationship Id="rId10" Type="http://schemas.openxmlformats.org/officeDocument/2006/relationships/hyperlink" Target="https://eur-lex.europa.eu/legal-content/EN/TXT/?uri=CELEX:32015L1535" TargetMode="External"/><Relationship Id="rId4" Type="http://schemas.openxmlformats.org/officeDocument/2006/relationships/hyperlink" Target="https://eur-lex.europa.eu/legal-content/EN/TXT/?uri=CELEX%3A32021R1119" TargetMode="External"/><Relationship Id="rId9" Type="http://schemas.openxmlformats.org/officeDocument/2006/relationships/hyperlink" Target="https://eur-lex.europa.eu/legal-content/EN/TXT/?uri=CELEX:32009L0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022355D095418BCCBAB2C9595792" ma:contentTypeVersion="4" ma:contentTypeDescription="Create a new document." ma:contentTypeScope="" ma:versionID="afdcc8308d20dec41e9ac58c3309ad8b">
  <xsd:schema xmlns:xsd="http://www.w3.org/2001/XMLSchema" xmlns:xs="http://www.w3.org/2001/XMLSchema" xmlns:p="http://schemas.microsoft.com/office/2006/metadata/properties" xmlns:ns2="d090e755-ed03-407b-8653-914a32a3c5c2" targetNamespace="http://schemas.microsoft.com/office/2006/metadata/properties" ma:root="true" ma:fieldsID="bf707d50cf03a3e6dcefbde5c262c6b2" ns2:_="">
    <xsd:import namespace="d090e755-ed03-407b-8653-914a32a3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e755-ed03-407b-8653-914a32a3c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5EDE-C7EC-42DA-8BF7-4498042F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e755-ed03-407b-8653-914a32a3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6B0DF-3198-4976-89F2-BEB4A50151C2}">
  <ds:schemaRefs>
    <ds:schemaRef ds:uri="d090e755-ed03-407b-8653-914a32a3c5c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9E284B-E7AC-411F-B92A-CB49B8D04822}">
  <ds:schemaRefs>
    <ds:schemaRef ds:uri="http://schemas.microsoft.com/sharepoint/v3/contenttype/forms"/>
  </ds:schemaRefs>
</ds:datastoreItem>
</file>

<file path=customXml/itemProps4.xml><?xml version="1.0" encoding="utf-8"?>
<ds:datastoreItem xmlns:ds="http://schemas.openxmlformats.org/officeDocument/2006/customXml" ds:itemID="{9EC060B9-F0F2-425E-B7C1-6BA3786C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66</Pages>
  <Words>21690</Words>
  <Characters>122551</Characters>
  <Application>Microsoft Office Word</Application>
  <DocSecurity>0</DocSecurity>
  <Lines>3713</Lines>
  <Paragraphs>1442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2022-11-08T19:19:00Z</dcterms:created>
  <dcterms:modified xsi:type="dcterms:W3CDTF">2022-11-09T16:25:00Z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2022-10-08T16:26:29Z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fd817515-3ae0-4fb6-a549-225629290025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20220902</vt:lpwstr>
  </property>
  <property fmtid="{D5CDD505-2E9C-101B-9397-08002B2CF9AE}" pid="12" name="ContentTypeId">
    <vt:lpwstr>0x010100D5F0022355D095418BCCBAB2C9595792</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Red (DQC version 03)</vt:lpwstr>
  </property>
</Properties>
</file>