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C5" w:rsidRPr="00CB54DD" w:rsidRDefault="00256C94" w:rsidP="00256C9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D918514-B837-4D6B-B71A-B5940B84670E" style="width:455.4pt;height:480.6pt">
            <v:imagedata r:id="rId14" o:title=""/>
          </v:shape>
        </w:pict>
      </w:r>
    </w:p>
    <w:p w:rsidR="00C961C5" w:rsidRPr="00CB54DD" w:rsidRDefault="00C961C5" w:rsidP="00315E38">
      <w:pPr>
        <w:rPr>
          <w:noProof/>
        </w:rPr>
        <w:sectPr w:rsidR="00C961C5" w:rsidRPr="00CB54DD" w:rsidSect="00256C94">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0"/>
          <w:cols w:space="720"/>
          <w:docGrid w:linePitch="360"/>
        </w:sectPr>
      </w:pPr>
    </w:p>
    <w:p w:rsidR="00211B11" w:rsidRPr="000B434C" w:rsidRDefault="00211B11" w:rsidP="00211B11">
      <w:pPr>
        <w:pStyle w:val="Exposdesmotifstitre"/>
        <w:rPr>
          <w:noProof/>
        </w:rPr>
      </w:pPr>
      <w:bookmarkStart w:id="0" w:name="_GoBack"/>
      <w:bookmarkEnd w:id="0"/>
      <w:r w:rsidRPr="000B434C">
        <w:rPr>
          <w:noProof/>
        </w:rPr>
        <w:lastRenderedPageBreak/>
        <w:t>EXPLANATORY MEMORANDUM</w:t>
      </w:r>
    </w:p>
    <w:p w:rsidR="00211B11" w:rsidRPr="000B434C" w:rsidRDefault="00211B11" w:rsidP="00211B11">
      <w:pPr>
        <w:pStyle w:val="ManualHeading1"/>
        <w:rPr>
          <w:noProof/>
        </w:rPr>
      </w:pPr>
      <w:r w:rsidRPr="000B434C">
        <w:rPr>
          <w:noProof/>
        </w:rPr>
        <w:t>1.</w:t>
      </w:r>
      <w:r w:rsidRPr="000B434C">
        <w:rPr>
          <w:noProof/>
        </w:rPr>
        <w:tab/>
        <w:t>CONTEXT OF THE PROPOSAL</w:t>
      </w:r>
    </w:p>
    <w:p w:rsidR="00211B11" w:rsidRPr="000B434C" w:rsidRDefault="00211B11" w:rsidP="00211B11">
      <w:pPr>
        <w:pStyle w:val="ManualHeading2"/>
        <w:rPr>
          <w:rFonts w:eastAsia="Arial Unicode MS"/>
          <w:noProof/>
        </w:rPr>
      </w:pPr>
      <w:r w:rsidRPr="000B434C">
        <w:rPr>
          <w:rFonts w:eastAsia="Arial Unicode MS"/>
          <w:noProof/>
          <w:color w:val="000000"/>
          <w:u w:color="000000"/>
          <w:bdr w:val="nil"/>
          <w:lang w:eastAsia="en-GB"/>
        </w:rPr>
        <w:t>•</w:t>
      </w:r>
      <w:r w:rsidRPr="000B434C">
        <w:rPr>
          <w:rFonts w:eastAsia="Arial Unicode MS"/>
          <w:noProof/>
          <w:color w:val="000000"/>
          <w:u w:color="000000"/>
          <w:bdr w:val="nil"/>
          <w:lang w:eastAsia="en-GB"/>
        </w:rPr>
        <w:tab/>
      </w:r>
      <w:r w:rsidRPr="000B434C">
        <w:rPr>
          <w:rFonts w:eastAsia="Arial Unicode MS"/>
          <w:noProof/>
        </w:rPr>
        <w:t>Reasons for and objectives of the proposal</w:t>
      </w:r>
    </w:p>
    <w:p w:rsidR="00211B11" w:rsidRPr="000B434C" w:rsidRDefault="00211B11" w:rsidP="00211B11">
      <w:pPr>
        <w:pBdr>
          <w:top w:val="nil"/>
          <w:left w:val="nil"/>
          <w:bottom w:val="nil"/>
          <w:right w:val="nil"/>
          <w:between w:val="nil"/>
          <w:bar w:val="nil"/>
        </w:pBdr>
        <w:spacing w:after="240"/>
        <w:rPr>
          <w:rFonts w:eastAsia="Calibri"/>
          <w:noProof/>
          <w:szCs w:val="24"/>
        </w:rPr>
      </w:pPr>
      <w:r w:rsidRPr="000B434C">
        <w:rPr>
          <w:rFonts w:eastAsia="Calibri"/>
          <w:noProof/>
          <w:szCs w:val="24"/>
        </w:rPr>
        <w:t xml:space="preserve">Instant </w:t>
      </w:r>
      <w:r>
        <w:rPr>
          <w:rFonts w:eastAsia="Calibri"/>
          <w:noProof/>
          <w:szCs w:val="24"/>
        </w:rPr>
        <w:t>p</w:t>
      </w:r>
      <w:r w:rsidRPr="000B434C">
        <w:rPr>
          <w:rFonts w:eastAsia="Calibri"/>
          <w:noProof/>
          <w:szCs w:val="24"/>
        </w:rPr>
        <w:t xml:space="preserve">ayments (IPs) are a form of credit transfer whereby funds pass from the payer’s account </w:t>
      </w:r>
      <w:r>
        <w:rPr>
          <w:rFonts w:eastAsia="Calibri"/>
          <w:noProof/>
          <w:szCs w:val="24"/>
        </w:rPr>
        <w:t xml:space="preserve">to </w:t>
      </w:r>
      <w:r w:rsidRPr="000B434C">
        <w:rPr>
          <w:rFonts w:eastAsia="Calibri"/>
          <w:noProof/>
          <w:szCs w:val="24"/>
        </w:rPr>
        <w:t xml:space="preserve">the payee’s in a matter of seconds, at any time, day or night, and any day of the year. This distinguishes IPs from other credit transfers, which are processed by </w:t>
      </w:r>
      <w:r w:rsidRPr="000B434C">
        <w:rPr>
          <w:rFonts w:eastAsia="Arial Unicode MS"/>
          <w:noProof/>
        </w:rPr>
        <w:t>payment service providers (</w:t>
      </w:r>
      <w:r w:rsidRPr="000B434C">
        <w:rPr>
          <w:rFonts w:eastAsia="Calibri"/>
          <w:noProof/>
          <w:szCs w:val="24"/>
        </w:rPr>
        <w:t>PSPs)</w:t>
      </w:r>
      <w:r w:rsidRPr="000B434C">
        <w:rPr>
          <w:rStyle w:val="FootnoteReference"/>
          <w:noProof/>
        </w:rPr>
        <w:footnoteReference w:id="2"/>
      </w:r>
      <w:r w:rsidRPr="000B434C">
        <w:rPr>
          <w:rFonts w:eastAsia="Calibri"/>
          <w:noProof/>
          <w:szCs w:val="24"/>
        </w:rPr>
        <w:t xml:space="preserve"> only during business hours, </w:t>
      </w:r>
      <w:r>
        <w:rPr>
          <w:rFonts w:eastAsia="Calibri"/>
          <w:noProof/>
          <w:szCs w:val="24"/>
        </w:rPr>
        <w:t>with</w:t>
      </w:r>
      <w:r w:rsidRPr="000B434C">
        <w:rPr>
          <w:rFonts w:eastAsia="Calibri"/>
          <w:noProof/>
          <w:szCs w:val="24"/>
        </w:rPr>
        <w:t xml:space="preserve"> the funds credited to the payee only by the end of the following business day.</w:t>
      </w:r>
    </w:p>
    <w:p w:rsidR="00211B11" w:rsidRPr="000B434C" w:rsidRDefault="00211B11" w:rsidP="00211B11">
      <w:pPr>
        <w:pBdr>
          <w:top w:val="nil"/>
          <w:left w:val="nil"/>
          <w:bottom w:val="nil"/>
          <w:right w:val="nil"/>
          <w:between w:val="nil"/>
          <w:bar w:val="nil"/>
        </w:pBdr>
        <w:spacing w:after="240"/>
        <w:rPr>
          <w:rFonts w:eastAsia="Arial Unicode MS"/>
          <w:noProof/>
        </w:rPr>
      </w:pPr>
      <w:r w:rsidRPr="000B434C">
        <w:rPr>
          <w:rFonts w:eastAsia="Arial Unicode MS"/>
          <w:noProof/>
        </w:rPr>
        <w:t>IPs are a major technological innovation in payments</w:t>
      </w:r>
      <w:r>
        <w:rPr>
          <w:rFonts w:eastAsia="Arial Unicode MS"/>
          <w:noProof/>
        </w:rPr>
        <w:t>.</w:t>
      </w:r>
      <w:r w:rsidRPr="000B434C">
        <w:rPr>
          <w:rFonts w:eastAsia="Arial Unicode MS"/>
          <w:noProof/>
        </w:rPr>
        <w:t xml:space="preserve"> </w:t>
      </w:r>
      <w:r>
        <w:rPr>
          <w:rFonts w:eastAsia="Arial Unicode MS"/>
          <w:noProof/>
        </w:rPr>
        <w:t>T</w:t>
      </w:r>
      <w:r w:rsidRPr="000B434C">
        <w:rPr>
          <w:rFonts w:eastAsia="Arial Unicode MS"/>
          <w:noProof/>
        </w:rPr>
        <w:t>hey allow releasing funds that are locked in the financial system</w:t>
      </w:r>
      <w:r>
        <w:rPr>
          <w:rFonts w:eastAsia="Arial Unicode MS"/>
          <w:noProof/>
        </w:rPr>
        <w:t>,</w:t>
      </w:r>
      <w:r w:rsidRPr="000B434C">
        <w:rPr>
          <w:rFonts w:eastAsia="Arial Unicode MS"/>
          <w:noProof/>
        </w:rPr>
        <w:t xml:space="preserve"> mak</w:t>
      </w:r>
      <w:r>
        <w:rPr>
          <w:rFonts w:eastAsia="Arial Unicode MS"/>
          <w:noProof/>
        </w:rPr>
        <w:t>ing</w:t>
      </w:r>
      <w:r w:rsidRPr="000B434C">
        <w:rPr>
          <w:rFonts w:eastAsia="Arial Unicode MS"/>
          <w:noProof/>
        </w:rPr>
        <w:t xml:space="preserve"> them immediately available to end users – consumers and businesses in the EU – for consumption and investment. IPs also offer opportunities for banks and financial technology companies (fintechs) to develop new solutions for payments at the point of interaction (PoI)</w:t>
      </w:r>
      <w:r>
        <w:rPr>
          <w:rFonts w:eastAsia="Arial Unicode MS"/>
          <w:noProof/>
        </w:rPr>
        <w:t>,</w:t>
      </w:r>
      <w:r w:rsidRPr="000B434C">
        <w:rPr>
          <w:rFonts w:eastAsia="Arial Unicode MS"/>
          <w:noProof/>
        </w:rPr>
        <w:t xml:space="preserve"> </w:t>
      </w:r>
      <w:r>
        <w:rPr>
          <w:rFonts w:eastAsia="Arial Unicode MS"/>
          <w:noProof/>
        </w:rPr>
        <w:t>whether</w:t>
      </w:r>
      <w:r w:rsidRPr="000B434C">
        <w:rPr>
          <w:rFonts w:eastAsia="Arial Unicode MS"/>
          <w:noProof/>
        </w:rPr>
        <w:t xml:space="preserve"> at</w:t>
      </w:r>
      <w:r w:rsidRPr="00CB5C3C">
        <w:rPr>
          <w:rFonts w:eastAsia="Arial Unicode MS"/>
          <w:noProof/>
        </w:rPr>
        <w:t xml:space="preserve"> physical points of sale </w:t>
      </w:r>
      <w:r>
        <w:rPr>
          <w:rFonts w:eastAsia="Arial Unicode MS"/>
          <w:noProof/>
        </w:rPr>
        <w:t>or</w:t>
      </w:r>
      <w:r w:rsidRPr="00CB5C3C">
        <w:rPr>
          <w:rFonts w:eastAsia="Arial Unicode MS"/>
          <w:noProof/>
        </w:rPr>
        <w:t xml:space="preserve"> in e-commerce transactions</w:t>
      </w:r>
      <w:r w:rsidRPr="000B434C">
        <w:rPr>
          <w:rFonts w:eastAsia="Arial Unicode MS"/>
          <w:noProof/>
        </w:rPr>
        <w:t xml:space="preserve"> (e.g. using mobile payment applications on smartphones). Such solutions would help to reduce the currently high level of </w:t>
      </w:r>
      <w:r w:rsidRPr="00CB5C3C">
        <w:rPr>
          <w:rFonts w:eastAsia="Arial Unicode MS"/>
          <w:noProof/>
        </w:rPr>
        <w:t>concentration</w:t>
      </w:r>
      <w:r w:rsidRPr="000B434C">
        <w:rPr>
          <w:rFonts w:eastAsia="Arial Unicode MS"/>
          <w:noProof/>
        </w:rPr>
        <w:t xml:space="preserve"> in </w:t>
      </w:r>
      <w:r>
        <w:rPr>
          <w:rFonts w:eastAsia="Arial Unicode MS"/>
          <w:noProof/>
        </w:rPr>
        <w:t>the PoI</w:t>
      </w:r>
      <w:r w:rsidRPr="000B434C">
        <w:rPr>
          <w:rFonts w:eastAsia="Arial Unicode MS"/>
          <w:noProof/>
        </w:rPr>
        <w:t xml:space="preserve"> market, in particular for cross-border payments.</w:t>
      </w:r>
    </w:p>
    <w:p w:rsidR="00211B11" w:rsidRPr="000B434C" w:rsidRDefault="00211B11" w:rsidP="00211B11">
      <w:pPr>
        <w:pBdr>
          <w:top w:val="nil"/>
          <w:left w:val="nil"/>
          <w:bottom w:val="nil"/>
          <w:right w:val="nil"/>
          <w:between w:val="nil"/>
          <w:bar w:val="nil"/>
        </w:pBdr>
        <w:spacing w:after="240"/>
        <w:rPr>
          <w:rFonts w:eastAsia="Arial Unicode MS"/>
          <w:noProof/>
        </w:rPr>
      </w:pPr>
      <w:r w:rsidRPr="000B434C">
        <w:rPr>
          <w:rFonts w:eastAsia="Arial Unicode MS"/>
          <w:noProof/>
        </w:rPr>
        <w:t>In the EU, the architecture for IPs in euro already exists</w:t>
      </w:r>
      <w:r>
        <w:rPr>
          <w:rFonts w:eastAsia="Arial Unicode MS"/>
          <w:noProof/>
        </w:rPr>
        <w:t xml:space="preserve">. It comprises </w:t>
      </w:r>
      <w:r w:rsidRPr="00FB4776">
        <w:rPr>
          <w:rFonts w:eastAsia="Arial Unicode MS"/>
          <w:noProof/>
        </w:rPr>
        <w:t>several payment systems offering instant settlement</w:t>
      </w:r>
      <w:r>
        <w:rPr>
          <w:rFonts w:eastAsia="Arial Unicode MS"/>
          <w:noProof/>
        </w:rPr>
        <w:t>,</w:t>
      </w:r>
      <w:r w:rsidRPr="000B434C">
        <w:rPr>
          <w:rFonts w:eastAsia="Arial Unicode MS"/>
          <w:noProof/>
        </w:rPr>
        <w:t xml:space="preserve"> </w:t>
      </w:r>
      <w:r>
        <w:rPr>
          <w:rFonts w:eastAsia="Arial Unicode MS"/>
          <w:noProof/>
        </w:rPr>
        <w:t>and t</w:t>
      </w:r>
      <w:r w:rsidRPr="000B434C">
        <w:rPr>
          <w:rFonts w:eastAsia="Arial Unicode MS"/>
          <w:noProof/>
        </w:rPr>
        <w:t xml:space="preserve">he </w:t>
      </w:r>
      <w:r w:rsidRPr="003F652B">
        <w:rPr>
          <w:rFonts w:eastAsia="Calibri"/>
          <w:noProof/>
          <w:szCs w:val="24"/>
        </w:rPr>
        <w:t>Single Euro Payments Area</w:t>
      </w:r>
      <w:r w:rsidRPr="000B434C" w:rsidDel="008B1CB2">
        <w:rPr>
          <w:rFonts w:eastAsia="Arial Unicode MS"/>
          <w:noProof/>
        </w:rPr>
        <w:t xml:space="preserve"> </w:t>
      </w:r>
      <w:r>
        <w:rPr>
          <w:rFonts w:eastAsia="Arial Unicode MS"/>
          <w:noProof/>
        </w:rPr>
        <w:t>(</w:t>
      </w:r>
      <w:r w:rsidRPr="000B434C">
        <w:rPr>
          <w:rFonts w:eastAsia="Arial Unicode MS"/>
          <w:noProof/>
        </w:rPr>
        <w:t>SEPA</w:t>
      </w:r>
      <w:r>
        <w:rPr>
          <w:rFonts w:eastAsia="Arial Unicode MS"/>
          <w:noProof/>
        </w:rPr>
        <w:t>)</w:t>
      </w:r>
      <w:r w:rsidRPr="000B434C">
        <w:rPr>
          <w:rFonts w:eastAsia="Arial Unicode MS"/>
          <w:noProof/>
        </w:rPr>
        <w:t xml:space="preserve"> </w:t>
      </w:r>
      <w:r>
        <w:rPr>
          <w:rFonts w:eastAsia="Arial Unicode MS"/>
          <w:noProof/>
        </w:rPr>
        <w:t xml:space="preserve">instant </w:t>
      </w:r>
      <w:r w:rsidRPr="000B434C">
        <w:rPr>
          <w:rFonts w:eastAsia="Arial Unicode MS"/>
          <w:noProof/>
        </w:rPr>
        <w:t>credit transfer scheme (SCT Inst. Scheme) launched in November 2017 by the European Payments Council (EPC)</w:t>
      </w:r>
      <w:r w:rsidRPr="000B434C">
        <w:rPr>
          <w:rStyle w:val="FootnoteReference"/>
          <w:noProof/>
        </w:rPr>
        <w:footnoteReference w:id="3"/>
      </w:r>
      <w:r w:rsidRPr="00A664A0">
        <w:rPr>
          <w:rFonts w:eastAsia="Arial Unicode MS"/>
          <w:noProof/>
        </w:rPr>
        <w:t>.</w:t>
      </w:r>
    </w:p>
    <w:p w:rsidR="00211B11" w:rsidRPr="000B434C" w:rsidRDefault="00211B11" w:rsidP="00211B11">
      <w:pPr>
        <w:pBdr>
          <w:top w:val="nil"/>
          <w:left w:val="nil"/>
          <w:bottom w:val="nil"/>
          <w:right w:val="nil"/>
          <w:between w:val="nil"/>
          <w:bar w:val="nil"/>
        </w:pBdr>
        <w:spacing w:after="240"/>
        <w:rPr>
          <w:rFonts w:eastAsia="Arial Unicode MS"/>
          <w:noProof/>
        </w:rPr>
      </w:pPr>
      <w:r w:rsidRPr="000B434C">
        <w:rPr>
          <w:rFonts w:eastAsia="Arial Unicode MS"/>
          <w:noProof/>
        </w:rPr>
        <w:t>The significant potential benefits of IPs to consumers and businesses in the EU are however impeded by the slow rollout and low uptake of IPs. A</w:t>
      </w:r>
      <w:r>
        <w:rPr>
          <w:rFonts w:eastAsia="Arial Unicode MS"/>
          <w:noProof/>
        </w:rPr>
        <w:t xml:space="preserve">t the </w:t>
      </w:r>
      <w:r w:rsidRPr="000B434C">
        <w:rPr>
          <w:rFonts w:eastAsia="Arial Unicode MS"/>
          <w:noProof/>
        </w:rPr>
        <w:t xml:space="preserve">end </w:t>
      </w:r>
      <w:r>
        <w:rPr>
          <w:rFonts w:eastAsia="Arial Unicode MS"/>
          <w:noProof/>
        </w:rPr>
        <w:t xml:space="preserve">of </w:t>
      </w:r>
      <w:r w:rsidRPr="000B434C">
        <w:rPr>
          <w:rFonts w:eastAsia="Arial Unicode MS"/>
          <w:noProof/>
        </w:rPr>
        <w:t xml:space="preserve">2021, only 11% of </w:t>
      </w:r>
      <w:r>
        <w:rPr>
          <w:rFonts w:eastAsia="Arial Unicode MS"/>
          <w:noProof/>
        </w:rPr>
        <w:t xml:space="preserve">euro </w:t>
      </w:r>
      <w:r w:rsidRPr="000B434C">
        <w:rPr>
          <w:rFonts w:eastAsia="Arial Unicode MS"/>
          <w:noProof/>
        </w:rPr>
        <w:t>credit transfers sent in the EU were IPs</w:t>
      </w:r>
      <w:r w:rsidRPr="000B434C">
        <w:rPr>
          <w:rStyle w:val="FootnoteReference"/>
          <w:noProof/>
        </w:rPr>
        <w:footnoteReference w:id="4"/>
      </w:r>
      <w:r w:rsidRPr="000B434C">
        <w:rPr>
          <w:rFonts w:eastAsia="Arial Unicode MS"/>
          <w:noProof/>
        </w:rPr>
        <w:t>. Th</w:t>
      </w:r>
      <w:r>
        <w:rPr>
          <w:rFonts w:eastAsia="Arial Unicode MS"/>
          <w:noProof/>
        </w:rPr>
        <w:t>e reasons for this are</w:t>
      </w:r>
      <w:r w:rsidRPr="000B434C">
        <w:rPr>
          <w:rFonts w:eastAsia="Arial Unicode MS"/>
          <w:noProof/>
        </w:rPr>
        <w:t xml:space="preserve"> identified in the impact assessment accompanying this proposal (see below).</w:t>
      </w:r>
    </w:p>
    <w:p w:rsidR="00211B11" w:rsidRPr="000B434C" w:rsidRDefault="00211B11" w:rsidP="00211B11">
      <w:pPr>
        <w:pBdr>
          <w:top w:val="nil"/>
          <w:left w:val="nil"/>
          <w:bottom w:val="nil"/>
          <w:right w:val="nil"/>
          <w:between w:val="nil"/>
          <w:bar w:val="nil"/>
        </w:pBdr>
        <w:spacing w:after="240"/>
        <w:rPr>
          <w:rFonts w:eastAsia="Arial Unicode MS"/>
          <w:noProof/>
        </w:rPr>
      </w:pPr>
      <w:r w:rsidRPr="000B434C">
        <w:rPr>
          <w:noProof/>
        </w:rPr>
        <w:t xml:space="preserve">In the Commission </w:t>
      </w:r>
      <w:r>
        <w:rPr>
          <w:noProof/>
        </w:rPr>
        <w:t>C</w:t>
      </w:r>
      <w:r w:rsidRPr="000B434C">
        <w:rPr>
          <w:noProof/>
        </w:rPr>
        <w:t>ommunication of 5</w:t>
      </w:r>
      <w:r>
        <w:rPr>
          <w:noProof/>
        </w:rPr>
        <w:t> </w:t>
      </w:r>
      <w:r w:rsidRPr="000B434C">
        <w:rPr>
          <w:noProof/>
        </w:rPr>
        <w:t>December 2018, ‘</w:t>
      </w:r>
      <w:r w:rsidRPr="00003303">
        <w:rPr>
          <w:iCs/>
          <w:noProof/>
        </w:rPr>
        <w:t>Towards a stronger international role of the euro’</w:t>
      </w:r>
      <w:r w:rsidRPr="000B434C">
        <w:rPr>
          <w:rStyle w:val="FootnoteReference"/>
          <w:noProof/>
        </w:rPr>
        <w:footnoteReference w:id="5"/>
      </w:r>
      <w:r w:rsidRPr="000B434C">
        <w:rPr>
          <w:noProof/>
        </w:rPr>
        <w:t xml:space="preserve">, the Commission supported a fully integrated </w:t>
      </w:r>
      <w:r>
        <w:rPr>
          <w:noProof/>
        </w:rPr>
        <w:t>IP</w:t>
      </w:r>
      <w:r w:rsidRPr="000B434C">
        <w:rPr>
          <w:noProof/>
        </w:rPr>
        <w:t xml:space="preserve"> market in the E</w:t>
      </w:r>
      <w:r w:rsidRPr="00003303">
        <w:rPr>
          <w:noProof/>
        </w:rPr>
        <w:t>U</w:t>
      </w:r>
      <w:r w:rsidRPr="00B1790F">
        <w:rPr>
          <w:noProof/>
        </w:rPr>
        <w:t>, to r</w:t>
      </w:r>
      <w:r w:rsidRPr="000B434C">
        <w:rPr>
          <w:noProof/>
        </w:rPr>
        <w:t xml:space="preserve">educe risks and vulnerabilities in retail payments and to increase the autonomy of existing payment solutions. In its </w:t>
      </w:r>
      <w:r>
        <w:rPr>
          <w:noProof/>
        </w:rPr>
        <w:t>C</w:t>
      </w:r>
      <w:r w:rsidRPr="000B434C">
        <w:rPr>
          <w:noProof/>
        </w:rPr>
        <w:t>ommunication of 24</w:t>
      </w:r>
      <w:r>
        <w:rPr>
          <w:noProof/>
        </w:rPr>
        <w:t> </w:t>
      </w:r>
      <w:r w:rsidRPr="000B434C">
        <w:rPr>
          <w:noProof/>
        </w:rPr>
        <w:t>September 2020 ‘</w:t>
      </w:r>
      <w:r w:rsidRPr="00003303">
        <w:rPr>
          <w:noProof/>
        </w:rPr>
        <w:t>Retail Payments Strategy for the EU’</w:t>
      </w:r>
      <w:r w:rsidRPr="00003303">
        <w:rPr>
          <w:rStyle w:val="FootnoteReference"/>
          <w:noProof/>
        </w:rPr>
        <w:footnoteReference w:id="6"/>
      </w:r>
      <w:r w:rsidRPr="000B434C">
        <w:rPr>
          <w:noProof/>
        </w:rPr>
        <w:t xml:space="preserve">, the Commission announced that, if appropriate, it would propose legislation requiring PSPs in the EU to offer </w:t>
      </w:r>
      <w:r w:rsidR="008C343E">
        <w:rPr>
          <w:noProof/>
        </w:rPr>
        <w:t>IPs</w:t>
      </w:r>
      <w:r w:rsidRPr="000B434C">
        <w:rPr>
          <w:noProof/>
        </w:rPr>
        <w:t xml:space="preserve"> in euro by end-2021. The Council, in its Conclusions of 22</w:t>
      </w:r>
      <w:r>
        <w:rPr>
          <w:noProof/>
        </w:rPr>
        <w:t> </w:t>
      </w:r>
      <w:r w:rsidRPr="000B434C">
        <w:rPr>
          <w:noProof/>
        </w:rPr>
        <w:t>March 2021</w:t>
      </w:r>
      <w:r w:rsidRPr="000B434C">
        <w:rPr>
          <w:rStyle w:val="FootnoteReference"/>
          <w:noProof/>
        </w:rPr>
        <w:footnoteReference w:id="7"/>
      </w:r>
      <w:r w:rsidRPr="000B434C">
        <w:rPr>
          <w:noProof/>
        </w:rPr>
        <w:t xml:space="preserve">, highlighted promoting the widespread use of </w:t>
      </w:r>
      <w:r w:rsidR="005A7904">
        <w:rPr>
          <w:noProof/>
        </w:rPr>
        <w:t>IPs</w:t>
      </w:r>
      <w:r w:rsidRPr="000B434C">
        <w:rPr>
          <w:noProof/>
        </w:rPr>
        <w:t xml:space="preserve"> as an objective of the retail payments strategy. Moreover, in its </w:t>
      </w:r>
      <w:r>
        <w:rPr>
          <w:noProof/>
        </w:rPr>
        <w:t>C</w:t>
      </w:r>
      <w:r w:rsidRPr="000B434C">
        <w:rPr>
          <w:noProof/>
        </w:rPr>
        <w:t>ommunication of 20</w:t>
      </w:r>
      <w:r>
        <w:rPr>
          <w:noProof/>
        </w:rPr>
        <w:t> </w:t>
      </w:r>
      <w:r w:rsidRPr="000B434C">
        <w:rPr>
          <w:noProof/>
        </w:rPr>
        <w:t>January 2021,</w:t>
      </w:r>
      <w:r w:rsidRPr="004250F6">
        <w:rPr>
          <w:iCs/>
          <w:noProof/>
        </w:rPr>
        <w:t xml:space="preserve"> </w:t>
      </w:r>
      <w:r w:rsidRPr="000B434C">
        <w:rPr>
          <w:iCs/>
          <w:noProof/>
        </w:rPr>
        <w:t>‘</w:t>
      </w:r>
      <w:r w:rsidRPr="004250F6">
        <w:rPr>
          <w:iCs/>
          <w:noProof/>
        </w:rPr>
        <w:t>The European economic and financial system: fostering openness, strength and resilience</w:t>
      </w:r>
      <w:r w:rsidRPr="000B434C">
        <w:rPr>
          <w:iCs/>
          <w:noProof/>
        </w:rPr>
        <w:t>’</w:t>
      </w:r>
      <w:r w:rsidRPr="000B434C">
        <w:rPr>
          <w:rStyle w:val="FootnoteReference"/>
          <w:iCs/>
          <w:noProof/>
          <w:szCs w:val="24"/>
        </w:rPr>
        <w:footnoteReference w:id="8"/>
      </w:r>
      <w:r w:rsidRPr="000B434C">
        <w:rPr>
          <w:noProof/>
        </w:rPr>
        <w:t xml:space="preserve">, the Commission reiterated the importance of its </w:t>
      </w:r>
      <w:r w:rsidRPr="004250F6">
        <w:rPr>
          <w:noProof/>
        </w:rPr>
        <w:t>retail payments strategy</w:t>
      </w:r>
      <w:r w:rsidRPr="000B434C">
        <w:rPr>
          <w:noProof/>
        </w:rPr>
        <w:t xml:space="preserve"> and of digital innovation in finance as a way</w:t>
      </w:r>
      <w:r w:rsidRPr="00B1790F">
        <w:rPr>
          <w:noProof/>
        </w:rPr>
        <w:t xml:space="preserve"> o</w:t>
      </w:r>
      <w:r w:rsidRPr="000B434C">
        <w:rPr>
          <w:noProof/>
        </w:rPr>
        <w:t xml:space="preserve">f strengthening the single market for financial services and thereby reinforcing its open </w:t>
      </w:r>
      <w:r w:rsidRPr="000B434C">
        <w:rPr>
          <w:noProof/>
        </w:rPr>
        <w:lastRenderedPageBreak/>
        <w:t>strategic autonomy in the macro-economic and financial fields. S</w:t>
      </w:r>
      <w:r w:rsidRPr="000B434C">
        <w:rPr>
          <w:rFonts w:eastAsia="Arial Unicode MS"/>
          <w:noProof/>
        </w:rPr>
        <w:t xml:space="preserve">ubsequently, the Commission included </w:t>
      </w:r>
      <w:r w:rsidR="008C343E">
        <w:rPr>
          <w:rFonts w:eastAsia="Arial Unicode MS"/>
          <w:noProof/>
        </w:rPr>
        <w:t>an</w:t>
      </w:r>
      <w:r w:rsidRPr="000B434C">
        <w:rPr>
          <w:rFonts w:eastAsia="Arial Unicode MS"/>
          <w:noProof/>
        </w:rPr>
        <w:t xml:space="preserve"> initiative</w:t>
      </w:r>
      <w:r w:rsidR="008C343E">
        <w:rPr>
          <w:rFonts w:eastAsia="Arial Unicode MS"/>
          <w:noProof/>
        </w:rPr>
        <w:t xml:space="preserve"> on IPs</w:t>
      </w:r>
      <w:r w:rsidRPr="000B434C">
        <w:rPr>
          <w:rFonts w:eastAsia="Arial Unicode MS"/>
          <w:noProof/>
        </w:rPr>
        <w:t xml:space="preserve"> in the Commission work programme for 2022</w:t>
      </w:r>
      <w:r w:rsidRPr="000B434C">
        <w:rPr>
          <w:rStyle w:val="FootnoteReference"/>
          <w:rFonts w:eastAsia="Arial Unicode MS"/>
          <w:noProof/>
        </w:rPr>
        <w:footnoteReference w:id="9"/>
      </w:r>
      <w:r w:rsidRPr="000B434C">
        <w:rPr>
          <w:rFonts w:eastAsia="Arial Unicode MS"/>
          <w:noProof/>
        </w:rPr>
        <w:t>.</w:t>
      </w:r>
    </w:p>
    <w:p w:rsidR="00211B11" w:rsidRPr="000B434C" w:rsidRDefault="00211B11" w:rsidP="00211B11">
      <w:pPr>
        <w:rPr>
          <w:noProof/>
        </w:rPr>
      </w:pPr>
      <w:r w:rsidRPr="000B434C">
        <w:rPr>
          <w:noProof/>
        </w:rPr>
        <w:t>The Council, in its Conclusions of 5</w:t>
      </w:r>
      <w:r>
        <w:rPr>
          <w:noProof/>
        </w:rPr>
        <w:t> </w:t>
      </w:r>
      <w:r w:rsidRPr="000B434C">
        <w:rPr>
          <w:noProof/>
        </w:rPr>
        <w:t>April 2022</w:t>
      </w:r>
      <w:r w:rsidRPr="000B434C">
        <w:rPr>
          <w:rStyle w:val="FootnoteReference"/>
          <w:noProof/>
        </w:rPr>
        <w:footnoteReference w:id="10"/>
      </w:r>
      <w:r w:rsidRPr="000B434C">
        <w:rPr>
          <w:noProof/>
        </w:rPr>
        <w:t xml:space="preserve">, referred to the Commission’s intention to present a legislative initiative on </w:t>
      </w:r>
      <w:r w:rsidR="008C343E">
        <w:rPr>
          <w:noProof/>
        </w:rPr>
        <w:t>IPs</w:t>
      </w:r>
      <w:r w:rsidRPr="000B434C">
        <w:rPr>
          <w:noProof/>
        </w:rPr>
        <w:t>, recalling the objective of fostering the development of competitive home-grown and pan-European market-based payments solutions, and stressing the importance of defining and effectively implementing a framework for an independent, efficient, well-functioning, open and autonomous European payments area.</w:t>
      </w:r>
    </w:p>
    <w:p w:rsidR="00211B11" w:rsidRPr="000B434C" w:rsidRDefault="00211B11" w:rsidP="00211B11">
      <w:pPr>
        <w:pStyle w:val="ManualHeading2"/>
        <w:rPr>
          <w:rFonts w:eastAsia="Arial Unicode MS"/>
          <w:noProof/>
          <w:color w:val="000000"/>
          <w:u w:color="000000"/>
          <w:bdr w:val="nil"/>
          <w:lang w:eastAsia="en-GB"/>
        </w:rPr>
      </w:pPr>
      <w:r w:rsidRPr="000B434C">
        <w:rPr>
          <w:rFonts w:eastAsia="Arial Unicode MS"/>
          <w:noProof/>
          <w:color w:val="000000"/>
          <w:u w:color="000000"/>
          <w:bdr w:val="nil"/>
          <w:lang w:eastAsia="en-GB"/>
        </w:rPr>
        <w:t>•</w:t>
      </w:r>
      <w:r w:rsidRPr="000B434C">
        <w:rPr>
          <w:rFonts w:eastAsia="Arial Unicode MS"/>
          <w:noProof/>
          <w:color w:val="000000"/>
          <w:u w:color="000000"/>
          <w:bdr w:val="nil"/>
          <w:lang w:eastAsia="en-GB"/>
        </w:rPr>
        <w:tab/>
      </w:r>
      <w:r w:rsidRPr="000B434C">
        <w:rPr>
          <w:rFonts w:eastAsia="Arial Unicode MS"/>
          <w:noProof/>
        </w:rPr>
        <w:t xml:space="preserve">Consistency with existing </w:t>
      </w:r>
      <w:r w:rsidRPr="008111D4">
        <w:rPr>
          <w:rFonts w:eastAsia="Arial Unicode MS"/>
          <w:noProof/>
        </w:rPr>
        <w:t xml:space="preserve">policy </w:t>
      </w:r>
      <w:r w:rsidRPr="00C74E6C">
        <w:rPr>
          <w:rFonts w:eastAsia="Arial Unicode MS"/>
          <w:noProof/>
        </w:rPr>
        <w:t>provisions</w:t>
      </w:r>
    </w:p>
    <w:p w:rsidR="00211B11" w:rsidRPr="000B434C" w:rsidRDefault="00211B11" w:rsidP="00211B11">
      <w:pPr>
        <w:rPr>
          <w:rFonts w:eastAsia="Calibri"/>
          <w:noProof/>
          <w:szCs w:val="24"/>
        </w:rPr>
      </w:pPr>
      <w:r w:rsidRPr="000B434C">
        <w:rPr>
          <w:rFonts w:eastAsia="Calibri"/>
          <w:noProof/>
          <w:szCs w:val="24"/>
        </w:rPr>
        <w:t>Universal availability of euro IPs is</w:t>
      </w:r>
      <w:r>
        <w:rPr>
          <w:rFonts w:eastAsia="Calibri"/>
          <w:noProof/>
          <w:szCs w:val="24"/>
        </w:rPr>
        <w:t xml:space="preserve"> a</w:t>
      </w:r>
      <w:r w:rsidRPr="000B434C">
        <w:rPr>
          <w:rFonts w:eastAsia="Calibri"/>
          <w:noProof/>
          <w:szCs w:val="24"/>
        </w:rPr>
        <w:t xml:space="preserve"> necessary </w:t>
      </w:r>
      <w:r>
        <w:rPr>
          <w:rFonts w:eastAsia="Calibri"/>
          <w:noProof/>
          <w:szCs w:val="24"/>
        </w:rPr>
        <w:t xml:space="preserve">part of </w:t>
      </w:r>
      <w:r w:rsidRPr="000B434C">
        <w:rPr>
          <w:rFonts w:eastAsia="Calibri"/>
          <w:noProof/>
          <w:szCs w:val="24"/>
        </w:rPr>
        <w:t>updat</w:t>
      </w:r>
      <w:r>
        <w:rPr>
          <w:rFonts w:eastAsia="Calibri"/>
          <w:noProof/>
          <w:szCs w:val="24"/>
        </w:rPr>
        <w:t>ing</w:t>
      </w:r>
      <w:r w:rsidRPr="000B434C">
        <w:rPr>
          <w:rFonts w:eastAsia="Calibri"/>
          <w:noProof/>
          <w:szCs w:val="24"/>
        </w:rPr>
        <w:t xml:space="preserve"> and modernis</w:t>
      </w:r>
      <w:r>
        <w:rPr>
          <w:rFonts w:eastAsia="Calibri"/>
          <w:noProof/>
          <w:szCs w:val="24"/>
        </w:rPr>
        <w:t>ing</w:t>
      </w:r>
      <w:r w:rsidRPr="000B434C">
        <w:rPr>
          <w:rFonts w:eastAsia="Calibri"/>
          <w:noProof/>
          <w:szCs w:val="24"/>
        </w:rPr>
        <w:t xml:space="preserve"> </w:t>
      </w:r>
      <w:r w:rsidRPr="00C74E6C">
        <w:rPr>
          <w:rFonts w:eastAsia="Calibri"/>
          <w:noProof/>
          <w:szCs w:val="24"/>
        </w:rPr>
        <w:t>SEPA</w:t>
      </w:r>
      <w:r w:rsidRPr="000B434C">
        <w:rPr>
          <w:rFonts w:eastAsia="Calibri"/>
          <w:noProof/>
          <w:szCs w:val="24"/>
        </w:rPr>
        <w:t xml:space="preserve">. SEPA allows European </w:t>
      </w:r>
      <w:r w:rsidRPr="008111D4">
        <w:rPr>
          <w:rFonts w:eastAsia="Calibri"/>
          <w:noProof/>
          <w:szCs w:val="24"/>
        </w:rPr>
        <w:t>consumers</w:t>
      </w:r>
      <w:r w:rsidRPr="000B434C">
        <w:rPr>
          <w:rFonts w:eastAsia="Calibri"/>
          <w:noProof/>
          <w:szCs w:val="24"/>
        </w:rPr>
        <w:t>, businesses and public administrations to make and receive cross-border payments in euro as easily as domestic payments, and enables the public to use their existing payment accounts in their home Member State to receive their salary or pay bills between different Member States. The SEPA project was launched with</w:t>
      </w:r>
      <w:r>
        <w:rPr>
          <w:rFonts w:eastAsia="Calibri"/>
          <w:noProof/>
          <w:szCs w:val="24"/>
        </w:rPr>
        <w:t xml:space="preserve"> the</w:t>
      </w:r>
      <w:r w:rsidRPr="000B434C">
        <w:rPr>
          <w:rFonts w:eastAsia="Calibri"/>
          <w:noProof/>
          <w:szCs w:val="24"/>
        </w:rPr>
        <w:t xml:space="preserve"> Commission’s support in 2002, prompting the European banking industry to create the EPC which, at the request of the Commission and European Central Bank (ECB), committed to developing harmonised schemes of rules and procedures for executing euro payments, in close dialogue with all stakeholders (including </w:t>
      </w:r>
      <w:r>
        <w:rPr>
          <w:rFonts w:eastAsia="Calibri"/>
          <w:noProof/>
          <w:szCs w:val="24"/>
        </w:rPr>
        <w:t>merchants</w:t>
      </w:r>
      <w:r w:rsidRPr="000B434C">
        <w:rPr>
          <w:rFonts w:eastAsia="Calibri"/>
          <w:noProof/>
          <w:szCs w:val="24"/>
        </w:rPr>
        <w:t xml:space="preserve"> and consumers). The SEPA scheme for euro credit transfers was launched in 2008, and for SEPA direct debits in 2009. These two schemes were effectively made mandatory for payments in euro </w:t>
      </w:r>
      <w:r>
        <w:rPr>
          <w:rFonts w:eastAsia="Calibri"/>
          <w:noProof/>
          <w:szCs w:val="24"/>
        </w:rPr>
        <w:t>by</w:t>
      </w:r>
      <w:r w:rsidRPr="000B434C">
        <w:rPr>
          <w:rFonts w:eastAsia="Calibri"/>
          <w:noProof/>
          <w:szCs w:val="24"/>
        </w:rPr>
        <w:t xml:space="preserve"> the 2012 SEPA Regulation</w:t>
      </w:r>
      <w:r w:rsidR="00D86C5F">
        <w:rPr>
          <w:rFonts w:eastAsia="Calibri"/>
          <w:noProof/>
          <w:szCs w:val="24"/>
        </w:rPr>
        <w:t>.</w:t>
      </w:r>
      <w:r w:rsidRPr="000B434C">
        <w:rPr>
          <w:rStyle w:val="FootnoteReference"/>
          <w:noProof/>
        </w:rPr>
        <w:footnoteReference w:id="11"/>
      </w:r>
      <w:r w:rsidRPr="000B434C">
        <w:rPr>
          <w:rFonts w:eastAsia="Calibri"/>
          <w:noProof/>
          <w:szCs w:val="24"/>
        </w:rPr>
        <w:t xml:space="preserve"> </w:t>
      </w:r>
      <w:r w:rsidR="00D86C5F">
        <w:rPr>
          <w:rFonts w:eastAsia="Calibri"/>
          <w:noProof/>
          <w:szCs w:val="24"/>
        </w:rPr>
        <w:t>The</w:t>
      </w:r>
      <w:r w:rsidRPr="000B434C">
        <w:rPr>
          <w:rFonts w:eastAsia="Calibri"/>
          <w:noProof/>
          <w:szCs w:val="24"/>
        </w:rPr>
        <w:t xml:space="preserve"> SCT Inst. Scheme was launched in 2017.</w:t>
      </w:r>
    </w:p>
    <w:p w:rsidR="00211B11" w:rsidRDefault="00211B11" w:rsidP="00211B11">
      <w:pPr>
        <w:rPr>
          <w:rFonts w:eastAsia="Calibri"/>
          <w:noProof/>
          <w:szCs w:val="24"/>
        </w:rPr>
      </w:pPr>
      <w:r w:rsidRPr="000B434C">
        <w:rPr>
          <w:rFonts w:eastAsia="Calibri"/>
          <w:noProof/>
          <w:szCs w:val="24"/>
        </w:rPr>
        <w:t>Two EU legal acts in the field of payments, the 2015 Directive on payment services in the internal marke</w:t>
      </w:r>
      <w:r>
        <w:rPr>
          <w:rFonts w:eastAsia="Calibri"/>
          <w:noProof/>
          <w:szCs w:val="24"/>
        </w:rPr>
        <w:t>t</w:t>
      </w:r>
      <w:r w:rsidRPr="000B434C">
        <w:rPr>
          <w:rFonts w:eastAsia="Calibri"/>
          <w:noProof/>
          <w:szCs w:val="24"/>
        </w:rPr>
        <w:t xml:space="preserve"> (PSD2)</w:t>
      </w:r>
      <w:r w:rsidRPr="000B434C">
        <w:rPr>
          <w:rStyle w:val="FootnoteReference"/>
          <w:noProof/>
        </w:rPr>
        <w:footnoteReference w:id="12"/>
      </w:r>
      <w:r w:rsidRPr="000B434C">
        <w:rPr>
          <w:rFonts w:eastAsia="Calibri"/>
          <w:noProof/>
          <w:szCs w:val="24"/>
        </w:rPr>
        <w:t xml:space="preserve"> and the Regulation on cross-border payments</w:t>
      </w:r>
      <w:r w:rsidRPr="000B434C">
        <w:rPr>
          <w:rStyle w:val="FootnoteReference"/>
          <w:noProof/>
        </w:rPr>
        <w:footnoteReference w:id="13"/>
      </w:r>
      <w:r w:rsidRPr="000B434C">
        <w:rPr>
          <w:rFonts w:eastAsia="Calibri"/>
          <w:noProof/>
          <w:szCs w:val="24"/>
        </w:rPr>
        <w:t>, already apply to IPs and will continue to do so after the entry into force of th</w:t>
      </w:r>
      <w:r>
        <w:rPr>
          <w:rFonts w:eastAsia="Calibri"/>
          <w:noProof/>
          <w:szCs w:val="24"/>
        </w:rPr>
        <w:t>is</w:t>
      </w:r>
      <w:r w:rsidRPr="000B434C">
        <w:rPr>
          <w:rFonts w:eastAsia="Calibri"/>
          <w:noProof/>
          <w:szCs w:val="24"/>
        </w:rPr>
        <w:t xml:space="preserve"> </w:t>
      </w:r>
      <w:r w:rsidR="008C343E">
        <w:rPr>
          <w:rFonts w:eastAsia="Calibri"/>
          <w:noProof/>
          <w:szCs w:val="24"/>
        </w:rPr>
        <w:t>proposal</w:t>
      </w:r>
      <w:r w:rsidRPr="000B434C">
        <w:rPr>
          <w:rFonts w:eastAsia="Calibri"/>
          <w:noProof/>
          <w:szCs w:val="24"/>
        </w:rPr>
        <w:t xml:space="preserve">. PSD2 lays down rules and obligations for PSPs and </w:t>
      </w:r>
      <w:r>
        <w:rPr>
          <w:rFonts w:eastAsia="Calibri"/>
          <w:noProof/>
          <w:szCs w:val="24"/>
        </w:rPr>
        <w:t xml:space="preserve">consumer </w:t>
      </w:r>
      <w:r w:rsidRPr="000B434C">
        <w:rPr>
          <w:rFonts w:eastAsia="Calibri"/>
          <w:noProof/>
          <w:szCs w:val="24"/>
        </w:rPr>
        <w:t xml:space="preserve">rights for many types of commonly used payments in the EU, including credit transfers; it is currently being evaluated and any possible proposals for amendments will take full account of the present proposal. The Regulation on cross-border payments requires that the same price be charged for </w:t>
      </w:r>
      <w:r>
        <w:rPr>
          <w:rFonts w:eastAsia="Calibri"/>
          <w:noProof/>
          <w:szCs w:val="24"/>
        </w:rPr>
        <w:t xml:space="preserve">euro </w:t>
      </w:r>
      <w:r w:rsidRPr="000B434C">
        <w:rPr>
          <w:rFonts w:eastAsia="Calibri"/>
          <w:noProof/>
          <w:szCs w:val="24"/>
        </w:rPr>
        <w:t xml:space="preserve">cross-border payments as for domestic payments of the corresponding type </w:t>
      </w:r>
      <w:r>
        <w:rPr>
          <w:rFonts w:eastAsia="Calibri"/>
          <w:noProof/>
          <w:szCs w:val="24"/>
        </w:rPr>
        <w:t xml:space="preserve">in the national currency </w:t>
      </w:r>
      <w:r w:rsidRPr="000B434C">
        <w:rPr>
          <w:rFonts w:eastAsia="Calibri"/>
          <w:noProof/>
          <w:szCs w:val="24"/>
        </w:rPr>
        <w:t>(including credit transfers and therefore IPs)</w:t>
      </w:r>
      <w:r>
        <w:rPr>
          <w:rFonts w:eastAsia="Calibri"/>
          <w:noProof/>
          <w:szCs w:val="24"/>
        </w:rPr>
        <w:t>,</w:t>
      </w:r>
      <w:r w:rsidRPr="000B434C">
        <w:rPr>
          <w:rFonts w:eastAsia="Calibri"/>
          <w:noProof/>
          <w:szCs w:val="24"/>
        </w:rPr>
        <w:t xml:space="preserve"> processed by the same PSP (see below for further explanation on the interaction of the Regulation on cross-border payments with </w:t>
      </w:r>
      <w:r>
        <w:rPr>
          <w:rFonts w:eastAsia="Calibri"/>
          <w:noProof/>
          <w:szCs w:val="24"/>
        </w:rPr>
        <w:t>this</w:t>
      </w:r>
      <w:r w:rsidRPr="000B434C">
        <w:rPr>
          <w:rFonts w:eastAsia="Calibri"/>
          <w:noProof/>
          <w:szCs w:val="24"/>
        </w:rPr>
        <w:t xml:space="preserve"> proposal).</w:t>
      </w:r>
    </w:p>
    <w:p w:rsidR="001448F1" w:rsidRPr="000B434C" w:rsidRDefault="001448F1" w:rsidP="00211B11">
      <w:pPr>
        <w:rPr>
          <w:rFonts w:eastAsia="Calibri"/>
          <w:noProof/>
          <w:szCs w:val="24"/>
        </w:rPr>
      </w:pPr>
      <w:r w:rsidRPr="001448F1">
        <w:rPr>
          <w:rFonts w:eastAsia="Calibri"/>
          <w:noProof/>
          <w:szCs w:val="24"/>
        </w:rPr>
        <w:t>When providing IPs, as for any other types of payments, PSPs must ensure that they have in place appropriate and real-time fraud, money laundering and terrorist financing prevention tools, in full conformity with existing EU legislation. This initiative has no incidence on the robustness of AML/CFT checks. In particular, the instantaneity of these payments, within less than 10 seconds, does not affect in any way the obligation from obliged entities to perform their required AML/CFT checks and, if necessary, to introduce suspicious transaction reports (STRs). These are usually ex-post requirements, contrary to sanctions screening obligations which must be performed before the transaction is executed (so within 10 seconds for IPs) and are therefore covered by the present proposal. Nor does this proposal affect in any manner the effectiveness and timeliness of the examination by the Financial Intelligence Units (FIUs) of such STRs.</w:t>
      </w:r>
    </w:p>
    <w:p w:rsidR="00211B11" w:rsidRPr="000B434C" w:rsidRDefault="00211B11" w:rsidP="00211B11">
      <w:pPr>
        <w:pStyle w:val="ManualHeading2"/>
        <w:rPr>
          <w:rFonts w:eastAsia="Arial Unicode MS"/>
          <w:noProof/>
        </w:rPr>
      </w:pPr>
      <w:r w:rsidRPr="000B434C">
        <w:rPr>
          <w:rFonts w:eastAsia="Arial Unicode MS"/>
          <w:noProof/>
          <w:color w:val="000000"/>
          <w:u w:color="000000"/>
          <w:bdr w:val="nil"/>
          <w:lang w:eastAsia="en-GB"/>
        </w:rPr>
        <w:t>•</w:t>
      </w:r>
      <w:r w:rsidRPr="000B434C">
        <w:rPr>
          <w:rFonts w:eastAsia="Arial Unicode MS"/>
          <w:noProof/>
          <w:color w:val="000000"/>
          <w:u w:color="000000"/>
          <w:bdr w:val="nil"/>
          <w:lang w:eastAsia="en-GB"/>
        </w:rPr>
        <w:tab/>
      </w:r>
      <w:r w:rsidRPr="000B434C">
        <w:rPr>
          <w:rFonts w:eastAsia="Arial Unicode MS"/>
          <w:noProof/>
        </w:rPr>
        <w:t>Consistency with other EU policies</w:t>
      </w:r>
    </w:p>
    <w:p w:rsidR="00211B11" w:rsidRPr="000B434C" w:rsidRDefault="00211B11" w:rsidP="00211B11">
      <w:pPr>
        <w:pBdr>
          <w:top w:val="nil"/>
          <w:left w:val="nil"/>
          <w:bottom w:val="nil"/>
          <w:right w:val="nil"/>
          <w:between w:val="nil"/>
          <w:bar w:val="nil"/>
        </w:pBdr>
        <w:spacing w:after="240"/>
        <w:rPr>
          <w:rFonts w:eastAsia="Calibri"/>
          <w:noProof/>
          <w:szCs w:val="24"/>
        </w:rPr>
      </w:pPr>
      <w:r w:rsidRPr="000B434C">
        <w:rPr>
          <w:rFonts w:eastAsia="Calibri"/>
          <w:noProof/>
          <w:szCs w:val="24"/>
        </w:rPr>
        <w:t>The initiative is fully consistent with other Commission initiatives laid out in the Commission’s digital finance strategy for the EU</w:t>
      </w:r>
      <w:r w:rsidRPr="000B434C">
        <w:rPr>
          <w:rStyle w:val="FootnoteReference"/>
          <w:noProof/>
        </w:rPr>
        <w:footnoteReference w:id="14"/>
      </w:r>
      <w:r w:rsidRPr="000B434C">
        <w:rPr>
          <w:rFonts w:eastAsia="Calibri"/>
          <w:noProof/>
          <w:szCs w:val="24"/>
        </w:rPr>
        <w:t>, adopted together with the retail payment strategy (RPS), aimed at promoting digital transformation of finance and the EU economy</w:t>
      </w:r>
      <w:r>
        <w:rPr>
          <w:rFonts w:eastAsia="Calibri"/>
          <w:noProof/>
          <w:szCs w:val="24"/>
        </w:rPr>
        <w:t>,</w:t>
      </w:r>
      <w:r w:rsidRPr="000B434C">
        <w:rPr>
          <w:rFonts w:eastAsia="Calibri"/>
          <w:noProof/>
          <w:szCs w:val="24"/>
        </w:rPr>
        <w:t xml:space="preserve"> and removing fragmentation in the digital single market.</w:t>
      </w:r>
    </w:p>
    <w:p w:rsidR="00211B11" w:rsidRDefault="00211B11" w:rsidP="00211B11">
      <w:pPr>
        <w:pBdr>
          <w:top w:val="nil"/>
          <w:left w:val="nil"/>
          <w:bottom w:val="nil"/>
          <w:right w:val="nil"/>
          <w:between w:val="nil"/>
          <w:bar w:val="nil"/>
        </w:pBdr>
        <w:spacing w:after="240"/>
        <w:rPr>
          <w:rFonts w:eastAsia="Calibri"/>
          <w:noProof/>
          <w:szCs w:val="24"/>
        </w:rPr>
      </w:pPr>
      <w:r w:rsidRPr="000B434C">
        <w:rPr>
          <w:rFonts w:eastAsia="Calibri"/>
          <w:noProof/>
          <w:szCs w:val="24"/>
        </w:rPr>
        <w:t>It is also fully consistent with Commission Communication ‘</w:t>
      </w:r>
      <w:r w:rsidRPr="003B19D1">
        <w:rPr>
          <w:rFonts w:eastAsia="Calibri"/>
          <w:noProof/>
          <w:szCs w:val="24"/>
        </w:rPr>
        <w:t>Towards a stronger international role of the euro</w:t>
      </w:r>
      <w:r w:rsidRPr="000B434C">
        <w:rPr>
          <w:rFonts w:eastAsia="Calibri"/>
          <w:noProof/>
          <w:szCs w:val="24"/>
        </w:rPr>
        <w:t>’</w:t>
      </w:r>
      <w:r w:rsidRPr="000B434C">
        <w:rPr>
          <w:rStyle w:val="FootnoteReference"/>
          <w:noProof/>
        </w:rPr>
        <w:footnoteReference w:id="15"/>
      </w:r>
      <w:r w:rsidRPr="000B434C">
        <w:rPr>
          <w:rFonts w:eastAsia="Calibri"/>
          <w:noProof/>
          <w:szCs w:val="24"/>
        </w:rPr>
        <w:t>, in which the Commission supported a fully integrated instant payment system in the EU, to reduce risks and vulnerabilities in retail payment systems and to increase the autonomy of existing payment solutions. It is also consistent with the Commission’s 2021 Communication on ‘</w:t>
      </w:r>
      <w:r w:rsidRPr="003B19D1">
        <w:rPr>
          <w:rFonts w:eastAsia="Calibri"/>
          <w:iCs/>
          <w:noProof/>
          <w:szCs w:val="24"/>
        </w:rPr>
        <w:t>The European economic and financial system: fostering openness, strength and resilience</w:t>
      </w:r>
      <w:r w:rsidRPr="000B434C">
        <w:rPr>
          <w:rFonts w:eastAsia="Calibri"/>
          <w:iCs/>
          <w:noProof/>
          <w:szCs w:val="24"/>
        </w:rPr>
        <w:t>’</w:t>
      </w:r>
      <w:r w:rsidRPr="000B434C">
        <w:rPr>
          <w:rStyle w:val="FootnoteReference"/>
          <w:noProof/>
        </w:rPr>
        <w:footnoteReference w:id="16"/>
      </w:r>
      <w:r w:rsidRPr="000B434C">
        <w:rPr>
          <w:rFonts w:eastAsia="Calibri"/>
          <w:noProof/>
          <w:szCs w:val="24"/>
        </w:rPr>
        <w:t xml:space="preserve">, which reiterated the importance of its retail payments strategy and of digital innovation in finance </w:t>
      </w:r>
      <w:r>
        <w:rPr>
          <w:rFonts w:eastAsia="Calibri"/>
          <w:noProof/>
          <w:szCs w:val="24"/>
        </w:rPr>
        <w:t>for</w:t>
      </w:r>
      <w:r w:rsidRPr="000B434C">
        <w:rPr>
          <w:rFonts w:eastAsia="Calibri"/>
          <w:noProof/>
          <w:szCs w:val="24"/>
        </w:rPr>
        <w:t xml:space="preserve"> strengthening the </w:t>
      </w:r>
      <w:r>
        <w:rPr>
          <w:rFonts w:eastAsia="Calibri"/>
          <w:noProof/>
          <w:szCs w:val="24"/>
        </w:rPr>
        <w:t>single</w:t>
      </w:r>
      <w:r w:rsidRPr="000B434C">
        <w:rPr>
          <w:rFonts w:eastAsia="Calibri"/>
          <w:noProof/>
          <w:szCs w:val="24"/>
        </w:rPr>
        <w:t xml:space="preserve"> market for financial services. The same Communication confirmed that </w:t>
      </w:r>
      <w:r w:rsidRPr="000B434C">
        <w:rPr>
          <w:noProof/>
        </w:rPr>
        <w:t>the</w:t>
      </w:r>
      <w:r w:rsidRPr="000B434C">
        <w:rPr>
          <w:noProof/>
          <w:color w:val="1F497D"/>
        </w:rPr>
        <w:t xml:space="preserve"> </w:t>
      </w:r>
      <w:r w:rsidRPr="000B434C">
        <w:rPr>
          <w:noProof/>
        </w:rPr>
        <w:t>Commission and ECB services would jointly revie</w:t>
      </w:r>
      <w:r w:rsidR="00A71A33">
        <w:rPr>
          <w:noProof/>
        </w:rPr>
        <w:t>w</w:t>
      </w:r>
      <w:r w:rsidRPr="000B434C">
        <w:rPr>
          <w:noProof/>
        </w:rPr>
        <w:t xml:space="preserve"> at technical level a broad range of policy, legal and technical questions emerging from a possible introduction of a digital euro, taking into account their respective mandates provided for in the EU Treaties</w:t>
      </w:r>
      <w:r w:rsidRPr="000B434C">
        <w:rPr>
          <w:rFonts w:eastAsia="Calibri"/>
          <w:noProof/>
          <w:szCs w:val="24"/>
        </w:rPr>
        <w:t>.</w:t>
      </w:r>
      <w:r w:rsidR="00113A95">
        <w:rPr>
          <w:rFonts w:eastAsia="Calibri"/>
          <w:noProof/>
          <w:szCs w:val="24"/>
        </w:rPr>
        <w:t xml:space="preserve"> </w:t>
      </w:r>
      <w:r w:rsidR="00A82BBD">
        <w:rPr>
          <w:rFonts w:eastAsia="Calibri"/>
          <w:noProof/>
          <w:szCs w:val="24"/>
        </w:rPr>
        <w:t>A legislative initiative on digital euro has been</w:t>
      </w:r>
      <w:r w:rsidR="00113A95" w:rsidRPr="000B434C">
        <w:rPr>
          <w:rFonts w:eastAsia="Arial Unicode MS"/>
          <w:noProof/>
        </w:rPr>
        <w:t xml:space="preserve"> included</w:t>
      </w:r>
      <w:r w:rsidR="00113A95">
        <w:rPr>
          <w:rFonts w:eastAsia="Calibri"/>
          <w:noProof/>
          <w:szCs w:val="24"/>
        </w:rPr>
        <w:t xml:space="preserve"> </w:t>
      </w:r>
      <w:r w:rsidR="00A82BBD">
        <w:rPr>
          <w:rFonts w:eastAsia="Calibri"/>
          <w:noProof/>
          <w:szCs w:val="24"/>
        </w:rPr>
        <w:t xml:space="preserve">also </w:t>
      </w:r>
      <w:r w:rsidR="00113A95" w:rsidRPr="000B434C">
        <w:rPr>
          <w:rFonts w:eastAsia="Arial Unicode MS"/>
          <w:noProof/>
        </w:rPr>
        <w:t>in the Commission work programme for 202</w:t>
      </w:r>
      <w:r w:rsidR="00113A95">
        <w:rPr>
          <w:rFonts w:eastAsia="Arial Unicode MS"/>
          <w:noProof/>
        </w:rPr>
        <w:t>3.</w:t>
      </w:r>
    </w:p>
    <w:p w:rsidR="00511BF2" w:rsidRPr="000B434C" w:rsidRDefault="00511BF2" w:rsidP="00211B11">
      <w:pPr>
        <w:pBdr>
          <w:top w:val="nil"/>
          <w:left w:val="nil"/>
          <w:bottom w:val="nil"/>
          <w:right w:val="nil"/>
          <w:between w:val="nil"/>
          <w:bar w:val="nil"/>
        </w:pBdr>
        <w:spacing w:after="240"/>
        <w:rPr>
          <w:rFonts w:eastAsia="Calibri"/>
          <w:noProof/>
          <w:szCs w:val="24"/>
        </w:rPr>
      </w:pPr>
      <w:r>
        <w:rPr>
          <w:rFonts w:eastAsia="Calibri"/>
          <w:noProof/>
          <w:szCs w:val="24"/>
        </w:rPr>
        <w:t xml:space="preserve">The </w:t>
      </w:r>
      <w:r w:rsidR="009E50BD">
        <w:rPr>
          <w:noProof/>
        </w:rPr>
        <w:t>full deployment of IPs is one of the main elements of the retail</w:t>
      </w:r>
      <w:r>
        <w:rPr>
          <w:rFonts w:eastAsia="Calibri"/>
          <w:noProof/>
          <w:szCs w:val="24"/>
        </w:rPr>
        <w:t xml:space="preserve"> payments strategy</w:t>
      </w:r>
      <w:r>
        <w:rPr>
          <w:rStyle w:val="FootnoteReference"/>
          <w:rFonts w:eastAsia="Calibri"/>
          <w:noProof/>
          <w:szCs w:val="24"/>
        </w:rPr>
        <w:footnoteReference w:id="17"/>
      </w:r>
      <w:r>
        <w:rPr>
          <w:rFonts w:eastAsia="Calibri"/>
          <w:noProof/>
          <w:szCs w:val="24"/>
        </w:rPr>
        <w:t xml:space="preserve"> of the ECB</w:t>
      </w:r>
      <w:r w:rsidR="009E50BD">
        <w:rPr>
          <w:rFonts w:eastAsia="Calibri"/>
          <w:noProof/>
          <w:szCs w:val="24"/>
        </w:rPr>
        <w:t xml:space="preserve">, who also provides </w:t>
      </w:r>
      <w:r w:rsidR="009E50BD">
        <w:rPr>
          <w:noProof/>
        </w:rPr>
        <w:t xml:space="preserve">the TARGET Instant Payment Settlement (TIPS) service. Therefore, the ECB </w:t>
      </w:r>
      <w:r w:rsidR="00C41D03">
        <w:rPr>
          <w:noProof/>
        </w:rPr>
        <w:t>may</w:t>
      </w:r>
      <w:r w:rsidR="009E50BD">
        <w:rPr>
          <w:noProof/>
        </w:rPr>
        <w:t xml:space="preserve"> be invited to produce an opinion on this proposal. </w:t>
      </w:r>
    </w:p>
    <w:p w:rsidR="00211B11" w:rsidRPr="000B434C" w:rsidRDefault="00211B11" w:rsidP="00211B11">
      <w:pPr>
        <w:pStyle w:val="ManualHeading1"/>
        <w:rPr>
          <w:noProof/>
        </w:rPr>
      </w:pPr>
      <w:r w:rsidRPr="000B434C">
        <w:rPr>
          <w:noProof/>
        </w:rPr>
        <w:t>2.</w:t>
      </w:r>
      <w:r w:rsidRPr="000B434C">
        <w:rPr>
          <w:noProof/>
        </w:rPr>
        <w:tab/>
        <w:t>LEGAL BASIS, SUBSIDIARITY AND PROPORTIONALITY</w:t>
      </w:r>
    </w:p>
    <w:p w:rsidR="00211B11" w:rsidRPr="000B434C" w:rsidRDefault="00211B11" w:rsidP="00211B11">
      <w:pPr>
        <w:pStyle w:val="ManualHeading2"/>
        <w:rPr>
          <w:rFonts w:eastAsia="Arial Unicode MS"/>
          <w:noProof/>
          <w:u w:color="000000"/>
          <w:bdr w:val="nil"/>
          <w:lang w:eastAsia="en-GB"/>
        </w:rPr>
      </w:pPr>
      <w:r w:rsidRPr="000B434C">
        <w:rPr>
          <w:rFonts w:eastAsia="Arial Unicode MS"/>
          <w:noProof/>
          <w:u w:color="000000"/>
          <w:bdr w:val="nil"/>
          <w:lang w:eastAsia="en-GB"/>
        </w:rPr>
        <w:t>•</w:t>
      </w:r>
      <w:r w:rsidRPr="000B434C">
        <w:rPr>
          <w:rFonts w:eastAsia="Arial Unicode MS"/>
          <w:noProof/>
          <w:u w:color="000000"/>
          <w:bdr w:val="nil"/>
          <w:lang w:eastAsia="en-GB"/>
        </w:rPr>
        <w:tab/>
        <w:t>Legal basis</w:t>
      </w:r>
    </w:p>
    <w:p w:rsidR="00211B11" w:rsidRPr="000B434C" w:rsidRDefault="00211B11" w:rsidP="00211B11">
      <w:pPr>
        <w:pBdr>
          <w:top w:val="nil"/>
          <w:left w:val="nil"/>
          <w:bottom w:val="nil"/>
          <w:right w:val="nil"/>
          <w:between w:val="nil"/>
          <w:bar w:val="nil"/>
        </w:pBdr>
        <w:spacing w:after="240"/>
        <w:rPr>
          <w:rFonts w:eastAsia="Calibri"/>
          <w:noProof/>
          <w:szCs w:val="24"/>
        </w:rPr>
      </w:pPr>
      <w:r w:rsidRPr="000B434C">
        <w:rPr>
          <w:rFonts w:eastAsia="Calibri"/>
          <w:noProof/>
          <w:szCs w:val="24"/>
        </w:rPr>
        <w:t>The appropriate legal basis is Article</w:t>
      </w:r>
      <w:r>
        <w:rPr>
          <w:rFonts w:eastAsia="Calibri"/>
          <w:noProof/>
          <w:szCs w:val="24"/>
        </w:rPr>
        <w:t> </w:t>
      </w:r>
      <w:r w:rsidRPr="000B434C">
        <w:rPr>
          <w:rFonts w:eastAsia="Calibri"/>
          <w:noProof/>
          <w:szCs w:val="24"/>
        </w:rPr>
        <w:t xml:space="preserve">114 of the Treaty on the Functioning of the European Union (TFEU), which tasks the European institutions with laying down provisions to establish the </w:t>
      </w:r>
      <w:r>
        <w:rPr>
          <w:rFonts w:eastAsia="Calibri"/>
          <w:noProof/>
          <w:szCs w:val="24"/>
        </w:rPr>
        <w:t>single</w:t>
      </w:r>
      <w:r w:rsidRPr="000B434C">
        <w:rPr>
          <w:rFonts w:eastAsia="Calibri"/>
          <w:noProof/>
          <w:szCs w:val="24"/>
        </w:rPr>
        <w:t xml:space="preserve"> market and ensure its proper functioning in line with Article</w:t>
      </w:r>
      <w:r>
        <w:rPr>
          <w:rFonts w:eastAsia="Calibri"/>
          <w:noProof/>
          <w:szCs w:val="24"/>
        </w:rPr>
        <w:t> </w:t>
      </w:r>
      <w:r w:rsidRPr="000B434C">
        <w:rPr>
          <w:rFonts w:eastAsia="Calibri"/>
          <w:noProof/>
          <w:szCs w:val="24"/>
        </w:rPr>
        <w:t xml:space="preserve">26 TFEU. This is the legal basis used for existing EU legislation in the area of payments, such as the SEPA Regulation, </w:t>
      </w:r>
      <w:r w:rsidRPr="008111D4">
        <w:rPr>
          <w:rFonts w:eastAsia="Calibri"/>
          <w:noProof/>
          <w:szCs w:val="24"/>
        </w:rPr>
        <w:t>PSD2</w:t>
      </w:r>
      <w:r w:rsidRPr="000B434C">
        <w:rPr>
          <w:rFonts w:eastAsia="Calibri"/>
          <w:noProof/>
          <w:szCs w:val="24"/>
        </w:rPr>
        <w:t>, and the Regulation on cross-border payments.</w:t>
      </w:r>
    </w:p>
    <w:p w:rsidR="00211B11" w:rsidRPr="000B434C" w:rsidRDefault="00211B11" w:rsidP="00211B11">
      <w:pPr>
        <w:pStyle w:val="ManualHeading2"/>
        <w:rPr>
          <w:rFonts w:eastAsia="Arial Unicode MS"/>
          <w:noProof/>
          <w:u w:color="000000"/>
          <w:bdr w:val="nil"/>
          <w:lang w:eastAsia="en-GB"/>
        </w:rPr>
      </w:pPr>
      <w:r w:rsidRPr="000B434C">
        <w:rPr>
          <w:rFonts w:eastAsia="Arial Unicode MS"/>
          <w:noProof/>
          <w:u w:color="000000"/>
          <w:bdr w:val="nil"/>
          <w:lang w:eastAsia="en-GB"/>
        </w:rPr>
        <w:t>•</w:t>
      </w:r>
      <w:r w:rsidRPr="000B434C">
        <w:rPr>
          <w:rFonts w:eastAsia="Arial Unicode MS"/>
          <w:noProof/>
          <w:u w:color="000000"/>
          <w:bdr w:val="nil"/>
          <w:lang w:eastAsia="en-GB"/>
        </w:rPr>
        <w:tab/>
        <w:t>Subsidiarity (for non-exclusive competence)</w:t>
      </w:r>
    </w:p>
    <w:p w:rsidR="00211B11" w:rsidRPr="000B434C" w:rsidRDefault="00211B11" w:rsidP="00211B11">
      <w:pPr>
        <w:spacing w:after="200"/>
        <w:rPr>
          <w:rFonts w:eastAsia="Arial Unicode MS"/>
          <w:noProof/>
        </w:rPr>
      </w:pPr>
      <w:r w:rsidRPr="000B434C">
        <w:rPr>
          <w:rFonts w:eastAsia="Calibri"/>
          <w:noProof/>
          <w:szCs w:val="24"/>
        </w:rPr>
        <w:t xml:space="preserve">Only EU </w:t>
      </w:r>
      <w:r>
        <w:rPr>
          <w:rFonts w:eastAsia="Calibri"/>
          <w:noProof/>
          <w:szCs w:val="24"/>
        </w:rPr>
        <w:t>measures</w:t>
      </w:r>
      <w:r w:rsidRPr="000B434C">
        <w:rPr>
          <w:rFonts w:eastAsia="Calibri"/>
          <w:noProof/>
          <w:szCs w:val="24"/>
        </w:rPr>
        <w:t xml:space="preserve"> can </w:t>
      </w:r>
      <w:r>
        <w:rPr>
          <w:rFonts w:eastAsia="Calibri"/>
          <w:noProof/>
          <w:szCs w:val="24"/>
        </w:rPr>
        <w:t xml:space="preserve">require </w:t>
      </w:r>
      <w:r w:rsidRPr="000B434C">
        <w:rPr>
          <w:rFonts w:eastAsia="Calibri"/>
          <w:noProof/>
          <w:szCs w:val="24"/>
        </w:rPr>
        <w:t xml:space="preserve">all relevant PSPs </w:t>
      </w:r>
      <w:r>
        <w:rPr>
          <w:rFonts w:eastAsia="Calibri"/>
          <w:noProof/>
          <w:szCs w:val="24"/>
        </w:rPr>
        <w:t xml:space="preserve">in the EU </w:t>
      </w:r>
      <w:r w:rsidRPr="000B434C">
        <w:rPr>
          <w:rFonts w:eastAsia="Calibri"/>
          <w:noProof/>
          <w:szCs w:val="24"/>
        </w:rPr>
        <w:t xml:space="preserve">to </w:t>
      </w:r>
      <w:r>
        <w:rPr>
          <w:rFonts w:eastAsia="Calibri"/>
          <w:noProof/>
          <w:szCs w:val="24"/>
        </w:rPr>
        <w:t xml:space="preserve">provide the service of </w:t>
      </w:r>
      <w:r w:rsidRPr="000B434C">
        <w:rPr>
          <w:rFonts w:eastAsia="Calibri"/>
          <w:noProof/>
          <w:szCs w:val="24"/>
        </w:rPr>
        <w:t xml:space="preserve">sending and receiving cross-border IPs. Member States alone cannot provide for harmonised EU rules </w:t>
      </w:r>
      <w:r>
        <w:rPr>
          <w:rFonts w:eastAsia="Calibri"/>
          <w:noProof/>
          <w:szCs w:val="24"/>
        </w:rPr>
        <w:t>on</w:t>
      </w:r>
      <w:r w:rsidRPr="000B434C">
        <w:rPr>
          <w:rFonts w:eastAsia="Calibri"/>
          <w:noProof/>
          <w:szCs w:val="24"/>
        </w:rPr>
        <w:t xml:space="preserve"> cross-border IPs, be it on sanctions screening or the protection of the payer in </w:t>
      </w:r>
      <w:r>
        <w:rPr>
          <w:rFonts w:eastAsia="Calibri"/>
          <w:noProof/>
          <w:szCs w:val="24"/>
        </w:rPr>
        <w:t xml:space="preserve">the event </w:t>
      </w:r>
      <w:r w:rsidRPr="000B434C">
        <w:rPr>
          <w:rFonts w:eastAsia="Calibri"/>
          <w:noProof/>
          <w:szCs w:val="24"/>
        </w:rPr>
        <w:t>of fraud or errors. In addition, SEPA for non-instant credit transfers and direct debits was established by an EU Regulation and the present proposal further develops SEPA.</w:t>
      </w:r>
    </w:p>
    <w:p w:rsidR="00211B11" w:rsidRPr="000B434C" w:rsidRDefault="00211B11" w:rsidP="00211B11">
      <w:pPr>
        <w:pStyle w:val="ManualHeading2"/>
        <w:rPr>
          <w:rFonts w:eastAsia="Arial Unicode MS"/>
          <w:noProof/>
          <w:u w:color="000000"/>
          <w:bdr w:val="nil"/>
          <w:lang w:eastAsia="en-GB"/>
        </w:rPr>
      </w:pPr>
      <w:r w:rsidRPr="000B434C">
        <w:rPr>
          <w:rFonts w:eastAsia="Arial Unicode MS"/>
          <w:noProof/>
          <w:u w:color="000000"/>
          <w:bdr w:val="nil"/>
          <w:lang w:eastAsia="en-GB"/>
        </w:rPr>
        <w:t>•</w:t>
      </w:r>
      <w:r w:rsidRPr="000B434C">
        <w:rPr>
          <w:rFonts w:eastAsia="Arial Unicode MS"/>
          <w:noProof/>
          <w:u w:color="000000"/>
          <w:bdr w:val="nil"/>
          <w:lang w:eastAsia="en-GB"/>
        </w:rPr>
        <w:tab/>
        <w:t>Proportionality</w:t>
      </w:r>
    </w:p>
    <w:p w:rsidR="00211B11" w:rsidRPr="000B434C" w:rsidRDefault="00211B11" w:rsidP="00211B11">
      <w:pPr>
        <w:pBdr>
          <w:top w:val="nil"/>
          <w:left w:val="nil"/>
          <w:bottom w:val="nil"/>
          <w:right w:val="nil"/>
          <w:between w:val="nil"/>
          <w:bar w:val="nil"/>
        </w:pBdr>
        <w:spacing w:after="240"/>
        <w:rPr>
          <w:rFonts w:eastAsia="Arial Unicode MS"/>
          <w:noProof/>
        </w:rPr>
      </w:pPr>
      <w:r w:rsidRPr="000B434C">
        <w:rPr>
          <w:rFonts w:eastAsia="Arial Unicode MS"/>
          <w:noProof/>
        </w:rPr>
        <w:t xml:space="preserve">Only PSPs offering a credit transfer service </w:t>
      </w:r>
      <w:r w:rsidR="00DE7648">
        <w:rPr>
          <w:rFonts w:eastAsia="Arial Unicode MS"/>
          <w:noProof/>
        </w:rPr>
        <w:t xml:space="preserve">in euro </w:t>
      </w:r>
      <w:r w:rsidRPr="000B434C">
        <w:rPr>
          <w:rFonts w:eastAsia="Arial Unicode MS"/>
          <w:noProof/>
        </w:rPr>
        <w:t xml:space="preserve">to their customers are covered by the </w:t>
      </w:r>
      <w:r>
        <w:rPr>
          <w:rFonts w:eastAsia="Arial Unicode MS"/>
          <w:noProof/>
        </w:rPr>
        <w:t>requirement</w:t>
      </w:r>
      <w:r w:rsidRPr="000B434C">
        <w:rPr>
          <w:rFonts w:eastAsia="Arial Unicode MS"/>
          <w:noProof/>
        </w:rPr>
        <w:t xml:space="preserve"> to offer IPs in euro. The SEPA Regulation already excludes payment transactions carried out between and within PSPs, including their agents or branches, for their own account. Furthermore, payment institutions</w:t>
      </w:r>
      <w:r w:rsidRPr="000B434C">
        <w:rPr>
          <w:rStyle w:val="FootnoteReference"/>
          <w:noProof/>
        </w:rPr>
        <w:footnoteReference w:id="18"/>
      </w:r>
      <w:r w:rsidRPr="000B434C">
        <w:rPr>
          <w:rFonts w:eastAsia="Arial Unicode MS"/>
          <w:noProof/>
        </w:rPr>
        <w:t xml:space="preserve"> and electronic money institutions</w:t>
      </w:r>
      <w:r w:rsidRPr="000B434C">
        <w:rPr>
          <w:rStyle w:val="FootnoteReference"/>
          <w:noProof/>
        </w:rPr>
        <w:footnoteReference w:id="19"/>
      </w:r>
      <w:r w:rsidRPr="000B434C">
        <w:rPr>
          <w:rFonts w:eastAsia="Arial Unicode MS"/>
          <w:noProof/>
        </w:rPr>
        <w:t xml:space="preserve"> are not covered since currently, under the Settlement Finality Directive</w:t>
      </w:r>
      <w:r w:rsidR="00DE7648">
        <w:rPr>
          <w:rFonts w:eastAsia="Arial Unicode MS"/>
          <w:noProof/>
        </w:rPr>
        <w:t xml:space="preserve"> (SFD)</w:t>
      </w:r>
      <w:r w:rsidRPr="000B434C">
        <w:rPr>
          <w:rStyle w:val="FootnoteReference"/>
          <w:noProof/>
        </w:rPr>
        <w:footnoteReference w:id="20"/>
      </w:r>
      <w:r w:rsidRPr="000B434C">
        <w:rPr>
          <w:rFonts w:eastAsia="Arial Unicode MS"/>
          <w:noProof/>
        </w:rPr>
        <w:t>, they cannot participate in settlement systems designated under that Directive, which includes many EU settlement systems widely used for credit transfers and IPs.</w:t>
      </w:r>
      <w:r w:rsidRPr="000B434C">
        <w:rPr>
          <w:rFonts w:eastAsia="Calibri"/>
          <w:noProof/>
        </w:rPr>
        <w:t xml:space="preserve"> This may be reconsidered in light of future amendments to </w:t>
      </w:r>
      <w:r w:rsidR="00DE7648">
        <w:rPr>
          <w:rFonts w:eastAsia="Calibri"/>
          <w:noProof/>
        </w:rPr>
        <w:t>SFD</w:t>
      </w:r>
      <w:r w:rsidRPr="000B434C">
        <w:rPr>
          <w:rFonts w:eastAsia="Calibri"/>
          <w:noProof/>
        </w:rPr>
        <w:t xml:space="preserve"> </w:t>
      </w:r>
      <w:r>
        <w:rPr>
          <w:rFonts w:eastAsia="Calibri"/>
          <w:noProof/>
        </w:rPr>
        <w:t xml:space="preserve">after it is </w:t>
      </w:r>
      <w:r w:rsidRPr="000B434C">
        <w:rPr>
          <w:rFonts w:eastAsia="Calibri"/>
          <w:noProof/>
        </w:rPr>
        <w:t>review</w:t>
      </w:r>
      <w:r>
        <w:rPr>
          <w:rFonts w:eastAsia="Calibri"/>
          <w:noProof/>
        </w:rPr>
        <w:t>ed</w:t>
      </w:r>
      <w:r w:rsidRPr="000B434C">
        <w:rPr>
          <w:rFonts w:eastAsia="Calibri"/>
          <w:noProof/>
        </w:rPr>
        <w:t>.</w:t>
      </w:r>
      <w:r w:rsidRPr="000B434C">
        <w:rPr>
          <w:noProof/>
          <w:szCs w:val="24"/>
        </w:rPr>
        <w:t xml:space="preserve"> </w:t>
      </w:r>
      <w:r w:rsidR="002624DF">
        <w:rPr>
          <w:noProof/>
          <w:szCs w:val="24"/>
          <w:lang w:val="en-US"/>
        </w:rPr>
        <w:t xml:space="preserve">Nevertheless, under this proposal payment institutions and electronic money institutions will not be prevented from offering IPs to their PSUs on a voluntary basis. </w:t>
      </w:r>
      <w:r w:rsidRPr="000B434C">
        <w:rPr>
          <w:rFonts w:eastAsia="Calibri"/>
          <w:noProof/>
        </w:rPr>
        <w:t xml:space="preserve">The </w:t>
      </w:r>
      <w:r w:rsidRPr="000B434C">
        <w:rPr>
          <w:rFonts w:eastAsia="Arial Unicode MS"/>
          <w:noProof/>
        </w:rPr>
        <w:t>proposal also provides for staggered deadlines for the services of receiving and sending IPs and for PSPs inside and outside the euro area.</w:t>
      </w:r>
    </w:p>
    <w:p w:rsidR="00211B11" w:rsidRPr="000B434C" w:rsidRDefault="00211B11" w:rsidP="00211B11">
      <w:pPr>
        <w:pStyle w:val="ManualHeading2"/>
        <w:rPr>
          <w:rFonts w:eastAsia="Arial Unicode MS"/>
          <w:noProof/>
          <w:u w:color="000000"/>
          <w:bdr w:val="nil"/>
          <w:lang w:eastAsia="en-GB"/>
        </w:rPr>
      </w:pPr>
      <w:r w:rsidRPr="000B434C">
        <w:rPr>
          <w:rFonts w:eastAsia="Arial Unicode MS"/>
          <w:noProof/>
          <w:u w:color="000000"/>
          <w:bdr w:val="nil"/>
          <w:lang w:eastAsia="en-GB"/>
        </w:rPr>
        <w:t>•</w:t>
      </w:r>
      <w:r w:rsidRPr="000B434C">
        <w:rPr>
          <w:rFonts w:eastAsia="Arial Unicode MS"/>
          <w:noProof/>
          <w:u w:color="000000"/>
          <w:bdr w:val="nil"/>
          <w:lang w:eastAsia="en-GB"/>
        </w:rPr>
        <w:tab/>
        <w:t>Choice of the instrument</w:t>
      </w:r>
    </w:p>
    <w:p w:rsidR="00211B11" w:rsidRPr="000B434C" w:rsidRDefault="00211B11" w:rsidP="00211B11">
      <w:pPr>
        <w:pBdr>
          <w:top w:val="nil"/>
          <w:left w:val="nil"/>
          <w:bottom w:val="nil"/>
          <w:right w:val="nil"/>
          <w:between w:val="nil"/>
          <w:bar w:val="nil"/>
        </w:pBdr>
        <w:spacing w:after="240"/>
        <w:rPr>
          <w:rFonts w:eastAsia="Arial Unicode MS"/>
          <w:noProof/>
        </w:rPr>
      </w:pPr>
      <w:r w:rsidRPr="000B434C">
        <w:rPr>
          <w:rFonts w:eastAsia="Calibri"/>
          <w:noProof/>
          <w:szCs w:val="24"/>
        </w:rPr>
        <w:t>Given that</w:t>
      </w:r>
      <w:r>
        <w:rPr>
          <w:rFonts w:eastAsia="Calibri"/>
          <w:noProof/>
          <w:szCs w:val="24"/>
        </w:rPr>
        <w:t xml:space="preserve"> the</w:t>
      </w:r>
      <w:r w:rsidRPr="000B434C">
        <w:rPr>
          <w:rFonts w:eastAsia="Calibri"/>
          <w:noProof/>
          <w:szCs w:val="24"/>
        </w:rPr>
        <w:t xml:space="preserve"> SEPA Regulation lays </w:t>
      </w:r>
      <w:r>
        <w:rPr>
          <w:rFonts w:eastAsia="Calibri"/>
          <w:noProof/>
          <w:szCs w:val="24"/>
        </w:rPr>
        <w:t>down</w:t>
      </w:r>
      <w:r w:rsidRPr="000B434C">
        <w:rPr>
          <w:rFonts w:eastAsia="Calibri"/>
          <w:noProof/>
          <w:szCs w:val="24"/>
        </w:rPr>
        <w:t xml:space="preserve"> technical and business requirements for all credit transfers in euro and that IPs in euro are a new category of credit transfers in euro, it is appropriate for the present proposal to amend that Regulation.</w:t>
      </w:r>
    </w:p>
    <w:p w:rsidR="00211B11" w:rsidRPr="000B434C" w:rsidRDefault="00211B11" w:rsidP="00211B11">
      <w:pPr>
        <w:pStyle w:val="ManualHeading1"/>
        <w:rPr>
          <w:noProof/>
        </w:rPr>
      </w:pPr>
      <w:r w:rsidRPr="000B434C">
        <w:rPr>
          <w:noProof/>
        </w:rPr>
        <w:t>3.</w:t>
      </w:r>
      <w:r w:rsidRPr="000B434C">
        <w:rPr>
          <w:noProof/>
        </w:rPr>
        <w:tab/>
        <w:t xml:space="preserve">RESULTS OF </w:t>
      </w:r>
      <w:r>
        <w:rPr>
          <w:i/>
          <w:noProof/>
        </w:rPr>
        <w:t>EX POST</w:t>
      </w:r>
      <w:r w:rsidRPr="000B434C">
        <w:rPr>
          <w:noProof/>
        </w:rPr>
        <w:t xml:space="preserve"> EVALUATIONS, STAKEHOLDER CONSULTATIONS AND IMPACT ASSESSMENTS</w:t>
      </w:r>
    </w:p>
    <w:p w:rsidR="00211B11" w:rsidRPr="000B434C" w:rsidRDefault="00211B11" w:rsidP="00211B11">
      <w:pPr>
        <w:pStyle w:val="ManualHeading2"/>
        <w:rPr>
          <w:rFonts w:eastAsia="Arial Unicode MS"/>
          <w:noProof/>
          <w:u w:color="000000"/>
          <w:bdr w:val="nil"/>
          <w:lang w:eastAsia="en-GB"/>
        </w:rPr>
      </w:pPr>
      <w:r w:rsidRPr="000B434C">
        <w:rPr>
          <w:rFonts w:eastAsia="Arial Unicode MS"/>
          <w:noProof/>
          <w:u w:color="000000"/>
          <w:bdr w:val="nil"/>
          <w:lang w:eastAsia="en-GB"/>
        </w:rPr>
        <w:t>•</w:t>
      </w:r>
      <w:r w:rsidRPr="000B434C">
        <w:rPr>
          <w:rFonts w:eastAsia="Arial Unicode MS"/>
          <w:noProof/>
          <w:u w:color="000000"/>
          <w:bdr w:val="nil"/>
          <w:lang w:eastAsia="en-GB"/>
        </w:rPr>
        <w:tab/>
      </w:r>
      <w:r>
        <w:rPr>
          <w:rFonts w:eastAsia="Arial Unicode MS"/>
          <w:i/>
          <w:noProof/>
          <w:u w:color="000000"/>
          <w:bdr w:val="nil"/>
          <w:lang w:eastAsia="en-GB"/>
        </w:rPr>
        <w:t>Ex post</w:t>
      </w:r>
      <w:r w:rsidRPr="000B434C">
        <w:rPr>
          <w:rFonts w:eastAsia="Arial Unicode MS"/>
          <w:noProof/>
          <w:u w:color="000000"/>
          <w:bdr w:val="nil"/>
          <w:lang w:eastAsia="en-GB"/>
        </w:rPr>
        <w:t xml:space="preserve"> evaluations/fitness checks of existing legislation</w:t>
      </w:r>
    </w:p>
    <w:p w:rsidR="00211B11" w:rsidRPr="000B434C" w:rsidRDefault="00211B11" w:rsidP="00211B11">
      <w:pPr>
        <w:pBdr>
          <w:top w:val="nil"/>
          <w:left w:val="nil"/>
          <w:bottom w:val="nil"/>
          <w:right w:val="nil"/>
          <w:between w:val="nil"/>
          <w:bar w:val="nil"/>
        </w:pBdr>
        <w:spacing w:after="240"/>
        <w:rPr>
          <w:rFonts w:eastAsia="Arial Unicode MS"/>
          <w:noProof/>
        </w:rPr>
      </w:pPr>
      <w:r w:rsidRPr="000B434C">
        <w:rPr>
          <w:rFonts w:eastAsia="Calibri"/>
          <w:noProof/>
          <w:szCs w:val="24"/>
          <w:u w:color="000000"/>
          <w:bdr w:val="nil"/>
          <w:lang w:eastAsia="en-GB"/>
        </w:rPr>
        <w:t>On 23</w:t>
      </w:r>
      <w:r>
        <w:rPr>
          <w:rFonts w:eastAsia="Calibri"/>
          <w:noProof/>
          <w:szCs w:val="24"/>
          <w:u w:color="000000"/>
          <w:bdr w:val="nil"/>
          <w:lang w:eastAsia="en-GB"/>
        </w:rPr>
        <w:t> </w:t>
      </w:r>
      <w:r w:rsidRPr="000B434C">
        <w:rPr>
          <w:rFonts w:eastAsia="Calibri"/>
          <w:noProof/>
          <w:szCs w:val="24"/>
          <w:u w:color="000000"/>
          <w:bdr w:val="nil"/>
          <w:lang w:eastAsia="en-GB"/>
        </w:rPr>
        <w:t>November</w:t>
      </w:r>
      <w:r>
        <w:rPr>
          <w:rFonts w:eastAsia="Calibri"/>
          <w:noProof/>
          <w:szCs w:val="24"/>
          <w:u w:color="000000"/>
          <w:bdr w:val="nil"/>
          <w:lang w:eastAsia="en-GB"/>
        </w:rPr>
        <w:t> </w:t>
      </w:r>
      <w:r w:rsidRPr="000B434C">
        <w:rPr>
          <w:rFonts w:eastAsia="Calibri"/>
          <w:noProof/>
          <w:szCs w:val="24"/>
          <w:u w:color="000000"/>
          <w:bdr w:val="nil"/>
          <w:lang w:eastAsia="en-GB"/>
        </w:rPr>
        <w:t xml:space="preserve">2017, </w:t>
      </w:r>
      <w:r>
        <w:rPr>
          <w:rFonts w:eastAsia="Calibri"/>
          <w:noProof/>
          <w:szCs w:val="24"/>
          <w:u w:color="000000"/>
          <w:bdr w:val="nil"/>
          <w:lang w:eastAsia="en-GB"/>
        </w:rPr>
        <w:t xml:space="preserve">the Commission presented </w:t>
      </w:r>
      <w:r w:rsidRPr="000B434C">
        <w:rPr>
          <w:rFonts w:eastAsia="Calibri"/>
          <w:noProof/>
          <w:szCs w:val="24"/>
          <w:u w:color="000000"/>
          <w:bdr w:val="nil"/>
          <w:lang w:eastAsia="en-GB"/>
        </w:rPr>
        <w:t>a report on the functioning of the SEPA Regulation</w:t>
      </w:r>
      <w:r>
        <w:rPr>
          <w:rFonts w:eastAsia="Calibri"/>
          <w:noProof/>
          <w:szCs w:val="24"/>
          <w:u w:color="000000"/>
          <w:bdr w:val="nil"/>
          <w:lang w:eastAsia="en-GB"/>
        </w:rPr>
        <w:t xml:space="preserve"> </w:t>
      </w:r>
      <w:r w:rsidRPr="000B434C">
        <w:rPr>
          <w:rFonts w:eastAsia="Calibri"/>
          <w:noProof/>
          <w:szCs w:val="24"/>
          <w:u w:color="000000"/>
          <w:bdr w:val="nil"/>
          <w:lang w:eastAsia="en-GB"/>
        </w:rPr>
        <w:t>in accordance with Article</w:t>
      </w:r>
      <w:r>
        <w:rPr>
          <w:rFonts w:eastAsia="Calibri"/>
          <w:noProof/>
          <w:szCs w:val="24"/>
          <w:u w:color="000000"/>
          <w:bdr w:val="nil"/>
          <w:lang w:eastAsia="en-GB"/>
        </w:rPr>
        <w:t> </w:t>
      </w:r>
      <w:r w:rsidRPr="000B434C">
        <w:rPr>
          <w:rFonts w:eastAsia="Calibri"/>
          <w:noProof/>
          <w:szCs w:val="24"/>
          <w:u w:color="000000"/>
          <w:bdr w:val="nil"/>
          <w:lang w:eastAsia="en-GB"/>
        </w:rPr>
        <w:t>15 of the Regulation</w:t>
      </w:r>
      <w:r w:rsidRPr="000B434C">
        <w:rPr>
          <w:rStyle w:val="FootnoteReference"/>
          <w:rFonts w:eastAsia="Calibri"/>
          <w:noProof/>
          <w:szCs w:val="24"/>
          <w:u w:color="000000"/>
          <w:bdr w:val="nil"/>
          <w:lang w:eastAsia="en-GB"/>
        </w:rPr>
        <w:footnoteReference w:id="21"/>
      </w:r>
      <w:r w:rsidRPr="000B434C">
        <w:rPr>
          <w:rFonts w:eastAsia="Calibri"/>
          <w:noProof/>
          <w:szCs w:val="24"/>
          <w:u w:color="000000"/>
          <w:bdr w:val="nil"/>
          <w:lang w:eastAsia="en-GB"/>
        </w:rPr>
        <w:t xml:space="preserve">. The report concluded that, overall, the SEPA Regulation was </w:t>
      </w:r>
      <w:r>
        <w:rPr>
          <w:rFonts w:eastAsia="Calibri"/>
          <w:noProof/>
          <w:szCs w:val="24"/>
          <w:u w:color="000000"/>
          <w:bdr w:val="nil"/>
          <w:lang w:eastAsia="en-GB"/>
        </w:rPr>
        <w:t xml:space="preserve">being </w:t>
      </w:r>
      <w:r w:rsidRPr="000B434C">
        <w:rPr>
          <w:rFonts w:eastAsia="Calibri"/>
          <w:noProof/>
          <w:szCs w:val="24"/>
          <w:u w:color="000000"/>
          <w:bdr w:val="nil"/>
          <w:lang w:eastAsia="en-GB"/>
        </w:rPr>
        <w:t>correctly applied across the EU and that there was no need for a follow-up legislative proposal.</w:t>
      </w:r>
    </w:p>
    <w:p w:rsidR="00211B11" w:rsidRPr="000B434C" w:rsidRDefault="00211B11" w:rsidP="00211B11">
      <w:pPr>
        <w:pBdr>
          <w:top w:val="nil"/>
          <w:left w:val="nil"/>
          <w:bottom w:val="nil"/>
          <w:right w:val="nil"/>
          <w:between w:val="nil"/>
          <w:bar w:val="nil"/>
        </w:pBdr>
        <w:spacing w:after="240"/>
        <w:rPr>
          <w:rFonts w:eastAsia="Calibri"/>
          <w:noProof/>
          <w:szCs w:val="24"/>
          <w:u w:color="000000"/>
          <w:bdr w:val="nil"/>
          <w:lang w:eastAsia="en-GB"/>
        </w:rPr>
      </w:pPr>
      <w:r w:rsidRPr="000B434C">
        <w:rPr>
          <w:rFonts w:eastAsia="Calibri"/>
          <w:noProof/>
          <w:szCs w:val="24"/>
          <w:u w:color="000000"/>
          <w:bdr w:val="nil"/>
          <w:lang w:eastAsia="en-GB"/>
        </w:rPr>
        <w:t>However, since IPs did not exist when the SEPA Regulation was adopted in 2012, it did not contain specific provisions on this new category of credit transfers in euro. Adding specific provisions on IPs in euro to the SEPA Regulation reflects the modernisation of euro credit transfer technologies, allowing instant processing.</w:t>
      </w:r>
    </w:p>
    <w:p w:rsidR="00211B11" w:rsidRPr="000B434C" w:rsidRDefault="00211B11" w:rsidP="00211B11">
      <w:pPr>
        <w:pStyle w:val="ManualHeading2"/>
        <w:rPr>
          <w:rFonts w:eastAsia="Arial Unicode MS"/>
          <w:noProof/>
          <w:u w:color="000000"/>
          <w:bdr w:val="nil"/>
          <w:lang w:eastAsia="en-GB"/>
        </w:rPr>
      </w:pPr>
      <w:r w:rsidRPr="000B434C">
        <w:rPr>
          <w:rFonts w:eastAsia="Arial Unicode MS"/>
          <w:noProof/>
          <w:u w:color="000000"/>
          <w:bdr w:val="nil"/>
          <w:lang w:eastAsia="en-GB"/>
        </w:rPr>
        <w:t>•</w:t>
      </w:r>
      <w:r w:rsidRPr="000B434C">
        <w:rPr>
          <w:rFonts w:eastAsia="Arial Unicode MS"/>
          <w:noProof/>
          <w:u w:color="000000"/>
          <w:bdr w:val="nil"/>
          <w:lang w:eastAsia="en-GB"/>
        </w:rPr>
        <w:tab/>
        <w:t>Stakeholder consultations</w:t>
      </w:r>
    </w:p>
    <w:p w:rsidR="00211B11" w:rsidRPr="000B434C" w:rsidRDefault="00211B11" w:rsidP="00211B11">
      <w:pPr>
        <w:spacing w:after="200"/>
        <w:rPr>
          <w:rFonts w:eastAsia="Calibri"/>
          <w:noProof/>
          <w:szCs w:val="24"/>
        </w:rPr>
      </w:pPr>
      <w:r w:rsidRPr="000B434C">
        <w:rPr>
          <w:rFonts w:eastAsia="Calibri"/>
          <w:noProof/>
          <w:szCs w:val="24"/>
        </w:rPr>
        <w:t xml:space="preserve">To ensure that the Commission’s proposal takes account of the views of all interested stakeholders, the consultation strategy </w:t>
      </w:r>
      <w:r>
        <w:rPr>
          <w:rFonts w:eastAsia="Calibri"/>
          <w:noProof/>
          <w:szCs w:val="24"/>
        </w:rPr>
        <w:t>for</w:t>
      </w:r>
      <w:r w:rsidRPr="000B434C">
        <w:rPr>
          <w:rFonts w:eastAsia="Calibri"/>
          <w:noProof/>
          <w:szCs w:val="24"/>
        </w:rPr>
        <w:t xml:space="preserve"> this initiative comprised:</w:t>
      </w:r>
    </w:p>
    <w:p w:rsidR="00211B11" w:rsidRPr="000B434C" w:rsidRDefault="00211B11" w:rsidP="0072452A">
      <w:pPr>
        <w:pStyle w:val="Tiret0"/>
        <w:numPr>
          <w:ilvl w:val="0"/>
          <w:numId w:val="9"/>
        </w:numPr>
        <w:rPr>
          <w:noProof/>
          <w:u w:color="000000"/>
          <w:bdr w:val="nil"/>
          <w:lang w:eastAsia="en-IE"/>
        </w:rPr>
      </w:pPr>
      <w:r w:rsidRPr="000B434C">
        <w:rPr>
          <w:noProof/>
          <w:u w:color="000000"/>
          <w:bdr w:val="nil"/>
          <w:lang w:eastAsia="en-IE"/>
        </w:rPr>
        <w:t xml:space="preserve">a public consultation to </w:t>
      </w:r>
      <w:r>
        <w:rPr>
          <w:noProof/>
          <w:u w:color="000000"/>
          <w:bdr w:val="nil"/>
          <w:lang w:eastAsia="en-IE"/>
        </w:rPr>
        <w:t>inform</w:t>
      </w:r>
      <w:r w:rsidRPr="000B434C">
        <w:rPr>
          <w:noProof/>
          <w:u w:color="000000"/>
          <w:bdr w:val="nil"/>
          <w:lang w:eastAsia="en-IE"/>
        </w:rPr>
        <w:t xml:space="preserve"> the Commission’s retail payments strategy (RPS), open from 3</w:t>
      </w:r>
      <w:r>
        <w:rPr>
          <w:noProof/>
          <w:u w:color="000000"/>
          <w:bdr w:val="nil"/>
          <w:lang w:eastAsia="en-IE"/>
        </w:rPr>
        <w:t> </w:t>
      </w:r>
      <w:r w:rsidRPr="000B434C">
        <w:rPr>
          <w:noProof/>
          <w:u w:color="000000"/>
          <w:bdr w:val="nil"/>
          <w:lang w:eastAsia="en-IE"/>
        </w:rPr>
        <w:t>April to 26</w:t>
      </w:r>
      <w:r>
        <w:rPr>
          <w:noProof/>
          <w:u w:color="000000"/>
          <w:bdr w:val="nil"/>
          <w:lang w:eastAsia="en-IE"/>
        </w:rPr>
        <w:t> </w:t>
      </w:r>
      <w:r w:rsidRPr="000B434C">
        <w:rPr>
          <w:noProof/>
          <w:u w:color="000000"/>
          <w:bdr w:val="nil"/>
          <w:lang w:eastAsia="en-IE"/>
        </w:rPr>
        <w:t>June</w:t>
      </w:r>
      <w:r>
        <w:rPr>
          <w:noProof/>
          <w:u w:color="000000"/>
          <w:bdr w:val="nil"/>
          <w:lang w:eastAsia="en-IE"/>
        </w:rPr>
        <w:t> </w:t>
      </w:r>
      <w:r w:rsidRPr="000B434C">
        <w:rPr>
          <w:noProof/>
          <w:u w:color="000000"/>
          <w:bdr w:val="nil"/>
          <w:lang w:eastAsia="en-IE"/>
        </w:rPr>
        <w:t>2020</w:t>
      </w:r>
      <w:r w:rsidRPr="000B434C">
        <w:rPr>
          <w:rStyle w:val="FootnoteReference"/>
          <w:noProof/>
        </w:rPr>
        <w:footnoteReference w:id="22"/>
      </w:r>
      <w:r w:rsidRPr="000B434C">
        <w:rPr>
          <w:noProof/>
          <w:u w:color="000000"/>
          <w:bdr w:val="nil"/>
          <w:lang w:eastAsia="en-IE"/>
        </w:rPr>
        <w:t>;</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a public consultation on the inception impact assessment for the present initiative, open from 10</w:t>
      </w:r>
      <w:r>
        <w:rPr>
          <w:noProof/>
          <w:u w:color="000000"/>
          <w:bdr w:val="nil"/>
          <w:lang w:eastAsia="en-IE"/>
        </w:rPr>
        <w:t> </w:t>
      </w:r>
      <w:r w:rsidRPr="000B434C">
        <w:rPr>
          <w:noProof/>
          <w:u w:color="000000"/>
          <w:bdr w:val="nil"/>
          <w:lang w:eastAsia="en-IE"/>
        </w:rPr>
        <w:t>March to 7</w:t>
      </w:r>
      <w:r>
        <w:rPr>
          <w:noProof/>
          <w:u w:color="000000"/>
          <w:bdr w:val="nil"/>
          <w:lang w:eastAsia="en-IE"/>
        </w:rPr>
        <w:t> </w:t>
      </w:r>
      <w:r w:rsidRPr="000B434C">
        <w:rPr>
          <w:noProof/>
          <w:u w:color="000000"/>
          <w:bdr w:val="nil"/>
          <w:lang w:eastAsia="en-IE"/>
        </w:rPr>
        <w:t>April</w:t>
      </w:r>
      <w:r>
        <w:rPr>
          <w:noProof/>
          <w:u w:color="000000"/>
          <w:bdr w:val="nil"/>
          <w:lang w:eastAsia="en-IE"/>
        </w:rPr>
        <w:t> </w:t>
      </w:r>
      <w:r w:rsidRPr="000B434C">
        <w:rPr>
          <w:noProof/>
          <w:u w:color="000000"/>
          <w:bdr w:val="nil"/>
          <w:lang w:eastAsia="en-IE"/>
        </w:rPr>
        <w:t>2021</w:t>
      </w:r>
      <w:r w:rsidRPr="000B434C">
        <w:rPr>
          <w:rStyle w:val="FootnoteReference"/>
          <w:noProof/>
        </w:rPr>
        <w:footnoteReference w:id="23"/>
      </w:r>
      <w:r w:rsidRPr="000B434C">
        <w:rPr>
          <w:noProof/>
          <w:u w:color="000000"/>
          <w:bdr w:val="nil"/>
          <w:lang w:eastAsia="en-IE"/>
        </w:rPr>
        <w:t>;</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an open public consultation, open from 31</w:t>
      </w:r>
      <w:r>
        <w:rPr>
          <w:noProof/>
          <w:u w:color="000000"/>
          <w:bdr w:val="nil"/>
          <w:lang w:eastAsia="en-IE"/>
        </w:rPr>
        <w:t> </w:t>
      </w:r>
      <w:r w:rsidRPr="000B434C">
        <w:rPr>
          <w:noProof/>
          <w:u w:color="000000"/>
          <w:bdr w:val="nil"/>
          <w:lang w:eastAsia="en-IE"/>
        </w:rPr>
        <w:t>March to 23</w:t>
      </w:r>
      <w:r>
        <w:rPr>
          <w:noProof/>
          <w:u w:color="000000"/>
          <w:bdr w:val="nil"/>
          <w:lang w:eastAsia="en-IE"/>
        </w:rPr>
        <w:t> </w:t>
      </w:r>
      <w:r w:rsidRPr="000B434C">
        <w:rPr>
          <w:noProof/>
          <w:u w:color="000000"/>
          <w:bdr w:val="nil"/>
          <w:lang w:eastAsia="en-IE"/>
        </w:rPr>
        <w:t>June</w:t>
      </w:r>
      <w:r>
        <w:rPr>
          <w:noProof/>
          <w:u w:color="000000"/>
          <w:bdr w:val="nil"/>
          <w:lang w:eastAsia="en-IE"/>
        </w:rPr>
        <w:t> </w:t>
      </w:r>
      <w:r w:rsidRPr="000B434C">
        <w:rPr>
          <w:noProof/>
          <w:u w:color="000000"/>
          <w:bdr w:val="nil"/>
          <w:lang w:eastAsia="en-IE"/>
        </w:rPr>
        <w:t>2021</w:t>
      </w:r>
      <w:r w:rsidRPr="000B434C">
        <w:rPr>
          <w:rStyle w:val="FootnoteReference"/>
          <w:noProof/>
        </w:rPr>
        <w:footnoteReference w:id="24"/>
      </w:r>
      <w:r w:rsidRPr="000B434C">
        <w:rPr>
          <w:noProof/>
          <w:u w:color="000000"/>
          <w:bdr w:val="nil"/>
          <w:lang w:eastAsia="en-IE"/>
        </w:rPr>
        <w:t>;</w:t>
      </w:r>
    </w:p>
    <w:p w:rsidR="00211B11" w:rsidRPr="000B434C" w:rsidRDefault="00211B11" w:rsidP="0072452A">
      <w:pPr>
        <w:pStyle w:val="Tiret0"/>
        <w:numPr>
          <w:ilvl w:val="0"/>
          <w:numId w:val="10"/>
        </w:numPr>
        <w:rPr>
          <w:rFonts w:eastAsia="Times New Roman"/>
          <w:noProof/>
          <w:color w:val="000000"/>
          <w:szCs w:val="24"/>
          <w:u w:color="000000"/>
          <w:bdr w:val="nil"/>
          <w:lang w:eastAsia="en-IE"/>
        </w:rPr>
      </w:pPr>
      <w:r w:rsidRPr="000B434C">
        <w:rPr>
          <w:rFonts w:eastAsia="Times New Roman"/>
          <w:noProof/>
          <w:color w:val="000000"/>
          <w:szCs w:val="24"/>
          <w:u w:color="000000"/>
          <w:bdr w:val="nil"/>
          <w:lang w:eastAsia="en-IE"/>
        </w:rPr>
        <w:t>a targeted consultation of the payments industry, open from 24</w:t>
      </w:r>
      <w:r>
        <w:rPr>
          <w:rFonts w:eastAsia="Times New Roman"/>
          <w:noProof/>
          <w:color w:val="000000"/>
          <w:szCs w:val="24"/>
          <w:u w:color="000000"/>
          <w:bdr w:val="nil"/>
          <w:lang w:eastAsia="en-IE"/>
        </w:rPr>
        <w:t> </w:t>
      </w:r>
      <w:r w:rsidRPr="000B434C">
        <w:rPr>
          <w:rFonts w:eastAsia="Times New Roman"/>
          <w:noProof/>
          <w:color w:val="000000"/>
          <w:szCs w:val="24"/>
          <w:u w:color="000000"/>
          <w:bdr w:val="nil"/>
          <w:lang w:eastAsia="en-IE"/>
        </w:rPr>
        <w:t>March to 12</w:t>
      </w:r>
      <w:r>
        <w:rPr>
          <w:rFonts w:eastAsia="Times New Roman"/>
          <w:noProof/>
          <w:color w:val="000000"/>
          <w:szCs w:val="24"/>
          <w:u w:color="000000"/>
          <w:bdr w:val="nil"/>
          <w:lang w:eastAsia="en-IE"/>
        </w:rPr>
        <w:t> </w:t>
      </w:r>
      <w:r w:rsidRPr="000B434C">
        <w:rPr>
          <w:rFonts w:eastAsia="Times New Roman"/>
          <w:noProof/>
          <w:color w:val="000000"/>
          <w:szCs w:val="24"/>
          <w:u w:color="000000"/>
          <w:bdr w:val="nil"/>
          <w:lang w:eastAsia="en-IE"/>
        </w:rPr>
        <w:t>June</w:t>
      </w:r>
      <w:r>
        <w:rPr>
          <w:rFonts w:eastAsia="Times New Roman"/>
          <w:noProof/>
          <w:color w:val="000000"/>
          <w:szCs w:val="24"/>
          <w:u w:color="000000"/>
          <w:bdr w:val="nil"/>
          <w:lang w:eastAsia="en-IE"/>
        </w:rPr>
        <w:t> </w:t>
      </w:r>
      <w:r w:rsidRPr="000B434C">
        <w:rPr>
          <w:rFonts w:eastAsia="Times New Roman"/>
          <w:noProof/>
          <w:color w:val="000000"/>
          <w:szCs w:val="24"/>
          <w:u w:color="000000"/>
          <w:bdr w:val="nil"/>
          <w:lang w:eastAsia="en-IE"/>
        </w:rPr>
        <w:t>2021</w:t>
      </w:r>
      <w:r w:rsidR="00AD7620">
        <w:rPr>
          <w:rStyle w:val="FootnoteReference"/>
          <w:rFonts w:eastAsia="Times New Roman"/>
          <w:noProof/>
          <w:color w:val="000000"/>
          <w:szCs w:val="24"/>
          <w:u w:color="000000"/>
          <w:bdr w:val="nil"/>
          <w:lang w:eastAsia="en-IE"/>
        </w:rPr>
        <w:footnoteReference w:id="25"/>
      </w:r>
      <w:r w:rsidRPr="000B434C">
        <w:rPr>
          <w:rFonts w:eastAsia="Times New Roman"/>
          <w:noProof/>
          <w:color w:val="000000"/>
          <w:szCs w:val="24"/>
          <w:u w:color="000000"/>
          <w:bdr w:val="nil"/>
          <w:lang w:eastAsia="en-IE"/>
        </w:rPr>
        <w:t>;</w:t>
      </w:r>
    </w:p>
    <w:p w:rsidR="00211B11" w:rsidRPr="000B434C" w:rsidRDefault="00211B11" w:rsidP="0072452A">
      <w:pPr>
        <w:pStyle w:val="Tiret0"/>
        <w:numPr>
          <w:ilvl w:val="0"/>
          <w:numId w:val="10"/>
        </w:numPr>
        <w:rPr>
          <w:rFonts w:eastAsia="Times New Roman"/>
          <w:noProof/>
          <w:color w:val="000000"/>
          <w:szCs w:val="24"/>
          <w:u w:color="000000"/>
          <w:bdr w:val="nil"/>
          <w:lang w:eastAsia="en-IE"/>
        </w:rPr>
      </w:pPr>
      <w:r w:rsidRPr="000B434C">
        <w:rPr>
          <w:rFonts w:eastAsia="Times New Roman"/>
          <w:noProof/>
          <w:color w:val="000000"/>
          <w:szCs w:val="24"/>
          <w:u w:color="000000"/>
          <w:bdr w:val="nil"/>
          <w:lang w:eastAsia="en-IE"/>
        </w:rPr>
        <w:t xml:space="preserve">consultations of stakeholders in two Commission </w:t>
      </w:r>
      <w:r>
        <w:rPr>
          <w:rFonts w:eastAsia="Times New Roman"/>
          <w:noProof/>
          <w:color w:val="000000"/>
          <w:szCs w:val="24"/>
          <w:u w:color="000000"/>
          <w:bdr w:val="nil"/>
          <w:lang w:eastAsia="en-IE"/>
        </w:rPr>
        <w:t>E</w:t>
      </w:r>
      <w:r w:rsidRPr="000B434C">
        <w:rPr>
          <w:rFonts w:eastAsia="Times New Roman"/>
          <w:noProof/>
          <w:color w:val="000000"/>
          <w:szCs w:val="24"/>
          <w:u w:color="000000"/>
          <w:bdr w:val="nil"/>
          <w:lang w:eastAsia="en-IE"/>
        </w:rPr>
        <w:t xml:space="preserve">xpert </w:t>
      </w:r>
      <w:r>
        <w:rPr>
          <w:rFonts w:eastAsia="Times New Roman"/>
          <w:noProof/>
          <w:color w:val="000000"/>
          <w:szCs w:val="24"/>
          <w:u w:color="000000"/>
          <w:bdr w:val="nil"/>
          <w:lang w:eastAsia="en-IE"/>
        </w:rPr>
        <w:t>G</w:t>
      </w:r>
      <w:r w:rsidRPr="000B434C">
        <w:rPr>
          <w:rFonts w:eastAsia="Times New Roman"/>
          <w:noProof/>
          <w:color w:val="000000"/>
          <w:szCs w:val="24"/>
          <w:u w:color="000000"/>
          <w:bdr w:val="nil"/>
          <w:lang w:eastAsia="en-IE"/>
        </w:rPr>
        <w:t xml:space="preserve">roups: the </w:t>
      </w:r>
      <w:r>
        <w:rPr>
          <w:rFonts w:eastAsia="Times New Roman"/>
          <w:noProof/>
          <w:color w:val="000000"/>
          <w:szCs w:val="24"/>
          <w:u w:color="000000"/>
          <w:bdr w:val="nil"/>
          <w:lang w:eastAsia="en-IE"/>
        </w:rPr>
        <w:t>f</w:t>
      </w:r>
      <w:r w:rsidRPr="000B434C">
        <w:rPr>
          <w:rFonts w:eastAsia="Times New Roman"/>
          <w:noProof/>
          <w:color w:val="000000"/>
          <w:szCs w:val="24"/>
          <w:u w:color="000000"/>
          <w:bdr w:val="nil"/>
          <w:lang w:eastAsia="en-IE"/>
        </w:rPr>
        <w:t xml:space="preserve">inancial </w:t>
      </w:r>
      <w:r>
        <w:rPr>
          <w:rFonts w:eastAsia="Times New Roman"/>
          <w:noProof/>
          <w:color w:val="000000"/>
          <w:szCs w:val="24"/>
          <w:u w:color="000000"/>
          <w:bdr w:val="nil"/>
          <w:lang w:eastAsia="en-IE"/>
        </w:rPr>
        <w:t>s</w:t>
      </w:r>
      <w:r w:rsidRPr="000B434C">
        <w:rPr>
          <w:rFonts w:eastAsia="Times New Roman"/>
          <w:noProof/>
          <w:color w:val="000000"/>
          <w:szCs w:val="24"/>
          <w:u w:color="000000"/>
          <w:bdr w:val="nil"/>
          <w:lang w:eastAsia="en-IE"/>
        </w:rPr>
        <w:t xml:space="preserve">ervices </w:t>
      </w:r>
      <w:r>
        <w:rPr>
          <w:rFonts w:eastAsia="Times New Roman"/>
          <w:noProof/>
          <w:color w:val="000000"/>
          <w:szCs w:val="24"/>
          <w:u w:color="000000"/>
          <w:bdr w:val="nil"/>
          <w:lang w:eastAsia="en-IE"/>
        </w:rPr>
        <w:t>u</w:t>
      </w:r>
      <w:r w:rsidRPr="000B434C">
        <w:rPr>
          <w:rFonts w:eastAsia="Times New Roman"/>
          <w:noProof/>
          <w:color w:val="000000"/>
          <w:szCs w:val="24"/>
          <w:u w:color="000000"/>
          <w:bdr w:val="nil"/>
          <w:lang w:eastAsia="en-IE"/>
        </w:rPr>
        <w:t xml:space="preserve">ser </w:t>
      </w:r>
      <w:r>
        <w:rPr>
          <w:rFonts w:eastAsia="Times New Roman"/>
          <w:noProof/>
          <w:color w:val="000000"/>
          <w:szCs w:val="24"/>
          <w:u w:color="000000"/>
          <w:bdr w:val="nil"/>
          <w:lang w:eastAsia="en-IE"/>
        </w:rPr>
        <w:t>g</w:t>
      </w:r>
      <w:r w:rsidRPr="000B434C">
        <w:rPr>
          <w:rFonts w:eastAsia="Times New Roman"/>
          <w:noProof/>
          <w:color w:val="000000"/>
          <w:szCs w:val="24"/>
          <w:u w:color="000000"/>
          <w:bdr w:val="nil"/>
          <w:lang w:eastAsia="en-IE"/>
        </w:rPr>
        <w:t xml:space="preserve">roup (FSUG), and the </w:t>
      </w:r>
      <w:r>
        <w:rPr>
          <w:rFonts w:eastAsia="Times New Roman"/>
          <w:noProof/>
          <w:color w:val="000000"/>
          <w:szCs w:val="24"/>
          <w:u w:color="000000"/>
          <w:bdr w:val="nil"/>
          <w:lang w:eastAsia="en-IE"/>
        </w:rPr>
        <w:t>p</w:t>
      </w:r>
      <w:r w:rsidRPr="000B434C">
        <w:rPr>
          <w:rFonts w:eastAsia="Times New Roman"/>
          <w:noProof/>
          <w:color w:val="000000"/>
          <w:szCs w:val="24"/>
          <w:u w:color="000000"/>
          <w:bdr w:val="nil"/>
          <w:lang w:eastAsia="en-IE"/>
        </w:rPr>
        <w:t xml:space="preserve">ayment </w:t>
      </w:r>
      <w:r>
        <w:rPr>
          <w:rFonts w:eastAsia="Times New Roman"/>
          <w:noProof/>
          <w:color w:val="000000"/>
          <w:szCs w:val="24"/>
          <w:u w:color="000000"/>
          <w:bdr w:val="nil"/>
          <w:lang w:eastAsia="en-IE"/>
        </w:rPr>
        <w:t>s</w:t>
      </w:r>
      <w:r w:rsidRPr="000B434C">
        <w:rPr>
          <w:rFonts w:eastAsia="Times New Roman"/>
          <w:noProof/>
          <w:color w:val="000000"/>
          <w:szCs w:val="24"/>
          <w:u w:color="000000"/>
          <w:bdr w:val="nil"/>
          <w:lang w:eastAsia="en-IE"/>
        </w:rPr>
        <w:t xml:space="preserve">ystems </w:t>
      </w:r>
      <w:r>
        <w:rPr>
          <w:rFonts w:eastAsia="Times New Roman"/>
          <w:noProof/>
          <w:color w:val="000000"/>
          <w:szCs w:val="24"/>
          <w:u w:color="000000"/>
          <w:bdr w:val="nil"/>
          <w:lang w:eastAsia="en-IE"/>
        </w:rPr>
        <w:t>m</w:t>
      </w:r>
      <w:r w:rsidRPr="000B434C">
        <w:rPr>
          <w:rFonts w:eastAsia="Times New Roman"/>
          <w:noProof/>
          <w:color w:val="000000"/>
          <w:szCs w:val="24"/>
          <w:u w:color="000000"/>
          <w:bdr w:val="nil"/>
          <w:lang w:eastAsia="en-IE"/>
        </w:rPr>
        <w:t xml:space="preserve">arket </w:t>
      </w:r>
      <w:r>
        <w:rPr>
          <w:rFonts w:eastAsia="Times New Roman"/>
          <w:noProof/>
          <w:color w:val="000000"/>
          <w:szCs w:val="24"/>
          <w:u w:color="000000"/>
          <w:bdr w:val="nil"/>
          <w:lang w:eastAsia="en-IE"/>
        </w:rPr>
        <w:t>e</w:t>
      </w:r>
      <w:r w:rsidRPr="000B434C">
        <w:rPr>
          <w:rFonts w:eastAsia="Times New Roman"/>
          <w:noProof/>
          <w:color w:val="000000"/>
          <w:szCs w:val="24"/>
          <w:u w:color="000000"/>
          <w:bdr w:val="nil"/>
          <w:lang w:eastAsia="en-IE"/>
        </w:rPr>
        <w:t xml:space="preserve">xpert </w:t>
      </w:r>
      <w:r>
        <w:rPr>
          <w:rFonts w:eastAsia="Times New Roman"/>
          <w:noProof/>
          <w:color w:val="000000"/>
          <w:szCs w:val="24"/>
          <w:u w:color="000000"/>
          <w:bdr w:val="nil"/>
          <w:lang w:eastAsia="en-IE"/>
        </w:rPr>
        <w:t>g</w:t>
      </w:r>
      <w:r w:rsidRPr="000B434C">
        <w:rPr>
          <w:rFonts w:eastAsia="Times New Roman"/>
          <w:noProof/>
          <w:color w:val="000000"/>
          <w:szCs w:val="24"/>
          <w:u w:color="000000"/>
          <w:bdr w:val="nil"/>
          <w:lang w:eastAsia="en-IE"/>
        </w:rPr>
        <w:t>roup (PSMEG);</w:t>
      </w:r>
    </w:p>
    <w:p w:rsidR="00211B11" w:rsidRPr="000B434C" w:rsidRDefault="00211B11" w:rsidP="0072452A">
      <w:pPr>
        <w:pStyle w:val="Tiret0"/>
        <w:numPr>
          <w:ilvl w:val="0"/>
          <w:numId w:val="10"/>
        </w:numPr>
        <w:rPr>
          <w:rFonts w:eastAsia="Times New Roman"/>
          <w:noProof/>
          <w:color w:val="000000"/>
          <w:szCs w:val="24"/>
          <w:u w:color="000000"/>
          <w:bdr w:val="nil"/>
          <w:lang w:eastAsia="en-IE"/>
        </w:rPr>
      </w:pPr>
      <w:r w:rsidRPr="000B434C">
        <w:rPr>
          <w:rFonts w:eastAsia="Times New Roman"/>
          <w:noProof/>
          <w:color w:val="000000"/>
          <w:szCs w:val="24"/>
          <w:u w:color="000000"/>
          <w:bdr w:val="nil"/>
          <w:lang w:eastAsia="en-IE"/>
        </w:rPr>
        <w:t>ad hoc contacts with various stakeholders, either on their initiative or the Commission’s;</w:t>
      </w:r>
    </w:p>
    <w:p w:rsidR="00211B11" w:rsidRPr="000B434C" w:rsidRDefault="00211B11" w:rsidP="0072452A">
      <w:pPr>
        <w:pStyle w:val="Tiret0"/>
        <w:numPr>
          <w:ilvl w:val="0"/>
          <w:numId w:val="10"/>
        </w:numPr>
        <w:rPr>
          <w:rFonts w:eastAsia="Times New Roman"/>
          <w:noProof/>
          <w:color w:val="000000"/>
          <w:szCs w:val="24"/>
          <w:u w:color="000000"/>
          <w:bdr w:val="nil"/>
          <w:lang w:eastAsia="en-IE"/>
        </w:rPr>
      </w:pPr>
      <w:r w:rsidRPr="000B434C">
        <w:rPr>
          <w:rFonts w:eastAsia="Times New Roman"/>
          <w:noProof/>
          <w:color w:val="000000"/>
          <w:szCs w:val="24"/>
          <w:u w:color="000000"/>
          <w:bdr w:val="nil"/>
          <w:lang w:eastAsia="en-IE"/>
        </w:rPr>
        <w:t xml:space="preserve">a webinar on the potential benefits of IPs for consumers and businesses, </w:t>
      </w:r>
      <w:r>
        <w:rPr>
          <w:rFonts w:eastAsia="Times New Roman"/>
          <w:noProof/>
          <w:color w:val="000000"/>
          <w:szCs w:val="24"/>
          <w:u w:color="000000"/>
          <w:bdr w:val="nil"/>
          <w:lang w:eastAsia="en-IE"/>
        </w:rPr>
        <w:t xml:space="preserve">given by the Commission's </w:t>
      </w:r>
      <w:r w:rsidRPr="000B434C">
        <w:rPr>
          <w:rFonts w:eastAsia="Times New Roman"/>
          <w:noProof/>
          <w:color w:val="000000"/>
          <w:szCs w:val="24"/>
          <w:u w:color="000000"/>
          <w:bdr w:val="nil"/>
          <w:lang w:eastAsia="en-IE"/>
        </w:rPr>
        <w:t>Directorate‑General for Financial Stability, Financial Services and Capital Markets Union on 10</w:t>
      </w:r>
      <w:r>
        <w:rPr>
          <w:rFonts w:eastAsia="Times New Roman"/>
          <w:noProof/>
          <w:color w:val="000000"/>
          <w:szCs w:val="24"/>
          <w:u w:color="000000"/>
          <w:bdr w:val="nil"/>
          <w:lang w:eastAsia="en-IE"/>
        </w:rPr>
        <w:t> </w:t>
      </w:r>
      <w:r w:rsidRPr="000B434C">
        <w:rPr>
          <w:rFonts w:eastAsia="Times New Roman"/>
          <w:noProof/>
          <w:color w:val="000000"/>
          <w:szCs w:val="24"/>
          <w:u w:color="000000"/>
          <w:bdr w:val="nil"/>
          <w:lang w:eastAsia="en-IE"/>
        </w:rPr>
        <w:t>June 2021</w:t>
      </w:r>
      <w:r w:rsidRPr="000B434C">
        <w:rPr>
          <w:rStyle w:val="FootnoteReference"/>
          <w:rFonts w:eastAsia="Times New Roman"/>
          <w:noProof/>
          <w:color w:val="000000"/>
          <w:szCs w:val="24"/>
          <w:u w:color="000000"/>
          <w:bdr w:val="nil"/>
          <w:lang w:eastAsia="en-IE"/>
        </w:rPr>
        <w:footnoteReference w:id="26"/>
      </w:r>
      <w:r w:rsidRPr="000B434C">
        <w:rPr>
          <w:rFonts w:eastAsia="Times New Roman"/>
          <w:noProof/>
          <w:color w:val="000000"/>
          <w:szCs w:val="24"/>
          <w:u w:color="000000"/>
          <w:bdr w:val="nil"/>
          <w:lang w:eastAsia="en-IE"/>
        </w:rPr>
        <w:t>;</w:t>
      </w:r>
    </w:p>
    <w:p w:rsidR="00211B11" w:rsidRPr="000B434C" w:rsidRDefault="00211B11" w:rsidP="0072452A">
      <w:pPr>
        <w:pStyle w:val="Tiret0"/>
        <w:numPr>
          <w:ilvl w:val="0"/>
          <w:numId w:val="10"/>
        </w:numPr>
        <w:rPr>
          <w:rFonts w:eastAsia="Times New Roman"/>
          <w:noProof/>
          <w:color w:val="000000"/>
          <w:szCs w:val="24"/>
          <w:u w:color="000000"/>
          <w:bdr w:val="nil"/>
          <w:lang w:eastAsia="en-IE"/>
        </w:rPr>
      </w:pPr>
      <w:r w:rsidRPr="000B434C">
        <w:rPr>
          <w:rFonts w:eastAsia="Times New Roman"/>
          <w:noProof/>
          <w:color w:val="000000"/>
          <w:szCs w:val="24"/>
          <w:u w:color="000000"/>
          <w:bdr w:val="nil"/>
          <w:lang w:eastAsia="en-IE"/>
        </w:rPr>
        <w:t xml:space="preserve">consultations of Member States’ experts in the Commission </w:t>
      </w:r>
      <w:r>
        <w:rPr>
          <w:rFonts w:eastAsia="Times New Roman"/>
          <w:noProof/>
          <w:color w:val="000000"/>
          <w:szCs w:val="24"/>
          <w:u w:color="000000"/>
          <w:bdr w:val="nil"/>
          <w:lang w:eastAsia="en-IE"/>
        </w:rPr>
        <w:t>E</w:t>
      </w:r>
      <w:r w:rsidRPr="000B434C">
        <w:rPr>
          <w:rFonts w:eastAsia="Times New Roman"/>
          <w:noProof/>
          <w:color w:val="000000"/>
          <w:szCs w:val="24"/>
          <w:u w:color="000000"/>
          <w:bdr w:val="nil"/>
          <w:lang w:eastAsia="en-IE"/>
        </w:rPr>
        <w:t xml:space="preserve">xpert </w:t>
      </w:r>
      <w:r>
        <w:rPr>
          <w:rFonts w:eastAsia="Times New Roman"/>
          <w:noProof/>
          <w:color w:val="000000"/>
          <w:szCs w:val="24"/>
          <w:u w:color="000000"/>
          <w:bdr w:val="nil"/>
          <w:lang w:eastAsia="en-IE"/>
        </w:rPr>
        <w:t>G</w:t>
      </w:r>
      <w:r w:rsidRPr="000B434C">
        <w:rPr>
          <w:rFonts w:eastAsia="Times New Roman"/>
          <w:noProof/>
          <w:color w:val="000000"/>
          <w:szCs w:val="24"/>
          <w:u w:color="000000"/>
          <w:bdr w:val="nil"/>
          <w:lang w:eastAsia="en-IE"/>
        </w:rPr>
        <w:t xml:space="preserve">roup on banking payments and insurance, and the </w:t>
      </w:r>
      <w:r>
        <w:rPr>
          <w:rFonts w:eastAsia="Times New Roman"/>
          <w:noProof/>
          <w:color w:val="000000"/>
          <w:szCs w:val="24"/>
          <w:u w:color="000000"/>
          <w:bdr w:val="nil"/>
          <w:lang w:eastAsia="en-IE"/>
        </w:rPr>
        <w:t>E</w:t>
      </w:r>
      <w:r w:rsidRPr="000B434C">
        <w:rPr>
          <w:rFonts w:eastAsia="Times New Roman"/>
          <w:noProof/>
          <w:color w:val="000000"/>
          <w:szCs w:val="24"/>
          <w:u w:color="000000"/>
          <w:bdr w:val="nil"/>
          <w:lang w:eastAsia="en-IE"/>
        </w:rPr>
        <w:t xml:space="preserve">xpert </w:t>
      </w:r>
      <w:r>
        <w:rPr>
          <w:rFonts w:eastAsia="Times New Roman"/>
          <w:noProof/>
          <w:color w:val="000000"/>
          <w:szCs w:val="24"/>
          <w:u w:color="000000"/>
          <w:bdr w:val="nil"/>
          <w:lang w:eastAsia="en-IE"/>
        </w:rPr>
        <w:t>G</w:t>
      </w:r>
      <w:r w:rsidRPr="000B434C">
        <w:rPr>
          <w:rFonts w:eastAsia="Times New Roman"/>
          <w:noProof/>
          <w:color w:val="000000"/>
          <w:szCs w:val="24"/>
          <w:u w:color="000000"/>
          <w:bdr w:val="nil"/>
          <w:lang w:eastAsia="en-IE"/>
        </w:rPr>
        <w:t>roup on Union restrictive measures and extra-territoriality and ad hoc workshops on sanctions screening.</w:t>
      </w:r>
    </w:p>
    <w:p w:rsidR="007B7F3A" w:rsidRPr="002D7679" w:rsidRDefault="00211B11" w:rsidP="002D7679">
      <w:pPr>
        <w:rPr>
          <w:noProof/>
        </w:rPr>
      </w:pPr>
      <w:r w:rsidRPr="002D7679">
        <w:rPr>
          <w:noProof/>
        </w:rPr>
        <w:t>The outcome of these consultations is summarised in Annex 2 to the impact assessment accompanying this proposal.</w:t>
      </w:r>
    </w:p>
    <w:p w:rsidR="00211B11" w:rsidRPr="000B434C" w:rsidRDefault="00211B11" w:rsidP="00211B11">
      <w:pPr>
        <w:pStyle w:val="ManualHeading2"/>
        <w:rPr>
          <w:rFonts w:eastAsia="Arial Unicode MS"/>
          <w:noProof/>
          <w:u w:color="000000"/>
          <w:bdr w:val="nil"/>
          <w:lang w:eastAsia="en-GB"/>
        </w:rPr>
      </w:pPr>
      <w:r w:rsidRPr="000B434C">
        <w:rPr>
          <w:rFonts w:eastAsia="Arial Unicode MS"/>
          <w:noProof/>
          <w:u w:color="000000"/>
          <w:bdr w:val="nil"/>
          <w:lang w:eastAsia="en-GB"/>
        </w:rPr>
        <w:t>•</w:t>
      </w:r>
      <w:r w:rsidRPr="000B434C">
        <w:rPr>
          <w:rFonts w:eastAsia="Arial Unicode MS"/>
          <w:noProof/>
          <w:u w:color="000000"/>
          <w:bdr w:val="nil"/>
          <w:lang w:eastAsia="en-GB"/>
        </w:rPr>
        <w:tab/>
        <w:t>Collection and use of expertise</w:t>
      </w:r>
    </w:p>
    <w:p w:rsidR="00211B11" w:rsidRPr="000B434C" w:rsidRDefault="00211B11" w:rsidP="00211B11">
      <w:pPr>
        <w:pBdr>
          <w:top w:val="nil"/>
          <w:left w:val="nil"/>
          <w:bottom w:val="nil"/>
          <w:right w:val="nil"/>
          <w:between w:val="nil"/>
          <w:bar w:val="nil"/>
        </w:pBdr>
        <w:rPr>
          <w:rFonts w:eastAsia="Calibri"/>
          <w:noProof/>
          <w:szCs w:val="24"/>
        </w:rPr>
      </w:pPr>
      <w:r w:rsidRPr="000B434C">
        <w:rPr>
          <w:rFonts w:eastAsia="Calibri"/>
          <w:noProof/>
          <w:szCs w:val="24"/>
        </w:rPr>
        <w:t>A number of inputs and sources of expertise were used in preparing this initiative, including the following:</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evidence supplied through the various consultations listed above;</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a study carried out by a contractor, Fidelis Consulting, ‘</w:t>
      </w:r>
      <w:r w:rsidRPr="000F6E3D">
        <w:rPr>
          <w:noProof/>
          <w:u w:color="000000"/>
          <w:bdr w:val="nil"/>
          <w:lang w:eastAsia="en-IE"/>
        </w:rPr>
        <w:t>IPs, Current and foreseeable benefits</w:t>
      </w:r>
      <w:r w:rsidRPr="000B434C">
        <w:rPr>
          <w:noProof/>
          <w:u w:color="000000"/>
          <w:bdr w:val="nil"/>
          <w:lang w:eastAsia="en-IE"/>
        </w:rPr>
        <w:t>’, delivered in 2021</w:t>
      </w:r>
      <w:r w:rsidRPr="000B434C">
        <w:rPr>
          <w:rStyle w:val="FootnoteReference"/>
          <w:noProof/>
        </w:rPr>
        <w:footnoteReference w:id="27"/>
      </w:r>
      <w:r w:rsidRPr="000B434C">
        <w:rPr>
          <w:noProof/>
          <w:u w:color="000000"/>
          <w:bdr w:val="nil"/>
          <w:lang w:eastAsia="en-IE"/>
        </w:rPr>
        <w:t>;</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information provided regularly by the EPC on the membership and use of the SCT and SCT Inst. Schemes;</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information provided by the ECB and national payments committees;</w:t>
      </w:r>
    </w:p>
    <w:p w:rsidR="00211B11" w:rsidRPr="000B434C" w:rsidRDefault="00211B11" w:rsidP="0072452A">
      <w:pPr>
        <w:pStyle w:val="Tiret0"/>
        <w:numPr>
          <w:ilvl w:val="0"/>
          <w:numId w:val="10"/>
        </w:numPr>
        <w:rPr>
          <w:noProof/>
          <w:u w:color="000000"/>
          <w:bdr w:val="nil"/>
          <w:lang w:eastAsia="en-IE"/>
        </w:rPr>
      </w:pPr>
      <w:r>
        <w:rPr>
          <w:noProof/>
          <w:u w:color="000000"/>
          <w:bdr w:val="nil"/>
          <w:lang w:eastAsia="en-IE"/>
        </w:rPr>
        <w:t xml:space="preserve">the </w:t>
      </w:r>
      <w:r w:rsidRPr="000B434C">
        <w:rPr>
          <w:noProof/>
          <w:u w:color="000000"/>
          <w:bdr w:val="nil"/>
          <w:lang w:eastAsia="en-IE"/>
        </w:rPr>
        <w:t>ORBIS database;</w:t>
      </w:r>
    </w:p>
    <w:p w:rsidR="00211B11" w:rsidRPr="000B434C" w:rsidRDefault="00211B11" w:rsidP="0072452A">
      <w:pPr>
        <w:pStyle w:val="Tiret0"/>
        <w:numPr>
          <w:ilvl w:val="0"/>
          <w:numId w:val="10"/>
        </w:numPr>
        <w:rPr>
          <w:noProof/>
          <w:u w:color="000000"/>
          <w:bdr w:val="nil"/>
          <w:lang w:eastAsia="en-IE"/>
        </w:rPr>
      </w:pPr>
      <w:r>
        <w:rPr>
          <w:noProof/>
          <w:u w:color="000000"/>
          <w:bdr w:val="nil"/>
          <w:lang w:eastAsia="en-IE"/>
        </w:rPr>
        <w:t xml:space="preserve">the </w:t>
      </w:r>
      <w:r w:rsidRPr="000B434C">
        <w:rPr>
          <w:noProof/>
          <w:u w:color="000000"/>
          <w:bdr w:val="nil"/>
          <w:lang w:eastAsia="en-IE"/>
        </w:rPr>
        <w:t>European Banking Authority (EBA) register of payment and electronic money institutions under PSD2;</w:t>
      </w:r>
    </w:p>
    <w:p w:rsidR="00211B11" w:rsidRPr="000B434C" w:rsidRDefault="00211B11" w:rsidP="0072452A">
      <w:pPr>
        <w:pStyle w:val="Tiret0"/>
        <w:numPr>
          <w:ilvl w:val="0"/>
          <w:numId w:val="10"/>
        </w:numPr>
        <w:rPr>
          <w:noProof/>
          <w:u w:color="000000"/>
          <w:bdr w:val="nil"/>
          <w:lang w:eastAsia="en-IE"/>
        </w:rPr>
      </w:pPr>
      <w:r>
        <w:rPr>
          <w:noProof/>
          <w:u w:color="000000"/>
          <w:bdr w:val="nil"/>
          <w:lang w:eastAsia="en-IE"/>
        </w:rPr>
        <w:t xml:space="preserve">a </w:t>
      </w:r>
      <w:r w:rsidRPr="000B434C">
        <w:rPr>
          <w:noProof/>
          <w:u w:color="000000"/>
          <w:bdr w:val="nil"/>
          <w:lang w:eastAsia="en-IE"/>
        </w:rPr>
        <w:t>discussion paper on the EBA’s preliminary observations on selected payment fraud data under PSD2, as reported by the industry;</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evidence provided by PSPs and other types of providers, especially on costs, through targeted consultations and bilateral contacts;</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evidence provided by the European Consumer Organi</w:t>
      </w:r>
      <w:r>
        <w:rPr>
          <w:noProof/>
          <w:u w:color="000000"/>
          <w:bdr w:val="nil"/>
          <w:lang w:eastAsia="en-IE"/>
        </w:rPr>
        <w:t>s</w:t>
      </w:r>
      <w:r w:rsidRPr="000B434C">
        <w:rPr>
          <w:noProof/>
          <w:u w:color="000000"/>
          <w:bdr w:val="nil"/>
          <w:lang w:eastAsia="en-IE"/>
        </w:rPr>
        <w:t>ation (BEUC), in particular on pricing of IPs in euro.</w:t>
      </w:r>
    </w:p>
    <w:p w:rsidR="00211B11" w:rsidRPr="000B434C" w:rsidRDefault="00211B11" w:rsidP="00211B11">
      <w:pPr>
        <w:pStyle w:val="ManualHeading2"/>
        <w:rPr>
          <w:rFonts w:eastAsia="Arial Unicode MS"/>
          <w:noProof/>
          <w:u w:color="000000"/>
          <w:bdr w:val="nil"/>
          <w:lang w:eastAsia="en-GB"/>
        </w:rPr>
      </w:pPr>
      <w:r w:rsidRPr="000B434C">
        <w:rPr>
          <w:rFonts w:eastAsia="Arial Unicode MS"/>
          <w:noProof/>
          <w:u w:color="000000"/>
          <w:bdr w:val="nil"/>
          <w:lang w:eastAsia="en-GB"/>
        </w:rPr>
        <w:t>•</w:t>
      </w:r>
      <w:r w:rsidRPr="000B434C">
        <w:rPr>
          <w:rFonts w:eastAsia="Arial Unicode MS"/>
          <w:noProof/>
          <w:u w:color="000000"/>
          <w:bdr w:val="nil"/>
          <w:lang w:eastAsia="en-GB"/>
        </w:rPr>
        <w:tab/>
        <w:t>Impact assessment</w:t>
      </w:r>
    </w:p>
    <w:p w:rsidR="00211B11" w:rsidRPr="000B434C" w:rsidRDefault="00211B11" w:rsidP="00211B11">
      <w:pPr>
        <w:rPr>
          <w:rFonts w:eastAsia="Calibri"/>
          <w:noProof/>
          <w:szCs w:val="24"/>
        </w:rPr>
      </w:pPr>
      <w:r w:rsidRPr="000B434C">
        <w:rPr>
          <w:rFonts w:eastAsia="Calibri"/>
          <w:noProof/>
          <w:szCs w:val="24"/>
        </w:rPr>
        <w:t>This proposal is accompanied by an impact assessment</w:t>
      </w:r>
      <w:r w:rsidRPr="000B434C">
        <w:rPr>
          <w:rStyle w:val="FootnoteReference"/>
          <w:noProof/>
        </w:rPr>
        <w:footnoteReference w:id="28"/>
      </w:r>
      <w:r w:rsidRPr="000B434C">
        <w:rPr>
          <w:rFonts w:eastAsia="Calibri"/>
          <w:noProof/>
          <w:szCs w:val="24"/>
        </w:rPr>
        <w:t>, which was submitted to the Regulatory Scrutiny Board (RSB) on 27</w:t>
      </w:r>
      <w:r>
        <w:rPr>
          <w:rFonts w:eastAsia="Calibri"/>
          <w:noProof/>
          <w:szCs w:val="24"/>
        </w:rPr>
        <w:t> </w:t>
      </w:r>
      <w:r w:rsidRPr="000B434C">
        <w:rPr>
          <w:rFonts w:eastAsia="Calibri"/>
          <w:noProof/>
          <w:szCs w:val="24"/>
        </w:rPr>
        <w:t>April 2022 and, following a re-submission on 8</w:t>
      </w:r>
      <w:r>
        <w:rPr>
          <w:rFonts w:eastAsia="Calibri"/>
          <w:noProof/>
          <w:szCs w:val="24"/>
        </w:rPr>
        <w:t> </w:t>
      </w:r>
      <w:r w:rsidRPr="000B434C">
        <w:rPr>
          <w:rFonts w:eastAsia="Calibri"/>
          <w:noProof/>
          <w:szCs w:val="24"/>
        </w:rPr>
        <w:t>July 2022, approved on 7</w:t>
      </w:r>
      <w:r>
        <w:rPr>
          <w:rFonts w:eastAsia="Calibri"/>
          <w:noProof/>
          <w:szCs w:val="24"/>
        </w:rPr>
        <w:t> </w:t>
      </w:r>
      <w:r w:rsidRPr="000B434C">
        <w:rPr>
          <w:rFonts w:eastAsia="Calibri"/>
          <w:noProof/>
          <w:szCs w:val="24"/>
        </w:rPr>
        <w:t>September 2022.</w:t>
      </w:r>
    </w:p>
    <w:p w:rsidR="00211B11" w:rsidRPr="000B434C" w:rsidRDefault="00211B11" w:rsidP="00211B11">
      <w:pPr>
        <w:spacing w:before="240"/>
        <w:rPr>
          <w:rFonts w:eastAsia="Calibri"/>
          <w:noProof/>
          <w:szCs w:val="24"/>
        </w:rPr>
      </w:pPr>
      <w:r w:rsidRPr="000B434C">
        <w:rPr>
          <w:rFonts w:eastAsia="Calibri"/>
          <w:noProof/>
          <w:szCs w:val="24"/>
        </w:rPr>
        <w:t xml:space="preserve">The impact assessment considers that the key problem is the low uptake of </w:t>
      </w:r>
      <w:r w:rsidR="00876EF5">
        <w:rPr>
          <w:rFonts w:eastAsia="Calibri"/>
          <w:noProof/>
          <w:szCs w:val="24"/>
        </w:rPr>
        <w:t xml:space="preserve">euro </w:t>
      </w:r>
      <w:r w:rsidRPr="000B434C">
        <w:rPr>
          <w:rFonts w:eastAsia="Calibri"/>
          <w:noProof/>
          <w:szCs w:val="24"/>
        </w:rPr>
        <w:t>IPs, measured as a percentage of all credit transfers in euro sent in the EU (about 11%). There are two consequences of this problem:</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unrealised benefits and efficiency gains from IPs, both at macro level and for specific categories of stakeholders, including consumers, merchants, corporate users, PSPs and financial technology companies (fintechs), and public administrations including tax authorities;</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limited choice of means of payment at the PoI, particularly for cross-border transactions.</w:t>
      </w:r>
    </w:p>
    <w:p w:rsidR="00211B11" w:rsidRPr="000B434C" w:rsidRDefault="00211B11" w:rsidP="00211B11">
      <w:pPr>
        <w:spacing w:before="240"/>
        <w:rPr>
          <w:rFonts w:eastAsia="Calibri"/>
          <w:noProof/>
          <w:szCs w:val="24"/>
        </w:rPr>
      </w:pPr>
      <w:r w:rsidRPr="000B434C">
        <w:rPr>
          <w:rFonts w:eastAsia="Calibri"/>
          <w:noProof/>
          <w:szCs w:val="24"/>
        </w:rPr>
        <w:t xml:space="preserve">Four problem </w:t>
      </w:r>
      <w:r w:rsidRPr="005A2A1D">
        <w:rPr>
          <w:rFonts w:eastAsia="Calibri"/>
          <w:noProof/>
          <w:szCs w:val="24"/>
        </w:rPr>
        <w:t>drivers</w:t>
      </w:r>
      <w:r w:rsidRPr="000B434C">
        <w:rPr>
          <w:rFonts w:eastAsia="Calibri"/>
          <w:noProof/>
          <w:szCs w:val="24"/>
        </w:rPr>
        <w:t xml:space="preserve"> were identified, two on the supply side and two on the demand side:</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insufficient incentives for PSPs to offer euro IPs (supply</w:t>
      </w:r>
      <w:r>
        <w:rPr>
          <w:noProof/>
          <w:u w:color="000000"/>
          <w:bdr w:val="nil"/>
          <w:lang w:eastAsia="en-IE"/>
        </w:rPr>
        <w:t>-</w:t>
      </w:r>
      <w:r w:rsidRPr="000B434C">
        <w:rPr>
          <w:noProof/>
          <w:u w:color="000000"/>
          <w:bdr w:val="nil"/>
          <w:lang w:eastAsia="en-IE"/>
        </w:rPr>
        <w:t>side driver);</w:t>
      </w:r>
    </w:p>
    <w:p w:rsidR="00211B11" w:rsidRPr="000B434C" w:rsidRDefault="00211B11" w:rsidP="0072452A">
      <w:pPr>
        <w:pStyle w:val="Tiret0"/>
        <w:numPr>
          <w:ilvl w:val="0"/>
          <w:numId w:val="10"/>
        </w:numPr>
        <w:rPr>
          <w:noProof/>
          <w:u w:color="000000"/>
          <w:bdr w:val="nil"/>
          <w:lang w:eastAsia="en-IE"/>
        </w:rPr>
      </w:pPr>
      <w:r w:rsidRPr="005A2A1D">
        <w:rPr>
          <w:noProof/>
          <w:u w:color="000000"/>
          <w:bdr w:val="nil"/>
          <w:lang w:eastAsia="en-IE"/>
        </w:rPr>
        <w:t>dissuasive</w:t>
      </w:r>
      <w:r w:rsidRPr="000B434C">
        <w:rPr>
          <w:noProof/>
          <w:u w:color="000000"/>
          <w:bdr w:val="nil"/>
          <w:lang w:eastAsia="en-IE"/>
        </w:rPr>
        <w:t xml:space="preserve"> transaction charges for IPs compared to alternative payment means (demand</w:t>
      </w:r>
      <w:r>
        <w:rPr>
          <w:noProof/>
          <w:u w:color="000000"/>
          <w:bdr w:val="nil"/>
          <w:lang w:eastAsia="en-IE"/>
        </w:rPr>
        <w:t>-</w:t>
      </w:r>
      <w:r w:rsidRPr="000B434C">
        <w:rPr>
          <w:noProof/>
          <w:u w:color="000000"/>
          <w:bdr w:val="nil"/>
          <w:lang w:eastAsia="en-IE"/>
        </w:rPr>
        <w:t>side driver);</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 xml:space="preserve">high rate of rejected IPs </w:t>
      </w:r>
      <w:r w:rsidRPr="000B434C">
        <w:rPr>
          <w:noProof/>
        </w:rPr>
        <w:t xml:space="preserve">wrongly identified as </w:t>
      </w:r>
      <w:r>
        <w:rPr>
          <w:noProof/>
        </w:rPr>
        <w:t>involving persons on EU sanctions lists</w:t>
      </w:r>
      <w:r w:rsidRPr="000B434C">
        <w:rPr>
          <w:noProof/>
          <w:u w:color="000000"/>
          <w:bdr w:val="nil"/>
          <w:lang w:eastAsia="en-IE"/>
        </w:rPr>
        <w:t xml:space="preserve"> (supply</w:t>
      </w:r>
      <w:r>
        <w:rPr>
          <w:noProof/>
          <w:u w:color="000000"/>
          <w:bdr w:val="nil"/>
          <w:lang w:eastAsia="en-IE"/>
        </w:rPr>
        <w:t>-</w:t>
      </w:r>
      <w:r w:rsidRPr="000B434C">
        <w:rPr>
          <w:noProof/>
          <w:u w:color="000000"/>
          <w:bdr w:val="nil"/>
          <w:lang w:eastAsia="en-IE"/>
        </w:rPr>
        <w:t>side driver).</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payer concerns about security of IPs (demand</w:t>
      </w:r>
      <w:r>
        <w:rPr>
          <w:noProof/>
          <w:u w:color="000000"/>
          <w:bdr w:val="nil"/>
          <w:lang w:eastAsia="en-IE"/>
        </w:rPr>
        <w:t>-</w:t>
      </w:r>
      <w:r w:rsidRPr="000B434C">
        <w:rPr>
          <w:noProof/>
          <w:u w:color="000000"/>
          <w:bdr w:val="nil"/>
          <w:lang w:eastAsia="en-IE"/>
        </w:rPr>
        <w:t>side driver).</w:t>
      </w:r>
    </w:p>
    <w:p w:rsidR="00211B11" w:rsidRPr="000B434C" w:rsidRDefault="00211B11" w:rsidP="00211B11">
      <w:pPr>
        <w:spacing w:before="240"/>
        <w:rPr>
          <w:rFonts w:eastAsia="Calibri"/>
          <w:noProof/>
          <w:szCs w:val="24"/>
        </w:rPr>
      </w:pPr>
      <w:r w:rsidRPr="000B434C">
        <w:rPr>
          <w:rFonts w:eastAsia="Calibri"/>
          <w:noProof/>
          <w:szCs w:val="24"/>
        </w:rPr>
        <w:t>The impact assessment presents a package of preferred options, corresponding to the four problem drivers identified:</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 xml:space="preserve">a requirement for PSPs </w:t>
      </w:r>
      <w:r>
        <w:rPr>
          <w:noProof/>
          <w:u w:color="000000"/>
          <w:bdr w:val="nil"/>
          <w:lang w:eastAsia="en-IE"/>
        </w:rPr>
        <w:t>providing</w:t>
      </w:r>
      <w:r w:rsidRPr="000B434C">
        <w:rPr>
          <w:noProof/>
          <w:u w:color="000000"/>
          <w:bdr w:val="nil"/>
          <w:lang w:eastAsia="en-IE"/>
        </w:rPr>
        <w:t xml:space="preserve"> a regular euro credit transfer service (with targeted exclusions)</w:t>
      </w:r>
      <w:r>
        <w:rPr>
          <w:noProof/>
          <w:u w:color="000000"/>
          <w:bdr w:val="nil"/>
          <w:lang w:eastAsia="en-IE"/>
        </w:rPr>
        <w:t xml:space="preserve"> </w:t>
      </w:r>
      <w:r w:rsidRPr="000B434C">
        <w:rPr>
          <w:noProof/>
          <w:u w:color="000000"/>
          <w:bdr w:val="nil"/>
          <w:lang w:eastAsia="en-IE"/>
        </w:rPr>
        <w:t>to offer sending and receiving of IPs in euro</w:t>
      </w:r>
      <w:r>
        <w:rPr>
          <w:noProof/>
          <w:u w:color="000000"/>
          <w:bdr w:val="nil"/>
          <w:lang w:eastAsia="en-IE"/>
        </w:rPr>
        <w:t>;</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a requirement for PSPs not to charge more for IPs in euro than for regular credit transfers in euro</w:t>
      </w:r>
      <w:r>
        <w:rPr>
          <w:noProof/>
          <w:u w:color="000000"/>
          <w:bdr w:val="nil"/>
          <w:lang w:eastAsia="en-IE"/>
        </w:rPr>
        <w:t>;</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 xml:space="preserve">a requirement for sanctions screening in the form of very frequent checking of clients against </w:t>
      </w:r>
      <w:r>
        <w:rPr>
          <w:noProof/>
          <w:u w:color="000000"/>
          <w:bdr w:val="nil"/>
          <w:lang w:eastAsia="en-IE"/>
        </w:rPr>
        <w:t xml:space="preserve">EU </w:t>
      </w:r>
      <w:r w:rsidRPr="000B434C">
        <w:rPr>
          <w:noProof/>
          <w:u w:color="000000"/>
          <w:bdr w:val="nil"/>
          <w:lang w:eastAsia="en-IE"/>
        </w:rPr>
        <w:t xml:space="preserve">sanctions lists (as is already done in certain Member States for domestic payments), rather than </w:t>
      </w:r>
      <w:r>
        <w:rPr>
          <w:noProof/>
          <w:u w:color="000000"/>
          <w:bdr w:val="nil"/>
          <w:lang w:eastAsia="en-IE"/>
        </w:rPr>
        <w:t xml:space="preserve">for each individual </w:t>
      </w:r>
      <w:r w:rsidRPr="000B434C">
        <w:rPr>
          <w:noProof/>
          <w:u w:color="000000"/>
          <w:bdr w:val="nil"/>
          <w:lang w:eastAsia="en-IE"/>
        </w:rPr>
        <w:t>transaction</w:t>
      </w:r>
      <w:r>
        <w:rPr>
          <w:noProof/>
          <w:u w:color="000000"/>
          <w:bdr w:val="nil"/>
          <w:lang w:eastAsia="en-IE"/>
        </w:rPr>
        <w:t>;</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 xml:space="preserve">a requirement for PSPs to offer a service </w:t>
      </w:r>
      <w:r>
        <w:rPr>
          <w:noProof/>
          <w:u w:color="000000"/>
          <w:bdr w:val="nil"/>
          <w:lang w:eastAsia="en-IE"/>
        </w:rPr>
        <w:t>enabling customers to be</w:t>
      </w:r>
      <w:r w:rsidRPr="000B434C">
        <w:rPr>
          <w:noProof/>
          <w:u w:color="000000"/>
          <w:bdr w:val="nil"/>
          <w:lang w:eastAsia="en-IE"/>
        </w:rPr>
        <w:t xml:space="preserve"> notified when a mismatch is detected between the payee’s name and </w:t>
      </w:r>
      <w:r w:rsidRPr="000B434C">
        <w:rPr>
          <w:noProof/>
          <w:bdr w:val="none" w:sz="0" w:space="0" w:color="auto" w:frame="1"/>
          <w:lang w:eastAsia="en-IE"/>
        </w:rPr>
        <w:t>international bank account number (</w:t>
      </w:r>
      <w:r w:rsidRPr="000B434C">
        <w:rPr>
          <w:noProof/>
          <w:u w:color="000000"/>
          <w:bdr w:val="nil"/>
          <w:lang w:eastAsia="en-IE"/>
        </w:rPr>
        <w:t>IBAN), as supplied by the payer</w:t>
      </w:r>
      <w:r>
        <w:rPr>
          <w:noProof/>
          <w:u w:color="000000"/>
          <w:bdr w:val="nil"/>
          <w:lang w:eastAsia="en-IE"/>
        </w:rPr>
        <w:t>;</w:t>
      </w:r>
    </w:p>
    <w:p w:rsidR="00547E45" w:rsidRPr="004C5316" w:rsidRDefault="00E46988" w:rsidP="00136A10">
      <w:pPr>
        <w:pBdr>
          <w:top w:val="nil"/>
          <w:left w:val="nil"/>
          <w:bottom w:val="nil"/>
          <w:right w:val="nil"/>
          <w:between w:val="nil"/>
          <w:bar w:val="nil"/>
        </w:pBdr>
        <w:spacing w:before="240" w:after="240"/>
        <w:rPr>
          <w:rFonts w:eastAsia="Calibri"/>
          <w:noProof/>
          <w:szCs w:val="24"/>
          <w:lang w:val="en-US"/>
        </w:rPr>
      </w:pPr>
      <w:r>
        <w:rPr>
          <w:rFonts w:eastAsia="Calibri"/>
          <w:noProof/>
          <w:szCs w:val="24"/>
        </w:rPr>
        <w:t>T</w:t>
      </w:r>
      <w:r w:rsidR="00686EDE">
        <w:rPr>
          <w:rFonts w:eastAsia="Calibri"/>
          <w:noProof/>
          <w:szCs w:val="24"/>
        </w:rPr>
        <w:t xml:space="preserve">he above requirements are introduced through an amendment to the SEPA Regulation which also governs other types of euro payments, </w:t>
      </w:r>
      <w:r w:rsidR="00876EF5">
        <w:rPr>
          <w:rFonts w:eastAsia="Calibri"/>
          <w:noProof/>
          <w:szCs w:val="24"/>
        </w:rPr>
        <w:t>including</w:t>
      </w:r>
      <w:r w:rsidR="00686EDE">
        <w:rPr>
          <w:rFonts w:eastAsia="Calibri"/>
          <w:noProof/>
          <w:szCs w:val="24"/>
        </w:rPr>
        <w:t xml:space="preserve"> non-instant credit transfers</w:t>
      </w:r>
      <w:r>
        <w:rPr>
          <w:rFonts w:eastAsia="Calibri"/>
          <w:noProof/>
          <w:szCs w:val="24"/>
        </w:rPr>
        <w:t>.</w:t>
      </w:r>
      <w:r w:rsidR="00686EDE">
        <w:rPr>
          <w:rFonts w:eastAsia="Calibri"/>
          <w:noProof/>
          <w:szCs w:val="24"/>
        </w:rPr>
        <w:t xml:space="preserve"> </w:t>
      </w:r>
      <w:r>
        <w:rPr>
          <w:rFonts w:eastAsia="Calibri"/>
          <w:noProof/>
          <w:szCs w:val="24"/>
        </w:rPr>
        <w:t xml:space="preserve">However, </w:t>
      </w:r>
      <w:r w:rsidR="00686EDE">
        <w:rPr>
          <w:rFonts w:eastAsia="Calibri"/>
          <w:noProof/>
          <w:szCs w:val="24"/>
        </w:rPr>
        <w:t xml:space="preserve">the requirements </w:t>
      </w:r>
      <w:r>
        <w:rPr>
          <w:rFonts w:eastAsia="Calibri"/>
          <w:noProof/>
          <w:szCs w:val="24"/>
        </w:rPr>
        <w:t xml:space="preserve">pertaining to sanctions screening and payer protection </w:t>
      </w:r>
      <w:r w:rsidR="00686EDE">
        <w:rPr>
          <w:rFonts w:eastAsia="Calibri"/>
          <w:noProof/>
          <w:szCs w:val="24"/>
        </w:rPr>
        <w:t xml:space="preserve">are limited </w:t>
      </w:r>
      <w:r>
        <w:rPr>
          <w:rFonts w:eastAsia="Calibri"/>
          <w:noProof/>
          <w:szCs w:val="24"/>
        </w:rPr>
        <w:t xml:space="preserve">only </w:t>
      </w:r>
      <w:r w:rsidR="00686EDE">
        <w:rPr>
          <w:rFonts w:eastAsia="Calibri"/>
          <w:noProof/>
          <w:szCs w:val="24"/>
        </w:rPr>
        <w:t>to euro</w:t>
      </w:r>
      <w:r>
        <w:rPr>
          <w:rFonts w:eastAsia="Calibri"/>
          <w:noProof/>
          <w:szCs w:val="24"/>
        </w:rPr>
        <w:t xml:space="preserve"> IPs</w:t>
      </w:r>
      <w:r w:rsidR="00136A10">
        <w:rPr>
          <w:rFonts w:eastAsia="Calibri"/>
          <w:noProof/>
          <w:szCs w:val="24"/>
        </w:rPr>
        <w:t>, for which</w:t>
      </w:r>
      <w:r w:rsidR="00686EDE">
        <w:rPr>
          <w:rFonts w:eastAsia="Calibri"/>
          <w:noProof/>
          <w:szCs w:val="24"/>
        </w:rPr>
        <w:t xml:space="preserve"> the </w:t>
      </w:r>
      <w:r w:rsidR="004C5316">
        <w:rPr>
          <w:rFonts w:eastAsia="Calibri"/>
          <w:noProof/>
          <w:szCs w:val="24"/>
        </w:rPr>
        <w:t>underlying</w:t>
      </w:r>
      <w:r>
        <w:rPr>
          <w:rFonts w:eastAsia="Calibri"/>
          <w:noProof/>
          <w:szCs w:val="24"/>
        </w:rPr>
        <w:t xml:space="preserve"> </w:t>
      </w:r>
      <w:r w:rsidR="00686EDE">
        <w:rPr>
          <w:rFonts w:eastAsia="Calibri"/>
          <w:noProof/>
          <w:szCs w:val="24"/>
        </w:rPr>
        <w:t xml:space="preserve">problem drivers </w:t>
      </w:r>
      <w:r>
        <w:rPr>
          <w:rFonts w:eastAsia="Calibri"/>
          <w:noProof/>
          <w:szCs w:val="24"/>
        </w:rPr>
        <w:t>were found to be the most impactful</w:t>
      </w:r>
      <w:r w:rsidR="00686EDE">
        <w:rPr>
          <w:rFonts w:eastAsia="Calibri"/>
          <w:noProof/>
          <w:szCs w:val="24"/>
        </w:rPr>
        <w:t xml:space="preserve">. </w:t>
      </w:r>
      <w:r w:rsidR="002E7A18">
        <w:rPr>
          <w:rFonts w:eastAsia="Calibri"/>
          <w:noProof/>
          <w:szCs w:val="24"/>
        </w:rPr>
        <w:t>With IPs</w:t>
      </w:r>
      <w:r w:rsidR="002E7A18" w:rsidRPr="004F7B9A">
        <w:rPr>
          <w:rFonts w:eastAsia="Calibri"/>
          <w:noProof/>
          <w:szCs w:val="24"/>
        </w:rPr>
        <w:t xml:space="preserve"> it is impossible </w:t>
      </w:r>
      <w:r w:rsidR="002E7A18">
        <w:rPr>
          <w:rFonts w:eastAsia="Calibri"/>
          <w:noProof/>
          <w:szCs w:val="24"/>
        </w:rPr>
        <w:t xml:space="preserve">for PSPs </w:t>
      </w:r>
      <w:r w:rsidR="002E7A18" w:rsidRPr="004F7B9A">
        <w:rPr>
          <w:rFonts w:eastAsia="Calibri"/>
          <w:noProof/>
          <w:szCs w:val="24"/>
        </w:rPr>
        <w:t xml:space="preserve">to </w:t>
      </w:r>
      <w:r w:rsidR="002E7A18">
        <w:rPr>
          <w:rFonts w:eastAsia="Calibri"/>
          <w:noProof/>
          <w:szCs w:val="24"/>
        </w:rPr>
        <w:t xml:space="preserve">verify within 10 seconds </w:t>
      </w:r>
      <w:r w:rsidR="00876EF5">
        <w:rPr>
          <w:rFonts w:eastAsia="Calibri"/>
          <w:noProof/>
          <w:szCs w:val="24"/>
        </w:rPr>
        <w:t>whether</w:t>
      </w:r>
      <w:r w:rsidR="002E7A18">
        <w:rPr>
          <w:rFonts w:eastAsia="Calibri"/>
          <w:noProof/>
          <w:szCs w:val="24"/>
        </w:rPr>
        <w:t xml:space="preserve"> the flagged transaction involves persons on EU sanctions lists </w:t>
      </w:r>
      <w:r w:rsidR="002E7A18" w:rsidRPr="004F7B9A">
        <w:rPr>
          <w:rFonts w:eastAsia="Calibri"/>
          <w:noProof/>
          <w:szCs w:val="24"/>
        </w:rPr>
        <w:t>and</w:t>
      </w:r>
      <w:r w:rsidR="00876EF5">
        <w:rPr>
          <w:rFonts w:eastAsia="Calibri"/>
          <w:noProof/>
          <w:szCs w:val="24"/>
        </w:rPr>
        <w:t>, as a result,</w:t>
      </w:r>
      <w:r w:rsidR="002E7A18" w:rsidRPr="004F7B9A">
        <w:rPr>
          <w:rFonts w:eastAsia="Calibri"/>
          <w:noProof/>
          <w:szCs w:val="24"/>
        </w:rPr>
        <w:t xml:space="preserve"> </w:t>
      </w:r>
      <w:r w:rsidR="00876EF5">
        <w:rPr>
          <w:rFonts w:eastAsia="Calibri"/>
          <w:noProof/>
          <w:szCs w:val="24"/>
        </w:rPr>
        <w:t>such a</w:t>
      </w:r>
      <w:r w:rsidR="002E7A18" w:rsidRPr="004F7B9A">
        <w:rPr>
          <w:rFonts w:eastAsia="Calibri"/>
          <w:noProof/>
          <w:szCs w:val="24"/>
        </w:rPr>
        <w:t xml:space="preserve"> transaction </w:t>
      </w:r>
      <w:r w:rsidR="00876EF5">
        <w:rPr>
          <w:rFonts w:eastAsia="Calibri"/>
          <w:noProof/>
          <w:szCs w:val="24"/>
        </w:rPr>
        <w:t>is</w:t>
      </w:r>
      <w:r w:rsidR="002E7A18" w:rsidRPr="004F7B9A">
        <w:rPr>
          <w:rFonts w:eastAsia="Calibri"/>
          <w:noProof/>
          <w:szCs w:val="24"/>
        </w:rPr>
        <w:t xml:space="preserve"> unjustifiably rejected</w:t>
      </w:r>
      <w:r w:rsidR="00876EF5">
        <w:rPr>
          <w:rFonts w:eastAsia="Calibri"/>
          <w:noProof/>
          <w:szCs w:val="24"/>
        </w:rPr>
        <w:t>.</w:t>
      </w:r>
      <w:r w:rsidR="002E7A18">
        <w:rPr>
          <w:rFonts w:eastAsia="Calibri"/>
          <w:noProof/>
          <w:szCs w:val="24"/>
        </w:rPr>
        <w:t xml:space="preserve"> </w:t>
      </w:r>
      <w:r w:rsidR="00876EF5">
        <w:rPr>
          <w:rFonts w:eastAsia="Calibri"/>
          <w:noProof/>
          <w:szCs w:val="24"/>
        </w:rPr>
        <w:t>F</w:t>
      </w:r>
      <w:r w:rsidR="002E7A18">
        <w:rPr>
          <w:rFonts w:eastAsia="Calibri"/>
          <w:noProof/>
          <w:szCs w:val="24"/>
        </w:rPr>
        <w:t>or non-instant credit transfers this problem does not arise. Moreover, t</w:t>
      </w:r>
      <w:r w:rsidR="004F7B9A">
        <w:rPr>
          <w:rFonts w:eastAsia="Calibri"/>
          <w:noProof/>
          <w:szCs w:val="24"/>
        </w:rPr>
        <w:t>he</w:t>
      </w:r>
      <w:r w:rsidR="00547E45">
        <w:rPr>
          <w:rFonts w:eastAsia="Calibri"/>
          <w:noProof/>
          <w:szCs w:val="24"/>
        </w:rPr>
        <w:t xml:space="preserve"> </w:t>
      </w:r>
      <w:r w:rsidR="002E7A18">
        <w:rPr>
          <w:rFonts w:eastAsia="Calibri"/>
          <w:noProof/>
          <w:szCs w:val="24"/>
        </w:rPr>
        <w:t>feeling</w:t>
      </w:r>
      <w:r w:rsidR="00547E45" w:rsidRPr="00547E45">
        <w:rPr>
          <w:rFonts w:eastAsia="Calibri"/>
          <w:noProof/>
          <w:szCs w:val="24"/>
        </w:rPr>
        <w:t xml:space="preserve"> of having more options </w:t>
      </w:r>
      <w:r w:rsidR="002E7A18">
        <w:rPr>
          <w:rFonts w:eastAsia="Calibri"/>
          <w:noProof/>
          <w:szCs w:val="24"/>
        </w:rPr>
        <w:t>to recover</w:t>
      </w:r>
      <w:r w:rsidR="00547E45" w:rsidRPr="00547E45">
        <w:rPr>
          <w:rFonts w:eastAsia="Calibri"/>
          <w:noProof/>
          <w:szCs w:val="24"/>
        </w:rPr>
        <w:t xml:space="preserve"> funds in case of </w:t>
      </w:r>
      <w:r w:rsidR="002E7A18">
        <w:rPr>
          <w:rFonts w:eastAsia="Calibri"/>
          <w:noProof/>
          <w:szCs w:val="24"/>
        </w:rPr>
        <w:t xml:space="preserve">fraud or errors when </w:t>
      </w:r>
      <w:r w:rsidR="004F7B9A">
        <w:rPr>
          <w:rFonts w:eastAsia="Calibri"/>
          <w:noProof/>
          <w:szCs w:val="24"/>
        </w:rPr>
        <w:t xml:space="preserve">non-instant credit transfers </w:t>
      </w:r>
      <w:r w:rsidR="002E7A18">
        <w:rPr>
          <w:rFonts w:eastAsia="Calibri"/>
          <w:noProof/>
          <w:szCs w:val="24"/>
        </w:rPr>
        <w:t>are used discourages payers from adopting IPs to a greater extent</w:t>
      </w:r>
      <w:r w:rsidR="006C2BDA">
        <w:rPr>
          <w:rFonts w:eastAsia="Calibri"/>
          <w:noProof/>
          <w:szCs w:val="24"/>
        </w:rPr>
        <w:t xml:space="preserve"> </w:t>
      </w:r>
      <w:r w:rsidR="006C2BDA" w:rsidRPr="006C2BDA">
        <w:rPr>
          <w:rFonts w:eastAsia="Calibri"/>
          <w:noProof/>
          <w:szCs w:val="24"/>
        </w:rPr>
        <w:t>than for non-instant credit transfers</w:t>
      </w:r>
      <w:r w:rsidR="002E7A18">
        <w:rPr>
          <w:rFonts w:eastAsia="Calibri"/>
          <w:noProof/>
          <w:szCs w:val="24"/>
        </w:rPr>
        <w:t xml:space="preserve">. </w:t>
      </w:r>
      <w:r w:rsidR="00547E45" w:rsidRPr="00547E45">
        <w:rPr>
          <w:rFonts w:eastAsia="Calibri"/>
          <w:noProof/>
          <w:szCs w:val="24"/>
        </w:rPr>
        <w:t xml:space="preserve"> </w:t>
      </w:r>
    </w:p>
    <w:p w:rsidR="00211B11" w:rsidRPr="000B434C" w:rsidRDefault="00211B11" w:rsidP="00211B11">
      <w:pPr>
        <w:pBdr>
          <w:top w:val="nil"/>
          <w:left w:val="nil"/>
          <w:bottom w:val="nil"/>
          <w:right w:val="nil"/>
          <w:between w:val="nil"/>
          <w:bar w:val="nil"/>
        </w:pBdr>
        <w:spacing w:before="240" w:after="240"/>
        <w:rPr>
          <w:rFonts w:eastAsia="Calibri"/>
          <w:noProof/>
          <w:szCs w:val="24"/>
        </w:rPr>
      </w:pPr>
      <w:r w:rsidRPr="000B434C">
        <w:rPr>
          <w:rFonts w:eastAsia="Calibri"/>
          <w:noProof/>
          <w:szCs w:val="24"/>
        </w:rPr>
        <w:t xml:space="preserve">The impact assessment identified material, but proportionate, one-off implementation costs </w:t>
      </w:r>
      <w:r w:rsidRPr="000B434C">
        <w:rPr>
          <w:noProof/>
        </w:rPr>
        <w:t>involved in offering IP</w:t>
      </w:r>
      <w:r>
        <w:rPr>
          <w:noProof/>
        </w:rPr>
        <w:t>s</w:t>
      </w:r>
      <w:r w:rsidRPr="000B434C">
        <w:rPr>
          <w:noProof/>
        </w:rPr>
        <w:t xml:space="preserve"> for PS</w:t>
      </w:r>
      <w:r>
        <w:rPr>
          <w:noProof/>
        </w:rPr>
        <w:t>P</w:t>
      </w:r>
      <w:r w:rsidRPr="000B434C">
        <w:rPr>
          <w:noProof/>
        </w:rPr>
        <w:t>s that do not yet do so, and</w:t>
      </w:r>
      <w:r>
        <w:rPr>
          <w:noProof/>
        </w:rPr>
        <w:t>,</w:t>
      </w:r>
      <w:r w:rsidRPr="000B434C">
        <w:rPr>
          <w:noProof/>
        </w:rPr>
        <w:t xml:space="preserve"> for most</w:t>
      </w:r>
      <w:r>
        <w:rPr>
          <w:noProof/>
        </w:rPr>
        <w:t xml:space="preserve"> PSPs,</w:t>
      </w:r>
      <w:r w:rsidRPr="000B434C">
        <w:rPr>
          <w:noProof/>
        </w:rPr>
        <w:t xml:space="preserve"> in providing a way to check that the </w:t>
      </w:r>
      <w:r>
        <w:rPr>
          <w:noProof/>
        </w:rPr>
        <w:t xml:space="preserve">payee’s </w:t>
      </w:r>
      <w:r w:rsidRPr="000B434C">
        <w:rPr>
          <w:noProof/>
        </w:rPr>
        <w:t>IBAN matches the payee name</w:t>
      </w:r>
      <w:r w:rsidRPr="000B434C">
        <w:rPr>
          <w:rFonts w:eastAsia="Calibri"/>
          <w:noProof/>
          <w:szCs w:val="24"/>
        </w:rPr>
        <w:t xml:space="preserve">. Ongoing costs for PSPs would be limited. Overall, the cost impact for PSPs would be neutral over time, in light of significant savings from the proposed new approach for sanctions screening, </w:t>
      </w:r>
      <w:r w:rsidRPr="000B434C">
        <w:rPr>
          <w:noProof/>
        </w:rPr>
        <w:t xml:space="preserve">less time and </w:t>
      </w:r>
      <w:r w:rsidRPr="000B434C">
        <w:rPr>
          <w:rFonts w:eastAsia="Calibri"/>
          <w:noProof/>
          <w:szCs w:val="24"/>
        </w:rPr>
        <w:t>effort spent following up fraud and errors, reduced costs related to handling cash and cheques, and the prospect of competing more effectively with the incumbents on the PoI market and offering innovative IP-based PoI solutions, including for cross-border payments.</w:t>
      </w:r>
    </w:p>
    <w:p w:rsidR="00211B11" w:rsidRPr="000B434C" w:rsidRDefault="00211B11" w:rsidP="00211B11">
      <w:pPr>
        <w:pBdr>
          <w:top w:val="nil"/>
          <w:left w:val="nil"/>
          <w:bottom w:val="nil"/>
          <w:right w:val="nil"/>
          <w:between w:val="nil"/>
          <w:bar w:val="nil"/>
        </w:pBdr>
        <w:spacing w:after="240"/>
        <w:rPr>
          <w:rFonts w:eastAsia="Calibri"/>
          <w:noProof/>
          <w:szCs w:val="24"/>
        </w:rPr>
      </w:pPr>
      <w:r w:rsidRPr="000B434C">
        <w:rPr>
          <w:rFonts w:eastAsia="Calibri"/>
          <w:noProof/>
          <w:szCs w:val="24"/>
        </w:rPr>
        <w:t>A wide range of benefits will be derived from improved liquidity and cash-flow. These will accrue to all recipients of IPs, including consumers, merchants, corporate users and public administrations, including tax authorities, significantly boosting their economic efficiency. Currently, many billions of euro are in transit in payment systems at any given time and not available for consumption or investment.</w:t>
      </w:r>
    </w:p>
    <w:p w:rsidR="000E5267" w:rsidRPr="002D7679" w:rsidRDefault="00211B11" w:rsidP="002D7679">
      <w:pPr>
        <w:rPr>
          <w:noProof/>
        </w:rPr>
      </w:pPr>
      <w:r w:rsidRPr="002D7679">
        <w:rPr>
          <w:noProof/>
        </w:rPr>
        <w:t>Greater use of IPs will also stimulate the development of new payment solutions</w:t>
      </w:r>
      <w:r w:rsidRPr="000E5267">
        <w:rPr>
          <w:noProof/>
        </w:rPr>
        <w:t>, so that IPs can be used at the PoI</w:t>
      </w:r>
      <w:r w:rsidRPr="002D7679">
        <w:rPr>
          <w:noProof/>
        </w:rPr>
        <w:t xml:space="preserve"> to buy goods and services, in particular in cross-border transactions. This will increase competition in the sector and produce cost reductions for merchants, who can potentially pass them on to consumers.</w:t>
      </w:r>
    </w:p>
    <w:p w:rsidR="00211B11" w:rsidRPr="000B434C" w:rsidRDefault="00211B11" w:rsidP="00211B11">
      <w:pPr>
        <w:pStyle w:val="ManualHeading2"/>
        <w:rPr>
          <w:rFonts w:eastAsia="Arial Unicode MS"/>
          <w:noProof/>
          <w:u w:color="000000"/>
          <w:bdr w:val="nil"/>
          <w:lang w:eastAsia="en-GB"/>
        </w:rPr>
      </w:pPr>
      <w:r w:rsidRPr="000B434C">
        <w:rPr>
          <w:rFonts w:eastAsia="Arial Unicode MS"/>
          <w:noProof/>
          <w:u w:color="000000"/>
          <w:bdr w:val="nil"/>
          <w:lang w:eastAsia="en-GB"/>
        </w:rPr>
        <w:t>•</w:t>
      </w:r>
      <w:r w:rsidRPr="000B434C">
        <w:rPr>
          <w:rFonts w:eastAsia="Arial Unicode MS"/>
          <w:noProof/>
          <w:u w:color="000000"/>
          <w:bdr w:val="nil"/>
          <w:lang w:eastAsia="en-GB"/>
        </w:rPr>
        <w:tab/>
        <w:t>Regulatory fitness and simplification</w:t>
      </w:r>
    </w:p>
    <w:p w:rsidR="00211B11" w:rsidRDefault="00211B11" w:rsidP="00211B11">
      <w:pPr>
        <w:pBdr>
          <w:top w:val="nil"/>
          <w:left w:val="nil"/>
          <w:bottom w:val="nil"/>
          <w:right w:val="nil"/>
          <w:between w:val="nil"/>
          <w:bar w:val="nil"/>
        </w:pBdr>
        <w:spacing w:after="240"/>
        <w:rPr>
          <w:rFonts w:eastAsia="Calibri"/>
          <w:noProof/>
          <w:szCs w:val="24"/>
        </w:rPr>
      </w:pPr>
      <w:r w:rsidRPr="000B434C">
        <w:rPr>
          <w:rFonts w:eastAsia="Calibri"/>
          <w:noProof/>
          <w:szCs w:val="24"/>
        </w:rPr>
        <w:t xml:space="preserve">The present initiative is not a regulatory fitness and performance programme (REFIT) initiative. Although it takes the form of an amendment to the SEPA Regulation, which lays down requirements for credit transfers and direct debits in euro, it is not based on an evaluation of that Regulation, and it does not amend that Regulation beyond what is necessary to incorporate new provisions </w:t>
      </w:r>
      <w:r>
        <w:rPr>
          <w:rFonts w:eastAsia="Calibri"/>
          <w:noProof/>
          <w:szCs w:val="24"/>
        </w:rPr>
        <w:t>on</w:t>
      </w:r>
      <w:r w:rsidRPr="000B434C">
        <w:rPr>
          <w:rFonts w:eastAsia="Calibri"/>
          <w:noProof/>
          <w:szCs w:val="24"/>
        </w:rPr>
        <w:t xml:space="preserve"> IPs specifically.</w:t>
      </w:r>
    </w:p>
    <w:p w:rsidR="00725B3F" w:rsidRDefault="004B1B84" w:rsidP="00477183">
      <w:pPr>
        <w:rPr>
          <w:noProof/>
          <w:szCs w:val="24"/>
        </w:rPr>
      </w:pPr>
      <w:r w:rsidRPr="002D7679">
        <w:rPr>
          <w:noProof/>
          <w:szCs w:val="24"/>
        </w:rPr>
        <w:t xml:space="preserve">In line with the ‘one-in, one-out’ principle, the Commission has committed to ‘compensate to the extent possible’ </w:t>
      </w:r>
      <w:r w:rsidR="00343277">
        <w:rPr>
          <w:noProof/>
          <w:szCs w:val="24"/>
        </w:rPr>
        <w:t>adjustment</w:t>
      </w:r>
      <w:r w:rsidR="00725B3F" w:rsidRPr="00477183">
        <w:rPr>
          <w:noProof/>
          <w:szCs w:val="24"/>
        </w:rPr>
        <w:t xml:space="preserve"> costs of new initiatives </w:t>
      </w:r>
      <w:r w:rsidR="00343277">
        <w:rPr>
          <w:noProof/>
          <w:szCs w:val="24"/>
        </w:rPr>
        <w:t xml:space="preserve">and to offset new administrative costs </w:t>
      </w:r>
      <w:r w:rsidR="00725B3F" w:rsidRPr="00477183">
        <w:rPr>
          <w:noProof/>
          <w:szCs w:val="24"/>
        </w:rPr>
        <w:t>by correspondingly reducing administrative costs of other initiatives</w:t>
      </w:r>
      <w:r w:rsidR="00725B3F" w:rsidRPr="00477183">
        <w:rPr>
          <w:rStyle w:val="FootnoteReference"/>
          <w:noProof/>
          <w:szCs w:val="24"/>
        </w:rPr>
        <w:footnoteReference w:id="29"/>
      </w:r>
      <w:r w:rsidR="00725B3F" w:rsidRPr="00477183">
        <w:rPr>
          <w:noProof/>
          <w:szCs w:val="24"/>
        </w:rPr>
        <w:t xml:space="preserve">. However, </w:t>
      </w:r>
      <w:r w:rsidR="00033C1B" w:rsidRPr="00477183">
        <w:rPr>
          <w:noProof/>
          <w:szCs w:val="24"/>
        </w:rPr>
        <w:t>this proposal</w:t>
      </w:r>
      <w:r w:rsidR="00725B3F" w:rsidRPr="00477183">
        <w:rPr>
          <w:noProof/>
          <w:szCs w:val="24"/>
        </w:rPr>
        <w:t xml:space="preserve"> does not involve</w:t>
      </w:r>
      <w:r w:rsidR="00725B3F">
        <w:rPr>
          <w:noProof/>
          <w:szCs w:val="24"/>
        </w:rPr>
        <w:t xml:space="preserve"> administrative costs for businesses, citizens or public authorities, as the initiative will not lead to any increased oversight or supervision of PSPs, or to specific reporting obligations. There are also no regulatory fees and charges arising from the initiative. </w:t>
      </w:r>
    </w:p>
    <w:p w:rsidR="00725B3F" w:rsidRPr="000B434C" w:rsidRDefault="00725B3F" w:rsidP="002D7679">
      <w:pPr>
        <w:rPr>
          <w:rFonts w:eastAsia="Calibri"/>
          <w:noProof/>
          <w:szCs w:val="24"/>
        </w:rPr>
      </w:pPr>
      <w:r>
        <w:rPr>
          <w:noProof/>
          <w:szCs w:val="24"/>
        </w:rPr>
        <w:t xml:space="preserve">Although adjustment costs do not need to be offset according to the </w:t>
      </w:r>
      <w:r w:rsidR="001E47EA" w:rsidRPr="002D7679">
        <w:rPr>
          <w:noProof/>
          <w:szCs w:val="24"/>
        </w:rPr>
        <w:t>‘</w:t>
      </w:r>
      <w:r>
        <w:rPr>
          <w:noProof/>
          <w:szCs w:val="24"/>
        </w:rPr>
        <w:t>one in one out principle</w:t>
      </w:r>
      <w:r w:rsidR="001E47EA">
        <w:rPr>
          <w:noProof/>
          <w:szCs w:val="24"/>
        </w:rPr>
        <w:t>’</w:t>
      </w:r>
      <w:r>
        <w:rPr>
          <w:noProof/>
          <w:szCs w:val="24"/>
        </w:rPr>
        <w:t xml:space="preserve">, the recurrent cost savings for PSPs from the new approach to sanctions screening are likely to more than offset adjustment costs generated by the other components of this </w:t>
      </w:r>
      <w:r w:rsidR="00033C1B">
        <w:rPr>
          <w:noProof/>
          <w:szCs w:val="24"/>
        </w:rPr>
        <w:t>proposal</w:t>
      </w:r>
      <w:r>
        <w:rPr>
          <w:noProof/>
          <w:szCs w:val="24"/>
        </w:rPr>
        <w:t>, giving negative adjustment costs (i.e. savings) for the initiative overall</w:t>
      </w:r>
      <w:r w:rsidR="00033C1B">
        <w:rPr>
          <w:rStyle w:val="FootnoteReference"/>
          <w:noProof/>
          <w:szCs w:val="24"/>
        </w:rPr>
        <w:footnoteReference w:id="30"/>
      </w:r>
      <w:r>
        <w:rPr>
          <w:noProof/>
          <w:szCs w:val="24"/>
        </w:rPr>
        <w:t xml:space="preserve">. </w:t>
      </w:r>
    </w:p>
    <w:p w:rsidR="00211B11" w:rsidRPr="000B434C" w:rsidRDefault="00211B11" w:rsidP="00211B11">
      <w:pPr>
        <w:pBdr>
          <w:top w:val="nil"/>
          <w:left w:val="nil"/>
          <w:bottom w:val="nil"/>
          <w:right w:val="nil"/>
          <w:between w:val="nil"/>
          <w:bar w:val="nil"/>
        </w:pBdr>
        <w:spacing w:before="0" w:after="240"/>
        <w:rPr>
          <w:rFonts w:eastAsia="Arial Unicode MS"/>
          <w:noProof/>
          <w:u w:color="000000"/>
          <w:bdr w:val="nil"/>
          <w:lang w:eastAsia="en-GB"/>
        </w:rPr>
      </w:pPr>
      <w:r w:rsidRPr="000B434C">
        <w:rPr>
          <w:rFonts w:eastAsia="Arial Unicode MS"/>
          <w:noProof/>
          <w:u w:color="000000"/>
          <w:bdr w:val="nil"/>
          <w:lang w:eastAsia="en-GB"/>
        </w:rPr>
        <w:t>•</w:t>
      </w:r>
      <w:r w:rsidRPr="000B434C">
        <w:rPr>
          <w:rFonts w:eastAsia="Arial Unicode MS"/>
          <w:noProof/>
          <w:u w:color="000000"/>
          <w:bdr w:val="nil"/>
          <w:lang w:eastAsia="en-GB"/>
        </w:rPr>
        <w:tab/>
      </w:r>
      <w:r w:rsidRPr="000B434C">
        <w:rPr>
          <w:rFonts w:eastAsia="Arial Unicode MS"/>
          <w:b/>
          <w:noProof/>
          <w:u w:color="000000"/>
          <w:bdr w:val="nil"/>
          <w:lang w:eastAsia="en-GB"/>
        </w:rPr>
        <w:t>Fundamental rights</w:t>
      </w:r>
    </w:p>
    <w:p w:rsidR="00A4096E" w:rsidRDefault="00211B11" w:rsidP="00211B11">
      <w:pPr>
        <w:pBdr>
          <w:top w:val="nil"/>
          <w:left w:val="nil"/>
          <w:bottom w:val="nil"/>
          <w:right w:val="nil"/>
          <w:between w:val="nil"/>
          <w:bar w:val="nil"/>
        </w:pBdr>
        <w:spacing w:after="240"/>
        <w:rPr>
          <w:rFonts w:eastAsia="Calibri"/>
          <w:noProof/>
          <w:szCs w:val="24"/>
        </w:rPr>
      </w:pPr>
      <w:r w:rsidRPr="000B434C">
        <w:rPr>
          <w:rFonts w:eastAsia="Calibri"/>
          <w:noProof/>
          <w:szCs w:val="24"/>
        </w:rPr>
        <w:t>The initiative is consistent with fundamental rights</w:t>
      </w:r>
      <w:r w:rsidR="00A4096E">
        <w:rPr>
          <w:rFonts w:eastAsia="Calibri"/>
          <w:noProof/>
          <w:szCs w:val="24"/>
        </w:rPr>
        <w:t>.</w:t>
      </w:r>
    </w:p>
    <w:p w:rsidR="00A4096E" w:rsidRDefault="00A4096E" w:rsidP="00211B11">
      <w:pPr>
        <w:pBdr>
          <w:top w:val="nil"/>
          <w:left w:val="nil"/>
          <w:bottom w:val="nil"/>
          <w:right w:val="nil"/>
          <w:between w:val="nil"/>
          <w:bar w:val="nil"/>
        </w:pBdr>
        <w:spacing w:after="240"/>
        <w:rPr>
          <w:rFonts w:eastAsia="Calibri"/>
          <w:noProof/>
          <w:szCs w:val="24"/>
        </w:rPr>
      </w:pPr>
      <w:r>
        <w:rPr>
          <w:rFonts w:eastAsia="Calibri"/>
          <w:noProof/>
          <w:szCs w:val="24"/>
        </w:rPr>
        <w:t xml:space="preserve">To the extent processing of personal data is necessary for the compliance with this initiative, the processing must be in line with </w:t>
      </w:r>
      <w:r w:rsidR="00211B11" w:rsidRPr="000B434C">
        <w:rPr>
          <w:rFonts w:eastAsia="Calibri"/>
          <w:noProof/>
          <w:szCs w:val="24"/>
        </w:rPr>
        <w:t>the General Data Protection Regulation (GDPR)</w:t>
      </w:r>
      <w:r w:rsidR="00211B11" w:rsidRPr="000B434C">
        <w:rPr>
          <w:rStyle w:val="FootnoteReference"/>
          <w:noProof/>
        </w:rPr>
        <w:footnoteReference w:id="31"/>
      </w:r>
      <w:r w:rsidR="00211B11" w:rsidRPr="000B434C">
        <w:rPr>
          <w:rFonts w:eastAsia="Calibri"/>
          <w:noProof/>
          <w:szCs w:val="24"/>
        </w:rPr>
        <w:t xml:space="preserve">. </w:t>
      </w:r>
    </w:p>
    <w:p w:rsidR="00211B11" w:rsidRPr="000B434C" w:rsidRDefault="00A4096E" w:rsidP="00211B11">
      <w:pPr>
        <w:pBdr>
          <w:top w:val="nil"/>
          <w:left w:val="nil"/>
          <w:bottom w:val="nil"/>
          <w:right w:val="nil"/>
          <w:between w:val="nil"/>
          <w:bar w:val="nil"/>
        </w:pBdr>
        <w:spacing w:after="240"/>
        <w:rPr>
          <w:rFonts w:eastAsia="Arial Unicode MS"/>
          <w:noProof/>
        </w:rPr>
      </w:pPr>
      <w:r>
        <w:rPr>
          <w:rFonts w:eastAsia="Calibri"/>
          <w:noProof/>
          <w:szCs w:val="24"/>
        </w:rPr>
        <w:t>T</w:t>
      </w:r>
      <w:r w:rsidR="00211B11" w:rsidRPr="000B434C">
        <w:rPr>
          <w:rFonts w:eastAsia="Calibri"/>
          <w:noProof/>
          <w:szCs w:val="24"/>
        </w:rPr>
        <w:t xml:space="preserve">his initiative </w:t>
      </w:r>
      <w:r>
        <w:rPr>
          <w:rFonts w:eastAsia="Calibri"/>
          <w:noProof/>
          <w:szCs w:val="24"/>
        </w:rPr>
        <w:t>lays down an obligation to verify the d</w:t>
      </w:r>
      <w:r w:rsidRPr="00E31426">
        <w:rPr>
          <w:rFonts w:eastAsia="Calibri"/>
          <w:noProof/>
          <w:szCs w:val="24"/>
        </w:rPr>
        <w:t xml:space="preserve">iscrepancies between the name and payment account identifier of </w:t>
      </w:r>
      <w:r>
        <w:rPr>
          <w:rFonts w:eastAsia="Calibri"/>
          <w:noProof/>
          <w:szCs w:val="24"/>
        </w:rPr>
        <w:t>the</w:t>
      </w:r>
      <w:r w:rsidRPr="00E31426">
        <w:rPr>
          <w:rFonts w:eastAsia="Calibri"/>
          <w:noProof/>
          <w:szCs w:val="24"/>
        </w:rPr>
        <w:t xml:space="preserve"> payee in case of </w:t>
      </w:r>
      <w:r>
        <w:rPr>
          <w:rFonts w:eastAsia="Calibri"/>
          <w:noProof/>
          <w:szCs w:val="24"/>
        </w:rPr>
        <w:t xml:space="preserve">euro IPs. When payees are natural persons, processing of their names and payment account identifiers is </w:t>
      </w:r>
      <w:r w:rsidR="006B461C">
        <w:rPr>
          <w:rFonts w:eastAsia="Calibri"/>
          <w:noProof/>
          <w:szCs w:val="24"/>
        </w:rPr>
        <w:t xml:space="preserve">proportionate and </w:t>
      </w:r>
      <w:r>
        <w:rPr>
          <w:rFonts w:eastAsia="Calibri"/>
          <w:noProof/>
          <w:szCs w:val="24"/>
        </w:rPr>
        <w:t>necessary to prevent fraudulent transactions and detect errors. The proposal further lays down</w:t>
      </w:r>
      <w:r w:rsidR="003258CA">
        <w:rPr>
          <w:rFonts w:eastAsia="Calibri"/>
          <w:noProof/>
          <w:szCs w:val="24"/>
        </w:rPr>
        <w:t xml:space="preserve"> a</w:t>
      </w:r>
      <w:r>
        <w:rPr>
          <w:rFonts w:eastAsia="Calibri"/>
          <w:noProof/>
          <w:szCs w:val="24"/>
        </w:rPr>
        <w:t xml:space="preserve"> procedure </w:t>
      </w:r>
      <w:r w:rsidR="003258CA">
        <w:rPr>
          <w:rFonts w:eastAsia="Calibri"/>
          <w:noProof/>
          <w:szCs w:val="24"/>
        </w:rPr>
        <w:t xml:space="preserve">to verify whether any of </w:t>
      </w:r>
      <w:r w:rsidR="00653E42">
        <w:rPr>
          <w:rFonts w:eastAsia="Calibri"/>
          <w:noProof/>
          <w:szCs w:val="24"/>
        </w:rPr>
        <w:t>PSPs’</w:t>
      </w:r>
      <w:r w:rsidR="003258CA">
        <w:rPr>
          <w:rFonts w:eastAsia="Calibri"/>
          <w:noProof/>
          <w:szCs w:val="24"/>
        </w:rPr>
        <w:t xml:space="preserve"> customers are designated persons or entities subject to EU sanctions. </w:t>
      </w:r>
      <w:r>
        <w:rPr>
          <w:rFonts w:eastAsia="Calibri"/>
          <w:noProof/>
          <w:szCs w:val="24"/>
        </w:rPr>
        <w:t xml:space="preserve">It establishes clear rules concerning the frequency of </w:t>
      </w:r>
      <w:r w:rsidR="003258CA">
        <w:rPr>
          <w:rFonts w:eastAsia="Calibri"/>
          <w:noProof/>
          <w:szCs w:val="24"/>
        </w:rPr>
        <w:t>and responsibility for such verifications</w:t>
      </w:r>
      <w:r>
        <w:rPr>
          <w:rFonts w:eastAsia="Calibri"/>
          <w:noProof/>
          <w:szCs w:val="24"/>
        </w:rPr>
        <w:t xml:space="preserve">. The initiative ensures that any personal data </w:t>
      </w:r>
      <w:r w:rsidR="003258CA">
        <w:rPr>
          <w:rFonts w:eastAsia="Calibri"/>
          <w:noProof/>
          <w:szCs w:val="24"/>
        </w:rPr>
        <w:t>to carry out such verifications</w:t>
      </w:r>
      <w:r>
        <w:rPr>
          <w:rFonts w:eastAsia="Calibri"/>
          <w:noProof/>
          <w:szCs w:val="24"/>
        </w:rPr>
        <w:t xml:space="preserve"> are adequate, relevant and limited to what is necessary. </w:t>
      </w:r>
    </w:p>
    <w:p w:rsidR="00211B11" w:rsidRPr="000B434C" w:rsidRDefault="00211B11" w:rsidP="00211B11">
      <w:pPr>
        <w:pStyle w:val="ManualHeading1"/>
        <w:rPr>
          <w:noProof/>
        </w:rPr>
      </w:pPr>
      <w:r w:rsidRPr="000B434C">
        <w:rPr>
          <w:noProof/>
        </w:rPr>
        <w:t>4.</w:t>
      </w:r>
      <w:r w:rsidRPr="000B434C">
        <w:rPr>
          <w:noProof/>
        </w:rPr>
        <w:tab/>
        <w:t>BUDGETARY IMPLICATIONS</w:t>
      </w:r>
    </w:p>
    <w:p w:rsidR="00211B11" w:rsidRPr="000B434C" w:rsidRDefault="00211B11" w:rsidP="00211B11">
      <w:pPr>
        <w:pBdr>
          <w:top w:val="nil"/>
          <w:left w:val="nil"/>
          <w:bottom w:val="nil"/>
          <w:right w:val="nil"/>
          <w:between w:val="nil"/>
          <w:bar w:val="nil"/>
        </w:pBdr>
        <w:spacing w:after="240"/>
        <w:rPr>
          <w:rFonts w:eastAsia="Calibri"/>
          <w:noProof/>
          <w:szCs w:val="24"/>
        </w:rPr>
      </w:pPr>
      <w:r w:rsidRPr="000B434C">
        <w:rPr>
          <w:rFonts w:eastAsia="Calibri"/>
          <w:noProof/>
          <w:szCs w:val="24"/>
        </w:rPr>
        <w:t>The present proposal has no implications for the EU budget.</w:t>
      </w:r>
    </w:p>
    <w:p w:rsidR="00211B11" w:rsidRPr="000B434C" w:rsidRDefault="00211B11" w:rsidP="00211B11">
      <w:pPr>
        <w:pStyle w:val="ManualHeading1"/>
        <w:rPr>
          <w:noProof/>
        </w:rPr>
      </w:pPr>
      <w:r w:rsidRPr="000B434C">
        <w:rPr>
          <w:noProof/>
        </w:rPr>
        <w:t>5.</w:t>
      </w:r>
      <w:r w:rsidRPr="000B434C">
        <w:rPr>
          <w:noProof/>
        </w:rPr>
        <w:tab/>
        <w:t>OTHER ELEMENTS</w:t>
      </w:r>
    </w:p>
    <w:p w:rsidR="00211B11" w:rsidRPr="000B434C" w:rsidRDefault="00211B11" w:rsidP="00211B11">
      <w:pPr>
        <w:rPr>
          <w:rFonts w:eastAsia="Calibri"/>
          <w:b/>
          <w:noProof/>
          <w:u w:color="000000"/>
          <w:bdr w:val="nil"/>
          <w:lang w:eastAsia="en-GB"/>
        </w:rPr>
      </w:pPr>
      <w:bookmarkStart w:id="2" w:name="_Toc76907191"/>
      <w:r w:rsidRPr="000B434C">
        <w:rPr>
          <w:rFonts w:eastAsia="Calibri"/>
          <w:b/>
          <w:noProof/>
          <w:u w:color="000000"/>
          <w:bdr w:val="nil"/>
          <w:lang w:eastAsia="en-GB"/>
        </w:rPr>
        <w:t>•</w:t>
      </w:r>
      <w:r w:rsidRPr="000B434C">
        <w:rPr>
          <w:rFonts w:eastAsia="Calibri"/>
          <w:b/>
          <w:noProof/>
          <w:u w:color="000000"/>
          <w:bdr w:val="nil"/>
          <w:lang w:eastAsia="en-GB"/>
        </w:rPr>
        <w:tab/>
        <w:t>Implementation plans and monitoring, evaluation and reporting arrangements</w:t>
      </w:r>
      <w:bookmarkEnd w:id="2"/>
    </w:p>
    <w:p w:rsidR="00211B11" w:rsidRPr="000B434C" w:rsidRDefault="00211B11" w:rsidP="00211B11">
      <w:pPr>
        <w:pBdr>
          <w:top w:val="nil"/>
          <w:left w:val="nil"/>
          <w:bottom w:val="nil"/>
          <w:right w:val="nil"/>
          <w:between w:val="nil"/>
          <w:bar w:val="nil"/>
        </w:pBdr>
        <w:spacing w:after="240"/>
        <w:rPr>
          <w:rFonts w:eastAsia="Calibri"/>
          <w:noProof/>
          <w:szCs w:val="24"/>
        </w:rPr>
      </w:pPr>
      <w:r w:rsidRPr="000B434C">
        <w:rPr>
          <w:rFonts w:eastAsia="Calibri"/>
          <w:noProof/>
          <w:szCs w:val="24"/>
        </w:rPr>
        <w:t xml:space="preserve">The general objective of increasing the volume of euro IPs relative to </w:t>
      </w:r>
      <w:r w:rsidR="00653E42">
        <w:rPr>
          <w:rFonts w:eastAsia="Calibri"/>
          <w:noProof/>
          <w:szCs w:val="24"/>
        </w:rPr>
        <w:t>all</w:t>
      </w:r>
      <w:r w:rsidRPr="000B434C">
        <w:rPr>
          <w:rFonts w:eastAsia="Calibri"/>
          <w:noProof/>
          <w:szCs w:val="24"/>
        </w:rPr>
        <w:t xml:space="preserve"> euro credit transfers can be monitored on an ongoing basis based on data from the EPC, which manages the SCT and SCT Inst. schemes. Monitoring the uptake of euro IPs in various use cases (including at the PoI) and of volumes of euro IPs compared to cash or cards will require data </w:t>
      </w:r>
      <w:r>
        <w:rPr>
          <w:rFonts w:eastAsia="Calibri"/>
          <w:noProof/>
          <w:szCs w:val="24"/>
        </w:rPr>
        <w:t xml:space="preserve">to be synthesised </w:t>
      </w:r>
      <w:r w:rsidRPr="000B434C">
        <w:rPr>
          <w:rFonts w:eastAsia="Calibri"/>
          <w:noProof/>
          <w:szCs w:val="24"/>
        </w:rPr>
        <w:t>from a number of different sources, with the assistance of the ECB and the EBA. There will be no new reporting requirements for PSPs.</w:t>
      </w:r>
    </w:p>
    <w:p w:rsidR="00211B11" w:rsidRPr="000B434C" w:rsidRDefault="00211B11" w:rsidP="00211B11">
      <w:pPr>
        <w:rPr>
          <w:rFonts w:eastAsia="Calibri"/>
          <w:b/>
          <w:noProof/>
          <w:u w:color="000000"/>
          <w:bdr w:val="nil"/>
          <w:lang w:eastAsia="en-GB"/>
        </w:rPr>
      </w:pPr>
      <w:bookmarkStart w:id="3" w:name="_Toc76907192"/>
      <w:r w:rsidRPr="000B434C">
        <w:rPr>
          <w:rFonts w:eastAsia="Calibri"/>
          <w:b/>
          <w:noProof/>
          <w:u w:color="000000"/>
          <w:bdr w:val="nil"/>
          <w:lang w:eastAsia="en-GB"/>
        </w:rPr>
        <w:t>•</w:t>
      </w:r>
      <w:r w:rsidRPr="000B434C">
        <w:rPr>
          <w:rFonts w:eastAsia="Calibri"/>
          <w:b/>
          <w:noProof/>
          <w:u w:color="000000"/>
          <w:bdr w:val="nil"/>
          <w:lang w:eastAsia="en-GB"/>
        </w:rPr>
        <w:tab/>
        <w:t>Detailed explanation of the specific provisions of the proposal</w:t>
      </w:r>
      <w:bookmarkEnd w:id="3"/>
    </w:p>
    <w:p w:rsidR="00211B11" w:rsidRPr="000B434C" w:rsidRDefault="00211B11" w:rsidP="00211B11">
      <w:pPr>
        <w:pBdr>
          <w:top w:val="nil"/>
          <w:left w:val="nil"/>
          <w:bottom w:val="nil"/>
          <w:right w:val="nil"/>
          <w:between w:val="nil"/>
          <w:bar w:val="nil"/>
        </w:pBdr>
        <w:spacing w:after="240"/>
        <w:rPr>
          <w:rFonts w:eastAsia="Calibri"/>
          <w:b/>
          <w:noProof/>
          <w:szCs w:val="24"/>
        </w:rPr>
      </w:pPr>
      <w:r w:rsidRPr="000B434C">
        <w:rPr>
          <w:rFonts w:eastAsia="Calibri"/>
          <w:b/>
          <w:noProof/>
          <w:szCs w:val="24"/>
        </w:rPr>
        <w:t>Subject matter, scope and definitions</w:t>
      </w:r>
    </w:p>
    <w:p w:rsidR="00211B11" w:rsidRPr="000B434C" w:rsidRDefault="00211B11" w:rsidP="00211B11">
      <w:pPr>
        <w:rPr>
          <w:rFonts w:eastAsia="Calibri"/>
          <w:noProof/>
          <w:szCs w:val="24"/>
        </w:rPr>
      </w:pPr>
      <w:r w:rsidRPr="000B434C">
        <w:rPr>
          <w:rFonts w:eastAsia="Calibri"/>
          <w:noProof/>
          <w:szCs w:val="24"/>
        </w:rPr>
        <w:t xml:space="preserve">The proposal introduces additional provisions into the SEPA Regulation on IPs in euro and </w:t>
      </w:r>
      <w:r>
        <w:rPr>
          <w:rFonts w:eastAsia="Calibri"/>
          <w:noProof/>
          <w:szCs w:val="24"/>
        </w:rPr>
        <w:t>specifies</w:t>
      </w:r>
      <w:r w:rsidRPr="000B434C">
        <w:rPr>
          <w:rFonts w:eastAsia="Calibri"/>
          <w:noProof/>
          <w:szCs w:val="24"/>
        </w:rPr>
        <w:t xml:space="preserve"> </w:t>
      </w:r>
      <w:r w:rsidR="00C97B7F">
        <w:rPr>
          <w:rFonts w:eastAsia="Calibri"/>
          <w:noProof/>
          <w:szCs w:val="24"/>
        </w:rPr>
        <w:t>which</w:t>
      </w:r>
      <w:r w:rsidRPr="000B434C">
        <w:rPr>
          <w:rFonts w:eastAsia="Calibri"/>
          <w:noProof/>
          <w:szCs w:val="24"/>
        </w:rPr>
        <w:t xml:space="preserve"> PSPs must comply with these provisions.</w:t>
      </w:r>
    </w:p>
    <w:p w:rsidR="00211B11" w:rsidRPr="000B434C" w:rsidRDefault="00211B11" w:rsidP="00211B11">
      <w:pPr>
        <w:rPr>
          <w:rFonts w:eastAsia="Calibri"/>
          <w:noProof/>
          <w:szCs w:val="24"/>
        </w:rPr>
      </w:pPr>
      <w:r w:rsidRPr="000B434C">
        <w:rPr>
          <w:rFonts w:eastAsia="Calibri"/>
          <w:noProof/>
          <w:szCs w:val="24"/>
        </w:rPr>
        <w:t>Four new definitions are introduced:</w:t>
      </w:r>
    </w:p>
    <w:p w:rsidR="00211B11" w:rsidRPr="000B434C" w:rsidRDefault="00211B11" w:rsidP="0072452A">
      <w:pPr>
        <w:pStyle w:val="Tiret0"/>
        <w:numPr>
          <w:ilvl w:val="0"/>
          <w:numId w:val="10"/>
        </w:numPr>
        <w:rPr>
          <w:noProof/>
        </w:rPr>
      </w:pPr>
      <w:r w:rsidRPr="000B434C">
        <w:rPr>
          <w:noProof/>
        </w:rPr>
        <w:t>‘instant credit transfer’, which set</w:t>
      </w:r>
      <w:r w:rsidR="00C97B7F">
        <w:rPr>
          <w:noProof/>
        </w:rPr>
        <w:t>s</w:t>
      </w:r>
      <w:r w:rsidRPr="000B434C">
        <w:rPr>
          <w:noProof/>
        </w:rPr>
        <w:t xml:space="preserve"> out key technical requirements and clarif</w:t>
      </w:r>
      <w:r w:rsidR="00886C1B">
        <w:rPr>
          <w:noProof/>
        </w:rPr>
        <w:t>ies</w:t>
      </w:r>
      <w:r w:rsidRPr="000B434C">
        <w:rPr>
          <w:noProof/>
        </w:rPr>
        <w:t xml:space="preserve"> that it is a sub-category of credit transfers in euro;</w:t>
      </w:r>
    </w:p>
    <w:p w:rsidR="00211B11" w:rsidRPr="000B434C" w:rsidRDefault="00211B11" w:rsidP="0072452A">
      <w:pPr>
        <w:pStyle w:val="Tiret0"/>
        <w:numPr>
          <w:ilvl w:val="0"/>
          <w:numId w:val="10"/>
        </w:numPr>
        <w:rPr>
          <w:noProof/>
        </w:rPr>
      </w:pPr>
      <w:r w:rsidRPr="000B434C">
        <w:rPr>
          <w:noProof/>
        </w:rPr>
        <w:t xml:space="preserve">‘PSU interface’ </w:t>
      </w:r>
      <w:r>
        <w:rPr>
          <w:noProof/>
        </w:rPr>
        <w:t>(</w:t>
      </w:r>
      <w:r w:rsidRPr="000B434C">
        <w:rPr>
          <w:rFonts w:eastAsia="Calibri"/>
          <w:noProof/>
        </w:rPr>
        <w:t>payment service user</w:t>
      </w:r>
      <w:r>
        <w:rPr>
          <w:rFonts w:eastAsia="Calibri"/>
          <w:noProof/>
        </w:rPr>
        <w:t xml:space="preserve"> interface),</w:t>
      </w:r>
      <w:r w:rsidRPr="000B434C">
        <w:rPr>
          <w:noProof/>
        </w:rPr>
        <w:t xml:space="preserve"> which further clarif</w:t>
      </w:r>
      <w:r w:rsidR="00886C1B">
        <w:rPr>
          <w:noProof/>
        </w:rPr>
        <w:t>ies</w:t>
      </w:r>
      <w:r w:rsidRPr="000B434C">
        <w:rPr>
          <w:noProof/>
        </w:rPr>
        <w:t xml:space="preserve"> provisions on the right of payment service users to initiate IPs through the same channels they use to initiate other credit transfers, and provisions on charges for corresponding credit transfer transactions in euro;</w:t>
      </w:r>
    </w:p>
    <w:p w:rsidR="00211B11" w:rsidRPr="000B434C" w:rsidRDefault="00211B11" w:rsidP="0072452A">
      <w:pPr>
        <w:pStyle w:val="Tiret0"/>
        <w:numPr>
          <w:ilvl w:val="0"/>
          <w:numId w:val="10"/>
        </w:numPr>
        <w:rPr>
          <w:noProof/>
        </w:rPr>
      </w:pPr>
      <w:r w:rsidRPr="000B434C">
        <w:rPr>
          <w:noProof/>
        </w:rPr>
        <w:t>‘payment account identifier’</w:t>
      </w:r>
      <w:r>
        <w:rPr>
          <w:noProof/>
        </w:rPr>
        <w:t>,</w:t>
      </w:r>
      <w:r w:rsidRPr="000B434C">
        <w:rPr>
          <w:noProof/>
        </w:rPr>
        <w:t xml:space="preserve"> which clarif</w:t>
      </w:r>
      <w:r w:rsidR="00181BB8">
        <w:rPr>
          <w:noProof/>
        </w:rPr>
        <w:t>ies</w:t>
      </w:r>
      <w:r w:rsidRPr="000B434C">
        <w:rPr>
          <w:noProof/>
        </w:rPr>
        <w:t xml:space="preserve"> that a ‘payment account identifier’ referred to in Article</w:t>
      </w:r>
      <w:r>
        <w:rPr>
          <w:noProof/>
        </w:rPr>
        <w:t> </w:t>
      </w:r>
      <w:r w:rsidRPr="000B434C">
        <w:rPr>
          <w:noProof/>
        </w:rPr>
        <w:t>5, point 1(a), of</w:t>
      </w:r>
      <w:r>
        <w:rPr>
          <w:noProof/>
        </w:rPr>
        <w:t xml:space="preserve"> the</w:t>
      </w:r>
      <w:r w:rsidRPr="000B434C">
        <w:rPr>
          <w:noProof/>
        </w:rPr>
        <w:t xml:space="preserve"> SEPA Regulation and in Article</w:t>
      </w:r>
      <w:r>
        <w:rPr>
          <w:noProof/>
        </w:rPr>
        <w:t> </w:t>
      </w:r>
      <w:r w:rsidRPr="000B434C">
        <w:rPr>
          <w:noProof/>
        </w:rPr>
        <w:t>5c of the present proposal</w:t>
      </w:r>
      <w:r>
        <w:rPr>
          <w:noProof/>
        </w:rPr>
        <w:t>,</w:t>
      </w:r>
      <w:r w:rsidRPr="000B434C">
        <w:rPr>
          <w:noProof/>
        </w:rPr>
        <w:t xml:space="preserve"> should be considered as the unique identifier referred to in Article</w:t>
      </w:r>
      <w:r>
        <w:rPr>
          <w:noProof/>
        </w:rPr>
        <w:t> </w:t>
      </w:r>
      <w:r w:rsidRPr="000B434C">
        <w:rPr>
          <w:noProof/>
        </w:rPr>
        <w:t>88 of PSD2 and defined in Article</w:t>
      </w:r>
      <w:r>
        <w:rPr>
          <w:noProof/>
        </w:rPr>
        <w:t> </w:t>
      </w:r>
      <w:r w:rsidRPr="000B434C">
        <w:rPr>
          <w:noProof/>
        </w:rPr>
        <w:t>4, point (33) of that Directive; and</w:t>
      </w:r>
    </w:p>
    <w:p w:rsidR="00211B11" w:rsidRPr="000B434C" w:rsidRDefault="00211B11" w:rsidP="0072452A">
      <w:pPr>
        <w:pStyle w:val="Tiret0"/>
        <w:numPr>
          <w:ilvl w:val="0"/>
          <w:numId w:val="10"/>
        </w:numPr>
        <w:rPr>
          <w:noProof/>
        </w:rPr>
      </w:pPr>
      <w:r w:rsidRPr="000B434C">
        <w:rPr>
          <w:noProof/>
        </w:rPr>
        <w:t>‘listed persons or entities’, which clarif</w:t>
      </w:r>
      <w:r w:rsidR="00181BB8">
        <w:rPr>
          <w:noProof/>
        </w:rPr>
        <w:t>ies</w:t>
      </w:r>
      <w:r w:rsidRPr="000B434C">
        <w:rPr>
          <w:noProof/>
        </w:rPr>
        <w:t xml:space="preserve"> that PSPs should follow the procedure laid </w:t>
      </w:r>
      <w:r>
        <w:rPr>
          <w:noProof/>
        </w:rPr>
        <w:t>down</w:t>
      </w:r>
      <w:r w:rsidRPr="000B434C">
        <w:rPr>
          <w:noProof/>
        </w:rPr>
        <w:t xml:space="preserve"> in Article</w:t>
      </w:r>
      <w:r>
        <w:rPr>
          <w:noProof/>
        </w:rPr>
        <w:t> </w:t>
      </w:r>
      <w:r w:rsidRPr="000B434C">
        <w:rPr>
          <w:noProof/>
        </w:rPr>
        <w:t xml:space="preserve">5d of the present proposal to ensure </w:t>
      </w:r>
      <w:r w:rsidR="00653E42">
        <w:rPr>
          <w:noProof/>
        </w:rPr>
        <w:t xml:space="preserve">that </w:t>
      </w:r>
      <w:r w:rsidRPr="000B434C">
        <w:rPr>
          <w:noProof/>
        </w:rPr>
        <w:t xml:space="preserve">they comply with EU sanctions </w:t>
      </w:r>
      <w:r>
        <w:rPr>
          <w:noProof/>
        </w:rPr>
        <w:t xml:space="preserve">involving </w:t>
      </w:r>
      <w:r w:rsidR="00653E42">
        <w:rPr>
          <w:noProof/>
        </w:rPr>
        <w:t xml:space="preserve">the obligation to </w:t>
      </w:r>
      <w:r w:rsidRPr="000B434C">
        <w:rPr>
          <w:noProof/>
        </w:rPr>
        <w:t>freez</w:t>
      </w:r>
      <w:r w:rsidR="00653E42">
        <w:rPr>
          <w:noProof/>
        </w:rPr>
        <w:t>e</w:t>
      </w:r>
      <w:r w:rsidRPr="000B434C">
        <w:rPr>
          <w:noProof/>
        </w:rPr>
        <w:t xml:space="preserve"> </w:t>
      </w:r>
      <w:r w:rsidR="00653E42">
        <w:rPr>
          <w:noProof/>
        </w:rPr>
        <w:t>the assets</w:t>
      </w:r>
      <w:r w:rsidRPr="000B434C">
        <w:rPr>
          <w:noProof/>
        </w:rPr>
        <w:t xml:space="preserve"> of individual persons or entities </w:t>
      </w:r>
      <w:r w:rsidR="00653E42">
        <w:rPr>
          <w:noProof/>
        </w:rPr>
        <w:t>and</w:t>
      </w:r>
      <w:r w:rsidRPr="000B434C">
        <w:rPr>
          <w:noProof/>
        </w:rPr>
        <w:t xml:space="preserve"> not </w:t>
      </w:r>
      <w:r w:rsidR="00653E42">
        <w:rPr>
          <w:noProof/>
        </w:rPr>
        <w:t xml:space="preserve">to </w:t>
      </w:r>
      <w:r w:rsidRPr="000B434C">
        <w:rPr>
          <w:noProof/>
        </w:rPr>
        <w:t>mak</w:t>
      </w:r>
      <w:r w:rsidR="00653E42">
        <w:rPr>
          <w:noProof/>
        </w:rPr>
        <w:t>e</w:t>
      </w:r>
      <w:r w:rsidRPr="000B434C">
        <w:rPr>
          <w:noProof/>
        </w:rPr>
        <w:t xml:space="preserve"> funds or economic resources directly or indirectly available to them.</w:t>
      </w:r>
    </w:p>
    <w:p w:rsidR="00211B11" w:rsidRPr="000B434C" w:rsidRDefault="00211B11" w:rsidP="00211B11">
      <w:pPr>
        <w:rPr>
          <w:rFonts w:eastAsia="Calibri"/>
          <w:noProof/>
          <w:szCs w:val="24"/>
        </w:rPr>
      </w:pPr>
      <w:r w:rsidRPr="000B434C">
        <w:rPr>
          <w:rFonts w:eastAsia="Calibri"/>
          <w:noProof/>
          <w:szCs w:val="24"/>
        </w:rPr>
        <w:t>Moreover, the existing definition of ‘retail payment system’ is amended to reflect various ways of settling retail payment transactions, including non-batch settlement (per individual transaction) and the round</w:t>
      </w:r>
      <w:r>
        <w:rPr>
          <w:rFonts w:eastAsia="Calibri"/>
          <w:noProof/>
          <w:szCs w:val="24"/>
        </w:rPr>
        <w:t>-</w:t>
      </w:r>
      <w:r w:rsidRPr="000B434C">
        <w:rPr>
          <w:rFonts w:eastAsia="Calibri"/>
          <w:noProof/>
          <w:szCs w:val="24"/>
        </w:rPr>
        <w:t>the</w:t>
      </w:r>
      <w:r>
        <w:rPr>
          <w:rFonts w:eastAsia="Calibri"/>
          <w:noProof/>
          <w:szCs w:val="24"/>
        </w:rPr>
        <w:t>-</w:t>
      </w:r>
      <w:r w:rsidRPr="000B434C">
        <w:rPr>
          <w:rFonts w:eastAsia="Calibri"/>
          <w:noProof/>
          <w:szCs w:val="24"/>
        </w:rPr>
        <w:t xml:space="preserve">clock execution of </w:t>
      </w:r>
      <w:r w:rsidR="005C44C0">
        <w:rPr>
          <w:rFonts w:eastAsia="Calibri"/>
          <w:noProof/>
          <w:szCs w:val="24"/>
        </w:rPr>
        <w:t>IPs</w:t>
      </w:r>
      <w:r w:rsidRPr="000B434C">
        <w:rPr>
          <w:rFonts w:eastAsia="Calibri"/>
          <w:noProof/>
          <w:szCs w:val="24"/>
        </w:rPr>
        <w:t xml:space="preserve"> in real time.</w:t>
      </w:r>
    </w:p>
    <w:p w:rsidR="00211B11" w:rsidRPr="000B434C" w:rsidRDefault="00211B11" w:rsidP="00211B11">
      <w:pPr>
        <w:rPr>
          <w:rFonts w:eastAsia="Calibri"/>
          <w:b/>
          <w:noProof/>
        </w:rPr>
      </w:pPr>
      <w:r w:rsidRPr="000B434C">
        <w:rPr>
          <w:rFonts w:eastAsia="Calibri"/>
          <w:b/>
          <w:noProof/>
        </w:rPr>
        <w:t>Mandatory provision of instant credit transfers in euro (Article</w:t>
      </w:r>
      <w:r>
        <w:rPr>
          <w:rFonts w:eastAsia="Calibri"/>
          <w:b/>
          <w:noProof/>
        </w:rPr>
        <w:t> </w:t>
      </w:r>
      <w:r w:rsidRPr="000B434C">
        <w:rPr>
          <w:rFonts w:eastAsia="Calibri"/>
          <w:b/>
          <w:noProof/>
        </w:rPr>
        <w:t>5a)</w:t>
      </w:r>
    </w:p>
    <w:p w:rsidR="003B691A" w:rsidRPr="000B434C" w:rsidRDefault="00211B11" w:rsidP="003B691A">
      <w:pPr>
        <w:rPr>
          <w:rFonts w:eastAsia="Calibri"/>
          <w:noProof/>
        </w:rPr>
      </w:pPr>
      <w:r w:rsidRPr="000B434C">
        <w:rPr>
          <w:rFonts w:eastAsia="Calibri"/>
          <w:noProof/>
        </w:rPr>
        <w:t xml:space="preserve">PSPs </w:t>
      </w:r>
      <w:r>
        <w:rPr>
          <w:rFonts w:eastAsia="Calibri"/>
          <w:noProof/>
        </w:rPr>
        <w:t>that</w:t>
      </w:r>
      <w:r w:rsidRPr="000B434C">
        <w:rPr>
          <w:rFonts w:eastAsia="Calibri"/>
          <w:noProof/>
        </w:rPr>
        <w:t xml:space="preserve"> </w:t>
      </w:r>
      <w:r>
        <w:rPr>
          <w:rFonts w:eastAsia="Calibri"/>
          <w:noProof/>
        </w:rPr>
        <w:t>provide</w:t>
      </w:r>
      <w:r w:rsidRPr="000B434C">
        <w:rPr>
          <w:rFonts w:eastAsia="Calibri"/>
          <w:noProof/>
        </w:rPr>
        <w:t xml:space="preserve"> credit transfers in euro will be required to offer the service of sending and receiving IPs in euro. A number of technical specifications are laid down for this service, including the </w:t>
      </w:r>
      <w:r>
        <w:rPr>
          <w:rFonts w:eastAsia="Calibri"/>
          <w:noProof/>
        </w:rPr>
        <w:t>requirement</w:t>
      </w:r>
      <w:r w:rsidRPr="000B434C">
        <w:rPr>
          <w:rFonts w:eastAsia="Calibri"/>
          <w:noProof/>
        </w:rPr>
        <w:t xml:space="preserve"> to receive payment orders and be reachable for </w:t>
      </w:r>
      <w:r w:rsidR="005C44C0">
        <w:rPr>
          <w:rFonts w:eastAsia="Calibri"/>
          <w:noProof/>
        </w:rPr>
        <w:t>IPs</w:t>
      </w:r>
      <w:r w:rsidRPr="000B434C">
        <w:rPr>
          <w:rFonts w:eastAsia="Calibri"/>
          <w:noProof/>
        </w:rPr>
        <w:t xml:space="preserve"> 24 hours a day, 365 days a year, without any possibility to set up cut</w:t>
      </w:r>
      <w:r>
        <w:rPr>
          <w:rFonts w:eastAsia="Calibri"/>
          <w:noProof/>
        </w:rPr>
        <w:t>-</w:t>
      </w:r>
      <w:r w:rsidRPr="000B434C">
        <w:rPr>
          <w:rFonts w:eastAsia="Calibri"/>
          <w:noProof/>
        </w:rPr>
        <w:t xml:space="preserve">off times or limit the processing of </w:t>
      </w:r>
      <w:r w:rsidR="005C44C0">
        <w:rPr>
          <w:rFonts w:eastAsia="Calibri"/>
          <w:noProof/>
        </w:rPr>
        <w:t>IPs</w:t>
      </w:r>
      <w:r w:rsidRPr="000B434C">
        <w:rPr>
          <w:rFonts w:eastAsia="Calibri"/>
          <w:noProof/>
        </w:rPr>
        <w:t xml:space="preserve"> to business days only. </w:t>
      </w:r>
      <w:r w:rsidR="003B691A" w:rsidRPr="000B434C">
        <w:rPr>
          <w:rFonts w:eastAsia="Calibri"/>
          <w:noProof/>
        </w:rPr>
        <w:t>Payment institutions and electronic money institutions are excluded from this requirement given their restricted access to payment systems.</w:t>
      </w:r>
    </w:p>
    <w:p w:rsidR="003B691A" w:rsidRDefault="003B691A" w:rsidP="00211B11">
      <w:pPr>
        <w:rPr>
          <w:rFonts w:eastAsia="Calibri"/>
          <w:noProof/>
        </w:rPr>
      </w:pPr>
    </w:p>
    <w:p w:rsidR="00211B11" w:rsidRPr="000B434C" w:rsidRDefault="00211B11" w:rsidP="00211B11">
      <w:pPr>
        <w:rPr>
          <w:rFonts w:eastAsia="Calibri"/>
          <w:noProof/>
        </w:rPr>
      </w:pPr>
      <w:r w:rsidRPr="000B434C">
        <w:rPr>
          <w:rFonts w:eastAsia="Calibri"/>
          <w:noProof/>
        </w:rPr>
        <w:t xml:space="preserve">Customer (PSU) interfaces via which orders for credit transfers may be submitted must also allow the submitting of orders for IPs. Where a PSP </w:t>
      </w:r>
      <w:r>
        <w:rPr>
          <w:rFonts w:eastAsia="Calibri"/>
          <w:noProof/>
        </w:rPr>
        <w:t xml:space="preserve">provides the option of </w:t>
      </w:r>
      <w:r w:rsidRPr="000B434C">
        <w:rPr>
          <w:rFonts w:eastAsia="Calibri"/>
          <w:noProof/>
        </w:rPr>
        <w:t>submit</w:t>
      </w:r>
      <w:r>
        <w:rPr>
          <w:rFonts w:eastAsia="Calibri"/>
          <w:noProof/>
        </w:rPr>
        <w:t>ting</w:t>
      </w:r>
      <w:r w:rsidRPr="000B434C">
        <w:rPr>
          <w:rFonts w:eastAsia="Calibri"/>
          <w:noProof/>
        </w:rPr>
        <w:t xml:space="preserve"> multiple payment orders for credit transfers packaged </w:t>
      </w:r>
      <w:r w:rsidRPr="000B434C">
        <w:rPr>
          <w:rFonts w:eastAsia="Calibri"/>
          <w:noProof/>
          <w:szCs w:val="24"/>
        </w:rPr>
        <w:t>together in bulk</w:t>
      </w:r>
      <w:r w:rsidRPr="000B434C">
        <w:rPr>
          <w:rFonts w:eastAsia="Calibri"/>
          <w:noProof/>
        </w:rPr>
        <w:t>, it must offer the same service for euro IPs</w:t>
      </w:r>
      <w:r w:rsidRPr="000B434C">
        <w:rPr>
          <w:rFonts w:eastAsia="Calibri"/>
          <w:noProof/>
          <w:szCs w:val="24"/>
        </w:rPr>
        <w:t>.</w:t>
      </w:r>
    </w:p>
    <w:p w:rsidR="00211B11" w:rsidRPr="000B434C" w:rsidRDefault="00211B11" w:rsidP="00211B11">
      <w:pPr>
        <w:rPr>
          <w:rFonts w:eastAsia="Calibri"/>
          <w:noProof/>
          <w:szCs w:val="24"/>
        </w:rPr>
      </w:pPr>
      <w:r w:rsidRPr="000B434C">
        <w:rPr>
          <w:rFonts w:eastAsia="Calibri"/>
          <w:noProof/>
        </w:rPr>
        <w:t xml:space="preserve">The </w:t>
      </w:r>
      <w:r>
        <w:rPr>
          <w:rFonts w:eastAsia="Calibri"/>
          <w:noProof/>
        </w:rPr>
        <w:t xml:space="preserve">introduction of </w:t>
      </w:r>
      <w:r w:rsidRPr="000B434C">
        <w:rPr>
          <w:rFonts w:eastAsia="Calibri"/>
          <w:noProof/>
        </w:rPr>
        <w:t xml:space="preserve">these requirements </w:t>
      </w:r>
      <w:r>
        <w:rPr>
          <w:rFonts w:eastAsia="Calibri"/>
          <w:noProof/>
        </w:rPr>
        <w:t xml:space="preserve">will be </w:t>
      </w:r>
      <w:r w:rsidRPr="000B434C">
        <w:rPr>
          <w:rFonts w:eastAsia="Calibri"/>
          <w:noProof/>
        </w:rPr>
        <w:t>staggered</w:t>
      </w:r>
      <w:r>
        <w:rPr>
          <w:rFonts w:eastAsia="Calibri"/>
          <w:noProof/>
        </w:rPr>
        <w:t xml:space="preserve">, with four separate dates </w:t>
      </w:r>
      <w:r w:rsidRPr="000B434C">
        <w:rPr>
          <w:rFonts w:eastAsia="Calibri"/>
          <w:noProof/>
        </w:rPr>
        <w:t xml:space="preserve">as </w:t>
      </w:r>
      <w:r w:rsidRPr="000B434C">
        <w:rPr>
          <w:rFonts w:eastAsia="Calibri"/>
          <w:noProof/>
          <w:szCs w:val="24"/>
        </w:rPr>
        <w:t>follows:</w:t>
      </w:r>
    </w:p>
    <w:p w:rsidR="00211B11" w:rsidRPr="000B434C" w:rsidRDefault="00211B11" w:rsidP="0072452A">
      <w:pPr>
        <w:pStyle w:val="Tiret0"/>
        <w:numPr>
          <w:ilvl w:val="0"/>
          <w:numId w:val="10"/>
        </w:numPr>
        <w:rPr>
          <w:noProof/>
          <w:u w:color="000000"/>
          <w:bdr w:val="nil"/>
          <w:lang w:eastAsia="en-IE"/>
        </w:rPr>
      </w:pPr>
      <w:r>
        <w:rPr>
          <w:noProof/>
          <w:u w:color="000000"/>
          <w:bdr w:val="nil"/>
          <w:lang w:eastAsia="en-IE"/>
        </w:rPr>
        <w:t>r</w:t>
      </w:r>
      <w:r w:rsidRPr="000B434C">
        <w:rPr>
          <w:noProof/>
          <w:u w:color="000000"/>
          <w:bdr w:val="nil"/>
          <w:lang w:eastAsia="en-IE"/>
        </w:rPr>
        <w:t>eceiving of IPs in euro for PSPs in the euro area: 6</w:t>
      </w:r>
      <w:r>
        <w:rPr>
          <w:noProof/>
          <w:u w:color="000000"/>
          <w:bdr w:val="nil"/>
          <w:lang w:eastAsia="en-IE"/>
        </w:rPr>
        <w:t> </w:t>
      </w:r>
      <w:r w:rsidRPr="000B434C">
        <w:rPr>
          <w:noProof/>
          <w:u w:color="000000"/>
          <w:bdr w:val="nil"/>
          <w:lang w:eastAsia="en-IE"/>
        </w:rPr>
        <w:t>months after entry into force</w:t>
      </w:r>
      <w:r>
        <w:rPr>
          <w:noProof/>
          <w:u w:color="000000"/>
          <w:bdr w:val="nil"/>
          <w:lang w:eastAsia="en-IE"/>
        </w:rPr>
        <w:t xml:space="preserve"> of the Regulation</w:t>
      </w:r>
      <w:r w:rsidRPr="000B434C">
        <w:rPr>
          <w:noProof/>
          <w:u w:color="000000"/>
          <w:bdr w:val="nil"/>
          <w:lang w:eastAsia="en-IE"/>
        </w:rPr>
        <w:t>;</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sending of IPs in euro for PSPs in the euro area: 12</w:t>
      </w:r>
      <w:r>
        <w:rPr>
          <w:noProof/>
          <w:u w:color="000000"/>
          <w:bdr w:val="nil"/>
          <w:lang w:eastAsia="en-IE"/>
        </w:rPr>
        <w:t> </w:t>
      </w:r>
      <w:r w:rsidRPr="000B434C">
        <w:rPr>
          <w:noProof/>
          <w:u w:color="000000"/>
          <w:bdr w:val="nil"/>
          <w:lang w:eastAsia="en-IE"/>
        </w:rPr>
        <w:t>months after entry into force;</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receiving of IPs in euro for PSPs outside the euro area: 30</w:t>
      </w:r>
      <w:r>
        <w:rPr>
          <w:noProof/>
          <w:u w:color="000000"/>
          <w:bdr w:val="nil"/>
          <w:lang w:eastAsia="en-IE"/>
        </w:rPr>
        <w:t> </w:t>
      </w:r>
      <w:r w:rsidRPr="000B434C">
        <w:rPr>
          <w:noProof/>
          <w:u w:color="000000"/>
          <w:bdr w:val="nil"/>
          <w:lang w:eastAsia="en-IE"/>
        </w:rPr>
        <w:t>months after entry into force;</w:t>
      </w:r>
    </w:p>
    <w:p w:rsidR="00211B11" w:rsidRPr="000B434C" w:rsidRDefault="00211B11" w:rsidP="0072452A">
      <w:pPr>
        <w:pStyle w:val="Tiret0"/>
        <w:numPr>
          <w:ilvl w:val="0"/>
          <w:numId w:val="10"/>
        </w:numPr>
        <w:rPr>
          <w:noProof/>
          <w:u w:color="000000"/>
          <w:bdr w:val="nil"/>
          <w:lang w:eastAsia="en-IE"/>
        </w:rPr>
      </w:pPr>
      <w:r w:rsidRPr="000B434C">
        <w:rPr>
          <w:noProof/>
          <w:u w:color="000000"/>
          <w:bdr w:val="nil"/>
          <w:lang w:eastAsia="en-IE"/>
        </w:rPr>
        <w:t>sending of IPs in euro for PSPs outside the Euro area: 36</w:t>
      </w:r>
      <w:r>
        <w:rPr>
          <w:noProof/>
          <w:u w:color="000000"/>
          <w:bdr w:val="nil"/>
          <w:lang w:eastAsia="en-IE"/>
        </w:rPr>
        <w:t> </w:t>
      </w:r>
      <w:r w:rsidRPr="000B434C">
        <w:rPr>
          <w:noProof/>
          <w:u w:color="000000"/>
          <w:bdr w:val="nil"/>
          <w:lang w:eastAsia="en-IE"/>
        </w:rPr>
        <w:t>months after entry into force.</w:t>
      </w:r>
    </w:p>
    <w:p w:rsidR="00211B11" w:rsidRPr="000B434C" w:rsidRDefault="00211B11" w:rsidP="00211B11">
      <w:pPr>
        <w:rPr>
          <w:rFonts w:eastAsia="Calibri"/>
          <w:b/>
          <w:noProof/>
        </w:rPr>
      </w:pPr>
      <w:r w:rsidRPr="000B434C">
        <w:rPr>
          <w:rFonts w:eastAsia="Calibri"/>
          <w:b/>
          <w:noProof/>
        </w:rPr>
        <w:t>Charges for IPs (Article</w:t>
      </w:r>
      <w:r>
        <w:rPr>
          <w:rFonts w:eastAsia="Calibri"/>
          <w:b/>
          <w:noProof/>
        </w:rPr>
        <w:t> </w:t>
      </w:r>
      <w:r w:rsidRPr="000B434C">
        <w:rPr>
          <w:rFonts w:eastAsia="Calibri"/>
          <w:b/>
          <w:noProof/>
        </w:rPr>
        <w:t>5b and amendment to Regulation (EU) 2021/1230)</w:t>
      </w:r>
    </w:p>
    <w:p w:rsidR="00211B11" w:rsidRPr="000B434C" w:rsidRDefault="00211B11" w:rsidP="00211B11">
      <w:pPr>
        <w:rPr>
          <w:rFonts w:eastAsia="Calibri"/>
          <w:noProof/>
        </w:rPr>
      </w:pPr>
      <w:r w:rsidRPr="000B434C">
        <w:rPr>
          <w:rFonts w:eastAsia="Calibri"/>
          <w:noProof/>
        </w:rPr>
        <w:t xml:space="preserve">Charges applied by PSPs for sending or receiving </w:t>
      </w:r>
      <w:r w:rsidR="003B691A">
        <w:rPr>
          <w:rFonts w:eastAsia="Calibri"/>
          <w:noProof/>
        </w:rPr>
        <w:t xml:space="preserve">euro </w:t>
      </w:r>
      <w:r w:rsidRPr="000B434C">
        <w:rPr>
          <w:rFonts w:eastAsia="Calibri"/>
          <w:noProof/>
        </w:rPr>
        <w:t xml:space="preserve">IPs </w:t>
      </w:r>
      <w:r w:rsidR="00181BB8">
        <w:rPr>
          <w:rFonts w:eastAsia="Calibri"/>
          <w:noProof/>
        </w:rPr>
        <w:t>should</w:t>
      </w:r>
      <w:r w:rsidR="00181BB8" w:rsidRPr="000B434C">
        <w:rPr>
          <w:rFonts w:eastAsia="Calibri"/>
          <w:noProof/>
        </w:rPr>
        <w:t xml:space="preserve"> </w:t>
      </w:r>
      <w:r w:rsidRPr="000B434C">
        <w:rPr>
          <w:rFonts w:eastAsia="Calibri"/>
          <w:noProof/>
        </w:rPr>
        <w:t xml:space="preserve">be </w:t>
      </w:r>
      <w:r>
        <w:rPr>
          <w:rFonts w:eastAsia="Calibri"/>
          <w:noProof/>
        </w:rPr>
        <w:t xml:space="preserve">no </w:t>
      </w:r>
      <w:r w:rsidRPr="000B434C">
        <w:rPr>
          <w:rFonts w:eastAsia="Calibri"/>
          <w:noProof/>
        </w:rPr>
        <w:t xml:space="preserve">higher than the same PSP’s charges for sending or receiving a </w:t>
      </w:r>
      <w:r>
        <w:rPr>
          <w:rFonts w:eastAsia="Calibri"/>
          <w:noProof/>
        </w:rPr>
        <w:t xml:space="preserve">non-instant </w:t>
      </w:r>
      <w:r w:rsidRPr="000B434C">
        <w:rPr>
          <w:rFonts w:eastAsia="Calibri"/>
          <w:noProof/>
        </w:rPr>
        <w:t>credit transfer</w:t>
      </w:r>
      <w:r w:rsidR="003B691A">
        <w:rPr>
          <w:rFonts w:eastAsia="Calibri"/>
          <w:noProof/>
        </w:rPr>
        <w:t xml:space="preserve"> in euro</w:t>
      </w:r>
      <w:r w:rsidRPr="000B434C">
        <w:rPr>
          <w:rFonts w:eastAsia="Calibri"/>
          <w:noProof/>
        </w:rPr>
        <w:t xml:space="preserve">. This requirement </w:t>
      </w:r>
      <w:r>
        <w:rPr>
          <w:rFonts w:eastAsia="Calibri"/>
          <w:noProof/>
        </w:rPr>
        <w:t xml:space="preserve">will </w:t>
      </w:r>
      <w:r w:rsidRPr="000B434C">
        <w:rPr>
          <w:rFonts w:eastAsia="Calibri"/>
          <w:noProof/>
        </w:rPr>
        <w:t>appl</w:t>
      </w:r>
      <w:r>
        <w:rPr>
          <w:rFonts w:eastAsia="Calibri"/>
          <w:noProof/>
        </w:rPr>
        <w:t>y</w:t>
      </w:r>
      <w:r w:rsidRPr="000B434C">
        <w:rPr>
          <w:rFonts w:eastAsia="Calibri"/>
          <w:noProof/>
        </w:rPr>
        <w:t xml:space="preserve"> to all PSPs offering euro IPs, including those not required to offer IPs (such as payment institutions and electronic money institutions). It </w:t>
      </w:r>
      <w:r>
        <w:rPr>
          <w:rFonts w:eastAsia="Calibri"/>
          <w:noProof/>
        </w:rPr>
        <w:t xml:space="preserve">will </w:t>
      </w:r>
      <w:r w:rsidRPr="000B434C">
        <w:rPr>
          <w:rFonts w:eastAsia="Calibri"/>
          <w:noProof/>
        </w:rPr>
        <w:t>appl</w:t>
      </w:r>
      <w:r>
        <w:rPr>
          <w:rFonts w:eastAsia="Calibri"/>
          <w:noProof/>
        </w:rPr>
        <w:t>y</w:t>
      </w:r>
      <w:r w:rsidRPr="000B434C">
        <w:rPr>
          <w:rFonts w:eastAsia="Calibri"/>
          <w:noProof/>
        </w:rPr>
        <w:t xml:space="preserve"> for PSPs in the euro area as from 6</w:t>
      </w:r>
      <w:r>
        <w:rPr>
          <w:rFonts w:eastAsia="Calibri"/>
          <w:noProof/>
        </w:rPr>
        <w:t> </w:t>
      </w:r>
      <w:r w:rsidRPr="000B434C">
        <w:rPr>
          <w:rFonts w:eastAsia="Calibri"/>
          <w:noProof/>
        </w:rPr>
        <w:t>months after entry into force</w:t>
      </w:r>
      <w:r>
        <w:rPr>
          <w:rFonts w:eastAsia="Calibri"/>
          <w:noProof/>
        </w:rPr>
        <w:t xml:space="preserve"> of the Regulation</w:t>
      </w:r>
      <w:r w:rsidRPr="000B434C">
        <w:rPr>
          <w:rFonts w:eastAsia="Calibri"/>
          <w:noProof/>
        </w:rPr>
        <w:t>, and for PSPs outside the euro area as from 30</w:t>
      </w:r>
      <w:r>
        <w:rPr>
          <w:rFonts w:eastAsia="Calibri"/>
          <w:noProof/>
        </w:rPr>
        <w:t> </w:t>
      </w:r>
      <w:r w:rsidRPr="000B434C">
        <w:rPr>
          <w:rFonts w:eastAsia="Calibri"/>
          <w:noProof/>
        </w:rPr>
        <w:t>months after entry into force.</w:t>
      </w:r>
    </w:p>
    <w:p w:rsidR="00211B11" w:rsidRPr="000B434C" w:rsidRDefault="00211B11" w:rsidP="00211B11">
      <w:pPr>
        <w:rPr>
          <w:rFonts w:eastAsia="Calibri"/>
          <w:noProof/>
        </w:rPr>
      </w:pPr>
      <w:r w:rsidRPr="000B434C">
        <w:rPr>
          <w:rFonts w:eastAsia="Calibri"/>
          <w:noProof/>
        </w:rPr>
        <w:t xml:space="preserve">For certain euro IP transactions, namely cross-border euro IPs executed by a PSP located in a non-euro area Member State, the application of Regulation (EU) 2021/1230 on cross-border payments could lead to a higher charge than </w:t>
      </w:r>
      <w:r w:rsidR="003B691A">
        <w:rPr>
          <w:rFonts w:eastAsia="Calibri"/>
          <w:noProof/>
        </w:rPr>
        <w:t xml:space="preserve">required by </w:t>
      </w:r>
      <w:r w:rsidRPr="000B434C">
        <w:rPr>
          <w:rFonts w:eastAsia="Calibri"/>
          <w:noProof/>
        </w:rPr>
        <w:t>this proposal.</w:t>
      </w:r>
      <w:r w:rsidRPr="000B434C">
        <w:rPr>
          <w:noProof/>
        </w:rPr>
        <w:t xml:space="preserve"> Article</w:t>
      </w:r>
      <w:r>
        <w:rPr>
          <w:noProof/>
        </w:rPr>
        <w:t> </w:t>
      </w:r>
      <w:r w:rsidRPr="000B434C">
        <w:rPr>
          <w:noProof/>
        </w:rPr>
        <w:t xml:space="preserve">3(1) of </w:t>
      </w:r>
      <w:r w:rsidRPr="000B434C">
        <w:rPr>
          <w:rFonts w:eastAsia="Calibri"/>
          <w:noProof/>
        </w:rPr>
        <w:t xml:space="preserve">Regulation (EU) 2021/1230 </w:t>
      </w:r>
      <w:r w:rsidRPr="000B434C">
        <w:rPr>
          <w:noProof/>
        </w:rPr>
        <w:t>provides that</w:t>
      </w:r>
      <w:r>
        <w:rPr>
          <w:noProof/>
        </w:rPr>
        <w:t>,</w:t>
      </w:r>
      <w:r w:rsidRPr="000B434C">
        <w:rPr>
          <w:noProof/>
        </w:rPr>
        <w:t xml:space="preserve"> ‘</w:t>
      </w:r>
      <w:r w:rsidRPr="008278AD">
        <w:rPr>
          <w:iCs/>
          <w:noProof/>
        </w:rPr>
        <w:t>Charges levied by a payment se</w:t>
      </w:r>
      <w:r w:rsidRPr="008111D4">
        <w:rPr>
          <w:iCs/>
          <w:noProof/>
        </w:rPr>
        <w:t xml:space="preserve">rvice provider on a payment service user in respect of cross-border payments in euro shall be the same as the charges levied by that payment service provider for corresponding national payments of the same value in the national currency of the Member State in which the payment service provider of the payment service user is </w:t>
      </w:r>
      <w:r w:rsidRPr="008278AD">
        <w:rPr>
          <w:iCs/>
          <w:noProof/>
        </w:rPr>
        <w:t>located</w:t>
      </w:r>
      <w:r w:rsidRPr="000B434C">
        <w:rPr>
          <w:iCs/>
          <w:noProof/>
        </w:rPr>
        <w:t>’</w:t>
      </w:r>
      <w:r w:rsidRPr="000B434C">
        <w:rPr>
          <w:rFonts w:eastAsia="Calibri"/>
          <w:i/>
          <w:noProof/>
        </w:rPr>
        <w:t>.</w:t>
      </w:r>
      <w:r w:rsidRPr="000B434C">
        <w:rPr>
          <w:rFonts w:eastAsia="Calibri"/>
          <w:noProof/>
        </w:rPr>
        <w:t xml:space="preserve"> A cross-border euro IP and a domestic IP in the national currency would be such corresponding payments.</w:t>
      </w:r>
    </w:p>
    <w:p w:rsidR="00211B11" w:rsidRPr="000B434C" w:rsidRDefault="00211B11" w:rsidP="00211B11">
      <w:pPr>
        <w:rPr>
          <w:noProof/>
        </w:rPr>
      </w:pPr>
      <w:r w:rsidRPr="000B434C">
        <w:rPr>
          <w:rFonts w:eastAsia="Calibri"/>
          <w:noProof/>
        </w:rPr>
        <w:t>When pricing a cross-border euro IP, a PSP located outside the euro area would be obliged, under the current proposal, to charge either the same</w:t>
      </w:r>
      <w:r>
        <w:rPr>
          <w:rFonts w:eastAsia="Calibri"/>
          <w:noProof/>
        </w:rPr>
        <w:t xml:space="preserve"> as</w:t>
      </w:r>
      <w:r w:rsidRPr="000B434C">
        <w:rPr>
          <w:rFonts w:eastAsia="Calibri"/>
          <w:noProof/>
        </w:rPr>
        <w:t xml:space="preserve"> or less than it charges for a non-instant cross-border euro credit transfer, and, under the Regulation on </w:t>
      </w:r>
      <w:r>
        <w:rPr>
          <w:rFonts w:eastAsia="Calibri"/>
          <w:noProof/>
        </w:rPr>
        <w:t>cross-border payments</w:t>
      </w:r>
      <w:r w:rsidRPr="000B434C">
        <w:rPr>
          <w:rFonts w:eastAsia="Calibri"/>
          <w:noProof/>
        </w:rPr>
        <w:t xml:space="preserve">, exactly the same as for a domestic IP denominated in the national currency. </w:t>
      </w:r>
      <w:r w:rsidRPr="000B434C">
        <w:rPr>
          <w:noProof/>
        </w:rPr>
        <w:t xml:space="preserve">However, compliance with both requirements would not be possible where such a PSP currently applies higher charges for a domestic IP in </w:t>
      </w:r>
      <w:r w:rsidR="003B691A">
        <w:rPr>
          <w:noProof/>
        </w:rPr>
        <w:t xml:space="preserve">the </w:t>
      </w:r>
      <w:r w:rsidRPr="000B434C">
        <w:rPr>
          <w:noProof/>
        </w:rPr>
        <w:t>national currency than for cross-border non-instant credit transfers in euro.</w:t>
      </w:r>
    </w:p>
    <w:p w:rsidR="00211B11" w:rsidRDefault="00211B11" w:rsidP="00211B11">
      <w:pPr>
        <w:rPr>
          <w:rFonts w:eastAsia="Calibri"/>
          <w:noProof/>
        </w:rPr>
      </w:pPr>
      <w:r w:rsidRPr="000B434C">
        <w:rPr>
          <w:noProof/>
        </w:rPr>
        <w:t xml:space="preserve">In order to </w:t>
      </w:r>
      <w:r w:rsidR="00E2228E">
        <w:rPr>
          <w:noProof/>
        </w:rPr>
        <w:t>fully achieve</w:t>
      </w:r>
      <w:r w:rsidRPr="000B434C">
        <w:rPr>
          <w:noProof/>
        </w:rPr>
        <w:t xml:space="preserve"> the objective to steer PSUs towards </w:t>
      </w:r>
      <w:r w:rsidR="003B691A">
        <w:rPr>
          <w:noProof/>
        </w:rPr>
        <w:t>IPs</w:t>
      </w:r>
      <w:r w:rsidRPr="000B434C">
        <w:rPr>
          <w:noProof/>
        </w:rPr>
        <w:t xml:space="preserve"> in euro, </w:t>
      </w:r>
      <w:r w:rsidRPr="000B434C">
        <w:rPr>
          <w:rFonts w:eastAsia="Calibri"/>
          <w:noProof/>
        </w:rPr>
        <w:t xml:space="preserve">Regulation (EU) 2021/1230 is amended to ensure that a cross-border euro IP should be priced </w:t>
      </w:r>
      <w:r>
        <w:rPr>
          <w:rFonts w:eastAsia="Calibri"/>
          <w:noProof/>
        </w:rPr>
        <w:t xml:space="preserve">at </w:t>
      </w:r>
      <w:r w:rsidRPr="000B434C">
        <w:rPr>
          <w:rFonts w:eastAsia="Calibri"/>
          <w:noProof/>
        </w:rPr>
        <w:t xml:space="preserve">the same or </w:t>
      </w:r>
      <w:r>
        <w:rPr>
          <w:rFonts w:eastAsia="Calibri"/>
          <w:noProof/>
        </w:rPr>
        <w:t xml:space="preserve">a </w:t>
      </w:r>
      <w:r w:rsidRPr="000B434C">
        <w:rPr>
          <w:rFonts w:eastAsia="Calibri"/>
          <w:noProof/>
        </w:rPr>
        <w:t xml:space="preserve">lower </w:t>
      </w:r>
      <w:r>
        <w:rPr>
          <w:rFonts w:eastAsia="Calibri"/>
          <w:noProof/>
        </w:rPr>
        <w:t xml:space="preserve">level </w:t>
      </w:r>
      <w:r w:rsidRPr="000B434C">
        <w:rPr>
          <w:rFonts w:eastAsia="Calibri"/>
          <w:noProof/>
        </w:rPr>
        <w:t>than a corresponding regular cross-border euro credit transfer, even if this means that the price</w:t>
      </w:r>
      <w:r w:rsidR="00B84FEC">
        <w:rPr>
          <w:rFonts w:eastAsia="Calibri"/>
          <w:noProof/>
        </w:rPr>
        <w:t xml:space="preserve"> for such cross-border euro IP</w:t>
      </w:r>
      <w:r w:rsidRPr="000B434C">
        <w:rPr>
          <w:rFonts w:eastAsia="Calibri"/>
          <w:noProof/>
        </w:rPr>
        <w:t xml:space="preserve"> is not the same as the price for a corresponding domestic IP in </w:t>
      </w:r>
      <w:r w:rsidR="003B691A">
        <w:rPr>
          <w:rFonts w:eastAsia="Calibri"/>
          <w:noProof/>
        </w:rPr>
        <w:t xml:space="preserve">the </w:t>
      </w:r>
      <w:r w:rsidRPr="000B434C">
        <w:rPr>
          <w:rFonts w:eastAsia="Calibri"/>
          <w:noProof/>
        </w:rPr>
        <w:t>national currency.</w:t>
      </w:r>
    </w:p>
    <w:p w:rsidR="002A74EE" w:rsidRDefault="00211B11" w:rsidP="00211B11">
      <w:pPr>
        <w:rPr>
          <w:rFonts w:eastAsia="Calibri"/>
          <w:b/>
          <w:noProof/>
        </w:rPr>
      </w:pPr>
      <w:r w:rsidRPr="000B434C">
        <w:rPr>
          <w:rFonts w:eastAsia="Calibri"/>
          <w:b/>
          <w:noProof/>
        </w:rPr>
        <w:t>Discrepancies between the name and payment account identifier of a payee (Article</w:t>
      </w:r>
      <w:r>
        <w:rPr>
          <w:rFonts w:eastAsia="Calibri"/>
          <w:b/>
          <w:noProof/>
        </w:rPr>
        <w:t> </w:t>
      </w:r>
      <w:r w:rsidRPr="000B434C">
        <w:rPr>
          <w:rFonts w:eastAsia="Calibri"/>
          <w:b/>
          <w:noProof/>
        </w:rPr>
        <w:t>5c)</w:t>
      </w:r>
    </w:p>
    <w:p w:rsidR="00211B11" w:rsidRPr="000B434C" w:rsidRDefault="00211B11" w:rsidP="00211B11">
      <w:pPr>
        <w:rPr>
          <w:rFonts w:eastAsia="Calibri"/>
          <w:noProof/>
        </w:rPr>
      </w:pPr>
      <w:r w:rsidRPr="000B434C">
        <w:rPr>
          <w:rFonts w:eastAsia="Calibri"/>
          <w:noProof/>
        </w:rPr>
        <w:t xml:space="preserve">All PSPs offering the service of sending of euro IPs (including those not under an obligation to do so) are required to </w:t>
      </w:r>
      <w:r>
        <w:rPr>
          <w:rFonts w:eastAsia="Calibri"/>
          <w:noProof/>
        </w:rPr>
        <w:t xml:space="preserve">provide </w:t>
      </w:r>
      <w:r w:rsidRPr="000B434C">
        <w:rPr>
          <w:rFonts w:eastAsia="Calibri"/>
          <w:noProof/>
        </w:rPr>
        <w:t xml:space="preserve">their PSUs </w:t>
      </w:r>
      <w:r>
        <w:rPr>
          <w:rFonts w:eastAsia="Calibri"/>
          <w:noProof/>
        </w:rPr>
        <w:t xml:space="preserve">with </w:t>
      </w:r>
      <w:r w:rsidRPr="000B434C">
        <w:rPr>
          <w:rFonts w:eastAsia="Calibri"/>
          <w:noProof/>
        </w:rPr>
        <w:t>a service check</w:t>
      </w:r>
      <w:r>
        <w:rPr>
          <w:rFonts w:eastAsia="Calibri"/>
          <w:noProof/>
        </w:rPr>
        <w:t>ing</w:t>
      </w:r>
      <w:r w:rsidRPr="000B434C">
        <w:rPr>
          <w:rFonts w:eastAsia="Calibri"/>
          <w:noProof/>
        </w:rPr>
        <w:t xml:space="preserve"> that</w:t>
      </w:r>
      <w:r>
        <w:rPr>
          <w:rFonts w:eastAsia="Calibri"/>
          <w:noProof/>
        </w:rPr>
        <w:t xml:space="preserve"> </w:t>
      </w:r>
      <w:r w:rsidRPr="000B434C">
        <w:rPr>
          <w:rFonts w:eastAsia="Calibri"/>
          <w:noProof/>
        </w:rPr>
        <w:t>the payee’s IBAN</w:t>
      </w:r>
      <w:r w:rsidRPr="000B434C">
        <w:rPr>
          <w:rStyle w:val="FootnoteReference"/>
          <w:noProof/>
        </w:rPr>
        <w:footnoteReference w:id="32"/>
      </w:r>
      <w:r w:rsidRPr="000B434C">
        <w:rPr>
          <w:rFonts w:eastAsia="Calibri"/>
          <w:noProof/>
        </w:rPr>
        <w:t xml:space="preserve"> matches </w:t>
      </w:r>
      <w:r>
        <w:rPr>
          <w:rFonts w:eastAsia="Calibri"/>
          <w:noProof/>
        </w:rPr>
        <w:t>the</w:t>
      </w:r>
      <w:r w:rsidRPr="000B434C">
        <w:rPr>
          <w:rFonts w:eastAsia="Calibri"/>
          <w:noProof/>
        </w:rPr>
        <w:t xml:space="preserve"> payee’s name and notif</w:t>
      </w:r>
      <w:r>
        <w:rPr>
          <w:rFonts w:eastAsia="Calibri"/>
          <w:noProof/>
        </w:rPr>
        <w:t>ying</w:t>
      </w:r>
      <w:r w:rsidRPr="000B434C">
        <w:rPr>
          <w:rFonts w:eastAsia="Calibri"/>
          <w:noProof/>
        </w:rPr>
        <w:t xml:space="preserve"> the PSU of any detected discrepancy. </w:t>
      </w:r>
      <w:r>
        <w:rPr>
          <w:rFonts w:eastAsia="Calibri"/>
          <w:noProof/>
        </w:rPr>
        <w:t>The n</w:t>
      </w:r>
      <w:r w:rsidRPr="000B434C">
        <w:rPr>
          <w:rFonts w:eastAsia="Calibri"/>
          <w:noProof/>
        </w:rPr>
        <w:t xml:space="preserve">otification must be </w:t>
      </w:r>
      <w:r>
        <w:rPr>
          <w:rFonts w:eastAsia="Calibri"/>
          <w:noProof/>
        </w:rPr>
        <w:t>given</w:t>
      </w:r>
      <w:r w:rsidRPr="000B434C">
        <w:rPr>
          <w:rFonts w:eastAsia="Calibri"/>
          <w:noProof/>
        </w:rPr>
        <w:t xml:space="preserve"> before </w:t>
      </w:r>
      <w:r>
        <w:rPr>
          <w:rFonts w:eastAsia="Calibri"/>
          <w:noProof/>
        </w:rPr>
        <w:t xml:space="preserve">the </w:t>
      </w:r>
      <w:r w:rsidRPr="000B434C">
        <w:rPr>
          <w:rFonts w:eastAsia="Calibri"/>
          <w:noProof/>
        </w:rPr>
        <w:t>payer finalises the IP payment order and before the PSPs executes the IP. The user remains free to decide whether to submit the payment order for an IP in all cases.</w:t>
      </w:r>
    </w:p>
    <w:p w:rsidR="00211B11" w:rsidRPr="000B434C" w:rsidRDefault="00211B11" w:rsidP="00211B11">
      <w:pPr>
        <w:rPr>
          <w:noProof/>
        </w:rPr>
      </w:pPr>
      <w:r w:rsidRPr="000B434C">
        <w:rPr>
          <w:rFonts w:eastAsia="Calibri"/>
          <w:noProof/>
        </w:rPr>
        <w:t>The use of such a service by a user does not affect the PSP’s liability for non-execution, defective or late execution of IPs, as laid down in Articles 88 and 89 of PSD2.</w:t>
      </w:r>
    </w:p>
    <w:p w:rsidR="00080680" w:rsidRPr="00080680" w:rsidRDefault="00211B11" w:rsidP="00080680">
      <w:pPr>
        <w:rPr>
          <w:noProof/>
        </w:rPr>
      </w:pPr>
      <w:r w:rsidRPr="000B434C">
        <w:rPr>
          <w:noProof/>
        </w:rPr>
        <w:t>PSPs should</w:t>
      </w:r>
      <w:r w:rsidRPr="000B434C" w:rsidDel="001542F1">
        <w:rPr>
          <w:noProof/>
        </w:rPr>
        <w:t xml:space="preserve"> </w:t>
      </w:r>
      <w:r w:rsidRPr="000B434C">
        <w:rPr>
          <w:noProof/>
        </w:rPr>
        <w:t xml:space="preserve">notify PSUs </w:t>
      </w:r>
      <w:r>
        <w:rPr>
          <w:noProof/>
        </w:rPr>
        <w:t>of</w:t>
      </w:r>
      <w:r w:rsidRPr="000B434C" w:rsidDel="001542F1">
        <w:rPr>
          <w:noProof/>
        </w:rPr>
        <w:t xml:space="preserve"> </w:t>
      </w:r>
      <w:r w:rsidRPr="000B434C">
        <w:rPr>
          <w:noProof/>
        </w:rPr>
        <w:t xml:space="preserve">any detected discrepancy between the payee’s name and payment account identifier, as provided by the payer, for both national and cross-border instant credit transfers in euro. </w:t>
      </w:r>
      <w:r w:rsidR="00080680" w:rsidRPr="00080680">
        <w:rPr>
          <w:noProof/>
        </w:rPr>
        <w:t xml:space="preserve">This </w:t>
      </w:r>
      <w:r w:rsidR="00080680">
        <w:rPr>
          <w:noProof/>
        </w:rPr>
        <w:t>proposal</w:t>
      </w:r>
      <w:r w:rsidR="00080680" w:rsidRPr="00080680">
        <w:rPr>
          <w:noProof/>
        </w:rPr>
        <w:t xml:space="preserve"> does not prevent PSPs from offering </w:t>
      </w:r>
      <w:r w:rsidR="00080680">
        <w:rPr>
          <w:noProof/>
        </w:rPr>
        <w:t>such a</w:t>
      </w:r>
      <w:r w:rsidR="00080680" w:rsidRPr="00080680">
        <w:rPr>
          <w:noProof/>
        </w:rPr>
        <w:t xml:space="preserve"> service with respect to also other types of credit transfers and not just to instant ones.</w:t>
      </w:r>
    </w:p>
    <w:p w:rsidR="00211B11" w:rsidRPr="000B434C" w:rsidRDefault="00211B11" w:rsidP="00211B11">
      <w:pPr>
        <w:rPr>
          <w:rFonts w:eastAsia="Calibri"/>
          <w:noProof/>
        </w:rPr>
      </w:pPr>
      <w:r w:rsidRPr="000B434C">
        <w:rPr>
          <w:rFonts w:eastAsia="Calibri"/>
          <w:noProof/>
        </w:rPr>
        <w:t>PSPs may charge a fee for the use of such a service and PSUs are not obliged to use it.</w:t>
      </w:r>
    </w:p>
    <w:p w:rsidR="00211B11" w:rsidRPr="000B434C" w:rsidRDefault="00211B11" w:rsidP="00211B11">
      <w:pPr>
        <w:rPr>
          <w:rFonts w:eastAsia="Calibri"/>
          <w:noProof/>
        </w:rPr>
      </w:pPr>
      <w:r w:rsidRPr="000B434C">
        <w:rPr>
          <w:rFonts w:eastAsia="Calibri"/>
          <w:noProof/>
        </w:rPr>
        <w:t xml:space="preserve">This requirement </w:t>
      </w:r>
      <w:r>
        <w:rPr>
          <w:rFonts w:eastAsia="Calibri"/>
          <w:noProof/>
        </w:rPr>
        <w:t xml:space="preserve">will </w:t>
      </w:r>
      <w:r w:rsidRPr="000B434C">
        <w:rPr>
          <w:rFonts w:eastAsia="Calibri"/>
          <w:noProof/>
        </w:rPr>
        <w:t>appl</w:t>
      </w:r>
      <w:r>
        <w:rPr>
          <w:rFonts w:eastAsia="Calibri"/>
          <w:noProof/>
        </w:rPr>
        <w:t>y</w:t>
      </w:r>
      <w:r w:rsidRPr="000B434C">
        <w:rPr>
          <w:rFonts w:eastAsia="Calibri"/>
          <w:noProof/>
        </w:rPr>
        <w:t xml:space="preserve"> to PSPs in the euro area as from 12</w:t>
      </w:r>
      <w:r>
        <w:rPr>
          <w:rFonts w:eastAsia="Calibri"/>
          <w:noProof/>
        </w:rPr>
        <w:t> </w:t>
      </w:r>
      <w:r w:rsidRPr="000B434C">
        <w:rPr>
          <w:rFonts w:eastAsia="Calibri"/>
          <w:noProof/>
        </w:rPr>
        <w:t>months after entry into force, and for PSPs outside the euro area as from 36</w:t>
      </w:r>
      <w:r>
        <w:rPr>
          <w:rFonts w:eastAsia="Calibri"/>
          <w:noProof/>
        </w:rPr>
        <w:t> </w:t>
      </w:r>
      <w:r w:rsidRPr="000B434C">
        <w:rPr>
          <w:rFonts w:eastAsia="Calibri"/>
          <w:noProof/>
        </w:rPr>
        <w:t xml:space="preserve">months after entry into force. These deadlines are fully aligned with the dates </w:t>
      </w:r>
      <w:r>
        <w:rPr>
          <w:rFonts w:eastAsia="Calibri"/>
          <w:noProof/>
        </w:rPr>
        <w:t>for the introduction of the requirement</w:t>
      </w:r>
      <w:r w:rsidRPr="000B434C">
        <w:rPr>
          <w:rFonts w:eastAsia="Calibri"/>
          <w:noProof/>
        </w:rPr>
        <w:t xml:space="preserve"> to offer the service of sending euro IPs.</w:t>
      </w:r>
    </w:p>
    <w:p w:rsidR="00211B11" w:rsidRPr="000B434C" w:rsidRDefault="00211B11" w:rsidP="00211B11">
      <w:pPr>
        <w:rPr>
          <w:rFonts w:eastAsia="Calibri"/>
          <w:b/>
          <w:noProof/>
        </w:rPr>
      </w:pPr>
      <w:r w:rsidRPr="000B434C">
        <w:rPr>
          <w:rFonts w:eastAsia="Calibri"/>
          <w:b/>
          <w:noProof/>
        </w:rPr>
        <w:t xml:space="preserve">Screening IPs </w:t>
      </w:r>
      <w:r>
        <w:rPr>
          <w:rFonts w:eastAsia="Calibri"/>
          <w:b/>
          <w:noProof/>
        </w:rPr>
        <w:t>for</w:t>
      </w:r>
      <w:r w:rsidRPr="000B434C">
        <w:rPr>
          <w:rFonts w:eastAsia="Calibri"/>
          <w:b/>
          <w:noProof/>
        </w:rPr>
        <w:t xml:space="preserve"> EU sanctions (Article</w:t>
      </w:r>
      <w:r>
        <w:rPr>
          <w:rFonts w:eastAsia="Calibri"/>
          <w:b/>
          <w:noProof/>
        </w:rPr>
        <w:t> </w:t>
      </w:r>
      <w:r w:rsidRPr="000B434C">
        <w:rPr>
          <w:rFonts w:eastAsia="Calibri"/>
          <w:b/>
          <w:noProof/>
        </w:rPr>
        <w:t>5d)</w:t>
      </w:r>
    </w:p>
    <w:p w:rsidR="00211B11" w:rsidRPr="000B434C" w:rsidRDefault="00211B11" w:rsidP="00211B11">
      <w:pPr>
        <w:rPr>
          <w:rFonts w:eastAsia="Calibri"/>
          <w:noProof/>
        </w:rPr>
      </w:pPr>
      <w:r w:rsidRPr="000B434C">
        <w:rPr>
          <w:rFonts w:eastAsia="Calibri"/>
          <w:noProof/>
        </w:rPr>
        <w:t xml:space="preserve">PSPs are required to follow a </w:t>
      </w:r>
      <w:r w:rsidRPr="000B434C">
        <w:rPr>
          <w:rFonts w:eastAsia="Calibri"/>
          <w:noProof/>
          <w:szCs w:val="24"/>
        </w:rPr>
        <w:t>harmonised</w:t>
      </w:r>
      <w:r w:rsidRPr="000B434C">
        <w:rPr>
          <w:rFonts w:eastAsia="Calibri"/>
          <w:noProof/>
        </w:rPr>
        <w:t xml:space="preserve"> </w:t>
      </w:r>
      <w:r w:rsidR="00A727FF">
        <w:rPr>
          <w:rFonts w:eastAsia="Calibri"/>
          <w:noProof/>
        </w:rPr>
        <w:t>approach</w:t>
      </w:r>
      <w:r w:rsidR="00A727FF" w:rsidRPr="000B434C">
        <w:rPr>
          <w:rFonts w:eastAsia="Calibri"/>
          <w:noProof/>
        </w:rPr>
        <w:t xml:space="preserve"> </w:t>
      </w:r>
      <w:r w:rsidRPr="000B434C">
        <w:rPr>
          <w:rFonts w:eastAsia="Calibri"/>
          <w:noProof/>
        </w:rPr>
        <w:t xml:space="preserve">so that EU sanctions can be applied without the duplications, inefficiencies and </w:t>
      </w:r>
      <w:r>
        <w:rPr>
          <w:rFonts w:eastAsia="Calibri"/>
          <w:noProof/>
        </w:rPr>
        <w:t>resultant</w:t>
      </w:r>
      <w:r w:rsidRPr="000B434C">
        <w:rPr>
          <w:rFonts w:eastAsia="Calibri"/>
          <w:noProof/>
        </w:rPr>
        <w:t xml:space="preserve"> frictions caused by PSPs applying divergent </w:t>
      </w:r>
      <w:r>
        <w:rPr>
          <w:rFonts w:eastAsia="Calibri"/>
          <w:noProof/>
        </w:rPr>
        <w:t xml:space="preserve">screening </w:t>
      </w:r>
      <w:r w:rsidRPr="000B434C">
        <w:rPr>
          <w:rFonts w:eastAsia="Calibri"/>
          <w:noProof/>
        </w:rPr>
        <w:t xml:space="preserve">processes. The harmonised </w:t>
      </w:r>
      <w:r w:rsidR="00A727FF">
        <w:rPr>
          <w:rFonts w:eastAsia="Calibri"/>
          <w:noProof/>
        </w:rPr>
        <w:t>approach</w:t>
      </w:r>
      <w:r w:rsidR="00A727FF" w:rsidRPr="000B434C">
        <w:rPr>
          <w:rFonts w:eastAsia="Calibri"/>
          <w:noProof/>
        </w:rPr>
        <w:t xml:space="preserve"> </w:t>
      </w:r>
      <w:r w:rsidRPr="000B434C">
        <w:rPr>
          <w:rFonts w:eastAsia="Calibri"/>
          <w:noProof/>
        </w:rPr>
        <w:t xml:space="preserve">relates to the specific types of sanctions applicable to individual persons and entities, i.e. </w:t>
      </w:r>
      <w:r>
        <w:rPr>
          <w:rFonts w:eastAsia="Calibri"/>
          <w:noProof/>
        </w:rPr>
        <w:t>the requirement</w:t>
      </w:r>
      <w:r w:rsidRPr="000B434C">
        <w:rPr>
          <w:rFonts w:eastAsia="Calibri"/>
          <w:noProof/>
        </w:rPr>
        <w:t xml:space="preserve"> to freeze assets and not to make funds or economic resources available to such persons and entities. </w:t>
      </w:r>
      <w:r w:rsidRPr="000B434C">
        <w:rPr>
          <w:rFonts w:eastAsia="Calibri"/>
          <w:noProof/>
          <w:szCs w:val="24"/>
        </w:rPr>
        <w:t>A consolidated</w:t>
      </w:r>
      <w:r w:rsidRPr="000B434C">
        <w:rPr>
          <w:rFonts w:eastAsia="Calibri"/>
          <w:noProof/>
        </w:rPr>
        <w:t xml:space="preserve"> list of such persons and entities is maintained by the Commission services</w:t>
      </w:r>
      <w:r w:rsidRPr="000B434C">
        <w:rPr>
          <w:rStyle w:val="FootnoteReference"/>
          <w:rFonts w:eastAsia="Calibri"/>
          <w:noProof/>
        </w:rPr>
        <w:footnoteReference w:id="33"/>
      </w:r>
      <w:r w:rsidRPr="000B434C">
        <w:rPr>
          <w:rFonts w:eastAsia="Calibri"/>
          <w:noProof/>
        </w:rPr>
        <w:t>.</w:t>
      </w:r>
    </w:p>
    <w:p w:rsidR="00211B11" w:rsidRPr="000B434C" w:rsidRDefault="00211B11" w:rsidP="00211B11">
      <w:pPr>
        <w:rPr>
          <w:rFonts w:eastAsia="Calibri"/>
          <w:noProof/>
        </w:rPr>
      </w:pPr>
      <w:r w:rsidRPr="000B434C">
        <w:rPr>
          <w:rFonts w:eastAsia="Calibri"/>
          <w:noProof/>
        </w:rPr>
        <w:t>PSPs are required to verify at least once a day whether any of their customers are designated persons or entities subject to EU sanctions, and in any event immediately after the entry into force of any new or amended designations</w:t>
      </w:r>
      <w:r w:rsidRPr="000B434C">
        <w:rPr>
          <w:rFonts w:eastAsia="Calibri"/>
          <w:noProof/>
          <w:szCs w:val="24"/>
        </w:rPr>
        <w:t>.</w:t>
      </w:r>
    </w:p>
    <w:p w:rsidR="00211B11" w:rsidRPr="000B434C" w:rsidRDefault="00211B11" w:rsidP="00211B11">
      <w:pPr>
        <w:rPr>
          <w:rFonts w:eastAsia="Calibri"/>
          <w:noProof/>
        </w:rPr>
      </w:pPr>
      <w:r w:rsidRPr="000B434C">
        <w:rPr>
          <w:rFonts w:eastAsia="Calibri"/>
          <w:noProof/>
        </w:rPr>
        <w:t xml:space="preserve">A harmonised </w:t>
      </w:r>
      <w:r w:rsidR="00A727FF">
        <w:rPr>
          <w:rFonts w:eastAsia="Calibri"/>
          <w:noProof/>
        </w:rPr>
        <w:t>approach</w:t>
      </w:r>
      <w:r w:rsidR="00A727FF" w:rsidRPr="000B434C">
        <w:rPr>
          <w:rFonts w:eastAsia="Calibri"/>
          <w:noProof/>
        </w:rPr>
        <w:t xml:space="preserve"> </w:t>
      </w:r>
      <w:r w:rsidRPr="000B434C">
        <w:rPr>
          <w:rFonts w:eastAsia="Calibri"/>
          <w:noProof/>
        </w:rPr>
        <w:t>provides PSPs with much needed legal certainty</w:t>
      </w:r>
      <w:r w:rsidR="007A014F">
        <w:rPr>
          <w:rFonts w:eastAsia="Calibri"/>
          <w:noProof/>
        </w:rPr>
        <w:t xml:space="preserve"> and thus eliminate frictions that prevent the effective execution of euro IPs, while not compromising the overall effectiveness of sanctions screening</w:t>
      </w:r>
      <w:r w:rsidRPr="000B434C">
        <w:rPr>
          <w:rFonts w:eastAsia="Calibri"/>
          <w:noProof/>
        </w:rPr>
        <w:t xml:space="preserve">. </w:t>
      </w:r>
    </w:p>
    <w:p w:rsidR="00211B11" w:rsidRPr="000B434C" w:rsidRDefault="00211B11" w:rsidP="00211B11">
      <w:pPr>
        <w:rPr>
          <w:rFonts w:eastAsia="Calibri"/>
          <w:noProof/>
        </w:rPr>
      </w:pPr>
      <w:r w:rsidRPr="000B434C">
        <w:rPr>
          <w:rFonts w:eastAsia="Calibri"/>
          <w:noProof/>
        </w:rPr>
        <w:t xml:space="preserve">Where a payer or payee’s PSP fails to carry out the required verification and is subsequently involved in executing an IP for a payer or a payee subject to EU sanctions, it is liable for any financial damage to the other PSP involved in the IP </w:t>
      </w:r>
      <w:r>
        <w:rPr>
          <w:rFonts w:eastAsia="Calibri"/>
          <w:noProof/>
        </w:rPr>
        <w:t>resulting from</w:t>
      </w:r>
      <w:r w:rsidRPr="000B434C">
        <w:rPr>
          <w:rFonts w:eastAsia="Calibri"/>
          <w:noProof/>
        </w:rPr>
        <w:t xml:space="preserve"> penalties under </w:t>
      </w:r>
      <w:r>
        <w:rPr>
          <w:rFonts w:eastAsia="Calibri"/>
          <w:noProof/>
        </w:rPr>
        <w:t>E</w:t>
      </w:r>
      <w:r w:rsidRPr="000B434C">
        <w:rPr>
          <w:rFonts w:eastAsia="Calibri"/>
          <w:noProof/>
        </w:rPr>
        <w:t>U sanctions regulations.</w:t>
      </w:r>
      <w:r w:rsidRPr="000B434C">
        <w:rPr>
          <w:noProof/>
          <w:szCs w:val="24"/>
          <w:shd w:val="clear" w:color="auto" w:fill="FFFFFF"/>
        </w:rPr>
        <w:t xml:space="preserve"> </w:t>
      </w:r>
      <w:r w:rsidRPr="000B434C">
        <w:rPr>
          <w:rFonts w:eastAsia="Calibri"/>
          <w:noProof/>
        </w:rPr>
        <w:t xml:space="preserve">This requirement </w:t>
      </w:r>
      <w:r>
        <w:rPr>
          <w:rFonts w:eastAsia="Calibri"/>
          <w:noProof/>
        </w:rPr>
        <w:t xml:space="preserve">will </w:t>
      </w:r>
      <w:r w:rsidRPr="000B434C">
        <w:rPr>
          <w:rFonts w:eastAsia="Calibri"/>
          <w:noProof/>
        </w:rPr>
        <w:t>appl</w:t>
      </w:r>
      <w:r>
        <w:rPr>
          <w:rFonts w:eastAsia="Calibri"/>
          <w:noProof/>
        </w:rPr>
        <w:t>y</w:t>
      </w:r>
      <w:r w:rsidRPr="000B434C">
        <w:rPr>
          <w:rFonts w:eastAsia="Calibri"/>
          <w:noProof/>
        </w:rPr>
        <w:t xml:space="preserve"> to all PSPs covered by Article</w:t>
      </w:r>
      <w:r>
        <w:rPr>
          <w:rFonts w:eastAsia="Calibri"/>
          <w:noProof/>
        </w:rPr>
        <w:t> </w:t>
      </w:r>
      <w:r w:rsidRPr="000B434C">
        <w:rPr>
          <w:rFonts w:eastAsia="Calibri"/>
          <w:noProof/>
        </w:rPr>
        <w:t>5d as from 6</w:t>
      </w:r>
      <w:r>
        <w:rPr>
          <w:rFonts w:eastAsia="Calibri"/>
          <w:noProof/>
        </w:rPr>
        <w:t> </w:t>
      </w:r>
      <w:r w:rsidRPr="000B434C">
        <w:rPr>
          <w:rFonts w:eastAsia="Calibri"/>
          <w:noProof/>
        </w:rPr>
        <w:t>months after entry into force.</w:t>
      </w:r>
    </w:p>
    <w:p w:rsidR="00211B11" w:rsidRPr="000B434C" w:rsidRDefault="00211B11" w:rsidP="00211B11">
      <w:pPr>
        <w:rPr>
          <w:rFonts w:eastAsia="Calibri"/>
          <w:b/>
          <w:noProof/>
        </w:rPr>
      </w:pPr>
      <w:r w:rsidRPr="000B434C">
        <w:rPr>
          <w:rFonts w:eastAsia="Calibri"/>
          <w:b/>
          <w:noProof/>
        </w:rPr>
        <w:t>Penalties (Article</w:t>
      </w:r>
      <w:r>
        <w:rPr>
          <w:rFonts w:eastAsia="Calibri"/>
          <w:b/>
          <w:noProof/>
        </w:rPr>
        <w:t> </w:t>
      </w:r>
      <w:r w:rsidRPr="000B434C">
        <w:rPr>
          <w:rFonts w:eastAsia="Calibri"/>
          <w:b/>
          <w:noProof/>
        </w:rPr>
        <w:t>11)</w:t>
      </w:r>
    </w:p>
    <w:p w:rsidR="00211B11" w:rsidRPr="000B434C" w:rsidRDefault="00211B11" w:rsidP="00211B11">
      <w:pPr>
        <w:rPr>
          <w:rFonts w:eastAsia="Calibri"/>
          <w:noProof/>
        </w:rPr>
      </w:pPr>
      <w:r w:rsidRPr="000B434C">
        <w:rPr>
          <w:rFonts w:eastAsia="Calibri"/>
          <w:noProof/>
        </w:rPr>
        <w:t>Penalties for PSPs’ non-compliance with legal requirements contained in this proposal are the responsibility of the Member States</w:t>
      </w:r>
      <w:r>
        <w:rPr>
          <w:rFonts w:eastAsia="Calibri"/>
          <w:noProof/>
        </w:rPr>
        <w:t>. Penalties</w:t>
      </w:r>
      <w:r w:rsidRPr="000B434C">
        <w:rPr>
          <w:rFonts w:eastAsia="Calibri"/>
          <w:noProof/>
        </w:rPr>
        <w:t xml:space="preserve"> must be effective</w:t>
      </w:r>
      <w:r>
        <w:rPr>
          <w:rFonts w:eastAsia="Calibri"/>
          <w:noProof/>
        </w:rPr>
        <w:t>,</w:t>
      </w:r>
      <w:r w:rsidRPr="000B434C">
        <w:rPr>
          <w:rFonts w:eastAsia="Calibri"/>
          <w:noProof/>
        </w:rPr>
        <w:t xml:space="preserve"> proportionate and dissuasive. Minimum levels for the penalties which national authorities may impose for failing to comply with EU sanctions obligations are laid down in the new paragraph</w:t>
      </w:r>
      <w:r>
        <w:rPr>
          <w:rFonts w:eastAsia="Calibri"/>
          <w:noProof/>
        </w:rPr>
        <w:t> </w:t>
      </w:r>
      <w:r w:rsidRPr="000B434C">
        <w:rPr>
          <w:rFonts w:eastAsia="Calibri"/>
          <w:noProof/>
        </w:rPr>
        <w:t>1b of Article</w:t>
      </w:r>
      <w:r>
        <w:rPr>
          <w:rFonts w:eastAsia="Calibri"/>
          <w:noProof/>
        </w:rPr>
        <w:t> </w:t>
      </w:r>
      <w:r w:rsidRPr="000B434C">
        <w:rPr>
          <w:rFonts w:eastAsia="Calibri"/>
          <w:noProof/>
        </w:rPr>
        <w:t xml:space="preserve">11 of the </w:t>
      </w:r>
      <w:r w:rsidRPr="000B434C">
        <w:rPr>
          <w:noProof/>
        </w:rPr>
        <w:t>SEPA Regulation</w:t>
      </w:r>
      <w:r w:rsidRPr="000B434C">
        <w:rPr>
          <w:rFonts w:eastAsia="Calibri"/>
          <w:noProof/>
        </w:rPr>
        <w:t>. Member States must notify the Commission of the applicable penalties in their jurisdiction.</w:t>
      </w:r>
    </w:p>
    <w:p w:rsidR="00213947" w:rsidRPr="00CB54DD" w:rsidRDefault="00B10540" w:rsidP="00315E38">
      <w:pPr>
        <w:rPr>
          <w:rFonts w:eastAsia="Calibri"/>
          <w:noProof/>
        </w:rPr>
      </w:pPr>
      <w:r w:rsidRPr="00CB54DD">
        <w:rPr>
          <w:rFonts w:eastAsia="Calibri"/>
          <w:noProof/>
        </w:rPr>
        <w:t xml:space="preserve"> </w:t>
      </w:r>
    </w:p>
    <w:p w:rsidR="00213947" w:rsidRPr="00CB54DD" w:rsidRDefault="00213947" w:rsidP="00315E38">
      <w:pPr>
        <w:pBdr>
          <w:top w:val="nil"/>
          <w:left w:val="nil"/>
          <w:bottom w:val="nil"/>
          <w:right w:val="nil"/>
          <w:between w:val="nil"/>
          <w:bar w:val="nil"/>
        </w:pBdr>
        <w:spacing w:after="240"/>
        <w:rPr>
          <w:rFonts w:eastAsia="Calibri"/>
          <w:noProof/>
          <w:szCs w:val="24"/>
        </w:rPr>
      </w:pPr>
    </w:p>
    <w:p w:rsidR="00C961C5" w:rsidRPr="00CB54DD" w:rsidRDefault="00C961C5" w:rsidP="00315E38">
      <w:pPr>
        <w:pBdr>
          <w:top w:val="nil"/>
          <w:left w:val="nil"/>
          <w:bottom w:val="nil"/>
          <w:right w:val="nil"/>
          <w:between w:val="nil"/>
          <w:bar w:val="nil"/>
        </w:pBdr>
        <w:spacing w:before="0" w:after="240"/>
        <w:rPr>
          <w:noProof/>
        </w:rPr>
        <w:sectPr w:rsidR="00C961C5" w:rsidRPr="00CB54DD" w:rsidSect="00256C94">
          <w:footerReference w:type="default" r:id="rId21"/>
          <w:footerReference w:type="first" r:id="rId22"/>
          <w:pgSz w:w="11907" w:h="16839"/>
          <w:pgMar w:top="1134" w:right="1417" w:bottom="1134" w:left="1417" w:header="709" w:footer="709" w:gutter="0"/>
          <w:cols w:space="708"/>
          <w:docGrid w:linePitch="360"/>
        </w:sectPr>
      </w:pPr>
    </w:p>
    <w:p w:rsidR="00320C94" w:rsidRDefault="00256C94" w:rsidP="00256C94">
      <w:pPr>
        <w:pStyle w:val="Rfrenceinterinstitutionnelle"/>
        <w:rPr>
          <w:noProof/>
        </w:rPr>
      </w:pPr>
      <w:r w:rsidRPr="00256C94">
        <w:t>2022/0341 (COD)</w:t>
      </w:r>
    </w:p>
    <w:p w:rsidR="00C961C5" w:rsidRPr="00CB54DD" w:rsidRDefault="00256C94" w:rsidP="00256C94">
      <w:pPr>
        <w:pStyle w:val="Statut"/>
        <w:rPr>
          <w:noProof/>
        </w:rPr>
      </w:pPr>
      <w:r w:rsidRPr="00256C94">
        <w:t>Proposal for a</w:t>
      </w:r>
    </w:p>
    <w:p w:rsidR="00C961C5" w:rsidRPr="00CB54DD" w:rsidRDefault="00256C94" w:rsidP="00256C94">
      <w:pPr>
        <w:pStyle w:val="Typedudocument"/>
        <w:rPr>
          <w:noProof/>
        </w:rPr>
      </w:pPr>
      <w:r w:rsidRPr="00256C94">
        <w:t>REGULATION OF THE EUROPEAN PARLIAMENT AND OF THE COUNCIL</w:t>
      </w:r>
    </w:p>
    <w:p w:rsidR="00C961C5" w:rsidRPr="00CB54DD" w:rsidRDefault="00256C94" w:rsidP="00256C94">
      <w:pPr>
        <w:pStyle w:val="Titreobjet"/>
        <w:rPr>
          <w:noProof/>
        </w:rPr>
      </w:pPr>
      <w:r w:rsidRPr="00256C94">
        <w:t>amending Regulations (EU) No 260/2012 and (EU) 2021/1230 as regards instant credit transfers in euro</w:t>
      </w:r>
    </w:p>
    <w:p w:rsidR="00C961C5" w:rsidRPr="00CB54DD" w:rsidRDefault="00256C94" w:rsidP="00256C94">
      <w:pPr>
        <w:pStyle w:val="IntrtEEE"/>
        <w:rPr>
          <w:noProof/>
        </w:rPr>
      </w:pPr>
      <w:r w:rsidRPr="00256C94">
        <w:t>(Text with EEA relevance)</w:t>
      </w:r>
    </w:p>
    <w:p w:rsidR="00213947" w:rsidRPr="00CB54DD" w:rsidRDefault="00213947" w:rsidP="00315E38">
      <w:pPr>
        <w:pStyle w:val="Institutionquiagit"/>
        <w:rPr>
          <w:noProof/>
        </w:rPr>
      </w:pPr>
      <w:r w:rsidRPr="00CB54DD">
        <w:rPr>
          <w:noProof/>
        </w:rPr>
        <w:t>THE EUROPEAN PARLIAMENT AND THE COUNCIL OF THE EUROPEAN UNION,</w:t>
      </w:r>
    </w:p>
    <w:p w:rsidR="00213947" w:rsidRPr="00CB54DD" w:rsidRDefault="00213947" w:rsidP="00315E38">
      <w:pPr>
        <w:rPr>
          <w:noProof/>
        </w:rPr>
      </w:pPr>
      <w:r w:rsidRPr="00CB54DD">
        <w:rPr>
          <w:noProof/>
        </w:rPr>
        <w:t>Having regard to the Treaty on the Functioning of the European Union, and in particular Article 114 thereof,</w:t>
      </w:r>
    </w:p>
    <w:p w:rsidR="00213947" w:rsidRPr="00CB54DD" w:rsidRDefault="00213947" w:rsidP="00315E38">
      <w:pPr>
        <w:rPr>
          <w:noProof/>
        </w:rPr>
      </w:pPr>
      <w:r w:rsidRPr="00CB54DD">
        <w:rPr>
          <w:noProof/>
        </w:rPr>
        <w:t>Having regard to the proposal from the European Commission,</w:t>
      </w:r>
    </w:p>
    <w:p w:rsidR="00213947" w:rsidRPr="00CB54DD" w:rsidRDefault="00213947" w:rsidP="00315E38">
      <w:pPr>
        <w:rPr>
          <w:noProof/>
        </w:rPr>
      </w:pPr>
      <w:r w:rsidRPr="00CB54DD">
        <w:rPr>
          <w:noProof/>
        </w:rPr>
        <w:t>After transmission of the draft legislative act to the national Parliaments,</w:t>
      </w:r>
    </w:p>
    <w:p w:rsidR="00213947" w:rsidRPr="00CB54DD" w:rsidRDefault="00213947" w:rsidP="00315E38">
      <w:pPr>
        <w:rPr>
          <w:noProof/>
        </w:rPr>
      </w:pPr>
      <w:r w:rsidRPr="00CB54DD">
        <w:rPr>
          <w:noProof/>
        </w:rPr>
        <w:t>Having regard to the opinion of the European Economic and Social Committee</w:t>
      </w:r>
      <w:r w:rsidR="00670834">
        <w:rPr>
          <w:rStyle w:val="FootnoteReference"/>
          <w:noProof/>
        </w:rPr>
        <w:footnoteReference w:id="34"/>
      </w:r>
      <w:r w:rsidRPr="00CB54DD">
        <w:rPr>
          <w:noProof/>
        </w:rPr>
        <w:t>,</w:t>
      </w:r>
    </w:p>
    <w:p w:rsidR="00213947" w:rsidRPr="00CB54DD" w:rsidRDefault="00213947" w:rsidP="00315E38">
      <w:pPr>
        <w:rPr>
          <w:noProof/>
        </w:rPr>
      </w:pPr>
      <w:r w:rsidRPr="00CB54DD">
        <w:rPr>
          <w:noProof/>
        </w:rPr>
        <w:t>Having regard to the opinion of the European Central Bank</w:t>
      </w:r>
      <w:r w:rsidR="00670834">
        <w:rPr>
          <w:rStyle w:val="FootnoteReference"/>
          <w:noProof/>
        </w:rPr>
        <w:footnoteReference w:id="35"/>
      </w:r>
      <w:r w:rsidR="00CB54DD">
        <w:rPr>
          <w:noProof/>
        </w:rPr>
        <w:t>,</w:t>
      </w:r>
    </w:p>
    <w:p w:rsidR="00213947" w:rsidRPr="00CB54DD" w:rsidRDefault="00213947" w:rsidP="00315E38">
      <w:pPr>
        <w:rPr>
          <w:noProof/>
        </w:rPr>
      </w:pPr>
      <w:r w:rsidRPr="00CB54DD">
        <w:rPr>
          <w:noProof/>
        </w:rPr>
        <w:t>Acting in accordance with the ordinary legislative procedure,</w:t>
      </w:r>
    </w:p>
    <w:p w:rsidR="00C961C5" w:rsidRPr="00CB54DD" w:rsidRDefault="00C961C5" w:rsidP="00315E38">
      <w:pPr>
        <w:rPr>
          <w:noProof/>
        </w:rPr>
      </w:pPr>
      <w:r w:rsidRPr="00CB54DD">
        <w:rPr>
          <w:noProof/>
        </w:rPr>
        <w:t>Whereas:</w:t>
      </w:r>
    </w:p>
    <w:p w:rsidR="009B1300" w:rsidRPr="00CB54DD" w:rsidRDefault="00933F69" w:rsidP="00933F69">
      <w:pPr>
        <w:pStyle w:val="ManualConsidrant"/>
        <w:rPr>
          <w:noProof/>
        </w:rPr>
      </w:pPr>
      <w:r w:rsidRPr="00933F69">
        <w:t>(1)</w:t>
      </w:r>
      <w:r w:rsidRPr="00933F69">
        <w:tab/>
      </w:r>
      <w:r w:rsidR="00213947" w:rsidRPr="00CB54DD">
        <w:rPr>
          <w:noProof/>
        </w:rPr>
        <w:t>Regulation (EU) No 260/2012 of the European Parliament and of the Council</w:t>
      </w:r>
      <w:r w:rsidR="002960E1" w:rsidRPr="002D7679">
        <w:rPr>
          <w:rStyle w:val="FootnoteReference"/>
          <w:noProof/>
        </w:rPr>
        <w:footnoteReference w:id="36"/>
      </w:r>
      <w:r w:rsidR="00213947" w:rsidRPr="00CB54DD">
        <w:rPr>
          <w:noProof/>
        </w:rPr>
        <w:t xml:space="preserve"> provide</w:t>
      </w:r>
      <w:r w:rsidR="00315E38" w:rsidRPr="00CB54DD">
        <w:rPr>
          <w:noProof/>
        </w:rPr>
        <w:t>s</w:t>
      </w:r>
      <w:r w:rsidR="00213947" w:rsidRPr="00CB54DD">
        <w:rPr>
          <w:noProof/>
        </w:rPr>
        <w:t xml:space="preserve"> </w:t>
      </w:r>
      <w:r w:rsidR="00164694" w:rsidRPr="00CB54DD">
        <w:rPr>
          <w:noProof/>
        </w:rPr>
        <w:t xml:space="preserve">the </w:t>
      </w:r>
      <w:r w:rsidR="00213947" w:rsidRPr="00CB54DD">
        <w:rPr>
          <w:noProof/>
        </w:rPr>
        <w:t>foundation for the single euro payments area (SEPA)</w:t>
      </w:r>
      <w:r w:rsidR="00164694" w:rsidRPr="00CB54DD">
        <w:rPr>
          <w:noProof/>
        </w:rPr>
        <w:t xml:space="preserve">. </w:t>
      </w:r>
      <w:r w:rsidR="00786DDC">
        <w:rPr>
          <w:noProof/>
        </w:rPr>
        <w:t xml:space="preserve">To </w:t>
      </w:r>
      <w:r w:rsidR="00786DDC" w:rsidRPr="00CB54DD">
        <w:rPr>
          <w:noProof/>
        </w:rPr>
        <w:t>creat</w:t>
      </w:r>
      <w:r w:rsidR="00786DDC">
        <w:rPr>
          <w:noProof/>
        </w:rPr>
        <w:t>e</w:t>
      </w:r>
      <w:r w:rsidR="00786DDC" w:rsidRPr="00CB54DD">
        <w:rPr>
          <w:noProof/>
        </w:rPr>
        <w:t xml:space="preserve"> favourable conditions for increased competition, in particular for payments at point of interaction (PoI)</w:t>
      </w:r>
      <w:r w:rsidR="00786DDC">
        <w:rPr>
          <w:noProof/>
        </w:rPr>
        <w:t xml:space="preserve">, the </w:t>
      </w:r>
      <w:r w:rsidR="00164694" w:rsidRPr="00CB54DD">
        <w:rPr>
          <w:noProof/>
        </w:rPr>
        <w:t xml:space="preserve">SEPA project should </w:t>
      </w:r>
      <w:r w:rsidR="00746AFF" w:rsidRPr="00CB54DD">
        <w:rPr>
          <w:noProof/>
        </w:rPr>
        <w:t xml:space="preserve">be </w:t>
      </w:r>
      <w:r w:rsidR="00164694" w:rsidRPr="00CB54DD">
        <w:rPr>
          <w:noProof/>
        </w:rPr>
        <w:t xml:space="preserve">continuously </w:t>
      </w:r>
      <w:r w:rsidR="00714C47" w:rsidRPr="00CB54DD">
        <w:rPr>
          <w:noProof/>
        </w:rPr>
        <w:t>updated to reflect</w:t>
      </w:r>
      <w:r w:rsidR="00F77737" w:rsidRPr="00CB54DD">
        <w:rPr>
          <w:noProof/>
        </w:rPr>
        <w:t xml:space="preserve"> </w:t>
      </w:r>
      <w:r w:rsidR="00213947" w:rsidRPr="00CB54DD">
        <w:rPr>
          <w:noProof/>
        </w:rPr>
        <w:t xml:space="preserve">innovation </w:t>
      </w:r>
      <w:r w:rsidR="00164694" w:rsidRPr="00CB54DD">
        <w:rPr>
          <w:noProof/>
        </w:rPr>
        <w:t xml:space="preserve">and market developments </w:t>
      </w:r>
      <w:r w:rsidR="00213947" w:rsidRPr="00CB54DD">
        <w:rPr>
          <w:noProof/>
        </w:rPr>
        <w:t>in payments, promot</w:t>
      </w:r>
      <w:r w:rsidR="00714C47" w:rsidRPr="00CB54DD">
        <w:rPr>
          <w:noProof/>
        </w:rPr>
        <w:t>e</w:t>
      </w:r>
      <w:r w:rsidR="00213947" w:rsidRPr="00CB54DD">
        <w:rPr>
          <w:noProof/>
        </w:rPr>
        <w:t xml:space="preserve"> </w:t>
      </w:r>
      <w:r w:rsidR="00164694" w:rsidRPr="00CB54DD">
        <w:rPr>
          <w:noProof/>
        </w:rPr>
        <w:t xml:space="preserve">the </w:t>
      </w:r>
      <w:r w:rsidR="00213947" w:rsidRPr="00CB54DD">
        <w:rPr>
          <w:noProof/>
        </w:rPr>
        <w:t>development of new Union-wide payment products</w:t>
      </w:r>
      <w:r w:rsidR="00D21148">
        <w:rPr>
          <w:noProof/>
        </w:rPr>
        <w:t>,</w:t>
      </w:r>
      <w:r w:rsidR="00164694" w:rsidRPr="00CB54DD">
        <w:rPr>
          <w:noProof/>
        </w:rPr>
        <w:t xml:space="preserve"> and </w:t>
      </w:r>
      <w:r w:rsidR="00213947" w:rsidRPr="00CB54DD">
        <w:rPr>
          <w:noProof/>
        </w:rPr>
        <w:t>facilitat</w:t>
      </w:r>
      <w:r w:rsidR="00714C47" w:rsidRPr="00CB54DD">
        <w:rPr>
          <w:noProof/>
        </w:rPr>
        <w:t>e</w:t>
      </w:r>
      <w:r w:rsidR="00213947" w:rsidRPr="00CB54DD">
        <w:rPr>
          <w:noProof/>
        </w:rPr>
        <w:t xml:space="preserve"> access for new market entrants</w:t>
      </w:r>
      <w:r w:rsidR="0044162B" w:rsidRPr="00CB54DD">
        <w:rPr>
          <w:noProof/>
        </w:rPr>
        <w:t>.</w:t>
      </w:r>
    </w:p>
    <w:p w:rsidR="00213947" w:rsidRPr="00CB54DD" w:rsidRDefault="00933F69" w:rsidP="00933F69">
      <w:pPr>
        <w:pStyle w:val="ManualConsidrant"/>
        <w:rPr>
          <w:noProof/>
        </w:rPr>
      </w:pPr>
      <w:r w:rsidRPr="00933F69">
        <w:t>(2)</w:t>
      </w:r>
      <w:r w:rsidRPr="00933F69">
        <w:tab/>
      </w:r>
      <w:r w:rsidR="00213947" w:rsidRPr="00CB54DD">
        <w:rPr>
          <w:noProof/>
        </w:rPr>
        <w:t xml:space="preserve">In 2017, a </w:t>
      </w:r>
      <w:r w:rsidR="00164694" w:rsidRPr="00CB54DD">
        <w:rPr>
          <w:noProof/>
        </w:rPr>
        <w:t>U</w:t>
      </w:r>
      <w:r w:rsidR="00213947" w:rsidRPr="00CB54DD">
        <w:rPr>
          <w:noProof/>
        </w:rPr>
        <w:t xml:space="preserve">nion-wide scheme </w:t>
      </w:r>
      <w:r w:rsidR="00F5798D" w:rsidRPr="00CB54DD">
        <w:rPr>
          <w:noProof/>
        </w:rPr>
        <w:t xml:space="preserve">for the instant execution of credit transfers in euro </w:t>
      </w:r>
      <w:r w:rsidR="00213947" w:rsidRPr="00CB54DD">
        <w:rPr>
          <w:noProof/>
        </w:rPr>
        <w:t xml:space="preserve">was agreed </w:t>
      </w:r>
      <w:r w:rsidR="00164694" w:rsidRPr="00CB54DD">
        <w:rPr>
          <w:noProof/>
        </w:rPr>
        <w:t xml:space="preserve">between payment service providers (PSPs) </w:t>
      </w:r>
      <w:r w:rsidR="00213947" w:rsidRPr="00CB54DD">
        <w:rPr>
          <w:noProof/>
        </w:rPr>
        <w:t xml:space="preserve">under the auspices of the European Payments Council. </w:t>
      </w:r>
      <w:r w:rsidR="00164694" w:rsidRPr="00CB54DD">
        <w:rPr>
          <w:noProof/>
        </w:rPr>
        <w:t xml:space="preserve">The </w:t>
      </w:r>
      <w:r w:rsidR="00213947" w:rsidRPr="00CB54DD">
        <w:rPr>
          <w:noProof/>
        </w:rPr>
        <w:t xml:space="preserve">efforts of the European payments industry have not proven sufficient to </w:t>
      </w:r>
      <w:r w:rsidR="00164694" w:rsidRPr="00CB54DD">
        <w:rPr>
          <w:noProof/>
        </w:rPr>
        <w:t xml:space="preserve">ensure </w:t>
      </w:r>
      <w:r w:rsidR="00213947" w:rsidRPr="00CB54DD">
        <w:rPr>
          <w:noProof/>
        </w:rPr>
        <w:t xml:space="preserve">a </w:t>
      </w:r>
      <w:r w:rsidR="00164694" w:rsidRPr="00CB54DD">
        <w:rPr>
          <w:noProof/>
        </w:rPr>
        <w:t xml:space="preserve">high </w:t>
      </w:r>
      <w:r w:rsidR="00213947" w:rsidRPr="00CB54DD">
        <w:rPr>
          <w:noProof/>
        </w:rPr>
        <w:t>uptake at U</w:t>
      </w:r>
      <w:r w:rsidR="000E44DE" w:rsidRPr="00CB54DD">
        <w:rPr>
          <w:noProof/>
        </w:rPr>
        <w:t>nion</w:t>
      </w:r>
      <w:r w:rsidR="00213947" w:rsidRPr="00CB54DD">
        <w:rPr>
          <w:noProof/>
        </w:rPr>
        <w:t xml:space="preserve"> level of instant credit transfers in euro. Only a widespread and rapid increase in that uptake can unlock the full-scale network effects of instant credit transfers in </w:t>
      </w:r>
      <w:r w:rsidR="00164694" w:rsidRPr="00CB54DD">
        <w:rPr>
          <w:noProof/>
        </w:rPr>
        <w:t>e</w:t>
      </w:r>
      <w:r w:rsidR="00213947" w:rsidRPr="00CB54DD">
        <w:rPr>
          <w:noProof/>
        </w:rPr>
        <w:t xml:space="preserve">uro, leading to benefits and economic efficiency gains for payments services users (PSUs) and providers, reduced market concentration, increased competition and choice of electronic payments, </w:t>
      </w:r>
      <w:r w:rsidR="0041161F">
        <w:rPr>
          <w:noProof/>
        </w:rPr>
        <w:t>in particular</w:t>
      </w:r>
      <w:r w:rsidR="00213947" w:rsidRPr="00CB54DD">
        <w:rPr>
          <w:noProof/>
        </w:rPr>
        <w:t xml:space="preserve"> for cross-border payments at PoI.</w:t>
      </w:r>
    </w:p>
    <w:p w:rsidR="00DB5ADD" w:rsidRPr="00CB54DD" w:rsidRDefault="00933F69" w:rsidP="00933F69">
      <w:pPr>
        <w:pStyle w:val="ManualConsidrant"/>
        <w:rPr>
          <w:noProof/>
        </w:rPr>
      </w:pPr>
      <w:r w:rsidRPr="00933F69">
        <w:t>(3)</w:t>
      </w:r>
      <w:r w:rsidRPr="00933F69">
        <w:tab/>
      </w:r>
      <w:r w:rsidR="00DB5ADD" w:rsidRPr="00CB54DD">
        <w:rPr>
          <w:noProof/>
        </w:rPr>
        <w:t>Regulation (EU) No 260/2012</w:t>
      </w:r>
      <w:r w:rsidR="00556879" w:rsidRPr="00CB54DD">
        <w:rPr>
          <w:noProof/>
        </w:rPr>
        <w:t xml:space="preserve"> </w:t>
      </w:r>
      <w:r w:rsidR="00DB5ADD" w:rsidRPr="00CB54DD">
        <w:rPr>
          <w:noProof/>
        </w:rPr>
        <w:t xml:space="preserve">established technical and business requirements for credit transfers and direct debits in euro. </w:t>
      </w:r>
      <w:r w:rsidR="00164694" w:rsidRPr="00CB54DD">
        <w:rPr>
          <w:noProof/>
        </w:rPr>
        <w:t>I</w:t>
      </w:r>
      <w:r w:rsidR="00DB5ADD" w:rsidRPr="00CB54DD">
        <w:rPr>
          <w:noProof/>
        </w:rPr>
        <w:t xml:space="preserve">nstant credit transfers in euro are a </w:t>
      </w:r>
      <w:r w:rsidR="00A61444">
        <w:rPr>
          <w:noProof/>
        </w:rPr>
        <w:t xml:space="preserve">relatively </w:t>
      </w:r>
      <w:r w:rsidR="003226BB" w:rsidRPr="00CB54DD">
        <w:rPr>
          <w:noProof/>
        </w:rPr>
        <w:t>new category</w:t>
      </w:r>
      <w:r w:rsidR="00DB5ADD" w:rsidRPr="00CB54DD">
        <w:rPr>
          <w:noProof/>
        </w:rPr>
        <w:t xml:space="preserve"> of credit transfers in euro</w:t>
      </w:r>
      <w:r w:rsidR="00164694" w:rsidRPr="00CB54DD">
        <w:rPr>
          <w:noProof/>
        </w:rPr>
        <w:t xml:space="preserve"> which </w:t>
      </w:r>
      <w:r w:rsidR="00C16CD1" w:rsidRPr="00CB54DD">
        <w:rPr>
          <w:noProof/>
        </w:rPr>
        <w:t xml:space="preserve">emerged on the market </w:t>
      </w:r>
      <w:r w:rsidR="00A61444">
        <w:rPr>
          <w:noProof/>
        </w:rPr>
        <w:t xml:space="preserve">only </w:t>
      </w:r>
      <w:r w:rsidR="00C16CD1" w:rsidRPr="00CB54DD">
        <w:rPr>
          <w:noProof/>
        </w:rPr>
        <w:t xml:space="preserve">after the </w:t>
      </w:r>
      <w:r w:rsidR="00F5798D" w:rsidRPr="00CB54DD">
        <w:rPr>
          <w:noProof/>
        </w:rPr>
        <w:t>adopt</w:t>
      </w:r>
      <w:r w:rsidR="00297F38" w:rsidRPr="00CB54DD">
        <w:rPr>
          <w:noProof/>
        </w:rPr>
        <w:t>ion of</w:t>
      </w:r>
      <w:r w:rsidR="00F5798D" w:rsidRPr="00CB54DD">
        <w:rPr>
          <w:noProof/>
        </w:rPr>
        <w:t xml:space="preserve"> </w:t>
      </w:r>
      <w:r w:rsidR="00164694" w:rsidRPr="00CB54DD">
        <w:rPr>
          <w:noProof/>
        </w:rPr>
        <w:t>th</w:t>
      </w:r>
      <w:r w:rsidR="00F5798D" w:rsidRPr="00CB54DD">
        <w:rPr>
          <w:noProof/>
        </w:rPr>
        <w:t>at</w:t>
      </w:r>
      <w:r w:rsidR="00164694" w:rsidRPr="00CB54DD">
        <w:rPr>
          <w:noProof/>
        </w:rPr>
        <w:t xml:space="preserve"> </w:t>
      </w:r>
      <w:r w:rsidR="00106C8D" w:rsidRPr="00CB54DD">
        <w:rPr>
          <w:noProof/>
        </w:rPr>
        <w:t>R</w:t>
      </w:r>
      <w:r w:rsidR="00164694" w:rsidRPr="00CB54DD">
        <w:rPr>
          <w:noProof/>
        </w:rPr>
        <w:t>egulation. I</w:t>
      </w:r>
      <w:r w:rsidR="00DB5ADD" w:rsidRPr="00CB54DD">
        <w:rPr>
          <w:noProof/>
        </w:rPr>
        <w:t xml:space="preserve">t is </w:t>
      </w:r>
      <w:r w:rsidR="00164694" w:rsidRPr="00CB54DD">
        <w:rPr>
          <w:noProof/>
        </w:rPr>
        <w:t xml:space="preserve">therefore </w:t>
      </w:r>
      <w:r w:rsidR="00106C8D" w:rsidRPr="00CB54DD">
        <w:rPr>
          <w:noProof/>
        </w:rPr>
        <w:t xml:space="preserve">necessary </w:t>
      </w:r>
      <w:r w:rsidR="00DB5ADD" w:rsidRPr="00CB54DD">
        <w:rPr>
          <w:noProof/>
        </w:rPr>
        <w:t xml:space="preserve">to provide for </w:t>
      </w:r>
      <w:r w:rsidR="00164694" w:rsidRPr="00CB54DD">
        <w:rPr>
          <w:noProof/>
        </w:rPr>
        <w:t>specific</w:t>
      </w:r>
      <w:r w:rsidR="00DB5ADD" w:rsidRPr="00CB54DD">
        <w:rPr>
          <w:noProof/>
        </w:rPr>
        <w:t xml:space="preserve"> requirements for instant credit transfers in euro</w:t>
      </w:r>
      <w:r w:rsidR="006C25C3" w:rsidRPr="00CB54DD">
        <w:rPr>
          <w:noProof/>
        </w:rPr>
        <w:t>, in addition to the general requirements applicable to all credit transfers</w:t>
      </w:r>
      <w:r w:rsidR="00DB5ADD" w:rsidRPr="00CB54DD">
        <w:rPr>
          <w:noProof/>
        </w:rPr>
        <w:t>.</w:t>
      </w:r>
    </w:p>
    <w:p w:rsidR="005D4F0E" w:rsidRDefault="00933F69" w:rsidP="00933F69">
      <w:pPr>
        <w:pStyle w:val="ManualConsidrant"/>
        <w:rPr>
          <w:noProof/>
        </w:rPr>
      </w:pPr>
      <w:r w:rsidRPr="00933F69">
        <w:t>(4)</w:t>
      </w:r>
      <w:r w:rsidRPr="00933F69">
        <w:tab/>
      </w:r>
      <w:r w:rsidR="005D4F0E" w:rsidRPr="00CB54DD">
        <w:rPr>
          <w:noProof/>
        </w:rPr>
        <w:t xml:space="preserve">A number of national regulatory solutions have already been adopted or proposed to increase the uptake of instant credit transfers in euro, including by strengthening PSUs’ protection from sending funds to an unintended payee or specifying the process of compliance with obligations flowing from Union sanctions. Those national regulatory solutions pose a risk of fragmentation of the internal market, thus increasing the compliance costs due to different sets of national regulatory requirements, and making the execution of cross-border instant credit transfers more difficult. </w:t>
      </w:r>
    </w:p>
    <w:p w:rsidR="00534822" w:rsidRPr="00CB54DD" w:rsidRDefault="00933F69" w:rsidP="00933F69">
      <w:pPr>
        <w:pStyle w:val="ManualConsidrant"/>
        <w:rPr>
          <w:noProof/>
        </w:rPr>
      </w:pPr>
      <w:r w:rsidRPr="00933F69">
        <w:t>(5)</w:t>
      </w:r>
      <w:r w:rsidRPr="00933F69">
        <w:tab/>
      </w:r>
      <w:r w:rsidR="00534822" w:rsidRPr="00CB54DD">
        <w:rPr>
          <w:noProof/>
        </w:rPr>
        <w:t xml:space="preserve">Prior to the emergence of instant credit transfers, payment transactions were generally bundled by PSPs and submitted to a retail payment system for clearing and settlement purposes at pre-specified times. However, in retail payment systems currently used to process instant credit transfers in euro, payment transactions are submitted individually, processed in real time and round the clock. To reflect this, it is </w:t>
      </w:r>
      <w:r w:rsidR="000F1906">
        <w:rPr>
          <w:noProof/>
        </w:rPr>
        <w:t>necessary</w:t>
      </w:r>
      <w:r w:rsidR="000F1906" w:rsidRPr="00CB54DD">
        <w:rPr>
          <w:noProof/>
        </w:rPr>
        <w:t xml:space="preserve"> </w:t>
      </w:r>
      <w:r w:rsidR="00534822" w:rsidRPr="00CB54DD">
        <w:rPr>
          <w:noProof/>
        </w:rPr>
        <w:t>to amend the definition of ‘retail payment system’.</w:t>
      </w:r>
    </w:p>
    <w:p w:rsidR="009D1724" w:rsidRPr="00CB54DD" w:rsidRDefault="00933F69" w:rsidP="00933F69">
      <w:pPr>
        <w:pStyle w:val="ManualConsidrant"/>
        <w:rPr>
          <w:noProof/>
        </w:rPr>
      </w:pPr>
      <w:r w:rsidRPr="00933F69">
        <w:t>(6)</w:t>
      </w:r>
      <w:r w:rsidRPr="00933F69">
        <w:tab/>
      </w:r>
      <w:r w:rsidR="0000619C" w:rsidRPr="00CB54DD">
        <w:rPr>
          <w:noProof/>
        </w:rPr>
        <w:t xml:space="preserve">Ensuring that </w:t>
      </w:r>
      <w:r w:rsidR="00213947" w:rsidRPr="00CB54DD">
        <w:rPr>
          <w:noProof/>
        </w:rPr>
        <w:t xml:space="preserve">all PSUs in the Union </w:t>
      </w:r>
      <w:r w:rsidR="0000619C" w:rsidRPr="00CB54DD">
        <w:rPr>
          <w:noProof/>
        </w:rPr>
        <w:t xml:space="preserve">are </w:t>
      </w:r>
      <w:r w:rsidR="00213947" w:rsidRPr="00CB54DD">
        <w:rPr>
          <w:noProof/>
        </w:rPr>
        <w:t xml:space="preserve">able to place payment orders </w:t>
      </w:r>
      <w:r w:rsidR="00106C8D" w:rsidRPr="00CB54DD">
        <w:rPr>
          <w:noProof/>
        </w:rPr>
        <w:t xml:space="preserve">for </w:t>
      </w:r>
      <w:r w:rsidR="00213947" w:rsidRPr="00CB54DD">
        <w:rPr>
          <w:noProof/>
        </w:rPr>
        <w:t>and receive instant credit transfers in euro</w:t>
      </w:r>
      <w:r w:rsidR="0000619C" w:rsidRPr="00CB54DD">
        <w:rPr>
          <w:noProof/>
        </w:rPr>
        <w:t xml:space="preserve"> is a precondition for an increased uptake of such transactions</w:t>
      </w:r>
      <w:r w:rsidR="00213947" w:rsidRPr="00CB54DD">
        <w:rPr>
          <w:noProof/>
        </w:rPr>
        <w:t xml:space="preserve">. Currently, </w:t>
      </w:r>
      <w:r w:rsidR="005D4737" w:rsidRPr="00CB54DD">
        <w:rPr>
          <w:noProof/>
        </w:rPr>
        <w:t>at least</w:t>
      </w:r>
      <w:r w:rsidR="00213947" w:rsidRPr="00CB54DD">
        <w:rPr>
          <w:noProof/>
        </w:rPr>
        <w:t xml:space="preserve"> one third of PSPs in the U</w:t>
      </w:r>
      <w:r w:rsidR="008C47C1" w:rsidRPr="00CB54DD">
        <w:rPr>
          <w:noProof/>
        </w:rPr>
        <w:t>nion</w:t>
      </w:r>
      <w:r w:rsidR="00213947" w:rsidRPr="00CB54DD">
        <w:rPr>
          <w:noProof/>
        </w:rPr>
        <w:t xml:space="preserve"> do not offer instant credit transfers in euro</w:t>
      </w:r>
      <w:r w:rsidR="00A61444">
        <w:rPr>
          <w:noProof/>
        </w:rPr>
        <w:t>.</w:t>
      </w:r>
      <w:r w:rsidR="00213947" w:rsidRPr="00CB54DD">
        <w:rPr>
          <w:noProof/>
        </w:rPr>
        <w:t xml:space="preserve"> </w:t>
      </w:r>
      <w:r w:rsidR="0082073C">
        <w:rPr>
          <w:noProof/>
        </w:rPr>
        <w:t>Moreover</w:t>
      </w:r>
      <w:r w:rsidR="00A61444">
        <w:rPr>
          <w:noProof/>
        </w:rPr>
        <w:t>,</w:t>
      </w:r>
      <w:r w:rsidR="00213947" w:rsidRPr="00CB54DD">
        <w:rPr>
          <w:noProof/>
        </w:rPr>
        <w:t xml:space="preserve"> the rate at which PSPs have been adding instant credit transfers to their services has been, over the last few years, </w:t>
      </w:r>
      <w:r w:rsidR="00106C8D" w:rsidRPr="00CB54DD">
        <w:rPr>
          <w:noProof/>
        </w:rPr>
        <w:t xml:space="preserve">too </w:t>
      </w:r>
      <w:r w:rsidR="00213947" w:rsidRPr="00CB54DD">
        <w:rPr>
          <w:noProof/>
        </w:rPr>
        <w:t>slow</w:t>
      </w:r>
      <w:r w:rsidR="0044162B" w:rsidRPr="00CB54DD">
        <w:rPr>
          <w:noProof/>
        </w:rPr>
        <w:t>, which</w:t>
      </w:r>
      <w:r w:rsidR="00106C8D" w:rsidRPr="00CB54DD">
        <w:rPr>
          <w:noProof/>
        </w:rPr>
        <w:t xml:space="preserve"> </w:t>
      </w:r>
      <w:r w:rsidR="00213947" w:rsidRPr="00CB54DD">
        <w:rPr>
          <w:noProof/>
        </w:rPr>
        <w:t xml:space="preserve">hinders further integration of the </w:t>
      </w:r>
      <w:r w:rsidR="00740BD0" w:rsidRPr="00CB54DD">
        <w:rPr>
          <w:noProof/>
        </w:rPr>
        <w:t>Union’s</w:t>
      </w:r>
      <w:r w:rsidR="00106C8D" w:rsidRPr="00CB54DD">
        <w:rPr>
          <w:noProof/>
        </w:rPr>
        <w:t xml:space="preserve"> </w:t>
      </w:r>
      <w:r w:rsidR="00213947" w:rsidRPr="00CB54DD">
        <w:rPr>
          <w:noProof/>
        </w:rPr>
        <w:t xml:space="preserve">internal payments market. Therefore, PSPs </w:t>
      </w:r>
      <w:r w:rsidR="00A61444">
        <w:rPr>
          <w:noProof/>
        </w:rPr>
        <w:t xml:space="preserve">should be required </w:t>
      </w:r>
      <w:r w:rsidR="00213947" w:rsidRPr="00CB54DD">
        <w:rPr>
          <w:noProof/>
        </w:rPr>
        <w:t>to offer the service of sending and receiving instant credit transfers in euro</w:t>
      </w:r>
      <w:r w:rsidR="00C709D9" w:rsidRPr="00CB54DD">
        <w:rPr>
          <w:noProof/>
        </w:rPr>
        <w:t>.</w:t>
      </w:r>
    </w:p>
    <w:p w:rsidR="002D4EB4" w:rsidRPr="00CB54DD" w:rsidRDefault="00933F69" w:rsidP="00933F69">
      <w:pPr>
        <w:pStyle w:val="ManualConsidrant"/>
        <w:rPr>
          <w:noProof/>
        </w:rPr>
      </w:pPr>
      <w:r w:rsidRPr="00933F69">
        <w:t>(7)</w:t>
      </w:r>
      <w:r w:rsidRPr="00933F69">
        <w:tab/>
      </w:r>
      <w:r w:rsidR="0082073C">
        <w:rPr>
          <w:noProof/>
        </w:rPr>
        <w:t>T</w:t>
      </w:r>
      <w:r w:rsidR="00DB7C56" w:rsidRPr="00CB54DD">
        <w:rPr>
          <w:noProof/>
        </w:rPr>
        <w:t xml:space="preserve">o create an integrated market for instant credit transfers in euro, it is essential that such transactions </w:t>
      </w:r>
      <w:r w:rsidR="0044162B" w:rsidRPr="00CB54DD">
        <w:rPr>
          <w:noProof/>
        </w:rPr>
        <w:t>are processed</w:t>
      </w:r>
      <w:r w:rsidR="00DB7C56" w:rsidRPr="00CB54DD">
        <w:rPr>
          <w:noProof/>
        </w:rPr>
        <w:t xml:space="preserve"> </w:t>
      </w:r>
      <w:r w:rsidR="0044162B" w:rsidRPr="00CB54DD">
        <w:rPr>
          <w:noProof/>
        </w:rPr>
        <w:t>in accordance with</w:t>
      </w:r>
      <w:r w:rsidR="00DB7C56" w:rsidRPr="00CB54DD">
        <w:rPr>
          <w:noProof/>
        </w:rPr>
        <w:t xml:space="preserve"> a common set of rules and requirements. An instant credit transfer in euro enables funds to be credited to the account of the payee within seconds </w:t>
      </w:r>
      <w:r w:rsidR="00106C8D" w:rsidRPr="00CB54DD">
        <w:rPr>
          <w:noProof/>
        </w:rPr>
        <w:t xml:space="preserve">and </w:t>
      </w:r>
      <w:r w:rsidR="00DB7C56" w:rsidRPr="00CB54DD">
        <w:rPr>
          <w:noProof/>
        </w:rPr>
        <w:t xml:space="preserve">round the clock. </w:t>
      </w:r>
      <w:r w:rsidR="00423CD3">
        <w:rPr>
          <w:noProof/>
        </w:rPr>
        <w:t xml:space="preserve"> The</w:t>
      </w:r>
      <w:r w:rsidR="00DB7C56" w:rsidRPr="00CB54DD">
        <w:rPr>
          <w:noProof/>
        </w:rPr>
        <w:t xml:space="preserve"> round the clock availability </w:t>
      </w:r>
      <w:r w:rsidR="001C1668" w:rsidRPr="00CB54DD">
        <w:rPr>
          <w:noProof/>
        </w:rPr>
        <w:t>every day of the year</w:t>
      </w:r>
      <w:r w:rsidR="000D7FCC">
        <w:rPr>
          <w:noProof/>
        </w:rPr>
        <w:t xml:space="preserve"> is an intrinsic feature of instant credit transfers</w:t>
      </w:r>
      <w:r w:rsidR="00423CD3">
        <w:rPr>
          <w:noProof/>
        </w:rPr>
        <w:t>. Therefore,</w:t>
      </w:r>
      <w:r w:rsidR="000D7FCC">
        <w:rPr>
          <w:noProof/>
        </w:rPr>
        <w:t xml:space="preserve"> it is appropriate that </w:t>
      </w:r>
      <w:r w:rsidR="00423CD3">
        <w:rPr>
          <w:noProof/>
        </w:rPr>
        <w:t xml:space="preserve">the definition of instant credit transfers </w:t>
      </w:r>
      <w:r w:rsidR="000D7FCC">
        <w:rPr>
          <w:noProof/>
        </w:rPr>
        <w:t>refer</w:t>
      </w:r>
      <w:r w:rsidR="00423CD3">
        <w:rPr>
          <w:noProof/>
        </w:rPr>
        <w:t>s</w:t>
      </w:r>
      <w:r w:rsidR="000D7FCC">
        <w:rPr>
          <w:noProof/>
        </w:rPr>
        <w:t xml:space="preserve"> to the specific conditions that </w:t>
      </w:r>
      <w:r w:rsidR="00423CD3">
        <w:rPr>
          <w:noProof/>
        </w:rPr>
        <w:t>they</w:t>
      </w:r>
      <w:r w:rsidR="000D7FCC">
        <w:rPr>
          <w:noProof/>
        </w:rPr>
        <w:t xml:space="preserve"> </w:t>
      </w:r>
      <w:r w:rsidR="00CC341E">
        <w:rPr>
          <w:noProof/>
        </w:rPr>
        <w:t>should</w:t>
      </w:r>
      <w:r w:rsidR="000D7FCC">
        <w:rPr>
          <w:noProof/>
        </w:rPr>
        <w:t xml:space="preserve"> meet regarding the time of receipt of </w:t>
      </w:r>
      <w:r w:rsidR="00DB7C56" w:rsidRPr="00CB54DD">
        <w:rPr>
          <w:noProof/>
        </w:rPr>
        <w:t xml:space="preserve"> payment orders</w:t>
      </w:r>
      <w:r w:rsidR="00536E28" w:rsidRPr="00CB54DD">
        <w:rPr>
          <w:noProof/>
        </w:rPr>
        <w:t xml:space="preserve">, </w:t>
      </w:r>
      <w:r w:rsidR="00423CD3">
        <w:rPr>
          <w:noProof/>
        </w:rPr>
        <w:t xml:space="preserve">processing, crediting and </w:t>
      </w:r>
      <w:r w:rsidR="00536E28" w:rsidRPr="00CB54DD">
        <w:rPr>
          <w:noProof/>
        </w:rPr>
        <w:t>value dating</w:t>
      </w:r>
      <w:r w:rsidR="00423CD3">
        <w:rPr>
          <w:noProof/>
        </w:rPr>
        <w:t xml:space="preserve">. </w:t>
      </w:r>
    </w:p>
    <w:p w:rsidR="000D2DC4" w:rsidRPr="00CB54DD" w:rsidRDefault="00933F69" w:rsidP="00933F69">
      <w:pPr>
        <w:pStyle w:val="ManualConsidrant"/>
        <w:rPr>
          <w:noProof/>
        </w:rPr>
      </w:pPr>
      <w:r w:rsidRPr="00933F69">
        <w:t>(8)</w:t>
      </w:r>
      <w:r w:rsidRPr="00933F69">
        <w:tab/>
      </w:r>
      <w:r w:rsidR="000D2DC4" w:rsidRPr="00CB54DD">
        <w:rPr>
          <w:noProof/>
        </w:rPr>
        <w:t xml:space="preserve">There is a variety of interfaces through which PSUs can place a payment order for a credit transfer in euro, including via online banking, a mobile application, </w:t>
      </w:r>
      <w:r w:rsidR="00740BD0" w:rsidRPr="00CB54DD">
        <w:rPr>
          <w:noProof/>
        </w:rPr>
        <w:t xml:space="preserve">an automated teller machine, </w:t>
      </w:r>
      <w:r w:rsidR="000D2DC4" w:rsidRPr="00CB54DD">
        <w:rPr>
          <w:noProof/>
        </w:rPr>
        <w:t>in a branch, or by phone. To ensure that all PSUs have access to instant credit transfers in euro, there should be no difference in terms of the interfaces through which PSUs can place payment orders for instant and other types of credit transfer transactions. Moreover, where it is possible for a PSU to submit to a PSP</w:t>
      </w:r>
      <w:r w:rsidR="001C1668" w:rsidRPr="00CB54DD">
        <w:rPr>
          <w:noProof/>
        </w:rPr>
        <w:t xml:space="preserve"> </w:t>
      </w:r>
      <w:r w:rsidR="000D2DC4" w:rsidRPr="00CB54DD">
        <w:rPr>
          <w:noProof/>
        </w:rPr>
        <w:t>payment orders</w:t>
      </w:r>
      <w:r w:rsidR="001C1668" w:rsidRPr="00CB54DD">
        <w:rPr>
          <w:noProof/>
        </w:rPr>
        <w:t xml:space="preserve"> for credit transfers</w:t>
      </w:r>
      <w:r w:rsidR="00A019A6" w:rsidRPr="00CB54DD">
        <w:rPr>
          <w:noProof/>
        </w:rPr>
        <w:t xml:space="preserve"> packaged together</w:t>
      </w:r>
      <w:r w:rsidR="000D2DC4" w:rsidRPr="00CB54DD">
        <w:rPr>
          <w:noProof/>
        </w:rPr>
        <w:t xml:space="preserve">, that </w:t>
      </w:r>
      <w:r w:rsidR="001C1668" w:rsidRPr="00CB54DD">
        <w:rPr>
          <w:noProof/>
        </w:rPr>
        <w:t xml:space="preserve">same </w:t>
      </w:r>
      <w:r w:rsidR="000D2DC4" w:rsidRPr="00CB54DD">
        <w:rPr>
          <w:noProof/>
        </w:rPr>
        <w:t>possibility should also be available with respect to instant credit transfers</w:t>
      </w:r>
      <w:r w:rsidR="00F5798D" w:rsidRPr="00CB54DD">
        <w:rPr>
          <w:noProof/>
        </w:rPr>
        <w:t xml:space="preserve"> in euro</w:t>
      </w:r>
      <w:r w:rsidR="000D2DC4" w:rsidRPr="00CB54DD">
        <w:rPr>
          <w:noProof/>
        </w:rPr>
        <w:t xml:space="preserve">. PSPs should be able to </w:t>
      </w:r>
      <w:r w:rsidR="00297F38" w:rsidRPr="00CB54DD">
        <w:rPr>
          <w:noProof/>
        </w:rPr>
        <w:t>offer</w:t>
      </w:r>
      <w:r w:rsidR="001C1668" w:rsidRPr="00CB54DD">
        <w:rPr>
          <w:noProof/>
        </w:rPr>
        <w:t xml:space="preserve"> </w:t>
      </w:r>
      <w:r w:rsidR="000D2DC4" w:rsidRPr="00CB54DD">
        <w:rPr>
          <w:noProof/>
        </w:rPr>
        <w:t>all credit transfers in euro initiated by their PSUs as instant</w:t>
      </w:r>
      <w:r w:rsidR="00297F38" w:rsidRPr="00CB54DD">
        <w:rPr>
          <w:noProof/>
        </w:rPr>
        <w:t xml:space="preserve"> by default</w:t>
      </w:r>
      <w:r w:rsidR="000D2DC4" w:rsidRPr="00CB54DD">
        <w:rPr>
          <w:noProof/>
        </w:rPr>
        <w:t>.</w:t>
      </w:r>
    </w:p>
    <w:p w:rsidR="00A12FA3" w:rsidRPr="00CB54DD" w:rsidRDefault="00933F69" w:rsidP="00933F69">
      <w:pPr>
        <w:pStyle w:val="ManualConsidrant"/>
        <w:rPr>
          <w:noProof/>
        </w:rPr>
      </w:pPr>
      <w:r w:rsidRPr="00933F69">
        <w:t>(9)</w:t>
      </w:r>
      <w:r w:rsidRPr="00933F69">
        <w:tab/>
      </w:r>
      <w:r w:rsidR="00213947" w:rsidRPr="00CB54DD">
        <w:rPr>
          <w:noProof/>
        </w:rPr>
        <w:t xml:space="preserve">It would not be proportionate to impose </w:t>
      </w:r>
      <w:r w:rsidR="0044162B" w:rsidRPr="00CB54DD">
        <w:rPr>
          <w:noProof/>
        </w:rPr>
        <w:t xml:space="preserve">on payment institutions and electronic money institutions </w:t>
      </w:r>
      <w:r w:rsidR="00213947" w:rsidRPr="00CB54DD">
        <w:rPr>
          <w:noProof/>
        </w:rPr>
        <w:t xml:space="preserve">an obligation to offer the service of sending and receiving instant credit transfers in euro, </w:t>
      </w:r>
      <w:r w:rsidR="0044162B" w:rsidRPr="00CB54DD">
        <w:rPr>
          <w:noProof/>
        </w:rPr>
        <w:t xml:space="preserve">because </w:t>
      </w:r>
      <w:r w:rsidR="00213947" w:rsidRPr="00CB54DD">
        <w:rPr>
          <w:noProof/>
        </w:rPr>
        <w:t>th</w:t>
      </w:r>
      <w:r w:rsidR="0044162B" w:rsidRPr="00CB54DD">
        <w:rPr>
          <w:noProof/>
        </w:rPr>
        <w:t>o</w:t>
      </w:r>
      <w:r w:rsidR="001C1668" w:rsidRPr="00CB54DD">
        <w:rPr>
          <w:noProof/>
        </w:rPr>
        <w:t>se</w:t>
      </w:r>
      <w:r w:rsidR="00213947" w:rsidRPr="00CB54DD">
        <w:rPr>
          <w:noProof/>
        </w:rPr>
        <w:t xml:space="preserve"> </w:t>
      </w:r>
      <w:r w:rsidR="001C1668" w:rsidRPr="00CB54DD">
        <w:rPr>
          <w:noProof/>
        </w:rPr>
        <w:t xml:space="preserve">institutions </w:t>
      </w:r>
      <w:r w:rsidR="00213947" w:rsidRPr="00CB54DD">
        <w:rPr>
          <w:noProof/>
        </w:rPr>
        <w:t xml:space="preserve">cannot be admitted as participants in a payment system designated in accordance with Directive 98/26/EC </w:t>
      </w:r>
      <w:r w:rsidR="00FB0425" w:rsidRPr="00CB54DD">
        <w:rPr>
          <w:noProof/>
        </w:rPr>
        <w:t>of the European Parliament and of the Council</w:t>
      </w:r>
      <w:r w:rsidR="00FB0425" w:rsidRPr="00747039">
        <w:rPr>
          <w:rStyle w:val="FootnoteReference"/>
          <w:noProof/>
        </w:rPr>
        <w:footnoteReference w:id="37"/>
      </w:r>
      <w:r w:rsidR="0044162B" w:rsidRPr="00EA5206">
        <w:rPr>
          <w:noProof/>
        </w:rPr>
        <w:t>.</w:t>
      </w:r>
      <w:r w:rsidR="0044162B" w:rsidRPr="00CB54DD">
        <w:rPr>
          <w:noProof/>
        </w:rPr>
        <w:t xml:space="preserve"> Those institutions</w:t>
      </w:r>
      <w:r w:rsidR="00213947" w:rsidRPr="00CB54DD">
        <w:rPr>
          <w:noProof/>
        </w:rPr>
        <w:t xml:space="preserve"> </w:t>
      </w:r>
      <w:r w:rsidR="001C1668" w:rsidRPr="00CB54DD">
        <w:rPr>
          <w:noProof/>
        </w:rPr>
        <w:t xml:space="preserve">may </w:t>
      </w:r>
      <w:r w:rsidR="00213947" w:rsidRPr="00CB54DD">
        <w:rPr>
          <w:noProof/>
        </w:rPr>
        <w:t xml:space="preserve">therefore experience difficulties in accessing the infrastructure necessary to execute instant </w:t>
      </w:r>
      <w:r w:rsidR="00B71676" w:rsidRPr="00CB54DD">
        <w:rPr>
          <w:noProof/>
        </w:rPr>
        <w:t>credit transfers</w:t>
      </w:r>
      <w:r w:rsidR="00213947" w:rsidRPr="00CB54DD">
        <w:rPr>
          <w:noProof/>
        </w:rPr>
        <w:t xml:space="preserve">. </w:t>
      </w:r>
      <w:r w:rsidR="00222F9B" w:rsidRPr="00CB54DD">
        <w:rPr>
          <w:noProof/>
        </w:rPr>
        <w:t>I</w:t>
      </w:r>
      <w:r w:rsidR="00B71676" w:rsidRPr="00CB54DD">
        <w:rPr>
          <w:noProof/>
        </w:rPr>
        <w:t xml:space="preserve">t is </w:t>
      </w:r>
      <w:r w:rsidR="00222F9B" w:rsidRPr="00CB54DD">
        <w:rPr>
          <w:noProof/>
        </w:rPr>
        <w:t xml:space="preserve">therefore </w:t>
      </w:r>
      <w:r w:rsidR="00B71676" w:rsidRPr="00CB54DD">
        <w:rPr>
          <w:noProof/>
        </w:rPr>
        <w:t xml:space="preserve">appropriate to </w:t>
      </w:r>
      <w:r w:rsidR="0060585A" w:rsidRPr="00CB54DD">
        <w:rPr>
          <w:noProof/>
        </w:rPr>
        <w:t>ex</w:t>
      </w:r>
      <w:r w:rsidR="00B71676" w:rsidRPr="00CB54DD">
        <w:rPr>
          <w:noProof/>
        </w:rPr>
        <w:t>clude</w:t>
      </w:r>
      <w:r w:rsidR="00213947" w:rsidRPr="00CB54DD">
        <w:rPr>
          <w:noProof/>
        </w:rPr>
        <w:t xml:space="preserve"> payment institutions and electronic money institutions from </w:t>
      </w:r>
      <w:r w:rsidR="00222F9B" w:rsidRPr="00CB54DD">
        <w:rPr>
          <w:noProof/>
        </w:rPr>
        <w:t>the obligation to offer the service of sending and receiving instant credit transfers in euro</w:t>
      </w:r>
      <w:r w:rsidR="00C709D9" w:rsidRPr="00CB54DD">
        <w:rPr>
          <w:noProof/>
        </w:rPr>
        <w:t>.</w:t>
      </w:r>
    </w:p>
    <w:p w:rsidR="00213947" w:rsidRPr="00CB54DD" w:rsidRDefault="00933F69" w:rsidP="00933F69">
      <w:pPr>
        <w:pStyle w:val="ManualConsidrant"/>
        <w:rPr>
          <w:noProof/>
        </w:rPr>
      </w:pPr>
      <w:r w:rsidRPr="00933F69">
        <w:t>(10)</w:t>
      </w:r>
      <w:r w:rsidRPr="00933F69">
        <w:tab/>
      </w:r>
      <w:r w:rsidR="00213947" w:rsidRPr="00CB54DD">
        <w:rPr>
          <w:noProof/>
        </w:rPr>
        <w:t xml:space="preserve">PSUs </w:t>
      </w:r>
      <w:r w:rsidR="001C1668" w:rsidRPr="00CB54DD">
        <w:rPr>
          <w:noProof/>
        </w:rPr>
        <w:t xml:space="preserve">are </w:t>
      </w:r>
      <w:r w:rsidR="001361B9" w:rsidRPr="00CB54DD">
        <w:rPr>
          <w:noProof/>
        </w:rPr>
        <w:t>very</w:t>
      </w:r>
      <w:r w:rsidR="001C1668" w:rsidRPr="00CB54DD">
        <w:rPr>
          <w:noProof/>
        </w:rPr>
        <w:t xml:space="preserve"> sensitive </w:t>
      </w:r>
      <w:r w:rsidR="00213947" w:rsidRPr="00CB54DD">
        <w:rPr>
          <w:noProof/>
        </w:rPr>
        <w:t xml:space="preserve">to the level of </w:t>
      </w:r>
      <w:r w:rsidR="00ED5393" w:rsidRPr="00CB54DD">
        <w:rPr>
          <w:noProof/>
        </w:rPr>
        <w:t>charges</w:t>
      </w:r>
      <w:r w:rsidR="00213947" w:rsidRPr="00CB54DD">
        <w:rPr>
          <w:noProof/>
        </w:rPr>
        <w:t xml:space="preserve"> </w:t>
      </w:r>
      <w:r w:rsidR="00ED5393" w:rsidRPr="00CB54DD">
        <w:rPr>
          <w:noProof/>
        </w:rPr>
        <w:t>for</w:t>
      </w:r>
      <w:r w:rsidR="00213947" w:rsidRPr="00CB54DD">
        <w:rPr>
          <w:noProof/>
        </w:rPr>
        <w:t xml:space="preserve"> </w:t>
      </w:r>
      <w:r w:rsidR="00E31829" w:rsidRPr="00CB54DD">
        <w:rPr>
          <w:noProof/>
        </w:rPr>
        <w:t xml:space="preserve">substitutable </w:t>
      </w:r>
      <w:r w:rsidR="00213947" w:rsidRPr="00CB54DD">
        <w:rPr>
          <w:noProof/>
        </w:rPr>
        <w:t>payment methods</w:t>
      </w:r>
      <w:r w:rsidR="001C1668" w:rsidRPr="00CB54DD">
        <w:rPr>
          <w:noProof/>
        </w:rPr>
        <w:t xml:space="preserve">. The </w:t>
      </w:r>
      <w:r w:rsidR="00BF6C7D" w:rsidRPr="00CB54DD">
        <w:rPr>
          <w:noProof/>
        </w:rPr>
        <w:t xml:space="preserve">level of charges </w:t>
      </w:r>
      <w:r w:rsidR="00213947" w:rsidRPr="00CB54DD">
        <w:rPr>
          <w:noProof/>
        </w:rPr>
        <w:t xml:space="preserve">can </w:t>
      </w:r>
      <w:r w:rsidR="001C1668" w:rsidRPr="00CB54DD">
        <w:rPr>
          <w:noProof/>
        </w:rPr>
        <w:t xml:space="preserve">therefore </w:t>
      </w:r>
      <w:r w:rsidR="00213947" w:rsidRPr="00CB54DD">
        <w:rPr>
          <w:noProof/>
        </w:rPr>
        <w:t xml:space="preserve">steer them towards or away from a </w:t>
      </w:r>
      <w:r w:rsidR="001C1668" w:rsidRPr="00CB54DD">
        <w:rPr>
          <w:noProof/>
        </w:rPr>
        <w:t xml:space="preserve">given </w:t>
      </w:r>
      <w:r w:rsidR="00213947" w:rsidRPr="00CB54DD">
        <w:rPr>
          <w:noProof/>
        </w:rPr>
        <w:t xml:space="preserve">payment method. In </w:t>
      </w:r>
      <w:r w:rsidR="005E6DBD" w:rsidRPr="00CB54DD">
        <w:rPr>
          <w:noProof/>
        </w:rPr>
        <w:t xml:space="preserve">those </w:t>
      </w:r>
      <w:r w:rsidR="00213947" w:rsidRPr="00CB54DD">
        <w:rPr>
          <w:noProof/>
        </w:rPr>
        <w:t>national markets</w:t>
      </w:r>
      <w:r w:rsidR="00E31829" w:rsidRPr="00CB54DD">
        <w:rPr>
          <w:noProof/>
        </w:rPr>
        <w:t xml:space="preserve"> where </w:t>
      </w:r>
      <w:r w:rsidR="00A81600" w:rsidRPr="00CB54DD">
        <w:rPr>
          <w:noProof/>
        </w:rPr>
        <w:t xml:space="preserve">higher </w:t>
      </w:r>
      <w:r w:rsidR="00213947" w:rsidRPr="00CB54DD">
        <w:rPr>
          <w:noProof/>
        </w:rPr>
        <w:t xml:space="preserve">transaction-level </w:t>
      </w:r>
      <w:r w:rsidR="00ED5393" w:rsidRPr="00CB54DD">
        <w:rPr>
          <w:noProof/>
        </w:rPr>
        <w:t>charges</w:t>
      </w:r>
      <w:r w:rsidR="00213947" w:rsidRPr="00CB54DD">
        <w:rPr>
          <w:noProof/>
        </w:rPr>
        <w:t xml:space="preserve"> </w:t>
      </w:r>
      <w:r w:rsidR="00A81600" w:rsidRPr="00CB54DD">
        <w:rPr>
          <w:noProof/>
        </w:rPr>
        <w:t>for</w:t>
      </w:r>
      <w:r w:rsidR="00213947" w:rsidRPr="00CB54DD">
        <w:rPr>
          <w:noProof/>
        </w:rPr>
        <w:t xml:space="preserve"> instant </w:t>
      </w:r>
      <w:r w:rsidR="00A81600" w:rsidRPr="00CB54DD">
        <w:rPr>
          <w:noProof/>
        </w:rPr>
        <w:t xml:space="preserve">credit transfers </w:t>
      </w:r>
      <w:r w:rsidR="00D5591B" w:rsidRPr="00CB54DD">
        <w:rPr>
          <w:noProof/>
        </w:rPr>
        <w:t xml:space="preserve">in euro </w:t>
      </w:r>
      <w:r w:rsidR="00A81600" w:rsidRPr="00CB54DD">
        <w:rPr>
          <w:noProof/>
        </w:rPr>
        <w:t>compared to</w:t>
      </w:r>
      <w:r w:rsidR="00213947" w:rsidRPr="00CB54DD">
        <w:rPr>
          <w:noProof/>
        </w:rPr>
        <w:t xml:space="preserve"> </w:t>
      </w:r>
      <w:r w:rsidR="00A81600" w:rsidRPr="00CB54DD">
        <w:rPr>
          <w:noProof/>
        </w:rPr>
        <w:t xml:space="preserve">charges for </w:t>
      </w:r>
      <w:r w:rsidR="00213947" w:rsidRPr="00CB54DD">
        <w:rPr>
          <w:noProof/>
        </w:rPr>
        <w:t xml:space="preserve">other types of credit transfers </w:t>
      </w:r>
      <w:r w:rsidR="00D5591B" w:rsidRPr="00CB54DD">
        <w:rPr>
          <w:noProof/>
        </w:rPr>
        <w:t xml:space="preserve">in euro </w:t>
      </w:r>
      <w:r w:rsidR="00A81600" w:rsidRPr="00CB54DD">
        <w:rPr>
          <w:noProof/>
        </w:rPr>
        <w:t>have been applied</w:t>
      </w:r>
      <w:r w:rsidR="00DA667F" w:rsidRPr="00CB54DD">
        <w:rPr>
          <w:noProof/>
        </w:rPr>
        <w:t>,</w:t>
      </w:r>
      <w:r w:rsidR="005E6DBD" w:rsidRPr="00CB54DD">
        <w:rPr>
          <w:noProof/>
        </w:rPr>
        <w:t xml:space="preserve"> the uptake of instant credit transfers is low.</w:t>
      </w:r>
      <w:r w:rsidR="00A81600" w:rsidRPr="00CB54DD">
        <w:rPr>
          <w:noProof/>
        </w:rPr>
        <w:t xml:space="preserve"> </w:t>
      </w:r>
      <w:r w:rsidR="005E6DBD" w:rsidRPr="00CB54DD">
        <w:rPr>
          <w:noProof/>
        </w:rPr>
        <w:t>T</w:t>
      </w:r>
      <w:r w:rsidR="00A81600" w:rsidRPr="00CB54DD">
        <w:rPr>
          <w:noProof/>
        </w:rPr>
        <w:t>h</w:t>
      </w:r>
      <w:r w:rsidR="00E32B40" w:rsidRPr="00CB54DD">
        <w:rPr>
          <w:noProof/>
        </w:rPr>
        <w:t>at</w:t>
      </w:r>
      <w:r w:rsidR="00A81600" w:rsidRPr="00CB54DD">
        <w:rPr>
          <w:noProof/>
        </w:rPr>
        <w:t xml:space="preserve"> has </w:t>
      </w:r>
      <w:r w:rsidR="00213947" w:rsidRPr="00CB54DD">
        <w:rPr>
          <w:noProof/>
        </w:rPr>
        <w:t xml:space="preserve">prevented the attainment of the critical mass of instant credit transfers in euro that is necessary to realise the full network effects for PSPs and PSUs alike. </w:t>
      </w:r>
      <w:r w:rsidR="00E32B40" w:rsidRPr="00CB54DD">
        <w:rPr>
          <w:noProof/>
        </w:rPr>
        <w:t>A</w:t>
      </w:r>
      <w:r w:rsidR="00213947" w:rsidRPr="00CB54DD">
        <w:rPr>
          <w:noProof/>
        </w:rPr>
        <w:t xml:space="preserve">ll types of </w:t>
      </w:r>
      <w:r w:rsidR="00ED5393" w:rsidRPr="00CB54DD">
        <w:rPr>
          <w:noProof/>
        </w:rPr>
        <w:t>charges</w:t>
      </w:r>
      <w:r w:rsidR="00213947" w:rsidRPr="00CB54DD">
        <w:rPr>
          <w:noProof/>
        </w:rPr>
        <w:t xml:space="preserve"> </w:t>
      </w:r>
      <w:r w:rsidR="00ED5393" w:rsidRPr="00CB54DD">
        <w:rPr>
          <w:noProof/>
        </w:rPr>
        <w:t>applied</w:t>
      </w:r>
      <w:r w:rsidR="00213947" w:rsidRPr="00CB54DD">
        <w:rPr>
          <w:noProof/>
        </w:rPr>
        <w:t xml:space="preserve"> to payers and payees for the execution of instant credit transfers in euro, including per transaction </w:t>
      </w:r>
      <w:r w:rsidR="00ED5393" w:rsidRPr="00CB54DD">
        <w:rPr>
          <w:noProof/>
        </w:rPr>
        <w:t>charges</w:t>
      </w:r>
      <w:r w:rsidR="00213947" w:rsidRPr="00CB54DD">
        <w:rPr>
          <w:noProof/>
        </w:rPr>
        <w:t xml:space="preserve"> or lump sum </w:t>
      </w:r>
      <w:r w:rsidR="00ED5393" w:rsidRPr="00CB54DD">
        <w:rPr>
          <w:noProof/>
        </w:rPr>
        <w:t>charges</w:t>
      </w:r>
      <w:r w:rsidR="00213947" w:rsidRPr="00CB54DD">
        <w:rPr>
          <w:noProof/>
        </w:rPr>
        <w:t xml:space="preserve">, should </w:t>
      </w:r>
      <w:r w:rsidR="00E32B40" w:rsidRPr="00CB54DD">
        <w:rPr>
          <w:noProof/>
        </w:rPr>
        <w:t xml:space="preserve">therefore </w:t>
      </w:r>
      <w:r w:rsidR="00213947" w:rsidRPr="00CB54DD">
        <w:rPr>
          <w:noProof/>
        </w:rPr>
        <w:t xml:space="preserve">not exceed such </w:t>
      </w:r>
      <w:r w:rsidR="00ED5393" w:rsidRPr="00CB54DD">
        <w:rPr>
          <w:noProof/>
        </w:rPr>
        <w:t>charges</w:t>
      </w:r>
      <w:r w:rsidR="00213947" w:rsidRPr="00CB54DD">
        <w:rPr>
          <w:noProof/>
        </w:rPr>
        <w:t xml:space="preserve"> </w:t>
      </w:r>
      <w:r w:rsidR="00ED5393" w:rsidRPr="00CB54DD">
        <w:rPr>
          <w:noProof/>
        </w:rPr>
        <w:t>applied</w:t>
      </w:r>
      <w:r w:rsidR="00213947" w:rsidRPr="00CB54DD">
        <w:rPr>
          <w:noProof/>
        </w:rPr>
        <w:t xml:space="preserve"> to the same PSU for corresponding types of other credit transfers</w:t>
      </w:r>
      <w:r w:rsidR="00D5591B" w:rsidRPr="00CB54DD">
        <w:rPr>
          <w:noProof/>
        </w:rPr>
        <w:t xml:space="preserve"> in euro</w:t>
      </w:r>
      <w:r w:rsidR="00ED4FC2" w:rsidRPr="00CB54DD">
        <w:rPr>
          <w:noProof/>
        </w:rPr>
        <w:t>. When identifying corresponding types of credit transfers</w:t>
      </w:r>
      <w:r w:rsidR="00213947" w:rsidRPr="00CB54DD">
        <w:rPr>
          <w:noProof/>
        </w:rPr>
        <w:t xml:space="preserve">, </w:t>
      </w:r>
      <w:r w:rsidR="00903B83" w:rsidRPr="00CB54DD">
        <w:rPr>
          <w:noProof/>
        </w:rPr>
        <w:t xml:space="preserve">it should be possible to use </w:t>
      </w:r>
      <w:r w:rsidR="00ED4FC2" w:rsidRPr="00CB54DD">
        <w:rPr>
          <w:noProof/>
        </w:rPr>
        <w:t xml:space="preserve">criteria </w:t>
      </w:r>
      <w:r w:rsidR="00E52251" w:rsidRPr="00CB54DD">
        <w:rPr>
          <w:noProof/>
        </w:rPr>
        <w:t>including</w:t>
      </w:r>
      <w:r w:rsidR="00213947" w:rsidRPr="00CB54DD">
        <w:rPr>
          <w:noProof/>
        </w:rPr>
        <w:t xml:space="preserve"> the PSU interface </w:t>
      </w:r>
      <w:r w:rsidR="00ED4FC2" w:rsidRPr="00CB54DD">
        <w:rPr>
          <w:noProof/>
        </w:rPr>
        <w:t xml:space="preserve">or the payment instrument </w:t>
      </w:r>
      <w:r w:rsidR="00213947" w:rsidRPr="00CB54DD">
        <w:rPr>
          <w:noProof/>
        </w:rPr>
        <w:t>used</w:t>
      </w:r>
      <w:r w:rsidR="00BE5936" w:rsidRPr="00CB54DD">
        <w:rPr>
          <w:noProof/>
        </w:rPr>
        <w:t xml:space="preserve"> to initiate the payment, customer status </w:t>
      </w:r>
      <w:r w:rsidR="00903B83" w:rsidRPr="00CB54DD">
        <w:rPr>
          <w:noProof/>
        </w:rPr>
        <w:t>and,</w:t>
      </w:r>
      <w:r w:rsidR="00ED4FC2" w:rsidRPr="00CB54DD">
        <w:rPr>
          <w:noProof/>
        </w:rPr>
        <w:t xml:space="preserve"> where relevant, whether the payment is national or cross-border</w:t>
      </w:r>
      <w:r w:rsidR="00BE5936" w:rsidRPr="00CB54DD">
        <w:rPr>
          <w:noProof/>
        </w:rPr>
        <w:t>.</w:t>
      </w:r>
    </w:p>
    <w:p w:rsidR="002754E2" w:rsidRPr="00CB54DD" w:rsidRDefault="00933F69" w:rsidP="00933F69">
      <w:pPr>
        <w:pStyle w:val="ManualConsidrant"/>
        <w:rPr>
          <w:noProof/>
        </w:rPr>
      </w:pPr>
      <w:r w:rsidRPr="00933F69">
        <w:t>(11)</w:t>
      </w:r>
      <w:r w:rsidRPr="00933F69">
        <w:tab/>
      </w:r>
      <w:r w:rsidR="00213947" w:rsidRPr="00CB54DD">
        <w:rPr>
          <w:noProof/>
        </w:rPr>
        <w:t xml:space="preserve">Security of instant credit transfers in euro is fundamental for increasing PSUs’ confidence in such services and ensuring their use. </w:t>
      </w:r>
      <w:r w:rsidR="00F75E2E" w:rsidRPr="00CB54DD">
        <w:rPr>
          <w:noProof/>
        </w:rPr>
        <w:t xml:space="preserve">Payers </w:t>
      </w:r>
      <w:r w:rsidR="00213947" w:rsidRPr="00CB54DD">
        <w:rPr>
          <w:noProof/>
        </w:rPr>
        <w:t>intending to send a credit transfer to a given payee may</w:t>
      </w:r>
      <w:r w:rsidR="00B46C89" w:rsidRPr="00CB54DD">
        <w:rPr>
          <w:noProof/>
        </w:rPr>
        <w:t xml:space="preserve">, as a result of fraud or error, </w:t>
      </w:r>
      <w:r w:rsidR="00213947" w:rsidRPr="00CB54DD">
        <w:rPr>
          <w:noProof/>
        </w:rPr>
        <w:t xml:space="preserve">provide a payment account identifier which does not </w:t>
      </w:r>
      <w:r w:rsidR="00F75E2E" w:rsidRPr="00CB54DD">
        <w:rPr>
          <w:noProof/>
        </w:rPr>
        <w:t xml:space="preserve">correspond to </w:t>
      </w:r>
      <w:r w:rsidR="00213947" w:rsidRPr="00CB54DD">
        <w:rPr>
          <w:noProof/>
        </w:rPr>
        <w:t xml:space="preserve">an account held by that payee. </w:t>
      </w:r>
      <w:r w:rsidR="002754E2" w:rsidRPr="00CB54DD">
        <w:rPr>
          <w:noProof/>
        </w:rPr>
        <w:t>Under Directive (EU) 2015/2366 of the European Parliament and of the Council</w:t>
      </w:r>
      <w:r w:rsidR="002754E2" w:rsidRPr="002D7679">
        <w:rPr>
          <w:rStyle w:val="FootnoteReference"/>
          <w:noProof/>
        </w:rPr>
        <w:footnoteReference w:id="38"/>
      </w:r>
      <w:r w:rsidR="002754E2" w:rsidRPr="00CB54DD">
        <w:rPr>
          <w:noProof/>
        </w:rPr>
        <w:t xml:space="preserve">, the only determinant of the correct execution of the transaction with respect to the payee is the unique identifier, and </w:t>
      </w:r>
      <w:r w:rsidR="0006141F" w:rsidRPr="00CB54DD">
        <w:rPr>
          <w:noProof/>
        </w:rPr>
        <w:t xml:space="preserve">PSPs are not required to verify </w:t>
      </w:r>
      <w:r w:rsidR="002754E2" w:rsidRPr="00CB54DD">
        <w:rPr>
          <w:noProof/>
        </w:rPr>
        <w:t xml:space="preserve">the name of the payee. </w:t>
      </w:r>
      <w:r w:rsidR="00B46C89" w:rsidRPr="00CB54DD">
        <w:rPr>
          <w:noProof/>
        </w:rPr>
        <w:t>I</w:t>
      </w:r>
      <w:r w:rsidR="00213947" w:rsidRPr="00CB54DD">
        <w:rPr>
          <w:noProof/>
        </w:rPr>
        <w:t>n the case of instant credit transfers</w:t>
      </w:r>
      <w:r w:rsidR="002754E2" w:rsidRPr="00CB54DD">
        <w:rPr>
          <w:noProof/>
        </w:rPr>
        <w:t>,</w:t>
      </w:r>
      <w:r w:rsidR="00213947" w:rsidRPr="00CB54DD">
        <w:rPr>
          <w:noProof/>
        </w:rPr>
        <w:t xml:space="preserve"> there is </w:t>
      </w:r>
      <w:r w:rsidR="0001446C" w:rsidRPr="00CB54DD">
        <w:rPr>
          <w:noProof/>
        </w:rPr>
        <w:t>not enough time</w:t>
      </w:r>
      <w:r w:rsidR="00213947" w:rsidRPr="00CB54DD">
        <w:rPr>
          <w:noProof/>
        </w:rPr>
        <w:t xml:space="preserve"> for the payer to realise the occurrence of </w:t>
      </w:r>
      <w:r w:rsidR="000738A6" w:rsidRPr="00CB54DD">
        <w:rPr>
          <w:noProof/>
        </w:rPr>
        <w:t xml:space="preserve">a </w:t>
      </w:r>
      <w:r w:rsidR="00213947" w:rsidRPr="00CB54DD">
        <w:rPr>
          <w:noProof/>
        </w:rPr>
        <w:t xml:space="preserve">fraud or error </w:t>
      </w:r>
      <w:r w:rsidR="000738A6" w:rsidRPr="00CB54DD">
        <w:rPr>
          <w:noProof/>
        </w:rPr>
        <w:t xml:space="preserve">and to try to recover </w:t>
      </w:r>
      <w:r w:rsidR="00213947" w:rsidRPr="00CB54DD">
        <w:rPr>
          <w:noProof/>
        </w:rPr>
        <w:t xml:space="preserve">the funds before they are credited to the payee’s account. </w:t>
      </w:r>
      <w:r w:rsidR="0006141F" w:rsidRPr="00CB54DD">
        <w:rPr>
          <w:noProof/>
        </w:rPr>
        <w:t xml:space="preserve">PSPs should </w:t>
      </w:r>
      <w:r w:rsidR="00C5465F" w:rsidRPr="00CB54DD">
        <w:rPr>
          <w:noProof/>
        </w:rPr>
        <w:t xml:space="preserve">therefore </w:t>
      </w:r>
      <w:r w:rsidR="0006141F" w:rsidRPr="00CB54DD">
        <w:rPr>
          <w:noProof/>
        </w:rPr>
        <w:t xml:space="preserve">verify </w:t>
      </w:r>
      <w:r w:rsidR="00C5465F" w:rsidRPr="00CB54DD">
        <w:rPr>
          <w:noProof/>
        </w:rPr>
        <w:t xml:space="preserve">whether there is any discrepancy between the unique identifier of the payee and the name of the payee provided by the payer, </w:t>
      </w:r>
      <w:r w:rsidR="0006141F" w:rsidRPr="00CB54DD">
        <w:rPr>
          <w:noProof/>
        </w:rPr>
        <w:t>and notify</w:t>
      </w:r>
      <w:r w:rsidR="0078275F" w:rsidRPr="00CB54DD">
        <w:rPr>
          <w:noProof/>
        </w:rPr>
        <w:t xml:space="preserve"> the</w:t>
      </w:r>
      <w:r w:rsidR="00213947" w:rsidRPr="00CB54DD">
        <w:rPr>
          <w:noProof/>
        </w:rPr>
        <w:t xml:space="preserve"> payer placing a payment order for an instant credit transfer in euro </w:t>
      </w:r>
      <w:r w:rsidR="00F9357E" w:rsidRPr="00CB54DD">
        <w:rPr>
          <w:noProof/>
        </w:rPr>
        <w:t xml:space="preserve">about </w:t>
      </w:r>
      <w:r w:rsidR="00C5465F" w:rsidRPr="00CB54DD">
        <w:rPr>
          <w:noProof/>
        </w:rPr>
        <w:t>any such discrepancies detected</w:t>
      </w:r>
      <w:r w:rsidR="00F9357E" w:rsidRPr="00CB54DD">
        <w:rPr>
          <w:noProof/>
        </w:rPr>
        <w:t>.</w:t>
      </w:r>
      <w:r w:rsidR="00213947" w:rsidRPr="00CB54DD">
        <w:rPr>
          <w:noProof/>
        </w:rPr>
        <w:t xml:space="preserve"> </w:t>
      </w:r>
      <w:r w:rsidR="00C5465F" w:rsidRPr="00CB54DD">
        <w:rPr>
          <w:noProof/>
        </w:rPr>
        <w:t xml:space="preserve">To avoid undue frictions or delays in the processing of the transaction instantly, </w:t>
      </w:r>
      <w:r w:rsidR="0006141F" w:rsidRPr="00CB54DD">
        <w:rPr>
          <w:noProof/>
        </w:rPr>
        <w:t xml:space="preserve">the payer’s PSP </w:t>
      </w:r>
      <w:r w:rsidR="00C5465F" w:rsidRPr="00CB54DD">
        <w:rPr>
          <w:noProof/>
        </w:rPr>
        <w:t xml:space="preserve">should provide such notification </w:t>
      </w:r>
      <w:r w:rsidR="00213947" w:rsidRPr="00CB54DD">
        <w:rPr>
          <w:noProof/>
        </w:rPr>
        <w:t xml:space="preserve">within no more than a few seconds from the </w:t>
      </w:r>
      <w:r w:rsidR="00C5465F" w:rsidRPr="00CB54DD">
        <w:rPr>
          <w:noProof/>
        </w:rPr>
        <w:t>moment the payer provided</w:t>
      </w:r>
      <w:r w:rsidR="00213947" w:rsidRPr="00CB54DD">
        <w:rPr>
          <w:noProof/>
        </w:rPr>
        <w:t xml:space="preserve"> the payee information. </w:t>
      </w:r>
      <w:r w:rsidR="00C5465F" w:rsidRPr="00CB54DD">
        <w:rPr>
          <w:noProof/>
        </w:rPr>
        <w:t>To allow the payer to decide whether to proceed with the intended transaction, t</w:t>
      </w:r>
      <w:r w:rsidR="002754E2" w:rsidRPr="00CB54DD">
        <w:rPr>
          <w:noProof/>
        </w:rPr>
        <w:t xml:space="preserve">he </w:t>
      </w:r>
      <w:r w:rsidR="00C5465F" w:rsidRPr="00CB54DD">
        <w:rPr>
          <w:noProof/>
        </w:rPr>
        <w:t xml:space="preserve">payer’s PSP should provide such </w:t>
      </w:r>
      <w:r w:rsidR="002754E2" w:rsidRPr="00CB54DD">
        <w:rPr>
          <w:noProof/>
        </w:rPr>
        <w:t>notification before the payer authorises the transaction.</w:t>
      </w:r>
    </w:p>
    <w:p w:rsidR="00213947" w:rsidRPr="00CB54DD" w:rsidRDefault="00933F69" w:rsidP="00933F69">
      <w:pPr>
        <w:pStyle w:val="ManualConsidrant"/>
        <w:rPr>
          <w:noProof/>
        </w:rPr>
      </w:pPr>
      <w:r w:rsidRPr="00933F69">
        <w:t>(12)</w:t>
      </w:r>
      <w:r w:rsidRPr="00933F69">
        <w:tab/>
      </w:r>
      <w:r w:rsidR="00213947" w:rsidRPr="00CB54DD">
        <w:rPr>
          <w:noProof/>
        </w:rPr>
        <w:t xml:space="preserve">Some attributes of the name of the payee to whose account the payer wishes to make an instant credit transfer </w:t>
      </w:r>
      <w:r w:rsidR="00C5465F" w:rsidRPr="00CB54DD">
        <w:rPr>
          <w:noProof/>
        </w:rPr>
        <w:t xml:space="preserve">may increase the likelihood of a discrepancy being detected by the PSP, </w:t>
      </w:r>
      <w:r w:rsidR="001C50C0" w:rsidRPr="00CB54DD">
        <w:rPr>
          <w:noProof/>
        </w:rPr>
        <w:t>including</w:t>
      </w:r>
      <w:r w:rsidR="00213947" w:rsidRPr="00CB54DD">
        <w:rPr>
          <w:noProof/>
        </w:rPr>
        <w:t xml:space="preserve"> </w:t>
      </w:r>
      <w:r w:rsidR="00C5465F" w:rsidRPr="00CB54DD">
        <w:rPr>
          <w:noProof/>
        </w:rPr>
        <w:t xml:space="preserve">the </w:t>
      </w:r>
      <w:r w:rsidR="00213947" w:rsidRPr="00CB54DD">
        <w:rPr>
          <w:noProof/>
        </w:rPr>
        <w:t xml:space="preserve">presence of diacritics or different possible transliterations of names in different alphabets, differences between habitually used names and names indicated on formal identification documents in case of natural persons, or differences between commercial and legal names in case of legal persons. </w:t>
      </w:r>
      <w:r w:rsidR="00123650">
        <w:rPr>
          <w:noProof/>
        </w:rPr>
        <w:t>T</w:t>
      </w:r>
      <w:r w:rsidR="00213947" w:rsidRPr="00CB54DD">
        <w:rPr>
          <w:noProof/>
        </w:rPr>
        <w:t xml:space="preserve">o avoid undue frictions in </w:t>
      </w:r>
      <w:r w:rsidR="000F0471">
        <w:rPr>
          <w:noProof/>
        </w:rPr>
        <w:t xml:space="preserve">the </w:t>
      </w:r>
      <w:r w:rsidR="00213947" w:rsidRPr="00CB54DD">
        <w:rPr>
          <w:noProof/>
        </w:rPr>
        <w:t>processing of instant credit transfers in euro</w:t>
      </w:r>
      <w:r w:rsidR="00E80C31" w:rsidRPr="00CB54DD">
        <w:rPr>
          <w:noProof/>
        </w:rPr>
        <w:t xml:space="preserve"> and facilitate the payer’s decision on whether to proceed with the intended transaction</w:t>
      </w:r>
      <w:r w:rsidR="00213947" w:rsidRPr="00CB54DD">
        <w:rPr>
          <w:noProof/>
        </w:rPr>
        <w:t xml:space="preserve">, PSPs </w:t>
      </w:r>
      <w:r w:rsidR="00E80C31" w:rsidRPr="00CB54DD">
        <w:rPr>
          <w:noProof/>
        </w:rPr>
        <w:t xml:space="preserve">should </w:t>
      </w:r>
      <w:r w:rsidR="00213947" w:rsidRPr="00CB54DD">
        <w:rPr>
          <w:noProof/>
        </w:rPr>
        <w:t xml:space="preserve">indicate the degree of such discrepancy, </w:t>
      </w:r>
      <w:r w:rsidR="0011445E" w:rsidRPr="00CB54DD">
        <w:rPr>
          <w:noProof/>
        </w:rPr>
        <w:t xml:space="preserve">including </w:t>
      </w:r>
      <w:r w:rsidR="00213947" w:rsidRPr="00CB54DD">
        <w:rPr>
          <w:noProof/>
        </w:rPr>
        <w:t>by indicating in the notification that there is ‘no match’ or ‘close match’.</w:t>
      </w:r>
    </w:p>
    <w:p w:rsidR="00213947" w:rsidRPr="00CB54DD" w:rsidRDefault="00933F69" w:rsidP="00933F69">
      <w:pPr>
        <w:pStyle w:val="ManualConsidrant"/>
        <w:rPr>
          <w:noProof/>
        </w:rPr>
      </w:pPr>
      <w:r w:rsidRPr="00933F69">
        <w:t>(13)</w:t>
      </w:r>
      <w:r w:rsidRPr="00933F69">
        <w:tab/>
      </w:r>
      <w:r w:rsidR="00213947" w:rsidRPr="00CB54DD">
        <w:rPr>
          <w:noProof/>
        </w:rPr>
        <w:t xml:space="preserve">Authorising a payment transaction where </w:t>
      </w:r>
      <w:r w:rsidR="00E210C4" w:rsidRPr="00CB54DD">
        <w:rPr>
          <w:noProof/>
        </w:rPr>
        <w:t xml:space="preserve">the PSP has detected </w:t>
      </w:r>
      <w:r w:rsidR="00213947" w:rsidRPr="00CB54DD">
        <w:rPr>
          <w:noProof/>
        </w:rPr>
        <w:t xml:space="preserve">a discrepancy and </w:t>
      </w:r>
      <w:r w:rsidR="00E210C4" w:rsidRPr="00CB54DD">
        <w:rPr>
          <w:noProof/>
        </w:rPr>
        <w:t xml:space="preserve">has </w:t>
      </w:r>
      <w:r w:rsidR="00213947" w:rsidRPr="00CB54DD">
        <w:rPr>
          <w:noProof/>
        </w:rPr>
        <w:t xml:space="preserve">notified </w:t>
      </w:r>
      <w:r w:rsidR="00E210C4" w:rsidRPr="00CB54DD">
        <w:rPr>
          <w:noProof/>
        </w:rPr>
        <w:t xml:space="preserve">that discrepancy </w:t>
      </w:r>
      <w:r w:rsidR="00213947" w:rsidRPr="00CB54DD">
        <w:rPr>
          <w:noProof/>
        </w:rPr>
        <w:t xml:space="preserve">to the PSU can result in the funds being transferred to an unintended payee. In </w:t>
      </w:r>
      <w:r w:rsidR="00F9617B" w:rsidRPr="00CB54DD">
        <w:rPr>
          <w:noProof/>
        </w:rPr>
        <w:t>such cases</w:t>
      </w:r>
      <w:r w:rsidR="00E210C4" w:rsidRPr="00CB54DD">
        <w:rPr>
          <w:noProof/>
        </w:rPr>
        <w:t>,</w:t>
      </w:r>
      <w:r w:rsidR="00F9617B" w:rsidRPr="00CB54DD">
        <w:rPr>
          <w:noProof/>
        </w:rPr>
        <w:t xml:space="preserve"> PSPs </w:t>
      </w:r>
      <w:r w:rsidR="00E210C4" w:rsidRPr="00CB54DD">
        <w:rPr>
          <w:noProof/>
        </w:rPr>
        <w:t xml:space="preserve">should </w:t>
      </w:r>
      <w:r w:rsidR="00F9617B" w:rsidRPr="00CB54DD">
        <w:rPr>
          <w:noProof/>
        </w:rPr>
        <w:t xml:space="preserve">not be </w:t>
      </w:r>
      <w:r w:rsidR="00E210C4" w:rsidRPr="00CB54DD">
        <w:rPr>
          <w:noProof/>
        </w:rPr>
        <w:t xml:space="preserve">held </w:t>
      </w:r>
      <w:r w:rsidR="00F9617B" w:rsidRPr="00CB54DD">
        <w:rPr>
          <w:noProof/>
        </w:rPr>
        <w:t>liable for the execution of the transaction to an unintended payee</w:t>
      </w:r>
      <w:r w:rsidR="00E210C4" w:rsidRPr="00CB54DD">
        <w:rPr>
          <w:noProof/>
        </w:rPr>
        <w:t xml:space="preserve">, </w:t>
      </w:r>
      <w:r w:rsidR="00F9617B" w:rsidRPr="00CB54DD">
        <w:rPr>
          <w:noProof/>
        </w:rPr>
        <w:t xml:space="preserve">as laid down in </w:t>
      </w:r>
      <w:r w:rsidR="00213947" w:rsidRPr="00CB54DD">
        <w:rPr>
          <w:noProof/>
        </w:rPr>
        <w:t>Article 88 of Directive (EU) 2015/2366. PSPs should</w:t>
      </w:r>
      <w:r w:rsidR="008A43B2" w:rsidRPr="00CB54DD">
        <w:rPr>
          <w:noProof/>
        </w:rPr>
        <w:t xml:space="preserve"> </w:t>
      </w:r>
      <w:r w:rsidR="00E210C4" w:rsidRPr="00CB54DD">
        <w:rPr>
          <w:noProof/>
        </w:rPr>
        <w:t xml:space="preserve">inform </w:t>
      </w:r>
      <w:r w:rsidR="00213947" w:rsidRPr="00CB54DD">
        <w:rPr>
          <w:noProof/>
        </w:rPr>
        <w:t xml:space="preserve">PSUs </w:t>
      </w:r>
      <w:r w:rsidR="00E210C4" w:rsidRPr="00CB54DD">
        <w:rPr>
          <w:noProof/>
        </w:rPr>
        <w:t>about</w:t>
      </w:r>
      <w:r w:rsidR="0038265E" w:rsidRPr="00CB54DD">
        <w:rPr>
          <w:noProof/>
        </w:rPr>
        <w:t xml:space="preserve"> the implications </w:t>
      </w:r>
      <w:r w:rsidR="00E210C4" w:rsidRPr="00CB54DD">
        <w:rPr>
          <w:noProof/>
        </w:rPr>
        <w:t xml:space="preserve">for PSP liability and PSU refunds rights </w:t>
      </w:r>
      <w:r w:rsidR="0038265E" w:rsidRPr="00CB54DD">
        <w:rPr>
          <w:noProof/>
        </w:rPr>
        <w:t xml:space="preserve">of their choice to ignore the </w:t>
      </w:r>
      <w:r w:rsidR="00DA667F" w:rsidRPr="00CB54DD">
        <w:rPr>
          <w:noProof/>
        </w:rPr>
        <w:t xml:space="preserve">notified </w:t>
      </w:r>
      <w:r w:rsidR="008A43B2" w:rsidRPr="00CB54DD">
        <w:rPr>
          <w:noProof/>
        </w:rPr>
        <w:t>discrepancy</w:t>
      </w:r>
      <w:r w:rsidR="0038265E" w:rsidRPr="00CB54DD">
        <w:rPr>
          <w:noProof/>
        </w:rPr>
        <w:t>.</w:t>
      </w:r>
      <w:r w:rsidR="008A5D6C" w:rsidRPr="00CB54DD">
        <w:rPr>
          <w:noProof/>
        </w:rPr>
        <w:t xml:space="preserve"> </w:t>
      </w:r>
      <w:r w:rsidR="00213947" w:rsidRPr="00CB54DD">
        <w:rPr>
          <w:noProof/>
        </w:rPr>
        <w:t>PSUs should be able to opt out from using th</w:t>
      </w:r>
      <w:r w:rsidR="005D1F1D" w:rsidRPr="00CB54DD">
        <w:rPr>
          <w:noProof/>
        </w:rPr>
        <w:t>at</w:t>
      </w:r>
      <w:r w:rsidR="00213947" w:rsidRPr="00CB54DD">
        <w:rPr>
          <w:noProof/>
        </w:rPr>
        <w:t xml:space="preserve"> service</w:t>
      </w:r>
      <w:r w:rsidR="00761A35">
        <w:rPr>
          <w:noProof/>
        </w:rPr>
        <w:t xml:space="preserve"> at any time during their contractual relationship with the PSP</w:t>
      </w:r>
      <w:r w:rsidR="00213947" w:rsidRPr="00CB54DD">
        <w:rPr>
          <w:noProof/>
        </w:rPr>
        <w:t xml:space="preserve">. </w:t>
      </w:r>
      <w:r w:rsidR="00761A35">
        <w:rPr>
          <w:noProof/>
        </w:rPr>
        <w:t>After opting out, PSUs should be able to opt in to again avail of the service.</w:t>
      </w:r>
    </w:p>
    <w:p w:rsidR="009D1724" w:rsidRPr="00CB54DD" w:rsidRDefault="00933F69" w:rsidP="00933F69">
      <w:pPr>
        <w:pStyle w:val="ManualConsidrant"/>
        <w:rPr>
          <w:noProof/>
        </w:rPr>
      </w:pPr>
      <w:r w:rsidRPr="00933F69">
        <w:t>(14)</w:t>
      </w:r>
      <w:r w:rsidRPr="00933F69">
        <w:tab/>
      </w:r>
      <w:r w:rsidR="00213947" w:rsidRPr="00CB54DD">
        <w:rPr>
          <w:noProof/>
        </w:rPr>
        <w:t xml:space="preserve">It is of critical importance that PSPs effectively </w:t>
      </w:r>
      <w:r w:rsidR="0049564D" w:rsidRPr="00CB54DD">
        <w:rPr>
          <w:noProof/>
        </w:rPr>
        <w:t xml:space="preserve">comply with their obligations </w:t>
      </w:r>
      <w:r w:rsidR="00366326" w:rsidRPr="00CB54DD">
        <w:rPr>
          <w:noProof/>
        </w:rPr>
        <w:t xml:space="preserve">stemming </w:t>
      </w:r>
      <w:r w:rsidR="0049564D" w:rsidRPr="00CB54DD">
        <w:rPr>
          <w:noProof/>
        </w:rPr>
        <w:t xml:space="preserve">from Union sanctions </w:t>
      </w:r>
      <w:r w:rsidR="00123650">
        <w:rPr>
          <w:noProof/>
        </w:rPr>
        <w:t>against</w:t>
      </w:r>
      <w:r w:rsidR="0049564D" w:rsidRPr="00CB54DD">
        <w:rPr>
          <w:noProof/>
        </w:rPr>
        <w:t xml:space="preserve"> </w:t>
      </w:r>
      <w:r w:rsidR="00C4636C" w:rsidRPr="00CB54DD">
        <w:rPr>
          <w:noProof/>
          <w:shd w:val="clear" w:color="auto" w:fill="FFFFFF"/>
        </w:rPr>
        <w:t xml:space="preserve"> persons, bodies or entities that </w:t>
      </w:r>
      <w:r w:rsidR="00C4636C">
        <w:rPr>
          <w:noProof/>
          <w:shd w:val="clear" w:color="auto" w:fill="FFFFFF"/>
        </w:rPr>
        <w:t xml:space="preserve">are </w:t>
      </w:r>
      <w:r w:rsidR="00C4636C" w:rsidRPr="00227AD3">
        <w:rPr>
          <w:noProof/>
          <w:shd w:val="clear" w:color="auto" w:fill="FFFFFF"/>
        </w:rPr>
        <w:t>subject to an asset freeze or a prohibition to make funds or economic resources available to it, or for its benefit, either directly or indirectly, pursuant to restrictive measures adopted in accordance with Article 215 TFEU</w:t>
      </w:r>
      <w:r w:rsidR="00C4636C" w:rsidRPr="00CB54DD">
        <w:rPr>
          <w:noProof/>
        </w:rPr>
        <w:t xml:space="preserve"> </w:t>
      </w:r>
      <w:r w:rsidR="00C4636C">
        <w:rPr>
          <w:noProof/>
        </w:rPr>
        <w:t>(listed persons or entities)</w:t>
      </w:r>
      <w:r w:rsidR="00213947" w:rsidRPr="00CB54DD">
        <w:rPr>
          <w:noProof/>
        </w:rPr>
        <w:t>. U</w:t>
      </w:r>
      <w:r w:rsidR="00063785" w:rsidRPr="00CB54DD">
        <w:rPr>
          <w:noProof/>
        </w:rPr>
        <w:t>nion</w:t>
      </w:r>
      <w:r w:rsidR="00213947" w:rsidRPr="00CB54DD">
        <w:rPr>
          <w:noProof/>
        </w:rPr>
        <w:t xml:space="preserve"> </w:t>
      </w:r>
      <w:r w:rsidR="003C2E8F" w:rsidRPr="00CB54DD">
        <w:rPr>
          <w:noProof/>
        </w:rPr>
        <w:t xml:space="preserve">law, however, </w:t>
      </w:r>
      <w:r w:rsidR="00213947" w:rsidRPr="00CB54DD">
        <w:rPr>
          <w:noProof/>
        </w:rPr>
        <w:t xml:space="preserve">does not </w:t>
      </w:r>
      <w:r w:rsidR="008437EE">
        <w:rPr>
          <w:noProof/>
        </w:rPr>
        <w:t>lay down</w:t>
      </w:r>
      <w:r w:rsidR="00213947" w:rsidRPr="00CB54DD">
        <w:rPr>
          <w:noProof/>
        </w:rPr>
        <w:t xml:space="preserve"> </w:t>
      </w:r>
      <w:r w:rsidR="008437EE">
        <w:rPr>
          <w:noProof/>
        </w:rPr>
        <w:t xml:space="preserve">rules on </w:t>
      </w:r>
      <w:r w:rsidR="00213947" w:rsidRPr="00CB54DD">
        <w:rPr>
          <w:noProof/>
        </w:rPr>
        <w:t xml:space="preserve">the procedure or tools to be used by </w:t>
      </w:r>
      <w:r w:rsidR="00213947" w:rsidRPr="000F1906">
        <w:rPr>
          <w:noProof/>
        </w:rPr>
        <w:t>PSPs</w:t>
      </w:r>
      <w:r w:rsidR="00213947" w:rsidRPr="00CB54DD">
        <w:rPr>
          <w:noProof/>
        </w:rPr>
        <w:t xml:space="preserve"> to ensure their compliance with </w:t>
      </w:r>
      <w:r w:rsidR="008437EE">
        <w:rPr>
          <w:noProof/>
        </w:rPr>
        <w:t xml:space="preserve">those </w:t>
      </w:r>
      <w:r w:rsidR="00AB0921" w:rsidRPr="00CB54DD">
        <w:rPr>
          <w:noProof/>
        </w:rPr>
        <w:t>obligations</w:t>
      </w:r>
      <w:r w:rsidR="003C2E8F" w:rsidRPr="00CB54DD">
        <w:rPr>
          <w:noProof/>
        </w:rPr>
        <w:t xml:space="preserve">. </w:t>
      </w:r>
      <w:r w:rsidR="00213947" w:rsidRPr="000F1906">
        <w:rPr>
          <w:noProof/>
        </w:rPr>
        <w:t>PSPs</w:t>
      </w:r>
      <w:r w:rsidR="00213947" w:rsidRPr="00CB54DD">
        <w:rPr>
          <w:noProof/>
        </w:rPr>
        <w:t xml:space="preserve"> </w:t>
      </w:r>
      <w:r w:rsidR="003C2E8F" w:rsidRPr="00CB54DD">
        <w:rPr>
          <w:noProof/>
        </w:rPr>
        <w:t xml:space="preserve">thus </w:t>
      </w:r>
      <w:r w:rsidR="00213947" w:rsidRPr="00CB54DD">
        <w:rPr>
          <w:noProof/>
        </w:rPr>
        <w:t xml:space="preserve">apply various methods, based on their individual </w:t>
      </w:r>
      <w:r w:rsidR="00F9617B" w:rsidRPr="00CB54DD">
        <w:rPr>
          <w:noProof/>
        </w:rPr>
        <w:t>choice</w:t>
      </w:r>
      <w:r w:rsidR="00213947" w:rsidRPr="00CB54DD">
        <w:rPr>
          <w:noProof/>
        </w:rPr>
        <w:t xml:space="preserve"> or on the guidance provided by </w:t>
      </w:r>
      <w:r w:rsidR="003C2E8F" w:rsidRPr="00CB54DD">
        <w:rPr>
          <w:noProof/>
        </w:rPr>
        <w:t xml:space="preserve">the </w:t>
      </w:r>
      <w:r w:rsidR="00213947" w:rsidRPr="00CB54DD">
        <w:rPr>
          <w:noProof/>
        </w:rPr>
        <w:t>national authorities</w:t>
      </w:r>
      <w:r w:rsidR="003C2E8F" w:rsidRPr="00CB54DD">
        <w:rPr>
          <w:noProof/>
        </w:rPr>
        <w:t xml:space="preserve"> concerned</w:t>
      </w:r>
      <w:r w:rsidR="00213947" w:rsidRPr="00CB54DD">
        <w:rPr>
          <w:noProof/>
        </w:rPr>
        <w:t xml:space="preserve">. </w:t>
      </w:r>
      <w:r w:rsidR="002838E6" w:rsidRPr="00CB54DD">
        <w:rPr>
          <w:noProof/>
        </w:rPr>
        <w:t xml:space="preserve">The </w:t>
      </w:r>
      <w:r w:rsidR="007D449E" w:rsidRPr="00CB54DD">
        <w:rPr>
          <w:noProof/>
        </w:rPr>
        <w:t>practice</w:t>
      </w:r>
      <w:r w:rsidR="002838E6" w:rsidRPr="00CB54DD">
        <w:rPr>
          <w:noProof/>
        </w:rPr>
        <w:t xml:space="preserve"> </w:t>
      </w:r>
      <w:r w:rsidR="007D449E" w:rsidRPr="00CB54DD">
        <w:rPr>
          <w:noProof/>
        </w:rPr>
        <w:t xml:space="preserve">of </w:t>
      </w:r>
      <w:r w:rsidR="00213947" w:rsidRPr="00CB54DD">
        <w:rPr>
          <w:noProof/>
        </w:rPr>
        <w:t>comply</w:t>
      </w:r>
      <w:r w:rsidR="007D449E" w:rsidRPr="00CB54DD">
        <w:rPr>
          <w:noProof/>
        </w:rPr>
        <w:t>ing</w:t>
      </w:r>
      <w:r w:rsidR="00213947" w:rsidRPr="00CB54DD">
        <w:rPr>
          <w:noProof/>
        </w:rPr>
        <w:t xml:space="preserve"> with </w:t>
      </w:r>
      <w:r w:rsidR="002838E6" w:rsidRPr="00CB54DD">
        <w:rPr>
          <w:noProof/>
        </w:rPr>
        <w:t xml:space="preserve">obligations </w:t>
      </w:r>
      <w:r w:rsidR="00366326" w:rsidRPr="00CB54DD">
        <w:rPr>
          <w:noProof/>
        </w:rPr>
        <w:t xml:space="preserve">stemming </w:t>
      </w:r>
      <w:r w:rsidR="002838E6" w:rsidRPr="00CB54DD">
        <w:rPr>
          <w:noProof/>
        </w:rPr>
        <w:t xml:space="preserve">from </w:t>
      </w:r>
      <w:r w:rsidR="00213947" w:rsidRPr="00CB54DD">
        <w:rPr>
          <w:noProof/>
        </w:rPr>
        <w:t>U</w:t>
      </w:r>
      <w:r w:rsidR="002838E6" w:rsidRPr="00CB54DD">
        <w:rPr>
          <w:noProof/>
        </w:rPr>
        <w:t>nion</w:t>
      </w:r>
      <w:r w:rsidR="00213947" w:rsidRPr="00CB54DD">
        <w:rPr>
          <w:noProof/>
        </w:rPr>
        <w:t xml:space="preserve"> sanctions by screening the payer and the payee involved in each credit transfer transaction, either national or cross-border, lead</w:t>
      </w:r>
      <w:r w:rsidR="00377076" w:rsidRPr="00CB54DD">
        <w:rPr>
          <w:noProof/>
        </w:rPr>
        <w:t>s</w:t>
      </w:r>
      <w:r w:rsidR="00213947" w:rsidRPr="00CB54DD">
        <w:rPr>
          <w:noProof/>
        </w:rPr>
        <w:t xml:space="preserve"> to a very high number of credit transfers being flagged as potentially involving </w:t>
      </w:r>
      <w:r w:rsidR="0049564D" w:rsidRPr="00CB54DD">
        <w:rPr>
          <w:noProof/>
        </w:rPr>
        <w:t xml:space="preserve">listed persons </w:t>
      </w:r>
      <w:r w:rsidR="00700C6E">
        <w:rPr>
          <w:noProof/>
        </w:rPr>
        <w:t>or</w:t>
      </w:r>
      <w:r w:rsidR="00700C6E" w:rsidRPr="00CB54DD">
        <w:rPr>
          <w:noProof/>
        </w:rPr>
        <w:t xml:space="preserve"> </w:t>
      </w:r>
      <w:r w:rsidR="0049564D" w:rsidRPr="00CB54DD">
        <w:rPr>
          <w:noProof/>
        </w:rPr>
        <w:t>entities</w:t>
      </w:r>
      <w:r w:rsidR="00213947" w:rsidRPr="00CB54DD">
        <w:rPr>
          <w:noProof/>
        </w:rPr>
        <w:t xml:space="preserve">. However, the large majority of such flagged transactions turn out, after verification, not to involve any </w:t>
      </w:r>
      <w:r w:rsidR="002838E6" w:rsidRPr="00CB54DD">
        <w:rPr>
          <w:noProof/>
        </w:rPr>
        <w:t xml:space="preserve">such </w:t>
      </w:r>
      <w:r w:rsidR="00213947" w:rsidRPr="00CB54DD">
        <w:rPr>
          <w:noProof/>
        </w:rPr>
        <w:t>persons</w:t>
      </w:r>
      <w:r w:rsidR="00D76C83" w:rsidRPr="00CB54DD">
        <w:rPr>
          <w:noProof/>
        </w:rPr>
        <w:t xml:space="preserve"> or entities</w:t>
      </w:r>
      <w:r w:rsidR="00213947" w:rsidRPr="00CB54DD">
        <w:rPr>
          <w:noProof/>
        </w:rPr>
        <w:t>. Due to the nature of instant credit transfers, it is impossible for PSPs to verify</w:t>
      </w:r>
      <w:r w:rsidR="00D76C83" w:rsidRPr="00CB54DD">
        <w:rPr>
          <w:noProof/>
        </w:rPr>
        <w:t>, within short time limits,</w:t>
      </w:r>
      <w:r w:rsidR="00213947" w:rsidRPr="00CB54DD">
        <w:rPr>
          <w:noProof/>
        </w:rPr>
        <w:t xml:space="preserve"> such </w:t>
      </w:r>
      <w:r w:rsidR="00D76C83" w:rsidRPr="00CB54DD">
        <w:rPr>
          <w:noProof/>
        </w:rPr>
        <w:t xml:space="preserve">flagged </w:t>
      </w:r>
      <w:r w:rsidR="00213947" w:rsidRPr="00CB54DD">
        <w:rPr>
          <w:noProof/>
        </w:rPr>
        <w:t xml:space="preserve">transactions </w:t>
      </w:r>
      <w:r w:rsidR="002838E6" w:rsidRPr="00CB54DD">
        <w:rPr>
          <w:noProof/>
        </w:rPr>
        <w:t xml:space="preserve">instantly </w:t>
      </w:r>
      <w:r w:rsidR="00213947" w:rsidRPr="00CB54DD">
        <w:rPr>
          <w:noProof/>
        </w:rPr>
        <w:t>and, as a result, they are rejected. Th</w:t>
      </w:r>
      <w:r w:rsidR="002838E6" w:rsidRPr="00CB54DD">
        <w:rPr>
          <w:noProof/>
        </w:rPr>
        <w:t xml:space="preserve">at </w:t>
      </w:r>
      <w:r w:rsidR="00E26155" w:rsidRPr="00CB54DD">
        <w:rPr>
          <w:noProof/>
        </w:rPr>
        <w:t xml:space="preserve">situation </w:t>
      </w:r>
      <w:r w:rsidR="00213947" w:rsidRPr="00CB54DD">
        <w:rPr>
          <w:noProof/>
        </w:rPr>
        <w:t>creates operational challenges for PSPs to offer instant credit transfers to their PSUs across the U</w:t>
      </w:r>
      <w:r w:rsidR="00E26155" w:rsidRPr="00CB54DD">
        <w:rPr>
          <w:noProof/>
        </w:rPr>
        <w:t>nion</w:t>
      </w:r>
      <w:r w:rsidR="00213947" w:rsidRPr="00CB54DD">
        <w:rPr>
          <w:noProof/>
        </w:rPr>
        <w:t xml:space="preserve"> in a reliable and predictable way. </w:t>
      </w:r>
      <w:r w:rsidR="00E26155" w:rsidRPr="00CB54DD">
        <w:rPr>
          <w:noProof/>
        </w:rPr>
        <w:t>T</w:t>
      </w:r>
      <w:r w:rsidR="00213947" w:rsidRPr="00CB54DD">
        <w:rPr>
          <w:noProof/>
        </w:rPr>
        <w:t xml:space="preserve">o </w:t>
      </w:r>
      <w:r w:rsidR="00377076" w:rsidRPr="00CB54DD">
        <w:rPr>
          <w:noProof/>
        </w:rPr>
        <w:t>provide for greater legal certainty</w:t>
      </w:r>
      <w:r w:rsidR="00CC15CD" w:rsidRPr="00CB54DD">
        <w:rPr>
          <w:noProof/>
        </w:rPr>
        <w:t xml:space="preserve">, </w:t>
      </w:r>
      <w:r w:rsidR="00213947" w:rsidRPr="00CB54DD">
        <w:rPr>
          <w:noProof/>
        </w:rPr>
        <w:t xml:space="preserve">increase the efficiency of PSPs’ efforts to comply with their </w:t>
      </w:r>
      <w:r w:rsidR="00FD7D30" w:rsidRPr="00CB54DD">
        <w:rPr>
          <w:noProof/>
        </w:rPr>
        <w:t xml:space="preserve">obligations </w:t>
      </w:r>
      <w:r w:rsidR="00377076" w:rsidRPr="00CB54DD">
        <w:rPr>
          <w:noProof/>
        </w:rPr>
        <w:t xml:space="preserve">stemming </w:t>
      </w:r>
      <w:r w:rsidR="00FD7D30" w:rsidRPr="00CB54DD">
        <w:rPr>
          <w:noProof/>
        </w:rPr>
        <w:t xml:space="preserve">from </w:t>
      </w:r>
      <w:r w:rsidR="00213947" w:rsidRPr="00CB54DD">
        <w:rPr>
          <w:noProof/>
        </w:rPr>
        <w:t>U</w:t>
      </w:r>
      <w:r w:rsidR="00FD7D30" w:rsidRPr="00CB54DD">
        <w:rPr>
          <w:noProof/>
        </w:rPr>
        <w:t>nion</w:t>
      </w:r>
      <w:r w:rsidR="00213947" w:rsidRPr="00CB54DD">
        <w:rPr>
          <w:noProof/>
        </w:rPr>
        <w:t xml:space="preserve"> sanctions</w:t>
      </w:r>
      <w:r w:rsidR="00FD7D30" w:rsidRPr="00CB54DD">
        <w:rPr>
          <w:noProof/>
        </w:rPr>
        <w:t xml:space="preserve"> </w:t>
      </w:r>
      <w:r w:rsidR="00213947" w:rsidRPr="00CB54DD">
        <w:rPr>
          <w:noProof/>
        </w:rPr>
        <w:t>in the context of instant credit transfers in euro</w:t>
      </w:r>
      <w:r w:rsidR="00FD7D30" w:rsidRPr="00CB54DD">
        <w:rPr>
          <w:noProof/>
        </w:rPr>
        <w:t>,</w:t>
      </w:r>
      <w:r w:rsidR="00213947" w:rsidRPr="00CB54DD">
        <w:rPr>
          <w:noProof/>
        </w:rPr>
        <w:t xml:space="preserve"> and to prevent unnecessary hindering of such transactions, PSPs should </w:t>
      </w:r>
      <w:r w:rsidR="00E26155" w:rsidRPr="00CB54DD">
        <w:rPr>
          <w:noProof/>
        </w:rPr>
        <w:t xml:space="preserve">thus </w:t>
      </w:r>
      <w:r w:rsidR="00213947" w:rsidRPr="00CB54DD">
        <w:rPr>
          <w:noProof/>
        </w:rPr>
        <w:t xml:space="preserve">verify, at least daily, whether their PSUs are </w:t>
      </w:r>
      <w:r w:rsidR="00700C6E">
        <w:rPr>
          <w:noProof/>
        </w:rPr>
        <w:t>listed persons or entities</w:t>
      </w:r>
      <w:r w:rsidR="004A6C7A">
        <w:rPr>
          <w:noProof/>
        </w:rPr>
        <w:t>, and should no longer apply transaction-based scree</w:t>
      </w:r>
      <w:r w:rsidR="00BE20AB">
        <w:rPr>
          <w:noProof/>
        </w:rPr>
        <w:t>n</w:t>
      </w:r>
      <w:r w:rsidR="004A6C7A">
        <w:rPr>
          <w:noProof/>
        </w:rPr>
        <w:t xml:space="preserve">ing. </w:t>
      </w:r>
    </w:p>
    <w:p w:rsidR="00213947" w:rsidRPr="00CB54DD" w:rsidRDefault="00933F69" w:rsidP="00933F69">
      <w:pPr>
        <w:pStyle w:val="ManualConsidrant"/>
        <w:rPr>
          <w:noProof/>
        </w:rPr>
      </w:pPr>
      <w:r w:rsidRPr="00933F69">
        <w:t>(15)</w:t>
      </w:r>
      <w:r w:rsidRPr="00933F69">
        <w:tab/>
      </w:r>
      <w:r w:rsidR="00E26155" w:rsidRPr="00CB54DD">
        <w:rPr>
          <w:noProof/>
        </w:rPr>
        <w:t xml:space="preserve">To prevent the initiation of instant credit transfers from payment accounts belonging to </w:t>
      </w:r>
      <w:r w:rsidR="00BE1B76">
        <w:rPr>
          <w:noProof/>
        </w:rPr>
        <w:t xml:space="preserve">listed </w:t>
      </w:r>
      <w:r w:rsidR="00E26155" w:rsidRPr="00CB54DD">
        <w:rPr>
          <w:noProof/>
        </w:rPr>
        <w:t xml:space="preserve">persons </w:t>
      </w:r>
      <w:r w:rsidR="00401188">
        <w:rPr>
          <w:noProof/>
        </w:rPr>
        <w:t xml:space="preserve">or entities </w:t>
      </w:r>
      <w:r w:rsidR="00E26155" w:rsidRPr="00CB54DD">
        <w:rPr>
          <w:noProof/>
        </w:rPr>
        <w:t xml:space="preserve">and to immediately freeze funds sent to such accounts, </w:t>
      </w:r>
      <w:r w:rsidR="00213947" w:rsidRPr="00CB54DD">
        <w:rPr>
          <w:noProof/>
        </w:rPr>
        <w:t xml:space="preserve">PSPs should carry out verifications </w:t>
      </w:r>
      <w:r w:rsidR="000F0471">
        <w:rPr>
          <w:noProof/>
        </w:rPr>
        <w:t xml:space="preserve">of their PSUs </w:t>
      </w:r>
      <w:r w:rsidR="00213947" w:rsidRPr="00CB54DD">
        <w:rPr>
          <w:noProof/>
        </w:rPr>
        <w:t xml:space="preserve">as soon as possible following the entry into force of a new </w:t>
      </w:r>
      <w:r w:rsidR="00401188">
        <w:rPr>
          <w:noProof/>
        </w:rPr>
        <w:t>restrictive measure</w:t>
      </w:r>
      <w:r w:rsidR="00401188" w:rsidRPr="00401188">
        <w:rPr>
          <w:noProof/>
        </w:rPr>
        <w:t xml:space="preserve"> adopted in accordance with Article 215 TFEU</w:t>
      </w:r>
      <w:r w:rsidR="00BE1B76">
        <w:rPr>
          <w:noProof/>
        </w:rPr>
        <w:t xml:space="preserve"> providing for asset freeze or prohibition of making funds or economic resources available</w:t>
      </w:r>
      <w:r w:rsidR="00213947" w:rsidRPr="00CB54DD">
        <w:rPr>
          <w:noProof/>
        </w:rPr>
        <w:t xml:space="preserve">, thus ensuring that </w:t>
      </w:r>
      <w:r w:rsidR="00213947" w:rsidRPr="000F1906">
        <w:rPr>
          <w:noProof/>
        </w:rPr>
        <w:t>PSPs</w:t>
      </w:r>
      <w:r w:rsidR="00213947" w:rsidRPr="00CB54DD">
        <w:rPr>
          <w:noProof/>
        </w:rPr>
        <w:t xml:space="preserve"> comply with their </w:t>
      </w:r>
      <w:r w:rsidR="00FD7D30" w:rsidRPr="00CB54DD">
        <w:rPr>
          <w:noProof/>
        </w:rPr>
        <w:t xml:space="preserve">obligations </w:t>
      </w:r>
      <w:r w:rsidR="00366326" w:rsidRPr="00CB54DD">
        <w:rPr>
          <w:noProof/>
        </w:rPr>
        <w:t xml:space="preserve">stemming </w:t>
      </w:r>
      <w:r w:rsidR="00FD7D30" w:rsidRPr="00CB54DD">
        <w:rPr>
          <w:noProof/>
        </w:rPr>
        <w:t xml:space="preserve">from Union </w:t>
      </w:r>
      <w:r w:rsidR="00213947" w:rsidRPr="00CB54DD">
        <w:rPr>
          <w:noProof/>
        </w:rPr>
        <w:t>sa</w:t>
      </w:r>
      <w:r w:rsidR="00CB54DD">
        <w:rPr>
          <w:noProof/>
        </w:rPr>
        <w:t>nctions in an effective manner.</w:t>
      </w:r>
    </w:p>
    <w:p w:rsidR="007F7F5D" w:rsidRPr="00CB54DD" w:rsidRDefault="00933F69" w:rsidP="00933F69">
      <w:pPr>
        <w:pStyle w:val="ManualConsidrant"/>
        <w:rPr>
          <w:noProof/>
        </w:rPr>
      </w:pPr>
      <w:r w:rsidRPr="00933F69">
        <w:t>(16)</w:t>
      </w:r>
      <w:r w:rsidRPr="00933F69">
        <w:tab/>
      </w:r>
      <w:r w:rsidR="007F7F5D" w:rsidRPr="00CB54DD">
        <w:rPr>
          <w:noProof/>
        </w:rPr>
        <w:t xml:space="preserve">Failure </w:t>
      </w:r>
      <w:r w:rsidR="002A3BDF" w:rsidRPr="00CB54DD">
        <w:rPr>
          <w:noProof/>
        </w:rPr>
        <w:t xml:space="preserve">of one PSP </w:t>
      </w:r>
      <w:r w:rsidR="007F7F5D" w:rsidRPr="00CB54DD">
        <w:rPr>
          <w:noProof/>
        </w:rPr>
        <w:t xml:space="preserve">to carry out </w:t>
      </w:r>
      <w:r w:rsidR="002A3BDF" w:rsidRPr="00CB54DD">
        <w:rPr>
          <w:noProof/>
        </w:rPr>
        <w:t xml:space="preserve">timely verifications of its PSUs could result in </w:t>
      </w:r>
      <w:r w:rsidR="00442C19" w:rsidRPr="00CB54DD">
        <w:rPr>
          <w:noProof/>
        </w:rPr>
        <w:t xml:space="preserve">a failure of </w:t>
      </w:r>
      <w:r w:rsidR="003C0263" w:rsidRPr="00CB54DD">
        <w:rPr>
          <w:noProof/>
        </w:rPr>
        <w:t>the other</w:t>
      </w:r>
      <w:r w:rsidR="002A3BDF" w:rsidRPr="00CB54DD">
        <w:rPr>
          <w:noProof/>
        </w:rPr>
        <w:t xml:space="preserve"> PSP involved in carrying out </w:t>
      </w:r>
      <w:r w:rsidR="003C0263" w:rsidRPr="00CB54DD">
        <w:rPr>
          <w:noProof/>
        </w:rPr>
        <w:t xml:space="preserve">the </w:t>
      </w:r>
      <w:r w:rsidR="002A3BDF" w:rsidRPr="00CB54DD">
        <w:rPr>
          <w:noProof/>
        </w:rPr>
        <w:t xml:space="preserve">same </w:t>
      </w:r>
      <w:r w:rsidR="00442C19" w:rsidRPr="00CB54DD">
        <w:rPr>
          <w:noProof/>
        </w:rPr>
        <w:t>instant credit transfer</w:t>
      </w:r>
      <w:r w:rsidR="002A3BDF" w:rsidRPr="00CB54DD">
        <w:rPr>
          <w:noProof/>
        </w:rPr>
        <w:t xml:space="preserve"> transaction to freeze funds of a listed person or entity or </w:t>
      </w:r>
      <w:r w:rsidR="00442C19" w:rsidRPr="00CB54DD">
        <w:rPr>
          <w:noProof/>
        </w:rPr>
        <w:t>not to</w:t>
      </w:r>
      <w:r w:rsidR="002A3BDF" w:rsidRPr="00CB54DD">
        <w:rPr>
          <w:noProof/>
        </w:rPr>
        <w:t xml:space="preserve"> mak</w:t>
      </w:r>
      <w:r w:rsidR="00442C19" w:rsidRPr="00CB54DD">
        <w:rPr>
          <w:noProof/>
        </w:rPr>
        <w:t>e</w:t>
      </w:r>
      <w:r w:rsidR="002A3BDF" w:rsidRPr="00CB54DD">
        <w:rPr>
          <w:noProof/>
        </w:rPr>
        <w:t xml:space="preserve"> funds</w:t>
      </w:r>
      <w:r w:rsidR="00DA4175">
        <w:rPr>
          <w:noProof/>
        </w:rPr>
        <w:t xml:space="preserve"> or economic resources</w:t>
      </w:r>
      <w:r w:rsidR="002A3BDF" w:rsidRPr="00CB54DD">
        <w:rPr>
          <w:noProof/>
        </w:rPr>
        <w:t xml:space="preserve"> available to such person or entity. PSP</w:t>
      </w:r>
      <w:r w:rsidR="000F0471">
        <w:rPr>
          <w:noProof/>
        </w:rPr>
        <w:t>s</w:t>
      </w:r>
      <w:r w:rsidR="002A3BDF" w:rsidRPr="00CB54DD">
        <w:rPr>
          <w:noProof/>
        </w:rPr>
        <w:t xml:space="preserve"> </w:t>
      </w:r>
      <w:r w:rsidR="000F0471">
        <w:rPr>
          <w:noProof/>
        </w:rPr>
        <w:t xml:space="preserve">that </w:t>
      </w:r>
      <w:r w:rsidR="002A3BDF" w:rsidRPr="00CB54DD">
        <w:rPr>
          <w:noProof/>
        </w:rPr>
        <w:t xml:space="preserve">incur penalties for non-compliance with </w:t>
      </w:r>
      <w:r w:rsidR="008072FF">
        <w:rPr>
          <w:noProof/>
        </w:rPr>
        <w:t>their</w:t>
      </w:r>
      <w:r w:rsidR="002A3BDF" w:rsidRPr="00CB54DD">
        <w:rPr>
          <w:noProof/>
        </w:rPr>
        <w:t xml:space="preserve"> obligations </w:t>
      </w:r>
      <w:r w:rsidR="00A253A3">
        <w:rPr>
          <w:noProof/>
        </w:rPr>
        <w:t>stemming</w:t>
      </w:r>
      <w:r w:rsidR="002A3BDF" w:rsidRPr="00CB54DD">
        <w:rPr>
          <w:noProof/>
        </w:rPr>
        <w:t xml:space="preserve"> from </w:t>
      </w:r>
      <w:r w:rsidR="005E1BB4" w:rsidRPr="00CB54DD">
        <w:rPr>
          <w:noProof/>
        </w:rPr>
        <w:t>Union</w:t>
      </w:r>
      <w:r w:rsidR="002A3BDF" w:rsidRPr="00CB54DD">
        <w:rPr>
          <w:noProof/>
        </w:rPr>
        <w:t xml:space="preserve"> sanctions</w:t>
      </w:r>
      <w:r w:rsidR="000F0471">
        <w:rPr>
          <w:noProof/>
        </w:rPr>
        <w:t xml:space="preserve"> due to </w:t>
      </w:r>
      <w:r w:rsidR="008072FF">
        <w:rPr>
          <w:noProof/>
        </w:rPr>
        <w:t>the failure of another PSP to carry out timely verifications of its PSUs</w:t>
      </w:r>
      <w:r w:rsidR="00442C19" w:rsidRPr="00CB54DD">
        <w:rPr>
          <w:noProof/>
        </w:rPr>
        <w:t xml:space="preserve"> should be compensated for those penalties by </w:t>
      </w:r>
      <w:r w:rsidR="002A3BDF" w:rsidRPr="00CB54DD">
        <w:rPr>
          <w:noProof/>
        </w:rPr>
        <w:t>th</w:t>
      </w:r>
      <w:r w:rsidR="008072FF">
        <w:rPr>
          <w:noProof/>
        </w:rPr>
        <w:t>at</w:t>
      </w:r>
      <w:r w:rsidR="002A3BDF" w:rsidRPr="00CB54DD">
        <w:rPr>
          <w:noProof/>
        </w:rPr>
        <w:t xml:space="preserve"> PSP</w:t>
      </w:r>
      <w:r w:rsidR="007F7F5D" w:rsidRPr="00CB54DD">
        <w:rPr>
          <w:noProof/>
        </w:rPr>
        <w:t>.</w:t>
      </w:r>
    </w:p>
    <w:p w:rsidR="009D1724" w:rsidRPr="00CB54DD" w:rsidRDefault="00933F69" w:rsidP="00933F69">
      <w:pPr>
        <w:pStyle w:val="ManualConsidrant"/>
        <w:rPr>
          <w:noProof/>
        </w:rPr>
      </w:pPr>
      <w:r w:rsidRPr="00933F69">
        <w:t>(17)</w:t>
      </w:r>
      <w:r w:rsidRPr="00933F69">
        <w:tab/>
      </w:r>
      <w:r w:rsidR="00801A12" w:rsidRPr="00CB54DD">
        <w:rPr>
          <w:noProof/>
        </w:rPr>
        <w:t xml:space="preserve">The </w:t>
      </w:r>
      <w:r w:rsidR="00DA4175">
        <w:rPr>
          <w:noProof/>
        </w:rPr>
        <w:t>infringements of</w:t>
      </w:r>
      <w:r w:rsidR="001C50C0" w:rsidRPr="00CB54DD">
        <w:rPr>
          <w:noProof/>
        </w:rPr>
        <w:t xml:space="preserve"> this Regulation should be subject to penalties, imposed by </w:t>
      </w:r>
      <w:r w:rsidR="00E26155" w:rsidRPr="00CB54DD">
        <w:rPr>
          <w:noProof/>
        </w:rPr>
        <w:t xml:space="preserve">the </w:t>
      </w:r>
      <w:r w:rsidR="001C50C0" w:rsidRPr="00CB54DD">
        <w:rPr>
          <w:noProof/>
        </w:rPr>
        <w:t xml:space="preserve">competent authorities of the Member States. </w:t>
      </w:r>
      <w:r w:rsidR="008072FF">
        <w:rPr>
          <w:noProof/>
        </w:rPr>
        <w:t>Such</w:t>
      </w:r>
      <w:r w:rsidR="001C50C0" w:rsidRPr="00CB54DD">
        <w:rPr>
          <w:noProof/>
        </w:rPr>
        <w:t xml:space="preserve"> penalties should be effective, proportionate and dissuasive. </w:t>
      </w:r>
      <w:r w:rsidR="00E26155" w:rsidRPr="00CB54DD">
        <w:rPr>
          <w:noProof/>
        </w:rPr>
        <w:t xml:space="preserve">To facilitate the mutual trust of PSPs and </w:t>
      </w:r>
      <w:r w:rsidR="008072FF">
        <w:rPr>
          <w:noProof/>
        </w:rPr>
        <w:t xml:space="preserve">the </w:t>
      </w:r>
      <w:r w:rsidR="00E26155" w:rsidRPr="00CB54DD">
        <w:rPr>
          <w:noProof/>
        </w:rPr>
        <w:t xml:space="preserve">relevant </w:t>
      </w:r>
      <w:r w:rsidR="00DA4175">
        <w:rPr>
          <w:noProof/>
        </w:rPr>
        <w:t xml:space="preserve">competent </w:t>
      </w:r>
      <w:r w:rsidR="00E26155" w:rsidRPr="00CB54DD">
        <w:rPr>
          <w:noProof/>
        </w:rPr>
        <w:t xml:space="preserve">authorities in the uniform and thorough implementation of a harmonised approach to compliance with PSP obligations </w:t>
      </w:r>
      <w:r w:rsidR="005D48B6">
        <w:rPr>
          <w:noProof/>
        </w:rPr>
        <w:t>stemming</w:t>
      </w:r>
      <w:r w:rsidR="00E26155" w:rsidRPr="00CB54DD">
        <w:rPr>
          <w:noProof/>
        </w:rPr>
        <w:t xml:space="preserve"> from Union sanctions, </w:t>
      </w:r>
      <w:r w:rsidR="005E1BB4" w:rsidRPr="00CB54DD">
        <w:rPr>
          <w:noProof/>
        </w:rPr>
        <w:t>i</w:t>
      </w:r>
      <w:r w:rsidR="001C50C0" w:rsidRPr="00CB54DD">
        <w:rPr>
          <w:noProof/>
        </w:rPr>
        <w:t xml:space="preserve">t is </w:t>
      </w:r>
      <w:r w:rsidR="00E26155" w:rsidRPr="00CB54DD">
        <w:rPr>
          <w:noProof/>
        </w:rPr>
        <w:t xml:space="preserve">in particular </w:t>
      </w:r>
      <w:r w:rsidR="001C50C0" w:rsidRPr="00CB54DD">
        <w:rPr>
          <w:noProof/>
        </w:rPr>
        <w:t xml:space="preserve">appropriate to </w:t>
      </w:r>
      <w:r w:rsidR="005E1BB4" w:rsidRPr="00CB54DD">
        <w:rPr>
          <w:noProof/>
        </w:rPr>
        <w:t xml:space="preserve">harmonise </w:t>
      </w:r>
      <w:r w:rsidR="00084A82" w:rsidRPr="00CB54DD">
        <w:rPr>
          <w:noProof/>
        </w:rPr>
        <w:t>across the</w:t>
      </w:r>
      <w:r w:rsidR="005E1BB4" w:rsidRPr="00CB54DD">
        <w:rPr>
          <w:noProof/>
        </w:rPr>
        <w:t xml:space="preserve"> Union the </w:t>
      </w:r>
      <w:r w:rsidR="001C50C0" w:rsidRPr="00CB54DD">
        <w:rPr>
          <w:noProof/>
        </w:rPr>
        <w:t>minimum levels for penalties</w:t>
      </w:r>
      <w:r w:rsidR="005E1BB4" w:rsidRPr="00CB54DD">
        <w:rPr>
          <w:noProof/>
        </w:rPr>
        <w:t xml:space="preserve"> </w:t>
      </w:r>
      <w:r w:rsidR="001C50C0" w:rsidRPr="00CB54DD">
        <w:rPr>
          <w:noProof/>
        </w:rPr>
        <w:t xml:space="preserve">for the </w:t>
      </w:r>
      <w:r w:rsidR="00DA4175">
        <w:rPr>
          <w:noProof/>
        </w:rPr>
        <w:t>infringement</w:t>
      </w:r>
      <w:r w:rsidR="001C50C0" w:rsidRPr="00CB54DD">
        <w:rPr>
          <w:noProof/>
        </w:rPr>
        <w:t xml:space="preserve"> </w:t>
      </w:r>
      <w:r w:rsidR="008072FF">
        <w:rPr>
          <w:noProof/>
        </w:rPr>
        <w:t>by</w:t>
      </w:r>
      <w:r w:rsidR="001C50C0" w:rsidRPr="00CB54DD">
        <w:rPr>
          <w:noProof/>
        </w:rPr>
        <w:t xml:space="preserve"> </w:t>
      </w:r>
      <w:r w:rsidR="005E1BB4" w:rsidRPr="00CB54DD">
        <w:rPr>
          <w:noProof/>
        </w:rPr>
        <w:t>PSP</w:t>
      </w:r>
      <w:r w:rsidR="008072FF">
        <w:rPr>
          <w:noProof/>
        </w:rPr>
        <w:t>s</w:t>
      </w:r>
      <w:r w:rsidR="005E1BB4" w:rsidRPr="00CB54DD">
        <w:rPr>
          <w:noProof/>
        </w:rPr>
        <w:t xml:space="preserve"> of their obligations to verify whether their PSUs are </w:t>
      </w:r>
      <w:r w:rsidR="005F490B">
        <w:rPr>
          <w:noProof/>
        </w:rPr>
        <w:t>listed persons or entities.</w:t>
      </w:r>
    </w:p>
    <w:p w:rsidR="00213947" w:rsidRDefault="00933F69" w:rsidP="00933F69">
      <w:pPr>
        <w:pStyle w:val="ManualConsidrant"/>
        <w:rPr>
          <w:noProof/>
        </w:rPr>
      </w:pPr>
      <w:r w:rsidRPr="00933F69">
        <w:t>(18)</w:t>
      </w:r>
      <w:r w:rsidRPr="00933F69">
        <w:tab/>
      </w:r>
      <w:r w:rsidR="0095145B" w:rsidRPr="00CB54DD">
        <w:rPr>
          <w:noProof/>
        </w:rPr>
        <w:t xml:space="preserve">PSPs need sufficient time to meet the obligations </w:t>
      </w:r>
      <w:r w:rsidR="00DA4175">
        <w:rPr>
          <w:noProof/>
        </w:rPr>
        <w:t>laid down</w:t>
      </w:r>
      <w:r w:rsidR="0095145B" w:rsidRPr="00CB54DD">
        <w:rPr>
          <w:noProof/>
        </w:rPr>
        <w:t xml:space="preserve"> in this Regulation. It is therefore appropriate to introduce th</w:t>
      </w:r>
      <w:r w:rsidR="00E26155" w:rsidRPr="00CB54DD">
        <w:rPr>
          <w:noProof/>
        </w:rPr>
        <w:t>ose</w:t>
      </w:r>
      <w:r w:rsidR="0095145B" w:rsidRPr="00CB54DD">
        <w:rPr>
          <w:noProof/>
        </w:rPr>
        <w:t xml:space="preserve"> obligations </w:t>
      </w:r>
      <w:r w:rsidR="00DA4175">
        <w:rPr>
          <w:noProof/>
        </w:rPr>
        <w:t>gradually</w:t>
      </w:r>
      <w:r w:rsidR="0095145B" w:rsidRPr="00CB54DD">
        <w:rPr>
          <w:noProof/>
        </w:rPr>
        <w:t xml:space="preserve">, allowing PSPs a more efficient use of their resources. </w:t>
      </w:r>
      <w:r w:rsidR="00E26155" w:rsidRPr="00CB54DD">
        <w:rPr>
          <w:noProof/>
        </w:rPr>
        <w:t>T</w:t>
      </w:r>
      <w:r w:rsidR="0095145B" w:rsidRPr="00CB54DD">
        <w:rPr>
          <w:noProof/>
        </w:rPr>
        <w:t xml:space="preserve">he obligation to offer the service of </w:t>
      </w:r>
      <w:r w:rsidR="00BA522C">
        <w:rPr>
          <w:noProof/>
        </w:rPr>
        <w:t>sending</w:t>
      </w:r>
      <w:r w:rsidR="00BA522C" w:rsidRPr="00CB54DD">
        <w:rPr>
          <w:noProof/>
        </w:rPr>
        <w:t xml:space="preserve"> </w:t>
      </w:r>
      <w:r w:rsidR="0095145B" w:rsidRPr="00CB54DD">
        <w:rPr>
          <w:noProof/>
        </w:rPr>
        <w:t xml:space="preserve">instant credit transfers should </w:t>
      </w:r>
      <w:r w:rsidR="00E26155" w:rsidRPr="00CB54DD">
        <w:rPr>
          <w:noProof/>
        </w:rPr>
        <w:t xml:space="preserve">therefore </w:t>
      </w:r>
      <w:r w:rsidR="0095145B" w:rsidRPr="00CB54DD">
        <w:rPr>
          <w:noProof/>
        </w:rPr>
        <w:t xml:space="preserve">apply </w:t>
      </w:r>
      <w:r w:rsidR="00BA522C">
        <w:rPr>
          <w:noProof/>
        </w:rPr>
        <w:t>later</w:t>
      </w:r>
      <w:r w:rsidR="0095145B" w:rsidRPr="00CB54DD">
        <w:rPr>
          <w:noProof/>
        </w:rPr>
        <w:t xml:space="preserve">, </w:t>
      </w:r>
      <w:r w:rsidR="00BA522C">
        <w:rPr>
          <w:noProof/>
        </w:rPr>
        <w:t>preceded</w:t>
      </w:r>
      <w:r w:rsidR="00BA522C" w:rsidRPr="00CB54DD">
        <w:rPr>
          <w:noProof/>
        </w:rPr>
        <w:t xml:space="preserve"> </w:t>
      </w:r>
      <w:r w:rsidR="0095145B" w:rsidRPr="00CB54DD">
        <w:rPr>
          <w:noProof/>
        </w:rPr>
        <w:t xml:space="preserve">by the obligation to offer the service of </w:t>
      </w:r>
      <w:r w:rsidR="00BA522C">
        <w:rPr>
          <w:noProof/>
        </w:rPr>
        <w:t>receiving</w:t>
      </w:r>
      <w:r w:rsidR="00BA522C" w:rsidRPr="00CB54DD">
        <w:rPr>
          <w:noProof/>
        </w:rPr>
        <w:t xml:space="preserve"> </w:t>
      </w:r>
      <w:r w:rsidR="0095145B" w:rsidRPr="00CB54DD">
        <w:rPr>
          <w:noProof/>
        </w:rPr>
        <w:t>instant credit transfers</w:t>
      </w:r>
      <w:r w:rsidR="00206757">
        <w:rPr>
          <w:noProof/>
        </w:rPr>
        <w:t xml:space="preserve">, since the sending of instant credit transfers </w:t>
      </w:r>
      <w:r w:rsidR="00D76258" w:rsidRPr="00D76258">
        <w:rPr>
          <w:noProof/>
        </w:rPr>
        <w:t>tends to be more costly and complex of the two services to implement and therefore necessitates more time</w:t>
      </w:r>
      <w:r w:rsidR="0095145B" w:rsidRPr="00CB54DD">
        <w:rPr>
          <w:noProof/>
        </w:rPr>
        <w:t>. The service of notifying detected discrepancies between the name and payment account identifier of the payee to the payer is only relevant for PSPs offering the service of sending instant credit transfers</w:t>
      </w:r>
      <w:r w:rsidR="00DA4175">
        <w:rPr>
          <w:noProof/>
        </w:rPr>
        <w:t>.</w:t>
      </w:r>
      <w:r w:rsidR="0095145B" w:rsidRPr="00CB54DD">
        <w:rPr>
          <w:noProof/>
        </w:rPr>
        <w:t xml:space="preserve"> </w:t>
      </w:r>
      <w:r w:rsidR="00DA4175">
        <w:rPr>
          <w:noProof/>
        </w:rPr>
        <w:t>T</w:t>
      </w:r>
      <w:r w:rsidR="0095145B" w:rsidRPr="00CB54DD">
        <w:rPr>
          <w:noProof/>
        </w:rPr>
        <w:t>he obligation to offer th</w:t>
      </w:r>
      <w:r w:rsidR="00E26155" w:rsidRPr="00CB54DD">
        <w:rPr>
          <w:noProof/>
        </w:rPr>
        <w:t>at</w:t>
      </w:r>
      <w:r w:rsidR="0095145B" w:rsidRPr="00CB54DD">
        <w:rPr>
          <w:noProof/>
        </w:rPr>
        <w:t xml:space="preserve"> service should therefore apply from the same time as the obligation to offer the service of sending instant credit transfers. </w:t>
      </w:r>
      <w:r w:rsidR="00801A12" w:rsidRPr="00CB54DD">
        <w:rPr>
          <w:noProof/>
        </w:rPr>
        <w:t>T</w:t>
      </w:r>
      <w:r w:rsidR="0095145B" w:rsidRPr="00CB54DD">
        <w:rPr>
          <w:noProof/>
        </w:rPr>
        <w:t>he obligations related to charges and</w:t>
      </w:r>
      <w:r w:rsidR="0095145B" w:rsidRPr="00CB54DD" w:rsidDel="00C165B8">
        <w:rPr>
          <w:noProof/>
        </w:rPr>
        <w:t xml:space="preserve"> </w:t>
      </w:r>
      <w:r w:rsidR="0095145B" w:rsidRPr="00CB54DD">
        <w:rPr>
          <w:noProof/>
        </w:rPr>
        <w:t xml:space="preserve">harmonised procedure to ensure compliance with </w:t>
      </w:r>
      <w:r w:rsidR="005E1BB4" w:rsidRPr="00CB54DD">
        <w:rPr>
          <w:noProof/>
        </w:rPr>
        <w:t xml:space="preserve">obligations </w:t>
      </w:r>
      <w:r w:rsidR="005D48B6">
        <w:rPr>
          <w:noProof/>
        </w:rPr>
        <w:t>stemming</w:t>
      </w:r>
      <w:r w:rsidR="005E1BB4" w:rsidRPr="00CB54DD">
        <w:rPr>
          <w:noProof/>
        </w:rPr>
        <w:t xml:space="preserve"> from Union </w:t>
      </w:r>
      <w:r w:rsidR="0095145B" w:rsidRPr="00CB54DD">
        <w:rPr>
          <w:noProof/>
        </w:rPr>
        <w:t xml:space="preserve">sanctions should apply as soon as PSPs are obliged to offer the service of receiving instant credit transfers. </w:t>
      </w:r>
      <w:r w:rsidR="00DA4175">
        <w:rPr>
          <w:noProof/>
        </w:rPr>
        <w:t>T</w:t>
      </w:r>
      <w:r w:rsidR="00E26155" w:rsidRPr="00CB54DD">
        <w:rPr>
          <w:noProof/>
        </w:rPr>
        <w:t xml:space="preserve">o allow PSPs located in Member States whose currency is not the euro to efficiently allocate the resources needed for the implementation of instant credit transfers in euro, </w:t>
      </w:r>
      <w:r w:rsidR="00627460" w:rsidRPr="00CB54DD">
        <w:rPr>
          <w:noProof/>
        </w:rPr>
        <w:t xml:space="preserve">the obligations laid </w:t>
      </w:r>
      <w:r w:rsidR="005D48B6">
        <w:rPr>
          <w:noProof/>
        </w:rPr>
        <w:t>down</w:t>
      </w:r>
      <w:r w:rsidR="00627460" w:rsidRPr="00CB54DD">
        <w:rPr>
          <w:noProof/>
        </w:rPr>
        <w:t xml:space="preserve"> in this Regulation should apply to such PSPs as of a later date than to PSPs located in Member States whose currency is the euro </w:t>
      </w:r>
      <w:r w:rsidR="00675831" w:rsidRPr="00CB54DD">
        <w:rPr>
          <w:noProof/>
        </w:rPr>
        <w:t xml:space="preserve">with the same </w:t>
      </w:r>
      <w:r w:rsidR="00DE47A1">
        <w:rPr>
          <w:noProof/>
        </w:rPr>
        <w:t>gradual</w:t>
      </w:r>
      <w:r w:rsidR="00675831" w:rsidRPr="00CB54DD">
        <w:rPr>
          <w:noProof/>
        </w:rPr>
        <w:t xml:space="preserve"> approach for introducing various obligations as for PSPs located in the euro area. </w:t>
      </w:r>
    </w:p>
    <w:p w:rsidR="007B7F3A" w:rsidRPr="00CB54DD" w:rsidRDefault="00933F69" w:rsidP="00933F69">
      <w:pPr>
        <w:pStyle w:val="ManualConsidrant"/>
        <w:rPr>
          <w:noProof/>
        </w:rPr>
      </w:pPr>
      <w:r w:rsidRPr="00933F69">
        <w:t>(19)</w:t>
      </w:r>
      <w:r w:rsidRPr="00933F69">
        <w:tab/>
      </w:r>
      <w:r w:rsidR="007B7F3A" w:rsidRPr="00CB54DD">
        <w:rPr>
          <w:noProof/>
        </w:rPr>
        <w:t>Under Article 3 of Regulation (EU) 2021/1230 of the European Parliament and of the Council</w:t>
      </w:r>
      <w:r w:rsidR="007B7F3A" w:rsidRPr="002D7679">
        <w:rPr>
          <w:rStyle w:val="FootnoteReference"/>
          <w:noProof/>
        </w:rPr>
        <w:footnoteReference w:id="39"/>
      </w:r>
      <w:r w:rsidR="007B7F3A" w:rsidRPr="00EA5206">
        <w:rPr>
          <w:noProof/>
        </w:rPr>
        <w:t>,</w:t>
      </w:r>
      <w:r w:rsidR="007B7F3A" w:rsidRPr="00CB54DD">
        <w:rPr>
          <w:noProof/>
        </w:rPr>
        <w:t xml:space="preserve"> charges applied by a PSP located in a Member State </w:t>
      </w:r>
      <w:r w:rsidR="007B7F3A">
        <w:rPr>
          <w:noProof/>
        </w:rPr>
        <w:t xml:space="preserve">whose currency is not </w:t>
      </w:r>
      <w:r w:rsidR="007B7F3A" w:rsidRPr="00CB54DD">
        <w:rPr>
          <w:noProof/>
        </w:rPr>
        <w:t xml:space="preserve">the euro in respect of cross-border credit transfers in euro </w:t>
      </w:r>
      <w:r w:rsidR="007B7F3A">
        <w:rPr>
          <w:noProof/>
        </w:rPr>
        <w:t>are to</w:t>
      </w:r>
      <w:r w:rsidR="007B7F3A" w:rsidRPr="00CB54DD">
        <w:rPr>
          <w:noProof/>
        </w:rPr>
        <w:t xml:space="preserve"> be the same as charges applied by that PSP in respect of national credit transfers in the national currency of that Member State. </w:t>
      </w:r>
      <w:r w:rsidR="007B7F3A" w:rsidRPr="00096D89">
        <w:rPr>
          <w:noProof/>
        </w:rPr>
        <w:t xml:space="preserve">In situations where such a PSP applies higher charges for national instant credit transfers in </w:t>
      </w:r>
      <w:r w:rsidR="00130867">
        <w:rPr>
          <w:noProof/>
        </w:rPr>
        <w:t xml:space="preserve">the </w:t>
      </w:r>
      <w:r w:rsidR="007B7F3A" w:rsidRPr="00096D89">
        <w:rPr>
          <w:noProof/>
        </w:rPr>
        <w:t>national currency than for</w:t>
      </w:r>
      <w:r w:rsidR="007B7F3A">
        <w:rPr>
          <w:noProof/>
        </w:rPr>
        <w:t xml:space="preserve"> national non-instant credit transfers in the national currency, and therefore also higher charges than for</w:t>
      </w:r>
      <w:r w:rsidR="007B7F3A" w:rsidRPr="00096D89">
        <w:rPr>
          <w:noProof/>
        </w:rPr>
        <w:t xml:space="preserve"> cross-border non-instant credit transfers in euro, the level of charges that such a PSP would be required to apply under Article 3 of Regulation (EU) 2021/1230 in respect of cross-border instant credit transfers in euro would be higher than charges for cross-border non-instant credit transfers in euro. </w:t>
      </w:r>
      <w:r w:rsidR="007B7F3A" w:rsidRPr="00CB54DD">
        <w:rPr>
          <w:noProof/>
        </w:rPr>
        <w:t xml:space="preserve">In such situations, </w:t>
      </w:r>
      <w:r w:rsidR="007B7F3A">
        <w:rPr>
          <w:noProof/>
        </w:rPr>
        <w:t xml:space="preserve">to avoid conflicting requirements and </w:t>
      </w:r>
      <w:r w:rsidR="007B7F3A" w:rsidRPr="00CB54DD">
        <w:rPr>
          <w:noProof/>
        </w:rPr>
        <w:t>taking into account the key objective of steering PSUs towards instant credit transfers in euro, it is appropriate to require that charges applied to payers and payees for cross-border instant credit transfers in euro do not exceed the charges applied for cross-border non-instant credit transfers in euro.</w:t>
      </w:r>
    </w:p>
    <w:p w:rsidR="00C434BC" w:rsidRDefault="00933F69" w:rsidP="00933F69">
      <w:pPr>
        <w:pStyle w:val="ManualConsidrant"/>
        <w:rPr>
          <w:noProof/>
        </w:rPr>
      </w:pPr>
      <w:r w:rsidRPr="00933F69">
        <w:t>(20)</w:t>
      </w:r>
      <w:r w:rsidRPr="00933F69">
        <w:tab/>
      </w:r>
      <w:r w:rsidR="00C434BC" w:rsidRPr="00CB54DD">
        <w:rPr>
          <w:noProof/>
        </w:rPr>
        <w:t>Regulation</w:t>
      </w:r>
      <w:r w:rsidR="00DE47A1">
        <w:rPr>
          <w:noProof/>
        </w:rPr>
        <w:t>s</w:t>
      </w:r>
      <w:r w:rsidR="00C434BC" w:rsidRPr="00CB54DD">
        <w:rPr>
          <w:noProof/>
        </w:rPr>
        <w:t xml:space="preserve"> (EU) No 260/2012 </w:t>
      </w:r>
      <w:r w:rsidR="00C434BC">
        <w:rPr>
          <w:noProof/>
        </w:rPr>
        <w:t xml:space="preserve">and </w:t>
      </w:r>
      <w:r w:rsidR="00C434BC" w:rsidRPr="00CB54DD">
        <w:rPr>
          <w:noProof/>
        </w:rPr>
        <w:t xml:space="preserve">(EU) 2021/1230 </w:t>
      </w:r>
      <w:r w:rsidR="00C434BC">
        <w:rPr>
          <w:noProof/>
        </w:rPr>
        <w:t>should therefore be amended accordingly.</w:t>
      </w:r>
    </w:p>
    <w:p w:rsidR="00931E75" w:rsidRDefault="00933F69" w:rsidP="00933F69">
      <w:pPr>
        <w:pStyle w:val="ManualConsidrant"/>
        <w:rPr>
          <w:noProof/>
        </w:rPr>
      </w:pPr>
      <w:r w:rsidRPr="00933F69">
        <w:t>(21)</w:t>
      </w:r>
      <w:r w:rsidRPr="00933F69">
        <w:tab/>
      </w:r>
      <w:r w:rsidR="00931E75">
        <w:rPr>
          <w:noProof/>
        </w:rPr>
        <w:t xml:space="preserve">Any processing of personal data in the context of </w:t>
      </w:r>
      <w:r w:rsidR="001078DB">
        <w:rPr>
          <w:noProof/>
        </w:rPr>
        <w:t>providing</w:t>
      </w:r>
      <w:r w:rsidR="00931E75">
        <w:rPr>
          <w:noProof/>
        </w:rPr>
        <w:t xml:space="preserve"> instant </w:t>
      </w:r>
      <w:r w:rsidR="00185117">
        <w:rPr>
          <w:noProof/>
        </w:rPr>
        <w:t>credit transfers</w:t>
      </w:r>
      <w:r w:rsidR="00931E75">
        <w:rPr>
          <w:noProof/>
        </w:rPr>
        <w:t xml:space="preserve">, </w:t>
      </w:r>
      <w:r w:rsidR="001078DB">
        <w:rPr>
          <w:noProof/>
        </w:rPr>
        <w:t>or</w:t>
      </w:r>
      <w:r w:rsidR="00931E75">
        <w:rPr>
          <w:noProof/>
        </w:rPr>
        <w:t xml:space="preserve"> </w:t>
      </w:r>
      <w:r w:rsidR="00185117">
        <w:rPr>
          <w:noProof/>
        </w:rPr>
        <w:t>the service detecting and notifying d</w:t>
      </w:r>
      <w:r w:rsidR="00185117" w:rsidRPr="00185117">
        <w:rPr>
          <w:noProof/>
        </w:rPr>
        <w:t>iscrepancies between the name and payment account identifier of a payee</w:t>
      </w:r>
      <w:r w:rsidR="001078DB">
        <w:rPr>
          <w:noProof/>
        </w:rPr>
        <w:t>, as well as</w:t>
      </w:r>
      <w:r w:rsidR="00931E75">
        <w:rPr>
          <w:noProof/>
        </w:rPr>
        <w:t xml:space="preserve"> </w:t>
      </w:r>
      <w:r w:rsidR="00185117">
        <w:rPr>
          <w:noProof/>
        </w:rPr>
        <w:t>verifying</w:t>
      </w:r>
      <w:r w:rsidR="00185117" w:rsidRPr="00CB54DD">
        <w:rPr>
          <w:noProof/>
        </w:rPr>
        <w:t xml:space="preserve"> whether PSUs are </w:t>
      </w:r>
      <w:r w:rsidR="00185117">
        <w:rPr>
          <w:noProof/>
        </w:rPr>
        <w:t>listed persons or entities should</w:t>
      </w:r>
      <w:r w:rsidR="00931E75">
        <w:rPr>
          <w:noProof/>
        </w:rPr>
        <w:t xml:space="preserve"> be in line with </w:t>
      </w:r>
      <w:r w:rsidR="00931E75" w:rsidRPr="00315E38">
        <w:rPr>
          <w:noProof/>
        </w:rPr>
        <w:t xml:space="preserve">the </w:t>
      </w:r>
      <w:r w:rsidR="001078DB" w:rsidRPr="001078DB">
        <w:rPr>
          <w:noProof/>
        </w:rPr>
        <w:t>Regulation (EU) 2016/679 of the European Parliament and of the Council</w:t>
      </w:r>
      <w:r w:rsidR="00931E75" w:rsidRPr="00315E38">
        <w:rPr>
          <w:rStyle w:val="FootnoteReference"/>
          <w:noProof/>
        </w:rPr>
        <w:footnoteReference w:id="40"/>
      </w:r>
      <w:r w:rsidR="001078DB">
        <w:rPr>
          <w:noProof/>
        </w:rPr>
        <w:t>.</w:t>
      </w:r>
      <w:r w:rsidR="00931E75" w:rsidRPr="00315E38">
        <w:rPr>
          <w:noProof/>
        </w:rPr>
        <w:t xml:space="preserve"> </w:t>
      </w:r>
      <w:r w:rsidR="00931E75">
        <w:rPr>
          <w:rFonts w:eastAsia="Calibri"/>
          <w:noProof/>
          <w:szCs w:val="24"/>
        </w:rPr>
        <w:t>P</w:t>
      </w:r>
      <w:r w:rsidR="00931E75" w:rsidRPr="008F4468">
        <w:rPr>
          <w:rFonts w:eastAsia="Calibri"/>
          <w:noProof/>
          <w:szCs w:val="24"/>
        </w:rPr>
        <w:t xml:space="preserve">rocessing of </w:t>
      </w:r>
      <w:r w:rsidR="00931E75">
        <w:rPr>
          <w:rFonts w:eastAsia="Calibri"/>
          <w:noProof/>
          <w:szCs w:val="24"/>
        </w:rPr>
        <w:t xml:space="preserve">the </w:t>
      </w:r>
      <w:r w:rsidR="00931E75" w:rsidRPr="008F4468">
        <w:rPr>
          <w:rFonts w:eastAsia="Calibri"/>
          <w:noProof/>
          <w:szCs w:val="24"/>
        </w:rPr>
        <w:t>names and the payment account identifiers</w:t>
      </w:r>
      <w:r w:rsidR="00931E75">
        <w:rPr>
          <w:rFonts w:eastAsia="Calibri"/>
          <w:noProof/>
          <w:szCs w:val="24"/>
        </w:rPr>
        <w:t xml:space="preserve"> of natural persons</w:t>
      </w:r>
      <w:r w:rsidR="00931E75" w:rsidRPr="008F4468">
        <w:rPr>
          <w:rFonts w:eastAsia="Calibri"/>
          <w:noProof/>
          <w:szCs w:val="24"/>
        </w:rPr>
        <w:t xml:space="preserve"> is </w:t>
      </w:r>
      <w:r w:rsidR="001078DB" w:rsidRPr="008F4468">
        <w:rPr>
          <w:rFonts w:eastAsia="Calibri"/>
          <w:noProof/>
          <w:szCs w:val="24"/>
        </w:rPr>
        <w:t xml:space="preserve">proportionate </w:t>
      </w:r>
      <w:r w:rsidR="001078DB">
        <w:rPr>
          <w:rFonts w:eastAsia="Calibri"/>
          <w:noProof/>
          <w:szCs w:val="24"/>
        </w:rPr>
        <w:t xml:space="preserve">and </w:t>
      </w:r>
      <w:r w:rsidR="00931E75" w:rsidRPr="008F4468">
        <w:rPr>
          <w:rFonts w:eastAsia="Calibri"/>
          <w:noProof/>
          <w:szCs w:val="24"/>
        </w:rPr>
        <w:t>necessary to prevent fraudulent transactions</w:t>
      </w:r>
      <w:r w:rsidR="00931E75">
        <w:rPr>
          <w:rFonts w:eastAsia="Calibri"/>
          <w:noProof/>
          <w:szCs w:val="24"/>
        </w:rPr>
        <w:t xml:space="preserve">, </w:t>
      </w:r>
      <w:r w:rsidR="00931E75" w:rsidRPr="008F4468">
        <w:rPr>
          <w:rFonts w:eastAsia="Calibri"/>
          <w:noProof/>
          <w:szCs w:val="24"/>
        </w:rPr>
        <w:t>detect errors</w:t>
      </w:r>
      <w:r w:rsidR="00931E75" w:rsidRPr="001A3595">
        <w:rPr>
          <w:rFonts w:eastAsia="Calibri"/>
          <w:noProof/>
          <w:szCs w:val="24"/>
        </w:rPr>
        <w:t xml:space="preserve"> </w:t>
      </w:r>
      <w:r w:rsidR="00931E75">
        <w:rPr>
          <w:rFonts w:eastAsia="Calibri"/>
          <w:noProof/>
          <w:szCs w:val="24"/>
        </w:rPr>
        <w:t xml:space="preserve">and ensure the compliance with </w:t>
      </w:r>
      <w:r w:rsidR="001078DB">
        <w:rPr>
          <w:rFonts w:eastAsia="Calibri"/>
          <w:noProof/>
          <w:szCs w:val="24"/>
        </w:rPr>
        <w:t>r</w:t>
      </w:r>
      <w:r w:rsidR="001078DB" w:rsidRPr="005750EC">
        <w:rPr>
          <w:noProof/>
          <w:shd w:val="clear" w:color="auto" w:fill="FFFFFF"/>
        </w:rPr>
        <w:t>estrictive measures adopted in accordance with Article 215 TFEU</w:t>
      </w:r>
      <w:r w:rsidR="001078DB">
        <w:rPr>
          <w:noProof/>
          <w:shd w:val="clear" w:color="auto" w:fill="FFFFFF"/>
        </w:rPr>
        <w:t xml:space="preserve"> </w:t>
      </w:r>
      <w:r w:rsidR="001078DB">
        <w:rPr>
          <w:noProof/>
        </w:rPr>
        <w:t>providing for asset freeze or prohibition of making funds or economic resources available</w:t>
      </w:r>
      <w:r w:rsidR="00931E75" w:rsidRPr="008F4468">
        <w:rPr>
          <w:rFonts w:eastAsia="Calibri"/>
          <w:noProof/>
          <w:szCs w:val="24"/>
        </w:rPr>
        <w:t xml:space="preserve">. </w:t>
      </w:r>
    </w:p>
    <w:p w:rsidR="003A4DA6" w:rsidRDefault="00933F69" w:rsidP="00933F69">
      <w:pPr>
        <w:pStyle w:val="ManualConsidrant"/>
        <w:rPr>
          <w:noProof/>
        </w:rPr>
      </w:pPr>
      <w:r w:rsidRPr="00933F69">
        <w:t>(22)</w:t>
      </w:r>
      <w:r w:rsidRPr="00933F69">
        <w:tab/>
      </w:r>
      <w:r w:rsidR="00AC4616">
        <w:rPr>
          <w:noProof/>
        </w:rPr>
        <w:t>S</w:t>
      </w:r>
      <w:r w:rsidR="00213947" w:rsidRPr="00CB54DD">
        <w:rPr>
          <w:noProof/>
        </w:rPr>
        <w:t>ince the objectives of this Regulation</w:t>
      </w:r>
      <w:r w:rsidR="0074766A">
        <w:rPr>
          <w:noProof/>
        </w:rPr>
        <w:t>, namely to provide the necessary uniform rules for cross-border instant credit transfers</w:t>
      </w:r>
      <w:r w:rsidR="00E21660">
        <w:rPr>
          <w:noProof/>
        </w:rPr>
        <w:t xml:space="preserve"> in euro</w:t>
      </w:r>
      <w:r w:rsidR="0074766A">
        <w:rPr>
          <w:noProof/>
        </w:rPr>
        <w:t xml:space="preserve"> at Union level and to </w:t>
      </w:r>
      <w:r w:rsidR="005D4F0E">
        <w:rPr>
          <w:noProof/>
        </w:rPr>
        <w:t>increase the overall uptake of</w:t>
      </w:r>
      <w:r w:rsidR="00E21660">
        <w:rPr>
          <w:noProof/>
        </w:rPr>
        <w:t xml:space="preserve"> </w:t>
      </w:r>
      <w:r w:rsidR="0074766A">
        <w:rPr>
          <w:noProof/>
        </w:rPr>
        <w:t>instant credit transfers</w:t>
      </w:r>
      <w:r w:rsidR="005D4F0E">
        <w:rPr>
          <w:noProof/>
        </w:rPr>
        <w:t xml:space="preserve"> in euro</w:t>
      </w:r>
      <w:r w:rsidR="0074766A">
        <w:rPr>
          <w:noProof/>
        </w:rPr>
        <w:t xml:space="preserve">, </w:t>
      </w:r>
      <w:r w:rsidR="00213947" w:rsidRPr="00CB54DD">
        <w:rPr>
          <w:noProof/>
        </w:rPr>
        <w:t xml:space="preserve">cannot be sufficiently achieved by Member States </w:t>
      </w:r>
      <w:r w:rsidR="000430DE">
        <w:rPr>
          <w:noProof/>
        </w:rPr>
        <w:t xml:space="preserve">because they cannot impose obligations on PSPs located in other Member States, </w:t>
      </w:r>
      <w:r w:rsidR="0074766A">
        <w:rPr>
          <w:noProof/>
        </w:rPr>
        <w:t>but can rather, by reason of scale</w:t>
      </w:r>
      <w:r w:rsidR="00E21660">
        <w:rPr>
          <w:noProof/>
        </w:rPr>
        <w:t>,</w:t>
      </w:r>
      <w:r w:rsidR="0074766A">
        <w:rPr>
          <w:noProof/>
        </w:rPr>
        <w:t xml:space="preserve"> be better achieved at Union level, the Union may adopt measures, in accordance with the principle of subsidiarity as set out in Article 5 of the Treaty on European Union.</w:t>
      </w:r>
      <w:r w:rsidR="000430DE">
        <w:rPr>
          <w:noProof/>
        </w:rPr>
        <w:t xml:space="preserve"> </w:t>
      </w:r>
      <w:r w:rsidR="00213947" w:rsidRPr="00CB54DD">
        <w:rPr>
          <w:noProof/>
        </w:rPr>
        <w:t>In accordance with the principle of proportionality as set out in that Article, this Regulation does not go beyond what is necessary in or</w:t>
      </w:r>
      <w:r w:rsidR="003A4DA6" w:rsidRPr="00CB54DD">
        <w:rPr>
          <w:noProof/>
        </w:rPr>
        <w:t xml:space="preserve">der to achieve </w:t>
      </w:r>
      <w:r w:rsidR="00801A12" w:rsidRPr="00CB54DD">
        <w:rPr>
          <w:noProof/>
        </w:rPr>
        <w:t xml:space="preserve">its </w:t>
      </w:r>
      <w:r w:rsidR="003A4DA6" w:rsidRPr="00CB54DD">
        <w:rPr>
          <w:noProof/>
        </w:rPr>
        <w:t>objectives</w:t>
      </w:r>
      <w:r w:rsidR="00407D65">
        <w:rPr>
          <w:noProof/>
        </w:rPr>
        <w:t>.</w:t>
      </w:r>
    </w:p>
    <w:p w:rsidR="002D5511" w:rsidRDefault="00933F69" w:rsidP="00933F69">
      <w:pPr>
        <w:pStyle w:val="ManualConsidrant"/>
        <w:rPr>
          <w:noProof/>
          <w:lang w:val="en-IE"/>
        </w:rPr>
      </w:pPr>
      <w:r w:rsidRPr="00933F69">
        <w:t>(23)</w:t>
      </w:r>
      <w:r w:rsidRPr="00933F69">
        <w:tab/>
      </w:r>
      <w:r w:rsidR="00F1524E">
        <w:rPr>
          <w:noProof/>
          <w:lang w:val="en-IE"/>
        </w:rPr>
        <w:t xml:space="preserve">The European Data Protection Supervisor was consulted in accordance with Article 42(1) of Regulation (EU) 2018/1725 </w:t>
      </w:r>
      <w:r w:rsidR="00F1524E">
        <w:rPr>
          <w:noProof/>
        </w:rPr>
        <w:t>of the European Parliament and of the Council</w:t>
      </w:r>
      <w:r w:rsidR="00F1524E">
        <w:rPr>
          <w:rStyle w:val="FootnoteReference"/>
          <w:noProof/>
          <w:lang w:val="en-IE"/>
        </w:rPr>
        <w:footnoteReference w:id="41"/>
      </w:r>
      <w:r w:rsidR="00F1524E">
        <w:rPr>
          <w:noProof/>
          <w:lang w:val="en-IE"/>
        </w:rPr>
        <w:t xml:space="preserve"> and deli</w:t>
      </w:r>
      <w:r w:rsidR="00F8091D">
        <w:rPr>
          <w:noProof/>
          <w:lang w:val="en-IE"/>
        </w:rPr>
        <w:t>vered an opinion on [XX XX 2022</w:t>
      </w:r>
      <w:r w:rsidR="00F1524E">
        <w:rPr>
          <w:noProof/>
          <w:lang w:val="en-IE"/>
        </w:rPr>
        <w:t>]</w:t>
      </w:r>
      <w:r w:rsidR="00F1524E">
        <w:rPr>
          <w:rStyle w:val="FootnoteReference"/>
          <w:noProof/>
          <w:lang w:val="en-IE"/>
        </w:rPr>
        <w:footnoteReference w:id="42"/>
      </w:r>
      <w:r w:rsidR="00F1524E">
        <w:rPr>
          <w:noProof/>
          <w:lang w:val="en-IE"/>
        </w:rPr>
        <w:t>,</w:t>
      </w:r>
    </w:p>
    <w:p w:rsidR="002D5511" w:rsidRPr="002D5511" w:rsidRDefault="002D5511" w:rsidP="002D5511">
      <w:pPr>
        <w:rPr>
          <w:noProof/>
          <w:lang w:val="en-IE"/>
        </w:rPr>
      </w:pPr>
    </w:p>
    <w:p w:rsidR="00C961C5" w:rsidRPr="00CB54DD" w:rsidRDefault="00C961C5" w:rsidP="00315E38">
      <w:pPr>
        <w:pStyle w:val="Formuledadoption"/>
        <w:rPr>
          <w:noProof/>
        </w:rPr>
      </w:pPr>
      <w:r w:rsidRPr="00CB54DD">
        <w:rPr>
          <w:noProof/>
        </w:rPr>
        <w:t>HAVE ADOPTED THIS REGULATION:</w:t>
      </w:r>
    </w:p>
    <w:p w:rsidR="00213947" w:rsidRPr="00CB54DD" w:rsidRDefault="00213947" w:rsidP="00982143">
      <w:pPr>
        <w:pStyle w:val="Titrearticle"/>
        <w:rPr>
          <w:noProof/>
        </w:rPr>
      </w:pPr>
      <w:r w:rsidRPr="00CB54DD">
        <w:rPr>
          <w:noProof/>
        </w:rPr>
        <w:t>Article 1</w:t>
      </w:r>
      <w:r w:rsidR="00982143">
        <w:rPr>
          <w:noProof/>
        </w:rPr>
        <w:br/>
      </w:r>
      <w:r w:rsidRPr="00CB54DD">
        <w:rPr>
          <w:b/>
          <w:noProof/>
        </w:rPr>
        <w:t>Amendments to Regulation (EU) No 260/2012</w:t>
      </w:r>
    </w:p>
    <w:p w:rsidR="00213947" w:rsidRPr="00CB54DD" w:rsidRDefault="00213947" w:rsidP="00315E38">
      <w:pPr>
        <w:rPr>
          <w:noProof/>
          <w:szCs w:val="24"/>
          <w:shd w:val="clear" w:color="auto" w:fill="FFFFFF"/>
        </w:rPr>
      </w:pPr>
      <w:r w:rsidRPr="00CB54DD">
        <w:rPr>
          <w:noProof/>
          <w:szCs w:val="24"/>
          <w:shd w:val="clear" w:color="auto" w:fill="FFFFFF"/>
        </w:rPr>
        <w:t>Regulation (EU) No 260/2012 is amended as follows:</w:t>
      </w:r>
    </w:p>
    <w:p w:rsidR="00213947" w:rsidRPr="00CB54DD" w:rsidRDefault="00933F69" w:rsidP="00933F69">
      <w:pPr>
        <w:pStyle w:val="Point0"/>
        <w:rPr>
          <w:noProof/>
          <w:shd w:val="clear" w:color="auto" w:fill="FFFFFF"/>
        </w:rPr>
      </w:pPr>
      <w:r w:rsidRPr="00933F69">
        <w:t>(1)</w:t>
      </w:r>
      <w:r w:rsidRPr="00933F69">
        <w:tab/>
      </w:r>
      <w:r w:rsidR="00213947" w:rsidRPr="00CB54DD">
        <w:rPr>
          <w:noProof/>
          <w:shd w:val="clear" w:color="auto" w:fill="FFFFFF"/>
        </w:rPr>
        <w:t>Article 2 is amended as follows:</w:t>
      </w:r>
    </w:p>
    <w:p w:rsidR="00213947" w:rsidRPr="00CB54DD" w:rsidRDefault="00933F69" w:rsidP="00933F69">
      <w:pPr>
        <w:pStyle w:val="Point1"/>
        <w:rPr>
          <w:noProof/>
          <w:shd w:val="clear" w:color="auto" w:fill="FFFFFF"/>
        </w:rPr>
      </w:pPr>
      <w:r w:rsidRPr="00933F69">
        <w:t>(a)</w:t>
      </w:r>
      <w:r w:rsidRPr="00933F69">
        <w:tab/>
      </w:r>
      <w:r w:rsidR="00213947" w:rsidRPr="00CB54DD">
        <w:rPr>
          <w:noProof/>
          <w:shd w:val="clear" w:color="auto" w:fill="FFFFFF"/>
        </w:rPr>
        <w:t xml:space="preserve">the following points </w:t>
      </w:r>
      <w:r w:rsidR="008D1D16" w:rsidRPr="00CB54DD">
        <w:rPr>
          <w:noProof/>
          <w:szCs w:val="24"/>
          <w:shd w:val="clear" w:color="auto" w:fill="FFFFFF"/>
        </w:rPr>
        <w:t xml:space="preserve">(1a) to (1d) </w:t>
      </w:r>
      <w:r w:rsidR="00213947" w:rsidRPr="00CB54DD">
        <w:rPr>
          <w:noProof/>
          <w:shd w:val="clear" w:color="auto" w:fill="FFFFFF"/>
        </w:rPr>
        <w:t>are inserted:</w:t>
      </w:r>
    </w:p>
    <w:p w:rsidR="00FD7D0D" w:rsidRPr="00CB54DD" w:rsidRDefault="00315E38" w:rsidP="00010476">
      <w:pPr>
        <w:pStyle w:val="Point2"/>
        <w:rPr>
          <w:noProof/>
          <w:shd w:val="clear" w:color="auto" w:fill="FFFFFF"/>
        </w:rPr>
      </w:pPr>
      <w:r w:rsidRPr="00CB54DD">
        <w:rPr>
          <w:noProof/>
          <w:shd w:val="clear" w:color="auto" w:fill="FFFFFF"/>
        </w:rPr>
        <w:t>‘(1a)</w:t>
      </w:r>
      <w:r w:rsidRPr="00CB54DD">
        <w:rPr>
          <w:noProof/>
          <w:shd w:val="clear" w:color="auto" w:fill="FFFFFF"/>
        </w:rPr>
        <w:tab/>
      </w:r>
      <w:r w:rsidR="00FD7D0D" w:rsidRPr="00CB54DD">
        <w:rPr>
          <w:noProof/>
          <w:shd w:val="clear" w:color="auto" w:fill="FFFFFF"/>
        </w:rPr>
        <w:t xml:space="preserve">‘instant credit transfer’ means a credit transfer which </w:t>
      </w:r>
      <w:r w:rsidR="00B61CE9">
        <w:rPr>
          <w:noProof/>
          <w:shd w:val="clear" w:color="auto" w:fill="FFFFFF"/>
        </w:rPr>
        <w:t>meets</w:t>
      </w:r>
      <w:r w:rsidR="00FD7D0D" w:rsidRPr="00CB54DD">
        <w:rPr>
          <w:noProof/>
          <w:shd w:val="clear" w:color="auto" w:fill="FFFFFF"/>
        </w:rPr>
        <w:t xml:space="preserve"> all of the following</w:t>
      </w:r>
      <w:r w:rsidR="007870C7">
        <w:rPr>
          <w:noProof/>
          <w:shd w:val="clear" w:color="auto" w:fill="FFFFFF"/>
        </w:rPr>
        <w:t xml:space="preserve"> conditions</w:t>
      </w:r>
      <w:r w:rsidR="00FD7D0D" w:rsidRPr="00CB54DD">
        <w:rPr>
          <w:noProof/>
          <w:shd w:val="clear" w:color="auto" w:fill="FFFFFF"/>
        </w:rPr>
        <w:t xml:space="preserve">: </w:t>
      </w:r>
    </w:p>
    <w:p w:rsidR="00FD7D0D" w:rsidRPr="002D7679" w:rsidRDefault="00933F69" w:rsidP="00933F69">
      <w:pPr>
        <w:pStyle w:val="Point3"/>
        <w:rPr>
          <w:noProof/>
          <w:shd w:val="clear" w:color="auto" w:fill="FFFFFF"/>
        </w:rPr>
      </w:pPr>
      <w:r w:rsidRPr="00933F69">
        <w:t>(a)</w:t>
      </w:r>
      <w:r w:rsidRPr="00933F69">
        <w:tab/>
      </w:r>
      <w:r w:rsidR="00FD7D0D" w:rsidRPr="002D7679">
        <w:rPr>
          <w:noProof/>
          <w:shd w:val="clear" w:color="auto" w:fill="FFFFFF"/>
        </w:rPr>
        <w:t xml:space="preserve">the time of receipt of </w:t>
      </w:r>
      <w:r w:rsidR="00450E99" w:rsidRPr="002D7679">
        <w:rPr>
          <w:noProof/>
          <w:shd w:val="clear" w:color="auto" w:fill="FFFFFF"/>
        </w:rPr>
        <w:t>the</w:t>
      </w:r>
      <w:r w:rsidR="00FD7D0D" w:rsidRPr="002D7679">
        <w:rPr>
          <w:noProof/>
          <w:shd w:val="clear" w:color="auto" w:fill="FFFFFF"/>
        </w:rPr>
        <w:t xml:space="preserve"> payment order </w:t>
      </w:r>
      <w:r w:rsidR="00450E99" w:rsidRPr="002D7679">
        <w:rPr>
          <w:noProof/>
          <w:shd w:val="clear" w:color="auto" w:fill="FFFFFF"/>
        </w:rPr>
        <w:t xml:space="preserve">for such credit transfer </w:t>
      </w:r>
      <w:r w:rsidR="001C689A" w:rsidRPr="002D7679">
        <w:rPr>
          <w:noProof/>
          <w:shd w:val="clear" w:color="auto" w:fill="FFFFFF"/>
        </w:rPr>
        <w:t xml:space="preserve">is </w:t>
      </w:r>
      <w:r w:rsidR="00AF6438" w:rsidRPr="002D7679">
        <w:rPr>
          <w:noProof/>
          <w:shd w:val="clear" w:color="auto" w:fill="FFFFFF"/>
        </w:rPr>
        <w:t>the moment when</w:t>
      </w:r>
      <w:r w:rsidR="00FD7D0D" w:rsidRPr="002D7679">
        <w:rPr>
          <w:noProof/>
          <w:shd w:val="clear" w:color="auto" w:fill="FFFFFF"/>
        </w:rPr>
        <w:t xml:space="preserve"> the payer</w:t>
      </w:r>
      <w:r w:rsidR="00450E99" w:rsidRPr="002D7679">
        <w:rPr>
          <w:noProof/>
          <w:shd w:val="clear" w:color="auto" w:fill="FFFFFF"/>
        </w:rPr>
        <w:t xml:space="preserve"> </w:t>
      </w:r>
      <w:r w:rsidR="001C689A" w:rsidRPr="002D7679">
        <w:rPr>
          <w:noProof/>
          <w:shd w:val="clear" w:color="auto" w:fill="FFFFFF"/>
        </w:rPr>
        <w:t>instructs</w:t>
      </w:r>
      <w:r w:rsidR="00450E99" w:rsidRPr="002D7679">
        <w:rPr>
          <w:noProof/>
          <w:shd w:val="clear" w:color="auto" w:fill="FFFFFF"/>
        </w:rPr>
        <w:t xml:space="preserve"> his or her PSP </w:t>
      </w:r>
      <w:r w:rsidR="00FD7D0D" w:rsidRPr="002D7679">
        <w:rPr>
          <w:noProof/>
          <w:shd w:val="clear" w:color="auto" w:fill="FFFFFF"/>
        </w:rPr>
        <w:t>to execute that credit transfer</w:t>
      </w:r>
      <w:r w:rsidR="000722AC" w:rsidRPr="002D7679">
        <w:rPr>
          <w:noProof/>
          <w:shd w:val="clear" w:color="auto" w:fill="FFFFFF"/>
        </w:rPr>
        <w:t xml:space="preserve">, </w:t>
      </w:r>
      <w:r w:rsidR="00EE36A8" w:rsidRPr="002D7679">
        <w:rPr>
          <w:noProof/>
          <w:shd w:val="clear" w:color="auto" w:fill="FFFFFF"/>
        </w:rPr>
        <w:t>regardless of the day or hour</w:t>
      </w:r>
      <w:r w:rsidR="00FD7D0D" w:rsidRPr="002D7679">
        <w:rPr>
          <w:noProof/>
          <w:shd w:val="clear" w:color="auto" w:fill="FFFFFF"/>
        </w:rPr>
        <w:t>;</w:t>
      </w:r>
    </w:p>
    <w:p w:rsidR="00FD7D0D" w:rsidRPr="00CB54DD" w:rsidRDefault="00933F69" w:rsidP="00933F69">
      <w:pPr>
        <w:pStyle w:val="Point3"/>
        <w:rPr>
          <w:noProof/>
          <w:shd w:val="clear" w:color="auto" w:fill="FFFFFF"/>
        </w:rPr>
      </w:pPr>
      <w:r w:rsidRPr="00933F69">
        <w:t>(b)</w:t>
      </w:r>
      <w:r w:rsidRPr="00933F69">
        <w:tab/>
      </w:r>
      <w:r w:rsidR="00FD7D0D" w:rsidRPr="00CB54DD">
        <w:rPr>
          <w:noProof/>
          <w:shd w:val="clear" w:color="auto" w:fill="FFFFFF"/>
        </w:rPr>
        <w:t xml:space="preserve">the payment order </w:t>
      </w:r>
      <w:r w:rsidR="00450E99">
        <w:rPr>
          <w:noProof/>
          <w:shd w:val="clear" w:color="auto" w:fill="FFFFFF"/>
        </w:rPr>
        <w:t xml:space="preserve">for such credit transfer </w:t>
      </w:r>
      <w:r w:rsidR="00FD7D0D" w:rsidRPr="00CB54DD">
        <w:rPr>
          <w:noProof/>
          <w:shd w:val="clear" w:color="auto" w:fill="FFFFFF"/>
        </w:rPr>
        <w:t>is immediately processed by the payer’s PSP</w:t>
      </w:r>
      <w:r w:rsidR="000722AC">
        <w:rPr>
          <w:noProof/>
          <w:shd w:val="clear" w:color="auto" w:fill="FFFFFF"/>
        </w:rPr>
        <w:t xml:space="preserve">, </w:t>
      </w:r>
      <w:r w:rsidR="00EE36A8">
        <w:rPr>
          <w:noProof/>
          <w:shd w:val="clear" w:color="auto" w:fill="FFFFFF"/>
        </w:rPr>
        <w:t>regardless of the day or hour</w:t>
      </w:r>
      <w:r w:rsidR="00FD7D0D" w:rsidRPr="00CB54DD">
        <w:rPr>
          <w:noProof/>
          <w:shd w:val="clear" w:color="auto" w:fill="FFFFFF"/>
        </w:rPr>
        <w:t xml:space="preserve">; </w:t>
      </w:r>
    </w:p>
    <w:p w:rsidR="00FD7D0D" w:rsidRPr="00CB54DD" w:rsidRDefault="00933F69" w:rsidP="00933F69">
      <w:pPr>
        <w:pStyle w:val="Point3"/>
        <w:rPr>
          <w:noProof/>
          <w:shd w:val="clear" w:color="auto" w:fill="FFFFFF"/>
        </w:rPr>
      </w:pPr>
      <w:r w:rsidRPr="00933F69">
        <w:t>(c)</w:t>
      </w:r>
      <w:r w:rsidRPr="00933F69">
        <w:tab/>
      </w:r>
      <w:r w:rsidR="00FD7D0D" w:rsidRPr="00CB54DD">
        <w:rPr>
          <w:noProof/>
          <w:shd w:val="clear" w:color="auto" w:fill="FFFFFF"/>
        </w:rPr>
        <w:t xml:space="preserve">the payee’s payment account is credited </w:t>
      </w:r>
      <w:r w:rsidR="00EE36A8">
        <w:rPr>
          <w:noProof/>
          <w:shd w:val="clear" w:color="auto" w:fill="FFFFFF"/>
        </w:rPr>
        <w:t xml:space="preserve">with the amount transferred </w:t>
      </w:r>
      <w:r w:rsidR="00FD7D0D" w:rsidRPr="00CB54DD">
        <w:rPr>
          <w:noProof/>
          <w:shd w:val="clear" w:color="auto" w:fill="FFFFFF"/>
        </w:rPr>
        <w:t>within 10 seconds after the time of receipt of the payment order;</w:t>
      </w:r>
    </w:p>
    <w:p w:rsidR="008A3D46" w:rsidRPr="00CB54DD" w:rsidRDefault="00933F69" w:rsidP="00933F69">
      <w:pPr>
        <w:pStyle w:val="Point3"/>
        <w:rPr>
          <w:noProof/>
          <w:shd w:val="clear" w:color="auto" w:fill="FFFFFF"/>
        </w:rPr>
      </w:pPr>
      <w:r w:rsidRPr="00933F69">
        <w:t>(d)</w:t>
      </w:r>
      <w:r w:rsidRPr="00933F69">
        <w:tab/>
      </w:r>
      <w:r w:rsidR="00FD7D0D" w:rsidRPr="00CB54DD">
        <w:rPr>
          <w:noProof/>
          <w:shd w:val="clear" w:color="auto" w:fill="FFFFFF"/>
        </w:rPr>
        <w:t>the credit value date for the payee’s payment account is</w:t>
      </w:r>
      <w:r w:rsidR="00450E99">
        <w:rPr>
          <w:noProof/>
          <w:shd w:val="clear" w:color="auto" w:fill="FFFFFF"/>
        </w:rPr>
        <w:t xml:space="preserve"> </w:t>
      </w:r>
      <w:r w:rsidR="00FD7D0D" w:rsidRPr="00CB54DD">
        <w:rPr>
          <w:noProof/>
          <w:shd w:val="clear" w:color="auto" w:fill="FFFFFF"/>
        </w:rPr>
        <w:t>the same da</w:t>
      </w:r>
      <w:r w:rsidR="00F9535C">
        <w:rPr>
          <w:noProof/>
          <w:shd w:val="clear" w:color="auto" w:fill="FFFFFF"/>
        </w:rPr>
        <w:t>te</w:t>
      </w:r>
      <w:r w:rsidR="00FD7D0D" w:rsidRPr="00CB54DD">
        <w:rPr>
          <w:noProof/>
          <w:shd w:val="clear" w:color="auto" w:fill="FFFFFF"/>
        </w:rPr>
        <w:t xml:space="preserve"> as the da</w:t>
      </w:r>
      <w:r w:rsidR="00F9535C">
        <w:rPr>
          <w:noProof/>
          <w:shd w:val="clear" w:color="auto" w:fill="FFFFFF"/>
        </w:rPr>
        <w:t>te</w:t>
      </w:r>
      <w:r w:rsidR="00FD7D0D" w:rsidRPr="00CB54DD">
        <w:rPr>
          <w:noProof/>
          <w:shd w:val="clear" w:color="auto" w:fill="FFFFFF"/>
        </w:rPr>
        <w:t xml:space="preserve"> on which the paye</w:t>
      </w:r>
      <w:r w:rsidR="006244FD" w:rsidRPr="00CB54DD">
        <w:rPr>
          <w:noProof/>
          <w:shd w:val="clear" w:color="auto" w:fill="FFFFFF"/>
        </w:rPr>
        <w:t>e’s payment account is credited</w:t>
      </w:r>
      <w:r w:rsidR="00EE36A8" w:rsidRPr="00EE36A8">
        <w:rPr>
          <w:noProof/>
          <w:shd w:val="clear" w:color="auto" w:fill="FFFFFF"/>
        </w:rPr>
        <w:t xml:space="preserve"> </w:t>
      </w:r>
      <w:r w:rsidR="00EE36A8">
        <w:rPr>
          <w:noProof/>
          <w:shd w:val="clear" w:color="auto" w:fill="FFFFFF"/>
        </w:rPr>
        <w:t>with the amount transferred</w:t>
      </w:r>
      <w:r w:rsidR="006244FD" w:rsidRPr="00CB54DD">
        <w:rPr>
          <w:noProof/>
          <w:shd w:val="clear" w:color="auto" w:fill="FFFFFF"/>
        </w:rPr>
        <w:t>;</w:t>
      </w:r>
      <w:r w:rsidR="00EE36A8">
        <w:rPr>
          <w:noProof/>
          <w:shd w:val="clear" w:color="auto" w:fill="FFFFFF"/>
        </w:rPr>
        <w:t xml:space="preserve"> </w:t>
      </w:r>
    </w:p>
    <w:p w:rsidR="00213947" w:rsidRPr="00CB54DD" w:rsidRDefault="00315E38" w:rsidP="00253577">
      <w:pPr>
        <w:pStyle w:val="Point2"/>
        <w:rPr>
          <w:noProof/>
          <w:shd w:val="clear" w:color="auto" w:fill="FFFFFF"/>
        </w:rPr>
      </w:pPr>
      <w:r w:rsidRPr="00CB54DD">
        <w:rPr>
          <w:noProof/>
          <w:shd w:val="clear" w:color="auto" w:fill="FFFFFF"/>
        </w:rPr>
        <w:t>(1b)</w:t>
      </w:r>
      <w:r w:rsidRPr="00CB54DD">
        <w:rPr>
          <w:noProof/>
          <w:shd w:val="clear" w:color="auto" w:fill="FFFFFF"/>
        </w:rPr>
        <w:tab/>
      </w:r>
      <w:r w:rsidR="00A178A7" w:rsidRPr="00CB54DD">
        <w:rPr>
          <w:noProof/>
          <w:shd w:val="clear" w:color="auto" w:fill="FFFFFF"/>
        </w:rPr>
        <w:t>‘</w:t>
      </w:r>
      <w:r w:rsidR="003C1AC6" w:rsidRPr="00CB54DD">
        <w:rPr>
          <w:noProof/>
          <w:shd w:val="clear" w:color="auto" w:fill="FFFFFF"/>
        </w:rPr>
        <w:t>PSU</w:t>
      </w:r>
      <w:r w:rsidR="00A178A7" w:rsidRPr="00CB54DD">
        <w:rPr>
          <w:noProof/>
          <w:shd w:val="clear" w:color="auto" w:fill="FFFFFF"/>
        </w:rPr>
        <w:t xml:space="preserve"> interface’ means any </w:t>
      </w:r>
      <w:r w:rsidR="00281C2A" w:rsidRPr="00CB54DD">
        <w:rPr>
          <w:noProof/>
          <w:shd w:val="clear" w:color="auto" w:fill="FFFFFF"/>
        </w:rPr>
        <w:t>method, device or procedure</w:t>
      </w:r>
      <w:r w:rsidR="005765BC" w:rsidRPr="00CB54DD">
        <w:rPr>
          <w:noProof/>
          <w:shd w:val="clear" w:color="auto" w:fill="FFFFFF"/>
        </w:rPr>
        <w:t xml:space="preserve"> </w:t>
      </w:r>
      <w:r w:rsidR="00A178A7" w:rsidRPr="00CB54DD">
        <w:rPr>
          <w:noProof/>
          <w:shd w:val="clear" w:color="auto" w:fill="FFFFFF"/>
        </w:rPr>
        <w:t xml:space="preserve">through which the payer can place </w:t>
      </w:r>
      <w:r w:rsidR="00A85674" w:rsidRPr="00CB54DD">
        <w:rPr>
          <w:noProof/>
          <w:shd w:val="clear" w:color="auto" w:fill="FFFFFF"/>
        </w:rPr>
        <w:t>a</w:t>
      </w:r>
      <w:r w:rsidR="00A178A7" w:rsidRPr="00CB54DD">
        <w:rPr>
          <w:noProof/>
          <w:shd w:val="clear" w:color="auto" w:fill="FFFFFF"/>
        </w:rPr>
        <w:t xml:space="preserve"> paper-based</w:t>
      </w:r>
      <w:r w:rsidR="00A85674" w:rsidRPr="00CB54DD">
        <w:rPr>
          <w:noProof/>
          <w:shd w:val="clear" w:color="auto" w:fill="FFFFFF"/>
        </w:rPr>
        <w:t xml:space="preserve"> or electronic</w:t>
      </w:r>
      <w:r w:rsidR="00A178A7" w:rsidRPr="00CB54DD">
        <w:rPr>
          <w:noProof/>
          <w:shd w:val="clear" w:color="auto" w:fill="FFFFFF"/>
        </w:rPr>
        <w:t xml:space="preserve"> payment order to its PSP for a credit transfer, including</w:t>
      </w:r>
      <w:r w:rsidR="005765BC" w:rsidRPr="00CB54DD">
        <w:rPr>
          <w:noProof/>
          <w:shd w:val="clear" w:color="auto" w:fill="FFFFFF"/>
        </w:rPr>
        <w:t xml:space="preserve"> </w:t>
      </w:r>
      <w:r w:rsidR="00A178A7" w:rsidRPr="00CB54DD">
        <w:rPr>
          <w:noProof/>
          <w:shd w:val="clear" w:color="auto" w:fill="FFFFFF"/>
        </w:rPr>
        <w:t>online bank</w:t>
      </w:r>
      <w:r w:rsidR="00DE5CBD" w:rsidRPr="00CB54DD">
        <w:rPr>
          <w:noProof/>
          <w:shd w:val="clear" w:color="auto" w:fill="FFFFFF"/>
        </w:rPr>
        <w:t>ing, mobile banking application, automated teller machine</w:t>
      </w:r>
      <w:r w:rsidR="00281C2A" w:rsidRPr="00CB54DD">
        <w:rPr>
          <w:noProof/>
          <w:shd w:val="clear" w:color="auto" w:fill="FFFFFF"/>
        </w:rPr>
        <w:t xml:space="preserve">, </w:t>
      </w:r>
      <w:r w:rsidR="00DE5CBD" w:rsidRPr="00CB54DD">
        <w:rPr>
          <w:noProof/>
          <w:shd w:val="clear" w:color="auto" w:fill="FFFFFF"/>
        </w:rPr>
        <w:t>or</w:t>
      </w:r>
      <w:r w:rsidR="00281C2A" w:rsidRPr="00CB54DD">
        <w:rPr>
          <w:noProof/>
          <w:shd w:val="clear" w:color="auto" w:fill="FFFFFF"/>
        </w:rPr>
        <w:t xml:space="preserve"> </w:t>
      </w:r>
      <w:r w:rsidR="00DE5CBD" w:rsidRPr="00CB54DD">
        <w:rPr>
          <w:noProof/>
          <w:shd w:val="clear" w:color="auto" w:fill="FFFFFF"/>
        </w:rPr>
        <w:t>in any other way</w:t>
      </w:r>
      <w:r w:rsidR="00281C2A" w:rsidRPr="00CB54DD">
        <w:rPr>
          <w:noProof/>
          <w:shd w:val="clear" w:color="auto" w:fill="FFFFFF"/>
        </w:rPr>
        <w:t xml:space="preserve"> on the premises of the PSP</w:t>
      </w:r>
      <w:r w:rsidR="00A178A7" w:rsidRPr="00CB54DD">
        <w:rPr>
          <w:noProof/>
          <w:shd w:val="clear" w:color="auto" w:fill="FFFFFF"/>
        </w:rPr>
        <w:t>;</w:t>
      </w:r>
    </w:p>
    <w:p w:rsidR="00213947" w:rsidRPr="00CB54DD" w:rsidRDefault="00315E38" w:rsidP="00253577">
      <w:pPr>
        <w:pStyle w:val="Point2"/>
        <w:rPr>
          <w:noProof/>
          <w:shd w:val="clear" w:color="auto" w:fill="FFFFFF"/>
        </w:rPr>
      </w:pPr>
      <w:r w:rsidRPr="00CB54DD">
        <w:rPr>
          <w:noProof/>
          <w:shd w:val="clear" w:color="auto" w:fill="FFFFFF"/>
        </w:rPr>
        <w:t>(1c)</w:t>
      </w:r>
      <w:r w:rsidRPr="00CB54DD">
        <w:rPr>
          <w:noProof/>
          <w:shd w:val="clear" w:color="auto" w:fill="FFFFFF"/>
        </w:rPr>
        <w:tab/>
      </w:r>
      <w:r w:rsidR="00213947" w:rsidRPr="00CB54DD">
        <w:rPr>
          <w:noProof/>
          <w:shd w:val="clear" w:color="auto" w:fill="FFFFFF"/>
        </w:rPr>
        <w:t>‘payment account identifier’ means a unique identifier as defined</w:t>
      </w:r>
      <w:r w:rsidRPr="00CB54DD">
        <w:rPr>
          <w:noProof/>
          <w:shd w:val="clear" w:color="auto" w:fill="FFFFFF"/>
        </w:rPr>
        <w:t xml:space="preserve"> in Article </w:t>
      </w:r>
      <w:r w:rsidR="00213947" w:rsidRPr="00CB54DD">
        <w:rPr>
          <w:noProof/>
          <w:shd w:val="clear" w:color="auto" w:fill="FFFFFF"/>
        </w:rPr>
        <w:t>4</w:t>
      </w:r>
      <w:r w:rsidR="00251977" w:rsidRPr="00CB54DD">
        <w:rPr>
          <w:noProof/>
          <w:shd w:val="clear" w:color="auto" w:fill="FFFFFF"/>
        </w:rPr>
        <w:t xml:space="preserve">, point </w:t>
      </w:r>
      <w:r w:rsidR="00213947" w:rsidRPr="00CB54DD">
        <w:rPr>
          <w:noProof/>
          <w:shd w:val="clear" w:color="auto" w:fill="FFFFFF"/>
        </w:rPr>
        <w:t>(33)</w:t>
      </w:r>
      <w:r w:rsidR="00A81BB1" w:rsidRPr="00CB54DD">
        <w:rPr>
          <w:noProof/>
          <w:shd w:val="clear" w:color="auto" w:fill="FFFFFF"/>
        </w:rPr>
        <w:t>,</w:t>
      </w:r>
      <w:r w:rsidR="00213947" w:rsidRPr="00CB54DD">
        <w:rPr>
          <w:noProof/>
          <w:shd w:val="clear" w:color="auto" w:fill="FFFFFF"/>
        </w:rPr>
        <w:t xml:space="preserve"> of Directive (EU) 2015/2366</w:t>
      </w:r>
      <w:r w:rsidR="00A1455D" w:rsidRPr="00CB54DD">
        <w:rPr>
          <w:noProof/>
          <w:shd w:val="clear" w:color="auto" w:fill="FFFFFF"/>
        </w:rPr>
        <w:t xml:space="preserve"> of the European Parliament and of the Council</w:t>
      </w:r>
      <w:r w:rsidR="00A1455D" w:rsidRPr="00CB54DD">
        <w:rPr>
          <w:noProof/>
          <w:shd w:val="clear" w:color="auto" w:fill="FFFFFF"/>
          <w:vertAlign w:val="superscript"/>
        </w:rPr>
        <w:t>*1</w:t>
      </w:r>
      <w:r w:rsidR="00213947" w:rsidRPr="00CB54DD">
        <w:rPr>
          <w:noProof/>
          <w:shd w:val="clear" w:color="auto" w:fill="FFFFFF"/>
        </w:rPr>
        <w:t>;</w:t>
      </w:r>
    </w:p>
    <w:p w:rsidR="00191779" w:rsidRPr="00CB54DD" w:rsidRDefault="00315E38" w:rsidP="00253577">
      <w:pPr>
        <w:pStyle w:val="Point2"/>
        <w:rPr>
          <w:noProof/>
          <w:shd w:val="clear" w:color="auto" w:fill="FFFFFF"/>
        </w:rPr>
      </w:pPr>
      <w:r w:rsidRPr="00CB54DD">
        <w:rPr>
          <w:noProof/>
          <w:shd w:val="clear" w:color="auto" w:fill="FFFFFF"/>
        </w:rPr>
        <w:t>(1d)</w:t>
      </w:r>
      <w:r w:rsidRPr="00CB54DD">
        <w:rPr>
          <w:noProof/>
          <w:shd w:val="clear" w:color="auto" w:fill="FFFFFF"/>
        </w:rPr>
        <w:tab/>
      </w:r>
      <w:r w:rsidR="00213947" w:rsidRPr="00CB54DD">
        <w:rPr>
          <w:noProof/>
          <w:shd w:val="clear" w:color="auto" w:fill="FFFFFF"/>
        </w:rPr>
        <w:t>‘</w:t>
      </w:r>
      <w:r w:rsidR="00425BE7" w:rsidRPr="00CB54DD">
        <w:rPr>
          <w:noProof/>
          <w:shd w:val="clear" w:color="auto" w:fill="FFFFFF"/>
        </w:rPr>
        <w:t xml:space="preserve">listed persons or entities’ </w:t>
      </w:r>
      <w:r w:rsidR="00C61AF2" w:rsidRPr="00CB54DD">
        <w:rPr>
          <w:noProof/>
          <w:shd w:val="clear" w:color="auto" w:fill="FFFFFF"/>
        </w:rPr>
        <w:t xml:space="preserve">means </w:t>
      </w:r>
      <w:r w:rsidR="00425BE7" w:rsidRPr="00CB54DD">
        <w:rPr>
          <w:noProof/>
          <w:shd w:val="clear" w:color="auto" w:fill="FFFFFF"/>
        </w:rPr>
        <w:t xml:space="preserve">natural </w:t>
      </w:r>
      <w:r w:rsidR="005750EC">
        <w:rPr>
          <w:noProof/>
          <w:shd w:val="clear" w:color="auto" w:fill="FFFFFF"/>
        </w:rPr>
        <w:t>or</w:t>
      </w:r>
      <w:r w:rsidR="00425BE7" w:rsidRPr="00CB54DD">
        <w:rPr>
          <w:noProof/>
          <w:shd w:val="clear" w:color="auto" w:fill="FFFFFF"/>
        </w:rPr>
        <w:t xml:space="preserve"> legal persons, bodies or entities that </w:t>
      </w:r>
      <w:r w:rsidR="00227AD3">
        <w:rPr>
          <w:noProof/>
          <w:shd w:val="clear" w:color="auto" w:fill="FFFFFF"/>
        </w:rPr>
        <w:t xml:space="preserve">are </w:t>
      </w:r>
      <w:r w:rsidR="00227AD3" w:rsidRPr="00227AD3">
        <w:rPr>
          <w:noProof/>
          <w:shd w:val="clear" w:color="auto" w:fill="FFFFFF"/>
        </w:rPr>
        <w:t>subject to an asset freeze or a prohibition to make funds or economic resources available to it, or for its benefit, either directly or indirectly, pursuant to restrictive measures adopted in accordance with Article 215 TFEU</w:t>
      </w:r>
      <w:r w:rsidR="00425BE7" w:rsidRPr="00CB54DD">
        <w:rPr>
          <w:noProof/>
          <w:shd w:val="clear" w:color="auto" w:fill="FFFFFF"/>
        </w:rPr>
        <w:t>;</w:t>
      </w:r>
    </w:p>
    <w:p w:rsidR="00191779" w:rsidRPr="00CB54DD" w:rsidRDefault="00191779" w:rsidP="00191779">
      <w:pPr>
        <w:ind w:left="1701"/>
        <w:rPr>
          <w:noProof/>
          <w:szCs w:val="24"/>
          <w:shd w:val="clear" w:color="auto" w:fill="FFFFFF"/>
        </w:rPr>
      </w:pPr>
      <w:r w:rsidRPr="00CB54DD">
        <w:rPr>
          <w:noProof/>
          <w:szCs w:val="24"/>
          <w:shd w:val="clear" w:color="auto" w:fill="FFFFFF"/>
        </w:rPr>
        <w:t>________________________________________________________</w:t>
      </w:r>
    </w:p>
    <w:p w:rsidR="00213947" w:rsidRPr="00CB54DD" w:rsidRDefault="00191779" w:rsidP="00191779">
      <w:pPr>
        <w:ind w:left="2268" w:hanging="567"/>
        <w:rPr>
          <w:noProof/>
          <w:szCs w:val="24"/>
          <w:shd w:val="clear" w:color="auto" w:fill="FFFFFF"/>
        </w:rPr>
      </w:pPr>
      <w:r w:rsidRPr="00CB54DD">
        <w:rPr>
          <w:noProof/>
          <w:sz w:val="20"/>
          <w:szCs w:val="20"/>
          <w:shd w:val="clear" w:color="auto" w:fill="FFFFFF"/>
          <w:vertAlign w:val="superscript"/>
        </w:rPr>
        <w:t>*1</w:t>
      </w:r>
      <w:r w:rsidRPr="00CB54DD">
        <w:rPr>
          <w:noProof/>
          <w:sz w:val="20"/>
          <w:szCs w:val="20"/>
          <w:shd w:val="clear" w:color="auto" w:fill="FFFFFF"/>
        </w:rPr>
        <w:tab/>
        <w:t>Directive (EU) 2015/2366 of the European Parliament and of the Council of 25 November 2015 on payment services in the internal market, amending Directives 2002/65/EC, 2009/110/EC and 2013/36/EU and Regulation (EU) No 1093/2010, and repealing Directive 2007/64/EC (OJ L 337, 23.12.2015, p. 35).’;</w:t>
      </w:r>
    </w:p>
    <w:p w:rsidR="00213947" w:rsidRPr="00CB54DD" w:rsidRDefault="00933F69" w:rsidP="00933F69">
      <w:pPr>
        <w:pStyle w:val="Point1"/>
        <w:rPr>
          <w:noProof/>
          <w:shd w:val="clear" w:color="auto" w:fill="FFFFFF"/>
        </w:rPr>
      </w:pPr>
      <w:r w:rsidRPr="00933F69">
        <w:t>(b)</w:t>
      </w:r>
      <w:r w:rsidRPr="00933F69">
        <w:tab/>
      </w:r>
      <w:r w:rsidR="00213947" w:rsidRPr="00CB54DD">
        <w:rPr>
          <w:noProof/>
          <w:shd w:val="clear" w:color="auto" w:fill="FFFFFF"/>
        </w:rPr>
        <w:t>point (22) is replaced by the following:</w:t>
      </w:r>
    </w:p>
    <w:p w:rsidR="00213947" w:rsidRPr="00CB54DD" w:rsidRDefault="00315E38" w:rsidP="00253577">
      <w:pPr>
        <w:pStyle w:val="Point2"/>
        <w:rPr>
          <w:noProof/>
          <w:sz w:val="20"/>
          <w:szCs w:val="20"/>
          <w:shd w:val="clear" w:color="auto" w:fill="FFFFFF"/>
        </w:rPr>
      </w:pPr>
      <w:r w:rsidRPr="00CB54DD">
        <w:rPr>
          <w:noProof/>
          <w:shd w:val="clear" w:color="auto" w:fill="FFFFFF"/>
        </w:rPr>
        <w:t>‘(22)</w:t>
      </w:r>
      <w:r w:rsidRPr="00CB54DD">
        <w:rPr>
          <w:noProof/>
          <w:shd w:val="clear" w:color="auto" w:fill="FFFFFF"/>
        </w:rPr>
        <w:tab/>
      </w:r>
      <w:r w:rsidR="00213947" w:rsidRPr="00CB54DD">
        <w:rPr>
          <w:noProof/>
          <w:shd w:val="clear" w:color="auto" w:fill="FFFFFF"/>
        </w:rPr>
        <w:t>‘retail payment system’ means a payment system the main purpose of which is to process, clear or settle credit transfers or direct debits</w:t>
      </w:r>
      <w:r w:rsidR="00AA123D" w:rsidRPr="00CB54DD">
        <w:rPr>
          <w:noProof/>
          <w:shd w:val="clear" w:color="auto" w:fill="FFFFFF"/>
        </w:rPr>
        <w:t xml:space="preserve"> which are primarily of small amount</w:t>
      </w:r>
      <w:r w:rsidR="00213947" w:rsidRPr="00CB54DD">
        <w:rPr>
          <w:noProof/>
          <w:shd w:val="clear" w:color="auto" w:fill="FFFFFF"/>
        </w:rPr>
        <w:t>, and that is not a large-value payment system;</w:t>
      </w:r>
      <w:r w:rsidR="00213947" w:rsidRPr="00CB54DD">
        <w:rPr>
          <w:noProof/>
          <w:sz w:val="20"/>
          <w:szCs w:val="20"/>
          <w:shd w:val="clear" w:color="auto" w:fill="FFFFFF"/>
        </w:rPr>
        <w:t>’</w:t>
      </w:r>
      <w:r w:rsidR="00CB54DD" w:rsidRPr="00CB54DD">
        <w:rPr>
          <w:noProof/>
          <w:szCs w:val="24"/>
          <w:shd w:val="clear" w:color="auto" w:fill="FFFFFF"/>
        </w:rPr>
        <w:t>;</w:t>
      </w:r>
    </w:p>
    <w:p w:rsidR="006C4F40" w:rsidRPr="00CB54DD" w:rsidRDefault="00933F69" w:rsidP="00933F69">
      <w:pPr>
        <w:pStyle w:val="Point0"/>
        <w:rPr>
          <w:noProof/>
          <w:shd w:val="clear" w:color="auto" w:fill="FFFFFF"/>
        </w:rPr>
      </w:pPr>
      <w:r w:rsidRPr="00933F69">
        <w:t>(2)</w:t>
      </w:r>
      <w:r w:rsidRPr="00933F69">
        <w:tab/>
      </w:r>
      <w:r w:rsidR="00213947" w:rsidRPr="00CB54DD">
        <w:rPr>
          <w:noProof/>
          <w:shd w:val="clear" w:color="auto" w:fill="FFFFFF"/>
        </w:rPr>
        <w:t>the following Article</w:t>
      </w:r>
      <w:r w:rsidR="00B36334" w:rsidRPr="00CB54DD">
        <w:rPr>
          <w:noProof/>
          <w:shd w:val="clear" w:color="auto" w:fill="FFFFFF"/>
        </w:rPr>
        <w:t>s 5a to 5d are</w:t>
      </w:r>
      <w:r w:rsidR="00213947" w:rsidRPr="00CB54DD">
        <w:rPr>
          <w:noProof/>
          <w:shd w:val="clear" w:color="auto" w:fill="FFFFFF"/>
        </w:rPr>
        <w:t xml:space="preserve"> inserted:</w:t>
      </w:r>
    </w:p>
    <w:p w:rsidR="00213947" w:rsidRPr="00CB54DD" w:rsidRDefault="00B36334" w:rsidP="00315E38">
      <w:pPr>
        <w:spacing w:before="360"/>
        <w:ind w:left="567"/>
        <w:jc w:val="center"/>
        <w:rPr>
          <w:i/>
          <w:noProof/>
          <w:szCs w:val="24"/>
          <w:shd w:val="clear" w:color="auto" w:fill="FFFFFF"/>
        </w:rPr>
      </w:pPr>
      <w:r w:rsidRPr="00CB54DD">
        <w:rPr>
          <w:noProof/>
          <w:szCs w:val="24"/>
          <w:shd w:val="clear" w:color="auto" w:fill="FFFFFF"/>
        </w:rPr>
        <w:t>‘</w:t>
      </w:r>
      <w:r w:rsidR="00213947" w:rsidRPr="00CB54DD">
        <w:rPr>
          <w:i/>
          <w:noProof/>
          <w:szCs w:val="24"/>
          <w:shd w:val="clear" w:color="auto" w:fill="FFFFFF"/>
        </w:rPr>
        <w:t>Article 5a</w:t>
      </w:r>
    </w:p>
    <w:p w:rsidR="00213947" w:rsidRPr="00CB54DD" w:rsidRDefault="00213947" w:rsidP="00315E38">
      <w:pPr>
        <w:ind w:left="567"/>
        <w:jc w:val="center"/>
        <w:rPr>
          <w:b/>
          <w:noProof/>
          <w:szCs w:val="24"/>
          <w:shd w:val="clear" w:color="auto" w:fill="FFFFFF"/>
        </w:rPr>
      </w:pPr>
      <w:r w:rsidRPr="00CB54DD">
        <w:rPr>
          <w:b/>
          <w:noProof/>
          <w:szCs w:val="24"/>
          <w:shd w:val="clear" w:color="auto" w:fill="FFFFFF"/>
        </w:rPr>
        <w:t>Instant credit transfer transactions</w:t>
      </w:r>
    </w:p>
    <w:p w:rsidR="00213947" w:rsidRDefault="00A97EB7" w:rsidP="00A97EB7">
      <w:pPr>
        <w:pStyle w:val="Text1"/>
        <w:rPr>
          <w:noProof/>
          <w:shd w:val="clear" w:color="auto" w:fill="FFFFFF"/>
        </w:rPr>
      </w:pPr>
      <w:r w:rsidRPr="00CB54DD">
        <w:rPr>
          <w:noProof/>
          <w:shd w:val="clear" w:color="auto" w:fill="FFFFFF"/>
        </w:rPr>
        <w:t xml:space="preserve">1. </w:t>
      </w:r>
      <w:r w:rsidR="00213947" w:rsidRPr="00CB54DD">
        <w:rPr>
          <w:noProof/>
          <w:shd w:val="clear" w:color="auto" w:fill="FFFFFF"/>
        </w:rPr>
        <w:t xml:space="preserve">PSPs </w:t>
      </w:r>
      <w:r w:rsidR="002671FD" w:rsidRPr="00CB54DD">
        <w:rPr>
          <w:noProof/>
          <w:szCs w:val="24"/>
          <w:shd w:val="clear" w:color="auto" w:fill="FFFFFF"/>
        </w:rPr>
        <w:t xml:space="preserve">that offer to their PSUs a payment service of </w:t>
      </w:r>
      <w:r w:rsidR="00E96111" w:rsidRPr="00CB54DD">
        <w:rPr>
          <w:noProof/>
          <w:shd w:val="clear" w:color="auto" w:fill="FFFFFF"/>
        </w:rPr>
        <w:t xml:space="preserve">sending and receiving </w:t>
      </w:r>
      <w:r w:rsidR="002671FD" w:rsidRPr="00CB54DD">
        <w:rPr>
          <w:noProof/>
          <w:szCs w:val="24"/>
          <w:shd w:val="clear" w:color="auto" w:fill="FFFFFF"/>
        </w:rPr>
        <w:t xml:space="preserve">credit transfers </w:t>
      </w:r>
      <w:r w:rsidR="00213947" w:rsidRPr="00CB54DD">
        <w:rPr>
          <w:noProof/>
          <w:shd w:val="clear" w:color="auto" w:fill="FFFFFF"/>
        </w:rPr>
        <w:t>shall offer to all their PSUs a payment service of sending and receiving instant credit transfers.</w:t>
      </w:r>
    </w:p>
    <w:p w:rsidR="00454750" w:rsidRPr="00CB54DD" w:rsidRDefault="00454750" w:rsidP="00A97EB7">
      <w:pPr>
        <w:pStyle w:val="Text1"/>
        <w:rPr>
          <w:noProof/>
          <w:shd w:val="clear" w:color="auto" w:fill="FFFFFF"/>
        </w:rPr>
      </w:pPr>
      <w:r>
        <w:rPr>
          <w:noProof/>
          <w:shd w:val="clear" w:color="auto" w:fill="FFFFFF"/>
        </w:rPr>
        <w:t>However, this paragraph</w:t>
      </w:r>
      <w:r w:rsidRPr="00454750">
        <w:rPr>
          <w:noProof/>
          <w:shd w:val="clear" w:color="auto" w:fill="FFFFFF"/>
        </w:rPr>
        <w:t xml:space="preserve"> shall not apply to electronic money institutions as defined in Article 2, point (1), of Directive 2009/110/EC and payment institutions as defined in Article 4, point (4), of Directive (EU) 2015/2366.</w:t>
      </w:r>
    </w:p>
    <w:p w:rsidR="00213947" w:rsidRPr="00CB54DD" w:rsidRDefault="00A97EB7" w:rsidP="00A97EB7">
      <w:pPr>
        <w:pStyle w:val="Text1"/>
        <w:rPr>
          <w:noProof/>
          <w:shd w:val="clear" w:color="auto" w:fill="FFFFFF"/>
        </w:rPr>
      </w:pPr>
      <w:r w:rsidRPr="00CB54DD">
        <w:rPr>
          <w:noProof/>
          <w:shd w:val="clear" w:color="auto" w:fill="FFFFFF"/>
        </w:rPr>
        <w:t xml:space="preserve">2. </w:t>
      </w:r>
      <w:r w:rsidR="00B110FD">
        <w:rPr>
          <w:noProof/>
          <w:shd w:val="clear" w:color="auto" w:fill="FFFFFF"/>
        </w:rPr>
        <w:t>When carrying out instant credit transfers, PSPs shall, i</w:t>
      </w:r>
      <w:r w:rsidR="000F3A72" w:rsidRPr="000F3A72">
        <w:rPr>
          <w:noProof/>
          <w:shd w:val="clear" w:color="auto" w:fill="FFFFFF"/>
        </w:rPr>
        <w:t>n addition to the requirements set out in Article 5</w:t>
      </w:r>
      <w:r w:rsidR="000F3A72">
        <w:rPr>
          <w:noProof/>
          <w:shd w:val="clear" w:color="auto" w:fill="FFFFFF"/>
        </w:rPr>
        <w:t xml:space="preserve">, </w:t>
      </w:r>
      <w:r w:rsidR="00B110FD">
        <w:rPr>
          <w:noProof/>
          <w:shd w:val="clear" w:color="auto" w:fill="FFFFFF"/>
        </w:rPr>
        <w:t>comply</w:t>
      </w:r>
      <w:r w:rsidR="00213947" w:rsidRPr="00CB54DD">
        <w:rPr>
          <w:noProof/>
          <w:shd w:val="clear" w:color="auto" w:fill="FFFFFF"/>
        </w:rPr>
        <w:t xml:space="preserve"> with the following requirements:</w:t>
      </w:r>
    </w:p>
    <w:p w:rsidR="00213947" w:rsidRPr="00CB54DD" w:rsidRDefault="00933F69" w:rsidP="00933F69">
      <w:pPr>
        <w:pStyle w:val="Point1"/>
        <w:rPr>
          <w:noProof/>
          <w:shd w:val="clear" w:color="auto" w:fill="FFFFFF"/>
        </w:rPr>
      </w:pPr>
      <w:r w:rsidRPr="00933F69">
        <w:t>(a)</w:t>
      </w:r>
      <w:r w:rsidRPr="00933F69">
        <w:tab/>
      </w:r>
      <w:r w:rsidR="005E04D3">
        <w:rPr>
          <w:noProof/>
          <w:shd w:val="clear" w:color="auto" w:fill="FFFFFF"/>
        </w:rPr>
        <w:t>they</w:t>
      </w:r>
      <w:r w:rsidR="005E04D3" w:rsidRPr="00CB54DD">
        <w:rPr>
          <w:noProof/>
          <w:shd w:val="clear" w:color="auto" w:fill="FFFFFF"/>
        </w:rPr>
        <w:t xml:space="preserve"> </w:t>
      </w:r>
      <w:r w:rsidR="00213947" w:rsidRPr="00CB54DD">
        <w:rPr>
          <w:noProof/>
          <w:shd w:val="clear" w:color="auto" w:fill="FFFFFF"/>
        </w:rPr>
        <w:t>shall ensure that payer</w:t>
      </w:r>
      <w:r w:rsidR="00381495" w:rsidRPr="00CB54DD">
        <w:rPr>
          <w:noProof/>
          <w:shd w:val="clear" w:color="auto" w:fill="FFFFFF"/>
        </w:rPr>
        <w:t xml:space="preserve">s </w:t>
      </w:r>
      <w:r w:rsidR="00213947" w:rsidRPr="00CB54DD">
        <w:rPr>
          <w:noProof/>
          <w:shd w:val="clear" w:color="auto" w:fill="FFFFFF"/>
        </w:rPr>
        <w:t>are</w:t>
      </w:r>
      <w:r w:rsidR="00381495" w:rsidRPr="00CB54DD">
        <w:rPr>
          <w:noProof/>
          <w:shd w:val="clear" w:color="auto" w:fill="FFFFFF"/>
        </w:rPr>
        <w:t xml:space="preserve"> </w:t>
      </w:r>
      <w:r w:rsidR="00213947" w:rsidRPr="00CB54DD">
        <w:rPr>
          <w:noProof/>
          <w:shd w:val="clear" w:color="auto" w:fill="FFFFFF"/>
        </w:rPr>
        <w:t xml:space="preserve">able to place a payment order for an instant credit transfer through the same PSU interfaces </w:t>
      </w:r>
      <w:r w:rsidR="00065DFB" w:rsidRPr="00CB54DD">
        <w:rPr>
          <w:noProof/>
          <w:shd w:val="clear" w:color="auto" w:fill="FFFFFF"/>
        </w:rPr>
        <w:t xml:space="preserve">as the ones </w:t>
      </w:r>
      <w:r w:rsidR="00213947" w:rsidRPr="00CB54DD">
        <w:rPr>
          <w:noProof/>
          <w:shd w:val="clear" w:color="auto" w:fill="FFFFFF"/>
        </w:rPr>
        <w:t xml:space="preserve">through which </w:t>
      </w:r>
      <w:r w:rsidR="001E5A1D" w:rsidRPr="00CB54DD">
        <w:rPr>
          <w:noProof/>
          <w:shd w:val="clear" w:color="auto" w:fill="FFFFFF"/>
        </w:rPr>
        <w:t>th</w:t>
      </w:r>
      <w:r w:rsidR="00A81BB1" w:rsidRPr="00CB54DD">
        <w:rPr>
          <w:noProof/>
          <w:shd w:val="clear" w:color="auto" w:fill="FFFFFF"/>
        </w:rPr>
        <w:t>ose payers</w:t>
      </w:r>
      <w:r w:rsidR="001E5A1D" w:rsidRPr="00CB54DD">
        <w:rPr>
          <w:noProof/>
          <w:shd w:val="clear" w:color="auto" w:fill="FFFFFF"/>
        </w:rPr>
        <w:t xml:space="preserve"> </w:t>
      </w:r>
      <w:r w:rsidR="00213947" w:rsidRPr="00CB54DD">
        <w:rPr>
          <w:noProof/>
          <w:shd w:val="clear" w:color="auto" w:fill="FFFFFF"/>
        </w:rPr>
        <w:t>can place a payment order for other credit transfers;</w:t>
      </w:r>
    </w:p>
    <w:p w:rsidR="00213947" w:rsidRPr="00CB54DD" w:rsidRDefault="00933F69" w:rsidP="00933F69">
      <w:pPr>
        <w:pStyle w:val="Point1"/>
        <w:rPr>
          <w:noProof/>
          <w:shd w:val="clear" w:color="auto" w:fill="FFFFFF"/>
        </w:rPr>
      </w:pPr>
      <w:r w:rsidRPr="00933F69">
        <w:t>(b)</w:t>
      </w:r>
      <w:r w:rsidRPr="00933F69">
        <w:tab/>
      </w:r>
      <w:r w:rsidR="00A46C91" w:rsidRPr="00CB54DD">
        <w:rPr>
          <w:noProof/>
          <w:shd w:val="clear" w:color="auto" w:fill="FFFFFF"/>
        </w:rPr>
        <w:t>after receiving</w:t>
      </w:r>
      <w:r w:rsidR="00213947" w:rsidRPr="00CB54DD">
        <w:rPr>
          <w:noProof/>
          <w:shd w:val="clear" w:color="auto" w:fill="FFFFFF"/>
        </w:rPr>
        <w:t xml:space="preserve"> a payment order for an instant credit transfer, </w:t>
      </w:r>
      <w:r w:rsidR="00050DE1">
        <w:rPr>
          <w:noProof/>
          <w:shd w:val="clear" w:color="auto" w:fill="FFFFFF"/>
        </w:rPr>
        <w:t>they</w:t>
      </w:r>
      <w:r w:rsidR="005E04D3" w:rsidRPr="00CB54DD">
        <w:rPr>
          <w:noProof/>
          <w:shd w:val="clear" w:color="auto" w:fill="FFFFFF"/>
        </w:rPr>
        <w:t xml:space="preserve"> </w:t>
      </w:r>
      <w:r w:rsidR="00213947" w:rsidRPr="00CB54DD">
        <w:rPr>
          <w:noProof/>
          <w:shd w:val="clear" w:color="auto" w:fill="FFFFFF"/>
        </w:rPr>
        <w:t xml:space="preserve">shall immediately </w:t>
      </w:r>
      <w:r w:rsidR="000337CD" w:rsidRPr="00CB54DD">
        <w:rPr>
          <w:noProof/>
          <w:shd w:val="clear" w:color="auto" w:fill="FFFFFF"/>
        </w:rPr>
        <w:t>verify whether</w:t>
      </w:r>
      <w:r w:rsidR="00213947" w:rsidRPr="00CB54DD">
        <w:rPr>
          <w:noProof/>
          <w:shd w:val="clear" w:color="auto" w:fill="FFFFFF"/>
        </w:rPr>
        <w:t xml:space="preserve"> all the necessary conditions</w:t>
      </w:r>
      <w:r w:rsidR="005D5563" w:rsidRPr="00CB54DD">
        <w:rPr>
          <w:noProof/>
          <w:shd w:val="clear" w:color="auto" w:fill="FFFFFF"/>
        </w:rPr>
        <w:t xml:space="preserve"> for processing the payment</w:t>
      </w:r>
      <w:r w:rsidR="00213947" w:rsidRPr="00CB54DD">
        <w:rPr>
          <w:noProof/>
          <w:shd w:val="clear" w:color="auto" w:fill="FFFFFF"/>
        </w:rPr>
        <w:t xml:space="preserve"> are met </w:t>
      </w:r>
      <w:r w:rsidR="000337CD" w:rsidRPr="00CB54DD">
        <w:rPr>
          <w:noProof/>
          <w:szCs w:val="24"/>
          <w:shd w:val="clear" w:color="auto" w:fill="FFFFFF"/>
        </w:rPr>
        <w:t>and whether the necessary funds are available,</w:t>
      </w:r>
      <w:r w:rsidR="000337CD" w:rsidRPr="00CB54DD">
        <w:rPr>
          <w:noProof/>
          <w:shd w:val="clear" w:color="auto" w:fill="FFFFFF"/>
        </w:rPr>
        <w:t xml:space="preserve"> </w:t>
      </w:r>
      <w:r w:rsidR="00771175" w:rsidRPr="00CB54DD">
        <w:rPr>
          <w:noProof/>
          <w:shd w:val="clear" w:color="auto" w:fill="FFFFFF"/>
        </w:rPr>
        <w:t>reserve</w:t>
      </w:r>
      <w:r w:rsidR="00213947" w:rsidRPr="00CB54DD">
        <w:rPr>
          <w:noProof/>
          <w:shd w:val="clear" w:color="auto" w:fill="FFFFFF"/>
        </w:rPr>
        <w:t xml:space="preserve"> the amount on the account of the payer and instantly </w:t>
      </w:r>
      <w:r w:rsidR="00213947" w:rsidRPr="00CB54DD">
        <w:rPr>
          <w:noProof/>
          <w:szCs w:val="24"/>
          <w:shd w:val="clear" w:color="auto" w:fill="FFFFFF"/>
        </w:rPr>
        <w:t xml:space="preserve">send </w:t>
      </w:r>
      <w:r w:rsidR="00213947" w:rsidRPr="00CB54DD">
        <w:rPr>
          <w:rStyle w:val="CommentReference"/>
          <w:noProof/>
          <w:sz w:val="24"/>
          <w:szCs w:val="24"/>
        </w:rPr>
        <w:t xml:space="preserve">the payment </w:t>
      </w:r>
      <w:r w:rsidR="00213947" w:rsidRPr="00CB54DD">
        <w:rPr>
          <w:noProof/>
          <w:szCs w:val="24"/>
          <w:shd w:val="clear" w:color="auto" w:fill="FFFFFF"/>
        </w:rPr>
        <w:t>transaction to the payee’s</w:t>
      </w:r>
      <w:r w:rsidR="00213947" w:rsidRPr="00CB54DD">
        <w:rPr>
          <w:noProof/>
          <w:shd w:val="clear" w:color="auto" w:fill="FFFFFF"/>
        </w:rPr>
        <w:t xml:space="preserve"> PSP;</w:t>
      </w:r>
    </w:p>
    <w:p w:rsidR="00213947" w:rsidRPr="00CB54DD" w:rsidRDefault="00933F69" w:rsidP="00933F69">
      <w:pPr>
        <w:pStyle w:val="Point1"/>
        <w:rPr>
          <w:noProof/>
          <w:shd w:val="clear" w:color="auto" w:fill="FFFFFF"/>
        </w:rPr>
      </w:pPr>
      <w:r w:rsidRPr="00933F69">
        <w:t>(c)</w:t>
      </w:r>
      <w:r w:rsidRPr="00933F69">
        <w:tab/>
      </w:r>
      <w:r w:rsidR="005E04D3">
        <w:rPr>
          <w:noProof/>
          <w:shd w:val="clear" w:color="auto" w:fill="FFFFFF"/>
        </w:rPr>
        <w:t>they</w:t>
      </w:r>
      <w:r w:rsidR="00213947" w:rsidRPr="00CB54DD">
        <w:rPr>
          <w:noProof/>
          <w:shd w:val="clear" w:color="auto" w:fill="FFFFFF"/>
        </w:rPr>
        <w:t xml:space="preserve"> shall </w:t>
      </w:r>
      <w:r w:rsidR="003A0D03" w:rsidRPr="00CB54DD">
        <w:rPr>
          <w:noProof/>
          <w:shd w:val="clear" w:color="auto" w:fill="FFFFFF"/>
        </w:rPr>
        <w:t xml:space="preserve">ensure that all payment accounts they maintain are reachable for </w:t>
      </w:r>
      <w:r w:rsidR="00213947" w:rsidRPr="00CB54DD">
        <w:rPr>
          <w:noProof/>
          <w:shd w:val="clear" w:color="auto" w:fill="FFFFFF"/>
        </w:rPr>
        <w:t>instant credit transfer</w:t>
      </w:r>
      <w:r w:rsidR="00065DFB" w:rsidRPr="00CB54DD">
        <w:rPr>
          <w:noProof/>
          <w:shd w:val="clear" w:color="auto" w:fill="FFFFFF"/>
        </w:rPr>
        <w:t>s</w:t>
      </w:r>
      <w:r w:rsidR="00213947" w:rsidRPr="00CB54DD">
        <w:rPr>
          <w:noProof/>
          <w:shd w:val="clear" w:color="auto" w:fill="FFFFFF"/>
        </w:rPr>
        <w:t xml:space="preserve"> 24 hours a day and on any calendar day;</w:t>
      </w:r>
    </w:p>
    <w:p w:rsidR="00B04847" w:rsidRPr="00CB54DD" w:rsidRDefault="00933F69" w:rsidP="00933F69">
      <w:pPr>
        <w:pStyle w:val="Point1"/>
        <w:rPr>
          <w:noProof/>
          <w:shd w:val="clear" w:color="auto" w:fill="FFFFFF"/>
        </w:rPr>
      </w:pPr>
      <w:r w:rsidRPr="00933F69">
        <w:t>(d)</w:t>
      </w:r>
      <w:r w:rsidRPr="00933F69">
        <w:tab/>
      </w:r>
      <w:r w:rsidR="005E04D3">
        <w:rPr>
          <w:noProof/>
          <w:shd w:val="clear" w:color="auto" w:fill="FFFFFF"/>
        </w:rPr>
        <w:t>after having</w:t>
      </w:r>
      <w:r w:rsidR="00213947" w:rsidRPr="00CB54DD">
        <w:rPr>
          <w:noProof/>
          <w:shd w:val="clear" w:color="auto" w:fill="FFFFFF"/>
        </w:rPr>
        <w:t xml:space="preserve"> receive</w:t>
      </w:r>
      <w:r w:rsidR="005E04D3">
        <w:rPr>
          <w:noProof/>
          <w:shd w:val="clear" w:color="auto" w:fill="FFFFFF"/>
        </w:rPr>
        <w:t>d</w:t>
      </w:r>
      <w:r w:rsidR="00213947" w:rsidRPr="00CB54DD">
        <w:rPr>
          <w:noProof/>
          <w:shd w:val="clear" w:color="auto" w:fill="FFFFFF"/>
        </w:rPr>
        <w:t xml:space="preserve"> an instant credit transfer</w:t>
      </w:r>
      <w:r w:rsidR="005E04D3">
        <w:rPr>
          <w:noProof/>
          <w:shd w:val="clear" w:color="auto" w:fill="FFFFFF"/>
        </w:rPr>
        <w:t>, they</w:t>
      </w:r>
      <w:r w:rsidR="00213947" w:rsidRPr="00CB54DD">
        <w:rPr>
          <w:noProof/>
          <w:shd w:val="clear" w:color="auto" w:fill="FFFFFF"/>
        </w:rPr>
        <w:t xml:space="preserve"> shall immediately make the amount of that transaction available </w:t>
      </w:r>
      <w:r w:rsidR="00AB1138" w:rsidRPr="00CB54DD">
        <w:rPr>
          <w:noProof/>
          <w:shd w:val="clear" w:color="auto" w:fill="FFFFFF"/>
        </w:rPr>
        <w:t>on</w:t>
      </w:r>
      <w:r w:rsidR="00213947" w:rsidRPr="00CB54DD">
        <w:rPr>
          <w:noProof/>
          <w:shd w:val="clear" w:color="auto" w:fill="FFFFFF"/>
        </w:rPr>
        <w:t xml:space="preserve"> the payee’s payment account</w:t>
      </w:r>
      <w:r w:rsidR="009E1674" w:rsidRPr="00CB54DD">
        <w:rPr>
          <w:noProof/>
          <w:shd w:val="clear" w:color="auto" w:fill="FFFFFF"/>
        </w:rPr>
        <w:t>.</w:t>
      </w:r>
    </w:p>
    <w:p w:rsidR="00213947" w:rsidRPr="00CB54DD" w:rsidRDefault="00F4220A" w:rsidP="00F4220A">
      <w:pPr>
        <w:pStyle w:val="Text1"/>
        <w:rPr>
          <w:noProof/>
          <w:shd w:val="clear" w:color="auto" w:fill="FFFFFF"/>
        </w:rPr>
      </w:pPr>
      <w:r w:rsidRPr="00CB54DD">
        <w:rPr>
          <w:noProof/>
          <w:shd w:val="clear" w:color="auto" w:fill="FFFFFF"/>
        </w:rPr>
        <w:t xml:space="preserve">3. </w:t>
      </w:r>
      <w:r w:rsidR="00B110FD">
        <w:rPr>
          <w:noProof/>
          <w:shd w:val="clear" w:color="auto" w:fill="FFFFFF"/>
        </w:rPr>
        <w:t xml:space="preserve">When providing instant credit transfers in euro, </w:t>
      </w:r>
      <w:r w:rsidR="00213947" w:rsidRPr="00CB54DD">
        <w:rPr>
          <w:noProof/>
          <w:shd w:val="clear" w:color="auto" w:fill="FFFFFF"/>
        </w:rPr>
        <w:t xml:space="preserve">PSPs shall offer to their PSUs </w:t>
      </w:r>
      <w:r w:rsidR="000337CD" w:rsidRPr="00CB54DD">
        <w:rPr>
          <w:noProof/>
          <w:shd w:val="clear" w:color="auto" w:fill="FFFFFF"/>
        </w:rPr>
        <w:t>the</w:t>
      </w:r>
      <w:r w:rsidR="00213947" w:rsidRPr="00CB54DD">
        <w:rPr>
          <w:noProof/>
          <w:shd w:val="clear" w:color="auto" w:fill="FFFFFF"/>
        </w:rPr>
        <w:t xml:space="preserve"> possibility to submit multiple payment orders </w:t>
      </w:r>
      <w:r w:rsidR="007D5F63" w:rsidRPr="00CB54DD">
        <w:rPr>
          <w:noProof/>
          <w:shd w:val="clear" w:color="auto" w:fill="FFFFFF"/>
        </w:rPr>
        <w:t>as a package</w:t>
      </w:r>
      <w:r w:rsidR="00213947" w:rsidRPr="00CB54DD">
        <w:rPr>
          <w:noProof/>
          <w:shd w:val="clear" w:color="auto" w:fill="FFFFFF"/>
        </w:rPr>
        <w:t xml:space="preserve"> </w:t>
      </w:r>
      <w:r w:rsidR="005E04D3">
        <w:rPr>
          <w:noProof/>
          <w:shd w:val="clear" w:color="auto" w:fill="FFFFFF"/>
        </w:rPr>
        <w:t>if they</w:t>
      </w:r>
      <w:r w:rsidR="00213947" w:rsidRPr="00CB54DD">
        <w:rPr>
          <w:noProof/>
          <w:shd w:val="clear" w:color="auto" w:fill="FFFFFF"/>
        </w:rPr>
        <w:t xml:space="preserve"> offer </w:t>
      </w:r>
      <w:r w:rsidR="000337CD" w:rsidRPr="00CB54DD">
        <w:rPr>
          <w:noProof/>
          <w:shd w:val="clear" w:color="auto" w:fill="FFFFFF"/>
        </w:rPr>
        <w:t>that</w:t>
      </w:r>
      <w:r w:rsidR="00213947" w:rsidRPr="00CB54DD">
        <w:rPr>
          <w:noProof/>
          <w:shd w:val="clear" w:color="auto" w:fill="FFFFFF"/>
        </w:rPr>
        <w:t xml:space="preserve"> possibility to their PSUs</w:t>
      </w:r>
      <w:r w:rsidR="00213947" w:rsidRPr="00CB54DD" w:rsidDel="006B6442">
        <w:rPr>
          <w:noProof/>
          <w:shd w:val="clear" w:color="auto" w:fill="FFFFFF"/>
        </w:rPr>
        <w:t xml:space="preserve"> </w:t>
      </w:r>
      <w:r w:rsidR="000337CD" w:rsidRPr="00CB54DD">
        <w:rPr>
          <w:noProof/>
          <w:shd w:val="clear" w:color="auto" w:fill="FFFFFF"/>
        </w:rPr>
        <w:t>for</w:t>
      </w:r>
      <w:r w:rsidR="00213947" w:rsidRPr="00CB54DD">
        <w:rPr>
          <w:noProof/>
          <w:shd w:val="clear" w:color="auto" w:fill="FFFFFF"/>
        </w:rPr>
        <w:t xml:space="preserve"> ot</w:t>
      </w:r>
      <w:r w:rsidR="00315E38" w:rsidRPr="00CB54DD">
        <w:rPr>
          <w:noProof/>
          <w:shd w:val="clear" w:color="auto" w:fill="FFFFFF"/>
        </w:rPr>
        <w:t>her types of credit transfers.</w:t>
      </w:r>
    </w:p>
    <w:p w:rsidR="00A1455D" w:rsidRPr="00CB54DD" w:rsidRDefault="00454750" w:rsidP="00F4220A">
      <w:pPr>
        <w:pStyle w:val="Text1"/>
        <w:rPr>
          <w:noProof/>
          <w:shd w:val="clear" w:color="auto" w:fill="FFFFFF"/>
        </w:rPr>
      </w:pPr>
      <w:r>
        <w:rPr>
          <w:noProof/>
          <w:shd w:val="clear" w:color="auto" w:fill="FFFFFF"/>
        </w:rPr>
        <w:t>4</w:t>
      </w:r>
      <w:r w:rsidR="00F4220A" w:rsidRPr="00CB54DD">
        <w:rPr>
          <w:noProof/>
          <w:shd w:val="clear" w:color="auto" w:fill="FFFFFF"/>
        </w:rPr>
        <w:t xml:space="preserve">. </w:t>
      </w:r>
      <w:r w:rsidR="00A1455D" w:rsidRPr="00CB54DD">
        <w:rPr>
          <w:noProof/>
          <w:shd w:val="clear" w:color="auto" w:fill="FFFFFF"/>
        </w:rPr>
        <w:t xml:space="preserve">PSPs </w:t>
      </w:r>
      <w:r w:rsidR="005E04D3">
        <w:rPr>
          <w:noProof/>
          <w:shd w:val="clear" w:color="auto" w:fill="FFFFFF"/>
        </w:rPr>
        <w:t xml:space="preserve">as </w:t>
      </w:r>
      <w:r w:rsidR="00C56F55" w:rsidRPr="00CB54DD">
        <w:rPr>
          <w:noProof/>
          <w:shd w:val="clear" w:color="auto" w:fill="FFFFFF"/>
        </w:rPr>
        <w:t xml:space="preserve">referred to in paragraph 1 </w:t>
      </w:r>
      <w:r w:rsidR="005E04D3">
        <w:rPr>
          <w:noProof/>
          <w:shd w:val="clear" w:color="auto" w:fill="FFFFFF"/>
        </w:rPr>
        <w:t xml:space="preserve">that are </w:t>
      </w:r>
      <w:r w:rsidR="00A1455D" w:rsidRPr="00CB54DD">
        <w:rPr>
          <w:noProof/>
          <w:shd w:val="clear" w:color="auto" w:fill="FFFFFF"/>
        </w:rPr>
        <w:t xml:space="preserve">located in a Member State </w:t>
      </w:r>
      <w:r w:rsidR="000F3A72">
        <w:rPr>
          <w:noProof/>
          <w:shd w:val="clear" w:color="auto" w:fill="FFFFFF"/>
        </w:rPr>
        <w:t>whose currency is</w:t>
      </w:r>
      <w:r w:rsidR="00A1455D" w:rsidRPr="00CB54DD">
        <w:rPr>
          <w:noProof/>
          <w:shd w:val="clear" w:color="auto" w:fill="FFFFFF"/>
        </w:rPr>
        <w:t xml:space="preserve"> the euro shall offer PSUs the service of receiving instant credit transfers in euro by </w:t>
      </w:r>
      <w:r w:rsidR="00CD24F4">
        <w:rPr>
          <w:noProof/>
          <w:shd w:val="clear" w:color="auto" w:fill="FFFFFF"/>
        </w:rPr>
        <w:t xml:space="preserve">… </w:t>
      </w:r>
      <w:r w:rsidR="00A1455D" w:rsidRPr="00CB54DD">
        <w:rPr>
          <w:noProof/>
          <w:shd w:val="clear" w:color="auto" w:fill="FFFFFF"/>
        </w:rPr>
        <w:t>[</w:t>
      </w:r>
      <w:r w:rsidR="00CD24F4">
        <w:rPr>
          <w:noProof/>
          <w:shd w:val="clear" w:color="auto" w:fill="FFFFFF"/>
        </w:rPr>
        <w:t xml:space="preserve">PO please insert the </w:t>
      </w:r>
      <w:r w:rsidR="00A1455D" w:rsidRPr="00CB54DD">
        <w:rPr>
          <w:noProof/>
          <w:shd w:val="clear" w:color="auto" w:fill="FFFFFF"/>
        </w:rPr>
        <w:t>date</w:t>
      </w:r>
      <w:r w:rsidR="009E1674" w:rsidRPr="00CB54DD">
        <w:rPr>
          <w:noProof/>
          <w:shd w:val="clear" w:color="auto" w:fill="FFFFFF"/>
        </w:rPr>
        <w:t xml:space="preserve"> </w:t>
      </w:r>
      <w:r w:rsidR="00A1455D" w:rsidRPr="00CB54DD">
        <w:rPr>
          <w:noProof/>
          <w:shd w:val="clear" w:color="auto" w:fill="FFFFFF"/>
        </w:rPr>
        <w:t xml:space="preserve">= 6 months after </w:t>
      </w:r>
      <w:r w:rsidR="00CD24F4">
        <w:rPr>
          <w:noProof/>
          <w:shd w:val="clear" w:color="auto" w:fill="FFFFFF"/>
        </w:rPr>
        <w:t xml:space="preserve">the date of </w:t>
      </w:r>
      <w:r w:rsidR="00A1455D" w:rsidRPr="00CB54DD">
        <w:rPr>
          <w:noProof/>
          <w:shd w:val="clear" w:color="auto" w:fill="FFFFFF"/>
        </w:rPr>
        <w:t xml:space="preserve">entry into force of this Regulation], and the service of sending instant credit transfers in euro by </w:t>
      </w:r>
      <w:r w:rsidR="00CD24F4">
        <w:rPr>
          <w:noProof/>
          <w:shd w:val="clear" w:color="auto" w:fill="FFFFFF"/>
        </w:rPr>
        <w:t xml:space="preserve">… </w:t>
      </w:r>
      <w:r w:rsidR="00A1455D" w:rsidRPr="00CB54DD">
        <w:rPr>
          <w:noProof/>
          <w:shd w:val="clear" w:color="auto" w:fill="FFFFFF"/>
        </w:rPr>
        <w:t>[</w:t>
      </w:r>
      <w:r w:rsidR="00CD24F4">
        <w:rPr>
          <w:noProof/>
          <w:shd w:val="clear" w:color="auto" w:fill="FFFFFF"/>
        </w:rPr>
        <w:t>P</w:t>
      </w:r>
      <w:r w:rsidR="00130867">
        <w:rPr>
          <w:noProof/>
          <w:shd w:val="clear" w:color="auto" w:fill="FFFFFF"/>
        </w:rPr>
        <w:t>O</w:t>
      </w:r>
      <w:r w:rsidR="00CD24F4">
        <w:rPr>
          <w:noProof/>
          <w:shd w:val="clear" w:color="auto" w:fill="FFFFFF"/>
        </w:rPr>
        <w:t xml:space="preserve"> please insert the </w:t>
      </w:r>
      <w:r w:rsidR="00A1455D" w:rsidRPr="00CB54DD">
        <w:rPr>
          <w:noProof/>
          <w:shd w:val="clear" w:color="auto" w:fill="FFFFFF"/>
        </w:rPr>
        <w:t>date</w:t>
      </w:r>
      <w:r w:rsidR="009E1674" w:rsidRPr="00CB54DD">
        <w:rPr>
          <w:noProof/>
          <w:shd w:val="clear" w:color="auto" w:fill="FFFFFF"/>
        </w:rPr>
        <w:t xml:space="preserve"> </w:t>
      </w:r>
      <w:r w:rsidR="00A1455D" w:rsidRPr="00CB54DD">
        <w:rPr>
          <w:noProof/>
          <w:shd w:val="clear" w:color="auto" w:fill="FFFFFF"/>
        </w:rPr>
        <w:t xml:space="preserve">= 12 months after </w:t>
      </w:r>
      <w:r w:rsidR="00CD24F4">
        <w:rPr>
          <w:noProof/>
          <w:shd w:val="clear" w:color="auto" w:fill="FFFFFF"/>
        </w:rPr>
        <w:t xml:space="preserve">the date of </w:t>
      </w:r>
      <w:r w:rsidR="00A1455D" w:rsidRPr="00CB54DD">
        <w:rPr>
          <w:noProof/>
          <w:shd w:val="clear" w:color="auto" w:fill="FFFFFF"/>
        </w:rPr>
        <w:t>entry into force of this Regulation].</w:t>
      </w:r>
    </w:p>
    <w:p w:rsidR="00A1455D" w:rsidRPr="00CB54DD" w:rsidRDefault="00A1455D" w:rsidP="00F4220A">
      <w:pPr>
        <w:pStyle w:val="Text1"/>
        <w:rPr>
          <w:noProof/>
          <w:shd w:val="clear" w:color="auto" w:fill="FFFFFF"/>
        </w:rPr>
      </w:pPr>
      <w:r w:rsidRPr="00CB54DD">
        <w:rPr>
          <w:noProof/>
          <w:shd w:val="clear" w:color="auto" w:fill="FFFFFF"/>
        </w:rPr>
        <w:t xml:space="preserve">PSPs </w:t>
      </w:r>
      <w:r w:rsidR="005E04D3">
        <w:rPr>
          <w:noProof/>
          <w:shd w:val="clear" w:color="auto" w:fill="FFFFFF"/>
        </w:rPr>
        <w:t xml:space="preserve">as </w:t>
      </w:r>
      <w:r w:rsidR="00C56F55" w:rsidRPr="00CB54DD">
        <w:rPr>
          <w:noProof/>
          <w:shd w:val="clear" w:color="auto" w:fill="FFFFFF"/>
        </w:rPr>
        <w:t xml:space="preserve">referred to in paragraph 1 </w:t>
      </w:r>
      <w:r w:rsidRPr="00CB54DD">
        <w:rPr>
          <w:noProof/>
          <w:shd w:val="clear" w:color="auto" w:fill="FFFFFF"/>
        </w:rPr>
        <w:t xml:space="preserve">located in a Member State </w:t>
      </w:r>
      <w:r w:rsidR="000F3A72">
        <w:rPr>
          <w:noProof/>
          <w:shd w:val="clear" w:color="auto" w:fill="FFFFFF"/>
        </w:rPr>
        <w:t>whose currency is</w:t>
      </w:r>
      <w:r w:rsidRPr="00CB54DD">
        <w:rPr>
          <w:noProof/>
          <w:shd w:val="clear" w:color="auto" w:fill="FFFFFF"/>
        </w:rPr>
        <w:t xml:space="preserve"> not the euro shall offer PSUs the service of receiving instant credit transfers in euro by </w:t>
      </w:r>
      <w:r w:rsidR="00CD24F4">
        <w:rPr>
          <w:noProof/>
          <w:shd w:val="clear" w:color="auto" w:fill="FFFFFF"/>
        </w:rPr>
        <w:t>…</w:t>
      </w:r>
      <w:r w:rsidRPr="00CB54DD">
        <w:rPr>
          <w:noProof/>
          <w:shd w:val="clear" w:color="auto" w:fill="FFFFFF"/>
        </w:rPr>
        <w:t>[</w:t>
      </w:r>
      <w:r w:rsidR="00CD24F4" w:rsidRPr="00CD24F4">
        <w:rPr>
          <w:noProof/>
          <w:shd w:val="clear" w:color="auto" w:fill="FFFFFF"/>
        </w:rPr>
        <w:t xml:space="preserve"> </w:t>
      </w:r>
      <w:r w:rsidR="00CD24F4">
        <w:rPr>
          <w:noProof/>
          <w:shd w:val="clear" w:color="auto" w:fill="FFFFFF"/>
        </w:rPr>
        <w:t xml:space="preserve">PO please insert the </w:t>
      </w:r>
      <w:r w:rsidRPr="00CB54DD">
        <w:rPr>
          <w:noProof/>
          <w:shd w:val="clear" w:color="auto" w:fill="FFFFFF"/>
        </w:rPr>
        <w:t>date</w:t>
      </w:r>
      <w:r w:rsidR="009E1674" w:rsidRPr="00CB54DD">
        <w:rPr>
          <w:noProof/>
          <w:shd w:val="clear" w:color="auto" w:fill="FFFFFF"/>
        </w:rPr>
        <w:t xml:space="preserve"> </w:t>
      </w:r>
      <w:r w:rsidRPr="00CB54DD">
        <w:rPr>
          <w:noProof/>
          <w:shd w:val="clear" w:color="auto" w:fill="FFFFFF"/>
        </w:rPr>
        <w:t xml:space="preserve">= 30 months </w:t>
      </w:r>
      <w:r w:rsidR="00CD24F4">
        <w:rPr>
          <w:noProof/>
          <w:shd w:val="clear" w:color="auto" w:fill="FFFFFF"/>
        </w:rPr>
        <w:t xml:space="preserve">after the date of </w:t>
      </w:r>
      <w:r w:rsidRPr="00CB54DD">
        <w:rPr>
          <w:noProof/>
          <w:shd w:val="clear" w:color="auto" w:fill="FFFFFF"/>
        </w:rPr>
        <w:t xml:space="preserve">entry into force of this Regulation], and the service of sending instant credit transfers in euro by </w:t>
      </w:r>
      <w:r w:rsidR="00CD24F4">
        <w:rPr>
          <w:noProof/>
          <w:shd w:val="clear" w:color="auto" w:fill="FFFFFF"/>
        </w:rPr>
        <w:t>…</w:t>
      </w:r>
      <w:r w:rsidRPr="00CB54DD">
        <w:rPr>
          <w:noProof/>
          <w:shd w:val="clear" w:color="auto" w:fill="FFFFFF"/>
        </w:rPr>
        <w:t>[</w:t>
      </w:r>
      <w:r w:rsidR="00CD24F4" w:rsidRPr="00CD24F4">
        <w:rPr>
          <w:noProof/>
          <w:shd w:val="clear" w:color="auto" w:fill="FFFFFF"/>
        </w:rPr>
        <w:t xml:space="preserve"> </w:t>
      </w:r>
      <w:r w:rsidR="00CD24F4">
        <w:rPr>
          <w:noProof/>
          <w:shd w:val="clear" w:color="auto" w:fill="FFFFFF"/>
        </w:rPr>
        <w:t xml:space="preserve">PO please insert the </w:t>
      </w:r>
      <w:r w:rsidRPr="00CB54DD">
        <w:rPr>
          <w:noProof/>
          <w:shd w:val="clear" w:color="auto" w:fill="FFFFFF"/>
        </w:rPr>
        <w:t>date</w:t>
      </w:r>
      <w:r w:rsidR="009E1674" w:rsidRPr="00CB54DD">
        <w:rPr>
          <w:noProof/>
          <w:shd w:val="clear" w:color="auto" w:fill="FFFFFF"/>
        </w:rPr>
        <w:t xml:space="preserve"> </w:t>
      </w:r>
      <w:r w:rsidRPr="00CB54DD">
        <w:rPr>
          <w:noProof/>
          <w:shd w:val="clear" w:color="auto" w:fill="FFFFFF"/>
        </w:rPr>
        <w:t xml:space="preserve">= 36 months </w:t>
      </w:r>
      <w:r w:rsidR="00CD24F4">
        <w:rPr>
          <w:noProof/>
          <w:shd w:val="clear" w:color="auto" w:fill="FFFFFF"/>
        </w:rPr>
        <w:t xml:space="preserve">after the date of </w:t>
      </w:r>
      <w:r w:rsidRPr="00CB54DD">
        <w:rPr>
          <w:noProof/>
          <w:shd w:val="clear" w:color="auto" w:fill="FFFFFF"/>
        </w:rPr>
        <w:t>entry into force of this Regulation].</w:t>
      </w:r>
    </w:p>
    <w:p w:rsidR="00213947" w:rsidRPr="00CB54DD" w:rsidRDefault="00213947" w:rsidP="00315E38">
      <w:pPr>
        <w:pStyle w:val="CommentText"/>
        <w:spacing w:before="360"/>
        <w:ind w:left="567"/>
        <w:jc w:val="center"/>
        <w:rPr>
          <w:i/>
          <w:noProof/>
          <w:sz w:val="24"/>
          <w:szCs w:val="24"/>
          <w:shd w:val="clear" w:color="auto" w:fill="FFFFFF"/>
          <w:lang w:val="en-GB"/>
        </w:rPr>
      </w:pPr>
      <w:r w:rsidRPr="00CB54DD">
        <w:rPr>
          <w:i/>
          <w:noProof/>
          <w:sz w:val="24"/>
          <w:szCs w:val="24"/>
          <w:shd w:val="clear" w:color="auto" w:fill="FFFFFF"/>
          <w:lang w:val="en-GB"/>
        </w:rPr>
        <w:t>Article 5b</w:t>
      </w:r>
    </w:p>
    <w:p w:rsidR="00213947" w:rsidRPr="00CB54DD" w:rsidRDefault="0090463C" w:rsidP="00315E38">
      <w:pPr>
        <w:pStyle w:val="CommentText"/>
        <w:ind w:left="567"/>
        <w:jc w:val="center"/>
        <w:rPr>
          <w:b/>
          <w:noProof/>
          <w:sz w:val="24"/>
          <w:szCs w:val="24"/>
          <w:shd w:val="clear" w:color="auto" w:fill="FFFFFF"/>
          <w:lang w:val="en-GB"/>
        </w:rPr>
      </w:pPr>
      <w:r w:rsidRPr="00CB54DD">
        <w:rPr>
          <w:b/>
          <w:noProof/>
          <w:sz w:val="24"/>
          <w:szCs w:val="24"/>
          <w:shd w:val="clear" w:color="auto" w:fill="FFFFFF"/>
          <w:lang w:val="en-GB"/>
        </w:rPr>
        <w:t>Charges</w:t>
      </w:r>
      <w:r w:rsidR="00213947" w:rsidRPr="00CB54DD">
        <w:rPr>
          <w:b/>
          <w:noProof/>
          <w:sz w:val="24"/>
          <w:szCs w:val="24"/>
          <w:shd w:val="clear" w:color="auto" w:fill="FFFFFF"/>
          <w:lang w:val="en-GB"/>
        </w:rPr>
        <w:t xml:space="preserve"> in respect of instant credit transfers</w:t>
      </w:r>
    </w:p>
    <w:p w:rsidR="00213947" w:rsidRPr="00CB54DD" w:rsidRDefault="00F4220A" w:rsidP="00F4220A">
      <w:pPr>
        <w:pStyle w:val="Text1"/>
        <w:rPr>
          <w:noProof/>
          <w:shd w:val="clear" w:color="auto" w:fill="FFFFFF"/>
        </w:rPr>
      </w:pPr>
      <w:r w:rsidRPr="00CB54DD">
        <w:rPr>
          <w:noProof/>
          <w:shd w:val="clear" w:color="auto" w:fill="FFFFFF"/>
        </w:rPr>
        <w:t xml:space="preserve">1. </w:t>
      </w:r>
      <w:r w:rsidR="00213947" w:rsidRPr="00CB54DD">
        <w:rPr>
          <w:noProof/>
          <w:shd w:val="clear" w:color="auto" w:fill="FFFFFF"/>
        </w:rPr>
        <w:t xml:space="preserve">Any </w:t>
      </w:r>
      <w:r w:rsidR="0090463C" w:rsidRPr="00CB54DD">
        <w:rPr>
          <w:noProof/>
          <w:shd w:val="clear" w:color="auto" w:fill="FFFFFF"/>
        </w:rPr>
        <w:t>charges</w:t>
      </w:r>
      <w:r w:rsidR="00213947" w:rsidRPr="00CB54DD">
        <w:rPr>
          <w:noProof/>
          <w:shd w:val="clear" w:color="auto" w:fill="FFFFFF"/>
        </w:rPr>
        <w:t xml:space="preserve"> </w:t>
      </w:r>
      <w:r w:rsidR="0090463C" w:rsidRPr="00CB54DD">
        <w:rPr>
          <w:noProof/>
          <w:shd w:val="clear" w:color="auto" w:fill="FFFFFF"/>
        </w:rPr>
        <w:t>applied</w:t>
      </w:r>
      <w:r w:rsidR="00213947" w:rsidRPr="00CB54DD">
        <w:rPr>
          <w:noProof/>
          <w:shd w:val="clear" w:color="auto" w:fill="FFFFFF"/>
        </w:rPr>
        <w:t xml:space="preserve"> by a PSP on payers and payees in respect of sending and receiving </w:t>
      </w:r>
      <w:r w:rsidR="00213947" w:rsidRPr="00CB54DD">
        <w:rPr>
          <w:noProof/>
        </w:rPr>
        <w:t>instant</w:t>
      </w:r>
      <w:r w:rsidR="00213947" w:rsidRPr="00CB54DD">
        <w:rPr>
          <w:noProof/>
          <w:shd w:val="clear" w:color="auto" w:fill="FFFFFF"/>
        </w:rPr>
        <w:t xml:space="preserve"> credit transfer transactions in euro shall not be higher than the </w:t>
      </w:r>
      <w:r w:rsidR="0090463C" w:rsidRPr="00CB54DD">
        <w:rPr>
          <w:noProof/>
          <w:shd w:val="clear" w:color="auto" w:fill="FFFFFF"/>
        </w:rPr>
        <w:t>charges</w:t>
      </w:r>
      <w:r w:rsidR="00213947" w:rsidRPr="00CB54DD">
        <w:rPr>
          <w:noProof/>
          <w:shd w:val="clear" w:color="auto" w:fill="FFFFFF"/>
        </w:rPr>
        <w:t xml:space="preserve"> </w:t>
      </w:r>
      <w:r w:rsidR="0090463C" w:rsidRPr="00CB54DD">
        <w:rPr>
          <w:noProof/>
          <w:shd w:val="clear" w:color="auto" w:fill="FFFFFF"/>
        </w:rPr>
        <w:t>applied</w:t>
      </w:r>
      <w:r w:rsidR="00213947" w:rsidRPr="00CB54DD">
        <w:rPr>
          <w:noProof/>
          <w:shd w:val="clear" w:color="auto" w:fill="FFFFFF"/>
        </w:rPr>
        <w:t xml:space="preserve"> by that PSP in respect of sending and receiving other, corresponding, credit transfer transactions in euro.</w:t>
      </w:r>
    </w:p>
    <w:p w:rsidR="008F1BA1" w:rsidRPr="00CB54DD" w:rsidRDefault="00F4220A" w:rsidP="00F4220A">
      <w:pPr>
        <w:pStyle w:val="Text1"/>
        <w:rPr>
          <w:noProof/>
          <w:szCs w:val="24"/>
          <w:shd w:val="clear" w:color="auto" w:fill="FFFFFF"/>
        </w:rPr>
      </w:pPr>
      <w:r w:rsidRPr="00CB54DD">
        <w:rPr>
          <w:noProof/>
          <w:szCs w:val="24"/>
          <w:shd w:val="clear" w:color="auto" w:fill="FFFFFF"/>
        </w:rPr>
        <w:t xml:space="preserve">2. </w:t>
      </w:r>
      <w:r w:rsidR="008F1BA1" w:rsidRPr="00CB54DD">
        <w:rPr>
          <w:noProof/>
          <w:szCs w:val="24"/>
          <w:shd w:val="clear" w:color="auto" w:fill="FFFFFF"/>
        </w:rPr>
        <w:t xml:space="preserve">PSPs located in a Member State </w:t>
      </w:r>
      <w:r w:rsidR="006070AF">
        <w:rPr>
          <w:noProof/>
          <w:szCs w:val="24"/>
          <w:shd w:val="clear" w:color="auto" w:fill="FFFFFF"/>
        </w:rPr>
        <w:t>whose currency is</w:t>
      </w:r>
      <w:r w:rsidR="008F1BA1" w:rsidRPr="00CB54DD">
        <w:rPr>
          <w:noProof/>
          <w:szCs w:val="24"/>
          <w:shd w:val="clear" w:color="auto" w:fill="FFFFFF"/>
        </w:rPr>
        <w:t xml:space="preserve"> the euro shall comply with this Article by </w:t>
      </w:r>
      <w:r w:rsidR="005C7C4D">
        <w:rPr>
          <w:noProof/>
          <w:szCs w:val="24"/>
          <w:shd w:val="clear" w:color="auto" w:fill="FFFFFF"/>
        </w:rPr>
        <w:t>…</w:t>
      </w:r>
      <w:r w:rsidR="008F1BA1" w:rsidRPr="00CB54DD">
        <w:rPr>
          <w:noProof/>
          <w:szCs w:val="24"/>
          <w:shd w:val="clear" w:color="auto" w:fill="FFFFFF"/>
        </w:rPr>
        <w:t>[</w:t>
      </w:r>
      <w:r w:rsidR="005C7C4D" w:rsidRPr="005C7C4D">
        <w:rPr>
          <w:noProof/>
          <w:shd w:val="clear" w:color="auto" w:fill="FFFFFF"/>
        </w:rPr>
        <w:t xml:space="preserve"> </w:t>
      </w:r>
      <w:r w:rsidR="005C7C4D">
        <w:rPr>
          <w:noProof/>
          <w:shd w:val="clear" w:color="auto" w:fill="FFFFFF"/>
        </w:rPr>
        <w:t xml:space="preserve">PO please insert the </w:t>
      </w:r>
      <w:r w:rsidR="008F1BA1" w:rsidRPr="00CB54DD">
        <w:rPr>
          <w:noProof/>
          <w:szCs w:val="24"/>
          <w:shd w:val="clear" w:color="auto" w:fill="FFFFFF"/>
        </w:rPr>
        <w:t>date</w:t>
      </w:r>
      <w:r w:rsidR="009E1674" w:rsidRPr="00CB54DD">
        <w:rPr>
          <w:noProof/>
          <w:szCs w:val="24"/>
          <w:shd w:val="clear" w:color="auto" w:fill="FFFFFF"/>
        </w:rPr>
        <w:t xml:space="preserve"> </w:t>
      </w:r>
      <w:r w:rsidR="008F1BA1" w:rsidRPr="00CB54DD">
        <w:rPr>
          <w:noProof/>
          <w:szCs w:val="24"/>
          <w:shd w:val="clear" w:color="auto" w:fill="FFFFFF"/>
        </w:rPr>
        <w:t xml:space="preserve">= 6 months after </w:t>
      </w:r>
      <w:r w:rsidR="005C7C4D">
        <w:rPr>
          <w:noProof/>
          <w:szCs w:val="24"/>
          <w:shd w:val="clear" w:color="auto" w:fill="FFFFFF"/>
        </w:rPr>
        <w:t xml:space="preserve">the date of </w:t>
      </w:r>
      <w:r w:rsidR="008F1BA1" w:rsidRPr="00CB54DD">
        <w:rPr>
          <w:noProof/>
          <w:szCs w:val="24"/>
          <w:shd w:val="clear" w:color="auto" w:fill="FFFFFF"/>
        </w:rPr>
        <w:t xml:space="preserve">entry into force of this Regulation]. </w:t>
      </w:r>
    </w:p>
    <w:p w:rsidR="008F1BA1" w:rsidRPr="00CB54DD" w:rsidRDefault="008F1BA1" w:rsidP="00F4220A">
      <w:pPr>
        <w:pStyle w:val="Text1"/>
        <w:rPr>
          <w:noProof/>
          <w:szCs w:val="24"/>
          <w:shd w:val="clear" w:color="auto" w:fill="FFFFFF"/>
        </w:rPr>
      </w:pPr>
      <w:r w:rsidRPr="00CB54DD">
        <w:rPr>
          <w:noProof/>
          <w:szCs w:val="24"/>
          <w:shd w:val="clear" w:color="auto" w:fill="FFFFFF"/>
        </w:rPr>
        <w:t xml:space="preserve">PSPs located in a Member State </w:t>
      </w:r>
      <w:r w:rsidR="006070AF">
        <w:rPr>
          <w:noProof/>
          <w:szCs w:val="24"/>
          <w:shd w:val="clear" w:color="auto" w:fill="FFFFFF"/>
        </w:rPr>
        <w:t>whose currency is</w:t>
      </w:r>
      <w:r w:rsidRPr="00CB54DD">
        <w:rPr>
          <w:noProof/>
          <w:szCs w:val="24"/>
          <w:shd w:val="clear" w:color="auto" w:fill="FFFFFF"/>
        </w:rPr>
        <w:t xml:space="preserve"> not the euro shall comply with this Article by </w:t>
      </w:r>
      <w:r w:rsidR="005C7C4D">
        <w:rPr>
          <w:noProof/>
          <w:szCs w:val="24"/>
          <w:shd w:val="clear" w:color="auto" w:fill="FFFFFF"/>
        </w:rPr>
        <w:t>…</w:t>
      </w:r>
      <w:r w:rsidRPr="00CB54DD">
        <w:rPr>
          <w:noProof/>
          <w:szCs w:val="24"/>
          <w:shd w:val="clear" w:color="auto" w:fill="FFFFFF"/>
        </w:rPr>
        <w:t>[</w:t>
      </w:r>
      <w:r w:rsidR="005C7C4D" w:rsidRPr="005C7C4D">
        <w:rPr>
          <w:noProof/>
          <w:shd w:val="clear" w:color="auto" w:fill="FFFFFF"/>
        </w:rPr>
        <w:t xml:space="preserve"> </w:t>
      </w:r>
      <w:r w:rsidR="005C7C4D">
        <w:rPr>
          <w:noProof/>
          <w:shd w:val="clear" w:color="auto" w:fill="FFFFFF"/>
        </w:rPr>
        <w:t xml:space="preserve">PO please insert the </w:t>
      </w:r>
      <w:r w:rsidRPr="00CB54DD">
        <w:rPr>
          <w:noProof/>
          <w:szCs w:val="24"/>
          <w:shd w:val="clear" w:color="auto" w:fill="FFFFFF"/>
        </w:rPr>
        <w:t>date</w:t>
      </w:r>
      <w:r w:rsidR="009E1674" w:rsidRPr="00CB54DD">
        <w:rPr>
          <w:noProof/>
          <w:szCs w:val="24"/>
          <w:shd w:val="clear" w:color="auto" w:fill="FFFFFF"/>
        </w:rPr>
        <w:t xml:space="preserve"> </w:t>
      </w:r>
      <w:r w:rsidRPr="00CB54DD">
        <w:rPr>
          <w:noProof/>
          <w:szCs w:val="24"/>
          <w:shd w:val="clear" w:color="auto" w:fill="FFFFFF"/>
        </w:rPr>
        <w:t xml:space="preserve">= 30 months </w:t>
      </w:r>
      <w:r w:rsidR="005C7C4D">
        <w:rPr>
          <w:noProof/>
          <w:szCs w:val="24"/>
          <w:shd w:val="clear" w:color="auto" w:fill="FFFFFF"/>
        </w:rPr>
        <w:t xml:space="preserve">after the date of </w:t>
      </w:r>
      <w:r w:rsidRPr="00CB54DD">
        <w:rPr>
          <w:noProof/>
          <w:szCs w:val="24"/>
          <w:shd w:val="clear" w:color="auto" w:fill="FFFFFF"/>
        </w:rPr>
        <w:t xml:space="preserve">entry into force of this Regulation]. </w:t>
      </w:r>
    </w:p>
    <w:p w:rsidR="00213947" w:rsidRPr="00CB54DD" w:rsidRDefault="00213947" w:rsidP="00315E38">
      <w:pPr>
        <w:pStyle w:val="CommentText"/>
        <w:spacing w:before="360"/>
        <w:ind w:left="567"/>
        <w:jc w:val="center"/>
        <w:rPr>
          <w:i/>
          <w:noProof/>
          <w:sz w:val="24"/>
          <w:szCs w:val="24"/>
          <w:shd w:val="clear" w:color="auto" w:fill="FFFFFF"/>
          <w:lang w:val="en-GB"/>
        </w:rPr>
      </w:pPr>
      <w:r w:rsidRPr="00CB54DD">
        <w:rPr>
          <w:i/>
          <w:noProof/>
          <w:sz w:val="24"/>
          <w:szCs w:val="24"/>
          <w:shd w:val="clear" w:color="auto" w:fill="FFFFFF"/>
          <w:lang w:val="en-GB"/>
        </w:rPr>
        <w:t>Article 5c</w:t>
      </w:r>
    </w:p>
    <w:p w:rsidR="00213947" w:rsidRPr="00CB54DD" w:rsidRDefault="00000B00" w:rsidP="00CB54DD">
      <w:pPr>
        <w:ind w:left="851"/>
        <w:jc w:val="center"/>
        <w:rPr>
          <w:b/>
          <w:bCs/>
          <w:noProof/>
          <w:szCs w:val="24"/>
          <w:shd w:val="clear" w:color="auto" w:fill="FFFFFF"/>
        </w:rPr>
      </w:pPr>
      <w:r w:rsidRPr="00CB54DD">
        <w:rPr>
          <w:b/>
          <w:bCs/>
          <w:noProof/>
          <w:szCs w:val="24"/>
          <w:shd w:val="clear" w:color="auto" w:fill="FFFFFF"/>
        </w:rPr>
        <w:t>D</w:t>
      </w:r>
      <w:r w:rsidR="00213947" w:rsidRPr="00CB54DD">
        <w:rPr>
          <w:b/>
          <w:bCs/>
          <w:noProof/>
          <w:szCs w:val="24"/>
          <w:shd w:val="clear" w:color="auto" w:fill="FFFFFF"/>
        </w:rPr>
        <w:t>iscrepanc</w:t>
      </w:r>
      <w:r w:rsidR="00D31DDC" w:rsidRPr="00CB54DD">
        <w:rPr>
          <w:b/>
          <w:bCs/>
          <w:noProof/>
          <w:szCs w:val="24"/>
          <w:shd w:val="clear" w:color="auto" w:fill="FFFFFF"/>
        </w:rPr>
        <w:t>ies</w:t>
      </w:r>
      <w:r w:rsidR="00213947" w:rsidRPr="00CB54DD">
        <w:rPr>
          <w:b/>
          <w:bCs/>
          <w:noProof/>
          <w:szCs w:val="24"/>
          <w:shd w:val="clear" w:color="auto" w:fill="FFFFFF"/>
        </w:rPr>
        <w:t xml:space="preserve"> between </w:t>
      </w:r>
      <w:r w:rsidR="00232AAE" w:rsidRPr="00CB54DD">
        <w:rPr>
          <w:b/>
          <w:bCs/>
          <w:noProof/>
          <w:szCs w:val="24"/>
          <w:shd w:val="clear" w:color="auto" w:fill="FFFFFF"/>
        </w:rPr>
        <w:t xml:space="preserve">the </w:t>
      </w:r>
      <w:r w:rsidR="00213947" w:rsidRPr="00CB54DD">
        <w:rPr>
          <w:b/>
          <w:bCs/>
          <w:noProof/>
          <w:szCs w:val="24"/>
          <w:shd w:val="clear" w:color="auto" w:fill="FFFFFF"/>
        </w:rPr>
        <w:t xml:space="preserve">name and payment account identifier of </w:t>
      </w:r>
      <w:r w:rsidR="00232AAE" w:rsidRPr="00CB54DD">
        <w:rPr>
          <w:b/>
          <w:bCs/>
          <w:noProof/>
          <w:szCs w:val="24"/>
          <w:shd w:val="clear" w:color="auto" w:fill="FFFFFF"/>
        </w:rPr>
        <w:t xml:space="preserve">a </w:t>
      </w:r>
      <w:r w:rsidR="00213947" w:rsidRPr="00CB54DD">
        <w:rPr>
          <w:b/>
          <w:bCs/>
          <w:noProof/>
          <w:szCs w:val="24"/>
          <w:shd w:val="clear" w:color="auto" w:fill="FFFFFF"/>
        </w:rPr>
        <w:t>payee</w:t>
      </w:r>
      <w:r w:rsidR="00232AAE" w:rsidRPr="00CB54DD">
        <w:rPr>
          <w:b/>
          <w:bCs/>
          <w:noProof/>
          <w:szCs w:val="24"/>
          <w:shd w:val="clear" w:color="auto" w:fill="FFFFFF"/>
        </w:rPr>
        <w:t xml:space="preserve"> in case of </w:t>
      </w:r>
      <w:r w:rsidR="00232AAE" w:rsidRPr="00CB54DD">
        <w:rPr>
          <w:b/>
          <w:noProof/>
          <w:szCs w:val="24"/>
          <w:shd w:val="clear" w:color="auto" w:fill="FFFFFF"/>
        </w:rPr>
        <w:t>instant credit transfers</w:t>
      </w:r>
    </w:p>
    <w:p w:rsidR="006D3540" w:rsidRPr="00CB54DD" w:rsidRDefault="00F4220A" w:rsidP="00F4220A">
      <w:pPr>
        <w:pStyle w:val="Text1"/>
        <w:rPr>
          <w:noProof/>
          <w:shd w:val="clear" w:color="auto" w:fill="FFFFFF"/>
        </w:rPr>
      </w:pPr>
      <w:r w:rsidRPr="00CB54DD">
        <w:rPr>
          <w:noProof/>
          <w:shd w:val="clear" w:color="auto" w:fill="FFFFFF"/>
        </w:rPr>
        <w:t xml:space="preserve">1. </w:t>
      </w:r>
      <w:r w:rsidR="007E57A1" w:rsidRPr="00CB54DD">
        <w:rPr>
          <w:noProof/>
          <w:shd w:val="clear" w:color="auto" w:fill="FFFFFF"/>
        </w:rPr>
        <w:t>With regard to instant credit transfers</w:t>
      </w:r>
      <w:r w:rsidR="00BC5A21" w:rsidRPr="00CB54DD">
        <w:rPr>
          <w:noProof/>
          <w:shd w:val="clear" w:color="auto" w:fill="FFFFFF"/>
        </w:rPr>
        <w:t>,</w:t>
      </w:r>
      <w:r w:rsidR="007E57A1" w:rsidRPr="00CB54DD">
        <w:rPr>
          <w:noProof/>
          <w:shd w:val="clear" w:color="auto" w:fill="FFFFFF"/>
        </w:rPr>
        <w:t xml:space="preserve"> </w:t>
      </w:r>
      <w:r w:rsidR="00D06084">
        <w:rPr>
          <w:noProof/>
          <w:shd w:val="clear" w:color="auto" w:fill="FFFFFF"/>
        </w:rPr>
        <w:t>a</w:t>
      </w:r>
      <w:r w:rsidR="005D62C0" w:rsidRPr="00CB54DD">
        <w:rPr>
          <w:noProof/>
          <w:shd w:val="clear" w:color="auto" w:fill="FFFFFF"/>
        </w:rPr>
        <w:t xml:space="preserve"> </w:t>
      </w:r>
      <w:r w:rsidR="007E57A1" w:rsidRPr="00CB54DD">
        <w:rPr>
          <w:noProof/>
          <w:shd w:val="clear" w:color="auto" w:fill="FFFFFF"/>
        </w:rPr>
        <w:t>p</w:t>
      </w:r>
      <w:r w:rsidR="00A90A5E" w:rsidRPr="00CB54DD">
        <w:rPr>
          <w:noProof/>
          <w:shd w:val="clear" w:color="auto" w:fill="FFFFFF"/>
        </w:rPr>
        <w:t xml:space="preserve">ayer’s PSP shall verify whether the payment account identifier and </w:t>
      </w:r>
      <w:r w:rsidR="007E57A1" w:rsidRPr="00CB54DD">
        <w:rPr>
          <w:noProof/>
          <w:shd w:val="clear" w:color="auto" w:fill="FFFFFF"/>
        </w:rPr>
        <w:t xml:space="preserve">the </w:t>
      </w:r>
      <w:r w:rsidR="00A90A5E" w:rsidRPr="00CB54DD">
        <w:rPr>
          <w:noProof/>
          <w:shd w:val="clear" w:color="auto" w:fill="FFFFFF"/>
        </w:rPr>
        <w:t>name of the payee provided by the payer match</w:t>
      </w:r>
      <w:r w:rsidR="008B1647">
        <w:rPr>
          <w:noProof/>
          <w:shd w:val="clear" w:color="auto" w:fill="FFFFFF"/>
        </w:rPr>
        <w:t>.</w:t>
      </w:r>
      <w:r w:rsidR="00A90A5E" w:rsidRPr="00CB54DD">
        <w:rPr>
          <w:noProof/>
          <w:shd w:val="clear" w:color="auto" w:fill="FFFFFF"/>
        </w:rPr>
        <w:t xml:space="preserve"> </w:t>
      </w:r>
      <w:r w:rsidR="008B1647">
        <w:rPr>
          <w:noProof/>
          <w:shd w:val="clear" w:color="auto" w:fill="FFFFFF"/>
        </w:rPr>
        <w:t>W</w:t>
      </w:r>
      <w:r w:rsidR="005D62C0" w:rsidRPr="00CB54DD">
        <w:rPr>
          <w:noProof/>
          <w:shd w:val="clear" w:color="auto" w:fill="FFFFFF"/>
        </w:rPr>
        <w:t>here they do</w:t>
      </w:r>
      <w:r w:rsidR="00770506" w:rsidRPr="00CB54DD">
        <w:rPr>
          <w:noProof/>
          <w:shd w:val="clear" w:color="auto" w:fill="FFFFFF"/>
        </w:rPr>
        <w:t xml:space="preserve"> </w:t>
      </w:r>
      <w:r w:rsidR="005D62C0" w:rsidRPr="00CB54DD">
        <w:rPr>
          <w:noProof/>
          <w:shd w:val="clear" w:color="auto" w:fill="FFFFFF"/>
        </w:rPr>
        <w:t>n</w:t>
      </w:r>
      <w:r w:rsidR="00770506" w:rsidRPr="00CB54DD">
        <w:rPr>
          <w:noProof/>
          <w:shd w:val="clear" w:color="auto" w:fill="FFFFFF"/>
        </w:rPr>
        <w:t>o</w:t>
      </w:r>
      <w:r w:rsidR="005D62C0" w:rsidRPr="00CB54DD">
        <w:rPr>
          <w:noProof/>
          <w:shd w:val="clear" w:color="auto" w:fill="FFFFFF"/>
        </w:rPr>
        <w:t>t match,</w:t>
      </w:r>
      <w:r w:rsidR="00A90A5E" w:rsidRPr="00CB54DD">
        <w:rPr>
          <w:noProof/>
          <w:shd w:val="clear" w:color="auto" w:fill="FFFFFF"/>
        </w:rPr>
        <w:t xml:space="preserve"> </w:t>
      </w:r>
      <w:r w:rsidR="008B1647">
        <w:rPr>
          <w:noProof/>
          <w:shd w:val="clear" w:color="auto" w:fill="FFFFFF"/>
        </w:rPr>
        <w:t xml:space="preserve">that PSP </w:t>
      </w:r>
      <w:r w:rsidR="00A90A5E" w:rsidRPr="00CB54DD">
        <w:rPr>
          <w:noProof/>
          <w:shd w:val="clear" w:color="auto" w:fill="FFFFFF"/>
        </w:rPr>
        <w:t>shall notify the payer of any discrepancies detected and the degree of any such discrepancy.</w:t>
      </w:r>
    </w:p>
    <w:p w:rsidR="00A90A5E" w:rsidRPr="00CB54DD" w:rsidRDefault="00A90A5E" w:rsidP="00F4220A">
      <w:pPr>
        <w:pStyle w:val="Text1"/>
        <w:rPr>
          <w:noProof/>
          <w:shd w:val="clear" w:color="auto" w:fill="FFFFFF"/>
        </w:rPr>
      </w:pPr>
      <w:r w:rsidRPr="00CB54DD">
        <w:rPr>
          <w:noProof/>
          <w:shd w:val="clear" w:color="auto" w:fill="FFFFFF"/>
        </w:rPr>
        <w:t xml:space="preserve">PSPs shall </w:t>
      </w:r>
      <w:r w:rsidR="00770506" w:rsidRPr="00CB54DD">
        <w:rPr>
          <w:noProof/>
          <w:shd w:val="clear" w:color="auto" w:fill="FFFFFF"/>
        </w:rPr>
        <w:t xml:space="preserve">provide </w:t>
      </w:r>
      <w:r w:rsidR="005C7C4D">
        <w:rPr>
          <w:noProof/>
          <w:shd w:val="clear" w:color="auto" w:fill="FFFFFF"/>
        </w:rPr>
        <w:t>that</w:t>
      </w:r>
      <w:r w:rsidR="00770506" w:rsidRPr="00CB54DD">
        <w:rPr>
          <w:noProof/>
          <w:shd w:val="clear" w:color="auto" w:fill="FFFFFF"/>
        </w:rPr>
        <w:t xml:space="preserve"> </w:t>
      </w:r>
      <w:r w:rsidR="001747E9" w:rsidRPr="00CB54DD">
        <w:rPr>
          <w:noProof/>
          <w:shd w:val="clear" w:color="auto" w:fill="FFFFFF"/>
        </w:rPr>
        <w:t xml:space="preserve">service </w:t>
      </w:r>
      <w:r w:rsidRPr="00CB54DD">
        <w:rPr>
          <w:noProof/>
          <w:shd w:val="clear" w:color="auto" w:fill="FFFFFF"/>
        </w:rPr>
        <w:t>immediately after the payer provide</w:t>
      </w:r>
      <w:r w:rsidR="005D62C0" w:rsidRPr="00CB54DD">
        <w:rPr>
          <w:noProof/>
          <w:shd w:val="clear" w:color="auto" w:fill="FFFFFF"/>
        </w:rPr>
        <w:t>d</w:t>
      </w:r>
      <w:r w:rsidRPr="00CB54DD">
        <w:rPr>
          <w:noProof/>
          <w:shd w:val="clear" w:color="auto" w:fill="FFFFFF"/>
        </w:rPr>
        <w:t xml:space="preserve"> to </w:t>
      </w:r>
      <w:r w:rsidR="0087689C" w:rsidRPr="00CB54DD">
        <w:rPr>
          <w:noProof/>
          <w:shd w:val="clear" w:color="auto" w:fill="FFFFFF"/>
        </w:rPr>
        <w:t>its PSP</w:t>
      </w:r>
      <w:r w:rsidRPr="00CB54DD">
        <w:rPr>
          <w:noProof/>
          <w:shd w:val="clear" w:color="auto" w:fill="FFFFFF"/>
        </w:rPr>
        <w:t xml:space="preserve"> the payment account identifier of the payee and the name of the payee, and before the payer </w:t>
      </w:r>
      <w:r w:rsidR="005D62C0" w:rsidRPr="00CB54DD">
        <w:rPr>
          <w:noProof/>
          <w:shd w:val="clear" w:color="auto" w:fill="FFFFFF"/>
        </w:rPr>
        <w:t xml:space="preserve">is offered the possibility to </w:t>
      </w:r>
      <w:r w:rsidRPr="00CB54DD">
        <w:rPr>
          <w:noProof/>
          <w:shd w:val="clear" w:color="auto" w:fill="FFFFFF"/>
        </w:rPr>
        <w:t xml:space="preserve">authorise the </w:t>
      </w:r>
      <w:r w:rsidR="00D06084">
        <w:rPr>
          <w:noProof/>
          <w:shd w:val="clear" w:color="auto" w:fill="FFFFFF"/>
        </w:rPr>
        <w:t>instant credit transfer</w:t>
      </w:r>
      <w:r w:rsidRPr="00CB54DD">
        <w:rPr>
          <w:noProof/>
          <w:shd w:val="clear" w:color="auto" w:fill="FFFFFF"/>
        </w:rPr>
        <w:t>.</w:t>
      </w:r>
    </w:p>
    <w:p w:rsidR="00000B00" w:rsidRPr="00CB54DD" w:rsidRDefault="00F4220A" w:rsidP="00F4220A">
      <w:pPr>
        <w:pStyle w:val="Text1"/>
        <w:rPr>
          <w:noProof/>
          <w:shd w:val="clear" w:color="auto" w:fill="FFFFFF"/>
        </w:rPr>
      </w:pPr>
      <w:r w:rsidRPr="00CB54DD">
        <w:rPr>
          <w:noProof/>
          <w:shd w:val="clear" w:color="auto" w:fill="FFFFFF"/>
        </w:rPr>
        <w:t xml:space="preserve">2. </w:t>
      </w:r>
      <w:r w:rsidR="008A5D6C" w:rsidRPr="00CB54DD">
        <w:rPr>
          <w:noProof/>
          <w:shd w:val="clear" w:color="auto" w:fill="FFFFFF"/>
        </w:rPr>
        <w:t xml:space="preserve">PSPs shall ensure that </w:t>
      </w:r>
      <w:r w:rsidR="003E45F9" w:rsidRPr="00CB54DD">
        <w:rPr>
          <w:noProof/>
          <w:shd w:val="clear" w:color="auto" w:fill="FFFFFF"/>
        </w:rPr>
        <w:t xml:space="preserve">the </w:t>
      </w:r>
      <w:r w:rsidR="00D06084">
        <w:rPr>
          <w:noProof/>
          <w:shd w:val="clear" w:color="auto" w:fill="FFFFFF"/>
        </w:rPr>
        <w:t xml:space="preserve">detection and notification of </w:t>
      </w:r>
      <w:r w:rsidR="003E45F9" w:rsidRPr="00CB54DD">
        <w:rPr>
          <w:noProof/>
          <w:shd w:val="clear" w:color="auto" w:fill="FFFFFF"/>
        </w:rPr>
        <w:t xml:space="preserve">a discrepancy </w:t>
      </w:r>
      <w:r w:rsidR="00D06084">
        <w:rPr>
          <w:noProof/>
          <w:shd w:val="clear" w:color="auto" w:fill="FFFFFF"/>
        </w:rPr>
        <w:t>as referred to in paragraph 1</w:t>
      </w:r>
      <w:r w:rsidR="003E45F9" w:rsidRPr="00CB54DD">
        <w:rPr>
          <w:noProof/>
          <w:shd w:val="clear" w:color="auto" w:fill="FFFFFF"/>
        </w:rPr>
        <w:t xml:space="preserve"> does not prevent payers from </w:t>
      </w:r>
      <w:r w:rsidR="00000B00" w:rsidRPr="00CB54DD">
        <w:rPr>
          <w:noProof/>
          <w:shd w:val="clear" w:color="auto" w:fill="FFFFFF"/>
        </w:rPr>
        <w:t>authoris</w:t>
      </w:r>
      <w:r w:rsidR="003E45F9" w:rsidRPr="00CB54DD">
        <w:rPr>
          <w:noProof/>
          <w:shd w:val="clear" w:color="auto" w:fill="FFFFFF"/>
        </w:rPr>
        <w:t>ing</w:t>
      </w:r>
      <w:r w:rsidR="00000B00" w:rsidRPr="00CB54DD">
        <w:rPr>
          <w:noProof/>
          <w:shd w:val="clear" w:color="auto" w:fill="FFFFFF"/>
        </w:rPr>
        <w:t xml:space="preserve"> </w:t>
      </w:r>
      <w:r w:rsidR="003E45F9" w:rsidRPr="00CB54DD">
        <w:rPr>
          <w:noProof/>
          <w:shd w:val="clear" w:color="auto" w:fill="FFFFFF"/>
        </w:rPr>
        <w:t xml:space="preserve">the </w:t>
      </w:r>
      <w:r w:rsidR="00000B00" w:rsidRPr="00CB54DD">
        <w:rPr>
          <w:noProof/>
          <w:shd w:val="clear" w:color="auto" w:fill="FFFFFF"/>
        </w:rPr>
        <w:t>instant credit transfer</w:t>
      </w:r>
      <w:r w:rsidR="00050DE1">
        <w:rPr>
          <w:noProof/>
          <w:shd w:val="clear" w:color="auto" w:fill="FFFFFF"/>
        </w:rPr>
        <w:t xml:space="preserve"> concerned</w:t>
      </w:r>
      <w:r w:rsidR="003E45F9" w:rsidRPr="00CB54DD">
        <w:rPr>
          <w:noProof/>
          <w:shd w:val="clear" w:color="auto" w:fill="FFFFFF"/>
        </w:rPr>
        <w:t>.</w:t>
      </w:r>
    </w:p>
    <w:p w:rsidR="00642888" w:rsidRDefault="00F4220A" w:rsidP="00F4220A">
      <w:pPr>
        <w:pStyle w:val="Text1"/>
        <w:rPr>
          <w:noProof/>
          <w:shd w:val="clear" w:color="auto" w:fill="FFFFFF"/>
        </w:rPr>
      </w:pPr>
      <w:r w:rsidRPr="00CB54DD">
        <w:rPr>
          <w:noProof/>
          <w:shd w:val="clear" w:color="auto" w:fill="FFFFFF"/>
        </w:rPr>
        <w:t xml:space="preserve">3. </w:t>
      </w:r>
      <w:r w:rsidR="008A5D6C" w:rsidRPr="00CB54DD">
        <w:rPr>
          <w:noProof/>
          <w:shd w:val="clear" w:color="auto" w:fill="FFFFFF"/>
        </w:rPr>
        <w:t xml:space="preserve">PSPs shall ensure that </w:t>
      </w:r>
      <w:r w:rsidR="006D3540" w:rsidRPr="00CB54DD">
        <w:rPr>
          <w:noProof/>
          <w:shd w:val="clear" w:color="auto" w:fill="FFFFFF"/>
        </w:rPr>
        <w:t xml:space="preserve">PSUs </w:t>
      </w:r>
      <w:r w:rsidR="00B03C7D" w:rsidRPr="00CB54DD">
        <w:rPr>
          <w:noProof/>
          <w:shd w:val="clear" w:color="auto" w:fill="FFFFFF"/>
        </w:rPr>
        <w:t xml:space="preserve">have </w:t>
      </w:r>
      <w:r w:rsidR="003E45F9" w:rsidRPr="00CB54DD">
        <w:rPr>
          <w:noProof/>
          <w:shd w:val="clear" w:color="auto" w:fill="FFFFFF"/>
        </w:rPr>
        <w:t xml:space="preserve">the </w:t>
      </w:r>
      <w:r w:rsidR="00EF5CA2" w:rsidRPr="00CB54DD">
        <w:rPr>
          <w:noProof/>
          <w:shd w:val="clear" w:color="auto" w:fill="FFFFFF"/>
        </w:rPr>
        <w:t>right</w:t>
      </w:r>
      <w:r w:rsidR="00B03C7D" w:rsidRPr="00CB54DD">
        <w:rPr>
          <w:noProof/>
          <w:shd w:val="clear" w:color="auto" w:fill="FFFFFF"/>
        </w:rPr>
        <w:t xml:space="preserve"> to </w:t>
      </w:r>
      <w:r w:rsidR="006D3540" w:rsidRPr="00CB54DD">
        <w:rPr>
          <w:noProof/>
          <w:shd w:val="clear" w:color="auto" w:fill="FFFFFF"/>
        </w:rPr>
        <w:t>opt out from receiving the service referred to in paragraph 1</w:t>
      </w:r>
      <w:r w:rsidR="00EF5CA2" w:rsidRPr="00CB54DD">
        <w:rPr>
          <w:noProof/>
          <w:shd w:val="clear" w:color="auto" w:fill="FFFFFF"/>
        </w:rPr>
        <w:t xml:space="preserve"> and shall </w:t>
      </w:r>
      <w:r w:rsidR="006D3540" w:rsidRPr="00CB54DD">
        <w:rPr>
          <w:noProof/>
          <w:shd w:val="clear" w:color="auto" w:fill="FFFFFF"/>
        </w:rPr>
        <w:t xml:space="preserve">inform their PSUs of the means </w:t>
      </w:r>
      <w:r w:rsidR="00EF5CA2" w:rsidRPr="00CB54DD">
        <w:rPr>
          <w:noProof/>
          <w:shd w:val="clear" w:color="auto" w:fill="FFFFFF"/>
        </w:rPr>
        <w:t xml:space="preserve">to express such opt-out right. </w:t>
      </w:r>
    </w:p>
    <w:p w:rsidR="006D3540" w:rsidRPr="00CB54DD" w:rsidRDefault="00642888" w:rsidP="00F4220A">
      <w:pPr>
        <w:pStyle w:val="Text1"/>
        <w:rPr>
          <w:noProof/>
          <w:shd w:val="clear" w:color="auto" w:fill="FFFFFF"/>
        </w:rPr>
      </w:pPr>
      <w:r>
        <w:rPr>
          <w:noProof/>
          <w:shd w:val="clear" w:color="auto" w:fill="FFFFFF"/>
        </w:rPr>
        <w:t>PSPs shall also ensure that PSUs that opted out from receiving the service referred to in paragraph 1, have the right to opt in to receive that service.</w:t>
      </w:r>
    </w:p>
    <w:p w:rsidR="00BC5A21" w:rsidRPr="00CB54DD" w:rsidRDefault="00F4220A" w:rsidP="00F4220A">
      <w:pPr>
        <w:pStyle w:val="Text1"/>
        <w:rPr>
          <w:noProof/>
          <w:shd w:val="clear" w:color="auto" w:fill="FFFFFF"/>
        </w:rPr>
      </w:pPr>
      <w:r w:rsidRPr="00CB54DD">
        <w:rPr>
          <w:noProof/>
          <w:shd w:val="clear" w:color="auto" w:fill="FFFFFF"/>
        </w:rPr>
        <w:t xml:space="preserve">4. </w:t>
      </w:r>
      <w:r w:rsidR="00213947" w:rsidRPr="00CB54DD">
        <w:rPr>
          <w:noProof/>
          <w:shd w:val="clear" w:color="auto" w:fill="FFFFFF"/>
        </w:rPr>
        <w:t xml:space="preserve">PSPs shall </w:t>
      </w:r>
      <w:r w:rsidR="00BC5A21" w:rsidRPr="00CB54DD">
        <w:rPr>
          <w:noProof/>
          <w:shd w:val="clear" w:color="auto" w:fill="FFFFFF"/>
        </w:rPr>
        <w:t>inform t</w:t>
      </w:r>
      <w:r w:rsidR="00000B00" w:rsidRPr="00CB54DD">
        <w:rPr>
          <w:noProof/>
          <w:shd w:val="clear" w:color="auto" w:fill="FFFFFF"/>
        </w:rPr>
        <w:t xml:space="preserve">heir PSUs </w:t>
      </w:r>
      <w:r w:rsidR="006D3540" w:rsidRPr="00CB54DD">
        <w:rPr>
          <w:noProof/>
          <w:shd w:val="clear" w:color="auto" w:fill="FFFFFF"/>
        </w:rPr>
        <w:t xml:space="preserve">that </w:t>
      </w:r>
      <w:r w:rsidR="005D62C0" w:rsidRPr="00CB54DD">
        <w:rPr>
          <w:noProof/>
          <w:shd w:val="clear" w:color="auto" w:fill="FFFFFF"/>
        </w:rPr>
        <w:t>authoris</w:t>
      </w:r>
      <w:r w:rsidR="006D3540" w:rsidRPr="00CB54DD">
        <w:rPr>
          <w:noProof/>
          <w:shd w:val="clear" w:color="auto" w:fill="FFFFFF"/>
        </w:rPr>
        <w:t>ing</w:t>
      </w:r>
      <w:r w:rsidR="005D62C0" w:rsidRPr="00CB54DD">
        <w:rPr>
          <w:noProof/>
          <w:shd w:val="clear" w:color="auto" w:fill="FFFFFF"/>
        </w:rPr>
        <w:t xml:space="preserve"> </w:t>
      </w:r>
      <w:r w:rsidR="00000B00" w:rsidRPr="00CB54DD">
        <w:rPr>
          <w:noProof/>
          <w:shd w:val="clear" w:color="auto" w:fill="FFFFFF"/>
        </w:rPr>
        <w:t xml:space="preserve">a </w:t>
      </w:r>
      <w:r w:rsidR="00213947" w:rsidRPr="00CB54DD">
        <w:rPr>
          <w:noProof/>
          <w:shd w:val="clear" w:color="auto" w:fill="FFFFFF"/>
        </w:rPr>
        <w:t>transaction despite a detected and notified discrepancy</w:t>
      </w:r>
      <w:r w:rsidR="006D3540" w:rsidRPr="00CB54DD">
        <w:rPr>
          <w:noProof/>
          <w:shd w:val="clear" w:color="auto" w:fill="FFFFFF"/>
        </w:rPr>
        <w:t xml:space="preserve"> or opting out from receiving the </w:t>
      </w:r>
      <w:r w:rsidR="00C269BD" w:rsidRPr="00CB54DD">
        <w:rPr>
          <w:noProof/>
          <w:shd w:val="clear" w:color="auto" w:fill="FFFFFF"/>
        </w:rPr>
        <w:t>service referred to in paragraph</w:t>
      </w:r>
      <w:r w:rsidR="00050DE1">
        <w:rPr>
          <w:noProof/>
          <w:shd w:val="clear" w:color="auto" w:fill="FFFFFF"/>
        </w:rPr>
        <w:t> </w:t>
      </w:r>
      <w:r w:rsidR="00C269BD" w:rsidRPr="00CB54DD">
        <w:rPr>
          <w:noProof/>
          <w:shd w:val="clear" w:color="auto" w:fill="FFFFFF"/>
        </w:rPr>
        <w:t>1</w:t>
      </w:r>
      <w:r w:rsidR="006D3540" w:rsidRPr="00CB54DD">
        <w:rPr>
          <w:noProof/>
          <w:shd w:val="clear" w:color="auto" w:fill="FFFFFF"/>
        </w:rPr>
        <w:t xml:space="preserve"> may lead to transferring the funds to a payment account not held by the payee indicated by the payer.</w:t>
      </w:r>
      <w:r w:rsidR="002D2825" w:rsidRPr="00CB54DD">
        <w:rPr>
          <w:noProof/>
          <w:shd w:val="clear" w:color="auto" w:fill="FFFFFF"/>
        </w:rPr>
        <w:t xml:space="preserve"> PSPs shall provide th</w:t>
      </w:r>
      <w:r w:rsidR="00050DE1">
        <w:rPr>
          <w:noProof/>
          <w:shd w:val="clear" w:color="auto" w:fill="FFFFFF"/>
        </w:rPr>
        <w:t>at</w:t>
      </w:r>
      <w:r w:rsidR="002D2825" w:rsidRPr="00CB54DD">
        <w:rPr>
          <w:noProof/>
          <w:shd w:val="clear" w:color="auto" w:fill="FFFFFF"/>
        </w:rPr>
        <w:t xml:space="preserve"> information at the same time as the notification of discrepancies referred </w:t>
      </w:r>
      <w:r w:rsidR="00B272A2" w:rsidRPr="00CB54DD">
        <w:rPr>
          <w:noProof/>
          <w:shd w:val="clear" w:color="auto" w:fill="FFFFFF"/>
        </w:rPr>
        <w:t xml:space="preserve">to </w:t>
      </w:r>
      <w:r w:rsidR="002D2825" w:rsidRPr="00CB54DD">
        <w:rPr>
          <w:noProof/>
          <w:shd w:val="clear" w:color="auto" w:fill="FFFFFF"/>
        </w:rPr>
        <w:t>in paragraph 1</w:t>
      </w:r>
      <w:r w:rsidR="000E2633" w:rsidRPr="00CB54DD">
        <w:rPr>
          <w:noProof/>
          <w:shd w:val="clear" w:color="auto" w:fill="FFFFFF"/>
        </w:rPr>
        <w:t xml:space="preserve"> or when PSU opts out from receiving the service</w:t>
      </w:r>
      <w:r w:rsidR="00050DE1">
        <w:rPr>
          <w:noProof/>
          <w:shd w:val="clear" w:color="auto" w:fill="FFFFFF"/>
        </w:rPr>
        <w:t xml:space="preserve"> referred to in that paragraph</w:t>
      </w:r>
      <w:r w:rsidR="000E2633" w:rsidRPr="00CB54DD">
        <w:rPr>
          <w:noProof/>
          <w:shd w:val="clear" w:color="auto" w:fill="FFFFFF"/>
        </w:rPr>
        <w:t>.</w:t>
      </w:r>
    </w:p>
    <w:p w:rsidR="00213947" w:rsidRPr="00CB54DD" w:rsidRDefault="00F4220A" w:rsidP="00F4220A">
      <w:pPr>
        <w:pStyle w:val="Text1"/>
        <w:rPr>
          <w:noProof/>
          <w:shd w:val="clear" w:color="auto" w:fill="FFFFFF"/>
        </w:rPr>
      </w:pPr>
      <w:r w:rsidRPr="00CB54DD">
        <w:rPr>
          <w:noProof/>
          <w:shd w:val="clear" w:color="auto" w:fill="FFFFFF"/>
        </w:rPr>
        <w:t xml:space="preserve">5. </w:t>
      </w:r>
      <w:r w:rsidR="00213947" w:rsidRPr="00CB54DD">
        <w:rPr>
          <w:noProof/>
          <w:shd w:val="clear" w:color="auto" w:fill="FFFFFF"/>
        </w:rPr>
        <w:t xml:space="preserve">The </w:t>
      </w:r>
      <w:r w:rsidR="00C269BD" w:rsidRPr="00CB54DD">
        <w:rPr>
          <w:noProof/>
          <w:shd w:val="clear" w:color="auto" w:fill="FFFFFF"/>
        </w:rPr>
        <w:t xml:space="preserve">service </w:t>
      </w:r>
      <w:r w:rsidR="00213947" w:rsidRPr="00CB54DD">
        <w:rPr>
          <w:noProof/>
          <w:shd w:val="clear" w:color="auto" w:fill="FFFFFF"/>
        </w:rPr>
        <w:t>referred to in paragraph 1 shall be provided to the payer regardless of the PSU interface used by the payer to place a payment order for an instant credit transfer.</w:t>
      </w:r>
    </w:p>
    <w:p w:rsidR="005B512A" w:rsidRPr="00CB54DD" w:rsidRDefault="00F4220A" w:rsidP="00F4220A">
      <w:pPr>
        <w:pStyle w:val="Text1"/>
        <w:rPr>
          <w:noProof/>
          <w:shd w:val="clear" w:color="auto" w:fill="FFFFFF"/>
        </w:rPr>
      </w:pPr>
      <w:r w:rsidRPr="00CB54DD">
        <w:rPr>
          <w:noProof/>
          <w:shd w:val="clear" w:color="auto" w:fill="FFFFFF"/>
        </w:rPr>
        <w:t xml:space="preserve">6. </w:t>
      </w:r>
      <w:r w:rsidR="005B512A" w:rsidRPr="00CB54DD">
        <w:rPr>
          <w:noProof/>
          <w:shd w:val="clear" w:color="auto" w:fill="FFFFFF"/>
        </w:rPr>
        <w:t xml:space="preserve">PSPs located in a Member State </w:t>
      </w:r>
      <w:r w:rsidR="008B1647">
        <w:rPr>
          <w:noProof/>
          <w:shd w:val="clear" w:color="auto" w:fill="FFFFFF"/>
        </w:rPr>
        <w:t>whose currency is</w:t>
      </w:r>
      <w:r w:rsidR="005B512A" w:rsidRPr="00CB54DD">
        <w:rPr>
          <w:noProof/>
          <w:shd w:val="clear" w:color="auto" w:fill="FFFFFF"/>
        </w:rPr>
        <w:t xml:space="preserve"> the euro shall comply with </w:t>
      </w:r>
      <w:r w:rsidR="00201BAE">
        <w:rPr>
          <w:noProof/>
          <w:shd w:val="clear" w:color="auto" w:fill="FFFFFF"/>
        </w:rPr>
        <w:t>this Article</w:t>
      </w:r>
      <w:r w:rsidR="005B512A" w:rsidRPr="00CB54DD">
        <w:rPr>
          <w:noProof/>
          <w:shd w:val="clear" w:color="auto" w:fill="FFFFFF"/>
        </w:rPr>
        <w:t xml:space="preserve"> by </w:t>
      </w:r>
      <w:r w:rsidR="00F102F3">
        <w:rPr>
          <w:noProof/>
          <w:shd w:val="clear" w:color="auto" w:fill="FFFFFF"/>
        </w:rPr>
        <w:t>…</w:t>
      </w:r>
      <w:r w:rsidR="005B512A" w:rsidRPr="00CB54DD">
        <w:rPr>
          <w:noProof/>
          <w:shd w:val="clear" w:color="auto" w:fill="FFFFFF"/>
        </w:rPr>
        <w:t>[</w:t>
      </w:r>
      <w:r w:rsidR="00F102F3" w:rsidRPr="00F102F3">
        <w:rPr>
          <w:noProof/>
          <w:shd w:val="clear" w:color="auto" w:fill="FFFFFF"/>
        </w:rPr>
        <w:t xml:space="preserve"> </w:t>
      </w:r>
      <w:r w:rsidR="00F102F3">
        <w:rPr>
          <w:noProof/>
          <w:shd w:val="clear" w:color="auto" w:fill="FFFFFF"/>
        </w:rPr>
        <w:t xml:space="preserve">PO please insert the </w:t>
      </w:r>
      <w:r w:rsidR="005B512A" w:rsidRPr="00CB54DD">
        <w:rPr>
          <w:noProof/>
          <w:shd w:val="clear" w:color="auto" w:fill="FFFFFF"/>
        </w:rPr>
        <w:t>date</w:t>
      </w:r>
      <w:r w:rsidR="00C9650D" w:rsidRPr="00CB54DD">
        <w:rPr>
          <w:noProof/>
          <w:shd w:val="clear" w:color="auto" w:fill="FFFFFF"/>
        </w:rPr>
        <w:t xml:space="preserve"> </w:t>
      </w:r>
      <w:r w:rsidR="005B512A" w:rsidRPr="00CB54DD">
        <w:rPr>
          <w:noProof/>
          <w:shd w:val="clear" w:color="auto" w:fill="FFFFFF"/>
        </w:rPr>
        <w:t>= 12 months after</w:t>
      </w:r>
      <w:r w:rsidR="00F102F3">
        <w:rPr>
          <w:noProof/>
          <w:shd w:val="clear" w:color="auto" w:fill="FFFFFF"/>
        </w:rPr>
        <w:t xml:space="preserve"> the date of</w:t>
      </w:r>
      <w:r w:rsidR="005B512A" w:rsidRPr="00CB54DD">
        <w:rPr>
          <w:noProof/>
          <w:shd w:val="clear" w:color="auto" w:fill="FFFFFF"/>
        </w:rPr>
        <w:t xml:space="preserve"> entry into force of this Regulation].</w:t>
      </w:r>
    </w:p>
    <w:p w:rsidR="005B512A" w:rsidRPr="00CB54DD" w:rsidRDefault="005B512A" w:rsidP="00F4220A">
      <w:pPr>
        <w:pStyle w:val="Text1"/>
        <w:rPr>
          <w:noProof/>
          <w:shd w:val="clear" w:color="auto" w:fill="FFFFFF"/>
        </w:rPr>
      </w:pPr>
      <w:r w:rsidRPr="00CB54DD">
        <w:rPr>
          <w:noProof/>
          <w:shd w:val="clear" w:color="auto" w:fill="FFFFFF"/>
        </w:rPr>
        <w:t xml:space="preserve">PSPs located in a Member State </w:t>
      </w:r>
      <w:r w:rsidR="00324C04">
        <w:rPr>
          <w:noProof/>
          <w:shd w:val="clear" w:color="auto" w:fill="FFFFFF"/>
        </w:rPr>
        <w:t>whose currency is</w:t>
      </w:r>
      <w:r w:rsidR="003E2B19">
        <w:rPr>
          <w:noProof/>
          <w:shd w:val="clear" w:color="auto" w:fill="FFFFFF"/>
        </w:rPr>
        <w:t xml:space="preserve"> not</w:t>
      </w:r>
      <w:r w:rsidRPr="00CB54DD">
        <w:rPr>
          <w:noProof/>
          <w:shd w:val="clear" w:color="auto" w:fill="FFFFFF"/>
        </w:rPr>
        <w:t xml:space="preserve"> the euro shall comply with </w:t>
      </w:r>
      <w:r w:rsidR="00201BAE">
        <w:rPr>
          <w:noProof/>
          <w:shd w:val="clear" w:color="auto" w:fill="FFFFFF"/>
        </w:rPr>
        <w:t>this Article</w:t>
      </w:r>
      <w:r w:rsidRPr="00CB54DD">
        <w:rPr>
          <w:noProof/>
          <w:shd w:val="clear" w:color="auto" w:fill="FFFFFF"/>
        </w:rPr>
        <w:t xml:space="preserve"> by </w:t>
      </w:r>
      <w:r w:rsidR="00560CE1">
        <w:rPr>
          <w:noProof/>
          <w:shd w:val="clear" w:color="auto" w:fill="FFFFFF"/>
        </w:rPr>
        <w:t>…</w:t>
      </w:r>
      <w:r w:rsidRPr="00CB54DD">
        <w:rPr>
          <w:noProof/>
          <w:shd w:val="clear" w:color="auto" w:fill="FFFFFF"/>
        </w:rPr>
        <w:t>[</w:t>
      </w:r>
      <w:r w:rsidR="00560CE1" w:rsidRPr="00560CE1">
        <w:rPr>
          <w:noProof/>
          <w:shd w:val="clear" w:color="auto" w:fill="FFFFFF"/>
        </w:rPr>
        <w:t xml:space="preserve"> </w:t>
      </w:r>
      <w:r w:rsidR="00560CE1">
        <w:rPr>
          <w:noProof/>
          <w:shd w:val="clear" w:color="auto" w:fill="FFFFFF"/>
        </w:rPr>
        <w:t xml:space="preserve">PO please insert the </w:t>
      </w:r>
      <w:r w:rsidRPr="00CB54DD">
        <w:rPr>
          <w:noProof/>
          <w:shd w:val="clear" w:color="auto" w:fill="FFFFFF"/>
        </w:rPr>
        <w:t>date</w:t>
      </w:r>
      <w:r w:rsidR="00C9650D" w:rsidRPr="00CB54DD">
        <w:rPr>
          <w:noProof/>
          <w:shd w:val="clear" w:color="auto" w:fill="FFFFFF"/>
        </w:rPr>
        <w:t xml:space="preserve"> </w:t>
      </w:r>
      <w:r w:rsidRPr="00CB54DD">
        <w:rPr>
          <w:noProof/>
          <w:shd w:val="clear" w:color="auto" w:fill="FFFFFF"/>
        </w:rPr>
        <w:t xml:space="preserve">= 36 months </w:t>
      </w:r>
      <w:r w:rsidR="00560CE1">
        <w:rPr>
          <w:noProof/>
          <w:shd w:val="clear" w:color="auto" w:fill="FFFFFF"/>
        </w:rPr>
        <w:t xml:space="preserve">after the date of </w:t>
      </w:r>
      <w:r w:rsidRPr="00CB54DD">
        <w:rPr>
          <w:noProof/>
          <w:shd w:val="clear" w:color="auto" w:fill="FFFFFF"/>
        </w:rPr>
        <w:t>entry into force of this Regulation].</w:t>
      </w:r>
    </w:p>
    <w:p w:rsidR="00213947" w:rsidRPr="00CB54DD" w:rsidRDefault="00213947" w:rsidP="00315E38">
      <w:pPr>
        <w:pStyle w:val="CommentText"/>
        <w:spacing w:before="360"/>
        <w:ind w:left="567"/>
        <w:jc w:val="center"/>
        <w:rPr>
          <w:i/>
          <w:noProof/>
          <w:sz w:val="24"/>
          <w:szCs w:val="24"/>
          <w:shd w:val="clear" w:color="auto" w:fill="FFFFFF"/>
          <w:lang w:val="en-GB"/>
        </w:rPr>
      </w:pPr>
      <w:r w:rsidRPr="00CB54DD">
        <w:rPr>
          <w:i/>
          <w:noProof/>
          <w:sz w:val="24"/>
          <w:szCs w:val="24"/>
          <w:shd w:val="clear" w:color="auto" w:fill="FFFFFF"/>
          <w:lang w:val="en-GB"/>
        </w:rPr>
        <w:t>Article 5d</w:t>
      </w:r>
    </w:p>
    <w:p w:rsidR="00213947" w:rsidRPr="00CB54DD" w:rsidRDefault="00213947" w:rsidP="00CB54DD">
      <w:pPr>
        <w:pStyle w:val="CommentText"/>
        <w:ind w:left="851"/>
        <w:jc w:val="center"/>
        <w:rPr>
          <w:b/>
          <w:bCs/>
          <w:noProof/>
          <w:sz w:val="24"/>
          <w:szCs w:val="24"/>
          <w:shd w:val="clear" w:color="auto" w:fill="FFFFFF"/>
          <w:lang w:val="en-GB"/>
        </w:rPr>
      </w:pPr>
      <w:r w:rsidRPr="00CB54DD">
        <w:rPr>
          <w:b/>
          <w:bCs/>
          <w:noProof/>
          <w:sz w:val="24"/>
          <w:szCs w:val="24"/>
          <w:shd w:val="clear" w:color="auto" w:fill="FFFFFF"/>
          <w:lang w:val="en-GB"/>
        </w:rPr>
        <w:t>Screening of PSUs with regard to U</w:t>
      </w:r>
      <w:r w:rsidR="00C15D71">
        <w:rPr>
          <w:b/>
          <w:bCs/>
          <w:noProof/>
          <w:sz w:val="24"/>
          <w:szCs w:val="24"/>
          <w:shd w:val="clear" w:color="auto" w:fill="FFFFFF"/>
          <w:lang w:val="en-GB"/>
        </w:rPr>
        <w:t>nion</w:t>
      </w:r>
      <w:r w:rsidRPr="00CB54DD">
        <w:rPr>
          <w:b/>
          <w:bCs/>
          <w:noProof/>
          <w:sz w:val="24"/>
          <w:szCs w:val="24"/>
          <w:shd w:val="clear" w:color="auto" w:fill="FFFFFF"/>
          <w:lang w:val="en-GB"/>
        </w:rPr>
        <w:t xml:space="preserve"> </w:t>
      </w:r>
      <w:r w:rsidR="0077646F" w:rsidRPr="00CB54DD">
        <w:rPr>
          <w:b/>
          <w:bCs/>
          <w:noProof/>
          <w:sz w:val="24"/>
          <w:szCs w:val="24"/>
          <w:shd w:val="clear" w:color="auto" w:fill="FFFFFF"/>
          <w:lang w:val="en-GB"/>
        </w:rPr>
        <w:t>sanctions</w:t>
      </w:r>
      <w:r w:rsidR="00232AAE" w:rsidRPr="00CB54DD">
        <w:rPr>
          <w:b/>
          <w:bCs/>
          <w:noProof/>
          <w:sz w:val="24"/>
          <w:szCs w:val="24"/>
          <w:shd w:val="clear" w:color="auto" w:fill="FFFFFF"/>
          <w:lang w:val="en-GB"/>
        </w:rPr>
        <w:t xml:space="preserve"> </w:t>
      </w:r>
      <w:r w:rsidR="00232AAE" w:rsidRPr="002D7679">
        <w:rPr>
          <w:b/>
          <w:bCs/>
          <w:noProof/>
          <w:sz w:val="24"/>
          <w:szCs w:val="24"/>
          <w:shd w:val="clear" w:color="auto" w:fill="FFFFFF"/>
          <w:lang w:val="en-GB"/>
        </w:rPr>
        <w:t>in case of</w:t>
      </w:r>
      <w:r w:rsidR="00232AAE" w:rsidRPr="00CB54DD">
        <w:rPr>
          <w:b/>
          <w:bCs/>
          <w:noProof/>
          <w:szCs w:val="24"/>
          <w:shd w:val="clear" w:color="auto" w:fill="FFFFFF"/>
          <w:lang w:val="en-GB"/>
        </w:rPr>
        <w:t xml:space="preserve"> </w:t>
      </w:r>
      <w:r w:rsidR="00232AAE" w:rsidRPr="00CB54DD">
        <w:rPr>
          <w:b/>
          <w:noProof/>
          <w:sz w:val="24"/>
          <w:szCs w:val="24"/>
          <w:shd w:val="clear" w:color="auto" w:fill="FFFFFF"/>
          <w:lang w:val="en-GB"/>
        </w:rPr>
        <w:t>instant credit transfers</w:t>
      </w:r>
    </w:p>
    <w:p w:rsidR="00213947" w:rsidRPr="00CB54DD" w:rsidRDefault="00C25601" w:rsidP="00C25601">
      <w:pPr>
        <w:pStyle w:val="Text1"/>
        <w:rPr>
          <w:noProof/>
          <w:shd w:val="clear" w:color="auto" w:fill="FFFFFF"/>
        </w:rPr>
      </w:pPr>
      <w:r w:rsidRPr="00CB54DD">
        <w:rPr>
          <w:noProof/>
          <w:shd w:val="clear" w:color="auto" w:fill="FFFFFF"/>
        </w:rPr>
        <w:t xml:space="preserve">1. </w:t>
      </w:r>
      <w:r w:rsidR="00213947" w:rsidRPr="00CB54DD">
        <w:rPr>
          <w:noProof/>
          <w:shd w:val="clear" w:color="auto" w:fill="FFFFFF"/>
        </w:rPr>
        <w:t>PSPs executing instant credit transfers</w:t>
      </w:r>
      <w:r w:rsidR="00232AAE" w:rsidRPr="00CB54DD">
        <w:rPr>
          <w:noProof/>
          <w:shd w:val="clear" w:color="auto" w:fill="FFFFFF"/>
        </w:rPr>
        <w:t xml:space="preserve"> </w:t>
      </w:r>
      <w:r w:rsidR="00213947" w:rsidRPr="00CB54DD">
        <w:rPr>
          <w:noProof/>
          <w:shd w:val="clear" w:color="auto" w:fill="FFFFFF"/>
        </w:rPr>
        <w:t xml:space="preserve">shall verify whether any of their PSUs are </w:t>
      </w:r>
      <w:r w:rsidR="00425BE7" w:rsidRPr="00CB54DD">
        <w:rPr>
          <w:noProof/>
          <w:shd w:val="clear" w:color="auto" w:fill="FFFFFF"/>
        </w:rPr>
        <w:t>listed persons or entities</w:t>
      </w:r>
      <w:r w:rsidR="00213947" w:rsidRPr="00CB54DD">
        <w:rPr>
          <w:noProof/>
          <w:shd w:val="clear" w:color="auto" w:fill="FFFFFF"/>
        </w:rPr>
        <w:t>.</w:t>
      </w:r>
    </w:p>
    <w:p w:rsidR="00213947" w:rsidRPr="00CB54DD" w:rsidRDefault="00213947" w:rsidP="00C25601">
      <w:pPr>
        <w:pStyle w:val="Text1"/>
        <w:rPr>
          <w:noProof/>
          <w:shd w:val="clear" w:color="auto" w:fill="FFFFFF"/>
        </w:rPr>
      </w:pPr>
      <w:r w:rsidRPr="00CB54DD">
        <w:rPr>
          <w:noProof/>
          <w:shd w:val="clear" w:color="auto" w:fill="FFFFFF"/>
        </w:rPr>
        <w:t xml:space="preserve">PSPs shall carry out such verifications immediately after the entry into force of any new or amended </w:t>
      </w:r>
      <w:r w:rsidR="00324C04" w:rsidRPr="00324C04">
        <w:rPr>
          <w:noProof/>
          <w:shd w:val="clear" w:color="auto" w:fill="FFFFFF"/>
        </w:rPr>
        <w:t>restrictive measures adopted in accordance with Article 215 TFEU</w:t>
      </w:r>
      <w:r w:rsidR="009370F8">
        <w:rPr>
          <w:noProof/>
          <w:shd w:val="clear" w:color="auto" w:fill="FFFFFF"/>
        </w:rPr>
        <w:t xml:space="preserve"> </w:t>
      </w:r>
      <w:r w:rsidR="009370F8">
        <w:rPr>
          <w:noProof/>
        </w:rPr>
        <w:t xml:space="preserve">providing for asset freeze or prohibition of making funds or economic resources available </w:t>
      </w:r>
      <w:r w:rsidRPr="00CB54DD">
        <w:rPr>
          <w:noProof/>
          <w:shd w:val="clear" w:color="auto" w:fill="FFFFFF"/>
        </w:rPr>
        <w:t>, and at least once every calendar day.</w:t>
      </w:r>
    </w:p>
    <w:p w:rsidR="00213947" w:rsidRPr="00CB54DD" w:rsidRDefault="00C25601" w:rsidP="00C25601">
      <w:pPr>
        <w:pStyle w:val="Text1"/>
        <w:rPr>
          <w:noProof/>
          <w:shd w:val="clear" w:color="auto" w:fill="FFFFFF"/>
        </w:rPr>
      </w:pPr>
      <w:r w:rsidRPr="00CB54DD">
        <w:rPr>
          <w:noProof/>
          <w:shd w:val="clear" w:color="auto" w:fill="FFFFFF"/>
        </w:rPr>
        <w:t xml:space="preserve">2. </w:t>
      </w:r>
      <w:r w:rsidR="00213947" w:rsidRPr="00CB54DD">
        <w:rPr>
          <w:noProof/>
          <w:shd w:val="clear" w:color="auto" w:fill="FFFFFF"/>
        </w:rPr>
        <w:t>During the execution of an instant credit transfer,</w:t>
      </w:r>
      <w:r w:rsidR="00232AAE" w:rsidRPr="00CB54DD">
        <w:rPr>
          <w:noProof/>
          <w:shd w:val="clear" w:color="auto" w:fill="FFFFFF"/>
        </w:rPr>
        <w:t xml:space="preserve"> </w:t>
      </w:r>
      <w:r w:rsidR="00213947" w:rsidRPr="00CB54DD">
        <w:rPr>
          <w:noProof/>
          <w:shd w:val="clear" w:color="auto" w:fill="FFFFFF"/>
        </w:rPr>
        <w:t xml:space="preserve">the payer’s PSP and the payee’s PSP involved in the execution of such transfer shall not </w:t>
      </w:r>
      <w:r w:rsidR="00BB7628" w:rsidRPr="00CB54DD">
        <w:rPr>
          <w:noProof/>
          <w:shd w:val="clear" w:color="auto" w:fill="FFFFFF"/>
        </w:rPr>
        <w:t>verify</w:t>
      </w:r>
      <w:r w:rsidR="00213947" w:rsidRPr="00CB54DD">
        <w:rPr>
          <w:noProof/>
          <w:shd w:val="clear" w:color="auto" w:fill="FFFFFF"/>
        </w:rPr>
        <w:t xml:space="preserve"> </w:t>
      </w:r>
      <w:r w:rsidR="00756581" w:rsidRPr="00CB54DD">
        <w:rPr>
          <w:noProof/>
          <w:shd w:val="clear" w:color="auto" w:fill="FFFFFF"/>
        </w:rPr>
        <w:t xml:space="preserve">whether </w:t>
      </w:r>
      <w:r w:rsidR="00F10636" w:rsidRPr="00CB54DD">
        <w:rPr>
          <w:noProof/>
          <w:shd w:val="clear" w:color="auto" w:fill="FFFFFF"/>
        </w:rPr>
        <w:t xml:space="preserve">the payer or the payee whose payment accounts are used for the execution of that instant credit transfer </w:t>
      </w:r>
      <w:r w:rsidR="00756581" w:rsidRPr="00CB54DD">
        <w:rPr>
          <w:noProof/>
          <w:shd w:val="clear" w:color="auto" w:fill="FFFFFF"/>
        </w:rPr>
        <w:t xml:space="preserve">are listed persons or entities </w:t>
      </w:r>
      <w:r w:rsidR="00213947" w:rsidRPr="00CB54DD">
        <w:rPr>
          <w:noProof/>
          <w:shd w:val="clear" w:color="auto" w:fill="FFFFFF"/>
        </w:rPr>
        <w:t xml:space="preserve">in addition to </w:t>
      </w:r>
      <w:r w:rsidR="00BB7628" w:rsidRPr="00CB54DD">
        <w:rPr>
          <w:noProof/>
          <w:shd w:val="clear" w:color="auto" w:fill="FFFFFF"/>
        </w:rPr>
        <w:t xml:space="preserve">carrying out verifications </w:t>
      </w:r>
      <w:r w:rsidR="00213947" w:rsidRPr="00CB54DD">
        <w:rPr>
          <w:noProof/>
          <w:shd w:val="clear" w:color="auto" w:fill="FFFFFF"/>
        </w:rPr>
        <w:t>under paragraph 1</w:t>
      </w:r>
      <w:r w:rsidR="00F10636" w:rsidRPr="00CB54DD">
        <w:rPr>
          <w:noProof/>
          <w:shd w:val="clear" w:color="auto" w:fill="FFFFFF"/>
        </w:rPr>
        <w:t>.</w:t>
      </w:r>
    </w:p>
    <w:p w:rsidR="002500FF" w:rsidRPr="00CB54DD" w:rsidRDefault="00C25601" w:rsidP="00C25601">
      <w:pPr>
        <w:pStyle w:val="Text1"/>
        <w:rPr>
          <w:noProof/>
          <w:shd w:val="clear" w:color="auto" w:fill="FFFFFF"/>
        </w:rPr>
      </w:pPr>
      <w:r w:rsidRPr="00CB54DD">
        <w:rPr>
          <w:noProof/>
          <w:shd w:val="clear" w:color="auto" w:fill="FFFFFF"/>
        </w:rPr>
        <w:t xml:space="preserve">3. </w:t>
      </w:r>
      <w:r w:rsidR="00232AAE" w:rsidRPr="00CB54DD">
        <w:rPr>
          <w:noProof/>
          <w:shd w:val="clear" w:color="auto" w:fill="FFFFFF"/>
        </w:rPr>
        <w:t>A</w:t>
      </w:r>
      <w:r w:rsidR="00213947" w:rsidRPr="00CB54DD">
        <w:rPr>
          <w:noProof/>
          <w:shd w:val="clear" w:color="auto" w:fill="FFFFFF"/>
        </w:rPr>
        <w:t xml:space="preserve"> PSP </w:t>
      </w:r>
      <w:r w:rsidR="00232AAE" w:rsidRPr="00CB54DD">
        <w:rPr>
          <w:noProof/>
          <w:shd w:val="clear" w:color="auto" w:fill="FFFFFF"/>
        </w:rPr>
        <w:t xml:space="preserve">that has </w:t>
      </w:r>
      <w:r w:rsidR="00213947" w:rsidRPr="00CB54DD">
        <w:rPr>
          <w:noProof/>
          <w:shd w:val="clear" w:color="auto" w:fill="FFFFFF"/>
        </w:rPr>
        <w:t>fail</w:t>
      </w:r>
      <w:r w:rsidR="00232AAE" w:rsidRPr="00CB54DD">
        <w:rPr>
          <w:noProof/>
          <w:shd w:val="clear" w:color="auto" w:fill="FFFFFF"/>
        </w:rPr>
        <w:t>ed</w:t>
      </w:r>
      <w:r w:rsidR="00213947" w:rsidRPr="00CB54DD">
        <w:rPr>
          <w:noProof/>
          <w:shd w:val="clear" w:color="auto" w:fill="FFFFFF"/>
        </w:rPr>
        <w:t xml:space="preserve"> to carry out </w:t>
      </w:r>
      <w:r w:rsidR="00232AAE" w:rsidRPr="00CB54DD">
        <w:rPr>
          <w:noProof/>
          <w:shd w:val="clear" w:color="auto" w:fill="FFFFFF"/>
        </w:rPr>
        <w:t xml:space="preserve">the </w:t>
      </w:r>
      <w:r w:rsidR="00213947" w:rsidRPr="00CB54DD">
        <w:rPr>
          <w:noProof/>
          <w:shd w:val="clear" w:color="auto" w:fill="FFFFFF"/>
        </w:rPr>
        <w:t xml:space="preserve">verifications </w:t>
      </w:r>
      <w:r w:rsidR="00232AAE" w:rsidRPr="00CB54DD">
        <w:rPr>
          <w:noProof/>
          <w:shd w:val="clear" w:color="auto" w:fill="FFFFFF"/>
        </w:rPr>
        <w:t xml:space="preserve">referred to </w:t>
      </w:r>
      <w:r w:rsidR="00213947" w:rsidRPr="00CB54DD">
        <w:rPr>
          <w:noProof/>
          <w:shd w:val="clear" w:color="auto" w:fill="FFFFFF"/>
        </w:rPr>
        <w:t xml:space="preserve">in paragraph 1 and executes an instant credit transfer </w:t>
      </w:r>
      <w:r w:rsidR="00BC5A21" w:rsidRPr="00CB54DD">
        <w:rPr>
          <w:noProof/>
          <w:shd w:val="clear" w:color="auto" w:fill="FFFFFF"/>
        </w:rPr>
        <w:t>causing</w:t>
      </w:r>
      <w:r w:rsidR="00213947" w:rsidRPr="00CB54DD">
        <w:rPr>
          <w:noProof/>
          <w:shd w:val="clear" w:color="auto" w:fill="FFFFFF"/>
        </w:rPr>
        <w:t xml:space="preserve"> another PSP involved in the execution of that instant credit transaction </w:t>
      </w:r>
      <w:r w:rsidR="00BC5A21" w:rsidRPr="00CB54DD">
        <w:rPr>
          <w:noProof/>
          <w:shd w:val="clear" w:color="auto" w:fill="FFFFFF"/>
        </w:rPr>
        <w:t xml:space="preserve">to </w:t>
      </w:r>
      <w:r w:rsidR="00213947" w:rsidRPr="00CB54DD">
        <w:rPr>
          <w:noProof/>
          <w:shd w:val="clear" w:color="auto" w:fill="FFFFFF"/>
        </w:rPr>
        <w:t xml:space="preserve">fail to </w:t>
      </w:r>
      <w:r w:rsidR="00F93977" w:rsidRPr="00CB54DD">
        <w:rPr>
          <w:noProof/>
          <w:shd w:val="clear" w:color="auto" w:fill="FFFFFF"/>
        </w:rPr>
        <w:t xml:space="preserve">freeze </w:t>
      </w:r>
      <w:r w:rsidR="00512E07">
        <w:rPr>
          <w:noProof/>
          <w:shd w:val="clear" w:color="auto" w:fill="FFFFFF"/>
        </w:rPr>
        <w:t>assets</w:t>
      </w:r>
      <w:r w:rsidR="00F93977" w:rsidRPr="00CB54DD">
        <w:rPr>
          <w:noProof/>
          <w:shd w:val="clear" w:color="auto" w:fill="FFFFFF"/>
        </w:rPr>
        <w:t xml:space="preserve"> of listed persons or entities, or </w:t>
      </w:r>
      <w:r w:rsidR="00876200" w:rsidRPr="00CB54DD">
        <w:rPr>
          <w:noProof/>
          <w:shd w:val="clear" w:color="auto" w:fill="FFFFFF"/>
        </w:rPr>
        <w:t xml:space="preserve">to </w:t>
      </w:r>
      <w:r w:rsidR="00F93977" w:rsidRPr="00CB54DD">
        <w:rPr>
          <w:noProof/>
          <w:shd w:val="clear" w:color="auto" w:fill="FFFFFF"/>
        </w:rPr>
        <w:t>make funds or economic resources available to such persons</w:t>
      </w:r>
      <w:r w:rsidR="00512E07">
        <w:rPr>
          <w:noProof/>
          <w:shd w:val="clear" w:color="auto" w:fill="FFFFFF"/>
        </w:rPr>
        <w:t xml:space="preserve"> or entities</w:t>
      </w:r>
      <w:r w:rsidR="00F93977" w:rsidRPr="00CB54DD">
        <w:rPr>
          <w:noProof/>
          <w:shd w:val="clear" w:color="auto" w:fill="FFFFFF"/>
        </w:rPr>
        <w:t>,</w:t>
      </w:r>
      <w:r w:rsidR="00213947" w:rsidRPr="00CB54DD">
        <w:rPr>
          <w:noProof/>
          <w:shd w:val="clear" w:color="auto" w:fill="FFFFFF"/>
        </w:rPr>
        <w:t xml:space="preserve"> shall </w:t>
      </w:r>
      <w:r w:rsidR="00C269BD" w:rsidRPr="00CB54DD">
        <w:rPr>
          <w:noProof/>
          <w:shd w:val="clear" w:color="auto" w:fill="FFFFFF"/>
        </w:rPr>
        <w:t>compensate</w:t>
      </w:r>
      <w:r w:rsidR="00213947" w:rsidRPr="00CB54DD">
        <w:rPr>
          <w:noProof/>
          <w:shd w:val="clear" w:color="auto" w:fill="FFFFFF"/>
        </w:rPr>
        <w:t xml:space="preserve"> the financial damage caused to the </w:t>
      </w:r>
      <w:r w:rsidR="00606BD4" w:rsidRPr="00CB54DD">
        <w:rPr>
          <w:noProof/>
          <w:shd w:val="clear" w:color="auto" w:fill="FFFFFF"/>
        </w:rPr>
        <w:t>other</w:t>
      </w:r>
      <w:r w:rsidR="00213947" w:rsidRPr="00CB54DD">
        <w:rPr>
          <w:noProof/>
          <w:shd w:val="clear" w:color="auto" w:fill="FFFFFF"/>
        </w:rPr>
        <w:t xml:space="preserve"> PSP resulting from </w:t>
      </w:r>
      <w:r w:rsidR="00606BD4" w:rsidRPr="00CB54DD">
        <w:rPr>
          <w:noProof/>
          <w:shd w:val="clear" w:color="auto" w:fill="FFFFFF"/>
        </w:rPr>
        <w:t>penalties imposed on that other PSP under</w:t>
      </w:r>
      <w:r w:rsidR="00213947" w:rsidRPr="00CB54DD">
        <w:rPr>
          <w:noProof/>
          <w:shd w:val="clear" w:color="auto" w:fill="FFFFFF"/>
        </w:rPr>
        <w:t xml:space="preserve"> </w:t>
      </w:r>
      <w:r w:rsidR="005750EC" w:rsidRPr="005750EC">
        <w:rPr>
          <w:noProof/>
          <w:shd w:val="clear" w:color="auto" w:fill="FFFFFF"/>
        </w:rPr>
        <w:t>restrictive measures adopted in accordance with Article 215 TFEU</w:t>
      </w:r>
      <w:r w:rsidR="00967963">
        <w:rPr>
          <w:noProof/>
          <w:shd w:val="clear" w:color="auto" w:fill="FFFFFF"/>
        </w:rPr>
        <w:t xml:space="preserve"> </w:t>
      </w:r>
      <w:r w:rsidR="00967963">
        <w:rPr>
          <w:noProof/>
        </w:rPr>
        <w:t>providing for asset freeze or prohibition of making funds or economic resources available</w:t>
      </w:r>
      <w:r w:rsidR="00967963" w:rsidRPr="00CB54DD" w:rsidDel="005750EC">
        <w:rPr>
          <w:noProof/>
          <w:shd w:val="clear" w:color="auto" w:fill="FFFFFF"/>
        </w:rPr>
        <w:t xml:space="preserve"> </w:t>
      </w:r>
      <w:r w:rsidR="00213947" w:rsidRPr="00CB54DD">
        <w:rPr>
          <w:noProof/>
          <w:shd w:val="clear" w:color="auto" w:fill="FFFFFF"/>
        </w:rPr>
        <w:t>.</w:t>
      </w:r>
      <w:r w:rsidR="002500FF" w:rsidRPr="00CB54DD">
        <w:rPr>
          <w:noProof/>
          <w:shd w:val="clear" w:color="auto" w:fill="FFFFFF"/>
        </w:rPr>
        <w:t xml:space="preserve"> </w:t>
      </w:r>
    </w:p>
    <w:p w:rsidR="008F1BA1" w:rsidRDefault="00C25601" w:rsidP="00C25601">
      <w:pPr>
        <w:pStyle w:val="Text1"/>
        <w:rPr>
          <w:noProof/>
          <w:shd w:val="clear" w:color="auto" w:fill="FFFFFF"/>
        </w:rPr>
      </w:pPr>
      <w:r w:rsidRPr="00CB54DD">
        <w:rPr>
          <w:noProof/>
          <w:shd w:val="clear" w:color="auto" w:fill="FFFFFF"/>
        </w:rPr>
        <w:t xml:space="preserve">4. </w:t>
      </w:r>
      <w:r w:rsidR="008F1BA1" w:rsidRPr="00CB54DD">
        <w:rPr>
          <w:noProof/>
          <w:shd w:val="clear" w:color="auto" w:fill="FFFFFF"/>
        </w:rPr>
        <w:t xml:space="preserve">PSPs shall comply with this Article by </w:t>
      </w:r>
      <w:r w:rsidR="00C15D71">
        <w:rPr>
          <w:noProof/>
          <w:shd w:val="clear" w:color="auto" w:fill="FFFFFF"/>
        </w:rPr>
        <w:t>…</w:t>
      </w:r>
      <w:r w:rsidR="008F1BA1" w:rsidRPr="00CB54DD">
        <w:rPr>
          <w:noProof/>
          <w:shd w:val="clear" w:color="auto" w:fill="FFFFFF"/>
        </w:rPr>
        <w:t>[</w:t>
      </w:r>
      <w:r w:rsidR="00C15D71" w:rsidRPr="00C15D71">
        <w:rPr>
          <w:noProof/>
        </w:rPr>
        <w:t xml:space="preserve"> </w:t>
      </w:r>
      <w:r w:rsidR="00C15D71" w:rsidRPr="00C15D71">
        <w:rPr>
          <w:noProof/>
          <w:shd w:val="clear" w:color="auto" w:fill="FFFFFF"/>
        </w:rPr>
        <w:t xml:space="preserve">PO please insert the </w:t>
      </w:r>
      <w:r w:rsidR="008F1BA1" w:rsidRPr="00CB54DD">
        <w:rPr>
          <w:noProof/>
          <w:shd w:val="clear" w:color="auto" w:fill="FFFFFF"/>
        </w:rPr>
        <w:t>date</w:t>
      </w:r>
      <w:r w:rsidR="00001B5A" w:rsidRPr="00CB54DD">
        <w:rPr>
          <w:noProof/>
          <w:shd w:val="clear" w:color="auto" w:fill="FFFFFF"/>
        </w:rPr>
        <w:t xml:space="preserve"> </w:t>
      </w:r>
      <w:r w:rsidR="008F1BA1" w:rsidRPr="00CB54DD">
        <w:rPr>
          <w:noProof/>
          <w:shd w:val="clear" w:color="auto" w:fill="FFFFFF"/>
        </w:rPr>
        <w:t xml:space="preserve">= 6 months after </w:t>
      </w:r>
      <w:r w:rsidR="00C15D71">
        <w:rPr>
          <w:noProof/>
          <w:shd w:val="clear" w:color="auto" w:fill="FFFFFF"/>
        </w:rPr>
        <w:t xml:space="preserve">the date of </w:t>
      </w:r>
      <w:r w:rsidR="008F1BA1" w:rsidRPr="00CB54DD">
        <w:rPr>
          <w:noProof/>
          <w:shd w:val="clear" w:color="auto" w:fill="FFFFFF"/>
        </w:rPr>
        <w:t xml:space="preserve">entry </w:t>
      </w:r>
      <w:r w:rsidR="00CB54DD">
        <w:rPr>
          <w:noProof/>
          <w:shd w:val="clear" w:color="auto" w:fill="FFFFFF"/>
        </w:rPr>
        <w:t>into force of this Regulation].</w:t>
      </w:r>
      <w:r w:rsidR="008577C8">
        <w:rPr>
          <w:noProof/>
          <w:shd w:val="clear" w:color="auto" w:fill="FFFFFF"/>
        </w:rPr>
        <w:t>’</w:t>
      </w:r>
    </w:p>
    <w:p w:rsidR="00AB6F8C" w:rsidRPr="00CB54DD" w:rsidRDefault="00AB6F8C" w:rsidP="00C25601">
      <w:pPr>
        <w:pStyle w:val="Text1"/>
        <w:rPr>
          <w:noProof/>
          <w:shd w:val="clear" w:color="auto" w:fill="FFFFFF"/>
        </w:rPr>
      </w:pPr>
    </w:p>
    <w:p w:rsidR="00213947" w:rsidRPr="00CB54DD" w:rsidRDefault="00933F69" w:rsidP="00933F69">
      <w:pPr>
        <w:pStyle w:val="Point0"/>
        <w:rPr>
          <w:noProof/>
          <w:shd w:val="clear" w:color="auto" w:fill="FFFFFF"/>
        </w:rPr>
      </w:pPr>
      <w:r w:rsidRPr="00933F69">
        <w:t>(3)</w:t>
      </w:r>
      <w:r w:rsidRPr="00933F69">
        <w:tab/>
      </w:r>
      <w:r w:rsidR="00CB54DD">
        <w:rPr>
          <w:noProof/>
          <w:shd w:val="clear" w:color="auto" w:fill="FFFFFF"/>
        </w:rPr>
        <w:t>i</w:t>
      </w:r>
      <w:r w:rsidR="00530C16" w:rsidRPr="00CB54DD">
        <w:rPr>
          <w:noProof/>
          <w:shd w:val="clear" w:color="auto" w:fill="FFFFFF"/>
        </w:rPr>
        <w:t xml:space="preserve">n </w:t>
      </w:r>
      <w:r w:rsidR="00213947" w:rsidRPr="00CB54DD">
        <w:rPr>
          <w:noProof/>
          <w:shd w:val="clear" w:color="auto" w:fill="FFFFFF"/>
        </w:rPr>
        <w:t>Article 11</w:t>
      </w:r>
      <w:r w:rsidR="00530C16" w:rsidRPr="00CB54DD">
        <w:rPr>
          <w:noProof/>
          <w:shd w:val="clear" w:color="auto" w:fill="FFFFFF"/>
        </w:rPr>
        <w:t>,</w:t>
      </w:r>
      <w:r w:rsidR="00213947" w:rsidRPr="00CB54DD">
        <w:rPr>
          <w:noProof/>
          <w:shd w:val="clear" w:color="auto" w:fill="FFFFFF"/>
        </w:rPr>
        <w:t xml:space="preserve"> the following</w:t>
      </w:r>
      <w:r w:rsidR="00530C16" w:rsidRPr="00CB54DD">
        <w:rPr>
          <w:noProof/>
          <w:shd w:val="clear" w:color="auto" w:fill="FFFFFF"/>
        </w:rPr>
        <w:t xml:space="preserve"> paragraphs 1a and 1b are inserted</w:t>
      </w:r>
      <w:r w:rsidR="00213947" w:rsidRPr="00CB54DD">
        <w:rPr>
          <w:noProof/>
          <w:shd w:val="clear" w:color="auto" w:fill="FFFFFF"/>
        </w:rPr>
        <w:t>:</w:t>
      </w:r>
    </w:p>
    <w:p w:rsidR="00650673" w:rsidRPr="00CB54DD" w:rsidRDefault="00530C16" w:rsidP="005358DE">
      <w:pPr>
        <w:pStyle w:val="Text1"/>
        <w:rPr>
          <w:noProof/>
          <w:shd w:val="clear" w:color="auto" w:fill="FFFFFF"/>
        </w:rPr>
      </w:pPr>
      <w:r w:rsidRPr="00CB54DD">
        <w:rPr>
          <w:noProof/>
          <w:shd w:val="clear" w:color="auto" w:fill="FFFFFF"/>
        </w:rPr>
        <w:t xml:space="preserve">‘1a. </w:t>
      </w:r>
      <w:r w:rsidR="00E60821" w:rsidRPr="00CB54DD">
        <w:rPr>
          <w:noProof/>
          <w:shd w:val="clear" w:color="auto" w:fill="FFFFFF"/>
        </w:rPr>
        <w:t xml:space="preserve">By way of derogation from </w:t>
      </w:r>
      <w:r w:rsidR="00C15D71">
        <w:rPr>
          <w:noProof/>
          <w:shd w:val="clear" w:color="auto" w:fill="FFFFFF"/>
        </w:rPr>
        <w:t>p</w:t>
      </w:r>
      <w:r w:rsidR="00E60821" w:rsidRPr="00CB54DD">
        <w:rPr>
          <w:noProof/>
          <w:shd w:val="clear" w:color="auto" w:fill="FFFFFF"/>
        </w:rPr>
        <w:t xml:space="preserve">aragraph 1, </w:t>
      </w:r>
      <w:r w:rsidR="00213947" w:rsidRPr="00CB54DD">
        <w:rPr>
          <w:noProof/>
          <w:shd w:val="clear" w:color="auto" w:fill="FFFFFF"/>
        </w:rPr>
        <w:t>Member States shall</w:t>
      </w:r>
      <w:r w:rsidR="006F0E7F" w:rsidRPr="00CB54DD">
        <w:rPr>
          <w:noProof/>
          <w:shd w:val="clear" w:color="auto" w:fill="FFFFFF"/>
        </w:rPr>
        <w:t xml:space="preserve"> by </w:t>
      </w:r>
      <w:r w:rsidR="00C15D71">
        <w:rPr>
          <w:noProof/>
          <w:shd w:val="clear" w:color="auto" w:fill="FFFFFF"/>
        </w:rPr>
        <w:t xml:space="preserve">… </w:t>
      </w:r>
      <w:r w:rsidR="006F0E7F" w:rsidRPr="00CB54DD">
        <w:rPr>
          <w:noProof/>
          <w:shd w:val="clear" w:color="auto" w:fill="FFFFFF"/>
        </w:rPr>
        <w:t>[</w:t>
      </w:r>
      <w:r w:rsidR="00C15D71">
        <w:rPr>
          <w:noProof/>
          <w:shd w:val="clear" w:color="auto" w:fill="FFFFFF"/>
        </w:rPr>
        <w:t xml:space="preserve">PO please insert the </w:t>
      </w:r>
      <w:r w:rsidR="006D6C30" w:rsidRPr="00CB54DD">
        <w:rPr>
          <w:noProof/>
          <w:shd w:val="clear" w:color="auto" w:fill="FFFFFF"/>
        </w:rPr>
        <w:t xml:space="preserve">date = </w:t>
      </w:r>
      <w:r w:rsidR="006F0E7F" w:rsidRPr="00CB54DD">
        <w:rPr>
          <w:noProof/>
          <w:shd w:val="clear" w:color="auto" w:fill="FFFFFF"/>
        </w:rPr>
        <w:t xml:space="preserve">4 months </w:t>
      </w:r>
      <w:r w:rsidR="00C15D71">
        <w:rPr>
          <w:noProof/>
          <w:shd w:val="clear" w:color="auto" w:fill="FFFFFF"/>
        </w:rPr>
        <w:t>after the date of</w:t>
      </w:r>
      <w:r w:rsidR="006F0E7F" w:rsidRPr="00CB54DD">
        <w:rPr>
          <w:noProof/>
          <w:shd w:val="clear" w:color="auto" w:fill="FFFFFF"/>
        </w:rPr>
        <w:t xml:space="preserve"> entry into force of this Regulation] </w:t>
      </w:r>
      <w:r w:rsidR="00213947" w:rsidRPr="00CB54DD">
        <w:rPr>
          <w:noProof/>
          <w:shd w:val="clear" w:color="auto" w:fill="FFFFFF"/>
        </w:rPr>
        <w:t xml:space="preserve">lay down rules on the penalties applicable to infringements of </w:t>
      </w:r>
      <w:r w:rsidR="00650673" w:rsidRPr="00CB54DD">
        <w:rPr>
          <w:noProof/>
          <w:shd w:val="clear" w:color="auto" w:fill="FFFFFF"/>
        </w:rPr>
        <w:t>Articles 5a</w:t>
      </w:r>
      <w:r w:rsidR="00CB1DB2">
        <w:rPr>
          <w:noProof/>
          <w:shd w:val="clear" w:color="auto" w:fill="FFFFFF"/>
        </w:rPr>
        <w:t xml:space="preserve"> to</w:t>
      </w:r>
      <w:r w:rsidR="00650673" w:rsidRPr="00CB54DD">
        <w:rPr>
          <w:noProof/>
          <w:shd w:val="clear" w:color="auto" w:fill="FFFFFF"/>
        </w:rPr>
        <w:t xml:space="preserve"> 5d </w:t>
      </w:r>
      <w:r w:rsidR="00213947" w:rsidRPr="00CB54DD">
        <w:rPr>
          <w:noProof/>
          <w:shd w:val="clear" w:color="auto" w:fill="FFFFFF"/>
        </w:rPr>
        <w:t xml:space="preserve">and shall take all measures necessary to ensure that they are implemented. Such penalties shall be effective, proportionate and dissuasive. </w:t>
      </w:r>
    </w:p>
    <w:p w:rsidR="00213947" w:rsidRPr="00CB54DD" w:rsidRDefault="00650673" w:rsidP="005358DE">
      <w:pPr>
        <w:pStyle w:val="Text1"/>
        <w:rPr>
          <w:noProof/>
          <w:shd w:val="clear" w:color="auto" w:fill="FFFFFF"/>
        </w:rPr>
      </w:pPr>
      <w:r w:rsidRPr="00CB54DD">
        <w:rPr>
          <w:noProof/>
          <w:shd w:val="clear" w:color="auto" w:fill="FFFFFF"/>
        </w:rPr>
        <w:t xml:space="preserve">Member States shall notify the Commission of those rules and measures by </w:t>
      </w:r>
      <w:r w:rsidR="00CB1DB2">
        <w:rPr>
          <w:noProof/>
          <w:shd w:val="clear" w:color="auto" w:fill="FFFFFF"/>
        </w:rPr>
        <w:t>…</w:t>
      </w:r>
      <w:r w:rsidR="00AB6F8C">
        <w:rPr>
          <w:noProof/>
          <w:shd w:val="clear" w:color="auto" w:fill="FFFFFF"/>
        </w:rPr>
        <w:t xml:space="preserve"> </w:t>
      </w:r>
      <w:r w:rsidRPr="00CB54DD">
        <w:rPr>
          <w:noProof/>
          <w:shd w:val="clear" w:color="auto" w:fill="FFFFFF"/>
        </w:rPr>
        <w:t>[</w:t>
      </w:r>
      <w:r w:rsidR="00CB1DB2" w:rsidRPr="00CB1DB2">
        <w:rPr>
          <w:noProof/>
          <w:shd w:val="clear" w:color="auto" w:fill="FFFFFF"/>
        </w:rPr>
        <w:t xml:space="preserve"> </w:t>
      </w:r>
      <w:r w:rsidR="00CB1DB2">
        <w:rPr>
          <w:noProof/>
          <w:shd w:val="clear" w:color="auto" w:fill="FFFFFF"/>
        </w:rPr>
        <w:t xml:space="preserve">PO please insert the = </w:t>
      </w:r>
      <w:r w:rsidRPr="00CB54DD">
        <w:rPr>
          <w:noProof/>
          <w:shd w:val="clear" w:color="auto" w:fill="FFFFFF"/>
        </w:rPr>
        <w:t xml:space="preserve">8 months </w:t>
      </w:r>
      <w:r w:rsidR="00CB1DB2">
        <w:rPr>
          <w:noProof/>
          <w:shd w:val="clear" w:color="auto" w:fill="FFFFFF"/>
        </w:rPr>
        <w:t>after the date of</w:t>
      </w:r>
      <w:r w:rsidRPr="00CB54DD">
        <w:rPr>
          <w:noProof/>
          <w:shd w:val="clear" w:color="auto" w:fill="FFFFFF"/>
        </w:rPr>
        <w:t xml:space="preserve"> entry into force] and shall notify it without delay of any subsequent amendment affecting them.</w:t>
      </w:r>
    </w:p>
    <w:p w:rsidR="00213947" w:rsidRPr="00CB54DD" w:rsidRDefault="00530C16" w:rsidP="005358DE">
      <w:pPr>
        <w:pStyle w:val="Text1"/>
        <w:rPr>
          <w:noProof/>
          <w:shd w:val="clear" w:color="auto" w:fill="FFFFFF"/>
        </w:rPr>
      </w:pPr>
      <w:r w:rsidRPr="00CB54DD">
        <w:rPr>
          <w:noProof/>
          <w:shd w:val="clear" w:color="auto" w:fill="FFFFFF"/>
        </w:rPr>
        <w:t xml:space="preserve">1b. </w:t>
      </w:r>
      <w:r w:rsidR="00213947" w:rsidRPr="00CB54DD">
        <w:rPr>
          <w:noProof/>
          <w:shd w:val="clear" w:color="auto" w:fill="FFFFFF"/>
        </w:rPr>
        <w:t>With respect to penalties applicable to infringements of Article 5d, Member States shall ensure that such penalties include:</w:t>
      </w:r>
    </w:p>
    <w:p w:rsidR="00213947" w:rsidRPr="00CB54DD" w:rsidRDefault="00933F69" w:rsidP="00933F69">
      <w:pPr>
        <w:pStyle w:val="Point1"/>
        <w:rPr>
          <w:noProof/>
          <w:shd w:val="clear" w:color="auto" w:fill="FFFFFF"/>
        </w:rPr>
      </w:pPr>
      <w:r w:rsidRPr="00933F69">
        <w:t>(a)</w:t>
      </w:r>
      <w:r w:rsidRPr="00933F69">
        <w:tab/>
      </w:r>
      <w:r w:rsidR="00213947" w:rsidRPr="00CB54DD">
        <w:rPr>
          <w:noProof/>
          <w:shd w:val="clear" w:color="auto" w:fill="FFFFFF"/>
        </w:rPr>
        <w:t>in the case of a legal person, administrative fines of up to not less than 10 % of the total annual net turnover of that legal person in the preceding business year</w:t>
      </w:r>
      <w:r w:rsidR="00191779" w:rsidRPr="00CB54DD">
        <w:rPr>
          <w:noProof/>
          <w:shd w:val="clear" w:color="auto" w:fill="FFFFFF"/>
        </w:rPr>
        <w:t>;</w:t>
      </w:r>
      <w:r w:rsidR="00001B5A" w:rsidRPr="00CB54DD">
        <w:rPr>
          <w:noProof/>
          <w:shd w:val="clear" w:color="auto" w:fill="FFFFFF"/>
        </w:rPr>
        <w:t xml:space="preserve"> </w:t>
      </w:r>
    </w:p>
    <w:p w:rsidR="00B05D50" w:rsidRPr="00CB54DD" w:rsidRDefault="00933F69" w:rsidP="00933F69">
      <w:pPr>
        <w:pStyle w:val="Point1"/>
        <w:rPr>
          <w:noProof/>
          <w:shd w:val="clear" w:color="auto" w:fill="FFFFFF"/>
        </w:rPr>
      </w:pPr>
      <w:r w:rsidRPr="00933F69">
        <w:t>(b)</w:t>
      </w:r>
      <w:r w:rsidRPr="00933F69">
        <w:tab/>
      </w:r>
      <w:r w:rsidR="00213947" w:rsidRPr="00CB54DD">
        <w:rPr>
          <w:noProof/>
          <w:shd w:val="clear" w:color="auto" w:fill="FFFFFF"/>
        </w:rPr>
        <w:t>in the case of a natural person, administrative fines of up to not less than EUR</w:t>
      </w:r>
      <w:r w:rsidR="00191779" w:rsidRPr="00CB54DD">
        <w:rPr>
          <w:noProof/>
          <w:shd w:val="clear" w:color="auto" w:fill="FFFFFF"/>
        </w:rPr>
        <w:t> </w:t>
      </w:r>
      <w:r w:rsidR="00213947" w:rsidRPr="00CB54DD">
        <w:rPr>
          <w:noProof/>
          <w:shd w:val="clear" w:color="auto" w:fill="FFFFFF"/>
        </w:rPr>
        <w:t>5</w:t>
      </w:r>
      <w:r w:rsidR="00191779" w:rsidRPr="00CB54DD">
        <w:rPr>
          <w:noProof/>
          <w:shd w:val="clear" w:color="auto" w:fill="FFFFFF"/>
        </w:rPr>
        <w:t> </w:t>
      </w:r>
      <w:r w:rsidR="00213947" w:rsidRPr="00CB54DD">
        <w:rPr>
          <w:noProof/>
          <w:shd w:val="clear" w:color="auto" w:fill="FFFFFF"/>
        </w:rPr>
        <w:t>000</w:t>
      </w:r>
      <w:r w:rsidR="00191779" w:rsidRPr="00CB54DD">
        <w:rPr>
          <w:noProof/>
          <w:shd w:val="clear" w:color="auto" w:fill="FFFFFF"/>
        </w:rPr>
        <w:t> </w:t>
      </w:r>
      <w:r w:rsidR="00213947" w:rsidRPr="00CB54DD">
        <w:rPr>
          <w:noProof/>
          <w:shd w:val="clear" w:color="auto" w:fill="FFFFFF"/>
        </w:rPr>
        <w:t xml:space="preserve">000, or in the Member States </w:t>
      </w:r>
      <w:r w:rsidR="005A1AD3">
        <w:rPr>
          <w:noProof/>
          <w:shd w:val="clear" w:color="auto" w:fill="FFFFFF"/>
        </w:rPr>
        <w:t>whose currency is not</w:t>
      </w:r>
      <w:r w:rsidR="00213947" w:rsidRPr="00CB54DD">
        <w:rPr>
          <w:noProof/>
          <w:shd w:val="clear" w:color="auto" w:fill="FFFFFF"/>
        </w:rPr>
        <w:t xml:space="preserve"> the </w:t>
      </w:r>
      <w:r w:rsidR="00CB1DB2">
        <w:rPr>
          <w:noProof/>
          <w:shd w:val="clear" w:color="auto" w:fill="FFFFFF"/>
        </w:rPr>
        <w:t>e</w:t>
      </w:r>
      <w:r w:rsidR="00213947" w:rsidRPr="00CB54DD">
        <w:rPr>
          <w:noProof/>
          <w:shd w:val="clear" w:color="auto" w:fill="FFFFFF"/>
        </w:rPr>
        <w:t xml:space="preserve">uro, the corresponding value in the national currency on </w:t>
      </w:r>
      <w:r w:rsidR="00CB1DB2">
        <w:rPr>
          <w:noProof/>
          <w:shd w:val="clear" w:color="auto" w:fill="FFFFFF"/>
        </w:rPr>
        <w:t>…</w:t>
      </w:r>
      <w:r w:rsidR="00213947" w:rsidRPr="00CB54DD">
        <w:rPr>
          <w:noProof/>
          <w:shd w:val="clear" w:color="auto" w:fill="FFFFFF"/>
        </w:rPr>
        <w:t>[</w:t>
      </w:r>
      <w:r w:rsidR="00CB1DB2">
        <w:rPr>
          <w:noProof/>
          <w:shd w:val="clear" w:color="auto" w:fill="FFFFFF"/>
        </w:rPr>
        <w:t xml:space="preserve">PO please insert the </w:t>
      </w:r>
      <w:r w:rsidR="00213947" w:rsidRPr="00CB54DD">
        <w:rPr>
          <w:noProof/>
          <w:shd w:val="clear" w:color="auto" w:fill="FFFFFF"/>
        </w:rPr>
        <w:t>date of entry into force</w:t>
      </w:r>
      <w:r w:rsidR="00CB1DB2">
        <w:rPr>
          <w:noProof/>
          <w:shd w:val="clear" w:color="auto" w:fill="FFFFFF"/>
        </w:rPr>
        <w:t xml:space="preserve"> of this Regulation</w:t>
      </w:r>
      <w:r w:rsidR="00213947" w:rsidRPr="00CB54DD">
        <w:rPr>
          <w:noProof/>
          <w:shd w:val="clear" w:color="auto" w:fill="FFFFFF"/>
        </w:rPr>
        <w:t>]</w:t>
      </w:r>
      <w:r w:rsidR="00B05D50" w:rsidRPr="00CB54DD">
        <w:rPr>
          <w:noProof/>
          <w:shd w:val="clear" w:color="auto" w:fill="FFFFFF"/>
        </w:rPr>
        <w:t>.</w:t>
      </w:r>
    </w:p>
    <w:p w:rsidR="00213947" w:rsidRPr="00CB54DD" w:rsidRDefault="00B05D50" w:rsidP="005358DE">
      <w:pPr>
        <w:pStyle w:val="Text1"/>
        <w:rPr>
          <w:noProof/>
          <w:shd w:val="clear" w:color="auto" w:fill="FFFFFF"/>
        </w:rPr>
      </w:pPr>
      <w:r w:rsidRPr="00CB54DD">
        <w:rPr>
          <w:noProof/>
          <w:shd w:val="clear" w:color="auto" w:fill="FFFFFF"/>
        </w:rPr>
        <w:t xml:space="preserve">For the purposes of point (a), where the legal person is a subsidiary of a parent undertaking as defined in </w:t>
      </w:r>
      <w:r w:rsidRPr="00CB54DD">
        <w:rPr>
          <w:noProof/>
        </w:rPr>
        <w:t xml:space="preserve">Article 2, point (9), of Directive 2013/34/EU </w:t>
      </w:r>
      <w:r w:rsidRPr="00CB54DD">
        <w:rPr>
          <w:noProof/>
          <w:shd w:val="clear" w:color="auto" w:fill="FFFFFF"/>
        </w:rPr>
        <w:t>of the European Parliament and of the Council</w:t>
      </w:r>
      <w:r w:rsidRPr="00CB54DD">
        <w:rPr>
          <w:noProof/>
          <w:shd w:val="clear" w:color="auto" w:fill="FFFFFF"/>
          <w:vertAlign w:val="superscript"/>
        </w:rPr>
        <w:t>*2</w:t>
      </w:r>
      <w:r w:rsidRPr="00CB54DD">
        <w:rPr>
          <w:noProof/>
          <w:shd w:val="clear" w:color="auto" w:fill="FFFFFF"/>
        </w:rPr>
        <w:t xml:space="preserve"> </w:t>
      </w:r>
      <w:r w:rsidRPr="00CB54DD">
        <w:rPr>
          <w:noProof/>
        </w:rPr>
        <w:t xml:space="preserve">or any undertaking which effectively exercises a dominant influence over </w:t>
      </w:r>
      <w:r w:rsidR="00191779" w:rsidRPr="00CB54DD">
        <w:rPr>
          <w:noProof/>
        </w:rPr>
        <w:t>that legal person</w:t>
      </w:r>
      <w:r w:rsidRPr="00CB54DD">
        <w:rPr>
          <w:noProof/>
          <w:shd w:val="clear" w:color="auto" w:fill="FFFFFF"/>
        </w:rPr>
        <w:t>, the relevant turnover shall be</w:t>
      </w:r>
      <w:r w:rsidR="00191779" w:rsidRPr="00CB54DD">
        <w:rPr>
          <w:noProof/>
          <w:shd w:val="clear" w:color="auto" w:fill="FFFFFF"/>
        </w:rPr>
        <w:t xml:space="preserve"> the</w:t>
      </w:r>
      <w:r w:rsidRPr="00CB54DD">
        <w:rPr>
          <w:noProof/>
          <w:shd w:val="clear" w:color="auto" w:fill="FFFFFF"/>
        </w:rPr>
        <w:t xml:space="preserve"> turnover resulting from the consolidated accounts of the ultimate parent undertaking in the preceding business year</w:t>
      </w:r>
      <w:r w:rsidR="00191779" w:rsidRPr="00CB54DD">
        <w:rPr>
          <w:noProof/>
          <w:shd w:val="clear" w:color="auto" w:fill="FFFFFF"/>
        </w:rPr>
        <w:t>.</w:t>
      </w:r>
    </w:p>
    <w:p w:rsidR="00191779" w:rsidRPr="00CB54DD" w:rsidRDefault="00191779" w:rsidP="00191779">
      <w:pPr>
        <w:pStyle w:val="ListParagraph"/>
        <w:tabs>
          <w:tab w:val="left" w:pos="1134"/>
        </w:tabs>
        <w:spacing w:before="120" w:after="120" w:line="240" w:lineRule="auto"/>
        <w:ind w:left="567" w:right="1"/>
        <w:contextualSpacing w:val="0"/>
        <w:jc w:val="both"/>
        <w:rPr>
          <w:rFonts w:ascii="Times New Roman" w:hAnsi="Times New Roman" w:cs="Times New Roman"/>
          <w:noProof/>
          <w:sz w:val="24"/>
          <w:szCs w:val="24"/>
          <w:shd w:val="clear" w:color="auto" w:fill="FFFFFF"/>
          <w:lang w:val="en-GB"/>
        </w:rPr>
      </w:pPr>
      <w:r w:rsidRPr="00CB54DD">
        <w:rPr>
          <w:rFonts w:ascii="Times New Roman" w:hAnsi="Times New Roman" w:cs="Times New Roman"/>
          <w:noProof/>
          <w:sz w:val="24"/>
          <w:szCs w:val="24"/>
          <w:shd w:val="clear" w:color="auto" w:fill="FFFFFF"/>
          <w:lang w:val="en-GB"/>
        </w:rPr>
        <w:t>______________________________________________________________________</w:t>
      </w:r>
    </w:p>
    <w:p w:rsidR="00213947" w:rsidRPr="00CB54DD" w:rsidRDefault="00191779" w:rsidP="00191779">
      <w:pPr>
        <w:pStyle w:val="ListParagraph"/>
        <w:ind w:left="1134" w:right="1" w:hanging="567"/>
        <w:jc w:val="both"/>
        <w:rPr>
          <w:rFonts w:ascii="Times New Roman" w:hAnsi="Times New Roman" w:cs="Times New Roman"/>
          <w:noProof/>
          <w:sz w:val="20"/>
          <w:szCs w:val="20"/>
          <w:shd w:val="clear" w:color="auto" w:fill="FFFFFF"/>
          <w:lang w:val="en-GB"/>
        </w:rPr>
      </w:pPr>
      <w:r w:rsidRPr="00CB54DD">
        <w:rPr>
          <w:rFonts w:ascii="Times New Roman" w:hAnsi="Times New Roman" w:cs="Times New Roman"/>
          <w:noProof/>
          <w:sz w:val="20"/>
          <w:szCs w:val="20"/>
          <w:shd w:val="clear" w:color="auto" w:fill="FFFFFF"/>
          <w:vertAlign w:val="superscript"/>
          <w:lang w:val="en-GB"/>
        </w:rPr>
        <w:t>*2</w:t>
      </w:r>
      <w:r w:rsidRPr="00CB54DD">
        <w:rPr>
          <w:rFonts w:ascii="Times New Roman" w:hAnsi="Times New Roman" w:cs="Times New Roman"/>
          <w:noProof/>
          <w:sz w:val="20"/>
          <w:szCs w:val="20"/>
          <w:shd w:val="clear" w:color="auto" w:fill="FFFFFF"/>
          <w:lang w:val="en-GB"/>
        </w:rPr>
        <w:tab/>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 19).</w:t>
      </w:r>
      <w:r w:rsidR="00213947" w:rsidRPr="00CB54DD">
        <w:rPr>
          <w:rFonts w:ascii="Times New Roman" w:hAnsi="Times New Roman" w:cs="Times New Roman"/>
          <w:noProof/>
          <w:sz w:val="20"/>
          <w:szCs w:val="20"/>
          <w:shd w:val="clear" w:color="auto" w:fill="FFFFFF"/>
          <w:lang w:val="en-GB"/>
        </w:rPr>
        <w:t>’</w:t>
      </w:r>
      <w:r w:rsidR="00CB54DD">
        <w:rPr>
          <w:rFonts w:ascii="Times New Roman" w:hAnsi="Times New Roman" w:cs="Times New Roman"/>
          <w:noProof/>
          <w:sz w:val="20"/>
          <w:szCs w:val="20"/>
          <w:shd w:val="clear" w:color="auto" w:fill="FFFFFF"/>
          <w:lang w:val="en-GB"/>
        </w:rPr>
        <w:t>.</w:t>
      </w:r>
    </w:p>
    <w:p w:rsidR="004F71A2" w:rsidRPr="00CB54DD" w:rsidRDefault="00795432" w:rsidP="00982143">
      <w:pPr>
        <w:pStyle w:val="Titrearticle"/>
        <w:rPr>
          <w:i w:val="0"/>
          <w:noProof/>
        </w:rPr>
      </w:pPr>
      <w:bookmarkStart w:id="4" w:name="_Hlk101964246"/>
      <w:r w:rsidRPr="00CB54DD">
        <w:rPr>
          <w:noProof/>
          <w:szCs w:val="24"/>
        </w:rPr>
        <w:t>Article 2</w:t>
      </w:r>
      <w:r w:rsidR="00982143">
        <w:rPr>
          <w:noProof/>
          <w:szCs w:val="24"/>
        </w:rPr>
        <w:br/>
      </w:r>
      <w:r w:rsidR="004F71A2" w:rsidRPr="00CB54DD">
        <w:rPr>
          <w:b/>
          <w:noProof/>
        </w:rPr>
        <w:t>Amendment to Regulation (EU) 2021/1230</w:t>
      </w:r>
    </w:p>
    <w:p w:rsidR="004F71A2" w:rsidRPr="00CB54DD" w:rsidRDefault="00306F78" w:rsidP="002D7679">
      <w:pPr>
        <w:rPr>
          <w:noProof/>
          <w:shd w:val="clear" w:color="auto" w:fill="FFFFFF"/>
        </w:rPr>
      </w:pPr>
      <w:r>
        <w:rPr>
          <w:noProof/>
          <w:shd w:val="clear" w:color="auto" w:fill="FFFFFF"/>
        </w:rPr>
        <w:t>I</w:t>
      </w:r>
      <w:r w:rsidRPr="00CB54DD">
        <w:rPr>
          <w:noProof/>
          <w:shd w:val="clear" w:color="auto" w:fill="FFFFFF"/>
        </w:rPr>
        <w:t>n Article 3</w:t>
      </w:r>
      <w:r>
        <w:rPr>
          <w:noProof/>
          <w:shd w:val="clear" w:color="auto" w:fill="FFFFFF"/>
        </w:rPr>
        <w:t xml:space="preserve"> of</w:t>
      </w:r>
      <w:r w:rsidRPr="00CB54DD">
        <w:rPr>
          <w:noProof/>
          <w:shd w:val="clear" w:color="auto" w:fill="FFFFFF"/>
        </w:rPr>
        <w:t xml:space="preserve"> </w:t>
      </w:r>
      <w:r w:rsidR="004F71A2" w:rsidRPr="00CB54DD">
        <w:rPr>
          <w:noProof/>
          <w:szCs w:val="24"/>
          <w:shd w:val="clear" w:color="auto" w:fill="FFFFFF"/>
        </w:rPr>
        <w:t xml:space="preserve">Regulation </w:t>
      </w:r>
      <w:r w:rsidR="004F71A2" w:rsidRPr="00CB54DD">
        <w:rPr>
          <w:noProof/>
          <w:shd w:val="clear" w:color="auto" w:fill="FFFFFF"/>
        </w:rPr>
        <w:t>(EU) 2021/1230</w:t>
      </w:r>
      <w:r w:rsidR="005C44C1">
        <w:rPr>
          <w:noProof/>
          <w:shd w:val="clear" w:color="auto" w:fill="FFFFFF"/>
        </w:rPr>
        <w:t>,</w:t>
      </w:r>
      <w:r w:rsidR="004F71A2" w:rsidRPr="00CB54DD">
        <w:rPr>
          <w:noProof/>
          <w:shd w:val="clear" w:color="auto" w:fill="FFFFFF"/>
        </w:rPr>
        <w:t xml:space="preserve"> the following paragraph 5 is </w:t>
      </w:r>
      <w:r w:rsidR="009773B8">
        <w:rPr>
          <w:noProof/>
          <w:shd w:val="clear" w:color="auto" w:fill="FFFFFF"/>
        </w:rPr>
        <w:t>added</w:t>
      </w:r>
      <w:r w:rsidR="004F71A2" w:rsidRPr="00CB54DD">
        <w:rPr>
          <w:noProof/>
          <w:shd w:val="clear" w:color="auto" w:fill="FFFFFF"/>
        </w:rPr>
        <w:t>:</w:t>
      </w:r>
    </w:p>
    <w:p w:rsidR="00FD6DFB" w:rsidRDefault="00FD6DFB" w:rsidP="00FD6DFB">
      <w:pPr>
        <w:pStyle w:val="Text1"/>
        <w:rPr>
          <w:noProof/>
          <w:shd w:val="clear" w:color="auto" w:fill="FFFFFF"/>
        </w:rPr>
      </w:pPr>
      <w:r w:rsidRPr="00CB54DD">
        <w:rPr>
          <w:noProof/>
          <w:shd w:val="clear" w:color="auto" w:fill="FFFFFF"/>
        </w:rPr>
        <w:t xml:space="preserve">‘5. </w:t>
      </w:r>
      <w:r w:rsidRPr="00CB54DD">
        <w:rPr>
          <w:noProof/>
        </w:rPr>
        <w:t xml:space="preserve">Paragraph 1 </w:t>
      </w:r>
      <w:r>
        <w:rPr>
          <w:noProof/>
        </w:rPr>
        <w:t xml:space="preserve">of this Article </w:t>
      </w:r>
      <w:r w:rsidRPr="00CB54DD">
        <w:rPr>
          <w:noProof/>
        </w:rPr>
        <w:t xml:space="preserve">shall </w:t>
      </w:r>
      <w:r>
        <w:rPr>
          <w:noProof/>
        </w:rPr>
        <w:t>not apply</w:t>
      </w:r>
      <w:r w:rsidRPr="00CB54DD">
        <w:rPr>
          <w:noProof/>
        </w:rPr>
        <w:t xml:space="preserve"> where</w:t>
      </w:r>
      <w:r>
        <w:rPr>
          <w:noProof/>
        </w:rPr>
        <w:t xml:space="preserve"> </w:t>
      </w:r>
      <w:r w:rsidRPr="00CB54DD">
        <w:rPr>
          <w:noProof/>
        </w:rPr>
        <w:t>Arti</w:t>
      </w:r>
      <w:r>
        <w:rPr>
          <w:noProof/>
        </w:rPr>
        <w:t>cle 5b(1) of Regulation (EU) No </w:t>
      </w:r>
      <w:r w:rsidRPr="00CB54DD">
        <w:rPr>
          <w:noProof/>
        </w:rPr>
        <w:t>260/2012</w:t>
      </w:r>
      <w:r>
        <w:rPr>
          <w:noProof/>
        </w:rPr>
        <w:t xml:space="preserve"> would require </w:t>
      </w:r>
      <w:r w:rsidRPr="00CB54DD">
        <w:rPr>
          <w:noProof/>
        </w:rPr>
        <w:t xml:space="preserve">a payment service provider located in a Member State </w:t>
      </w:r>
      <w:r>
        <w:rPr>
          <w:noProof/>
        </w:rPr>
        <w:t>whose currency is</w:t>
      </w:r>
      <w:r w:rsidRPr="00CB54DD">
        <w:rPr>
          <w:noProof/>
        </w:rPr>
        <w:t xml:space="preserve"> not the euro, with respect to a</w:t>
      </w:r>
      <w:r>
        <w:rPr>
          <w:noProof/>
        </w:rPr>
        <w:t>n</w:t>
      </w:r>
      <w:r w:rsidRPr="00CB54DD">
        <w:rPr>
          <w:noProof/>
        </w:rPr>
        <w:t xml:space="preserve"> instant credit transfer</w:t>
      </w:r>
      <w:r>
        <w:rPr>
          <w:noProof/>
        </w:rPr>
        <w:t>,</w:t>
      </w:r>
      <w:r w:rsidRPr="00CB54DD">
        <w:rPr>
          <w:noProof/>
        </w:rPr>
        <w:t xml:space="preserve"> to levy a charge which would be lower than the charge which would be levied, with respect to the same transfer, if paragraph 1 of th</w:t>
      </w:r>
      <w:r>
        <w:rPr>
          <w:noProof/>
        </w:rPr>
        <w:t>is</w:t>
      </w:r>
      <w:r w:rsidRPr="00CB54DD">
        <w:rPr>
          <w:noProof/>
        </w:rPr>
        <w:t xml:space="preserve"> Article were to be applied.</w:t>
      </w:r>
    </w:p>
    <w:p w:rsidR="00FD6DFB" w:rsidRPr="00CB54DD" w:rsidRDefault="00FD6DFB" w:rsidP="00FD6DFB">
      <w:pPr>
        <w:pStyle w:val="Text1"/>
        <w:rPr>
          <w:noProof/>
          <w:shd w:val="clear" w:color="auto" w:fill="FFFFFF"/>
        </w:rPr>
      </w:pPr>
      <w:r>
        <w:rPr>
          <w:noProof/>
          <w:shd w:val="clear" w:color="auto" w:fill="FFFFFF"/>
        </w:rPr>
        <w:t xml:space="preserve">For the purposes of the first subparagraph, an instant credit transfer means </w:t>
      </w:r>
      <w:r w:rsidRPr="00CB54DD">
        <w:rPr>
          <w:noProof/>
        </w:rPr>
        <w:t>a</w:t>
      </w:r>
      <w:r>
        <w:rPr>
          <w:noProof/>
        </w:rPr>
        <w:t>n</w:t>
      </w:r>
      <w:r w:rsidRPr="00CB54DD">
        <w:rPr>
          <w:noProof/>
        </w:rPr>
        <w:t xml:space="preserve"> instant credit transfer as defined in Article 2</w:t>
      </w:r>
      <w:r>
        <w:rPr>
          <w:noProof/>
        </w:rPr>
        <w:t>, point </w:t>
      </w:r>
      <w:r w:rsidRPr="00CB54DD">
        <w:rPr>
          <w:noProof/>
        </w:rPr>
        <w:t>(1a) of</w:t>
      </w:r>
      <w:r>
        <w:rPr>
          <w:noProof/>
        </w:rPr>
        <w:t xml:space="preserve"> Regulation (EU) No </w:t>
      </w:r>
      <w:r w:rsidRPr="00CB54DD">
        <w:rPr>
          <w:noProof/>
        </w:rPr>
        <w:t>260/2012</w:t>
      </w:r>
      <w:r>
        <w:rPr>
          <w:noProof/>
        </w:rPr>
        <w:t xml:space="preserve"> that is </w:t>
      </w:r>
      <w:r w:rsidRPr="00CB54DD">
        <w:rPr>
          <w:noProof/>
        </w:rPr>
        <w:t xml:space="preserve">cross-border </w:t>
      </w:r>
      <w:r>
        <w:rPr>
          <w:noProof/>
        </w:rPr>
        <w:t xml:space="preserve">and </w:t>
      </w:r>
      <w:r w:rsidRPr="00CB54DD">
        <w:rPr>
          <w:noProof/>
        </w:rPr>
        <w:t>in euro</w:t>
      </w:r>
      <w:r>
        <w:rPr>
          <w:noProof/>
        </w:rPr>
        <w:t>.’</w:t>
      </w:r>
    </w:p>
    <w:p w:rsidR="00213947" w:rsidRPr="00CB54DD" w:rsidRDefault="00213947" w:rsidP="00982143">
      <w:pPr>
        <w:pStyle w:val="Titrearticle"/>
        <w:rPr>
          <w:i w:val="0"/>
          <w:noProof/>
          <w:szCs w:val="24"/>
        </w:rPr>
      </w:pPr>
      <w:r w:rsidRPr="00CB54DD">
        <w:rPr>
          <w:noProof/>
          <w:szCs w:val="24"/>
        </w:rPr>
        <w:t xml:space="preserve">Article </w:t>
      </w:r>
      <w:r w:rsidR="00795432" w:rsidRPr="00CB54DD">
        <w:rPr>
          <w:noProof/>
          <w:szCs w:val="24"/>
        </w:rPr>
        <w:t>3</w:t>
      </w:r>
      <w:r w:rsidR="00982143">
        <w:rPr>
          <w:noProof/>
          <w:szCs w:val="24"/>
        </w:rPr>
        <w:br/>
      </w:r>
      <w:r w:rsidRPr="00CB54DD">
        <w:rPr>
          <w:b/>
          <w:i w:val="0"/>
          <w:noProof/>
          <w:szCs w:val="24"/>
        </w:rPr>
        <w:t xml:space="preserve">Entry into force </w:t>
      </w:r>
    </w:p>
    <w:bookmarkEnd w:id="4"/>
    <w:p w:rsidR="00213947" w:rsidRPr="00CB54DD" w:rsidRDefault="00213947" w:rsidP="00315E38">
      <w:pPr>
        <w:rPr>
          <w:noProof/>
        </w:rPr>
      </w:pPr>
      <w:r w:rsidRPr="00CB54DD">
        <w:rPr>
          <w:noProof/>
        </w:rPr>
        <w:t xml:space="preserve">This Regulation shall enter into force the twentieth day following that of its publication in the </w:t>
      </w:r>
      <w:r w:rsidRPr="00CB54DD">
        <w:rPr>
          <w:i/>
          <w:iCs/>
          <w:noProof/>
        </w:rPr>
        <w:t>Official Journal of the European Union</w:t>
      </w:r>
      <w:r w:rsidRPr="00CB54DD">
        <w:rPr>
          <w:noProof/>
        </w:rPr>
        <w:t>.</w:t>
      </w:r>
    </w:p>
    <w:p w:rsidR="00213947" w:rsidRPr="00CB54DD" w:rsidRDefault="00213947" w:rsidP="00315E38">
      <w:pPr>
        <w:pStyle w:val="Applicationdirecte"/>
        <w:rPr>
          <w:noProof/>
          <w:szCs w:val="24"/>
        </w:rPr>
      </w:pPr>
      <w:r w:rsidRPr="00CB54DD">
        <w:rPr>
          <w:noProof/>
          <w:szCs w:val="24"/>
        </w:rPr>
        <w:t>This Regulation shall be binding in its entirety and directly applicable in all Member States.</w:t>
      </w:r>
    </w:p>
    <w:p w:rsidR="00C961C5" w:rsidRPr="00CB54DD" w:rsidRDefault="00256C94" w:rsidP="00256C94">
      <w:pPr>
        <w:pStyle w:val="Fait"/>
        <w:rPr>
          <w:noProof/>
        </w:rPr>
      </w:pPr>
      <w:r w:rsidRPr="00256C94">
        <w:t>Done at Brussels,</w:t>
      </w:r>
    </w:p>
    <w:p w:rsidR="00C961C5" w:rsidRPr="00CB54DD" w:rsidRDefault="00C961C5" w:rsidP="00A35F75">
      <w:pPr>
        <w:pStyle w:val="Institutionquisigne"/>
        <w:rPr>
          <w:noProof/>
        </w:rPr>
      </w:pPr>
      <w:r w:rsidRPr="00CB54DD">
        <w:rPr>
          <w:noProof/>
        </w:rPr>
        <w:t>For the European Parliament</w:t>
      </w:r>
      <w:r w:rsidRPr="00CB54DD">
        <w:rPr>
          <w:noProof/>
        </w:rPr>
        <w:tab/>
        <w:t>For the Council</w:t>
      </w:r>
    </w:p>
    <w:p w:rsidR="00C961C5" w:rsidRPr="00CB54DD" w:rsidRDefault="00C961C5" w:rsidP="00315E38">
      <w:pPr>
        <w:pStyle w:val="Personnequisigne"/>
        <w:rPr>
          <w:noProof/>
        </w:rPr>
      </w:pPr>
      <w:r w:rsidRPr="00CB54DD">
        <w:rPr>
          <w:noProof/>
        </w:rPr>
        <w:t>The President</w:t>
      </w:r>
      <w:r w:rsidRPr="00CB54DD">
        <w:rPr>
          <w:noProof/>
        </w:rPr>
        <w:tab/>
        <w:t>The President</w:t>
      </w:r>
    </w:p>
    <w:sectPr w:rsidR="00C961C5" w:rsidRPr="00CB54DD" w:rsidSect="00256C94">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5F309" w16cid:durableId="26E7FBDC"/>
  <w16cid:commentId w16cid:paraId="135AA3EE" w16cid:durableId="26E7FBDD"/>
  <w16cid:commentId w16cid:paraId="53F0C636" w16cid:durableId="26E7FBDE"/>
  <w16cid:commentId w16cid:paraId="20F54DE1" w16cid:durableId="26E7FBDF"/>
  <w16cid:commentId w16cid:paraId="7FA35D68" w16cid:durableId="26E7FBE0"/>
  <w16cid:commentId w16cid:paraId="1D2C7999" w16cid:durableId="26E7FBE1"/>
  <w16cid:commentId w16cid:paraId="797A4B30" w16cid:durableId="26E7FBE2"/>
  <w16cid:commentId w16cid:paraId="606A012B" w16cid:durableId="26E7FBE3"/>
  <w16cid:commentId w16cid:paraId="66009448" w16cid:durableId="26E7FBE4"/>
  <w16cid:commentId w16cid:paraId="549BBF5F" w16cid:durableId="26E7FBE5"/>
  <w16cid:commentId w16cid:paraId="175DB95C" w16cid:durableId="26E7FBE6"/>
  <w16cid:commentId w16cid:paraId="7E077753" w16cid:durableId="26E7FBE7"/>
  <w16cid:commentId w16cid:paraId="00C95A6E" w16cid:durableId="26E7FBE8"/>
  <w16cid:commentId w16cid:paraId="5E88EB3A" w16cid:durableId="26E7FBE9"/>
  <w16cid:commentId w16cid:paraId="25E7902C" w16cid:durableId="26E7FBEA"/>
  <w16cid:commentId w16cid:paraId="419AED9C" w16cid:durableId="26E7FBEB"/>
  <w16cid:commentId w16cid:paraId="354F6776" w16cid:durableId="26E7FBEC"/>
  <w16cid:commentId w16cid:paraId="4D93D836" w16cid:durableId="26E7FBED"/>
  <w16cid:commentId w16cid:paraId="3E01330B" w16cid:durableId="26E7FBEE"/>
  <w16cid:commentId w16cid:paraId="67C11658" w16cid:durableId="26E7FBEF"/>
  <w16cid:commentId w16cid:paraId="2179A00B" w16cid:durableId="26E7FBF0"/>
  <w16cid:commentId w16cid:paraId="7FFA8242" w16cid:durableId="26E7FBF1"/>
  <w16cid:commentId w16cid:paraId="1B6AD498" w16cid:durableId="26E7FBF2"/>
  <w16cid:commentId w16cid:paraId="031E37CA" w16cid:durableId="26E7FBF3"/>
  <w16cid:commentId w16cid:paraId="784A4454" w16cid:durableId="26E7FBF4"/>
  <w16cid:commentId w16cid:paraId="117C5415" w16cid:durableId="26E7FBF5"/>
  <w16cid:commentId w16cid:paraId="57983BDC" w16cid:durableId="26E7FBF6"/>
  <w16cid:commentId w16cid:paraId="46432AF0" w16cid:durableId="26E7FB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E7" w:rsidRDefault="00DC31E7" w:rsidP="00C961C5">
      <w:pPr>
        <w:spacing w:before="0" w:after="0"/>
      </w:pPr>
      <w:r>
        <w:separator/>
      </w:r>
    </w:p>
  </w:endnote>
  <w:endnote w:type="continuationSeparator" w:id="0">
    <w:p w:rsidR="00DC31E7" w:rsidRDefault="00DC31E7" w:rsidP="00C961C5">
      <w:pPr>
        <w:spacing w:before="0" w:after="0"/>
      </w:pPr>
      <w:r>
        <w:continuationSeparator/>
      </w:r>
    </w:p>
  </w:endnote>
  <w:endnote w:type="continuationNotice" w:id="1">
    <w:p w:rsidR="00DC31E7" w:rsidRDefault="00DC31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94" w:rsidRPr="00256C94" w:rsidRDefault="00256C94" w:rsidP="00256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94" w:rsidRPr="00256C94" w:rsidRDefault="00256C94" w:rsidP="00256C94">
    <w:pPr>
      <w:pStyle w:val="Footer"/>
      <w:rPr>
        <w:rFonts w:ascii="Arial" w:hAnsi="Arial" w:cs="Arial"/>
        <w:b/>
        <w:sz w:val="48"/>
      </w:rPr>
    </w:pPr>
    <w:r w:rsidRPr="00256C94">
      <w:rPr>
        <w:rFonts w:ascii="Arial" w:hAnsi="Arial" w:cs="Arial"/>
        <w:b/>
        <w:sz w:val="48"/>
      </w:rPr>
      <w:t>EN</w:t>
    </w:r>
    <w:r w:rsidRPr="00256C94">
      <w:rPr>
        <w:rFonts w:ascii="Arial" w:hAnsi="Arial" w:cs="Arial"/>
        <w:b/>
        <w:sz w:val="48"/>
      </w:rPr>
      <w:tab/>
    </w:r>
    <w:r w:rsidRPr="00256C94">
      <w:rPr>
        <w:rFonts w:ascii="Arial" w:hAnsi="Arial" w:cs="Arial"/>
        <w:b/>
        <w:sz w:val="48"/>
      </w:rPr>
      <w:tab/>
    </w:r>
    <w:r w:rsidRPr="00256C94">
      <w:tab/>
    </w:r>
    <w:r w:rsidRPr="00256C9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94" w:rsidRPr="00256C94" w:rsidRDefault="00256C94" w:rsidP="00256C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94" w:rsidRPr="00256C94" w:rsidRDefault="00256C94" w:rsidP="00256C94">
    <w:pPr>
      <w:pStyle w:val="Footer"/>
      <w:rPr>
        <w:rFonts w:ascii="Arial" w:hAnsi="Arial" w:cs="Arial"/>
        <w:b/>
        <w:sz w:val="48"/>
      </w:rPr>
    </w:pPr>
    <w:r w:rsidRPr="00256C94">
      <w:rPr>
        <w:rFonts w:ascii="Arial" w:hAnsi="Arial" w:cs="Arial"/>
        <w:b/>
        <w:sz w:val="48"/>
      </w:rPr>
      <w:t>EN</w:t>
    </w:r>
    <w:r w:rsidRPr="00256C94">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256C94">
      <w:tab/>
    </w:r>
    <w:r w:rsidRPr="00256C94">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94" w:rsidRPr="00256C94" w:rsidRDefault="00256C94" w:rsidP="00256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E7" w:rsidRDefault="00DC31E7" w:rsidP="00C961C5">
      <w:pPr>
        <w:spacing w:before="0" w:after="0"/>
      </w:pPr>
      <w:r>
        <w:separator/>
      </w:r>
    </w:p>
  </w:footnote>
  <w:footnote w:type="continuationSeparator" w:id="0">
    <w:p w:rsidR="00DC31E7" w:rsidRDefault="00DC31E7" w:rsidP="00C961C5">
      <w:pPr>
        <w:spacing w:before="0" w:after="0"/>
      </w:pPr>
      <w:r>
        <w:continuationSeparator/>
      </w:r>
    </w:p>
  </w:footnote>
  <w:footnote w:type="continuationNotice" w:id="1">
    <w:p w:rsidR="00DC31E7" w:rsidRDefault="00DC31E7">
      <w:pPr>
        <w:spacing w:before="0" w:after="0"/>
      </w:pPr>
    </w:p>
  </w:footnote>
  <w:footnote w:id="2">
    <w:p w:rsidR="00DC31E7" w:rsidRPr="000B434C" w:rsidRDefault="00DC31E7" w:rsidP="00211B11">
      <w:pPr>
        <w:pStyle w:val="FootnoteText"/>
        <w:ind w:left="567" w:hanging="567"/>
      </w:pPr>
      <w:r w:rsidRPr="000B434C">
        <w:rPr>
          <w:rStyle w:val="FootnoteReference"/>
        </w:rPr>
        <w:footnoteRef/>
      </w:r>
      <w:r w:rsidRPr="000B434C">
        <w:tab/>
        <w:t>A PSP is a provider of payment services as defined in Annex I to Directive 2015/2366 (PSD2), such as a credit institution, payment institution or electronic money institution.</w:t>
      </w:r>
    </w:p>
  </w:footnote>
  <w:footnote w:id="3">
    <w:p w:rsidR="00DC31E7" w:rsidRPr="000B434C" w:rsidRDefault="00DC31E7" w:rsidP="00211B11">
      <w:pPr>
        <w:pStyle w:val="FootnoteText"/>
        <w:ind w:left="567" w:hanging="567"/>
      </w:pPr>
      <w:r w:rsidRPr="000B434C">
        <w:rPr>
          <w:rStyle w:val="FootnoteReference"/>
        </w:rPr>
        <w:footnoteRef/>
      </w:r>
      <w:r w:rsidRPr="000B434C">
        <w:tab/>
        <w:t>The EPC is a private law association of PSPs, founded in 2002, which functions as a decision-making and coordination body of the European payments industry, and with the main task of developing the Single Euro Payment Area.</w:t>
      </w:r>
    </w:p>
  </w:footnote>
  <w:footnote w:id="4">
    <w:p w:rsidR="00DC31E7" w:rsidRPr="000B434C" w:rsidRDefault="00DC31E7" w:rsidP="00211B11">
      <w:pPr>
        <w:pStyle w:val="FootnoteText"/>
        <w:ind w:left="567" w:hanging="567"/>
      </w:pPr>
      <w:r w:rsidRPr="000B434C">
        <w:rPr>
          <w:rStyle w:val="FootnoteReference"/>
        </w:rPr>
        <w:footnoteRef/>
      </w:r>
      <w:r w:rsidRPr="000B434C">
        <w:tab/>
        <w:t>Source: EPC.</w:t>
      </w:r>
    </w:p>
  </w:footnote>
  <w:footnote w:id="5">
    <w:p w:rsidR="00DC31E7" w:rsidRPr="000B434C" w:rsidRDefault="00DC31E7" w:rsidP="00211B11">
      <w:pPr>
        <w:pStyle w:val="FootnoteText"/>
        <w:tabs>
          <w:tab w:val="left" w:pos="567"/>
        </w:tabs>
        <w:ind w:left="567" w:hanging="567"/>
      </w:pPr>
      <w:r w:rsidRPr="000B434C">
        <w:rPr>
          <w:rStyle w:val="FootnoteReference"/>
        </w:rPr>
        <w:footnoteRef/>
      </w:r>
      <w:r w:rsidRPr="000B434C">
        <w:tab/>
        <w:t>COM</w:t>
      </w:r>
      <w:r w:rsidR="00CB1B4B">
        <w:t xml:space="preserve"> (</w:t>
      </w:r>
      <w:r w:rsidRPr="000B434C">
        <w:t>2018</w:t>
      </w:r>
      <w:r w:rsidR="00CB1B4B">
        <w:t xml:space="preserve">) </w:t>
      </w:r>
      <w:r w:rsidRPr="000B434C">
        <w:t>796 final</w:t>
      </w:r>
      <w:r w:rsidR="00CB1B4B">
        <w:t xml:space="preserve"> of 5 December 2018.</w:t>
      </w:r>
    </w:p>
  </w:footnote>
  <w:footnote w:id="6">
    <w:p w:rsidR="00DC31E7" w:rsidRPr="000B434C" w:rsidRDefault="00DC31E7" w:rsidP="00211B11">
      <w:pPr>
        <w:pStyle w:val="FootnoteText"/>
        <w:tabs>
          <w:tab w:val="left" w:pos="567"/>
        </w:tabs>
        <w:ind w:left="567" w:hanging="567"/>
      </w:pPr>
      <w:r w:rsidRPr="000B434C">
        <w:rPr>
          <w:rStyle w:val="FootnoteReference"/>
        </w:rPr>
        <w:footnoteRef/>
      </w:r>
      <w:r w:rsidRPr="000B434C">
        <w:tab/>
        <w:t>COM</w:t>
      </w:r>
      <w:r w:rsidR="00CB1B4B">
        <w:t xml:space="preserve"> (</w:t>
      </w:r>
      <w:r w:rsidRPr="000B434C">
        <w:t>2020</w:t>
      </w:r>
      <w:r w:rsidR="00CB1B4B">
        <w:t xml:space="preserve">) </w:t>
      </w:r>
      <w:r w:rsidRPr="000B434C">
        <w:t>592 final</w:t>
      </w:r>
      <w:r w:rsidR="00CB1B4B">
        <w:t xml:space="preserve"> of 24 September 2020.</w:t>
      </w:r>
    </w:p>
  </w:footnote>
  <w:footnote w:id="7">
    <w:p w:rsidR="00DC31E7" w:rsidRPr="000B434C" w:rsidRDefault="00DC31E7" w:rsidP="00211B11">
      <w:pPr>
        <w:pStyle w:val="FootnoteText"/>
        <w:tabs>
          <w:tab w:val="left" w:pos="567"/>
        </w:tabs>
        <w:ind w:left="567" w:hanging="567"/>
      </w:pPr>
      <w:r w:rsidRPr="000B434C">
        <w:rPr>
          <w:rStyle w:val="FootnoteReference"/>
        </w:rPr>
        <w:footnoteRef/>
      </w:r>
      <w:r w:rsidRPr="000B434C">
        <w:tab/>
        <w:t>7225/21.</w:t>
      </w:r>
    </w:p>
  </w:footnote>
  <w:footnote w:id="8">
    <w:p w:rsidR="00DC31E7" w:rsidRPr="000B434C" w:rsidRDefault="00DC31E7" w:rsidP="00211B11">
      <w:pPr>
        <w:pStyle w:val="FootnoteText"/>
        <w:ind w:left="567" w:hanging="567"/>
      </w:pPr>
      <w:r w:rsidRPr="000B434C">
        <w:rPr>
          <w:rStyle w:val="FootnoteReference"/>
        </w:rPr>
        <w:footnoteRef/>
      </w:r>
      <w:r w:rsidRPr="000B434C">
        <w:tab/>
        <w:t>COM</w:t>
      </w:r>
      <w:r w:rsidR="00CB1B4B">
        <w:t xml:space="preserve"> (</w:t>
      </w:r>
      <w:r w:rsidRPr="000B434C">
        <w:t>2021</w:t>
      </w:r>
      <w:r w:rsidR="00CB1B4B">
        <w:t xml:space="preserve">) </w:t>
      </w:r>
      <w:r w:rsidRPr="000B434C">
        <w:t>32 final</w:t>
      </w:r>
      <w:r w:rsidR="00CB1B4B">
        <w:t xml:space="preserve"> of 19 January 2021.</w:t>
      </w:r>
    </w:p>
  </w:footnote>
  <w:footnote w:id="9">
    <w:p w:rsidR="00DC31E7" w:rsidRPr="000B434C" w:rsidRDefault="00DC31E7" w:rsidP="00211B11">
      <w:pPr>
        <w:pStyle w:val="FootnoteText"/>
        <w:ind w:left="567" w:hanging="567"/>
      </w:pPr>
      <w:r w:rsidRPr="000B434C">
        <w:rPr>
          <w:rStyle w:val="FootnoteReference"/>
        </w:rPr>
        <w:footnoteRef/>
      </w:r>
      <w:r w:rsidRPr="000B434C">
        <w:tab/>
        <w:t>COM</w:t>
      </w:r>
      <w:r w:rsidR="00906295">
        <w:t xml:space="preserve"> </w:t>
      </w:r>
      <w:r w:rsidRPr="000B434C">
        <w:t>(2021) 645 final</w:t>
      </w:r>
      <w:r w:rsidR="00CB1B4B">
        <w:t xml:space="preserve"> of 19 October 2021.</w:t>
      </w:r>
    </w:p>
  </w:footnote>
  <w:footnote w:id="10">
    <w:p w:rsidR="00DC31E7" w:rsidRPr="000B434C" w:rsidRDefault="00DC31E7" w:rsidP="00211B11">
      <w:pPr>
        <w:pStyle w:val="FootnoteText"/>
        <w:ind w:left="567" w:hanging="567"/>
      </w:pPr>
      <w:r w:rsidRPr="000B434C">
        <w:rPr>
          <w:rStyle w:val="FootnoteReference"/>
        </w:rPr>
        <w:footnoteRef/>
      </w:r>
      <w:r w:rsidRPr="000B434C">
        <w:tab/>
        <w:t>6301/22.</w:t>
      </w:r>
    </w:p>
  </w:footnote>
  <w:footnote w:id="11">
    <w:p w:rsidR="00DC31E7" w:rsidRPr="000B434C" w:rsidRDefault="00DC31E7" w:rsidP="00211B11">
      <w:pPr>
        <w:pStyle w:val="FootnoteText"/>
        <w:ind w:left="567" w:hanging="567"/>
      </w:pPr>
      <w:r w:rsidRPr="000B434C">
        <w:rPr>
          <w:rStyle w:val="FootnoteReference"/>
        </w:rPr>
        <w:footnoteRef/>
      </w:r>
      <w:r w:rsidRPr="000B434C">
        <w:tab/>
        <w:t>Regulation (EU) No</w:t>
      </w:r>
      <w:r>
        <w:t> </w:t>
      </w:r>
      <w:r w:rsidRPr="000B434C">
        <w:t>260/2012 of the European Parliament and of the Council of 14</w:t>
      </w:r>
      <w:r>
        <w:t> </w:t>
      </w:r>
      <w:r w:rsidRPr="000B434C">
        <w:t>March 2012 establishing technical and business requirements for credit transfers and direct debits in euro.</w:t>
      </w:r>
    </w:p>
  </w:footnote>
  <w:footnote w:id="12">
    <w:p w:rsidR="00DC31E7" w:rsidRPr="000B434C" w:rsidRDefault="00DC31E7" w:rsidP="00211B11">
      <w:pPr>
        <w:pStyle w:val="FootnoteText"/>
        <w:ind w:left="567" w:hanging="567"/>
      </w:pPr>
      <w:r w:rsidRPr="000B434C">
        <w:rPr>
          <w:rStyle w:val="FootnoteReference"/>
        </w:rPr>
        <w:footnoteRef/>
      </w:r>
      <w:r w:rsidRPr="000B434C">
        <w:tab/>
        <w:t>Directive (EU) 2015/2366 of the European Parliament and of the Council of 25</w:t>
      </w:r>
      <w:r>
        <w:t> </w:t>
      </w:r>
      <w:r w:rsidRPr="000B434C">
        <w:t>November 2015 on payment services in the internal market.</w:t>
      </w:r>
    </w:p>
  </w:footnote>
  <w:footnote w:id="13">
    <w:p w:rsidR="00DC31E7" w:rsidRPr="000B434C" w:rsidRDefault="00DC31E7" w:rsidP="00211B11">
      <w:pPr>
        <w:pStyle w:val="FootnoteText"/>
        <w:ind w:left="567" w:hanging="567"/>
      </w:pPr>
      <w:r w:rsidRPr="000B434C">
        <w:rPr>
          <w:rStyle w:val="FootnoteReference"/>
        </w:rPr>
        <w:footnoteRef/>
      </w:r>
      <w:r w:rsidRPr="000B434C">
        <w:tab/>
        <w:t>Regulation (EU) 2021/1230 of the European Parliament and of the Council of 14</w:t>
      </w:r>
      <w:r>
        <w:t> </w:t>
      </w:r>
      <w:r w:rsidRPr="000B434C">
        <w:t>July 2021 on cross-border payments in the Union (codification).</w:t>
      </w:r>
    </w:p>
  </w:footnote>
  <w:footnote w:id="14">
    <w:p w:rsidR="00DC31E7" w:rsidRPr="000B434C" w:rsidRDefault="00DC31E7" w:rsidP="00211B11">
      <w:pPr>
        <w:pStyle w:val="FootnoteText"/>
        <w:ind w:left="567" w:hanging="567"/>
      </w:pPr>
      <w:r w:rsidRPr="000B434C">
        <w:rPr>
          <w:rStyle w:val="FootnoteReference"/>
        </w:rPr>
        <w:footnoteRef/>
      </w:r>
      <w:r w:rsidRPr="000B434C">
        <w:tab/>
        <w:t>COM</w:t>
      </w:r>
      <w:r w:rsidR="00906295">
        <w:t xml:space="preserve"> </w:t>
      </w:r>
      <w:r w:rsidRPr="000B434C">
        <w:t>(2020) 591 final of 24</w:t>
      </w:r>
      <w:r>
        <w:t> </w:t>
      </w:r>
      <w:r w:rsidRPr="000B434C">
        <w:t>September 2020.</w:t>
      </w:r>
    </w:p>
  </w:footnote>
  <w:footnote w:id="15">
    <w:p w:rsidR="00DC31E7" w:rsidRPr="000B434C" w:rsidRDefault="00DC31E7" w:rsidP="00211B11">
      <w:pPr>
        <w:pStyle w:val="FootnoteText"/>
        <w:ind w:left="567" w:hanging="567"/>
      </w:pPr>
      <w:r w:rsidRPr="000B434C">
        <w:rPr>
          <w:rStyle w:val="FootnoteReference"/>
        </w:rPr>
        <w:footnoteRef/>
      </w:r>
      <w:r w:rsidRPr="000B434C">
        <w:tab/>
      </w:r>
      <w:r w:rsidR="004B3F22">
        <w:t>COM</w:t>
      </w:r>
      <w:r w:rsidR="00CB1B4B">
        <w:t xml:space="preserve"> </w:t>
      </w:r>
      <w:r w:rsidR="004B3F22">
        <w:t>(2018) 796</w:t>
      </w:r>
      <w:r w:rsidR="00CB1B4B">
        <w:t xml:space="preserve"> final</w:t>
      </w:r>
      <w:r w:rsidR="004B3F22">
        <w:t xml:space="preserve"> of 5 December 2018.</w:t>
      </w:r>
    </w:p>
  </w:footnote>
  <w:footnote w:id="16">
    <w:p w:rsidR="00DC31E7" w:rsidRPr="000B434C" w:rsidRDefault="00DC31E7" w:rsidP="00211B11">
      <w:pPr>
        <w:pStyle w:val="FootnoteText"/>
        <w:ind w:left="567" w:hanging="567"/>
      </w:pPr>
      <w:r w:rsidRPr="000B434C">
        <w:rPr>
          <w:rStyle w:val="FootnoteReference"/>
        </w:rPr>
        <w:footnoteRef/>
      </w:r>
      <w:r w:rsidRPr="000B434C">
        <w:tab/>
        <w:t>COM</w:t>
      </w:r>
      <w:r w:rsidR="00CB1B4B">
        <w:t xml:space="preserve"> </w:t>
      </w:r>
      <w:r w:rsidRPr="000B434C">
        <w:t>(2021) 32 final of 19</w:t>
      </w:r>
      <w:r>
        <w:t> </w:t>
      </w:r>
      <w:r w:rsidRPr="000B434C">
        <w:t>January 2021.</w:t>
      </w:r>
    </w:p>
  </w:footnote>
  <w:footnote w:id="17">
    <w:p w:rsidR="00511BF2" w:rsidRPr="002D7679" w:rsidRDefault="00511BF2" w:rsidP="00511BF2">
      <w:pPr>
        <w:pStyle w:val="FootnoteText"/>
        <w:ind w:left="567" w:hanging="567"/>
        <w:rPr>
          <w:lang w:val="en-IE"/>
        </w:rPr>
      </w:pPr>
      <w:r w:rsidRPr="00216B93">
        <w:rPr>
          <w:rStyle w:val="FootnoteReference"/>
        </w:rPr>
        <w:footnoteRef/>
      </w:r>
      <w:r w:rsidR="00216B93">
        <w:tab/>
      </w:r>
      <w:hyperlink r:id="rId1" w:history="1">
        <w:r w:rsidRPr="006729A5">
          <w:rPr>
            <w:rStyle w:val="Hyperlink"/>
          </w:rPr>
          <w:t>https://www.ecb.europa.eu/pub/pdf/other/ecb.eurosystemretailpaymentsstrategy~5a74eb9ac1.en.pdf</w:t>
        </w:r>
      </w:hyperlink>
      <w:r>
        <w:t xml:space="preserve">  </w:t>
      </w:r>
    </w:p>
  </w:footnote>
  <w:footnote w:id="18">
    <w:p w:rsidR="00DC31E7" w:rsidRPr="000B434C" w:rsidRDefault="00DC31E7" w:rsidP="00211B11">
      <w:pPr>
        <w:pStyle w:val="FootnoteText"/>
        <w:ind w:left="567" w:hanging="567"/>
      </w:pPr>
      <w:r w:rsidRPr="000B434C">
        <w:rPr>
          <w:rStyle w:val="FootnoteReference"/>
        </w:rPr>
        <w:footnoteRef/>
      </w:r>
      <w:r w:rsidRPr="000B434C">
        <w:tab/>
        <w:t>As defined in Article</w:t>
      </w:r>
      <w:r>
        <w:t> </w:t>
      </w:r>
      <w:r w:rsidRPr="000B434C">
        <w:t>4(4) PSD2.</w:t>
      </w:r>
    </w:p>
  </w:footnote>
  <w:footnote w:id="19">
    <w:p w:rsidR="00DC31E7" w:rsidRPr="000B434C" w:rsidRDefault="00DC31E7" w:rsidP="00211B11">
      <w:pPr>
        <w:pStyle w:val="FootnoteText"/>
        <w:ind w:left="567" w:hanging="567"/>
      </w:pPr>
      <w:r w:rsidRPr="000B434C">
        <w:rPr>
          <w:rStyle w:val="FootnoteReference"/>
        </w:rPr>
        <w:footnoteRef/>
      </w:r>
      <w:r w:rsidRPr="000B434C">
        <w:tab/>
        <w:t>As defined in point (1) of Article</w:t>
      </w:r>
      <w:r>
        <w:t> </w:t>
      </w:r>
      <w:r w:rsidRPr="000B434C">
        <w:t xml:space="preserve">2 of Directive 2009/110/EC (Electronic Money </w:t>
      </w:r>
      <w:r w:rsidR="00ED26FE">
        <w:t>Directive</w:t>
      </w:r>
      <w:r w:rsidRPr="000B434C">
        <w:t>).</w:t>
      </w:r>
    </w:p>
  </w:footnote>
  <w:footnote w:id="20">
    <w:p w:rsidR="00DC31E7" w:rsidRPr="000B434C" w:rsidRDefault="00DC31E7" w:rsidP="00211B11">
      <w:pPr>
        <w:pStyle w:val="FootnoteText"/>
        <w:ind w:left="567" w:hanging="567"/>
      </w:pPr>
      <w:r w:rsidRPr="000B434C">
        <w:rPr>
          <w:rStyle w:val="FootnoteReference"/>
        </w:rPr>
        <w:footnoteRef/>
      </w:r>
      <w:r w:rsidRPr="000B434C">
        <w:tab/>
        <w:t>Directive 98/26/EC of the European Parliament and of the Council of 19</w:t>
      </w:r>
      <w:r>
        <w:t> </w:t>
      </w:r>
      <w:r w:rsidRPr="000B434C">
        <w:t>May 1998 on settlement finality in payment and securities settlement systems.</w:t>
      </w:r>
    </w:p>
  </w:footnote>
  <w:footnote w:id="21">
    <w:p w:rsidR="00DC31E7" w:rsidRPr="000B434C" w:rsidRDefault="00DC31E7" w:rsidP="00211B11">
      <w:pPr>
        <w:pStyle w:val="FootnoteText"/>
        <w:ind w:left="567" w:hanging="567"/>
      </w:pPr>
      <w:r w:rsidRPr="000B434C">
        <w:rPr>
          <w:rStyle w:val="FootnoteReference"/>
        </w:rPr>
        <w:footnoteRef/>
      </w:r>
      <w:r w:rsidRPr="000B434C">
        <w:tab/>
      </w:r>
      <w:hyperlink r:id="rId2" w:history="1">
        <w:r w:rsidR="0001174B" w:rsidRPr="00D707CA">
          <w:rPr>
            <w:rStyle w:val="Hyperlink"/>
          </w:rPr>
          <w:t>https://ec.europa.eu/info/sites/default/files/171123-report-sepa-requirements_en.pdf</w:t>
        </w:r>
      </w:hyperlink>
      <w:r w:rsidR="0001174B">
        <w:t xml:space="preserve"> </w:t>
      </w:r>
    </w:p>
  </w:footnote>
  <w:footnote w:id="22">
    <w:p w:rsidR="00DC31E7" w:rsidRPr="000B434C" w:rsidRDefault="00DC31E7" w:rsidP="00211B11">
      <w:pPr>
        <w:pStyle w:val="FootnoteText"/>
        <w:ind w:left="567" w:hanging="567"/>
      </w:pPr>
      <w:r w:rsidRPr="000B434C">
        <w:rPr>
          <w:rStyle w:val="FootnoteReference"/>
        </w:rPr>
        <w:footnoteRef/>
      </w:r>
      <w:r w:rsidRPr="000B434C">
        <w:tab/>
      </w:r>
      <w:hyperlink r:id="rId3" w:history="1">
        <w:r w:rsidR="00324BCA" w:rsidRPr="0056243B">
          <w:rPr>
            <w:rStyle w:val="Hyperlink"/>
          </w:rPr>
          <w:t>https://ec.europa.eu/info/consultations/finance-2020-retail-payments-strategy_en</w:t>
        </w:r>
      </w:hyperlink>
      <w:r w:rsidR="00324BCA">
        <w:t xml:space="preserve"> </w:t>
      </w:r>
    </w:p>
  </w:footnote>
  <w:footnote w:id="23">
    <w:p w:rsidR="00DC31E7" w:rsidRPr="000B434C" w:rsidRDefault="00DC31E7" w:rsidP="00211B11">
      <w:pPr>
        <w:pStyle w:val="FootnoteText"/>
        <w:ind w:left="567" w:hanging="567"/>
      </w:pPr>
      <w:r w:rsidRPr="000B434C">
        <w:rPr>
          <w:rStyle w:val="FootnoteReference"/>
        </w:rPr>
        <w:footnoteRef/>
      </w:r>
      <w:r w:rsidRPr="000B434C">
        <w:tab/>
      </w:r>
      <w:hyperlink r:id="rId4" w:history="1">
        <w:r w:rsidRPr="000B434C">
          <w:rPr>
            <w:rStyle w:val="Hyperlink"/>
          </w:rPr>
          <w:t>https://ec.europa.eu/info/law/better-regulation/have-your-say/initiatives/12931-Instant-payments_en</w:t>
        </w:r>
      </w:hyperlink>
    </w:p>
  </w:footnote>
  <w:footnote w:id="24">
    <w:p w:rsidR="00DC31E7" w:rsidRPr="000B434C" w:rsidRDefault="00DC31E7" w:rsidP="00211B11">
      <w:pPr>
        <w:pStyle w:val="FootnoteText"/>
        <w:ind w:left="567" w:hanging="567"/>
      </w:pPr>
      <w:r w:rsidRPr="000B434C">
        <w:rPr>
          <w:rStyle w:val="FootnoteReference"/>
        </w:rPr>
        <w:footnoteRef/>
      </w:r>
      <w:r w:rsidRPr="000B434C">
        <w:tab/>
      </w:r>
      <w:hyperlink r:id="rId5" w:history="1">
        <w:r w:rsidRPr="000B434C">
          <w:rPr>
            <w:rStyle w:val="Hyperlink"/>
          </w:rPr>
          <w:t>https://ec.europa.eu/info/law/better-regulation/have-your-say/initiatives/12931-Instant-Payments/public-consultation_en</w:t>
        </w:r>
      </w:hyperlink>
    </w:p>
  </w:footnote>
  <w:footnote w:id="25">
    <w:p w:rsidR="009B3262" w:rsidRDefault="00AD7620" w:rsidP="00AD7620">
      <w:pPr>
        <w:pStyle w:val="FootnoteText"/>
        <w:ind w:left="567" w:hanging="567"/>
        <w:rPr>
          <w:lang w:val="en-IE"/>
        </w:rPr>
      </w:pPr>
      <w:r>
        <w:rPr>
          <w:rStyle w:val="FootnoteReference"/>
        </w:rPr>
        <w:footnoteRef/>
      </w:r>
      <w:r>
        <w:rPr>
          <w:lang w:val="en-IE"/>
        </w:rPr>
        <w:tab/>
      </w:r>
      <w:hyperlink r:id="rId6" w:anchor=":~:text=%E2%80%A2%E2%80%A2%E2%80%A2-,Target%20group,be%20addressed%20to%20all%20stakeholders." w:history="1">
        <w:r w:rsidR="009B3262" w:rsidRPr="009B3262">
          <w:rPr>
            <w:rStyle w:val="Hyperlink"/>
            <w:lang w:val="en-IE"/>
          </w:rPr>
          <w:t>https://finance.ec.europa.eu/regulation-and-supervision/consultations/2021-instant-payments_en#:~:text=%E2%80%A2%E2%80%A2%E2%80%A2-,Target%20group,be%20addressed%20to%20all%20stakeholders.</w:t>
        </w:r>
      </w:hyperlink>
    </w:p>
    <w:p w:rsidR="009B3262" w:rsidRPr="00D65EFA" w:rsidRDefault="009B3262" w:rsidP="00AD7620">
      <w:pPr>
        <w:pStyle w:val="FootnoteText"/>
        <w:ind w:left="567" w:hanging="567"/>
        <w:rPr>
          <w:lang w:val="en-IE"/>
        </w:rPr>
      </w:pPr>
    </w:p>
  </w:footnote>
  <w:footnote w:id="26">
    <w:p w:rsidR="00DC31E7" w:rsidRPr="000B434C" w:rsidRDefault="00DC31E7" w:rsidP="00211B11">
      <w:pPr>
        <w:pStyle w:val="FootnoteText"/>
        <w:ind w:left="567" w:hanging="567"/>
      </w:pPr>
      <w:r w:rsidRPr="000B434C">
        <w:rPr>
          <w:rStyle w:val="FootnoteReference"/>
        </w:rPr>
        <w:footnoteRef/>
      </w:r>
      <w:r w:rsidRPr="000B434C">
        <w:tab/>
      </w:r>
      <w:hyperlink r:id="rId7" w:history="1">
        <w:r w:rsidR="000F41A0" w:rsidRPr="00D707CA">
          <w:rPr>
            <w:rStyle w:val="Hyperlink"/>
          </w:rPr>
          <w:t>https://finance.ec.europa.eu/events/webinar-exploring-potential-instant-payments-eu-consumers-and-businesses-2021-06-10_en</w:t>
        </w:r>
      </w:hyperlink>
      <w:r w:rsidR="000F41A0">
        <w:t xml:space="preserve"> </w:t>
      </w:r>
      <w:r w:rsidR="000F41A0" w:rsidRPr="000F41A0" w:rsidDel="000F41A0">
        <w:t xml:space="preserve"> </w:t>
      </w:r>
    </w:p>
  </w:footnote>
  <w:footnote w:id="27">
    <w:p w:rsidR="00DC31E7" w:rsidRPr="000B434C" w:rsidRDefault="00DC31E7" w:rsidP="00211B11">
      <w:pPr>
        <w:pStyle w:val="FootnoteText"/>
        <w:ind w:left="567" w:hanging="567"/>
      </w:pPr>
      <w:r w:rsidRPr="000B434C">
        <w:rPr>
          <w:rStyle w:val="FootnoteReference"/>
        </w:rPr>
        <w:footnoteRef/>
      </w:r>
      <w:r w:rsidRPr="000B434C">
        <w:tab/>
      </w:r>
      <w:hyperlink r:id="rId8" w:history="1">
        <w:r w:rsidRPr="008111D4">
          <w:rPr>
            <w:rStyle w:val="Hyperlink"/>
          </w:rPr>
          <w:t>https://op.europa.eu/en/publication-detail/-/publication/735d5b9d-0c5e-11ec-adb1-01aa75ed71a1/language-en/format-PDF/source-228471178</w:t>
        </w:r>
      </w:hyperlink>
    </w:p>
  </w:footnote>
  <w:footnote w:id="28">
    <w:p w:rsidR="00DC31E7" w:rsidRPr="000B434C" w:rsidRDefault="00DC31E7" w:rsidP="00211B11">
      <w:pPr>
        <w:pStyle w:val="FootnoteText"/>
        <w:ind w:left="567" w:hanging="567"/>
      </w:pPr>
      <w:r w:rsidRPr="000B434C">
        <w:rPr>
          <w:rStyle w:val="FootnoteReference"/>
        </w:rPr>
        <w:footnoteRef/>
      </w:r>
      <w:r w:rsidRPr="000B434C">
        <w:tab/>
        <w:t xml:space="preserve">Commission Staff Working Document </w:t>
      </w:r>
      <w:r w:rsidRPr="002A74EE">
        <w:t>SWD(2022)</w:t>
      </w:r>
      <w:r w:rsidR="004A6FCC">
        <w:t xml:space="preserve"> 546</w:t>
      </w:r>
      <w:bookmarkStart w:id="1" w:name="_Hlk114750002"/>
      <w:r w:rsidRPr="002A74EE">
        <w:t>.</w:t>
      </w:r>
      <w:bookmarkEnd w:id="1"/>
    </w:p>
  </w:footnote>
  <w:footnote w:id="29">
    <w:p w:rsidR="00DC31E7" w:rsidRPr="004F3DF5" w:rsidRDefault="00DC31E7" w:rsidP="004B1B84">
      <w:pPr>
        <w:pStyle w:val="FootnoteText"/>
        <w:ind w:left="567" w:hanging="567"/>
        <w:rPr>
          <w:rFonts w:cstheme="minorHAnsi"/>
          <w:lang w:val="en-US"/>
        </w:rPr>
      </w:pPr>
      <w:r w:rsidRPr="00216B93">
        <w:rPr>
          <w:rStyle w:val="FootnoteReference"/>
        </w:rPr>
        <w:footnoteRef/>
      </w:r>
      <w:r w:rsidR="00216B93">
        <w:rPr>
          <w:rFonts w:cstheme="minorHAnsi"/>
        </w:rPr>
        <w:tab/>
      </w:r>
      <w:r w:rsidRPr="004F3DF5">
        <w:rPr>
          <w:rFonts w:cstheme="minorHAnsi"/>
          <w:lang w:val="en-US"/>
        </w:rPr>
        <w:t xml:space="preserve">Administrative costs are defined as “costs borne by businesses, citizens, civil society organisations and public authorities as a result of administrative activities performed to comply with administrative obligations included in legal rules”. </w:t>
      </w:r>
    </w:p>
  </w:footnote>
  <w:footnote w:id="30">
    <w:p w:rsidR="00DC31E7" w:rsidRPr="002D7679" w:rsidRDefault="00DC31E7" w:rsidP="00033C1B">
      <w:pPr>
        <w:pStyle w:val="FootnoteText"/>
        <w:ind w:left="567" w:hanging="567"/>
        <w:rPr>
          <w:lang w:val="en-IE"/>
        </w:rPr>
      </w:pPr>
      <w:r w:rsidRPr="00216B93">
        <w:rPr>
          <w:rStyle w:val="FootnoteReference"/>
        </w:rPr>
        <w:footnoteRef/>
      </w:r>
      <w:r w:rsidR="00216B93">
        <w:tab/>
      </w:r>
      <w:r>
        <w:rPr>
          <w:lang w:val="en-IE"/>
        </w:rPr>
        <w:t xml:space="preserve">See </w:t>
      </w:r>
      <w:r w:rsidRPr="000B434C">
        <w:t xml:space="preserve">Commission Staff Working Document </w:t>
      </w:r>
      <w:r w:rsidRPr="002A74EE">
        <w:t>SWD(2022)</w:t>
      </w:r>
      <w:r w:rsidR="004A6FCC">
        <w:t xml:space="preserve"> 546</w:t>
      </w:r>
    </w:p>
  </w:footnote>
  <w:footnote w:id="31">
    <w:p w:rsidR="00DC31E7" w:rsidRPr="000B434C" w:rsidRDefault="00DC31E7" w:rsidP="00211B11">
      <w:pPr>
        <w:pStyle w:val="FootnoteText"/>
        <w:ind w:left="567" w:hanging="567"/>
      </w:pPr>
      <w:r w:rsidRPr="000B434C">
        <w:rPr>
          <w:rStyle w:val="FootnoteReference"/>
        </w:rPr>
        <w:footnoteRef/>
      </w:r>
      <w:r w:rsidRPr="000B434C">
        <w:tab/>
        <w:t>Regulation (EU) 2016/679 of the European Parliament and of the Council of 27</w:t>
      </w:r>
      <w:r>
        <w:t> </w:t>
      </w:r>
      <w:r w:rsidRPr="000B434C">
        <w:t>April 2016 on the protection of natural persons with regard to the processing of personal data and on the free movement of such data.</w:t>
      </w:r>
    </w:p>
  </w:footnote>
  <w:footnote w:id="32">
    <w:p w:rsidR="00DC31E7" w:rsidRPr="000B434C" w:rsidRDefault="00DC31E7" w:rsidP="00211B11">
      <w:pPr>
        <w:pStyle w:val="FootnoteText"/>
        <w:ind w:left="567" w:hanging="567"/>
      </w:pPr>
      <w:r w:rsidRPr="000B434C">
        <w:rPr>
          <w:rStyle w:val="FootnoteReference"/>
        </w:rPr>
        <w:footnoteRef/>
      </w:r>
      <w:r w:rsidRPr="000B434C">
        <w:tab/>
        <w:t>IBAN serves as the unique identifier as defined in Article</w:t>
      </w:r>
      <w:r>
        <w:t> </w:t>
      </w:r>
      <w:r w:rsidRPr="000B434C">
        <w:t>4(33) of PSD2 and payment account identifier as referred to in Article</w:t>
      </w:r>
      <w:r>
        <w:t> </w:t>
      </w:r>
      <w:r w:rsidRPr="000B434C">
        <w:t>5 of Regulation (EU) No</w:t>
      </w:r>
      <w:r>
        <w:t> </w:t>
      </w:r>
      <w:r w:rsidRPr="000B434C">
        <w:t>260/2012.</w:t>
      </w:r>
    </w:p>
  </w:footnote>
  <w:footnote w:id="33">
    <w:p w:rsidR="00DC31E7" w:rsidRPr="000B434C" w:rsidRDefault="00DC31E7" w:rsidP="002D7679">
      <w:pPr>
        <w:pStyle w:val="FootnoteText"/>
        <w:ind w:left="567" w:hanging="567"/>
        <w:jc w:val="left"/>
      </w:pPr>
      <w:r w:rsidRPr="000B434C">
        <w:rPr>
          <w:rStyle w:val="FootnoteReference"/>
        </w:rPr>
        <w:footnoteRef/>
      </w:r>
      <w:r w:rsidRPr="000B434C">
        <w:tab/>
      </w:r>
      <w:hyperlink r:id="rId9" w:history="1">
        <w:r w:rsidR="00965892" w:rsidRPr="00D707CA">
          <w:rPr>
            <w:rStyle w:val="Hyperlink"/>
          </w:rPr>
          <w:t>https://data.europa.eu/data/datasets/consolidated-list-of-persons-groups-and-entities-subject-to-eu-financial-sanctions?locale=en</w:t>
        </w:r>
      </w:hyperlink>
      <w:r w:rsidR="00965892">
        <w:t xml:space="preserve"> </w:t>
      </w:r>
      <w:r w:rsidR="00965892" w:rsidRPr="00965892" w:rsidDel="00965892">
        <w:t xml:space="preserve"> </w:t>
      </w:r>
    </w:p>
  </w:footnote>
  <w:footnote w:id="34">
    <w:p w:rsidR="00DC31E7" w:rsidRPr="002D7679" w:rsidRDefault="00DC31E7" w:rsidP="002D7679">
      <w:pPr>
        <w:pStyle w:val="FootnoteText"/>
        <w:ind w:left="567" w:hanging="567"/>
        <w:rPr>
          <w:lang w:val="en-IE"/>
        </w:rPr>
      </w:pPr>
      <w:r w:rsidRPr="00216B93">
        <w:rPr>
          <w:rStyle w:val="FootnoteReference"/>
        </w:rPr>
        <w:footnoteRef/>
      </w:r>
      <w:r w:rsidR="00216B93">
        <w:tab/>
      </w:r>
      <w:r>
        <w:rPr>
          <w:szCs w:val="24"/>
        </w:rPr>
        <w:t>OJ C […], […], p. […].</w:t>
      </w:r>
    </w:p>
  </w:footnote>
  <w:footnote w:id="35">
    <w:p w:rsidR="00DC31E7" w:rsidRPr="002D7679" w:rsidRDefault="00DC31E7" w:rsidP="002D7679">
      <w:pPr>
        <w:pStyle w:val="FootnoteText"/>
        <w:ind w:left="567" w:hanging="567"/>
        <w:rPr>
          <w:lang w:val="en-IE"/>
        </w:rPr>
      </w:pPr>
      <w:r w:rsidRPr="00216B93">
        <w:rPr>
          <w:rStyle w:val="FootnoteReference"/>
        </w:rPr>
        <w:footnoteRef/>
      </w:r>
      <w:r w:rsidR="00216B93">
        <w:tab/>
      </w:r>
      <w:r>
        <w:rPr>
          <w:szCs w:val="24"/>
        </w:rPr>
        <w:t>OJ C […], […], p. […].</w:t>
      </w:r>
    </w:p>
  </w:footnote>
  <w:footnote w:id="36">
    <w:p w:rsidR="00DC31E7" w:rsidRPr="002960E1" w:rsidRDefault="00DC31E7" w:rsidP="00C5465F">
      <w:pPr>
        <w:pStyle w:val="FootnoteText"/>
        <w:ind w:left="567" w:hanging="567"/>
        <w:rPr>
          <w:lang w:val="en-IE"/>
        </w:rPr>
      </w:pPr>
      <w:r w:rsidRPr="00C064F6">
        <w:rPr>
          <w:rStyle w:val="FootnoteReference"/>
        </w:rPr>
        <w:footnoteRef/>
      </w:r>
      <w:r>
        <w:tab/>
      </w:r>
      <w:r w:rsidRPr="002960E1">
        <w:t>Regulation (EU) No 260/2012 of the European Parliament and of the Council of 14 March 2012 establishing technical and business requirements for credit transfers and direct debits in euro and amending Regulation (EC) No 924/2009 (OJ L 94, 30.3.2012, p. 22).</w:t>
      </w:r>
    </w:p>
  </w:footnote>
  <w:footnote w:id="37">
    <w:p w:rsidR="00DC31E7" w:rsidRPr="0072575A" w:rsidRDefault="00DC31E7" w:rsidP="00C5465F">
      <w:pPr>
        <w:pStyle w:val="FootnoteText"/>
        <w:ind w:left="567" w:hanging="567"/>
      </w:pPr>
      <w:r w:rsidRPr="00C064F6">
        <w:rPr>
          <w:rStyle w:val="FootnoteReference"/>
        </w:rPr>
        <w:footnoteRef/>
      </w:r>
      <w:r>
        <w:tab/>
      </w:r>
      <w:r w:rsidRPr="0072575A">
        <w:t>Directive 98/26/EC of the European Parliament and of the Council of 19 May 1998 on settlement finality in payment and securities settlement systems (OJ L 166, 11.6.1998, p. 45).</w:t>
      </w:r>
    </w:p>
  </w:footnote>
  <w:footnote w:id="38">
    <w:p w:rsidR="00DC31E7" w:rsidRPr="00583160" w:rsidRDefault="00DC31E7" w:rsidP="00C5465F">
      <w:pPr>
        <w:pStyle w:val="FootnoteText"/>
        <w:ind w:left="567" w:hanging="567"/>
      </w:pPr>
      <w:r w:rsidRPr="00C064F6">
        <w:rPr>
          <w:rStyle w:val="FootnoteReference"/>
        </w:rPr>
        <w:footnoteRef/>
      </w:r>
      <w:r>
        <w:tab/>
      </w:r>
      <w:r w:rsidRPr="00583160">
        <w:t>Directive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39">
    <w:p w:rsidR="007B7F3A" w:rsidRPr="00E52251" w:rsidRDefault="007B7F3A" w:rsidP="007B7F3A">
      <w:pPr>
        <w:pStyle w:val="FootnoteText"/>
        <w:ind w:left="567" w:hanging="567"/>
      </w:pPr>
      <w:r w:rsidRPr="00C064F6">
        <w:rPr>
          <w:rStyle w:val="FootnoteReference"/>
        </w:rPr>
        <w:footnoteRef/>
      </w:r>
      <w:r>
        <w:tab/>
      </w:r>
      <w:r w:rsidRPr="00E52251">
        <w:t xml:space="preserve">Regulation (EU) 2021/1230 of the European Parliament and of the Council of 14 July 2021 on cross-border payments in the Union </w:t>
      </w:r>
      <w:r>
        <w:t>(OJ L 274, 30.7.2021, p. 20).</w:t>
      </w:r>
    </w:p>
  </w:footnote>
  <w:footnote w:id="40">
    <w:p w:rsidR="00DC31E7" w:rsidRPr="00310D8E" w:rsidRDefault="00DC31E7" w:rsidP="00931E75">
      <w:pPr>
        <w:pStyle w:val="FootnoteText"/>
        <w:ind w:left="567" w:hanging="567"/>
      </w:pPr>
      <w:r w:rsidRPr="00CA104C">
        <w:rPr>
          <w:rStyle w:val="FootnoteReference"/>
        </w:rPr>
        <w:footnoteRef/>
      </w:r>
      <w:r>
        <w:tab/>
      </w:r>
      <w:r w:rsidRPr="00310D8E">
        <w:t>Regulation (EU) 2016/679 of the European Parliament and of the Council of 27 April 2016 on the protection of natural persons with regard to the processing of personal data and on the free movement of such data</w:t>
      </w:r>
      <w:r>
        <w:t>.</w:t>
      </w:r>
    </w:p>
  </w:footnote>
  <w:footnote w:id="41">
    <w:p w:rsidR="00DC31E7" w:rsidRDefault="00DC31E7" w:rsidP="00F1524E">
      <w:pPr>
        <w:pStyle w:val="FootnoteText"/>
        <w:ind w:left="567" w:hanging="567"/>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(OJ L 295, 21.11.2018, p. 39–98).</w:t>
      </w:r>
    </w:p>
  </w:footnote>
  <w:footnote w:id="42">
    <w:p w:rsidR="00DC31E7" w:rsidRDefault="00DC31E7" w:rsidP="00F1524E">
      <w:pPr>
        <w:pStyle w:val="FootnoteText"/>
        <w:ind w:left="567" w:hanging="567"/>
        <w:rPr>
          <w:lang w:val="en-IE"/>
        </w:rPr>
      </w:pPr>
      <w:r>
        <w:rPr>
          <w:rStyle w:val="FootnoteReference"/>
        </w:rPr>
        <w:footnoteRef/>
      </w:r>
      <w:r>
        <w:rPr>
          <w:lang w:val="en-IE"/>
        </w:rPr>
        <w:tab/>
      </w:r>
      <w:r w:rsidR="00167CFD">
        <w:rPr>
          <w:szCs w:val="24"/>
        </w:rPr>
        <w:t>OJ C […], […], 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94" w:rsidRPr="00256C94" w:rsidRDefault="00256C94" w:rsidP="00256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94" w:rsidRPr="00256C94" w:rsidRDefault="00256C94" w:rsidP="00256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94" w:rsidRPr="00256C94" w:rsidRDefault="00256C94" w:rsidP="00256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4CA35A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6C2650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9D6675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A8CAB0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C4AD5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A02E18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496D05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F8A0FF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19"/>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11-09 13:23:25"/>
    <w:docVar w:name="DQCNUMB_1" w:val="32"/>
    <w:docVar w:name="DQCNUMB_10" w:val="44"/>
    <w:docVar w:name="DQCNUMB_11" w:val="45"/>
    <w:docVar w:name="DQCNUMB_12" w:val="46"/>
    <w:docVar w:name="DQCNUMB_13" w:val="47"/>
    <w:docVar w:name="DQCNUMB_14" w:val="48"/>
    <w:docVar w:name="DQCNUMB_15" w:val="49"/>
    <w:docVar w:name="DQCNUMB_16" w:val="50"/>
    <w:docVar w:name="DQCNUMB_17" w:val="51"/>
    <w:docVar w:name="DQCNUMB_18" w:val="55"/>
    <w:docVar w:name="DQCNUMB_19" w:val="56"/>
    <w:docVar w:name="DQCNUMB_2" w:val="33"/>
    <w:docVar w:name="DQCNUMB_20" w:val="58"/>
    <w:docVar w:name="DQCNUMB_21" w:val="59"/>
    <w:docVar w:name="DQCNUMB_22" w:val="60"/>
    <w:docVar w:name="DQCNUMB_23" w:val="61"/>
    <w:docVar w:name="DQCNUMB_24" w:val="63"/>
    <w:docVar w:name="DQCNUMB_25" w:val="64"/>
    <w:docVar w:name="DQCNUMB_26" w:val="65"/>
    <w:docVar w:name="DQCNUMB_27" w:val="66"/>
    <w:docVar w:name="DQCNUMB_28" w:val="153"/>
    <w:docVar w:name="DQCNUMB_29" w:val="167"/>
    <w:docVar w:name="DQCNUMB_3" w:val="34"/>
    <w:docVar w:name="DQCNUMB_30" w:val="170"/>
    <w:docVar w:name="DQCNUMB_31" w:val="171"/>
    <w:docVar w:name="DQCNUMB_32" w:val="174"/>
    <w:docVar w:name="DQCNUMB_33" w:val="175"/>
    <w:docVar w:name="DQCNUMB_34" w:val="176"/>
    <w:docVar w:name="DQCNUMB_35" w:val="177"/>
    <w:docVar w:name="DQCNUMB_36" w:val="178"/>
    <w:docVar w:name="DQCNUMB_37" w:val="179"/>
    <w:docVar w:name="DQCNUMB_38" w:val="182"/>
    <w:docVar w:name="DQCNUMB_39" w:val="183"/>
    <w:docVar w:name="DQCNUMB_4" w:val="35"/>
    <w:docVar w:name="DQCNUMB_40" w:val="187"/>
    <w:docVar w:name="DQCNUMB_41" w:val="189"/>
    <w:docVar w:name="DQCNUMB_42" w:val="190"/>
    <w:docVar w:name="DQCNUMB_43" w:val="191"/>
    <w:docVar w:name="DQCNUMB_44" w:val="192"/>
    <w:docVar w:name="DQCNUMB_45" w:val="193"/>
    <w:docVar w:name="DQCNUMB_46" w:val="202"/>
    <w:docVar w:name="DQCNUMB_47" w:val="208"/>
    <w:docVar w:name="DQCNUMB_48" w:val="215"/>
    <w:docVar w:name="DQCNUMB_5" w:val="36"/>
    <w:docVar w:name="DQCNUMB_6" w:val="37"/>
    <w:docVar w:name="DQCNUMB_7" w:val="38"/>
    <w:docVar w:name="DQCNUMB_8" w:val="39"/>
    <w:docVar w:name="DQCNUMB_9" w:val="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This document corrects document COM(2022)546 final_x000b_Concerns the EN version only_x000b_Minor correction in footnote 18_x000b_The text shall read as follows:"/>
    <w:docVar w:name="LW_COVERPAGE_EXISTS" w:val="True"/>
    <w:docVar w:name="LW_COVERPAGE_GUID" w:val="BD918514-B837-4D6B-B71A-B5940B84670E"/>
    <w:docVar w:name="LW_COVERPAGE_TYPE" w:val="1"/>
    <w:docVar w:name="LW_CROSSREFERENCE" w:val="{SEC(2022) 546 final} - {SWD(2022) 546 final} - {SWD(2022) 547 final}"/>
    <w:docVar w:name="LW_DocType" w:val="COM"/>
    <w:docVar w:name="LW_EMISSION" w:val="26.10.2022"/>
    <w:docVar w:name="LW_EMISSION_ISODATE" w:val="2022-10-2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41"/>
    <w:docVar w:name="LW_REF.II.NEW.CP_YEAR" w:val="2022"/>
    <w:docVar w:name="LW_REF.INST.NEW" w:val="COM"/>
    <w:docVar w:name="LW_REF.INST.NEW_ADOPTED" w:val="final/2"/>
    <w:docVar w:name="LW_REF.INST.NEW_TEXT" w:val="(2022)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s (EU) No 260/2012 and (EU) 2021/1230 as regards instant credit transfers in euro"/>
    <w:docVar w:name="LW_TYPE.DOC.CP" w:val="REGULATION OF THE EUROPEAN PARLIAMENT AND OF THE COUNCIL"/>
    <w:docVar w:name="LwApiVersions" w:val="LW4CoDe 1.23.2.0; LW 8.0, Build 20211117"/>
  </w:docVars>
  <w:rsids>
    <w:rsidRoot w:val="00C961C5"/>
    <w:rsid w:val="00000B00"/>
    <w:rsid w:val="00001B5A"/>
    <w:rsid w:val="0000619C"/>
    <w:rsid w:val="000077AB"/>
    <w:rsid w:val="00010476"/>
    <w:rsid w:val="0001174B"/>
    <w:rsid w:val="00013C49"/>
    <w:rsid w:val="0001446C"/>
    <w:rsid w:val="00015EAE"/>
    <w:rsid w:val="00021E5B"/>
    <w:rsid w:val="00022F21"/>
    <w:rsid w:val="000231D0"/>
    <w:rsid w:val="00025ACF"/>
    <w:rsid w:val="00025F70"/>
    <w:rsid w:val="00032055"/>
    <w:rsid w:val="00032D6B"/>
    <w:rsid w:val="000337CD"/>
    <w:rsid w:val="00033C1B"/>
    <w:rsid w:val="000342D6"/>
    <w:rsid w:val="000347E3"/>
    <w:rsid w:val="000400B7"/>
    <w:rsid w:val="000406F3"/>
    <w:rsid w:val="000409A4"/>
    <w:rsid w:val="00040A97"/>
    <w:rsid w:val="00042032"/>
    <w:rsid w:val="000430DE"/>
    <w:rsid w:val="000463C6"/>
    <w:rsid w:val="00046D7C"/>
    <w:rsid w:val="00047FEF"/>
    <w:rsid w:val="00050DE1"/>
    <w:rsid w:val="000541D7"/>
    <w:rsid w:val="00055667"/>
    <w:rsid w:val="000571D5"/>
    <w:rsid w:val="00057AAE"/>
    <w:rsid w:val="0006141F"/>
    <w:rsid w:val="00063785"/>
    <w:rsid w:val="00065DFB"/>
    <w:rsid w:val="00070F66"/>
    <w:rsid w:val="00071847"/>
    <w:rsid w:val="0007212B"/>
    <w:rsid w:val="000722AC"/>
    <w:rsid w:val="00072511"/>
    <w:rsid w:val="000738A6"/>
    <w:rsid w:val="000757CD"/>
    <w:rsid w:val="00077AD4"/>
    <w:rsid w:val="00080680"/>
    <w:rsid w:val="0008100D"/>
    <w:rsid w:val="00081330"/>
    <w:rsid w:val="000818BE"/>
    <w:rsid w:val="000828FF"/>
    <w:rsid w:val="0008398F"/>
    <w:rsid w:val="00084307"/>
    <w:rsid w:val="00084A82"/>
    <w:rsid w:val="0008639D"/>
    <w:rsid w:val="00090DC8"/>
    <w:rsid w:val="00090F7C"/>
    <w:rsid w:val="0009122E"/>
    <w:rsid w:val="00095840"/>
    <w:rsid w:val="00096D89"/>
    <w:rsid w:val="000973E4"/>
    <w:rsid w:val="000A022D"/>
    <w:rsid w:val="000A0A0A"/>
    <w:rsid w:val="000A1AB9"/>
    <w:rsid w:val="000A7190"/>
    <w:rsid w:val="000B2D55"/>
    <w:rsid w:val="000B51FB"/>
    <w:rsid w:val="000B7A7D"/>
    <w:rsid w:val="000C1D69"/>
    <w:rsid w:val="000C2FFB"/>
    <w:rsid w:val="000C4F6E"/>
    <w:rsid w:val="000C717D"/>
    <w:rsid w:val="000D0879"/>
    <w:rsid w:val="000D260D"/>
    <w:rsid w:val="000D2DC4"/>
    <w:rsid w:val="000D4319"/>
    <w:rsid w:val="000D5784"/>
    <w:rsid w:val="000D7951"/>
    <w:rsid w:val="000D7FCC"/>
    <w:rsid w:val="000E1C85"/>
    <w:rsid w:val="000E2633"/>
    <w:rsid w:val="000E44DE"/>
    <w:rsid w:val="000E5267"/>
    <w:rsid w:val="000F0471"/>
    <w:rsid w:val="000F1906"/>
    <w:rsid w:val="000F3A72"/>
    <w:rsid w:val="000F41A0"/>
    <w:rsid w:val="000F4274"/>
    <w:rsid w:val="00102A0A"/>
    <w:rsid w:val="00102DF8"/>
    <w:rsid w:val="00106C8D"/>
    <w:rsid w:val="001072DD"/>
    <w:rsid w:val="001078DB"/>
    <w:rsid w:val="001110B0"/>
    <w:rsid w:val="00111B56"/>
    <w:rsid w:val="001121CE"/>
    <w:rsid w:val="00112313"/>
    <w:rsid w:val="001139A3"/>
    <w:rsid w:val="00113A95"/>
    <w:rsid w:val="001143A8"/>
    <w:rsid w:val="0011445E"/>
    <w:rsid w:val="00115067"/>
    <w:rsid w:val="00122A01"/>
    <w:rsid w:val="00123650"/>
    <w:rsid w:val="001242BB"/>
    <w:rsid w:val="00124FFC"/>
    <w:rsid w:val="00130718"/>
    <w:rsid w:val="00130867"/>
    <w:rsid w:val="00131DF3"/>
    <w:rsid w:val="0013432E"/>
    <w:rsid w:val="0013478B"/>
    <w:rsid w:val="00135BFA"/>
    <w:rsid w:val="001361B9"/>
    <w:rsid w:val="00136A10"/>
    <w:rsid w:val="001448F1"/>
    <w:rsid w:val="00146B09"/>
    <w:rsid w:val="00152894"/>
    <w:rsid w:val="00153922"/>
    <w:rsid w:val="00153B37"/>
    <w:rsid w:val="00154E7E"/>
    <w:rsid w:val="00156AFB"/>
    <w:rsid w:val="0016046A"/>
    <w:rsid w:val="00164694"/>
    <w:rsid w:val="00165BA5"/>
    <w:rsid w:val="00167CFD"/>
    <w:rsid w:val="001714E6"/>
    <w:rsid w:val="00171658"/>
    <w:rsid w:val="001744B6"/>
    <w:rsid w:val="001747E9"/>
    <w:rsid w:val="001748ED"/>
    <w:rsid w:val="00175456"/>
    <w:rsid w:val="00181BB8"/>
    <w:rsid w:val="001826B4"/>
    <w:rsid w:val="0018398F"/>
    <w:rsid w:val="00185117"/>
    <w:rsid w:val="00191779"/>
    <w:rsid w:val="00192ADE"/>
    <w:rsid w:val="001977F9"/>
    <w:rsid w:val="001A0C28"/>
    <w:rsid w:val="001A23BE"/>
    <w:rsid w:val="001A72BB"/>
    <w:rsid w:val="001B2D29"/>
    <w:rsid w:val="001B723A"/>
    <w:rsid w:val="001C1668"/>
    <w:rsid w:val="001C17DC"/>
    <w:rsid w:val="001C1D26"/>
    <w:rsid w:val="001C1EA2"/>
    <w:rsid w:val="001C50C0"/>
    <w:rsid w:val="001C688D"/>
    <w:rsid w:val="001C689A"/>
    <w:rsid w:val="001C76E5"/>
    <w:rsid w:val="001C7CF9"/>
    <w:rsid w:val="001D4304"/>
    <w:rsid w:val="001D4D20"/>
    <w:rsid w:val="001D56E9"/>
    <w:rsid w:val="001E056F"/>
    <w:rsid w:val="001E47EA"/>
    <w:rsid w:val="001E5814"/>
    <w:rsid w:val="001E5A1D"/>
    <w:rsid w:val="001E73DD"/>
    <w:rsid w:val="001F0DF4"/>
    <w:rsid w:val="001F1B06"/>
    <w:rsid w:val="001F236D"/>
    <w:rsid w:val="00201BAE"/>
    <w:rsid w:val="00203D29"/>
    <w:rsid w:val="002059BB"/>
    <w:rsid w:val="00206757"/>
    <w:rsid w:val="00207474"/>
    <w:rsid w:val="00210DBD"/>
    <w:rsid w:val="00211B11"/>
    <w:rsid w:val="00213947"/>
    <w:rsid w:val="00213AED"/>
    <w:rsid w:val="00216B93"/>
    <w:rsid w:val="00221D0D"/>
    <w:rsid w:val="00222F9B"/>
    <w:rsid w:val="002238AF"/>
    <w:rsid w:val="00227098"/>
    <w:rsid w:val="00227AD3"/>
    <w:rsid w:val="00230A6D"/>
    <w:rsid w:val="002323AE"/>
    <w:rsid w:val="00232988"/>
    <w:rsid w:val="00232AAE"/>
    <w:rsid w:val="00236E03"/>
    <w:rsid w:val="0024005A"/>
    <w:rsid w:val="002423AE"/>
    <w:rsid w:val="002441CC"/>
    <w:rsid w:val="002450FD"/>
    <w:rsid w:val="00247465"/>
    <w:rsid w:val="002500FF"/>
    <w:rsid w:val="0025137B"/>
    <w:rsid w:val="00251977"/>
    <w:rsid w:val="00253577"/>
    <w:rsid w:val="00253DB6"/>
    <w:rsid w:val="00256C94"/>
    <w:rsid w:val="00260678"/>
    <w:rsid w:val="00260FBB"/>
    <w:rsid w:val="002624DF"/>
    <w:rsid w:val="00263F94"/>
    <w:rsid w:val="00264B7C"/>
    <w:rsid w:val="002671FD"/>
    <w:rsid w:val="002724C7"/>
    <w:rsid w:val="0027367A"/>
    <w:rsid w:val="002754E2"/>
    <w:rsid w:val="00277A55"/>
    <w:rsid w:val="0028013A"/>
    <w:rsid w:val="00281564"/>
    <w:rsid w:val="00281C2A"/>
    <w:rsid w:val="00282496"/>
    <w:rsid w:val="00282EFC"/>
    <w:rsid w:val="002838E6"/>
    <w:rsid w:val="002857ED"/>
    <w:rsid w:val="002873D0"/>
    <w:rsid w:val="00287D28"/>
    <w:rsid w:val="002900BA"/>
    <w:rsid w:val="00290310"/>
    <w:rsid w:val="00291CE5"/>
    <w:rsid w:val="002933FC"/>
    <w:rsid w:val="002948DA"/>
    <w:rsid w:val="002960E1"/>
    <w:rsid w:val="0029721E"/>
    <w:rsid w:val="00297465"/>
    <w:rsid w:val="00297F38"/>
    <w:rsid w:val="002A1EFD"/>
    <w:rsid w:val="002A3BDF"/>
    <w:rsid w:val="002A519C"/>
    <w:rsid w:val="002A5A50"/>
    <w:rsid w:val="002A74EE"/>
    <w:rsid w:val="002A76BD"/>
    <w:rsid w:val="002B1EEC"/>
    <w:rsid w:val="002B45E3"/>
    <w:rsid w:val="002B5249"/>
    <w:rsid w:val="002C0B23"/>
    <w:rsid w:val="002D1292"/>
    <w:rsid w:val="002D2825"/>
    <w:rsid w:val="002D4EB4"/>
    <w:rsid w:val="002D5511"/>
    <w:rsid w:val="002D71B9"/>
    <w:rsid w:val="002D7679"/>
    <w:rsid w:val="002E461C"/>
    <w:rsid w:val="002E7A18"/>
    <w:rsid w:val="002F16C9"/>
    <w:rsid w:val="002F20E9"/>
    <w:rsid w:val="002F34C6"/>
    <w:rsid w:val="002F6EE2"/>
    <w:rsid w:val="002F7AEF"/>
    <w:rsid w:val="00306F78"/>
    <w:rsid w:val="003071DF"/>
    <w:rsid w:val="00310035"/>
    <w:rsid w:val="003125C7"/>
    <w:rsid w:val="00315E38"/>
    <w:rsid w:val="00320C94"/>
    <w:rsid w:val="003211F9"/>
    <w:rsid w:val="0032164A"/>
    <w:rsid w:val="00321687"/>
    <w:rsid w:val="003226BB"/>
    <w:rsid w:val="00322811"/>
    <w:rsid w:val="0032363C"/>
    <w:rsid w:val="00324BCA"/>
    <w:rsid w:val="00324C04"/>
    <w:rsid w:val="003258CA"/>
    <w:rsid w:val="00325C16"/>
    <w:rsid w:val="00327CC0"/>
    <w:rsid w:val="003334FC"/>
    <w:rsid w:val="0033381A"/>
    <w:rsid w:val="00340508"/>
    <w:rsid w:val="0034239F"/>
    <w:rsid w:val="0034289A"/>
    <w:rsid w:val="00342A86"/>
    <w:rsid w:val="003431F4"/>
    <w:rsid w:val="00343277"/>
    <w:rsid w:val="003439D0"/>
    <w:rsid w:val="00344C8E"/>
    <w:rsid w:val="00354B0F"/>
    <w:rsid w:val="00355A69"/>
    <w:rsid w:val="00356C57"/>
    <w:rsid w:val="00360A31"/>
    <w:rsid w:val="00363E45"/>
    <w:rsid w:val="00364460"/>
    <w:rsid w:val="00365341"/>
    <w:rsid w:val="00366326"/>
    <w:rsid w:val="003705D0"/>
    <w:rsid w:val="0037191A"/>
    <w:rsid w:val="00372F3E"/>
    <w:rsid w:val="003748BA"/>
    <w:rsid w:val="00376A3A"/>
    <w:rsid w:val="00377076"/>
    <w:rsid w:val="003770A9"/>
    <w:rsid w:val="003800E7"/>
    <w:rsid w:val="00381495"/>
    <w:rsid w:val="0038221F"/>
    <w:rsid w:val="0038265E"/>
    <w:rsid w:val="003863EE"/>
    <w:rsid w:val="0039470A"/>
    <w:rsid w:val="00394B0E"/>
    <w:rsid w:val="00394B56"/>
    <w:rsid w:val="00396ACD"/>
    <w:rsid w:val="00396E99"/>
    <w:rsid w:val="003A0D03"/>
    <w:rsid w:val="003A1C43"/>
    <w:rsid w:val="003A4DA6"/>
    <w:rsid w:val="003B174C"/>
    <w:rsid w:val="003B691A"/>
    <w:rsid w:val="003B71D4"/>
    <w:rsid w:val="003B769B"/>
    <w:rsid w:val="003C0263"/>
    <w:rsid w:val="003C1AC6"/>
    <w:rsid w:val="003C2672"/>
    <w:rsid w:val="003C271C"/>
    <w:rsid w:val="003C2E8F"/>
    <w:rsid w:val="003C55FC"/>
    <w:rsid w:val="003C597E"/>
    <w:rsid w:val="003C6F01"/>
    <w:rsid w:val="003C7A44"/>
    <w:rsid w:val="003D003F"/>
    <w:rsid w:val="003D1628"/>
    <w:rsid w:val="003D1B06"/>
    <w:rsid w:val="003D5CED"/>
    <w:rsid w:val="003E201F"/>
    <w:rsid w:val="003E2B19"/>
    <w:rsid w:val="003E3DBA"/>
    <w:rsid w:val="003E45F9"/>
    <w:rsid w:val="003E5FA0"/>
    <w:rsid w:val="003F52B4"/>
    <w:rsid w:val="003F7ED1"/>
    <w:rsid w:val="00401188"/>
    <w:rsid w:val="004029B5"/>
    <w:rsid w:val="00402FBF"/>
    <w:rsid w:val="00404A4B"/>
    <w:rsid w:val="0040520E"/>
    <w:rsid w:val="0040611A"/>
    <w:rsid w:val="00407174"/>
    <w:rsid w:val="00407D65"/>
    <w:rsid w:val="0041161F"/>
    <w:rsid w:val="00411AF9"/>
    <w:rsid w:val="00421785"/>
    <w:rsid w:val="00421E05"/>
    <w:rsid w:val="004228CF"/>
    <w:rsid w:val="00422CC4"/>
    <w:rsid w:val="00423CD3"/>
    <w:rsid w:val="00424162"/>
    <w:rsid w:val="00425BE7"/>
    <w:rsid w:val="004336E0"/>
    <w:rsid w:val="00435287"/>
    <w:rsid w:val="00437AA5"/>
    <w:rsid w:val="0044162B"/>
    <w:rsid w:val="00442C19"/>
    <w:rsid w:val="00447AFD"/>
    <w:rsid w:val="00450BBC"/>
    <w:rsid w:val="00450E99"/>
    <w:rsid w:val="00454750"/>
    <w:rsid w:val="00463043"/>
    <w:rsid w:val="00464990"/>
    <w:rsid w:val="004670C5"/>
    <w:rsid w:val="00471896"/>
    <w:rsid w:val="00472316"/>
    <w:rsid w:val="00473889"/>
    <w:rsid w:val="00477183"/>
    <w:rsid w:val="00481647"/>
    <w:rsid w:val="00490FAC"/>
    <w:rsid w:val="00492396"/>
    <w:rsid w:val="0049564D"/>
    <w:rsid w:val="004A05D9"/>
    <w:rsid w:val="004A05FD"/>
    <w:rsid w:val="004A41C6"/>
    <w:rsid w:val="004A51F8"/>
    <w:rsid w:val="004A663B"/>
    <w:rsid w:val="004A6C7A"/>
    <w:rsid w:val="004A6CA2"/>
    <w:rsid w:val="004A6FCC"/>
    <w:rsid w:val="004A7206"/>
    <w:rsid w:val="004B1B84"/>
    <w:rsid w:val="004B3F22"/>
    <w:rsid w:val="004B7BE2"/>
    <w:rsid w:val="004C142E"/>
    <w:rsid w:val="004C25E9"/>
    <w:rsid w:val="004C5316"/>
    <w:rsid w:val="004D4845"/>
    <w:rsid w:val="004D65CF"/>
    <w:rsid w:val="004E1253"/>
    <w:rsid w:val="004E19F9"/>
    <w:rsid w:val="004E40B6"/>
    <w:rsid w:val="004F0191"/>
    <w:rsid w:val="004F19CF"/>
    <w:rsid w:val="004F2426"/>
    <w:rsid w:val="004F4C27"/>
    <w:rsid w:val="004F71A2"/>
    <w:rsid w:val="004F7B9A"/>
    <w:rsid w:val="00500A8F"/>
    <w:rsid w:val="00500AB4"/>
    <w:rsid w:val="00501B1F"/>
    <w:rsid w:val="00510331"/>
    <w:rsid w:val="005111E2"/>
    <w:rsid w:val="00511BF2"/>
    <w:rsid w:val="00512E07"/>
    <w:rsid w:val="00513256"/>
    <w:rsid w:val="0051426B"/>
    <w:rsid w:val="00517205"/>
    <w:rsid w:val="005209D4"/>
    <w:rsid w:val="00521B52"/>
    <w:rsid w:val="00525152"/>
    <w:rsid w:val="0052540E"/>
    <w:rsid w:val="00530C16"/>
    <w:rsid w:val="00531494"/>
    <w:rsid w:val="00532251"/>
    <w:rsid w:val="00532FF8"/>
    <w:rsid w:val="00534822"/>
    <w:rsid w:val="005358DE"/>
    <w:rsid w:val="005364CA"/>
    <w:rsid w:val="00536E28"/>
    <w:rsid w:val="0054021B"/>
    <w:rsid w:val="00541431"/>
    <w:rsid w:val="00542487"/>
    <w:rsid w:val="005431C4"/>
    <w:rsid w:val="00546E6C"/>
    <w:rsid w:val="00547E45"/>
    <w:rsid w:val="00551CEA"/>
    <w:rsid w:val="00552265"/>
    <w:rsid w:val="005543B3"/>
    <w:rsid w:val="00556879"/>
    <w:rsid w:val="00560B13"/>
    <w:rsid w:val="00560CE1"/>
    <w:rsid w:val="00562213"/>
    <w:rsid w:val="0056243B"/>
    <w:rsid w:val="0056512E"/>
    <w:rsid w:val="0057453E"/>
    <w:rsid w:val="005750EC"/>
    <w:rsid w:val="005765BC"/>
    <w:rsid w:val="00582810"/>
    <w:rsid w:val="00587ECD"/>
    <w:rsid w:val="005943C9"/>
    <w:rsid w:val="00595540"/>
    <w:rsid w:val="0059555C"/>
    <w:rsid w:val="005A02BB"/>
    <w:rsid w:val="005A03C6"/>
    <w:rsid w:val="005A1AD3"/>
    <w:rsid w:val="005A7904"/>
    <w:rsid w:val="005B3106"/>
    <w:rsid w:val="005B4756"/>
    <w:rsid w:val="005B512A"/>
    <w:rsid w:val="005B5D3C"/>
    <w:rsid w:val="005B5FA6"/>
    <w:rsid w:val="005C0D4A"/>
    <w:rsid w:val="005C2558"/>
    <w:rsid w:val="005C44C0"/>
    <w:rsid w:val="005C44C1"/>
    <w:rsid w:val="005C46F7"/>
    <w:rsid w:val="005C4B55"/>
    <w:rsid w:val="005C52AC"/>
    <w:rsid w:val="005C5A68"/>
    <w:rsid w:val="005C7C4D"/>
    <w:rsid w:val="005D12CD"/>
    <w:rsid w:val="005D1F1D"/>
    <w:rsid w:val="005D3CB6"/>
    <w:rsid w:val="005D4354"/>
    <w:rsid w:val="005D4737"/>
    <w:rsid w:val="005D48B6"/>
    <w:rsid w:val="005D4F0E"/>
    <w:rsid w:val="005D5563"/>
    <w:rsid w:val="005D62C0"/>
    <w:rsid w:val="005D7393"/>
    <w:rsid w:val="005E04D3"/>
    <w:rsid w:val="005E0C85"/>
    <w:rsid w:val="005E1BB4"/>
    <w:rsid w:val="005E6DBD"/>
    <w:rsid w:val="005F1964"/>
    <w:rsid w:val="005F47BC"/>
    <w:rsid w:val="005F490B"/>
    <w:rsid w:val="005F59FB"/>
    <w:rsid w:val="005F6EC5"/>
    <w:rsid w:val="006031B8"/>
    <w:rsid w:val="006038A3"/>
    <w:rsid w:val="0060469D"/>
    <w:rsid w:val="0060585A"/>
    <w:rsid w:val="00606BD4"/>
    <w:rsid w:val="006070AF"/>
    <w:rsid w:val="00613F0A"/>
    <w:rsid w:val="0061596C"/>
    <w:rsid w:val="00615CAD"/>
    <w:rsid w:val="006214E8"/>
    <w:rsid w:val="006244FD"/>
    <w:rsid w:val="00625558"/>
    <w:rsid w:val="00627010"/>
    <w:rsid w:val="00627460"/>
    <w:rsid w:val="0063577B"/>
    <w:rsid w:val="006363A8"/>
    <w:rsid w:val="00642888"/>
    <w:rsid w:val="00644DE6"/>
    <w:rsid w:val="00650673"/>
    <w:rsid w:val="00652232"/>
    <w:rsid w:val="00653E42"/>
    <w:rsid w:val="00660B0B"/>
    <w:rsid w:val="006610E9"/>
    <w:rsid w:val="006654AB"/>
    <w:rsid w:val="0066610A"/>
    <w:rsid w:val="00666937"/>
    <w:rsid w:val="006670CD"/>
    <w:rsid w:val="0066712C"/>
    <w:rsid w:val="00670834"/>
    <w:rsid w:val="00671E1E"/>
    <w:rsid w:val="00672911"/>
    <w:rsid w:val="00673B32"/>
    <w:rsid w:val="00675831"/>
    <w:rsid w:val="00675F31"/>
    <w:rsid w:val="00680462"/>
    <w:rsid w:val="006831EA"/>
    <w:rsid w:val="00683826"/>
    <w:rsid w:val="00683BDB"/>
    <w:rsid w:val="00686EDE"/>
    <w:rsid w:val="00691F14"/>
    <w:rsid w:val="00695C9E"/>
    <w:rsid w:val="006968C2"/>
    <w:rsid w:val="006A3AB3"/>
    <w:rsid w:val="006A4C4A"/>
    <w:rsid w:val="006A65ED"/>
    <w:rsid w:val="006B25B7"/>
    <w:rsid w:val="006B3FC0"/>
    <w:rsid w:val="006B461C"/>
    <w:rsid w:val="006C25C3"/>
    <w:rsid w:val="006C2BDA"/>
    <w:rsid w:val="006C4F40"/>
    <w:rsid w:val="006C549A"/>
    <w:rsid w:val="006C7FB3"/>
    <w:rsid w:val="006D3540"/>
    <w:rsid w:val="006D38F6"/>
    <w:rsid w:val="006D5C48"/>
    <w:rsid w:val="006D6C30"/>
    <w:rsid w:val="006D7891"/>
    <w:rsid w:val="006E20D5"/>
    <w:rsid w:val="006E264E"/>
    <w:rsid w:val="006E4A92"/>
    <w:rsid w:val="006E63BC"/>
    <w:rsid w:val="006F0E7F"/>
    <w:rsid w:val="006F22CC"/>
    <w:rsid w:val="006F4C7A"/>
    <w:rsid w:val="006F7EFE"/>
    <w:rsid w:val="00700C6E"/>
    <w:rsid w:val="00701A7D"/>
    <w:rsid w:val="007020E5"/>
    <w:rsid w:val="00711326"/>
    <w:rsid w:val="00712BDA"/>
    <w:rsid w:val="00714C47"/>
    <w:rsid w:val="0071517A"/>
    <w:rsid w:val="00720BA1"/>
    <w:rsid w:val="00720BC4"/>
    <w:rsid w:val="00720D42"/>
    <w:rsid w:val="00722394"/>
    <w:rsid w:val="0072452A"/>
    <w:rsid w:val="007253DC"/>
    <w:rsid w:val="00725B3F"/>
    <w:rsid w:val="0072607E"/>
    <w:rsid w:val="00726236"/>
    <w:rsid w:val="00730BDB"/>
    <w:rsid w:val="00731605"/>
    <w:rsid w:val="007316C2"/>
    <w:rsid w:val="007321C1"/>
    <w:rsid w:val="00733247"/>
    <w:rsid w:val="007338DA"/>
    <w:rsid w:val="00740BD0"/>
    <w:rsid w:val="007435A4"/>
    <w:rsid w:val="00744B80"/>
    <w:rsid w:val="007464A2"/>
    <w:rsid w:val="0074654A"/>
    <w:rsid w:val="00746AFF"/>
    <w:rsid w:val="00747039"/>
    <w:rsid w:val="0074766A"/>
    <w:rsid w:val="00756335"/>
    <w:rsid w:val="00756581"/>
    <w:rsid w:val="00756B09"/>
    <w:rsid w:val="00761A35"/>
    <w:rsid w:val="00762318"/>
    <w:rsid w:val="00762C8D"/>
    <w:rsid w:val="00764D4E"/>
    <w:rsid w:val="00770506"/>
    <w:rsid w:val="00771175"/>
    <w:rsid w:val="00774A76"/>
    <w:rsid w:val="00774E5F"/>
    <w:rsid w:val="00775592"/>
    <w:rsid w:val="00775EC5"/>
    <w:rsid w:val="0077646F"/>
    <w:rsid w:val="00777623"/>
    <w:rsid w:val="00780E1C"/>
    <w:rsid w:val="007821BE"/>
    <w:rsid w:val="0078275F"/>
    <w:rsid w:val="007834FB"/>
    <w:rsid w:val="00786DDC"/>
    <w:rsid w:val="007870C7"/>
    <w:rsid w:val="00792EC1"/>
    <w:rsid w:val="007952D9"/>
    <w:rsid w:val="00795432"/>
    <w:rsid w:val="00797BA7"/>
    <w:rsid w:val="007A014F"/>
    <w:rsid w:val="007A075C"/>
    <w:rsid w:val="007A2E56"/>
    <w:rsid w:val="007A73B3"/>
    <w:rsid w:val="007A7716"/>
    <w:rsid w:val="007B29CD"/>
    <w:rsid w:val="007B7F3A"/>
    <w:rsid w:val="007C5458"/>
    <w:rsid w:val="007D0861"/>
    <w:rsid w:val="007D41D0"/>
    <w:rsid w:val="007D449E"/>
    <w:rsid w:val="007D5F63"/>
    <w:rsid w:val="007D6EBF"/>
    <w:rsid w:val="007D7DF6"/>
    <w:rsid w:val="007E010B"/>
    <w:rsid w:val="007E181F"/>
    <w:rsid w:val="007E1D0E"/>
    <w:rsid w:val="007E57A1"/>
    <w:rsid w:val="007E6BE0"/>
    <w:rsid w:val="007F0028"/>
    <w:rsid w:val="007F2FA0"/>
    <w:rsid w:val="007F4175"/>
    <w:rsid w:val="007F5CC1"/>
    <w:rsid w:val="007F7F5D"/>
    <w:rsid w:val="00800E98"/>
    <w:rsid w:val="00801A12"/>
    <w:rsid w:val="00802FC2"/>
    <w:rsid w:val="008057E5"/>
    <w:rsid w:val="00806F17"/>
    <w:rsid w:val="008072FF"/>
    <w:rsid w:val="00812E5A"/>
    <w:rsid w:val="00816B26"/>
    <w:rsid w:val="00816E49"/>
    <w:rsid w:val="00817235"/>
    <w:rsid w:val="0082065C"/>
    <w:rsid w:val="0082073C"/>
    <w:rsid w:val="008213E4"/>
    <w:rsid w:val="008216BE"/>
    <w:rsid w:val="00823F7C"/>
    <w:rsid w:val="008275F9"/>
    <w:rsid w:val="00836DB0"/>
    <w:rsid w:val="00837407"/>
    <w:rsid w:val="008377B9"/>
    <w:rsid w:val="008401D7"/>
    <w:rsid w:val="008437EE"/>
    <w:rsid w:val="008451C2"/>
    <w:rsid w:val="00845625"/>
    <w:rsid w:val="00851A0C"/>
    <w:rsid w:val="008556B2"/>
    <w:rsid w:val="008577C8"/>
    <w:rsid w:val="0086054A"/>
    <w:rsid w:val="0086084F"/>
    <w:rsid w:val="00861856"/>
    <w:rsid w:val="008630E3"/>
    <w:rsid w:val="008645AE"/>
    <w:rsid w:val="0087526F"/>
    <w:rsid w:val="00876200"/>
    <w:rsid w:val="0087689C"/>
    <w:rsid w:val="00876EF5"/>
    <w:rsid w:val="00877501"/>
    <w:rsid w:val="008847BF"/>
    <w:rsid w:val="00886C1B"/>
    <w:rsid w:val="0088777A"/>
    <w:rsid w:val="00890D0D"/>
    <w:rsid w:val="00891D15"/>
    <w:rsid w:val="008A2037"/>
    <w:rsid w:val="008A27EC"/>
    <w:rsid w:val="008A3BBF"/>
    <w:rsid w:val="008A3D46"/>
    <w:rsid w:val="008A43B2"/>
    <w:rsid w:val="008A4EB6"/>
    <w:rsid w:val="008A5D6C"/>
    <w:rsid w:val="008B0440"/>
    <w:rsid w:val="008B1647"/>
    <w:rsid w:val="008B4B84"/>
    <w:rsid w:val="008B7369"/>
    <w:rsid w:val="008C27B4"/>
    <w:rsid w:val="008C28C9"/>
    <w:rsid w:val="008C343E"/>
    <w:rsid w:val="008C47C1"/>
    <w:rsid w:val="008D1AD9"/>
    <w:rsid w:val="008D1D16"/>
    <w:rsid w:val="008D1F39"/>
    <w:rsid w:val="008D3114"/>
    <w:rsid w:val="008D35EC"/>
    <w:rsid w:val="008D40F8"/>
    <w:rsid w:val="008D440E"/>
    <w:rsid w:val="008E12E2"/>
    <w:rsid w:val="008E2694"/>
    <w:rsid w:val="008E3D15"/>
    <w:rsid w:val="008E3D9E"/>
    <w:rsid w:val="008E4B1C"/>
    <w:rsid w:val="008E7DC0"/>
    <w:rsid w:val="008F1BA1"/>
    <w:rsid w:val="008F475E"/>
    <w:rsid w:val="0090098E"/>
    <w:rsid w:val="009030BC"/>
    <w:rsid w:val="00903B83"/>
    <w:rsid w:val="0090463C"/>
    <w:rsid w:val="00906295"/>
    <w:rsid w:val="00906CAC"/>
    <w:rsid w:val="00913937"/>
    <w:rsid w:val="00914E7F"/>
    <w:rsid w:val="0091538C"/>
    <w:rsid w:val="009156B9"/>
    <w:rsid w:val="009167A7"/>
    <w:rsid w:val="00922FCC"/>
    <w:rsid w:val="00931E75"/>
    <w:rsid w:val="00933DEA"/>
    <w:rsid w:val="00933F69"/>
    <w:rsid w:val="009370F8"/>
    <w:rsid w:val="00940731"/>
    <w:rsid w:val="00941D3D"/>
    <w:rsid w:val="00943B05"/>
    <w:rsid w:val="00947937"/>
    <w:rsid w:val="00951208"/>
    <w:rsid w:val="0095145B"/>
    <w:rsid w:val="009524A6"/>
    <w:rsid w:val="009533E6"/>
    <w:rsid w:val="009568A1"/>
    <w:rsid w:val="00965892"/>
    <w:rsid w:val="00966D09"/>
    <w:rsid w:val="009670A2"/>
    <w:rsid w:val="00967963"/>
    <w:rsid w:val="009707CE"/>
    <w:rsid w:val="00971283"/>
    <w:rsid w:val="00972F6C"/>
    <w:rsid w:val="00975BE9"/>
    <w:rsid w:val="009765D0"/>
    <w:rsid w:val="009773B8"/>
    <w:rsid w:val="00982143"/>
    <w:rsid w:val="00985350"/>
    <w:rsid w:val="00986288"/>
    <w:rsid w:val="009957C5"/>
    <w:rsid w:val="00996976"/>
    <w:rsid w:val="009A032F"/>
    <w:rsid w:val="009A28D7"/>
    <w:rsid w:val="009A4E44"/>
    <w:rsid w:val="009B02C6"/>
    <w:rsid w:val="009B12EB"/>
    <w:rsid w:val="009B1300"/>
    <w:rsid w:val="009B3262"/>
    <w:rsid w:val="009B36F3"/>
    <w:rsid w:val="009C1539"/>
    <w:rsid w:val="009C19E0"/>
    <w:rsid w:val="009C577F"/>
    <w:rsid w:val="009C5B6A"/>
    <w:rsid w:val="009C7FB6"/>
    <w:rsid w:val="009D0425"/>
    <w:rsid w:val="009D1724"/>
    <w:rsid w:val="009D21A2"/>
    <w:rsid w:val="009D2522"/>
    <w:rsid w:val="009D2700"/>
    <w:rsid w:val="009D790E"/>
    <w:rsid w:val="009E1674"/>
    <w:rsid w:val="009E50BD"/>
    <w:rsid w:val="009F2EAA"/>
    <w:rsid w:val="009F3410"/>
    <w:rsid w:val="009F3DF3"/>
    <w:rsid w:val="009F4D66"/>
    <w:rsid w:val="00A019A6"/>
    <w:rsid w:val="00A020E4"/>
    <w:rsid w:val="00A04487"/>
    <w:rsid w:val="00A12FA3"/>
    <w:rsid w:val="00A1455D"/>
    <w:rsid w:val="00A178A7"/>
    <w:rsid w:val="00A22F1F"/>
    <w:rsid w:val="00A253A3"/>
    <w:rsid w:val="00A26687"/>
    <w:rsid w:val="00A26B74"/>
    <w:rsid w:val="00A30CDB"/>
    <w:rsid w:val="00A351FF"/>
    <w:rsid w:val="00A35F75"/>
    <w:rsid w:val="00A403EC"/>
    <w:rsid w:val="00A4096E"/>
    <w:rsid w:val="00A443E3"/>
    <w:rsid w:val="00A4466B"/>
    <w:rsid w:val="00A459DB"/>
    <w:rsid w:val="00A46C91"/>
    <w:rsid w:val="00A50604"/>
    <w:rsid w:val="00A50D12"/>
    <w:rsid w:val="00A53C46"/>
    <w:rsid w:val="00A565C7"/>
    <w:rsid w:val="00A60337"/>
    <w:rsid w:val="00A613CB"/>
    <w:rsid w:val="00A613F2"/>
    <w:rsid w:val="00A61444"/>
    <w:rsid w:val="00A6494D"/>
    <w:rsid w:val="00A710D8"/>
    <w:rsid w:val="00A71A33"/>
    <w:rsid w:val="00A727FF"/>
    <w:rsid w:val="00A72EA9"/>
    <w:rsid w:val="00A7396D"/>
    <w:rsid w:val="00A748B3"/>
    <w:rsid w:val="00A75C49"/>
    <w:rsid w:val="00A81600"/>
    <w:rsid w:val="00A81BB1"/>
    <w:rsid w:val="00A8257E"/>
    <w:rsid w:val="00A82BBD"/>
    <w:rsid w:val="00A840A3"/>
    <w:rsid w:val="00A844A0"/>
    <w:rsid w:val="00A85674"/>
    <w:rsid w:val="00A90A5E"/>
    <w:rsid w:val="00A90DB1"/>
    <w:rsid w:val="00A97863"/>
    <w:rsid w:val="00A97EB7"/>
    <w:rsid w:val="00AA123D"/>
    <w:rsid w:val="00AA3748"/>
    <w:rsid w:val="00AA3A36"/>
    <w:rsid w:val="00AA4D1F"/>
    <w:rsid w:val="00AA7196"/>
    <w:rsid w:val="00AA743C"/>
    <w:rsid w:val="00AB0921"/>
    <w:rsid w:val="00AB1138"/>
    <w:rsid w:val="00AB57EB"/>
    <w:rsid w:val="00AB6BC4"/>
    <w:rsid w:val="00AB6F8C"/>
    <w:rsid w:val="00AC0069"/>
    <w:rsid w:val="00AC0395"/>
    <w:rsid w:val="00AC4616"/>
    <w:rsid w:val="00AC6FF9"/>
    <w:rsid w:val="00AC7221"/>
    <w:rsid w:val="00AD2310"/>
    <w:rsid w:val="00AD7620"/>
    <w:rsid w:val="00AE11B3"/>
    <w:rsid w:val="00AE2EFC"/>
    <w:rsid w:val="00AE3314"/>
    <w:rsid w:val="00AE4ECE"/>
    <w:rsid w:val="00AE5F34"/>
    <w:rsid w:val="00AE631E"/>
    <w:rsid w:val="00AF3F17"/>
    <w:rsid w:val="00AF61E3"/>
    <w:rsid w:val="00AF6438"/>
    <w:rsid w:val="00AF68AF"/>
    <w:rsid w:val="00B01292"/>
    <w:rsid w:val="00B0166F"/>
    <w:rsid w:val="00B02510"/>
    <w:rsid w:val="00B03C7D"/>
    <w:rsid w:val="00B04614"/>
    <w:rsid w:val="00B04847"/>
    <w:rsid w:val="00B05D50"/>
    <w:rsid w:val="00B10540"/>
    <w:rsid w:val="00B110FD"/>
    <w:rsid w:val="00B14BFA"/>
    <w:rsid w:val="00B16C45"/>
    <w:rsid w:val="00B209AD"/>
    <w:rsid w:val="00B22552"/>
    <w:rsid w:val="00B22809"/>
    <w:rsid w:val="00B231D5"/>
    <w:rsid w:val="00B266B9"/>
    <w:rsid w:val="00B272A2"/>
    <w:rsid w:val="00B27F92"/>
    <w:rsid w:val="00B3153B"/>
    <w:rsid w:val="00B36334"/>
    <w:rsid w:val="00B400C5"/>
    <w:rsid w:val="00B45C6F"/>
    <w:rsid w:val="00B467CE"/>
    <w:rsid w:val="00B46C89"/>
    <w:rsid w:val="00B4712E"/>
    <w:rsid w:val="00B51095"/>
    <w:rsid w:val="00B511DE"/>
    <w:rsid w:val="00B518C8"/>
    <w:rsid w:val="00B52912"/>
    <w:rsid w:val="00B61CE9"/>
    <w:rsid w:val="00B67034"/>
    <w:rsid w:val="00B67EED"/>
    <w:rsid w:val="00B71676"/>
    <w:rsid w:val="00B8279D"/>
    <w:rsid w:val="00B84FEC"/>
    <w:rsid w:val="00B86FCF"/>
    <w:rsid w:val="00B932DB"/>
    <w:rsid w:val="00BA1821"/>
    <w:rsid w:val="00BA1E81"/>
    <w:rsid w:val="00BA37E5"/>
    <w:rsid w:val="00BA5192"/>
    <w:rsid w:val="00BA51E5"/>
    <w:rsid w:val="00BA522C"/>
    <w:rsid w:val="00BB3F0C"/>
    <w:rsid w:val="00BB7628"/>
    <w:rsid w:val="00BB7DFC"/>
    <w:rsid w:val="00BC47A3"/>
    <w:rsid w:val="00BC588B"/>
    <w:rsid w:val="00BC5A21"/>
    <w:rsid w:val="00BD05AA"/>
    <w:rsid w:val="00BD296E"/>
    <w:rsid w:val="00BD4C0F"/>
    <w:rsid w:val="00BE18B1"/>
    <w:rsid w:val="00BE1AD1"/>
    <w:rsid w:val="00BE1B76"/>
    <w:rsid w:val="00BE20AB"/>
    <w:rsid w:val="00BE49C9"/>
    <w:rsid w:val="00BE5936"/>
    <w:rsid w:val="00BE7B47"/>
    <w:rsid w:val="00BF2539"/>
    <w:rsid w:val="00BF44BF"/>
    <w:rsid w:val="00BF6C7D"/>
    <w:rsid w:val="00C0270A"/>
    <w:rsid w:val="00C0521D"/>
    <w:rsid w:val="00C064F6"/>
    <w:rsid w:val="00C07F07"/>
    <w:rsid w:val="00C122A6"/>
    <w:rsid w:val="00C15D71"/>
    <w:rsid w:val="00C16CD1"/>
    <w:rsid w:val="00C25601"/>
    <w:rsid w:val="00C269BD"/>
    <w:rsid w:val="00C26A88"/>
    <w:rsid w:val="00C343D9"/>
    <w:rsid w:val="00C35BB0"/>
    <w:rsid w:val="00C361DA"/>
    <w:rsid w:val="00C3731F"/>
    <w:rsid w:val="00C41D03"/>
    <w:rsid w:val="00C433E6"/>
    <w:rsid w:val="00C434BC"/>
    <w:rsid w:val="00C43A9A"/>
    <w:rsid w:val="00C4636C"/>
    <w:rsid w:val="00C46A97"/>
    <w:rsid w:val="00C46CB5"/>
    <w:rsid w:val="00C50F9E"/>
    <w:rsid w:val="00C51038"/>
    <w:rsid w:val="00C51859"/>
    <w:rsid w:val="00C5465F"/>
    <w:rsid w:val="00C56F55"/>
    <w:rsid w:val="00C61AF2"/>
    <w:rsid w:val="00C62B9D"/>
    <w:rsid w:val="00C62ECD"/>
    <w:rsid w:val="00C62EFE"/>
    <w:rsid w:val="00C648B3"/>
    <w:rsid w:val="00C66349"/>
    <w:rsid w:val="00C709D9"/>
    <w:rsid w:val="00C748CD"/>
    <w:rsid w:val="00C86D78"/>
    <w:rsid w:val="00C9461C"/>
    <w:rsid w:val="00C950C2"/>
    <w:rsid w:val="00C961C5"/>
    <w:rsid w:val="00C9650D"/>
    <w:rsid w:val="00C97B7F"/>
    <w:rsid w:val="00CA015A"/>
    <w:rsid w:val="00CA05D1"/>
    <w:rsid w:val="00CA104C"/>
    <w:rsid w:val="00CA2665"/>
    <w:rsid w:val="00CA67B0"/>
    <w:rsid w:val="00CB1B4B"/>
    <w:rsid w:val="00CB1C28"/>
    <w:rsid w:val="00CB1DB2"/>
    <w:rsid w:val="00CB27FD"/>
    <w:rsid w:val="00CB54DD"/>
    <w:rsid w:val="00CC123D"/>
    <w:rsid w:val="00CC15CD"/>
    <w:rsid w:val="00CC2B8C"/>
    <w:rsid w:val="00CC341E"/>
    <w:rsid w:val="00CD24F4"/>
    <w:rsid w:val="00CD5373"/>
    <w:rsid w:val="00CD7C39"/>
    <w:rsid w:val="00CE3003"/>
    <w:rsid w:val="00CF0A09"/>
    <w:rsid w:val="00CF2814"/>
    <w:rsid w:val="00CF3156"/>
    <w:rsid w:val="00CF4A26"/>
    <w:rsid w:val="00D000A6"/>
    <w:rsid w:val="00D01990"/>
    <w:rsid w:val="00D037F7"/>
    <w:rsid w:val="00D06084"/>
    <w:rsid w:val="00D11DCC"/>
    <w:rsid w:val="00D12CEE"/>
    <w:rsid w:val="00D141D6"/>
    <w:rsid w:val="00D14BC8"/>
    <w:rsid w:val="00D14E71"/>
    <w:rsid w:val="00D152D8"/>
    <w:rsid w:val="00D21148"/>
    <w:rsid w:val="00D22644"/>
    <w:rsid w:val="00D244CD"/>
    <w:rsid w:val="00D3038A"/>
    <w:rsid w:val="00D3151E"/>
    <w:rsid w:val="00D31DDC"/>
    <w:rsid w:val="00D3552A"/>
    <w:rsid w:val="00D370C2"/>
    <w:rsid w:val="00D40F19"/>
    <w:rsid w:val="00D470A1"/>
    <w:rsid w:val="00D476AB"/>
    <w:rsid w:val="00D51F00"/>
    <w:rsid w:val="00D53B00"/>
    <w:rsid w:val="00D53C6F"/>
    <w:rsid w:val="00D54E68"/>
    <w:rsid w:val="00D5591B"/>
    <w:rsid w:val="00D55AF8"/>
    <w:rsid w:val="00D563FE"/>
    <w:rsid w:val="00D57FB2"/>
    <w:rsid w:val="00D616DE"/>
    <w:rsid w:val="00D63048"/>
    <w:rsid w:val="00D65802"/>
    <w:rsid w:val="00D65EFA"/>
    <w:rsid w:val="00D76258"/>
    <w:rsid w:val="00D76C83"/>
    <w:rsid w:val="00D80771"/>
    <w:rsid w:val="00D80B86"/>
    <w:rsid w:val="00D8333C"/>
    <w:rsid w:val="00D84B3D"/>
    <w:rsid w:val="00D86C5F"/>
    <w:rsid w:val="00D96E5A"/>
    <w:rsid w:val="00DA0A2D"/>
    <w:rsid w:val="00DA1420"/>
    <w:rsid w:val="00DA21C6"/>
    <w:rsid w:val="00DA38DA"/>
    <w:rsid w:val="00DA4175"/>
    <w:rsid w:val="00DA667F"/>
    <w:rsid w:val="00DA70E5"/>
    <w:rsid w:val="00DB158C"/>
    <w:rsid w:val="00DB4B20"/>
    <w:rsid w:val="00DB5ADD"/>
    <w:rsid w:val="00DB7C56"/>
    <w:rsid w:val="00DC14F2"/>
    <w:rsid w:val="00DC31E7"/>
    <w:rsid w:val="00DD1C7F"/>
    <w:rsid w:val="00DD23C7"/>
    <w:rsid w:val="00DD3132"/>
    <w:rsid w:val="00DD41CC"/>
    <w:rsid w:val="00DD4FD5"/>
    <w:rsid w:val="00DD54C0"/>
    <w:rsid w:val="00DD58BD"/>
    <w:rsid w:val="00DE1F72"/>
    <w:rsid w:val="00DE2A7E"/>
    <w:rsid w:val="00DE2A86"/>
    <w:rsid w:val="00DE47A1"/>
    <w:rsid w:val="00DE5CBD"/>
    <w:rsid w:val="00DE7036"/>
    <w:rsid w:val="00DE7648"/>
    <w:rsid w:val="00DF3FD5"/>
    <w:rsid w:val="00DF48AD"/>
    <w:rsid w:val="00DF5187"/>
    <w:rsid w:val="00DF5676"/>
    <w:rsid w:val="00E05363"/>
    <w:rsid w:val="00E067E9"/>
    <w:rsid w:val="00E07235"/>
    <w:rsid w:val="00E07745"/>
    <w:rsid w:val="00E07AB6"/>
    <w:rsid w:val="00E07C4C"/>
    <w:rsid w:val="00E12CF5"/>
    <w:rsid w:val="00E13296"/>
    <w:rsid w:val="00E13EA1"/>
    <w:rsid w:val="00E150A7"/>
    <w:rsid w:val="00E210C4"/>
    <w:rsid w:val="00E21660"/>
    <w:rsid w:val="00E216DA"/>
    <w:rsid w:val="00E2228E"/>
    <w:rsid w:val="00E26155"/>
    <w:rsid w:val="00E31829"/>
    <w:rsid w:val="00E32B40"/>
    <w:rsid w:val="00E33C9F"/>
    <w:rsid w:val="00E340E6"/>
    <w:rsid w:val="00E34417"/>
    <w:rsid w:val="00E34D5B"/>
    <w:rsid w:val="00E35784"/>
    <w:rsid w:val="00E35D5A"/>
    <w:rsid w:val="00E374AC"/>
    <w:rsid w:val="00E43FFF"/>
    <w:rsid w:val="00E452A1"/>
    <w:rsid w:val="00E462D5"/>
    <w:rsid w:val="00E46988"/>
    <w:rsid w:val="00E50072"/>
    <w:rsid w:val="00E510FD"/>
    <w:rsid w:val="00E51CCE"/>
    <w:rsid w:val="00E52251"/>
    <w:rsid w:val="00E538ED"/>
    <w:rsid w:val="00E54A00"/>
    <w:rsid w:val="00E54C14"/>
    <w:rsid w:val="00E60821"/>
    <w:rsid w:val="00E61F6D"/>
    <w:rsid w:val="00E63B80"/>
    <w:rsid w:val="00E63F98"/>
    <w:rsid w:val="00E64311"/>
    <w:rsid w:val="00E6592A"/>
    <w:rsid w:val="00E65C0F"/>
    <w:rsid w:val="00E70041"/>
    <w:rsid w:val="00E70E61"/>
    <w:rsid w:val="00E71173"/>
    <w:rsid w:val="00E7542E"/>
    <w:rsid w:val="00E7568D"/>
    <w:rsid w:val="00E80C31"/>
    <w:rsid w:val="00E8517B"/>
    <w:rsid w:val="00E86B44"/>
    <w:rsid w:val="00E87C66"/>
    <w:rsid w:val="00E96111"/>
    <w:rsid w:val="00E979AB"/>
    <w:rsid w:val="00EA0053"/>
    <w:rsid w:val="00EA32AC"/>
    <w:rsid w:val="00EA3B76"/>
    <w:rsid w:val="00EA3E9B"/>
    <w:rsid w:val="00EA3EB4"/>
    <w:rsid w:val="00EA5206"/>
    <w:rsid w:val="00EB02A5"/>
    <w:rsid w:val="00EB1935"/>
    <w:rsid w:val="00EB3056"/>
    <w:rsid w:val="00EC179D"/>
    <w:rsid w:val="00EC39BC"/>
    <w:rsid w:val="00EC62AE"/>
    <w:rsid w:val="00EC63C8"/>
    <w:rsid w:val="00EC6A3C"/>
    <w:rsid w:val="00EC78B1"/>
    <w:rsid w:val="00ED0492"/>
    <w:rsid w:val="00ED26FE"/>
    <w:rsid w:val="00ED2C69"/>
    <w:rsid w:val="00ED3A3D"/>
    <w:rsid w:val="00ED4FC2"/>
    <w:rsid w:val="00ED5393"/>
    <w:rsid w:val="00ED5594"/>
    <w:rsid w:val="00EE1140"/>
    <w:rsid w:val="00EE140B"/>
    <w:rsid w:val="00EE15CA"/>
    <w:rsid w:val="00EE36A8"/>
    <w:rsid w:val="00EF375D"/>
    <w:rsid w:val="00EF5CA2"/>
    <w:rsid w:val="00F05B3F"/>
    <w:rsid w:val="00F06488"/>
    <w:rsid w:val="00F07340"/>
    <w:rsid w:val="00F102F3"/>
    <w:rsid w:val="00F10615"/>
    <w:rsid w:val="00F10636"/>
    <w:rsid w:val="00F11219"/>
    <w:rsid w:val="00F124E3"/>
    <w:rsid w:val="00F1524E"/>
    <w:rsid w:val="00F1778B"/>
    <w:rsid w:val="00F315ED"/>
    <w:rsid w:val="00F3577A"/>
    <w:rsid w:val="00F41D3B"/>
    <w:rsid w:val="00F4220A"/>
    <w:rsid w:val="00F45BE0"/>
    <w:rsid w:val="00F50688"/>
    <w:rsid w:val="00F50E8F"/>
    <w:rsid w:val="00F52B48"/>
    <w:rsid w:val="00F55291"/>
    <w:rsid w:val="00F55616"/>
    <w:rsid w:val="00F5767F"/>
    <w:rsid w:val="00F5798D"/>
    <w:rsid w:val="00F61594"/>
    <w:rsid w:val="00F675FF"/>
    <w:rsid w:val="00F73AFF"/>
    <w:rsid w:val="00F75E2E"/>
    <w:rsid w:val="00F77737"/>
    <w:rsid w:val="00F8091D"/>
    <w:rsid w:val="00F837F1"/>
    <w:rsid w:val="00F83853"/>
    <w:rsid w:val="00F83A9C"/>
    <w:rsid w:val="00F86106"/>
    <w:rsid w:val="00F90177"/>
    <w:rsid w:val="00F9357E"/>
    <w:rsid w:val="00F93977"/>
    <w:rsid w:val="00F9535C"/>
    <w:rsid w:val="00F9617B"/>
    <w:rsid w:val="00FA17EA"/>
    <w:rsid w:val="00FA7A34"/>
    <w:rsid w:val="00FB0425"/>
    <w:rsid w:val="00FB0827"/>
    <w:rsid w:val="00FB228A"/>
    <w:rsid w:val="00FB3199"/>
    <w:rsid w:val="00FC0429"/>
    <w:rsid w:val="00FC2396"/>
    <w:rsid w:val="00FC3EF5"/>
    <w:rsid w:val="00FC4421"/>
    <w:rsid w:val="00FC6666"/>
    <w:rsid w:val="00FC74F0"/>
    <w:rsid w:val="00FC79AF"/>
    <w:rsid w:val="00FD0D56"/>
    <w:rsid w:val="00FD386C"/>
    <w:rsid w:val="00FD528B"/>
    <w:rsid w:val="00FD5304"/>
    <w:rsid w:val="00FD6392"/>
    <w:rsid w:val="00FD6DFB"/>
    <w:rsid w:val="00FD7D0D"/>
    <w:rsid w:val="00FD7D30"/>
    <w:rsid w:val="00FE3BF1"/>
    <w:rsid w:val="00FE4146"/>
    <w:rsid w:val="00FF13AF"/>
    <w:rsid w:val="00FF2299"/>
    <w:rsid w:val="00FF2487"/>
    <w:rsid w:val="00FF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8284CAFC-C99C-4DEB-A973-3ED1E153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C62ECD"/>
    <w:pPr>
      <w:numPr>
        <w:numId w:val="1"/>
      </w:numPr>
      <w:contextualSpacing/>
    </w:pPr>
  </w:style>
  <w:style w:type="paragraph" w:styleId="ListBullet2">
    <w:name w:val="List Bullet 2"/>
    <w:basedOn w:val="Normal"/>
    <w:uiPriority w:val="99"/>
    <w:semiHidden/>
    <w:unhideWhenUsed/>
    <w:rsid w:val="00C62ECD"/>
    <w:pPr>
      <w:numPr>
        <w:numId w:val="2"/>
      </w:numPr>
      <w:contextualSpacing/>
    </w:pPr>
  </w:style>
  <w:style w:type="paragraph" w:styleId="ListBullet3">
    <w:name w:val="List Bullet 3"/>
    <w:basedOn w:val="Normal"/>
    <w:uiPriority w:val="99"/>
    <w:semiHidden/>
    <w:unhideWhenUsed/>
    <w:rsid w:val="00C62ECD"/>
    <w:pPr>
      <w:numPr>
        <w:numId w:val="3"/>
      </w:numPr>
      <w:contextualSpacing/>
    </w:pPr>
  </w:style>
  <w:style w:type="paragraph" w:styleId="ListBullet4">
    <w:name w:val="List Bullet 4"/>
    <w:basedOn w:val="Normal"/>
    <w:uiPriority w:val="99"/>
    <w:semiHidden/>
    <w:unhideWhenUsed/>
    <w:rsid w:val="00C62ECD"/>
    <w:pPr>
      <w:numPr>
        <w:numId w:val="4"/>
      </w:numPr>
      <w:contextualSpacing/>
    </w:pPr>
  </w:style>
  <w:style w:type="character" w:styleId="Hyperlink">
    <w:name w:val="Hyperlink"/>
    <w:basedOn w:val="DefaultParagraphFont"/>
    <w:uiPriority w:val="99"/>
    <w:unhideWhenUsed/>
    <w:rsid w:val="00C62ECD"/>
    <w:rPr>
      <w:color w:val="0000FF"/>
      <w:u w:val="single"/>
    </w:rPr>
  </w:style>
  <w:style w:type="paragraph" w:styleId="CommentText">
    <w:name w:val="annotation text"/>
    <w:basedOn w:val="Normal"/>
    <w:link w:val="CommentTextChar"/>
    <w:uiPriority w:val="99"/>
    <w:unhideWhenUsed/>
    <w:rsid w:val="00E7568D"/>
    <w:rPr>
      <w:sz w:val="20"/>
      <w:szCs w:val="20"/>
      <w:lang w:val="en-US"/>
    </w:rPr>
  </w:style>
  <w:style w:type="character" w:customStyle="1" w:styleId="CommentTextChar">
    <w:name w:val="Comment Text Char"/>
    <w:basedOn w:val="DefaultParagraphFont"/>
    <w:link w:val="CommentText"/>
    <w:uiPriority w:val="99"/>
    <w:rsid w:val="00E7568D"/>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E7568D"/>
    <w:rPr>
      <w:sz w:val="16"/>
      <w:szCs w:val="16"/>
    </w:rPr>
  </w:style>
  <w:style w:type="paragraph" w:styleId="BalloonText">
    <w:name w:val="Balloon Text"/>
    <w:basedOn w:val="Normal"/>
    <w:link w:val="BalloonTextChar"/>
    <w:uiPriority w:val="99"/>
    <w:semiHidden/>
    <w:unhideWhenUsed/>
    <w:rsid w:val="00E756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68D"/>
    <w:rPr>
      <w:rFonts w:ascii="Segoe UI" w:hAnsi="Segoe UI" w:cs="Segoe UI"/>
      <w:sz w:val="18"/>
      <w:szCs w:val="18"/>
      <w:lang w:val="en-GB"/>
    </w:rPr>
  </w:style>
  <w:style w:type="paragraph" w:styleId="NormalWeb">
    <w:name w:val="Normal (Web)"/>
    <w:basedOn w:val="Normal"/>
    <w:uiPriority w:val="99"/>
    <w:unhideWhenUsed/>
    <w:rsid w:val="00213947"/>
    <w:pPr>
      <w:spacing w:before="100" w:beforeAutospacing="1" w:after="100" w:afterAutospacing="1"/>
      <w:jc w:val="left"/>
    </w:pPr>
    <w:rPr>
      <w:rFonts w:eastAsia="Times New Roman"/>
      <w:szCs w:val="24"/>
      <w:lang w:val="en-US"/>
    </w:rPr>
  </w:style>
  <w:style w:type="paragraph" w:styleId="ListParagraph">
    <w:name w:val="List Paragraph"/>
    <w:basedOn w:val="Normal"/>
    <w:uiPriority w:val="34"/>
    <w:qFormat/>
    <w:rsid w:val="00213947"/>
    <w:pPr>
      <w:spacing w:before="0" w:after="160" w:line="252" w:lineRule="auto"/>
      <w:ind w:left="720"/>
      <w:contextualSpacing/>
      <w:jc w:val="left"/>
    </w:pPr>
    <w:rPr>
      <w:rFonts w:ascii="Calibri" w:hAnsi="Calibri" w:cs="Calibri"/>
      <w:sz w:val="22"/>
      <w:lang w:val="en-US"/>
    </w:rPr>
  </w:style>
  <w:style w:type="paragraph" w:customStyle="1" w:styleId="ti-art">
    <w:name w:val="ti-art"/>
    <w:basedOn w:val="Normal"/>
    <w:rsid w:val="00213947"/>
    <w:pPr>
      <w:spacing w:before="100" w:beforeAutospacing="1" w:after="100" w:afterAutospacing="1"/>
      <w:jc w:val="left"/>
    </w:pPr>
    <w:rPr>
      <w:rFonts w:eastAsia="Times New Roman"/>
      <w:szCs w:val="24"/>
      <w:lang w:eastAsia="en-GB"/>
    </w:rPr>
  </w:style>
  <w:style w:type="paragraph" w:customStyle="1" w:styleId="sti-art">
    <w:name w:val="sti-art"/>
    <w:basedOn w:val="Normal"/>
    <w:rsid w:val="00213947"/>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rsid w:val="003C55F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C55FC"/>
    <w:pPr>
      <w:spacing w:after="0"/>
    </w:pPr>
  </w:style>
  <w:style w:type="paragraph" w:styleId="ListNumber">
    <w:name w:val="List Number"/>
    <w:basedOn w:val="Normal"/>
    <w:uiPriority w:val="99"/>
    <w:semiHidden/>
    <w:unhideWhenUsed/>
    <w:rsid w:val="003C55FC"/>
    <w:pPr>
      <w:numPr>
        <w:numId w:val="5"/>
      </w:numPr>
      <w:contextualSpacing/>
    </w:pPr>
  </w:style>
  <w:style w:type="paragraph" w:styleId="ListNumber2">
    <w:name w:val="List Number 2"/>
    <w:basedOn w:val="Normal"/>
    <w:uiPriority w:val="99"/>
    <w:semiHidden/>
    <w:unhideWhenUsed/>
    <w:rsid w:val="003C55FC"/>
    <w:pPr>
      <w:numPr>
        <w:numId w:val="6"/>
      </w:numPr>
      <w:contextualSpacing/>
    </w:pPr>
  </w:style>
  <w:style w:type="paragraph" w:styleId="ListNumber3">
    <w:name w:val="List Number 3"/>
    <w:basedOn w:val="Normal"/>
    <w:uiPriority w:val="99"/>
    <w:semiHidden/>
    <w:unhideWhenUsed/>
    <w:rsid w:val="003C55FC"/>
    <w:pPr>
      <w:numPr>
        <w:numId w:val="7"/>
      </w:numPr>
      <w:contextualSpacing/>
    </w:pPr>
  </w:style>
  <w:style w:type="paragraph" w:styleId="ListNumber4">
    <w:name w:val="List Number 4"/>
    <w:basedOn w:val="Normal"/>
    <w:uiPriority w:val="99"/>
    <w:semiHidden/>
    <w:unhideWhenUsed/>
    <w:rsid w:val="003C55FC"/>
    <w:pPr>
      <w:numPr>
        <w:numId w:val="8"/>
      </w:numPr>
      <w:contextualSpacing/>
    </w:pPr>
  </w:style>
  <w:style w:type="paragraph" w:customStyle="1" w:styleId="Bullet0number">
    <w:name w:val="Bullet 0 (number)"/>
    <w:basedOn w:val="Considrant"/>
    <w:rsid w:val="00DC14F2"/>
  </w:style>
  <w:style w:type="paragraph" w:styleId="CommentSubject">
    <w:name w:val="annotation subject"/>
    <w:basedOn w:val="CommentText"/>
    <w:next w:val="CommentText"/>
    <w:link w:val="CommentSubjectChar"/>
    <w:uiPriority w:val="99"/>
    <w:semiHidden/>
    <w:unhideWhenUsed/>
    <w:rsid w:val="00764D4E"/>
    <w:rPr>
      <w:b/>
      <w:bCs/>
      <w:lang w:val="en-GB"/>
    </w:rPr>
  </w:style>
  <w:style w:type="character" w:customStyle="1" w:styleId="CommentSubjectChar">
    <w:name w:val="Comment Subject Char"/>
    <w:basedOn w:val="CommentTextChar"/>
    <w:link w:val="CommentSubject"/>
    <w:uiPriority w:val="99"/>
    <w:semiHidden/>
    <w:rsid w:val="00764D4E"/>
    <w:rPr>
      <w:rFonts w:ascii="Times New Roman" w:hAnsi="Times New Roman" w:cs="Times New Roman"/>
      <w:b/>
      <w:bCs/>
      <w:sz w:val="20"/>
      <w:szCs w:val="20"/>
      <w:lang w:val="en-GB"/>
    </w:rPr>
  </w:style>
  <w:style w:type="paragraph" w:customStyle="1" w:styleId="Article">
    <w:name w:val="Article"/>
    <w:basedOn w:val="ti-art"/>
    <w:rsid w:val="00FD386C"/>
    <w:pPr>
      <w:shd w:val="clear" w:color="auto" w:fill="FFFFFF"/>
      <w:spacing w:before="360" w:beforeAutospacing="0" w:after="120" w:afterAutospacing="0" w:line="312" w:lineRule="atLeast"/>
      <w:jc w:val="center"/>
    </w:pPr>
    <w:rPr>
      <w:i/>
      <w:iCs/>
    </w:rPr>
  </w:style>
  <w:style w:type="character" w:styleId="Emphasis">
    <w:name w:val="Emphasis"/>
    <w:basedOn w:val="DefaultParagraphFont"/>
    <w:uiPriority w:val="20"/>
    <w:qFormat/>
    <w:rsid w:val="005D1F1D"/>
    <w:rPr>
      <w:i/>
      <w:iCs/>
    </w:rPr>
  </w:style>
  <w:style w:type="paragraph" w:customStyle="1" w:styleId="title-bold">
    <w:name w:val="title-bold"/>
    <w:basedOn w:val="Normal"/>
    <w:rsid w:val="005D1F1D"/>
    <w:pPr>
      <w:spacing w:before="100" w:beforeAutospacing="1" w:after="100" w:afterAutospacing="1"/>
      <w:jc w:val="left"/>
    </w:pPr>
    <w:rPr>
      <w:rFonts w:eastAsia="Times New Roman"/>
      <w:szCs w:val="24"/>
      <w:lang w:eastAsia="en-GB"/>
    </w:rPr>
  </w:style>
  <w:style w:type="paragraph" w:customStyle="1" w:styleId="Normal1">
    <w:name w:val="Normal1"/>
    <w:basedOn w:val="Normal"/>
    <w:rsid w:val="0087526F"/>
    <w:pPr>
      <w:spacing w:before="100" w:beforeAutospacing="1" w:after="100" w:afterAutospacing="1"/>
      <w:jc w:val="left"/>
    </w:pPr>
    <w:rPr>
      <w:rFonts w:eastAsia="Times New Roman"/>
      <w:szCs w:val="24"/>
      <w:lang w:val="en-US"/>
    </w:rPr>
  </w:style>
  <w:style w:type="paragraph" w:styleId="Revision">
    <w:name w:val="Revision"/>
    <w:hidden/>
    <w:uiPriority w:val="99"/>
    <w:semiHidden/>
    <w:rsid w:val="00CA2665"/>
    <w:pPr>
      <w:spacing w:after="0" w:line="240" w:lineRule="auto"/>
    </w:pPr>
    <w:rPr>
      <w:rFonts w:ascii="Times New Roman" w:hAnsi="Times New Roman" w:cs="Times New Roman"/>
      <w:sz w:val="24"/>
      <w:lang w:val="en-GB"/>
    </w:rPr>
  </w:style>
  <w:style w:type="paragraph" w:customStyle="1" w:styleId="point0letter0">
    <w:name w:val="point0letter"/>
    <w:basedOn w:val="Normal"/>
    <w:rsid w:val="0086084F"/>
    <w:rPr>
      <w:szCs w:val="24"/>
      <w:lang w:val="en-US"/>
    </w:rPr>
  </w:style>
  <w:style w:type="paragraph" w:customStyle="1" w:styleId="xxmsolistparagraph">
    <w:name w:val="x_xmsolistparagraph"/>
    <w:basedOn w:val="Normal"/>
    <w:rsid w:val="00534822"/>
    <w:pPr>
      <w:spacing w:before="0" w:after="0"/>
      <w:ind w:left="720"/>
      <w:jc w:val="left"/>
    </w:pPr>
    <w:rPr>
      <w:rFonts w:ascii="Calibri" w:hAnsi="Calibri" w:cs="Calibri"/>
      <w:sz w:val="22"/>
      <w:lang w:val="en-US" w:eastAsia="en-GB"/>
    </w:rPr>
  </w:style>
  <w:style w:type="character" w:customStyle="1" w:styleId="xxmsocommentreference">
    <w:name w:val="x_xmsocommentreference"/>
    <w:basedOn w:val="DefaultParagraphFont"/>
    <w:rsid w:val="00534822"/>
  </w:style>
  <w:style w:type="table" w:styleId="TableGrid">
    <w:name w:val="Table Grid"/>
    <w:basedOn w:val="TableNormal"/>
    <w:uiPriority w:val="59"/>
    <w:rsid w:val="00DA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3"/>
    <w:basedOn w:val="Normal"/>
    <w:rsid w:val="00DA70E5"/>
    <w:pPr>
      <w:ind w:left="1984"/>
    </w:pPr>
    <w:rPr>
      <w:szCs w:val="24"/>
      <w:lang w:val="en-US"/>
    </w:rPr>
  </w:style>
  <w:style w:type="paragraph" w:customStyle="1" w:styleId="oj-sti-art">
    <w:name w:val="oj-sti-art"/>
    <w:basedOn w:val="Normal"/>
    <w:rsid w:val="00BB3F0C"/>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sid w:val="001121CE"/>
    <w:rPr>
      <w:color w:val="800080" w:themeColor="followedHyperlink"/>
      <w:u w:val="single"/>
    </w:rPr>
  </w:style>
  <w:style w:type="paragraph" w:customStyle="1" w:styleId="Text30">
    <w:name w:val="Text 3"/>
    <w:basedOn w:val="Normal"/>
    <w:rsid w:val="00517205"/>
    <w:pPr>
      <w:ind w:left="1984"/>
    </w:pPr>
  </w:style>
  <w:style w:type="paragraph" w:customStyle="1" w:styleId="Text31">
    <w:name w:val="Text 3"/>
    <w:basedOn w:val="Normal"/>
    <w:rsid w:val="00517205"/>
    <w:pPr>
      <w:ind w:left="1984"/>
    </w:pPr>
  </w:style>
  <w:style w:type="paragraph" w:customStyle="1" w:styleId="Text32">
    <w:name w:val="Text 3"/>
    <w:basedOn w:val="Normal"/>
    <w:rsid w:val="00517205"/>
    <w:pPr>
      <w:ind w:left="1984"/>
    </w:pPr>
  </w:style>
  <w:style w:type="paragraph" w:customStyle="1" w:styleId="Text33">
    <w:name w:val="Text 3"/>
    <w:basedOn w:val="Normal"/>
    <w:rsid w:val="00517205"/>
    <w:pPr>
      <w:ind w:left="1984"/>
    </w:pPr>
  </w:style>
  <w:style w:type="paragraph" w:customStyle="1" w:styleId="Text34">
    <w:name w:val="Text 3"/>
    <w:basedOn w:val="Normal"/>
    <w:rsid w:val="00517205"/>
    <w:pPr>
      <w:ind w:left="1984"/>
    </w:pPr>
  </w:style>
  <w:style w:type="paragraph" w:customStyle="1" w:styleId="Text35">
    <w:name w:val="Text 3"/>
    <w:basedOn w:val="Normal"/>
    <w:rsid w:val="00517205"/>
    <w:pPr>
      <w:ind w:left="1984"/>
    </w:pPr>
  </w:style>
  <w:style w:type="paragraph" w:customStyle="1" w:styleId="Text36">
    <w:name w:val="Text 3"/>
    <w:basedOn w:val="Normal"/>
    <w:rsid w:val="00517205"/>
    <w:pPr>
      <w:ind w:left="1984"/>
    </w:pPr>
  </w:style>
  <w:style w:type="paragraph" w:customStyle="1" w:styleId="Text37">
    <w:name w:val="Text 3"/>
    <w:basedOn w:val="Normal"/>
    <w:rsid w:val="00517205"/>
    <w:pPr>
      <w:ind w:left="1984"/>
    </w:pPr>
  </w:style>
  <w:style w:type="paragraph" w:customStyle="1" w:styleId="Text38">
    <w:name w:val="Text 3"/>
    <w:basedOn w:val="Normal"/>
    <w:rsid w:val="00517205"/>
    <w:pPr>
      <w:ind w:left="1984"/>
    </w:pPr>
  </w:style>
  <w:style w:type="paragraph" w:customStyle="1" w:styleId="Text39">
    <w:name w:val="Text 3"/>
    <w:basedOn w:val="Normal"/>
    <w:rsid w:val="00517205"/>
    <w:pPr>
      <w:ind w:left="1984"/>
    </w:pPr>
  </w:style>
  <w:style w:type="paragraph" w:customStyle="1" w:styleId="Text3a">
    <w:name w:val="Text 3"/>
    <w:basedOn w:val="Normal"/>
    <w:rsid w:val="00517205"/>
    <w:pPr>
      <w:ind w:left="1984"/>
    </w:pPr>
  </w:style>
  <w:style w:type="paragraph" w:customStyle="1" w:styleId="Text3b">
    <w:name w:val="Text 3"/>
    <w:basedOn w:val="Normal"/>
    <w:rsid w:val="00517205"/>
    <w:pPr>
      <w:ind w:left="1984"/>
    </w:pPr>
  </w:style>
  <w:style w:type="paragraph" w:customStyle="1" w:styleId="Text3c">
    <w:name w:val="Text 3"/>
    <w:basedOn w:val="Normal"/>
    <w:rsid w:val="00517205"/>
    <w:pPr>
      <w:ind w:left="1984"/>
    </w:pPr>
  </w:style>
  <w:style w:type="character" w:customStyle="1" w:styleId="UnresolvedMention">
    <w:name w:val="Unresolved Mention"/>
    <w:basedOn w:val="DefaultParagraphFont"/>
    <w:uiPriority w:val="99"/>
    <w:semiHidden/>
    <w:unhideWhenUsed/>
    <w:rsid w:val="00211B11"/>
    <w:rPr>
      <w:color w:val="605E5C"/>
      <w:shd w:val="clear" w:color="auto" w:fill="E1DFDD"/>
    </w:rPr>
  </w:style>
  <w:style w:type="paragraph" w:customStyle="1" w:styleId="Text3d">
    <w:name w:val="Text 3"/>
    <w:basedOn w:val="Normal"/>
    <w:pPr>
      <w:ind w:left="1984"/>
    </w:pPr>
  </w:style>
  <w:style w:type="paragraph" w:customStyle="1" w:styleId="Text3e">
    <w:name w:val="Text 3"/>
    <w:basedOn w:val="Normal"/>
    <w:pPr>
      <w:ind w:left="1984"/>
    </w:pPr>
  </w:style>
  <w:style w:type="paragraph" w:customStyle="1" w:styleId="Text3f">
    <w:name w:val="Text 3"/>
    <w:basedOn w:val="Normal"/>
    <w:pPr>
      <w:ind w:left="1984"/>
    </w:pPr>
  </w:style>
  <w:style w:type="paragraph" w:customStyle="1" w:styleId="Text3f0">
    <w:name w:val="Text 3"/>
    <w:basedOn w:val="Normal"/>
    <w:pPr>
      <w:ind w:left="1984"/>
    </w:pPr>
  </w:style>
  <w:style w:type="paragraph" w:customStyle="1" w:styleId="Text3f1">
    <w:name w:val="Text 3"/>
    <w:basedOn w:val="Normal"/>
    <w:pPr>
      <w:ind w:left="1984"/>
    </w:pPr>
  </w:style>
  <w:style w:type="paragraph" w:customStyle="1" w:styleId="Text3f2">
    <w:name w:val="Text 3"/>
    <w:basedOn w:val="Normal"/>
    <w:pPr>
      <w:ind w:left="1984"/>
    </w:pPr>
  </w:style>
  <w:style w:type="paragraph" w:customStyle="1" w:styleId="Text3f3">
    <w:name w:val="Text 3"/>
    <w:basedOn w:val="Normal"/>
    <w:pPr>
      <w:ind w:left="1984"/>
    </w:pPr>
  </w:style>
  <w:style w:type="paragraph" w:customStyle="1" w:styleId="Text3f4">
    <w:name w:val="Text 3"/>
    <w:basedOn w:val="Normal"/>
    <w:pPr>
      <w:ind w:left="1984"/>
    </w:pPr>
  </w:style>
  <w:style w:type="paragraph" w:styleId="Header">
    <w:name w:val="header"/>
    <w:basedOn w:val="Normal"/>
    <w:link w:val="HeaderChar"/>
    <w:uiPriority w:val="99"/>
    <w:unhideWhenUsed/>
    <w:rsid w:val="00256C94"/>
    <w:pPr>
      <w:tabs>
        <w:tab w:val="center" w:pos="4535"/>
        <w:tab w:val="right" w:pos="9071"/>
      </w:tabs>
      <w:spacing w:before="0"/>
    </w:pPr>
  </w:style>
  <w:style w:type="character" w:customStyle="1" w:styleId="HeaderChar">
    <w:name w:val="Header Char"/>
    <w:basedOn w:val="DefaultParagraphFont"/>
    <w:link w:val="Header"/>
    <w:uiPriority w:val="99"/>
    <w:rsid w:val="00256C94"/>
    <w:rPr>
      <w:rFonts w:ascii="Times New Roman" w:hAnsi="Times New Roman" w:cs="Times New Roman"/>
      <w:sz w:val="24"/>
      <w:lang w:val="en-GB"/>
    </w:rPr>
  </w:style>
  <w:style w:type="paragraph" w:styleId="Footer">
    <w:name w:val="footer"/>
    <w:basedOn w:val="Normal"/>
    <w:link w:val="FooterChar"/>
    <w:uiPriority w:val="99"/>
    <w:unhideWhenUsed/>
    <w:rsid w:val="00256C9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56C94"/>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56C94"/>
    <w:pPr>
      <w:tabs>
        <w:tab w:val="center" w:pos="7285"/>
        <w:tab w:val="right" w:pos="14003"/>
      </w:tabs>
      <w:spacing w:before="0"/>
    </w:pPr>
  </w:style>
  <w:style w:type="paragraph" w:customStyle="1" w:styleId="FooterLandscape">
    <w:name w:val="FooterLandscape"/>
    <w:basedOn w:val="Normal"/>
    <w:rsid w:val="00256C9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56C9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56C94"/>
    <w:pPr>
      <w:spacing w:before="0"/>
      <w:jc w:val="right"/>
    </w:pPr>
    <w:rPr>
      <w:sz w:val="28"/>
    </w:rPr>
  </w:style>
  <w:style w:type="paragraph" w:customStyle="1" w:styleId="FooterSensitivity">
    <w:name w:val="Footer Sensitivity"/>
    <w:basedOn w:val="Normal"/>
    <w:rsid w:val="00256C9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f5">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2506">
      <w:bodyDiv w:val="1"/>
      <w:marLeft w:val="0"/>
      <w:marRight w:val="0"/>
      <w:marTop w:val="0"/>
      <w:marBottom w:val="0"/>
      <w:divBdr>
        <w:top w:val="none" w:sz="0" w:space="0" w:color="auto"/>
        <w:left w:val="none" w:sz="0" w:space="0" w:color="auto"/>
        <w:bottom w:val="none" w:sz="0" w:space="0" w:color="auto"/>
        <w:right w:val="none" w:sz="0" w:space="0" w:color="auto"/>
      </w:divBdr>
    </w:div>
    <w:div w:id="291177706">
      <w:bodyDiv w:val="1"/>
      <w:marLeft w:val="0"/>
      <w:marRight w:val="0"/>
      <w:marTop w:val="0"/>
      <w:marBottom w:val="0"/>
      <w:divBdr>
        <w:top w:val="none" w:sz="0" w:space="0" w:color="auto"/>
        <w:left w:val="none" w:sz="0" w:space="0" w:color="auto"/>
        <w:bottom w:val="none" w:sz="0" w:space="0" w:color="auto"/>
        <w:right w:val="none" w:sz="0" w:space="0" w:color="auto"/>
      </w:divBdr>
    </w:div>
    <w:div w:id="295333155">
      <w:bodyDiv w:val="1"/>
      <w:marLeft w:val="0"/>
      <w:marRight w:val="0"/>
      <w:marTop w:val="0"/>
      <w:marBottom w:val="0"/>
      <w:divBdr>
        <w:top w:val="none" w:sz="0" w:space="0" w:color="auto"/>
        <w:left w:val="none" w:sz="0" w:space="0" w:color="auto"/>
        <w:bottom w:val="none" w:sz="0" w:space="0" w:color="auto"/>
        <w:right w:val="none" w:sz="0" w:space="0" w:color="auto"/>
      </w:divBdr>
    </w:div>
    <w:div w:id="305166308">
      <w:bodyDiv w:val="1"/>
      <w:marLeft w:val="0"/>
      <w:marRight w:val="0"/>
      <w:marTop w:val="0"/>
      <w:marBottom w:val="0"/>
      <w:divBdr>
        <w:top w:val="none" w:sz="0" w:space="0" w:color="auto"/>
        <w:left w:val="none" w:sz="0" w:space="0" w:color="auto"/>
        <w:bottom w:val="none" w:sz="0" w:space="0" w:color="auto"/>
        <w:right w:val="none" w:sz="0" w:space="0" w:color="auto"/>
      </w:divBdr>
    </w:div>
    <w:div w:id="327901224">
      <w:bodyDiv w:val="1"/>
      <w:marLeft w:val="0"/>
      <w:marRight w:val="0"/>
      <w:marTop w:val="0"/>
      <w:marBottom w:val="0"/>
      <w:divBdr>
        <w:top w:val="none" w:sz="0" w:space="0" w:color="auto"/>
        <w:left w:val="none" w:sz="0" w:space="0" w:color="auto"/>
        <w:bottom w:val="none" w:sz="0" w:space="0" w:color="auto"/>
        <w:right w:val="none" w:sz="0" w:space="0" w:color="auto"/>
      </w:divBdr>
    </w:div>
    <w:div w:id="335622004">
      <w:bodyDiv w:val="1"/>
      <w:marLeft w:val="0"/>
      <w:marRight w:val="0"/>
      <w:marTop w:val="0"/>
      <w:marBottom w:val="0"/>
      <w:divBdr>
        <w:top w:val="none" w:sz="0" w:space="0" w:color="auto"/>
        <w:left w:val="none" w:sz="0" w:space="0" w:color="auto"/>
        <w:bottom w:val="none" w:sz="0" w:space="0" w:color="auto"/>
        <w:right w:val="none" w:sz="0" w:space="0" w:color="auto"/>
      </w:divBdr>
    </w:div>
    <w:div w:id="545414892">
      <w:bodyDiv w:val="1"/>
      <w:marLeft w:val="0"/>
      <w:marRight w:val="0"/>
      <w:marTop w:val="0"/>
      <w:marBottom w:val="0"/>
      <w:divBdr>
        <w:top w:val="none" w:sz="0" w:space="0" w:color="auto"/>
        <w:left w:val="none" w:sz="0" w:space="0" w:color="auto"/>
        <w:bottom w:val="none" w:sz="0" w:space="0" w:color="auto"/>
        <w:right w:val="none" w:sz="0" w:space="0" w:color="auto"/>
      </w:divBdr>
    </w:div>
    <w:div w:id="557254205">
      <w:bodyDiv w:val="1"/>
      <w:marLeft w:val="0"/>
      <w:marRight w:val="0"/>
      <w:marTop w:val="0"/>
      <w:marBottom w:val="0"/>
      <w:divBdr>
        <w:top w:val="none" w:sz="0" w:space="0" w:color="auto"/>
        <w:left w:val="none" w:sz="0" w:space="0" w:color="auto"/>
        <w:bottom w:val="none" w:sz="0" w:space="0" w:color="auto"/>
        <w:right w:val="none" w:sz="0" w:space="0" w:color="auto"/>
      </w:divBdr>
    </w:div>
    <w:div w:id="602228190">
      <w:bodyDiv w:val="1"/>
      <w:marLeft w:val="0"/>
      <w:marRight w:val="0"/>
      <w:marTop w:val="0"/>
      <w:marBottom w:val="0"/>
      <w:divBdr>
        <w:top w:val="none" w:sz="0" w:space="0" w:color="auto"/>
        <w:left w:val="none" w:sz="0" w:space="0" w:color="auto"/>
        <w:bottom w:val="none" w:sz="0" w:space="0" w:color="auto"/>
        <w:right w:val="none" w:sz="0" w:space="0" w:color="auto"/>
      </w:divBdr>
    </w:div>
    <w:div w:id="653877793">
      <w:bodyDiv w:val="1"/>
      <w:marLeft w:val="0"/>
      <w:marRight w:val="0"/>
      <w:marTop w:val="0"/>
      <w:marBottom w:val="0"/>
      <w:divBdr>
        <w:top w:val="none" w:sz="0" w:space="0" w:color="auto"/>
        <w:left w:val="none" w:sz="0" w:space="0" w:color="auto"/>
        <w:bottom w:val="none" w:sz="0" w:space="0" w:color="auto"/>
        <w:right w:val="none" w:sz="0" w:space="0" w:color="auto"/>
      </w:divBdr>
    </w:div>
    <w:div w:id="758911816">
      <w:bodyDiv w:val="1"/>
      <w:marLeft w:val="0"/>
      <w:marRight w:val="0"/>
      <w:marTop w:val="0"/>
      <w:marBottom w:val="0"/>
      <w:divBdr>
        <w:top w:val="none" w:sz="0" w:space="0" w:color="auto"/>
        <w:left w:val="none" w:sz="0" w:space="0" w:color="auto"/>
        <w:bottom w:val="none" w:sz="0" w:space="0" w:color="auto"/>
        <w:right w:val="none" w:sz="0" w:space="0" w:color="auto"/>
      </w:divBdr>
    </w:div>
    <w:div w:id="794644345">
      <w:bodyDiv w:val="1"/>
      <w:marLeft w:val="0"/>
      <w:marRight w:val="0"/>
      <w:marTop w:val="0"/>
      <w:marBottom w:val="0"/>
      <w:divBdr>
        <w:top w:val="none" w:sz="0" w:space="0" w:color="auto"/>
        <w:left w:val="none" w:sz="0" w:space="0" w:color="auto"/>
        <w:bottom w:val="none" w:sz="0" w:space="0" w:color="auto"/>
        <w:right w:val="none" w:sz="0" w:space="0" w:color="auto"/>
      </w:divBdr>
    </w:div>
    <w:div w:id="823592337">
      <w:bodyDiv w:val="1"/>
      <w:marLeft w:val="0"/>
      <w:marRight w:val="0"/>
      <w:marTop w:val="0"/>
      <w:marBottom w:val="0"/>
      <w:divBdr>
        <w:top w:val="none" w:sz="0" w:space="0" w:color="auto"/>
        <w:left w:val="none" w:sz="0" w:space="0" w:color="auto"/>
        <w:bottom w:val="none" w:sz="0" w:space="0" w:color="auto"/>
        <w:right w:val="none" w:sz="0" w:space="0" w:color="auto"/>
      </w:divBdr>
    </w:div>
    <w:div w:id="859198856">
      <w:bodyDiv w:val="1"/>
      <w:marLeft w:val="0"/>
      <w:marRight w:val="0"/>
      <w:marTop w:val="0"/>
      <w:marBottom w:val="0"/>
      <w:divBdr>
        <w:top w:val="none" w:sz="0" w:space="0" w:color="auto"/>
        <w:left w:val="none" w:sz="0" w:space="0" w:color="auto"/>
        <w:bottom w:val="none" w:sz="0" w:space="0" w:color="auto"/>
        <w:right w:val="none" w:sz="0" w:space="0" w:color="auto"/>
      </w:divBdr>
    </w:div>
    <w:div w:id="862474277">
      <w:bodyDiv w:val="1"/>
      <w:marLeft w:val="0"/>
      <w:marRight w:val="0"/>
      <w:marTop w:val="0"/>
      <w:marBottom w:val="0"/>
      <w:divBdr>
        <w:top w:val="none" w:sz="0" w:space="0" w:color="auto"/>
        <w:left w:val="none" w:sz="0" w:space="0" w:color="auto"/>
        <w:bottom w:val="none" w:sz="0" w:space="0" w:color="auto"/>
        <w:right w:val="none" w:sz="0" w:space="0" w:color="auto"/>
      </w:divBdr>
    </w:div>
    <w:div w:id="875385652">
      <w:bodyDiv w:val="1"/>
      <w:marLeft w:val="0"/>
      <w:marRight w:val="0"/>
      <w:marTop w:val="0"/>
      <w:marBottom w:val="0"/>
      <w:divBdr>
        <w:top w:val="none" w:sz="0" w:space="0" w:color="auto"/>
        <w:left w:val="none" w:sz="0" w:space="0" w:color="auto"/>
        <w:bottom w:val="none" w:sz="0" w:space="0" w:color="auto"/>
        <w:right w:val="none" w:sz="0" w:space="0" w:color="auto"/>
      </w:divBdr>
    </w:div>
    <w:div w:id="979916544">
      <w:bodyDiv w:val="1"/>
      <w:marLeft w:val="0"/>
      <w:marRight w:val="0"/>
      <w:marTop w:val="0"/>
      <w:marBottom w:val="0"/>
      <w:divBdr>
        <w:top w:val="none" w:sz="0" w:space="0" w:color="auto"/>
        <w:left w:val="none" w:sz="0" w:space="0" w:color="auto"/>
        <w:bottom w:val="none" w:sz="0" w:space="0" w:color="auto"/>
        <w:right w:val="none" w:sz="0" w:space="0" w:color="auto"/>
      </w:divBdr>
    </w:div>
    <w:div w:id="1014572760">
      <w:bodyDiv w:val="1"/>
      <w:marLeft w:val="0"/>
      <w:marRight w:val="0"/>
      <w:marTop w:val="0"/>
      <w:marBottom w:val="0"/>
      <w:divBdr>
        <w:top w:val="none" w:sz="0" w:space="0" w:color="auto"/>
        <w:left w:val="none" w:sz="0" w:space="0" w:color="auto"/>
        <w:bottom w:val="none" w:sz="0" w:space="0" w:color="auto"/>
        <w:right w:val="none" w:sz="0" w:space="0" w:color="auto"/>
      </w:divBdr>
    </w:div>
    <w:div w:id="1127621058">
      <w:bodyDiv w:val="1"/>
      <w:marLeft w:val="0"/>
      <w:marRight w:val="0"/>
      <w:marTop w:val="0"/>
      <w:marBottom w:val="0"/>
      <w:divBdr>
        <w:top w:val="none" w:sz="0" w:space="0" w:color="auto"/>
        <w:left w:val="none" w:sz="0" w:space="0" w:color="auto"/>
        <w:bottom w:val="none" w:sz="0" w:space="0" w:color="auto"/>
        <w:right w:val="none" w:sz="0" w:space="0" w:color="auto"/>
      </w:divBdr>
    </w:div>
    <w:div w:id="1250970342">
      <w:bodyDiv w:val="1"/>
      <w:marLeft w:val="0"/>
      <w:marRight w:val="0"/>
      <w:marTop w:val="0"/>
      <w:marBottom w:val="0"/>
      <w:divBdr>
        <w:top w:val="none" w:sz="0" w:space="0" w:color="auto"/>
        <w:left w:val="none" w:sz="0" w:space="0" w:color="auto"/>
        <w:bottom w:val="none" w:sz="0" w:space="0" w:color="auto"/>
        <w:right w:val="none" w:sz="0" w:space="0" w:color="auto"/>
      </w:divBdr>
    </w:div>
    <w:div w:id="1321664634">
      <w:bodyDiv w:val="1"/>
      <w:marLeft w:val="0"/>
      <w:marRight w:val="0"/>
      <w:marTop w:val="0"/>
      <w:marBottom w:val="0"/>
      <w:divBdr>
        <w:top w:val="none" w:sz="0" w:space="0" w:color="auto"/>
        <w:left w:val="none" w:sz="0" w:space="0" w:color="auto"/>
        <w:bottom w:val="none" w:sz="0" w:space="0" w:color="auto"/>
        <w:right w:val="none" w:sz="0" w:space="0" w:color="auto"/>
      </w:divBdr>
    </w:div>
    <w:div w:id="1358655651">
      <w:bodyDiv w:val="1"/>
      <w:marLeft w:val="0"/>
      <w:marRight w:val="0"/>
      <w:marTop w:val="0"/>
      <w:marBottom w:val="0"/>
      <w:divBdr>
        <w:top w:val="none" w:sz="0" w:space="0" w:color="auto"/>
        <w:left w:val="none" w:sz="0" w:space="0" w:color="auto"/>
        <w:bottom w:val="none" w:sz="0" w:space="0" w:color="auto"/>
        <w:right w:val="none" w:sz="0" w:space="0" w:color="auto"/>
      </w:divBdr>
    </w:div>
    <w:div w:id="1427993677">
      <w:bodyDiv w:val="1"/>
      <w:marLeft w:val="0"/>
      <w:marRight w:val="0"/>
      <w:marTop w:val="0"/>
      <w:marBottom w:val="0"/>
      <w:divBdr>
        <w:top w:val="none" w:sz="0" w:space="0" w:color="auto"/>
        <w:left w:val="none" w:sz="0" w:space="0" w:color="auto"/>
        <w:bottom w:val="none" w:sz="0" w:space="0" w:color="auto"/>
        <w:right w:val="none" w:sz="0" w:space="0" w:color="auto"/>
      </w:divBdr>
    </w:div>
    <w:div w:id="1594440063">
      <w:bodyDiv w:val="1"/>
      <w:marLeft w:val="0"/>
      <w:marRight w:val="0"/>
      <w:marTop w:val="0"/>
      <w:marBottom w:val="0"/>
      <w:divBdr>
        <w:top w:val="none" w:sz="0" w:space="0" w:color="auto"/>
        <w:left w:val="none" w:sz="0" w:space="0" w:color="auto"/>
        <w:bottom w:val="none" w:sz="0" w:space="0" w:color="auto"/>
        <w:right w:val="none" w:sz="0" w:space="0" w:color="auto"/>
      </w:divBdr>
    </w:div>
    <w:div w:id="1717507001">
      <w:bodyDiv w:val="1"/>
      <w:marLeft w:val="0"/>
      <w:marRight w:val="0"/>
      <w:marTop w:val="0"/>
      <w:marBottom w:val="0"/>
      <w:divBdr>
        <w:top w:val="none" w:sz="0" w:space="0" w:color="auto"/>
        <w:left w:val="none" w:sz="0" w:space="0" w:color="auto"/>
        <w:bottom w:val="none" w:sz="0" w:space="0" w:color="auto"/>
        <w:right w:val="none" w:sz="0" w:space="0" w:color="auto"/>
      </w:divBdr>
    </w:div>
    <w:div w:id="1743217939">
      <w:bodyDiv w:val="1"/>
      <w:marLeft w:val="0"/>
      <w:marRight w:val="0"/>
      <w:marTop w:val="0"/>
      <w:marBottom w:val="0"/>
      <w:divBdr>
        <w:top w:val="none" w:sz="0" w:space="0" w:color="auto"/>
        <w:left w:val="none" w:sz="0" w:space="0" w:color="auto"/>
        <w:bottom w:val="none" w:sz="0" w:space="0" w:color="auto"/>
        <w:right w:val="none" w:sz="0" w:space="0" w:color="auto"/>
      </w:divBdr>
    </w:div>
    <w:div w:id="1897618452">
      <w:bodyDiv w:val="1"/>
      <w:marLeft w:val="0"/>
      <w:marRight w:val="0"/>
      <w:marTop w:val="0"/>
      <w:marBottom w:val="0"/>
      <w:divBdr>
        <w:top w:val="none" w:sz="0" w:space="0" w:color="auto"/>
        <w:left w:val="none" w:sz="0" w:space="0" w:color="auto"/>
        <w:bottom w:val="none" w:sz="0" w:space="0" w:color="auto"/>
        <w:right w:val="none" w:sz="0" w:space="0" w:color="auto"/>
      </w:divBdr>
    </w:div>
    <w:div w:id="1959288618">
      <w:bodyDiv w:val="1"/>
      <w:marLeft w:val="0"/>
      <w:marRight w:val="0"/>
      <w:marTop w:val="0"/>
      <w:marBottom w:val="0"/>
      <w:divBdr>
        <w:top w:val="none" w:sz="0" w:space="0" w:color="auto"/>
        <w:left w:val="none" w:sz="0" w:space="0" w:color="auto"/>
        <w:bottom w:val="none" w:sz="0" w:space="0" w:color="auto"/>
        <w:right w:val="none" w:sz="0" w:space="0" w:color="auto"/>
      </w:divBdr>
    </w:div>
    <w:div w:id="1977105992">
      <w:bodyDiv w:val="1"/>
      <w:marLeft w:val="0"/>
      <w:marRight w:val="0"/>
      <w:marTop w:val="0"/>
      <w:marBottom w:val="0"/>
      <w:divBdr>
        <w:top w:val="none" w:sz="0" w:space="0" w:color="auto"/>
        <w:left w:val="none" w:sz="0" w:space="0" w:color="auto"/>
        <w:bottom w:val="none" w:sz="0" w:space="0" w:color="auto"/>
        <w:right w:val="none" w:sz="0" w:space="0" w:color="auto"/>
      </w:divBdr>
    </w:div>
    <w:div w:id="20648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op.europa.eu/en/publication-detail/-/publication/735d5b9d-0c5e-11ec-adb1-01aa75ed71a1/language-en/format-PDF/source-228471178" TargetMode="External"/><Relationship Id="rId3" Type="http://schemas.openxmlformats.org/officeDocument/2006/relationships/hyperlink" Target="https://ec.europa.eu/info/consultations/finance-2020-retail-payments-strategy_en" TargetMode="External"/><Relationship Id="rId7" Type="http://schemas.openxmlformats.org/officeDocument/2006/relationships/hyperlink" Target="https://finance.ec.europa.eu/events/webinar-exploring-potential-instant-payments-eu-consumers-and-businesses-2021-06-10_en" TargetMode="External"/><Relationship Id="rId2" Type="http://schemas.openxmlformats.org/officeDocument/2006/relationships/hyperlink" Target="https://ec.europa.eu/info/sites/default/files/171123-report-sepa-requirements_en.pdf" TargetMode="External"/><Relationship Id="rId1" Type="http://schemas.openxmlformats.org/officeDocument/2006/relationships/hyperlink" Target="https://www.ecb.europa.eu/pub/pdf/other/ecb.eurosystemretailpaymentsstrategy~5a74eb9ac1.en.pdf" TargetMode="External"/><Relationship Id="rId6" Type="http://schemas.openxmlformats.org/officeDocument/2006/relationships/hyperlink" Target="https://finance.ec.europa.eu/regulation-and-supervision/consultations/2021-instant-payments_en" TargetMode="External"/><Relationship Id="rId5" Type="http://schemas.openxmlformats.org/officeDocument/2006/relationships/hyperlink" Target="https://ec.europa.eu/info/law/better-regulation/have-your-say/initiatives/12931-Instant-Payments/public-consultation_en" TargetMode="External"/><Relationship Id="rId4" Type="http://schemas.openxmlformats.org/officeDocument/2006/relationships/hyperlink" Target="https://ec.europa.eu/info/law/better-regulation/have-your-say/initiatives/12931-Instant-payments_en" TargetMode="External"/><Relationship Id="rId9" Type="http://schemas.openxmlformats.org/officeDocument/2006/relationships/hyperlink" Target="https://data.europa.eu/data/datasets/consolidated-list-of-persons-groups-and-entities-subject-to-eu-financial-sanctions?local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k6ff7b72635d4b068a6e5ff18862d1a4 xmlns="96C444C2-77F8-41B5-8334-2E4AF3CB475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k6ff7b72635d4b068a6e5ff18862d1a4>
    <Notify_x0020_users_x0020_50_x0020_versions_x0020_recorded_x0020_in_x0020_Payment xmlns="96c444c2-77f8-41b5-8334-2e4af3cb4751">
      <Url xsi:nil="true"/>
      <Description xsi:nil="true"/>
    </Notify_x0020_users_x0020_50_x0020_versions_x0020_recorded_x0020_in_x0020_Payment>
    <EC_ARES_DATE_TRANSFERRED xmlns="96C444C2-77F8-41B5-8334-2E4AF3CB4751" xsi:nil="true"/>
    <EC_ARES_TRANSFERRED_BY xmlns="96C444C2-77F8-41B5-8334-2E4AF3CB4751" xsi:nil="true"/>
    <TaxCatchAll xmlns="02ebb043-5898-4877-8c1f-28652c7a58c8"/>
    <TranslationStateListUrl xmlns="http://schemas.microsoft.com/sharepoint/v3">
      <Url xsi:nil="true"/>
      <Description xsi:nil="true"/>
    </TranslationStateListUrl>
    <EC_ARES_NUMBER xmlns="96C444C2-77F8-41B5-8334-2E4AF3CB4751">
      <Url xsi:nil="true"/>
      <Description xsi:nil="true"/>
    </EC_ARES_NUMBER>
    <pc1cb72997644c168a67816bee9648ad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pc1cb72997644c168a67816bee9648ad>
    <i65add8783a54065a8ae717033658b9b xmlns="02ebb043-5898-4877-8c1f-28652c7a58c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i65add8783a54065a8ae717033658b9b>
    <EC_Collab_DocumentLanguage xmlns="96C444C2-77F8-41B5-8334-2E4AF3CB4751">EN</EC_Collab_DocumentLanguage>
    <h983a7255e7c4200a41b524a821ec444 xmlns="96C444C2-77F8-41B5-8334-2E4AF3CB475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h983a7255e7c4200a41b524a821ec444>
    <_dlc_ExpireDateSaved xmlns="http://schemas.microsoft.com/sharepoint/v3" xsi:nil="true"/>
    <_dlc_ExpireDate xmlns="http://schemas.microsoft.com/sharepoint/v3">2023-01-15T07:44:58+00:00</_dlc_ExpireDate>
    <_dlc_DocId xmlns="02ebb043-5898-4877-8c1f-28652c7a58c8">KUAXY5MF5DVP-663458577-186</_dlc_DocId>
    <_dlc_DocIdUrl xmlns="02ebb043-5898-4877-8c1f-28652c7a58c8">
      <Url>https://myintracomm-collab.ec.europa.eu/dg/FISMA/B/B3/_layouts/15/DocIdRedir.aspx?ID=KUAXY5MF5DVP-663458577-186</Url>
      <Description>KUAXY5MF5DVP-663458577-186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9C4DC5C822817245B872616534DFFF39" ma:contentTypeVersion="23" ma:contentTypeDescription="Create a new document in this library." ma:contentTypeScope="" ma:versionID="b66d55d24441e3a28127aaf7bf3f2c83">
  <xsd:schema xmlns:xsd="http://www.w3.org/2001/XMLSchema" xmlns:xs="http://www.w3.org/2001/XMLSchema" xmlns:p="http://schemas.microsoft.com/office/2006/metadata/properties" xmlns:ns1="http://schemas.microsoft.com/sharepoint/v3" xmlns:ns3="96C444C2-77F8-41B5-8334-2E4AF3CB4751" xmlns:ns4="02ebb043-5898-4877-8c1f-28652c7a58c8" xmlns:ns5="96c444c2-77f8-41b5-8334-2e4af3cb4751" xmlns:ns6="e6a4cd5a-212d-420e-a580-0e7a3c9b7ae9" targetNamespace="http://schemas.microsoft.com/office/2006/metadata/properties" ma:root="true" ma:fieldsID="f55f09247afe35820884e9c0824d0df1" ns1:_="" ns3:_="" ns4:_="" ns5:_="" ns6:_="">
    <xsd:import namespace="http://schemas.microsoft.com/sharepoint/v3"/>
    <xsd:import namespace="96C444C2-77F8-41B5-8334-2E4AF3CB4751"/>
    <xsd:import namespace="02ebb043-5898-4877-8c1f-28652c7a58c8"/>
    <xsd:import namespace="96c444c2-77f8-41b5-8334-2e4af3cb4751"/>
    <xsd:import namespace="e6a4cd5a-212d-420e-a580-0e7a3c9b7ae9"/>
    <xsd:element name="properties">
      <xsd:complexType>
        <xsd:sequence>
          <xsd:element name="documentManagement">
            <xsd:complexType>
              <xsd:all>
                <xsd:element ref="ns3:EC_Collab_DocumentLanguage"/>
                <xsd:element ref="ns3:EC_ARES_NUMBER" minOccurs="0"/>
                <xsd:element ref="ns3:EC_ARES_DATE_TRANSFERRED" minOccurs="0"/>
                <xsd:element ref="ns3:EC_ARES_TRANSFERRED_BY" minOccurs="0"/>
                <xsd:element ref="ns4:pc1cb72997644c168a67816bee9648ad" minOccurs="0"/>
                <xsd:element ref="ns4:TaxCatchAll" minOccurs="0"/>
                <xsd:element ref="ns4:i65add8783a54065a8ae717033658b9b" minOccurs="0"/>
                <xsd:element ref="ns3:k6ff7b72635d4b068a6e5ff18862d1a4" minOccurs="0"/>
                <xsd:element ref="ns3:h983a7255e7c4200a41b524a821ec444" minOccurs="0"/>
                <xsd:element ref="ns4:_dlc_DocId" minOccurs="0"/>
                <xsd:element ref="ns4:_dlc_DocIdUrl" minOccurs="0"/>
                <xsd:element ref="ns4:_dlc_DocIdPersistId" minOccurs="0"/>
                <xsd:element ref="ns1:TranslationStateListUrl" minOccurs="0"/>
                <xsd:element ref="ns5:Notify_x0020_users_x0020_50_x0020_versions_x0020_recorded_x0020_in_x0020_Payment" minOccurs="0"/>
                <xsd:element ref="ns1:_dlc_Exempt" minOccurs="0"/>
                <xsd:element ref="ns1:_dlc_ExpireDateSaved" minOccurs="0"/>
                <xsd:element ref="ns1:_dlc_ExpireDate"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ListUrl" ma:index="27"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31" nillable="true" ma:displayName="Exempt from Policy" ma:hidden="true" ma:internalName="_dlc_Exempt" ma:readOnly="true">
      <xsd:simpleType>
        <xsd:restriction base="dms:Unknown"/>
      </xsd:simpleType>
    </xsd:element>
    <xsd:element name="_dlc_ExpireDateSaved" ma:index="32" nillable="true" ma:displayName="Original Expiration Date" ma:hidden="true" ma:internalName="_dlc_ExpireDateSaved" ma:readOnly="true">
      <xsd:simpleType>
        <xsd:restriction base="dms:DateTime"/>
      </xsd:simpleType>
    </xsd:element>
    <xsd:element name="_dlc_ExpireDate" ma:index="3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C444C2-77F8-41B5-8334-2E4AF3CB4751" elementFormDefault="qualified">
    <xsd:import namespace="http://schemas.microsoft.com/office/2006/documentManagement/types"/>
    <xsd:import namespace="http://schemas.microsoft.com/office/infopath/2007/PartnerControls"/>
    <xsd:element name="EC_Collab_DocumentLanguage" ma:index="11"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element name="k6ff7b72635d4b068a6e5ff18862d1a4" ma:index="22" nillable="true" ma:taxonomy="true" ma:internalName="k6ff7b72635d4b068a6e5ff18862d1a4" ma:taxonomyFieldName="Institution" ma:displayName="Financial regulation" ma:default="" ma:fieldId="{46ff7b72-635d-4b06-8a6e-5ff18862d1a4}" ma:sspId="c1588629-5f01-4420-b1c1-1ab4af18d9bf" ma:termSetId="e008b820-acb0-4187-b0ce-76ecc38df2b0" ma:anchorId="00000000-0000-0000-0000-000000000000" ma:open="false" ma:isKeyword="false">
      <xsd:complexType>
        <xsd:sequence>
          <xsd:element ref="pc:Terms" minOccurs="0" maxOccurs="1"/>
        </xsd:sequence>
      </xsd:complexType>
    </xsd:element>
    <xsd:element name="h983a7255e7c4200a41b524a821ec444" ma:index="23" nillable="true" ma:taxonomy="true" ma:internalName="h983a7255e7c4200a41b524a821ec444" ma:taxonomyFieldName="Confidentiality" ma:displayName="Confidentiality" ma:indexed="true" ma:default="" ma:fieldId="{1983a725-5e7c-4200-a41b-524a821ec444}" ma:sspId="c1588629-5f01-4420-b1c1-1ab4af18d9bf" ma:termSetId="875f2d54-a299-447c-8802-ef4aa5a6850b" ma:anchorId="62652adf-f500-423a-8994-bf286ce0c4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ebb043-5898-4877-8c1f-28652c7a58c8" elementFormDefault="qualified">
    <xsd:import namespace="http://schemas.microsoft.com/office/2006/documentManagement/types"/>
    <xsd:import namespace="http://schemas.microsoft.com/office/infopath/2007/PartnerControls"/>
    <xsd:element name="pc1cb72997644c168a67816bee9648ad" ma:index="19" nillable="true" ma:taxonomy="true" ma:internalName="pc1cb72997644c168a67816bee9648ad" ma:taxonomyFieldName="Document_x0020_type" ma:displayName="Document type" ma:indexed="true" ma:default="" ma:fieldId="{9c1cb729-9764-4c16-8a67-816bee9648ad}" ma:sspId="c1588629-5f01-4420-b1c1-1ab4af18d9bf" ma:termSetId="875f2d54-a299-447c-8802-ef4aa5a6850b" ma:anchorId="8ec034f4-7394-4efe-9efc-137f6f5c45bd" ma:open="false" ma:isKeyword="false">
      <xsd:complexType>
        <xsd:sequence>
          <xsd:element ref="pc:Terms" minOccurs="0" maxOccurs="1"/>
        </xsd:sequence>
      </xsd:complexType>
    </xsd:element>
    <xsd:element name="TaxCatchAll" ma:index="20" nillable="true" ma:displayName="Taxonomy Catch All Column" ma:hidden="true" ma:list="{6ba4fb2a-9ff3-4ca8-b82e-fd02b4b8326f}" ma:internalName="TaxCatchAll" ma:showField="CatchAllData" ma:web="02ebb043-5898-4877-8c1f-28652c7a58c8">
      <xsd:complexType>
        <xsd:complexContent>
          <xsd:extension base="dms:MultiChoiceLookup">
            <xsd:sequence>
              <xsd:element name="Value" type="dms:Lookup" maxOccurs="unbounded" minOccurs="0" nillable="true"/>
            </xsd:sequence>
          </xsd:extension>
        </xsd:complexContent>
      </xsd:complexType>
    </xsd:element>
    <xsd:element name="i65add8783a54065a8ae717033658b9b" ma:index="21" nillable="true" ma:taxonomy="true" ma:internalName="i65add8783a54065a8ae717033658b9b" ma:taxonomyFieldName="Doc_x0020_Status" ma:displayName="Doc Status" ma:indexed="true" ma:default="" ma:fieldId="{265add87-83a5-4065-a8ae-717033658b9b}" ma:sspId="c1588629-5f01-4420-b1c1-1ab4af18d9bf" ma:termSetId="875f2d54-a299-447c-8802-ef4aa5a6850b" ma:anchorId="ec0a32be-6382-4c35-9ad9-e691aa103528"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c444c2-77f8-41b5-8334-2e4af3cb4751" elementFormDefault="qualified">
    <xsd:import namespace="http://schemas.microsoft.com/office/2006/documentManagement/types"/>
    <xsd:import namespace="http://schemas.microsoft.com/office/infopath/2007/PartnerControls"/>
    <xsd:element name="Notify_x0020_users_x0020_50_x0020_versions_x0020_recorded_x0020_in_x0020_Payment" ma:index="28" nillable="true" ma:displayName="Notify users 50 versions recorded in Payment" ma:internalName="Notify_x0020_users_x0020_50_x0020_versions_x0020_recorded_x0020_in_x0020_Pay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4cd5a-212d-420e-a580-0e7a3c9b7ae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EC Document</p:Name>
  <p:Description>Delete document versions when not modified for more than 6 months and delete documents if not modified for more than 1 year.</p:Description>
  <p:Statement/>
  <p:PolicyItems>
    <p:PolicyItem featureId="Microsoft.Office.RecordsManagement.PolicyFeatures.Expiration" staticId="0x010100258AA79CEB83498886A3A08681123250009C4DC5C822817245B872616534DFFF39|-1790160826" UniqueId="0b12514c-b225-4fa2-9c3d-c880ca94c949">
      <p:Name>Retention</p:Name>
      <p:Description>Automatic scheduling of content for processing, and performing a retention action on content that has reached its due date.</p:Description>
      <p:CustomData>
        <Schedules nextStageId="3">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DeletePreviousVersions"/>
              </data>
              <data stageId="2" recur="true" offset="1" unit="years">
                <formula id="Microsoft.Office.RecordsManagement.PolicyFeatures.Expiration.Formula.BuiltIn">
                  <number>1</number>
                  <property>Modified</property>
                  <propertyId>28cf69c5-fa48-462a-b5cd-27b6f9d2bd5f</propertyId>
                  <period>years</period>
                </formula>
                <action type="workflow" id="3bea8eda-29ae-466e-b8b1-7d649e79841e"/>
              </data>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A1F2-AEEB-40FE-930A-660A9A9BCEE5}">
  <ds:schemaRefs>
    <ds:schemaRef ds:uri="http://schemas.microsoft.com/office/2006/metadata/customXsn"/>
  </ds:schemaRefs>
</ds:datastoreItem>
</file>

<file path=customXml/itemProps2.xml><?xml version="1.0" encoding="utf-8"?>
<ds:datastoreItem xmlns:ds="http://schemas.openxmlformats.org/officeDocument/2006/customXml" ds:itemID="{A3F3E65E-4498-44CC-80F7-290A3A58B22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6a4cd5a-212d-420e-a580-0e7a3c9b7ae9"/>
    <ds:schemaRef ds:uri="02ebb043-5898-4877-8c1f-28652c7a58c8"/>
    <ds:schemaRef ds:uri="http://purl.org/dc/elements/1.1/"/>
    <ds:schemaRef ds:uri="http://schemas.microsoft.com/office/2006/metadata/properties"/>
    <ds:schemaRef ds:uri="96c444c2-77f8-41b5-8334-2e4af3cb4751"/>
    <ds:schemaRef ds:uri="96C444C2-77F8-41B5-8334-2E4AF3CB4751"/>
    <ds:schemaRef ds:uri="http://www.w3.org/XML/1998/namespace"/>
    <ds:schemaRef ds:uri="http://purl.org/dc/dcmitype/"/>
  </ds:schemaRefs>
</ds:datastoreItem>
</file>

<file path=customXml/itemProps3.xml><?xml version="1.0" encoding="utf-8"?>
<ds:datastoreItem xmlns:ds="http://schemas.openxmlformats.org/officeDocument/2006/customXml" ds:itemID="{FC140255-B42F-4D08-9B8D-9ED3A9796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C444C2-77F8-41B5-8334-2E4AF3CB4751"/>
    <ds:schemaRef ds:uri="02ebb043-5898-4877-8c1f-28652c7a58c8"/>
    <ds:schemaRef ds:uri="96c444c2-77f8-41b5-8334-2e4af3cb4751"/>
    <ds:schemaRef ds:uri="e6a4cd5a-212d-420e-a580-0e7a3c9b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979B2-7CA4-4D3A-A37D-A67D79AAA002}">
  <ds:schemaRefs>
    <ds:schemaRef ds:uri="http://schemas.microsoft.com/sharepoint/v3/contenttype/forms"/>
  </ds:schemaRefs>
</ds:datastoreItem>
</file>

<file path=customXml/itemProps5.xml><?xml version="1.0" encoding="utf-8"?>
<ds:datastoreItem xmlns:ds="http://schemas.openxmlformats.org/officeDocument/2006/customXml" ds:itemID="{51020763-4575-496B-A128-C32E0A66FB28}">
  <ds:schemaRefs>
    <ds:schemaRef ds:uri="office.server.policy"/>
  </ds:schemaRefs>
</ds:datastoreItem>
</file>

<file path=customXml/itemProps6.xml><?xml version="1.0" encoding="utf-8"?>
<ds:datastoreItem xmlns:ds="http://schemas.openxmlformats.org/officeDocument/2006/customXml" ds:itemID="{73D5FF97-01FD-48F8-AFCF-D2E57F23714F}">
  <ds:schemaRefs>
    <ds:schemaRef ds:uri="http://schemas.microsoft.com/sharepoint/events"/>
  </ds:schemaRefs>
</ds:datastoreItem>
</file>

<file path=customXml/itemProps7.xml><?xml version="1.0" encoding="utf-8"?>
<ds:datastoreItem xmlns:ds="http://schemas.openxmlformats.org/officeDocument/2006/customXml" ds:itemID="{90E35E9C-8D02-420F-9995-A50B3928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23</Pages>
  <Words>9661</Words>
  <Characters>51013</Characters>
  <Application>Microsoft Office Word</Application>
  <DocSecurity>0</DocSecurity>
  <Lines>836</Lines>
  <Paragraphs>269</Paragraphs>
  <ScaleCrop>false</ScaleCrop>
  <HeadingPairs>
    <vt:vector size="2" baseType="variant">
      <vt:variant>
        <vt:lpstr>Title</vt:lpstr>
      </vt:variant>
      <vt:variant>
        <vt:i4>1</vt:i4>
      </vt:variant>
    </vt:vector>
  </HeadingPairs>
  <TitlesOfParts>
    <vt:vector size="1" baseType="lpstr">
      <vt:lpstr>Proposal for instant payments regulation_Legiswrite</vt:lpstr>
    </vt:vector>
  </TitlesOfParts>
  <Manager/>
  <Company/>
  <LinksUpToDate>false</LinksUpToDate>
  <CharactersWithSpaces>60405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instant payments regulation_Legiswrite</dc:title>
  <dc:subject/>
  <dc:creator>KOBYLINSKA-HILLIARD Katarzyna (FISMA)</dc:creator>
  <cp:keywords/>
  <dc:description/>
  <cp:lastModifiedBy>THERACE Christine (SG)</cp:lastModifiedBy>
  <cp:revision>11</cp:revision>
  <cp:lastPrinted>2022-10-06T11:07:00Z</cp:lastPrinted>
  <dcterms:created xsi:type="dcterms:W3CDTF">2022-11-09T12:17:00Z</dcterms:created>
  <dcterms:modified xsi:type="dcterms:W3CDTF">2022-11-09T12:35:00Z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8.0, Build 20220128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0x010100258AA79CEB83498886A3A08681123250009C4DC5C822817245B872616534DFFF39</vt:lpwstr>
  </property>
  <property fmtid="{D5CDD505-2E9C-101B-9397-08002B2CF9AE}" pid="11" name="_dlc_policyId">
    <vt:lpwstr>0x010100258AA79CEB83498886A3A08681123250009C4DC5C822817245B872616534DFFF39|-1790160826</vt:lpwstr>
  </property>
  <property fmtid="{D5CDD505-2E9C-101B-9397-08002B2CF9AE}" pid="12"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13" name="_dlc_DocIdItemGuid">
    <vt:lpwstr>8d92c12a-eebf-4e7a-ba2e-390262e8acd3</vt:lpwstr>
  </property>
  <property fmtid="{D5CDD505-2E9C-101B-9397-08002B2CF9AE}" pid="14" name="Institution">
    <vt:lpwstr/>
  </property>
  <property fmtid="{D5CDD505-2E9C-101B-9397-08002B2CF9AE}" pid="15" name="Confidentiality">
    <vt:lpwstr/>
  </property>
  <property fmtid="{D5CDD505-2E9C-101B-9397-08002B2CF9AE}" pid="16" name="Doc Status">
    <vt:lpwstr/>
  </property>
  <property fmtid="{D5CDD505-2E9C-101B-9397-08002B2CF9AE}" pid="17" name="Document type">
    <vt:lpwstr/>
  </property>
  <property fmtid="{D5CDD505-2E9C-101B-9397-08002B2CF9AE}" pid="18" name="MSIP_Label_6bd9ddd1-4d20-43f6-abfa-fc3c07406f94_Enabled">
    <vt:lpwstr>true</vt:lpwstr>
  </property>
  <property fmtid="{D5CDD505-2E9C-101B-9397-08002B2CF9AE}" pid="19" name="MSIP_Label_6bd9ddd1-4d20-43f6-abfa-fc3c07406f94_SetDate">
    <vt:lpwstr>2022-06-30T15:42:26Z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8b4df10c-d290-4221-bb9d-cb51a42bf07a</vt:lpwstr>
  </property>
  <property fmtid="{D5CDD505-2E9C-101B-9397-08002B2CF9AE}" pid="24" name="MSIP_Label_6bd9ddd1-4d20-43f6-abfa-fc3c07406f94_ContentBits">
    <vt:lpwstr>0</vt:lpwstr>
  </property>
  <property fmtid="{D5CDD505-2E9C-101B-9397-08002B2CF9AE}" pid="25" name="DQCStatus">
    <vt:lpwstr>Yellow (DQC version 03)</vt:lpwstr>
  </property>
</Properties>
</file>