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E43B7" w14:textId="1B1E311D" w:rsidR="0070434C" w:rsidRDefault="00EE2F85" w:rsidP="00EE2F85">
      <w:pPr>
        <w:pStyle w:val="Pagedecouverture"/>
        <w:rPr>
          <w:noProof/>
          <w:lang w:val="en-IE"/>
        </w:rPr>
      </w:pPr>
      <w:bookmarkStart w:id="0" w:name="LW_BM_COVERPAGE"/>
      <w:r>
        <w:rPr>
          <w:noProof/>
          <w:lang w:val="en-IE"/>
        </w:rPr>
        <w:pict w14:anchorId="7CE2EB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4BDED6C1-B97B-4C41-B47D-47236C950154" style="width:455.25pt;height:310.5pt">
            <v:imagedata r:id="rId11" o:title=""/>
          </v:shape>
        </w:pict>
      </w:r>
    </w:p>
    <w:bookmarkEnd w:id="0"/>
    <w:p w14:paraId="59A7B339" w14:textId="77777777" w:rsidR="0070434C" w:rsidRDefault="0070434C" w:rsidP="0070434C">
      <w:pPr>
        <w:rPr>
          <w:noProof/>
          <w:lang w:val="en-IE"/>
        </w:rPr>
        <w:sectPr w:rsidR="0070434C" w:rsidSect="00EE2F85">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0"/>
          <w:cols w:space="720"/>
          <w:docGrid w:linePitch="360"/>
        </w:sectPr>
      </w:pPr>
    </w:p>
    <w:p w14:paraId="6565E088" w14:textId="36F7A438" w:rsidR="00C20A2B" w:rsidRPr="00C20A2B" w:rsidRDefault="00AD3A18" w:rsidP="00720216">
      <w:pPr>
        <w:jc w:val="center"/>
        <w:rPr>
          <w:rFonts w:ascii="Times New Roman" w:hAnsi="Times New Roman" w:cs="Times New Roman"/>
          <w:b/>
          <w:noProof/>
          <w:sz w:val="24"/>
          <w:szCs w:val="24"/>
          <w:lang w:val="en-IE"/>
        </w:rPr>
      </w:pPr>
      <w:bookmarkStart w:id="1" w:name="_GoBack"/>
      <w:bookmarkEnd w:id="1"/>
      <w:r>
        <w:rPr>
          <w:rFonts w:ascii="Times New Roman" w:hAnsi="Times New Roman" w:cs="Times New Roman"/>
          <w:b/>
          <w:noProof/>
          <w:sz w:val="24"/>
          <w:szCs w:val="24"/>
          <w:lang w:val="en-IE"/>
        </w:rPr>
        <w:lastRenderedPageBreak/>
        <w:t xml:space="preserve">Commission </w:t>
      </w:r>
      <w:r w:rsidR="00F0043D">
        <w:rPr>
          <w:rFonts w:ascii="Times New Roman" w:hAnsi="Times New Roman" w:cs="Times New Roman"/>
          <w:b/>
          <w:noProof/>
          <w:sz w:val="24"/>
          <w:szCs w:val="24"/>
          <w:lang w:val="en-IE"/>
        </w:rPr>
        <w:t xml:space="preserve">Report </w:t>
      </w:r>
      <w:r w:rsidR="006F6EF0">
        <w:rPr>
          <w:rFonts w:ascii="Times New Roman" w:hAnsi="Times New Roman" w:cs="Times New Roman"/>
          <w:b/>
          <w:noProof/>
          <w:sz w:val="24"/>
          <w:szCs w:val="24"/>
          <w:lang w:val="en-IE"/>
        </w:rPr>
        <w:t xml:space="preserve">linked </w:t>
      </w:r>
      <w:r w:rsidR="00C20A2B" w:rsidRPr="00C20A2B">
        <w:rPr>
          <w:rFonts w:ascii="Times New Roman" w:hAnsi="Times New Roman" w:cs="Times New Roman"/>
          <w:b/>
          <w:noProof/>
          <w:sz w:val="24"/>
          <w:szCs w:val="24"/>
          <w:lang w:val="en-IE"/>
        </w:rPr>
        <w:t>to the State of the Energy Union</w:t>
      </w:r>
      <w:r w:rsidR="002F6368">
        <w:rPr>
          <w:rFonts w:ascii="Times New Roman" w:hAnsi="Times New Roman" w:cs="Times New Roman"/>
          <w:b/>
          <w:noProof/>
          <w:sz w:val="24"/>
          <w:szCs w:val="24"/>
          <w:lang w:val="en-IE"/>
        </w:rPr>
        <w:t xml:space="preserve"> </w:t>
      </w:r>
      <w:r w:rsidR="00586DAB">
        <w:rPr>
          <w:rFonts w:ascii="Times New Roman" w:hAnsi="Times New Roman" w:cs="Times New Roman"/>
          <w:b/>
          <w:noProof/>
          <w:sz w:val="24"/>
          <w:szCs w:val="24"/>
          <w:lang w:val="en-IE"/>
        </w:rPr>
        <w:t>–</w:t>
      </w:r>
      <w:r w:rsidR="00F3030D">
        <w:rPr>
          <w:rFonts w:ascii="Times New Roman" w:hAnsi="Times New Roman" w:cs="Times New Roman"/>
          <w:b/>
          <w:noProof/>
          <w:sz w:val="24"/>
          <w:szCs w:val="24"/>
          <w:lang w:val="en-IE"/>
        </w:rPr>
        <w:t xml:space="preserve"> </w:t>
      </w:r>
      <w:r w:rsidR="00F0043D">
        <w:rPr>
          <w:rFonts w:ascii="Times New Roman" w:hAnsi="Times New Roman" w:cs="Times New Roman"/>
          <w:b/>
          <w:noProof/>
          <w:sz w:val="24"/>
          <w:szCs w:val="24"/>
          <w:lang w:val="en-IE"/>
        </w:rPr>
        <w:t>E</w:t>
      </w:r>
      <w:r w:rsidR="00C20A2B" w:rsidRPr="00C20A2B">
        <w:rPr>
          <w:rFonts w:ascii="Times New Roman" w:hAnsi="Times New Roman" w:cs="Times New Roman"/>
          <w:b/>
          <w:noProof/>
          <w:sz w:val="24"/>
          <w:szCs w:val="24"/>
          <w:lang w:val="en-IE"/>
        </w:rPr>
        <w:t xml:space="preserve">nergy subsidies </w:t>
      </w:r>
      <w:r w:rsidR="0027130F">
        <w:rPr>
          <w:rFonts w:ascii="Times New Roman" w:hAnsi="Times New Roman" w:cs="Times New Roman"/>
          <w:b/>
          <w:noProof/>
          <w:sz w:val="24"/>
          <w:szCs w:val="24"/>
          <w:lang w:val="en-IE"/>
        </w:rPr>
        <w:t>in the EU</w:t>
      </w:r>
    </w:p>
    <w:p w14:paraId="1063A5AA" w14:textId="4CFBB4CE" w:rsidR="00C20A2B" w:rsidRPr="00C20A2B" w:rsidRDefault="00C20A2B" w:rsidP="00656B7F">
      <w:pPr>
        <w:pStyle w:val="Heading1"/>
        <w:rPr>
          <w:noProof/>
        </w:rPr>
      </w:pPr>
      <w:r w:rsidRPr="00C20A2B">
        <w:rPr>
          <w:noProof/>
        </w:rPr>
        <w:t>Introduction</w:t>
      </w:r>
      <w:r w:rsidR="007F0F90">
        <w:rPr>
          <w:noProof/>
        </w:rPr>
        <w:t xml:space="preserve"> and main findings</w:t>
      </w:r>
    </w:p>
    <w:p w14:paraId="59D71F95" w14:textId="2ACB95E1" w:rsidR="0021742F" w:rsidRDefault="00C67E23"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This is the </w:t>
      </w:r>
      <w:r w:rsidR="002F6368">
        <w:rPr>
          <w:rFonts w:ascii="Times New Roman" w:hAnsi="Times New Roman" w:cs="Times New Roman"/>
          <w:noProof/>
          <w:sz w:val="24"/>
          <w:szCs w:val="24"/>
          <w:lang w:val="en-IE"/>
        </w:rPr>
        <w:t xml:space="preserve">third </w:t>
      </w:r>
      <w:r w:rsidR="00BB2757">
        <w:rPr>
          <w:rFonts w:ascii="Times New Roman" w:hAnsi="Times New Roman" w:cs="Times New Roman"/>
          <w:noProof/>
          <w:sz w:val="24"/>
          <w:szCs w:val="24"/>
          <w:lang w:val="en-IE"/>
        </w:rPr>
        <w:t xml:space="preserve">annual </w:t>
      </w:r>
      <w:r w:rsidR="00E52A01">
        <w:rPr>
          <w:rFonts w:ascii="Times New Roman" w:hAnsi="Times New Roman" w:cs="Times New Roman"/>
          <w:noProof/>
          <w:sz w:val="24"/>
          <w:szCs w:val="24"/>
          <w:lang w:val="en-IE"/>
        </w:rPr>
        <w:t xml:space="preserve">report on monitoring </w:t>
      </w:r>
      <w:r w:rsidR="00E52A01" w:rsidRPr="0049482C">
        <w:rPr>
          <w:rFonts w:ascii="Times New Roman" w:hAnsi="Times New Roman" w:cs="Times New Roman"/>
          <w:noProof/>
          <w:sz w:val="24"/>
          <w:szCs w:val="24"/>
          <w:lang w:val="en-IE"/>
        </w:rPr>
        <w:t>Member States</w:t>
      </w:r>
      <w:r w:rsidR="00F86FBE">
        <w:rPr>
          <w:rFonts w:ascii="Times New Roman" w:hAnsi="Times New Roman" w:cs="Times New Roman"/>
          <w:noProof/>
          <w:sz w:val="24"/>
          <w:szCs w:val="24"/>
          <w:lang w:val="en-IE"/>
        </w:rPr>
        <w:t>’</w:t>
      </w:r>
      <w:r w:rsidR="00E52A01" w:rsidRPr="0049482C">
        <w:rPr>
          <w:rFonts w:ascii="Times New Roman" w:hAnsi="Times New Roman" w:cs="Times New Roman"/>
          <w:noProof/>
          <w:sz w:val="24"/>
          <w:szCs w:val="24"/>
          <w:lang w:val="en-IE"/>
        </w:rPr>
        <w:t xml:space="preserve"> progress towards phasing out </w:t>
      </w:r>
      <w:r w:rsidR="00E52A01">
        <w:rPr>
          <w:rFonts w:ascii="Times New Roman" w:hAnsi="Times New Roman" w:cs="Times New Roman"/>
          <w:noProof/>
          <w:sz w:val="24"/>
          <w:szCs w:val="24"/>
          <w:lang w:val="en-IE"/>
        </w:rPr>
        <w:t xml:space="preserve">energy </w:t>
      </w:r>
      <w:r w:rsidR="00F86FBE">
        <w:rPr>
          <w:rFonts w:ascii="Times New Roman" w:hAnsi="Times New Roman" w:cs="Times New Roman"/>
          <w:noProof/>
          <w:sz w:val="24"/>
          <w:szCs w:val="24"/>
          <w:lang w:val="en-IE"/>
        </w:rPr>
        <w:t xml:space="preserve">subsidies – </w:t>
      </w:r>
      <w:r w:rsidR="00E52A01">
        <w:rPr>
          <w:rFonts w:ascii="Times New Roman" w:hAnsi="Times New Roman" w:cs="Times New Roman"/>
          <w:noProof/>
          <w:sz w:val="24"/>
          <w:szCs w:val="24"/>
          <w:lang w:val="en-IE"/>
        </w:rPr>
        <w:t xml:space="preserve">and </w:t>
      </w:r>
      <w:r w:rsidR="00114377">
        <w:rPr>
          <w:rFonts w:ascii="Times New Roman" w:hAnsi="Times New Roman" w:cs="Times New Roman"/>
          <w:noProof/>
          <w:sz w:val="24"/>
          <w:szCs w:val="24"/>
          <w:lang w:val="en-IE"/>
        </w:rPr>
        <w:t xml:space="preserve">more specifically </w:t>
      </w:r>
      <w:r w:rsidR="00E52A01">
        <w:rPr>
          <w:rFonts w:ascii="Times New Roman" w:hAnsi="Times New Roman" w:cs="Times New Roman"/>
          <w:noProof/>
          <w:sz w:val="24"/>
          <w:szCs w:val="24"/>
          <w:lang w:val="en-IE"/>
        </w:rPr>
        <w:t>fossil</w:t>
      </w:r>
      <w:r w:rsidR="00886D31">
        <w:rPr>
          <w:rFonts w:ascii="Times New Roman" w:hAnsi="Times New Roman" w:cs="Times New Roman"/>
          <w:noProof/>
          <w:sz w:val="24"/>
          <w:szCs w:val="24"/>
          <w:lang w:val="en-IE"/>
        </w:rPr>
        <w:t>-</w:t>
      </w:r>
      <w:r w:rsidR="00E52A01">
        <w:rPr>
          <w:rFonts w:ascii="Times New Roman" w:hAnsi="Times New Roman" w:cs="Times New Roman"/>
          <w:noProof/>
          <w:sz w:val="24"/>
          <w:szCs w:val="24"/>
          <w:lang w:val="en-IE"/>
        </w:rPr>
        <w:t>fuel subsidies</w:t>
      </w:r>
      <w:r w:rsidR="00F86FBE">
        <w:rPr>
          <w:rFonts w:ascii="Times New Roman" w:hAnsi="Times New Roman" w:cs="Times New Roman"/>
          <w:noProof/>
          <w:sz w:val="24"/>
          <w:szCs w:val="24"/>
          <w:lang w:val="en-IE"/>
        </w:rPr>
        <w:t xml:space="preserve">– </w:t>
      </w:r>
      <w:r w:rsidR="00E52A01">
        <w:rPr>
          <w:rFonts w:ascii="Times New Roman" w:hAnsi="Times New Roman" w:cs="Times New Roman"/>
          <w:noProof/>
          <w:sz w:val="24"/>
          <w:szCs w:val="24"/>
          <w:lang w:val="en-IE"/>
        </w:rPr>
        <w:t>in the EU</w:t>
      </w:r>
      <w:r>
        <w:rPr>
          <w:rFonts w:ascii="Times New Roman" w:hAnsi="Times New Roman" w:cs="Times New Roman"/>
          <w:noProof/>
          <w:sz w:val="24"/>
          <w:szCs w:val="24"/>
          <w:lang w:val="en-IE"/>
        </w:rPr>
        <w:t xml:space="preserve">. </w:t>
      </w:r>
      <w:r w:rsidR="00F86FBE">
        <w:rPr>
          <w:rFonts w:ascii="Times New Roman" w:hAnsi="Times New Roman" w:cs="Times New Roman"/>
          <w:noProof/>
          <w:sz w:val="24"/>
          <w:szCs w:val="24"/>
          <w:lang w:val="en-IE"/>
        </w:rPr>
        <w:t xml:space="preserve">Phasing out these subsidies </w:t>
      </w:r>
      <w:r>
        <w:rPr>
          <w:rFonts w:ascii="Times New Roman" w:hAnsi="Times New Roman" w:cs="Times New Roman"/>
          <w:noProof/>
          <w:sz w:val="24"/>
          <w:szCs w:val="24"/>
          <w:lang w:val="en-IE"/>
        </w:rPr>
        <w:t xml:space="preserve">is a </w:t>
      </w:r>
      <w:r w:rsidR="00BB2757">
        <w:rPr>
          <w:rFonts w:ascii="Times New Roman" w:hAnsi="Times New Roman" w:cs="Times New Roman"/>
          <w:noProof/>
          <w:sz w:val="24"/>
          <w:szCs w:val="24"/>
          <w:lang w:val="en-IE"/>
        </w:rPr>
        <w:t>require</w:t>
      </w:r>
      <w:r>
        <w:rPr>
          <w:rFonts w:ascii="Times New Roman" w:hAnsi="Times New Roman" w:cs="Times New Roman"/>
          <w:noProof/>
          <w:sz w:val="24"/>
          <w:szCs w:val="24"/>
          <w:lang w:val="en-IE"/>
        </w:rPr>
        <w:t>ment under</w:t>
      </w:r>
      <w:r w:rsidR="00BB2757">
        <w:rPr>
          <w:rFonts w:ascii="Times New Roman" w:hAnsi="Times New Roman" w:cs="Times New Roman"/>
          <w:noProof/>
          <w:sz w:val="24"/>
          <w:szCs w:val="24"/>
          <w:lang w:val="en-IE"/>
        </w:rPr>
        <w:t xml:space="preserve"> </w:t>
      </w:r>
      <w:r w:rsidR="00305781">
        <w:rPr>
          <w:rFonts w:ascii="Times New Roman" w:hAnsi="Times New Roman" w:cs="Times New Roman"/>
          <w:noProof/>
          <w:sz w:val="24"/>
          <w:szCs w:val="24"/>
          <w:lang w:val="en-IE"/>
        </w:rPr>
        <w:t>the Regulation on the Governance of the Energy Union and Climate Action</w:t>
      </w:r>
      <w:r w:rsidR="002F6368">
        <w:rPr>
          <w:rStyle w:val="FootnoteReference"/>
          <w:noProof/>
        </w:rPr>
        <w:footnoteReference w:id="1"/>
      </w:r>
      <w:r w:rsidR="00CF7856">
        <w:rPr>
          <w:rFonts w:ascii="Times New Roman" w:hAnsi="Times New Roman" w:cs="Times New Roman"/>
          <w:noProof/>
          <w:sz w:val="24"/>
          <w:szCs w:val="24"/>
          <w:lang w:val="en-IE"/>
        </w:rPr>
        <w:t>. This report</w:t>
      </w:r>
      <w:r>
        <w:rPr>
          <w:rFonts w:ascii="Times New Roman" w:hAnsi="Times New Roman" w:cs="Times New Roman"/>
          <w:noProof/>
          <w:sz w:val="24"/>
          <w:szCs w:val="24"/>
          <w:lang w:val="en-IE"/>
        </w:rPr>
        <w:t xml:space="preserve"> builds on the two previous </w:t>
      </w:r>
      <w:r w:rsidR="00C07677">
        <w:rPr>
          <w:rFonts w:ascii="Times New Roman" w:hAnsi="Times New Roman" w:cs="Times New Roman"/>
          <w:noProof/>
          <w:sz w:val="24"/>
          <w:szCs w:val="24"/>
          <w:lang w:val="en-IE"/>
        </w:rPr>
        <w:t>reports</w:t>
      </w:r>
      <w:r>
        <w:rPr>
          <w:rStyle w:val="FootnoteReference"/>
          <w:rFonts w:ascii="Times New Roman" w:hAnsi="Times New Roman" w:cs="Times New Roman"/>
          <w:noProof/>
          <w:sz w:val="24"/>
          <w:szCs w:val="24"/>
          <w:lang w:val="en-IE"/>
        </w:rPr>
        <w:footnoteReference w:id="2"/>
      </w:r>
      <w:r>
        <w:rPr>
          <w:rFonts w:ascii="Times New Roman" w:hAnsi="Times New Roman" w:cs="Times New Roman"/>
          <w:noProof/>
          <w:sz w:val="24"/>
          <w:szCs w:val="24"/>
          <w:lang w:val="en-IE"/>
        </w:rPr>
        <w:t xml:space="preserve"> </w:t>
      </w:r>
      <w:r w:rsidR="00C07677">
        <w:rPr>
          <w:rFonts w:ascii="Times New Roman" w:hAnsi="Times New Roman" w:cs="Times New Roman"/>
          <w:noProof/>
          <w:sz w:val="24"/>
          <w:szCs w:val="24"/>
          <w:lang w:val="en-IE"/>
        </w:rPr>
        <w:t>on subsidies annexed to</w:t>
      </w:r>
      <w:r w:rsidR="00F86FBE">
        <w:rPr>
          <w:rFonts w:ascii="Times New Roman" w:hAnsi="Times New Roman" w:cs="Times New Roman"/>
          <w:noProof/>
          <w:sz w:val="24"/>
          <w:szCs w:val="24"/>
          <w:lang w:val="en-IE"/>
        </w:rPr>
        <w:t xml:space="preserve"> the State of the Energy Union </w:t>
      </w:r>
      <w:r>
        <w:rPr>
          <w:rFonts w:ascii="Times New Roman" w:hAnsi="Times New Roman" w:cs="Times New Roman"/>
          <w:noProof/>
          <w:sz w:val="24"/>
          <w:szCs w:val="24"/>
          <w:lang w:val="en-IE"/>
        </w:rPr>
        <w:t>published by the European Commission</w:t>
      </w:r>
      <w:r w:rsidR="00C07677">
        <w:rPr>
          <w:rFonts w:ascii="Times New Roman" w:hAnsi="Times New Roman" w:cs="Times New Roman"/>
          <w:noProof/>
          <w:sz w:val="24"/>
          <w:szCs w:val="24"/>
          <w:lang w:val="en-IE"/>
        </w:rPr>
        <w:t xml:space="preserve"> in 2020 and 2021</w:t>
      </w:r>
      <w:r w:rsidR="00305781">
        <w:rPr>
          <w:rFonts w:ascii="Times New Roman" w:hAnsi="Times New Roman" w:cs="Times New Roman"/>
          <w:noProof/>
          <w:sz w:val="24"/>
          <w:szCs w:val="24"/>
          <w:lang w:val="en-IE"/>
        </w:rPr>
        <w:t>.</w:t>
      </w:r>
      <w:r w:rsidR="0049482C">
        <w:rPr>
          <w:rFonts w:ascii="Times New Roman" w:hAnsi="Times New Roman" w:cs="Times New Roman"/>
          <w:noProof/>
          <w:sz w:val="24"/>
          <w:szCs w:val="24"/>
          <w:lang w:val="en-IE"/>
        </w:rPr>
        <w:t xml:space="preserve"> </w:t>
      </w:r>
    </w:p>
    <w:p w14:paraId="2CE37324" w14:textId="23F3C830" w:rsidR="0049482C" w:rsidRDefault="002F6368"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w:t>
      </w:r>
      <w:r w:rsidR="00155CE6">
        <w:rPr>
          <w:rFonts w:ascii="Times New Roman" w:hAnsi="Times New Roman" w:cs="Times New Roman"/>
          <w:noProof/>
          <w:sz w:val="24"/>
          <w:szCs w:val="24"/>
          <w:lang w:val="en-IE"/>
        </w:rPr>
        <w:t xml:space="preserve">first </w:t>
      </w:r>
      <w:r>
        <w:rPr>
          <w:rFonts w:ascii="Times New Roman" w:hAnsi="Times New Roman" w:cs="Times New Roman"/>
          <w:noProof/>
          <w:sz w:val="24"/>
          <w:szCs w:val="24"/>
          <w:lang w:val="en-IE"/>
        </w:rPr>
        <w:t xml:space="preserve">two </w:t>
      </w:r>
      <w:r w:rsidR="00C07677">
        <w:rPr>
          <w:rFonts w:ascii="Times New Roman" w:hAnsi="Times New Roman" w:cs="Times New Roman"/>
          <w:noProof/>
          <w:sz w:val="24"/>
          <w:szCs w:val="24"/>
          <w:lang w:val="en-IE"/>
        </w:rPr>
        <w:t>reports</w:t>
      </w:r>
      <w:r w:rsidR="00F86FBE">
        <w:rPr>
          <w:rFonts w:ascii="Times New Roman" w:hAnsi="Times New Roman" w:cs="Times New Roman"/>
          <w:noProof/>
          <w:sz w:val="24"/>
          <w:szCs w:val="24"/>
          <w:lang w:val="en-IE"/>
        </w:rPr>
        <w:t xml:space="preserve"> </w:t>
      </w:r>
      <w:r w:rsidR="00482E9F">
        <w:rPr>
          <w:rFonts w:ascii="Times New Roman" w:hAnsi="Times New Roman" w:cs="Times New Roman"/>
          <w:noProof/>
          <w:sz w:val="24"/>
          <w:szCs w:val="24"/>
          <w:lang w:val="en-IE"/>
        </w:rPr>
        <w:t>were</w:t>
      </w:r>
      <w:r>
        <w:rPr>
          <w:rFonts w:ascii="Times New Roman" w:hAnsi="Times New Roman" w:cs="Times New Roman"/>
          <w:noProof/>
          <w:sz w:val="24"/>
          <w:szCs w:val="24"/>
          <w:lang w:val="en-IE"/>
        </w:rPr>
        <w:t xml:space="preserve"> principally based on direct data collections from national authorities</w:t>
      </w:r>
      <w:r w:rsidR="00482E9F">
        <w:rPr>
          <w:rFonts w:ascii="Times New Roman" w:hAnsi="Times New Roman" w:cs="Times New Roman"/>
          <w:noProof/>
          <w:sz w:val="24"/>
          <w:szCs w:val="24"/>
          <w:lang w:val="en-IE"/>
        </w:rPr>
        <w:t xml:space="preserve"> and</w:t>
      </w:r>
      <w:r>
        <w:rPr>
          <w:rFonts w:ascii="Times New Roman" w:hAnsi="Times New Roman" w:cs="Times New Roman"/>
          <w:noProof/>
          <w:sz w:val="24"/>
          <w:szCs w:val="24"/>
          <w:lang w:val="en-IE"/>
        </w:rPr>
        <w:t xml:space="preserve"> revealed some </w:t>
      </w:r>
      <w:r w:rsidR="007D1383">
        <w:rPr>
          <w:rFonts w:ascii="Times New Roman" w:hAnsi="Times New Roman" w:cs="Times New Roman"/>
          <w:noProof/>
          <w:sz w:val="24"/>
          <w:szCs w:val="24"/>
          <w:lang w:val="en-IE"/>
        </w:rPr>
        <w:t xml:space="preserve">significant </w:t>
      </w:r>
      <w:r>
        <w:rPr>
          <w:rFonts w:ascii="Times New Roman" w:hAnsi="Times New Roman" w:cs="Times New Roman"/>
          <w:noProof/>
          <w:sz w:val="24"/>
          <w:szCs w:val="24"/>
          <w:lang w:val="en-IE"/>
        </w:rPr>
        <w:t xml:space="preserve">data gaps in the 2020 </w:t>
      </w:r>
      <w:r w:rsidR="00F86FBE">
        <w:rPr>
          <w:rFonts w:ascii="Times New Roman" w:hAnsi="Times New Roman" w:cs="Times New Roman"/>
          <w:noProof/>
          <w:sz w:val="24"/>
          <w:szCs w:val="24"/>
          <w:lang w:val="en-IE"/>
        </w:rPr>
        <w:t>n</w:t>
      </w:r>
      <w:r>
        <w:rPr>
          <w:rFonts w:ascii="Times New Roman" w:hAnsi="Times New Roman" w:cs="Times New Roman"/>
          <w:noProof/>
          <w:sz w:val="24"/>
          <w:szCs w:val="24"/>
          <w:lang w:val="en-IE"/>
        </w:rPr>
        <w:t xml:space="preserve">ational </w:t>
      </w:r>
      <w:r w:rsidR="00F86FBE">
        <w:rPr>
          <w:rFonts w:ascii="Times New Roman" w:hAnsi="Times New Roman" w:cs="Times New Roman"/>
          <w:noProof/>
          <w:sz w:val="24"/>
          <w:szCs w:val="24"/>
          <w:lang w:val="en-IE"/>
        </w:rPr>
        <w:t>e</w:t>
      </w:r>
      <w:r>
        <w:rPr>
          <w:rFonts w:ascii="Times New Roman" w:hAnsi="Times New Roman" w:cs="Times New Roman"/>
          <w:noProof/>
          <w:sz w:val="24"/>
          <w:szCs w:val="24"/>
          <w:lang w:val="en-IE"/>
        </w:rPr>
        <w:t xml:space="preserve">nergy and </w:t>
      </w:r>
      <w:r w:rsidR="00F86FBE">
        <w:rPr>
          <w:rFonts w:ascii="Times New Roman" w:hAnsi="Times New Roman" w:cs="Times New Roman"/>
          <w:noProof/>
          <w:sz w:val="24"/>
          <w:szCs w:val="24"/>
          <w:lang w:val="en-IE"/>
        </w:rPr>
        <w:t>c</w:t>
      </w:r>
      <w:r>
        <w:rPr>
          <w:rFonts w:ascii="Times New Roman" w:hAnsi="Times New Roman" w:cs="Times New Roman"/>
          <w:noProof/>
          <w:sz w:val="24"/>
          <w:szCs w:val="24"/>
          <w:lang w:val="en-IE"/>
        </w:rPr>
        <w:t xml:space="preserve">limate </w:t>
      </w:r>
      <w:r w:rsidR="00F86FBE">
        <w:rPr>
          <w:rFonts w:ascii="Times New Roman" w:hAnsi="Times New Roman" w:cs="Times New Roman"/>
          <w:noProof/>
          <w:sz w:val="24"/>
          <w:szCs w:val="24"/>
          <w:lang w:val="en-IE"/>
        </w:rPr>
        <w:t>p</w:t>
      </w:r>
      <w:r>
        <w:rPr>
          <w:rFonts w:ascii="Times New Roman" w:hAnsi="Times New Roman" w:cs="Times New Roman"/>
          <w:noProof/>
          <w:sz w:val="24"/>
          <w:szCs w:val="24"/>
          <w:lang w:val="en-IE"/>
        </w:rPr>
        <w:t>lans (NECPs)</w:t>
      </w:r>
      <w:r w:rsidR="00DA259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F86FBE">
        <w:rPr>
          <w:rFonts w:ascii="Times New Roman" w:hAnsi="Times New Roman" w:cs="Times New Roman"/>
          <w:noProof/>
          <w:sz w:val="24"/>
          <w:szCs w:val="24"/>
          <w:lang w:val="en-IE"/>
        </w:rPr>
        <w:t>However, t</w:t>
      </w:r>
      <w:r>
        <w:rPr>
          <w:rFonts w:ascii="Times New Roman" w:hAnsi="Times New Roman" w:cs="Times New Roman"/>
          <w:noProof/>
          <w:sz w:val="24"/>
          <w:szCs w:val="24"/>
          <w:lang w:val="en-IE"/>
        </w:rPr>
        <w:t xml:space="preserve">he annual continuity of the data collection will contribute to the improvement of data quality in the NECP progress reports due in </w:t>
      </w:r>
      <w:r w:rsidR="004224FC">
        <w:rPr>
          <w:rFonts w:ascii="Times New Roman" w:hAnsi="Times New Roman" w:cs="Times New Roman"/>
          <w:noProof/>
          <w:sz w:val="24"/>
          <w:szCs w:val="24"/>
          <w:lang w:val="en-IE"/>
        </w:rPr>
        <w:t>2023</w:t>
      </w:r>
      <w:r>
        <w:rPr>
          <w:rFonts w:ascii="Times New Roman" w:hAnsi="Times New Roman" w:cs="Times New Roman"/>
          <w:noProof/>
          <w:sz w:val="24"/>
          <w:szCs w:val="24"/>
          <w:lang w:val="en-IE"/>
        </w:rPr>
        <w:t>.</w:t>
      </w:r>
    </w:p>
    <w:p w14:paraId="3CB1393D" w14:textId="560933DF" w:rsidR="004F1DDE" w:rsidRDefault="004F1DDE"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European Union has the target of reducing its GHG emissions by 2030 by at least 55% compared to 1990 and to be climate neutral by 2050. This implies the need to end subsidising fossil fuels, while creating favourable conditions for energy efficiency and renewable sources of energy and taking into account the need of vulnerable customers in the energy transition.</w:t>
      </w:r>
    </w:p>
    <w:p w14:paraId="2CC50804" w14:textId="21BA83DF" w:rsidR="0049482C" w:rsidRDefault="002F6368" w:rsidP="002F6368">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 November 2021, the Glasgow Climate Pact</w:t>
      </w:r>
      <w:r>
        <w:rPr>
          <w:rStyle w:val="FootnoteReference"/>
          <w:rFonts w:ascii="Times New Roman" w:hAnsi="Times New Roman" w:cs="Times New Roman"/>
          <w:noProof/>
          <w:sz w:val="24"/>
          <w:szCs w:val="24"/>
          <w:lang w:val="en-IE"/>
        </w:rPr>
        <w:footnoteReference w:id="3"/>
      </w:r>
      <w:r>
        <w:rPr>
          <w:rFonts w:ascii="Times New Roman" w:hAnsi="Times New Roman" w:cs="Times New Roman"/>
          <w:noProof/>
          <w:sz w:val="24"/>
          <w:szCs w:val="24"/>
          <w:lang w:val="en-IE"/>
        </w:rPr>
        <w:t xml:space="preserve"> called for ‘</w:t>
      </w:r>
      <w:r w:rsidRPr="00DA2594">
        <w:rPr>
          <w:rFonts w:ascii="Times New Roman" w:hAnsi="Times New Roman" w:cs="Times New Roman"/>
          <w:noProof/>
          <w:sz w:val="24"/>
          <w:szCs w:val="24"/>
          <w:lang w:val="en-IE"/>
        </w:rPr>
        <w:t>accelerating efforts towards the phasedown of unabated coal power and phase-out of inefficient fossil</w:t>
      </w:r>
      <w:r w:rsidR="00886D31">
        <w:rPr>
          <w:rFonts w:ascii="Times New Roman" w:hAnsi="Times New Roman" w:cs="Times New Roman"/>
          <w:noProof/>
          <w:sz w:val="24"/>
          <w:szCs w:val="24"/>
          <w:lang w:val="en-IE"/>
        </w:rPr>
        <w:t>-</w:t>
      </w:r>
      <w:r w:rsidRPr="00DA2594">
        <w:rPr>
          <w:rFonts w:ascii="Times New Roman" w:hAnsi="Times New Roman" w:cs="Times New Roman"/>
          <w:noProof/>
          <w:sz w:val="24"/>
          <w:szCs w:val="24"/>
          <w:lang w:val="en-IE"/>
        </w:rPr>
        <w:t>fuel subsidies, while providing targeted support to the poorest and most vulnerable in line with national circumstances and recognizing the need for support towards a just transition</w:t>
      </w:r>
      <w:r w:rsidR="00F86FBE">
        <w:rPr>
          <w:rFonts w:ascii="Times New Roman" w:hAnsi="Times New Roman" w:cs="Times New Roman"/>
          <w:noProof/>
          <w:sz w:val="24"/>
          <w:szCs w:val="24"/>
          <w:lang w:val="en-IE"/>
        </w:rPr>
        <w:t>’</w:t>
      </w:r>
      <w:r w:rsidR="003E0B9D">
        <w:rPr>
          <w:rStyle w:val="FootnoteReference"/>
          <w:rFonts w:ascii="Times New Roman" w:hAnsi="Times New Roman" w:cs="Times New Roman"/>
          <w:noProof/>
          <w:sz w:val="24"/>
          <w:szCs w:val="24"/>
          <w:lang w:val="en-IE"/>
        </w:rPr>
        <w:footnoteReference w:id="4"/>
      </w:r>
      <w:r>
        <w:rPr>
          <w:rFonts w:ascii="Times New Roman" w:hAnsi="Times New Roman" w:cs="Times New Roman"/>
          <w:noProof/>
          <w:sz w:val="24"/>
          <w:szCs w:val="24"/>
          <w:lang w:val="en-IE"/>
        </w:rPr>
        <w:t>.</w:t>
      </w:r>
    </w:p>
    <w:p w14:paraId="3A0964E2" w14:textId="55791DD9" w:rsidR="002F6368" w:rsidRDefault="00F86FBE" w:rsidP="002F6368">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w:t>
      </w:r>
      <w:r w:rsidR="007F0F90">
        <w:rPr>
          <w:rFonts w:ascii="Times New Roman" w:hAnsi="Times New Roman" w:cs="Times New Roman"/>
          <w:noProof/>
          <w:sz w:val="24"/>
          <w:szCs w:val="24"/>
          <w:lang w:val="en-IE"/>
        </w:rPr>
        <w:t>he Russian military aggression in Ukraine</w:t>
      </w:r>
      <w:r w:rsidR="002F6368">
        <w:rPr>
          <w:rFonts w:ascii="Times New Roman" w:hAnsi="Times New Roman" w:cs="Times New Roman"/>
          <w:noProof/>
          <w:sz w:val="24"/>
          <w:szCs w:val="24"/>
          <w:lang w:val="en-IE"/>
        </w:rPr>
        <w:t xml:space="preserve"> ha</w:t>
      </w:r>
      <w:r>
        <w:rPr>
          <w:rFonts w:ascii="Times New Roman" w:hAnsi="Times New Roman" w:cs="Times New Roman"/>
          <w:noProof/>
          <w:sz w:val="24"/>
          <w:szCs w:val="24"/>
          <w:lang w:val="en-IE"/>
        </w:rPr>
        <w:t>s</w:t>
      </w:r>
      <w:r w:rsidR="002F6368">
        <w:rPr>
          <w:rFonts w:ascii="Times New Roman" w:hAnsi="Times New Roman" w:cs="Times New Roman"/>
          <w:noProof/>
          <w:sz w:val="24"/>
          <w:szCs w:val="24"/>
          <w:lang w:val="en-IE"/>
        </w:rPr>
        <w:t xml:space="preserve"> resulted in new </w:t>
      </w:r>
      <w:r w:rsidR="00482E9F">
        <w:rPr>
          <w:rFonts w:ascii="Times New Roman" w:hAnsi="Times New Roman" w:cs="Times New Roman"/>
          <w:noProof/>
          <w:sz w:val="24"/>
          <w:szCs w:val="24"/>
          <w:lang w:val="en-IE"/>
        </w:rPr>
        <w:t>short</w:t>
      </w:r>
      <w:r>
        <w:rPr>
          <w:rFonts w:ascii="Times New Roman" w:hAnsi="Times New Roman" w:cs="Times New Roman"/>
          <w:noProof/>
          <w:sz w:val="24"/>
          <w:szCs w:val="24"/>
          <w:lang w:val="en-IE"/>
        </w:rPr>
        <w:t>-</w:t>
      </w:r>
      <w:r w:rsidR="00482E9F">
        <w:rPr>
          <w:rFonts w:ascii="Times New Roman" w:hAnsi="Times New Roman" w:cs="Times New Roman"/>
          <w:noProof/>
          <w:sz w:val="24"/>
          <w:szCs w:val="24"/>
          <w:lang w:val="en-IE"/>
        </w:rPr>
        <w:t xml:space="preserve">term </w:t>
      </w:r>
      <w:r w:rsidR="002F6368">
        <w:rPr>
          <w:rFonts w:ascii="Times New Roman" w:hAnsi="Times New Roman" w:cs="Times New Roman"/>
          <w:noProof/>
          <w:sz w:val="24"/>
          <w:szCs w:val="24"/>
          <w:lang w:val="en-IE"/>
        </w:rPr>
        <w:t>policy actions in the European Union. The R</w:t>
      </w:r>
      <w:r w:rsidR="004224FC">
        <w:rPr>
          <w:rFonts w:ascii="Times New Roman" w:hAnsi="Times New Roman" w:cs="Times New Roman"/>
          <w:noProof/>
          <w:sz w:val="24"/>
          <w:szCs w:val="24"/>
          <w:lang w:val="en-IE"/>
        </w:rPr>
        <w:t>EP</w:t>
      </w:r>
      <w:r w:rsidR="002F6368">
        <w:rPr>
          <w:rFonts w:ascii="Times New Roman" w:hAnsi="Times New Roman" w:cs="Times New Roman"/>
          <w:noProof/>
          <w:sz w:val="24"/>
          <w:szCs w:val="24"/>
          <w:lang w:val="en-IE"/>
        </w:rPr>
        <w:t>owerEU communication in March and the</w:t>
      </w:r>
      <w:r w:rsidR="00CF7856">
        <w:rPr>
          <w:rFonts w:ascii="Times New Roman" w:hAnsi="Times New Roman" w:cs="Times New Roman"/>
          <w:noProof/>
          <w:sz w:val="24"/>
          <w:szCs w:val="24"/>
          <w:lang w:val="en-IE"/>
        </w:rPr>
        <w:t xml:space="preserve"> R</w:t>
      </w:r>
      <w:r w:rsidR="002464D6">
        <w:rPr>
          <w:rFonts w:ascii="Times New Roman" w:hAnsi="Times New Roman" w:cs="Times New Roman"/>
          <w:noProof/>
          <w:sz w:val="24"/>
          <w:szCs w:val="24"/>
          <w:lang w:val="en-IE"/>
        </w:rPr>
        <w:t>E</w:t>
      </w:r>
      <w:r w:rsidR="00CF7856">
        <w:rPr>
          <w:rFonts w:ascii="Times New Roman" w:hAnsi="Times New Roman" w:cs="Times New Roman"/>
          <w:noProof/>
          <w:sz w:val="24"/>
          <w:szCs w:val="24"/>
          <w:lang w:val="en-IE"/>
        </w:rPr>
        <w:t>PowerEU</w:t>
      </w:r>
      <w:r w:rsidR="002F6368">
        <w:rPr>
          <w:rFonts w:ascii="Times New Roman" w:hAnsi="Times New Roman" w:cs="Times New Roman"/>
          <w:noProof/>
          <w:sz w:val="24"/>
          <w:szCs w:val="24"/>
          <w:lang w:val="en-IE"/>
        </w:rPr>
        <w:t xml:space="preserve"> plan</w:t>
      </w:r>
      <w:r w:rsidR="002F6368">
        <w:rPr>
          <w:rStyle w:val="FootnoteReference"/>
          <w:rFonts w:ascii="Times New Roman" w:hAnsi="Times New Roman" w:cs="Times New Roman"/>
          <w:noProof/>
          <w:sz w:val="24"/>
          <w:szCs w:val="24"/>
          <w:lang w:val="en-IE"/>
        </w:rPr>
        <w:footnoteReference w:id="5"/>
      </w:r>
      <w:r w:rsidR="002F6368">
        <w:rPr>
          <w:rFonts w:ascii="Times New Roman" w:hAnsi="Times New Roman" w:cs="Times New Roman"/>
          <w:noProof/>
          <w:sz w:val="24"/>
          <w:szCs w:val="24"/>
          <w:lang w:val="en-IE"/>
        </w:rPr>
        <w:t xml:space="preserve"> in May 2022 </w:t>
      </w:r>
      <w:r w:rsidR="007F0F90">
        <w:rPr>
          <w:rFonts w:ascii="Times New Roman" w:hAnsi="Times New Roman" w:cs="Times New Roman"/>
          <w:noProof/>
          <w:sz w:val="24"/>
          <w:szCs w:val="24"/>
          <w:lang w:val="en-IE"/>
        </w:rPr>
        <w:t xml:space="preserve">mostly </w:t>
      </w:r>
      <w:r>
        <w:rPr>
          <w:rFonts w:ascii="Times New Roman" w:hAnsi="Times New Roman" w:cs="Times New Roman"/>
          <w:noProof/>
          <w:sz w:val="24"/>
          <w:szCs w:val="24"/>
          <w:lang w:val="en-IE"/>
        </w:rPr>
        <w:t xml:space="preserve">strengthened </w:t>
      </w:r>
      <w:r w:rsidR="002F6368">
        <w:rPr>
          <w:rFonts w:ascii="Times New Roman" w:hAnsi="Times New Roman" w:cs="Times New Roman"/>
          <w:noProof/>
          <w:sz w:val="24"/>
          <w:szCs w:val="24"/>
          <w:lang w:val="en-IE"/>
        </w:rPr>
        <w:t>the objectives o</w:t>
      </w:r>
      <w:r w:rsidR="00DA2594">
        <w:rPr>
          <w:rFonts w:ascii="Times New Roman" w:hAnsi="Times New Roman" w:cs="Times New Roman"/>
          <w:noProof/>
          <w:sz w:val="24"/>
          <w:szCs w:val="24"/>
          <w:lang w:val="en-IE"/>
        </w:rPr>
        <w:t>f</w:t>
      </w:r>
      <w:r>
        <w:rPr>
          <w:rFonts w:ascii="Times New Roman" w:hAnsi="Times New Roman" w:cs="Times New Roman"/>
          <w:noProof/>
          <w:sz w:val="24"/>
          <w:szCs w:val="24"/>
          <w:lang w:val="en-IE"/>
        </w:rPr>
        <w:t xml:space="preserve"> the</w:t>
      </w:r>
      <w:r w:rsidR="002F6368">
        <w:rPr>
          <w:rFonts w:ascii="Times New Roman" w:hAnsi="Times New Roman" w:cs="Times New Roman"/>
          <w:noProof/>
          <w:sz w:val="24"/>
          <w:szCs w:val="24"/>
          <w:lang w:val="en-IE"/>
        </w:rPr>
        <w:t xml:space="preserve"> </w:t>
      </w:r>
      <w:r w:rsidR="002D0613">
        <w:rPr>
          <w:rFonts w:ascii="Times New Roman" w:hAnsi="Times New Roman" w:cs="Times New Roman"/>
          <w:noProof/>
          <w:sz w:val="24"/>
          <w:szCs w:val="24"/>
          <w:lang w:val="en-IE"/>
        </w:rPr>
        <w:t xml:space="preserve">clean </w:t>
      </w:r>
      <w:r w:rsidR="002F6368">
        <w:rPr>
          <w:rFonts w:ascii="Times New Roman" w:hAnsi="Times New Roman" w:cs="Times New Roman"/>
          <w:noProof/>
          <w:sz w:val="24"/>
          <w:szCs w:val="24"/>
          <w:lang w:val="en-IE"/>
        </w:rPr>
        <w:t xml:space="preserve">transition, laid down in the European Green Deal and </w:t>
      </w:r>
      <w:r w:rsidR="004224FC">
        <w:rPr>
          <w:rFonts w:ascii="Times New Roman" w:hAnsi="Times New Roman" w:cs="Times New Roman"/>
          <w:noProof/>
          <w:sz w:val="24"/>
          <w:szCs w:val="24"/>
          <w:lang w:val="en-IE"/>
        </w:rPr>
        <w:t xml:space="preserve">enshrined </w:t>
      </w:r>
      <w:r w:rsidR="002F6368">
        <w:rPr>
          <w:rFonts w:ascii="Times New Roman" w:hAnsi="Times New Roman" w:cs="Times New Roman"/>
          <w:noProof/>
          <w:sz w:val="24"/>
          <w:szCs w:val="24"/>
          <w:lang w:val="en-IE"/>
        </w:rPr>
        <w:t>in the EU Climate Law</w:t>
      </w:r>
      <w:r w:rsidR="00260A7E">
        <w:rPr>
          <w:rFonts w:ascii="Times New Roman" w:hAnsi="Times New Roman" w:cs="Times New Roman"/>
          <w:noProof/>
          <w:sz w:val="24"/>
          <w:szCs w:val="24"/>
          <w:lang w:val="en-IE"/>
        </w:rPr>
        <w:t>.</w:t>
      </w:r>
      <w:r w:rsidR="002F6368">
        <w:rPr>
          <w:rFonts w:ascii="Times New Roman" w:hAnsi="Times New Roman" w:cs="Times New Roman"/>
          <w:noProof/>
          <w:sz w:val="24"/>
          <w:szCs w:val="24"/>
          <w:lang w:val="en-IE"/>
        </w:rPr>
        <w:t xml:space="preserve"> </w:t>
      </w:r>
      <w:r w:rsidR="00260A7E">
        <w:rPr>
          <w:rFonts w:ascii="Times New Roman" w:hAnsi="Times New Roman" w:cs="Times New Roman"/>
          <w:noProof/>
          <w:sz w:val="24"/>
          <w:szCs w:val="24"/>
          <w:lang w:val="en-IE"/>
        </w:rPr>
        <w:t>H</w:t>
      </w:r>
      <w:r w:rsidR="002F6368">
        <w:rPr>
          <w:rFonts w:ascii="Times New Roman" w:hAnsi="Times New Roman" w:cs="Times New Roman"/>
          <w:noProof/>
          <w:sz w:val="24"/>
          <w:szCs w:val="24"/>
          <w:lang w:val="en-IE"/>
        </w:rPr>
        <w:t xml:space="preserve">owever, with </w:t>
      </w:r>
      <w:r w:rsidR="004224FC">
        <w:rPr>
          <w:rFonts w:ascii="Times New Roman" w:hAnsi="Times New Roman" w:cs="Times New Roman"/>
          <w:noProof/>
          <w:sz w:val="24"/>
          <w:szCs w:val="24"/>
          <w:lang w:val="en-IE"/>
        </w:rPr>
        <w:t xml:space="preserve">the </w:t>
      </w:r>
      <w:r w:rsidR="002F6368">
        <w:rPr>
          <w:rFonts w:ascii="Times New Roman" w:hAnsi="Times New Roman" w:cs="Times New Roman"/>
          <w:noProof/>
          <w:sz w:val="24"/>
          <w:szCs w:val="24"/>
          <w:lang w:val="en-IE"/>
        </w:rPr>
        <w:t>phasing</w:t>
      </w:r>
      <w:r>
        <w:rPr>
          <w:rFonts w:ascii="Times New Roman" w:hAnsi="Times New Roman" w:cs="Times New Roman"/>
          <w:noProof/>
          <w:sz w:val="24"/>
          <w:szCs w:val="24"/>
          <w:lang w:val="en-IE"/>
        </w:rPr>
        <w:t>-</w:t>
      </w:r>
      <w:r w:rsidR="002F6368">
        <w:rPr>
          <w:rFonts w:ascii="Times New Roman" w:hAnsi="Times New Roman" w:cs="Times New Roman"/>
          <w:noProof/>
          <w:sz w:val="24"/>
          <w:szCs w:val="24"/>
          <w:lang w:val="en-IE"/>
        </w:rPr>
        <w:t xml:space="preserve">out </w:t>
      </w:r>
      <w:r w:rsidR="00482E9F">
        <w:rPr>
          <w:rFonts w:ascii="Times New Roman" w:hAnsi="Times New Roman" w:cs="Times New Roman"/>
          <w:noProof/>
          <w:sz w:val="24"/>
          <w:szCs w:val="24"/>
          <w:lang w:val="en-IE"/>
        </w:rPr>
        <w:t xml:space="preserve">of </w:t>
      </w:r>
      <w:r w:rsidR="002F6368">
        <w:rPr>
          <w:rFonts w:ascii="Times New Roman" w:hAnsi="Times New Roman" w:cs="Times New Roman"/>
          <w:noProof/>
          <w:sz w:val="24"/>
          <w:szCs w:val="24"/>
          <w:lang w:val="en-IE"/>
        </w:rPr>
        <w:t>fossil</w:t>
      </w:r>
      <w:r>
        <w:rPr>
          <w:rFonts w:ascii="Times New Roman" w:hAnsi="Times New Roman" w:cs="Times New Roman"/>
          <w:noProof/>
          <w:sz w:val="24"/>
          <w:szCs w:val="24"/>
          <w:lang w:val="en-IE"/>
        </w:rPr>
        <w:t>-fuel</w:t>
      </w:r>
      <w:r w:rsidR="002F6368">
        <w:rPr>
          <w:rFonts w:ascii="Times New Roman" w:hAnsi="Times New Roman" w:cs="Times New Roman"/>
          <w:noProof/>
          <w:sz w:val="24"/>
          <w:szCs w:val="24"/>
          <w:lang w:val="en-IE"/>
        </w:rPr>
        <w:t xml:space="preserve"> imports from Russia</w:t>
      </w:r>
      <w:r w:rsidR="004224FC">
        <w:rPr>
          <w:rFonts w:ascii="Times New Roman" w:hAnsi="Times New Roman" w:cs="Times New Roman"/>
          <w:noProof/>
          <w:sz w:val="24"/>
          <w:szCs w:val="24"/>
          <w:lang w:val="en-IE"/>
        </w:rPr>
        <w:t>,</w:t>
      </w:r>
      <w:r w:rsidR="002F6368">
        <w:rPr>
          <w:rFonts w:ascii="Times New Roman" w:hAnsi="Times New Roman" w:cs="Times New Roman"/>
          <w:noProof/>
          <w:sz w:val="24"/>
          <w:szCs w:val="24"/>
          <w:lang w:val="en-IE"/>
        </w:rPr>
        <w:t xml:space="preserve"> changes in subsidies </w:t>
      </w:r>
      <w:r>
        <w:rPr>
          <w:rFonts w:ascii="Times New Roman" w:hAnsi="Times New Roman" w:cs="Times New Roman"/>
          <w:noProof/>
          <w:sz w:val="24"/>
          <w:szCs w:val="24"/>
          <w:lang w:val="en-IE"/>
        </w:rPr>
        <w:t xml:space="preserve">for </w:t>
      </w:r>
      <w:r w:rsidR="002F6368">
        <w:rPr>
          <w:rFonts w:ascii="Times New Roman" w:hAnsi="Times New Roman" w:cs="Times New Roman"/>
          <w:noProof/>
          <w:sz w:val="24"/>
          <w:szCs w:val="24"/>
          <w:lang w:val="en-IE"/>
        </w:rPr>
        <w:t>fossil</w:t>
      </w:r>
      <w:r w:rsidR="00CF7856">
        <w:rPr>
          <w:rFonts w:ascii="Times New Roman" w:hAnsi="Times New Roman" w:cs="Times New Roman"/>
          <w:noProof/>
          <w:sz w:val="24"/>
          <w:szCs w:val="24"/>
          <w:lang w:val="en-IE"/>
        </w:rPr>
        <w:t>-fuel</w:t>
      </w:r>
      <w:r w:rsidR="002F6368">
        <w:rPr>
          <w:rFonts w:ascii="Times New Roman" w:hAnsi="Times New Roman" w:cs="Times New Roman"/>
          <w:noProof/>
          <w:sz w:val="24"/>
          <w:szCs w:val="24"/>
          <w:lang w:val="en-IE"/>
        </w:rPr>
        <w:t xml:space="preserve"> energy will probably </w:t>
      </w:r>
      <w:r w:rsidR="00482E9F">
        <w:rPr>
          <w:rFonts w:ascii="Times New Roman" w:hAnsi="Times New Roman" w:cs="Times New Roman"/>
          <w:noProof/>
          <w:sz w:val="24"/>
          <w:szCs w:val="24"/>
          <w:lang w:val="en-IE"/>
        </w:rPr>
        <w:t xml:space="preserve">be </w:t>
      </w:r>
      <w:r w:rsidR="00260A7E">
        <w:rPr>
          <w:rFonts w:ascii="Times New Roman" w:hAnsi="Times New Roman" w:cs="Times New Roman"/>
          <w:noProof/>
          <w:sz w:val="24"/>
          <w:szCs w:val="24"/>
          <w:lang w:val="en-IE"/>
        </w:rPr>
        <w:t>more significant</w:t>
      </w:r>
      <w:r w:rsidR="002F6368">
        <w:rPr>
          <w:rFonts w:ascii="Times New Roman" w:hAnsi="Times New Roman" w:cs="Times New Roman"/>
          <w:noProof/>
          <w:sz w:val="24"/>
          <w:szCs w:val="24"/>
          <w:lang w:val="en-IE"/>
        </w:rPr>
        <w:t xml:space="preserve"> in the </w:t>
      </w:r>
      <w:r>
        <w:rPr>
          <w:rFonts w:ascii="Times New Roman" w:hAnsi="Times New Roman" w:cs="Times New Roman"/>
          <w:noProof/>
          <w:sz w:val="24"/>
          <w:szCs w:val="24"/>
          <w:lang w:val="en-IE"/>
        </w:rPr>
        <w:t>future</w:t>
      </w:r>
      <w:r w:rsidR="002F6368">
        <w:rPr>
          <w:rFonts w:ascii="Times New Roman" w:hAnsi="Times New Roman" w:cs="Times New Roman"/>
          <w:noProof/>
          <w:sz w:val="24"/>
          <w:szCs w:val="24"/>
          <w:lang w:val="en-IE"/>
        </w:rPr>
        <w:t>.</w:t>
      </w:r>
      <w:r w:rsidR="00482E9F">
        <w:rPr>
          <w:rFonts w:ascii="Times New Roman" w:hAnsi="Times New Roman" w:cs="Times New Roman"/>
          <w:noProof/>
          <w:sz w:val="24"/>
          <w:szCs w:val="24"/>
          <w:lang w:val="en-IE"/>
        </w:rPr>
        <w:t xml:space="preserve"> National action to bring coal</w:t>
      </w:r>
      <w:r>
        <w:rPr>
          <w:rFonts w:ascii="Times New Roman" w:hAnsi="Times New Roman" w:cs="Times New Roman"/>
          <w:noProof/>
          <w:sz w:val="24"/>
          <w:szCs w:val="24"/>
          <w:lang w:val="en-IE"/>
        </w:rPr>
        <w:t>-</w:t>
      </w:r>
      <w:r w:rsidR="007D1383">
        <w:rPr>
          <w:rFonts w:ascii="Times New Roman" w:hAnsi="Times New Roman" w:cs="Times New Roman"/>
          <w:noProof/>
          <w:sz w:val="24"/>
          <w:szCs w:val="24"/>
          <w:lang w:val="en-IE"/>
        </w:rPr>
        <w:t>based</w:t>
      </w:r>
      <w:r w:rsidR="00482E9F">
        <w:rPr>
          <w:rFonts w:ascii="Times New Roman" w:hAnsi="Times New Roman" w:cs="Times New Roman"/>
          <w:noProof/>
          <w:sz w:val="24"/>
          <w:szCs w:val="24"/>
          <w:lang w:val="en-IE"/>
        </w:rPr>
        <w:t xml:space="preserve"> and oil</w:t>
      </w:r>
      <w:r>
        <w:rPr>
          <w:rFonts w:ascii="Times New Roman" w:hAnsi="Times New Roman" w:cs="Times New Roman"/>
          <w:noProof/>
          <w:sz w:val="24"/>
          <w:szCs w:val="24"/>
          <w:lang w:val="en-IE"/>
        </w:rPr>
        <w:t>-</w:t>
      </w:r>
      <w:r w:rsidR="00482E9F">
        <w:rPr>
          <w:rFonts w:ascii="Times New Roman" w:hAnsi="Times New Roman" w:cs="Times New Roman"/>
          <w:noProof/>
          <w:sz w:val="24"/>
          <w:szCs w:val="24"/>
          <w:lang w:val="en-IE"/>
        </w:rPr>
        <w:t xml:space="preserve">based power generation </w:t>
      </w:r>
      <w:r w:rsidR="007D1383">
        <w:rPr>
          <w:rFonts w:ascii="Times New Roman" w:hAnsi="Times New Roman" w:cs="Times New Roman"/>
          <w:noProof/>
          <w:sz w:val="24"/>
          <w:szCs w:val="24"/>
          <w:lang w:val="en-IE"/>
        </w:rPr>
        <w:t xml:space="preserve">back online </w:t>
      </w:r>
      <w:r w:rsidR="00482E9F">
        <w:rPr>
          <w:rFonts w:ascii="Times New Roman" w:hAnsi="Times New Roman" w:cs="Times New Roman"/>
          <w:noProof/>
          <w:sz w:val="24"/>
          <w:szCs w:val="24"/>
          <w:lang w:val="en-IE"/>
        </w:rPr>
        <w:t>will also have a temporary impact.</w:t>
      </w:r>
    </w:p>
    <w:p w14:paraId="0589085B" w14:textId="61B0F7A1" w:rsidR="002F6368" w:rsidRPr="00A5427A" w:rsidRDefault="002F6368" w:rsidP="002F6368">
      <w:pPr>
        <w:spacing w:before="120" w:after="120"/>
        <w:jc w:val="both"/>
        <w:rPr>
          <w:rFonts w:ascii="Times New Roman" w:hAnsi="Times New Roman" w:cs="Times New Roman"/>
          <w:noProof/>
          <w:sz w:val="24"/>
          <w:szCs w:val="24"/>
          <w:lang w:val="en-GB"/>
        </w:rPr>
      </w:pPr>
      <w:r>
        <w:rPr>
          <w:rFonts w:ascii="Times New Roman" w:hAnsi="Times New Roman" w:cs="Times New Roman"/>
          <w:noProof/>
          <w:sz w:val="24"/>
          <w:szCs w:val="24"/>
          <w:lang w:val="en-IE"/>
        </w:rPr>
        <w:t xml:space="preserve">A Commission </w:t>
      </w:r>
      <w:r w:rsidR="007F0F90">
        <w:rPr>
          <w:rFonts w:ascii="Times New Roman" w:hAnsi="Times New Roman" w:cs="Times New Roman"/>
          <w:noProof/>
          <w:sz w:val="24"/>
          <w:szCs w:val="24"/>
          <w:lang w:val="en-IE"/>
        </w:rPr>
        <w:t xml:space="preserve">Sustainable Finance Taxonomy </w:t>
      </w:r>
      <w:r>
        <w:rPr>
          <w:rFonts w:ascii="Times New Roman" w:hAnsi="Times New Roman" w:cs="Times New Roman"/>
          <w:noProof/>
          <w:sz w:val="24"/>
          <w:szCs w:val="24"/>
          <w:lang w:val="en-IE"/>
        </w:rPr>
        <w:t xml:space="preserve">Delegated </w:t>
      </w:r>
      <w:r w:rsidR="005D2867">
        <w:rPr>
          <w:rFonts w:ascii="Times New Roman" w:hAnsi="Times New Roman" w:cs="Times New Roman"/>
          <w:noProof/>
          <w:sz w:val="24"/>
          <w:szCs w:val="24"/>
          <w:lang w:val="en-IE"/>
        </w:rPr>
        <w:t>Regulation</w:t>
      </w:r>
      <w:r>
        <w:rPr>
          <w:rStyle w:val="FootnoteReference"/>
          <w:rFonts w:ascii="Times New Roman" w:hAnsi="Times New Roman" w:cs="Times New Roman"/>
          <w:noProof/>
          <w:sz w:val="24"/>
          <w:szCs w:val="24"/>
          <w:lang w:val="en-IE"/>
        </w:rPr>
        <w:footnoteReference w:id="6"/>
      </w:r>
      <w:r w:rsidR="000D5A8F">
        <w:rPr>
          <w:rFonts w:ascii="Times New Roman" w:hAnsi="Times New Roman" w:cs="Times New Roman"/>
          <w:noProof/>
          <w:sz w:val="24"/>
          <w:szCs w:val="24"/>
          <w:lang w:val="en-IE"/>
        </w:rPr>
        <w:t xml:space="preserve"> was also adopted in </w:t>
      </w:r>
      <w:r w:rsidR="005D2867">
        <w:rPr>
          <w:rFonts w:ascii="Times New Roman" w:hAnsi="Times New Roman" w:cs="Times New Roman"/>
          <w:noProof/>
          <w:sz w:val="24"/>
          <w:szCs w:val="24"/>
          <w:lang w:val="en-IE"/>
        </w:rPr>
        <w:t xml:space="preserve">June </w:t>
      </w:r>
      <w:r w:rsidR="000D5A8F">
        <w:rPr>
          <w:rFonts w:ascii="Times New Roman" w:hAnsi="Times New Roman" w:cs="Times New Roman"/>
          <w:noProof/>
          <w:sz w:val="24"/>
          <w:szCs w:val="24"/>
          <w:lang w:val="en-IE"/>
        </w:rPr>
        <w:t>2021</w:t>
      </w:r>
      <w:r w:rsidR="00F86FBE">
        <w:rPr>
          <w:rFonts w:ascii="Times New Roman" w:hAnsi="Times New Roman" w:cs="Times New Roman"/>
          <w:noProof/>
          <w:sz w:val="24"/>
          <w:szCs w:val="24"/>
          <w:lang w:val="en-IE"/>
        </w:rPr>
        <w:t>. This set</w:t>
      </w:r>
      <w:r w:rsidR="00F86FBE" w:rsidRPr="002F6368">
        <w:rPr>
          <w:rFonts w:ascii="Times New Roman" w:hAnsi="Times New Roman" w:cs="Times New Roman"/>
          <w:noProof/>
          <w:sz w:val="24"/>
          <w:szCs w:val="24"/>
          <w:lang w:val="en-IE"/>
        </w:rPr>
        <w:t xml:space="preserve"> </w:t>
      </w:r>
      <w:r w:rsidRPr="002F6368">
        <w:rPr>
          <w:rFonts w:ascii="Times New Roman" w:hAnsi="Times New Roman" w:cs="Times New Roman"/>
          <w:noProof/>
          <w:sz w:val="24"/>
          <w:szCs w:val="24"/>
          <w:lang w:val="en-IE"/>
        </w:rPr>
        <w:t>the technical screening criteria for determining the conditions under which an economic activity qualifies as contributing substantially to climate</w:t>
      </w:r>
      <w:r w:rsidR="00F86FBE">
        <w:rPr>
          <w:rFonts w:ascii="Times New Roman" w:hAnsi="Times New Roman" w:cs="Times New Roman"/>
          <w:noProof/>
          <w:sz w:val="24"/>
          <w:szCs w:val="24"/>
          <w:lang w:val="en-IE"/>
        </w:rPr>
        <w:t>-</w:t>
      </w:r>
      <w:r w:rsidRPr="002F6368">
        <w:rPr>
          <w:rFonts w:ascii="Times New Roman" w:hAnsi="Times New Roman" w:cs="Times New Roman"/>
          <w:noProof/>
          <w:sz w:val="24"/>
          <w:szCs w:val="24"/>
          <w:lang w:val="en-IE"/>
        </w:rPr>
        <w:t>change mitigation or climate</w:t>
      </w:r>
      <w:r w:rsidR="00F86FBE">
        <w:rPr>
          <w:rFonts w:ascii="Times New Roman" w:hAnsi="Times New Roman" w:cs="Times New Roman"/>
          <w:noProof/>
          <w:sz w:val="24"/>
          <w:szCs w:val="24"/>
          <w:lang w:val="en-IE"/>
        </w:rPr>
        <w:t>-</w:t>
      </w:r>
      <w:r w:rsidRPr="002F6368">
        <w:rPr>
          <w:rFonts w:ascii="Times New Roman" w:hAnsi="Times New Roman" w:cs="Times New Roman"/>
          <w:noProof/>
          <w:sz w:val="24"/>
          <w:szCs w:val="24"/>
          <w:lang w:val="en-IE"/>
        </w:rPr>
        <w:t>change adaptation</w:t>
      </w:r>
      <w:r w:rsidR="000D5A8F">
        <w:rPr>
          <w:rFonts w:ascii="Times New Roman" w:hAnsi="Times New Roman" w:cs="Times New Roman"/>
          <w:noProof/>
          <w:sz w:val="24"/>
          <w:szCs w:val="24"/>
          <w:lang w:val="en-IE"/>
        </w:rPr>
        <w:t xml:space="preserve">, while ensuring </w:t>
      </w:r>
      <w:r w:rsidR="007F0F90" w:rsidRPr="001F6283">
        <w:rPr>
          <w:rFonts w:ascii="Times New Roman" w:hAnsi="Times New Roman" w:cs="Times New Roman"/>
          <w:noProof/>
          <w:sz w:val="24"/>
          <w:szCs w:val="24"/>
          <w:lang w:val="en-IE"/>
        </w:rPr>
        <w:t xml:space="preserve">that </w:t>
      </w:r>
      <w:r w:rsidR="000D5A8F">
        <w:rPr>
          <w:rFonts w:ascii="Times New Roman" w:hAnsi="Times New Roman" w:cs="Times New Roman"/>
          <w:noProof/>
          <w:sz w:val="24"/>
          <w:szCs w:val="24"/>
          <w:lang w:val="en-IE"/>
        </w:rPr>
        <w:t xml:space="preserve">the respective </w:t>
      </w:r>
      <w:r w:rsidR="007F0F90" w:rsidRPr="001F6283">
        <w:rPr>
          <w:rFonts w:ascii="Times New Roman" w:hAnsi="Times New Roman" w:cs="Times New Roman"/>
          <w:noProof/>
          <w:sz w:val="24"/>
          <w:szCs w:val="24"/>
          <w:lang w:val="en-IE"/>
        </w:rPr>
        <w:t xml:space="preserve">economic activity causes no significant harm to any of the </w:t>
      </w:r>
      <w:r w:rsidR="00CF7856">
        <w:rPr>
          <w:rFonts w:ascii="Times New Roman" w:hAnsi="Times New Roman" w:cs="Times New Roman"/>
          <w:noProof/>
          <w:sz w:val="24"/>
          <w:szCs w:val="24"/>
          <w:lang w:val="en-IE"/>
        </w:rPr>
        <w:t xml:space="preserve">EU’s </w:t>
      </w:r>
      <w:r w:rsidR="007F0F90" w:rsidRPr="001F6283">
        <w:rPr>
          <w:rFonts w:ascii="Times New Roman" w:hAnsi="Times New Roman" w:cs="Times New Roman"/>
          <w:noProof/>
          <w:sz w:val="24"/>
          <w:szCs w:val="24"/>
          <w:lang w:val="en-IE"/>
        </w:rPr>
        <w:t>other environmental objectives</w:t>
      </w:r>
      <w:r>
        <w:rPr>
          <w:rFonts w:ascii="Times New Roman" w:hAnsi="Times New Roman" w:cs="Times New Roman"/>
          <w:noProof/>
          <w:sz w:val="24"/>
          <w:szCs w:val="24"/>
          <w:lang w:val="en-IE"/>
        </w:rPr>
        <w:t>.</w:t>
      </w:r>
      <w:r w:rsidR="005D2867">
        <w:rPr>
          <w:rFonts w:ascii="Times New Roman" w:hAnsi="Times New Roman" w:cs="Times New Roman"/>
          <w:noProof/>
          <w:sz w:val="24"/>
          <w:szCs w:val="24"/>
          <w:lang w:val="en-IE"/>
        </w:rPr>
        <w:t xml:space="preserve"> This was complemented by an additional </w:t>
      </w:r>
      <w:r w:rsidR="00F86FBE">
        <w:rPr>
          <w:rFonts w:ascii="Times New Roman" w:hAnsi="Times New Roman" w:cs="Times New Roman"/>
          <w:noProof/>
          <w:sz w:val="24"/>
          <w:szCs w:val="24"/>
          <w:lang w:val="en-IE"/>
        </w:rPr>
        <w:t>d</w:t>
      </w:r>
      <w:r w:rsidR="005D2867">
        <w:rPr>
          <w:rFonts w:ascii="Times New Roman" w:hAnsi="Times New Roman" w:cs="Times New Roman"/>
          <w:noProof/>
          <w:sz w:val="24"/>
          <w:szCs w:val="24"/>
          <w:lang w:val="en-IE"/>
        </w:rPr>
        <w:t xml:space="preserve">elegated </w:t>
      </w:r>
      <w:r w:rsidR="00886D31">
        <w:rPr>
          <w:rFonts w:ascii="Times New Roman" w:hAnsi="Times New Roman" w:cs="Times New Roman"/>
          <w:noProof/>
          <w:sz w:val="24"/>
          <w:szCs w:val="24"/>
          <w:lang w:val="en-IE"/>
        </w:rPr>
        <w:t>regulation</w:t>
      </w:r>
      <w:r w:rsidR="005D2867">
        <w:rPr>
          <w:rFonts w:ascii="Times New Roman" w:hAnsi="Times New Roman" w:cs="Times New Roman"/>
          <w:noProof/>
          <w:sz w:val="24"/>
          <w:szCs w:val="24"/>
          <w:lang w:val="en-IE"/>
        </w:rPr>
        <w:t>, adopted in March 2022</w:t>
      </w:r>
      <w:r w:rsidR="00EE71AB">
        <w:rPr>
          <w:rStyle w:val="FootnoteReference"/>
          <w:rFonts w:ascii="Times New Roman" w:hAnsi="Times New Roman" w:cs="Times New Roman"/>
          <w:noProof/>
          <w:sz w:val="24"/>
          <w:szCs w:val="24"/>
          <w:lang w:val="en-IE"/>
        </w:rPr>
        <w:footnoteReference w:id="7"/>
      </w:r>
      <w:r w:rsidR="005D2867">
        <w:rPr>
          <w:rFonts w:ascii="Times New Roman" w:hAnsi="Times New Roman" w:cs="Times New Roman"/>
          <w:noProof/>
          <w:sz w:val="24"/>
          <w:szCs w:val="24"/>
          <w:lang w:val="en-IE"/>
        </w:rPr>
        <w:t xml:space="preserve">, covering </w:t>
      </w:r>
      <w:r w:rsidR="00EE71AB">
        <w:rPr>
          <w:rFonts w:ascii="Times New Roman" w:hAnsi="Times New Roman" w:cs="Times New Roman"/>
          <w:noProof/>
          <w:sz w:val="24"/>
          <w:szCs w:val="24"/>
          <w:lang w:val="en-IE"/>
        </w:rPr>
        <w:t xml:space="preserve">a number of </w:t>
      </w:r>
      <w:r w:rsidR="00EE71AB" w:rsidRPr="00EE71AB">
        <w:rPr>
          <w:rFonts w:ascii="Times New Roman" w:hAnsi="Times New Roman" w:cs="Times New Roman"/>
          <w:noProof/>
          <w:sz w:val="24"/>
          <w:szCs w:val="24"/>
          <w:lang w:val="en-IE"/>
        </w:rPr>
        <w:t>economic activities in certain energy sectors</w:t>
      </w:r>
      <w:r w:rsidR="00EE71AB">
        <w:rPr>
          <w:rFonts w:ascii="Times New Roman" w:hAnsi="Times New Roman" w:cs="Times New Roman"/>
          <w:noProof/>
          <w:sz w:val="24"/>
          <w:szCs w:val="24"/>
          <w:lang w:val="en-IE"/>
        </w:rPr>
        <w:t xml:space="preserve">, namely certain </w:t>
      </w:r>
      <w:r w:rsidR="005D2867">
        <w:rPr>
          <w:rFonts w:ascii="Times New Roman" w:hAnsi="Times New Roman" w:cs="Times New Roman"/>
          <w:noProof/>
          <w:sz w:val="24"/>
          <w:szCs w:val="24"/>
          <w:lang w:val="en-IE"/>
        </w:rPr>
        <w:t xml:space="preserve">natural </w:t>
      </w:r>
      <w:r w:rsidR="005D2867" w:rsidRPr="005D2867">
        <w:rPr>
          <w:rFonts w:ascii="Times New Roman" w:hAnsi="Times New Roman" w:cs="Times New Roman"/>
          <w:noProof/>
          <w:sz w:val="24"/>
          <w:szCs w:val="24"/>
          <w:lang w:val="en-IE"/>
        </w:rPr>
        <w:t xml:space="preserve">gas and nuclear </w:t>
      </w:r>
      <w:r w:rsidR="005D2867">
        <w:rPr>
          <w:rFonts w:ascii="Times New Roman" w:hAnsi="Times New Roman" w:cs="Times New Roman"/>
          <w:noProof/>
          <w:sz w:val="24"/>
          <w:szCs w:val="24"/>
          <w:lang w:val="en-IE"/>
        </w:rPr>
        <w:t>energy</w:t>
      </w:r>
      <w:r w:rsidR="00F86FBE">
        <w:rPr>
          <w:rFonts w:ascii="Times New Roman" w:hAnsi="Times New Roman" w:cs="Times New Roman"/>
          <w:noProof/>
          <w:sz w:val="24"/>
          <w:szCs w:val="24"/>
          <w:lang w:val="en-IE"/>
        </w:rPr>
        <w:t>-</w:t>
      </w:r>
      <w:r w:rsidR="005D2867">
        <w:rPr>
          <w:rFonts w:ascii="Times New Roman" w:hAnsi="Times New Roman" w:cs="Times New Roman"/>
          <w:noProof/>
          <w:sz w:val="24"/>
          <w:szCs w:val="24"/>
          <w:lang w:val="en-IE"/>
        </w:rPr>
        <w:t xml:space="preserve">related </w:t>
      </w:r>
      <w:r w:rsidR="005D2867" w:rsidRPr="005D2867">
        <w:rPr>
          <w:rFonts w:ascii="Times New Roman" w:hAnsi="Times New Roman" w:cs="Times New Roman"/>
          <w:noProof/>
          <w:sz w:val="24"/>
          <w:szCs w:val="24"/>
          <w:lang w:val="en-IE"/>
        </w:rPr>
        <w:t>activities</w:t>
      </w:r>
      <w:r w:rsidR="005D2867">
        <w:rPr>
          <w:rFonts w:ascii="Times New Roman" w:hAnsi="Times New Roman" w:cs="Times New Roman"/>
          <w:noProof/>
          <w:sz w:val="24"/>
          <w:szCs w:val="24"/>
          <w:lang w:val="en-IE"/>
        </w:rPr>
        <w:t>.</w:t>
      </w:r>
    </w:p>
    <w:p w14:paraId="614500A1" w14:textId="3A17DC69" w:rsidR="009130C0" w:rsidRDefault="002F6368" w:rsidP="004F4044">
      <w:pPr>
        <w:pStyle w:val="FootnoteText"/>
        <w:spacing w:before="120" w:after="120"/>
        <w:ind w:left="0" w:firstLine="0"/>
        <w:rPr>
          <w:noProof/>
          <w:sz w:val="24"/>
          <w:szCs w:val="24"/>
          <w:lang w:val="en-IE"/>
        </w:rPr>
      </w:pPr>
      <w:r>
        <w:rPr>
          <w:noProof/>
          <w:sz w:val="24"/>
          <w:szCs w:val="24"/>
          <w:lang w:val="en-IE"/>
        </w:rPr>
        <w:t>For the preparation of the current</w:t>
      </w:r>
      <w:r w:rsidR="00BB2757">
        <w:rPr>
          <w:noProof/>
          <w:sz w:val="24"/>
          <w:szCs w:val="24"/>
          <w:lang w:val="en-IE"/>
        </w:rPr>
        <w:t xml:space="preserve"> report</w:t>
      </w:r>
      <w:r>
        <w:rPr>
          <w:noProof/>
          <w:sz w:val="24"/>
          <w:szCs w:val="24"/>
          <w:lang w:val="en-IE"/>
        </w:rPr>
        <w:t>,</w:t>
      </w:r>
      <w:r w:rsidR="00DB5D8D">
        <w:rPr>
          <w:noProof/>
          <w:sz w:val="24"/>
          <w:szCs w:val="24"/>
          <w:lang w:val="en-IE"/>
        </w:rPr>
        <w:t xml:space="preserve"> the Commission conducted a study</w:t>
      </w:r>
      <w:r w:rsidR="007F0F90">
        <w:rPr>
          <w:rStyle w:val="FootnoteReference"/>
          <w:noProof/>
          <w:sz w:val="24"/>
          <w:szCs w:val="24"/>
          <w:lang w:val="en-IE"/>
        </w:rPr>
        <w:footnoteReference w:id="8"/>
      </w:r>
      <w:r w:rsidR="007F0F90">
        <w:rPr>
          <w:noProof/>
          <w:sz w:val="24"/>
          <w:szCs w:val="24"/>
          <w:lang w:val="en-IE"/>
        </w:rPr>
        <w:t xml:space="preserve"> </w:t>
      </w:r>
      <w:r w:rsidR="00DB5D8D">
        <w:rPr>
          <w:noProof/>
          <w:sz w:val="24"/>
          <w:szCs w:val="24"/>
          <w:lang w:val="en-IE"/>
        </w:rPr>
        <w:t>to gather data from Member States</w:t>
      </w:r>
      <w:r w:rsidR="00416BD8">
        <w:rPr>
          <w:noProof/>
          <w:sz w:val="24"/>
          <w:szCs w:val="24"/>
          <w:lang w:val="en-IE"/>
        </w:rPr>
        <w:t xml:space="preserve"> and expand</w:t>
      </w:r>
      <w:r>
        <w:rPr>
          <w:noProof/>
          <w:sz w:val="24"/>
          <w:szCs w:val="24"/>
          <w:lang w:val="en-IE"/>
        </w:rPr>
        <w:t xml:space="preserve"> and/or correct</w:t>
      </w:r>
      <w:r w:rsidR="00416BD8">
        <w:rPr>
          <w:noProof/>
          <w:sz w:val="24"/>
          <w:szCs w:val="24"/>
          <w:lang w:val="en-IE"/>
        </w:rPr>
        <w:t xml:space="preserve"> earlier datasets </w:t>
      </w:r>
      <w:r w:rsidR="00123BFA">
        <w:rPr>
          <w:noProof/>
          <w:sz w:val="24"/>
          <w:szCs w:val="24"/>
          <w:lang w:val="en-IE"/>
        </w:rPr>
        <w:t>which contained incomplete</w:t>
      </w:r>
      <w:r w:rsidR="00416BD8">
        <w:rPr>
          <w:noProof/>
          <w:sz w:val="24"/>
          <w:szCs w:val="24"/>
          <w:lang w:val="en-IE"/>
        </w:rPr>
        <w:t xml:space="preserve"> results </w:t>
      </w:r>
      <w:r w:rsidR="00F86FBE">
        <w:rPr>
          <w:noProof/>
          <w:sz w:val="24"/>
          <w:szCs w:val="24"/>
          <w:lang w:val="en-IE"/>
        </w:rPr>
        <w:t xml:space="preserve">from </w:t>
      </w:r>
      <w:r w:rsidR="00416BD8">
        <w:rPr>
          <w:noProof/>
          <w:sz w:val="24"/>
          <w:szCs w:val="24"/>
          <w:lang w:val="en-IE"/>
        </w:rPr>
        <w:t>20</w:t>
      </w:r>
      <w:r>
        <w:rPr>
          <w:noProof/>
          <w:sz w:val="24"/>
          <w:szCs w:val="24"/>
          <w:lang w:val="en-IE"/>
        </w:rPr>
        <w:t>20</w:t>
      </w:r>
      <w:r w:rsidR="00416BD8">
        <w:rPr>
          <w:noProof/>
          <w:sz w:val="24"/>
          <w:szCs w:val="24"/>
          <w:lang w:val="en-IE"/>
        </w:rPr>
        <w:t xml:space="preserve"> and 202</w:t>
      </w:r>
      <w:r>
        <w:rPr>
          <w:noProof/>
          <w:sz w:val="24"/>
          <w:szCs w:val="24"/>
          <w:lang w:val="en-IE"/>
        </w:rPr>
        <w:t>1</w:t>
      </w:r>
      <w:r w:rsidR="00416BD8" w:rsidRPr="009130C0">
        <w:rPr>
          <w:rStyle w:val="FootnoteReference"/>
          <w:noProof/>
          <w:sz w:val="24"/>
          <w:szCs w:val="24"/>
          <w:lang w:val="en-IE"/>
        </w:rPr>
        <w:footnoteReference w:id="9"/>
      </w:r>
      <w:r w:rsidR="009130C0">
        <w:rPr>
          <w:noProof/>
          <w:sz w:val="24"/>
          <w:szCs w:val="24"/>
          <w:lang w:val="en-IE"/>
        </w:rPr>
        <w:t>.</w:t>
      </w:r>
      <w:r w:rsidR="009130C0" w:rsidRPr="009130C0">
        <w:rPr>
          <w:noProof/>
          <w:sz w:val="24"/>
          <w:szCs w:val="24"/>
          <w:lang w:val="en-IE"/>
        </w:rPr>
        <w:t xml:space="preserve"> </w:t>
      </w:r>
      <w:r w:rsidR="00123BFA">
        <w:rPr>
          <w:noProof/>
          <w:sz w:val="24"/>
          <w:szCs w:val="24"/>
          <w:lang w:val="en-IE"/>
        </w:rPr>
        <w:t>When</w:t>
      </w:r>
      <w:r w:rsidRPr="009130C0">
        <w:rPr>
          <w:noProof/>
          <w:sz w:val="24"/>
          <w:szCs w:val="24"/>
          <w:lang w:val="en-IE"/>
        </w:rPr>
        <w:t xml:space="preserve"> the Commission study </w:t>
      </w:r>
      <w:r w:rsidR="00123BFA">
        <w:rPr>
          <w:noProof/>
          <w:sz w:val="24"/>
          <w:szCs w:val="24"/>
          <w:lang w:val="en-IE"/>
        </w:rPr>
        <w:t xml:space="preserve">was completed </w:t>
      </w:r>
      <w:r w:rsidRPr="009130C0">
        <w:rPr>
          <w:noProof/>
          <w:sz w:val="24"/>
          <w:szCs w:val="24"/>
          <w:lang w:val="en-IE"/>
        </w:rPr>
        <w:t>(</w:t>
      </w:r>
      <w:r>
        <w:rPr>
          <w:noProof/>
          <w:sz w:val="24"/>
          <w:szCs w:val="24"/>
          <w:lang w:val="en-IE"/>
        </w:rPr>
        <w:t>July 2022</w:t>
      </w:r>
      <w:r w:rsidRPr="009130C0">
        <w:rPr>
          <w:noProof/>
          <w:sz w:val="24"/>
          <w:szCs w:val="24"/>
          <w:lang w:val="en-IE"/>
        </w:rPr>
        <w:t>)</w:t>
      </w:r>
      <w:r>
        <w:rPr>
          <w:noProof/>
          <w:sz w:val="24"/>
          <w:szCs w:val="24"/>
          <w:lang w:val="en-IE"/>
        </w:rPr>
        <w:t>,</w:t>
      </w:r>
      <w:r w:rsidR="009130C0" w:rsidRPr="009130C0">
        <w:rPr>
          <w:noProof/>
          <w:sz w:val="24"/>
          <w:szCs w:val="24"/>
          <w:lang w:val="en-IE"/>
        </w:rPr>
        <w:t xml:space="preserve"> 202</w:t>
      </w:r>
      <w:r>
        <w:rPr>
          <w:noProof/>
          <w:sz w:val="24"/>
          <w:szCs w:val="24"/>
          <w:lang w:val="en-IE"/>
        </w:rPr>
        <w:t>1</w:t>
      </w:r>
      <w:r w:rsidR="009130C0" w:rsidRPr="009130C0">
        <w:rPr>
          <w:noProof/>
          <w:sz w:val="24"/>
          <w:szCs w:val="24"/>
          <w:lang w:val="en-IE"/>
        </w:rPr>
        <w:t xml:space="preserve"> data were not complete and </w:t>
      </w:r>
      <w:r w:rsidR="00123BFA">
        <w:rPr>
          <w:noProof/>
          <w:sz w:val="24"/>
          <w:szCs w:val="24"/>
          <w:lang w:val="en-IE"/>
        </w:rPr>
        <w:t>were therefore subject to</w:t>
      </w:r>
      <w:r>
        <w:rPr>
          <w:noProof/>
          <w:sz w:val="24"/>
          <w:szCs w:val="24"/>
          <w:lang w:val="en-IE"/>
        </w:rPr>
        <w:t xml:space="preserve"> significant </w:t>
      </w:r>
      <w:r w:rsidR="00123BFA">
        <w:rPr>
          <w:noProof/>
          <w:sz w:val="24"/>
          <w:szCs w:val="24"/>
          <w:lang w:val="en-IE"/>
        </w:rPr>
        <w:t>estimates. For this reason</w:t>
      </w:r>
      <w:r>
        <w:rPr>
          <w:noProof/>
          <w:sz w:val="24"/>
          <w:szCs w:val="24"/>
          <w:lang w:val="en-IE"/>
        </w:rPr>
        <w:t>, 2021</w:t>
      </w:r>
      <w:r w:rsidR="009130C0" w:rsidRPr="009130C0">
        <w:rPr>
          <w:noProof/>
          <w:sz w:val="24"/>
          <w:szCs w:val="24"/>
          <w:lang w:val="en-IE"/>
        </w:rPr>
        <w:t xml:space="preserve"> numbers should be treated cautiously in the current report</w:t>
      </w:r>
      <w:r w:rsidR="009130C0">
        <w:rPr>
          <w:rStyle w:val="FootnoteReference"/>
          <w:noProof/>
          <w:sz w:val="24"/>
          <w:szCs w:val="24"/>
          <w:lang w:val="en-IE"/>
        </w:rPr>
        <w:footnoteReference w:id="10"/>
      </w:r>
      <w:r w:rsidR="009130C0" w:rsidRPr="009130C0">
        <w:rPr>
          <w:noProof/>
          <w:sz w:val="24"/>
          <w:szCs w:val="24"/>
          <w:lang w:val="en-IE"/>
        </w:rPr>
        <w:t xml:space="preserve">. </w:t>
      </w:r>
      <w:r w:rsidR="00123BFA">
        <w:rPr>
          <w:noProof/>
          <w:sz w:val="24"/>
          <w:szCs w:val="24"/>
          <w:lang w:val="en-IE"/>
        </w:rPr>
        <w:t>T</w:t>
      </w:r>
      <w:r>
        <w:rPr>
          <w:noProof/>
          <w:sz w:val="24"/>
          <w:szCs w:val="24"/>
          <w:lang w:val="en-IE"/>
        </w:rPr>
        <w:t>o ensure good data quality, Member States were asked to cross-check the new database</w:t>
      </w:r>
      <w:r w:rsidR="00482E9F">
        <w:rPr>
          <w:noProof/>
          <w:sz w:val="24"/>
          <w:szCs w:val="24"/>
          <w:lang w:val="en-IE"/>
        </w:rPr>
        <w:t xml:space="preserve">. </w:t>
      </w:r>
      <w:r w:rsidR="007F0F90">
        <w:rPr>
          <w:noProof/>
          <w:sz w:val="24"/>
          <w:szCs w:val="24"/>
          <w:lang w:val="en-IE"/>
        </w:rPr>
        <w:t xml:space="preserve">The Commission study has also </w:t>
      </w:r>
      <w:r w:rsidR="00123BFA">
        <w:rPr>
          <w:noProof/>
          <w:sz w:val="24"/>
          <w:szCs w:val="24"/>
          <w:lang w:val="en-IE"/>
        </w:rPr>
        <w:t xml:space="preserve">carried out </w:t>
      </w:r>
      <w:r w:rsidR="007F0F90">
        <w:rPr>
          <w:noProof/>
          <w:sz w:val="24"/>
          <w:szCs w:val="24"/>
          <w:lang w:val="en-IE"/>
        </w:rPr>
        <w:t>a</w:t>
      </w:r>
      <w:r w:rsidR="00123BFA">
        <w:rPr>
          <w:noProof/>
          <w:sz w:val="24"/>
          <w:szCs w:val="24"/>
          <w:lang w:val="en-IE"/>
        </w:rPr>
        <w:t>n initial</w:t>
      </w:r>
      <w:r w:rsidR="007F0F90">
        <w:rPr>
          <w:noProof/>
          <w:sz w:val="24"/>
          <w:szCs w:val="24"/>
          <w:lang w:val="en-IE"/>
        </w:rPr>
        <w:t xml:space="preserve"> stock</w:t>
      </w:r>
      <w:r w:rsidR="007D1383">
        <w:rPr>
          <w:noProof/>
          <w:sz w:val="24"/>
          <w:szCs w:val="24"/>
          <w:lang w:val="en-IE"/>
        </w:rPr>
        <w:t>taking</w:t>
      </w:r>
      <w:r w:rsidR="007F0F90">
        <w:rPr>
          <w:noProof/>
          <w:sz w:val="24"/>
          <w:szCs w:val="24"/>
          <w:lang w:val="en-IE"/>
        </w:rPr>
        <w:t xml:space="preserve"> of </w:t>
      </w:r>
      <w:r w:rsidR="00123BFA">
        <w:rPr>
          <w:noProof/>
          <w:sz w:val="24"/>
          <w:szCs w:val="24"/>
          <w:lang w:val="en-IE"/>
        </w:rPr>
        <w:t xml:space="preserve">how </w:t>
      </w:r>
      <w:r w:rsidR="007F0F90">
        <w:rPr>
          <w:noProof/>
          <w:sz w:val="24"/>
          <w:szCs w:val="24"/>
          <w:lang w:val="en-IE"/>
        </w:rPr>
        <w:t xml:space="preserve">energy subsidies </w:t>
      </w:r>
      <w:r w:rsidR="003658F8">
        <w:rPr>
          <w:noProof/>
          <w:sz w:val="24"/>
          <w:szCs w:val="24"/>
          <w:lang w:val="en-IE"/>
        </w:rPr>
        <w:t>relate to the t</w:t>
      </w:r>
      <w:r w:rsidR="007F0F90">
        <w:rPr>
          <w:noProof/>
          <w:sz w:val="24"/>
          <w:szCs w:val="24"/>
          <w:lang w:val="en-IE"/>
        </w:rPr>
        <w:t>axonomy criteria.</w:t>
      </w:r>
    </w:p>
    <w:p w14:paraId="4E6B67C2" w14:textId="4484689C" w:rsidR="00AE7881" w:rsidRDefault="00DB5D8D"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results of this study </w:t>
      </w:r>
      <w:r w:rsidR="00C12745">
        <w:rPr>
          <w:rFonts w:ascii="Times New Roman" w:hAnsi="Times New Roman" w:cs="Times New Roman"/>
          <w:noProof/>
          <w:sz w:val="24"/>
          <w:szCs w:val="24"/>
          <w:lang w:val="en-IE"/>
        </w:rPr>
        <w:t>confirm</w:t>
      </w:r>
      <w:r>
        <w:rPr>
          <w:rFonts w:ascii="Times New Roman" w:hAnsi="Times New Roman" w:cs="Times New Roman"/>
          <w:noProof/>
          <w:sz w:val="24"/>
          <w:szCs w:val="24"/>
          <w:lang w:val="en-IE"/>
        </w:rPr>
        <w:t xml:space="preserve"> that </w:t>
      </w:r>
      <w:r w:rsidR="009C223D">
        <w:rPr>
          <w:rFonts w:ascii="Times New Roman" w:hAnsi="Times New Roman" w:cs="Times New Roman"/>
          <w:noProof/>
          <w:sz w:val="24"/>
          <w:szCs w:val="24"/>
          <w:lang w:val="en-IE"/>
        </w:rPr>
        <w:t xml:space="preserve">a </w:t>
      </w:r>
      <w:r w:rsidR="002F6368">
        <w:rPr>
          <w:rFonts w:ascii="Times New Roman" w:hAnsi="Times New Roman" w:cs="Times New Roman"/>
          <w:noProof/>
          <w:sz w:val="24"/>
          <w:szCs w:val="24"/>
          <w:lang w:val="en-IE"/>
        </w:rPr>
        <w:t>significant</w:t>
      </w:r>
      <w:r w:rsidR="000D1760">
        <w:rPr>
          <w:rFonts w:ascii="Times New Roman" w:hAnsi="Times New Roman" w:cs="Times New Roman"/>
          <w:noProof/>
          <w:sz w:val="24"/>
          <w:szCs w:val="24"/>
          <w:lang w:val="en-IE"/>
        </w:rPr>
        <w:t xml:space="preserve"> </w:t>
      </w:r>
      <w:r w:rsidR="009C223D">
        <w:rPr>
          <w:rFonts w:ascii="Times New Roman" w:hAnsi="Times New Roman" w:cs="Times New Roman"/>
          <w:noProof/>
          <w:sz w:val="24"/>
          <w:szCs w:val="24"/>
          <w:lang w:val="en-IE"/>
        </w:rPr>
        <w:t xml:space="preserve">– albeit </w:t>
      </w:r>
      <w:r w:rsidR="000D1760">
        <w:rPr>
          <w:rFonts w:ascii="Times New Roman" w:hAnsi="Times New Roman" w:cs="Times New Roman"/>
          <w:noProof/>
          <w:sz w:val="24"/>
          <w:szCs w:val="24"/>
          <w:lang w:val="en-IE"/>
        </w:rPr>
        <w:t>slightly decreasing</w:t>
      </w:r>
      <w:r w:rsidR="002F6368">
        <w:rPr>
          <w:rFonts w:ascii="Times New Roman" w:hAnsi="Times New Roman" w:cs="Times New Roman"/>
          <w:noProof/>
          <w:sz w:val="24"/>
          <w:szCs w:val="24"/>
          <w:lang w:val="en-IE"/>
        </w:rPr>
        <w:t xml:space="preserve"> </w:t>
      </w:r>
      <w:r w:rsidR="00123BFA">
        <w:rPr>
          <w:rFonts w:ascii="Times New Roman" w:hAnsi="Times New Roman" w:cs="Times New Roman"/>
          <w:noProof/>
          <w:sz w:val="24"/>
          <w:szCs w:val="24"/>
          <w:lang w:val="en-IE"/>
        </w:rPr>
        <w:t>–</w:t>
      </w:r>
      <w:r w:rsidR="009C223D">
        <w:rPr>
          <w:rFonts w:ascii="Times New Roman" w:hAnsi="Times New Roman" w:cs="Times New Roman"/>
          <w:noProof/>
          <w:sz w:val="24"/>
          <w:szCs w:val="24"/>
          <w:lang w:val="en-IE"/>
        </w:rPr>
        <w:t xml:space="preserve"> </w:t>
      </w:r>
      <w:r w:rsidR="002F6368">
        <w:rPr>
          <w:rFonts w:ascii="Times New Roman" w:hAnsi="Times New Roman" w:cs="Times New Roman"/>
          <w:noProof/>
          <w:sz w:val="24"/>
          <w:szCs w:val="24"/>
          <w:lang w:val="en-IE"/>
        </w:rPr>
        <w:t>amount of subsidies</w:t>
      </w:r>
      <w:r w:rsidR="00CF7856">
        <w:rPr>
          <w:rFonts w:ascii="Times New Roman" w:hAnsi="Times New Roman" w:cs="Times New Roman"/>
          <w:noProof/>
          <w:sz w:val="24"/>
          <w:szCs w:val="24"/>
          <w:lang w:val="en-IE"/>
        </w:rPr>
        <w:t xml:space="preserve"> was</w:t>
      </w:r>
      <w:r w:rsidR="002F6368">
        <w:rPr>
          <w:rFonts w:ascii="Times New Roman" w:hAnsi="Times New Roman" w:cs="Times New Roman"/>
          <w:noProof/>
          <w:sz w:val="24"/>
          <w:szCs w:val="24"/>
          <w:lang w:val="en-IE"/>
        </w:rPr>
        <w:t xml:space="preserve"> spent on fossil</w:t>
      </w:r>
      <w:r w:rsidR="00CF7856">
        <w:rPr>
          <w:rFonts w:ascii="Times New Roman" w:hAnsi="Times New Roman" w:cs="Times New Roman"/>
          <w:noProof/>
          <w:sz w:val="24"/>
          <w:szCs w:val="24"/>
          <w:lang w:val="en-IE"/>
        </w:rPr>
        <w:t>-fuel</w:t>
      </w:r>
      <w:r w:rsidR="002F6368">
        <w:rPr>
          <w:rFonts w:ascii="Times New Roman" w:hAnsi="Times New Roman" w:cs="Times New Roman"/>
          <w:noProof/>
          <w:sz w:val="24"/>
          <w:szCs w:val="24"/>
          <w:lang w:val="en-IE"/>
        </w:rPr>
        <w:t xml:space="preserve"> energy </w:t>
      </w:r>
      <w:r w:rsidR="00123BFA">
        <w:rPr>
          <w:rFonts w:ascii="Times New Roman" w:hAnsi="Times New Roman" w:cs="Times New Roman"/>
          <w:noProof/>
          <w:sz w:val="24"/>
          <w:szCs w:val="24"/>
          <w:lang w:val="en-IE"/>
        </w:rPr>
        <w:t>in recent</w:t>
      </w:r>
      <w:r w:rsidR="002F6368">
        <w:rPr>
          <w:rFonts w:ascii="Times New Roman" w:hAnsi="Times New Roman" w:cs="Times New Roman"/>
          <w:noProof/>
          <w:sz w:val="24"/>
          <w:szCs w:val="24"/>
          <w:lang w:val="en-IE"/>
        </w:rPr>
        <w:t xml:space="preserve"> years</w:t>
      </w:r>
      <w:r w:rsidR="009C223D">
        <w:rPr>
          <w:rFonts w:ascii="Times New Roman" w:hAnsi="Times New Roman" w:cs="Times New Roman"/>
          <w:noProof/>
          <w:sz w:val="24"/>
          <w:szCs w:val="24"/>
          <w:lang w:val="en-IE"/>
        </w:rPr>
        <w:t>. This means</w:t>
      </w:r>
      <w:r w:rsidRPr="00DB5D8D">
        <w:rPr>
          <w:rFonts w:ascii="Times New Roman" w:hAnsi="Times New Roman" w:cs="Times New Roman"/>
          <w:noProof/>
          <w:sz w:val="24"/>
          <w:szCs w:val="24"/>
          <w:lang w:val="en-IE"/>
        </w:rPr>
        <w:t xml:space="preserve"> </w:t>
      </w:r>
      <w:r w:rsidR="00123BFA">
        <w:rPr>
          <w:rFonts w:ascii="Times New Roman" w:hAnsi="Times New Roman" w:cs="Times New Roman"/>
          <w:noProof/>
          <w:sz w:val="24"/>
          <w:szCs w:val="24"/>
          <w:lang w:val="en-IE"/>
        </w:rPr>
        <w:t xml:space="preserve">that the </w:t>
      </w:r>
      <w:r w:rsidRPr="00DB5D8D">
        <w:rPr>
          <w:rFonts w:ascii="Times New Roman" w:hAnsi="Times New Roman" w:cs="Times New Roman"/>
          <w:noProof/>
          <w:sz w:val="24"/>
          <w:szCs w:val="24"/>
          <w:lang w:val="en-IE"/>
        </w:rPr>
        <w:t xml:space="preserve">EU </w:t>
      </w:r>
      <w:r w:rsidR="006200AA">
        <w:rPr>
          <w:rFonts w:ascii="Times New Roman" w:hAnsi="Times New Roman" w:cs="Times New Roman"/>
          <w:noProof/>
          <w:sz w:val="24"/>
          <w:szCs w:val="24"/>
          <w:lang w:val="en-IE"/>
        </w:rPr>
        <w:t xml:space="preserve">and </w:t>
      </w:r>
      <w:r w:rsidR="00D77877">
        <w:rPr>
          <w:rFonts w:ascii="Times New Roman" w:hAnsi="Times New Roman" w:cs="Times New Roman"/>
          <w:noProof/>
          <w:sz w:val="24"/>
          <w:szCs w:val="24"/>
          <w:lang w:val="en-IE"/>
        </w:rPr>
        <w:t xml:space="preserve">its </w:t>
      </w:r>
      <w:r w:rsidR="006200AA">
        <w:rPr>
          <w:rFonts w:ascii="Times New Roman" w:hAnsi="Times New Roman" w:cs="Times New Roman"/>
          <w:noProof/>
          <w:sz w:val="24"/>
          <w:szCs w:val="24"/>
          <w:lang w:val="en-IE"/>
        </w:rPr>
        <w:t xml:space="preserve">Member States </w:t>
      </w:r>
      <w:r w:rsidR="004224FC">
        <w:rPr>
          <w:rFonts w:ascii="Times New Roman" w:hAnsi="Times New Roman" w:cs="Times New Roman"/>
          <w:noProof/>
          <w:sz w:val="24"/>
          <w:szCs w:val="24"/>
          <w:lang w:val="en-IE"/>
        </w:rPr>
        <w:t>must step up their efforts</w:t>
      </w:r>
      <w:r w:rsidRPr="00DB5D8D">
        <w:rPr>
          <w:rFonts w:ascii="Times New Roman" w:hAnsi="Times New Roman" w:cs="Times New Roman"/>
          <w:noProof/>
          <w:sz w:val="24"/>
          <w:szCs w:val="24"/>
          <w:lang w:val="en-IE"/>
        </w:rPr>
        <w:t xml:space="preserve"> </w:t>
      </w:r>
      <w:r w:rsidR="00C12745">
        <w:rPr>
          <w:rFonts w:ascii="Times New Roman" w:hAnsi="Times New Roman" w:cs="Times New Roman"/>
          <w:noProof/>
          <w:sz w:val="24"/>
          <w:szCs w:val="24"/>
          <w:lang w:val="en-IE"/>
        </w:rPr>
        <w:t>to</w:t>
      </w:r>
      <w:r w:rsidRPr="00DB5D8D">
        <w:rPr>
          <w:rFonts w:ascii="Times New Roman" w:hAnsi="Times New Roman" w:cs="Times New Roman"/>
          <w:noProof/>
          <w:sz w:val="24"/>
          <w:szCs w:val="24"/>
          <w:lang w:val="en-IE"/>
        </w:rPr>
        <w:t xml:space="preserve"> </w:t>
      </w:r>
      <w:r w:rsidR="00123BFA">
        <w:rPr>
          <w:rFonts w:ascii="Times New Roman" w:hAnsi="Times New Roman" w:cs="Times New Roman"/>
          <w:noProof/>
          <w:sz w:val="24"/>
          <w:szCs w:val="24"/>
          <w:lang w:val="en-IE"/>
        </w:rPr>
        <w:t xml:space="preserve">meet </w:t>
      </w:r>
      <w:r w:rsidR="007F0F90">
        <w:rPr>
          <w:rFonts w:ascii="Times New Roman" w:hAnsi="Times New Roman" w:cs="Times New Roman"/>
          <w:noProof/>
          <w:sz w:val="24"/>
          <w:szCs w:val="24"/>
          <w:lang w:val="en-IE"/>
        </w:rPr>
        <w:t>their international commitments on fossil</w:t>
      </w:r>
      <w:r w:rsidR="00886D31">
        <w:rPr>
          <w:rFonts w:ascii="Times New Roman" w:hAnsi="Times New Roman" w:cs="Times New Roman"/>
          <w:noProof/>
          <w:sz w:val="24"/>
          <w:szCs w:val="24"/>
          <w:lang w:val="en-IE"/>
        </w:rPr>
        <w:t>-</w:t>
      </w:r>
      <w:r w:rsidR="007F0F90">
        <w:rPr>
          <w:rFonts w:ascii="Times New Roman" w:hAnsi="Times New Roman" w:cs="Times New Roman"/>
          <w:noProof/>
          <w:sz w:val="24"/>
          <w:szCs w:val="24"/>
          <w:lang w:val="en-IE"/>
        </w:rPr>
        <w:t xml:space="preserve">fuel subsidies and </w:t>
      </w:r>
      <w:r w:rsidRPr="00DB5D8D">
        <w:rPr>
          <w:rFonts w:ascii="Times New Roman" w:hAnsi="Times New Roman" w:cs="Times New Roman"/>
          <w:noProof/>
          <w:sz w:val="24"/>
          <w:szCs w:val="24"/>
          <w:lang w:val="en-IE"/>
        </w:rPr>
        <w:t xml:space="preserve">achieve climate neutrality by 2050. </w:t>
      </w:r>
      <w:r w:rsidR="007F0F90">
        <w:rPr>
          <w:rFonts w:ascii="Times New Roman" w:hAnsi="Times New Roman" w:cs="Times New Roman"/>
          <w:noProof/>
          <w:sz w:val="24"/>
          <w:szCs w:val="24"/>
          <w:lang w:val="en-IE"/>
        </w:rPr>
        <w:t xml:space="preserve">In 2020, overall energy subsidies in the EU reached </w:t>
      </w:r>
      <w:r w:rsidR="00123BFA">
        <w:rPr>
          <w:rFonts w:ascii="Times New Roman" w:hAnsi="Times New Roman" w:cs="Times New Roman"/>
          <w:noProof/>
          <w:sz w:val="24"/>
          <w:szCs w:val="24"/>
          <w:lang w:val="en-IE"/>
        </w:rPr>
        <w:t>EUR </w:t>
      </w:r>
      <w:r w:rsidR="007F0F90">
        <w:rPr>
          <w:rFonts w:ascii="Times New Roman" w:hAnsi="Times New Roman" w:cs="Times New Roman"/>
          <w:noProof/>
          <w:sz w:val="24"/>
          <w:szCs w:val="24"/>
          <w:lang w:val="en-IE"/>
        </w:rPr>
        <w:t xml:space="preserve">173 billion, rising by 7%, or </w:t>
      </w:r>
      <w:r w:rsidR="00123BFA">
        <w:rPr>
          <w:rFonts w:ascii="Times New Roman" w:hAnsi="Times New Roman" w:cs="Times New Roman"/>
          <w:noProof/>
          <w:sz w:val="24"/>
          <w:szCs w:val="24"/>
          <w:lang w:val="en-IE"/>
        </w:rPr>
        <w:t>EUR </w:t>
      </w:r>
      <w:r w:rsidR="007F0F90">
        <w:rPr>
          <w:rFonts w:ascii="Times New Roman" w:hAnsi="Times New Roman" w:cs="Times New Roman"/>
          <w:noProof/>
          <w:sz w:val="24"/>
          <w:szCs w:val="24"/>
          <w:lang w:val="en-IE"/>
        </w:rPr>
        <w:t>14 billion</w:t>
      </w:r>
      <w:r w:rsidR="00CF7856">
        <w:rPr>
          <w:rFonts w:ascii="Times New Roman" w:hAnsi="Times New Roman" w:cs="Times New Roman"/>
          <w:noProof/>
          <w:sz w:val="24"/>
          <w:szCs w:val="24"/>
          <w:lang w:val="en-IE"/>
        </w:rPr>
        <w:t>,</w:t>
      </w:r>
      <w:r w:rsidR="007F0F90">
        <w:rPr>
          <w:rFonts w:ascii="Times New Roman" w:hAnsi="Times New Roman" w:cs="Times New Roman"/>
          <w:noProof/>
          <w:sz w:val="24"/>
          <w:szCs w:val="24"/>
          <w:lang w:val="en-IE"/>
        </w:rPr>
        <w:t xml:space="preserve"> b</w:t>
      </w:r>
      <w:r w:rsidR="00010703">
        <w:rPr>
          <w:rFonts w:ascii="Times New Roman" w:hAnsi="Times New Roman" w:cs="Times New Roman"/>
          <w:noProof/>
          <w:sz w:val="24"/>
          <w:szCs w:val="24"/>
          <w:lang w:val="en-IE"/>
        </w:rPr>
        <w:t>etween 2015 and 20</w:t>
      </w:r>
      <w:r w:rsidR="002F6368">
        <w:rPr>
          <w:rFonts w:ascii="Times New Roman" w:hAnsi="Times New Roman" w:cs="Times New Roman"/>
          <w:noProof/>
          <w:sz w:val="24"/>
          <w:szCs w:val="24"/>
          <w:lang w:val="en-IE"/>
        </w:rPr>
        <w:t>20</w:t>
      </w:r>
      <w:r w:rsidR="000234EA">
        <w:rPr>
          <w:rFonts w:ascii="Times New Roman" w:hAnsi="Times New Roman" w:cs="Times New Roman"/>
          <w:noProof/>
          <w:sz w:val="24"/>
          <w:szCs w:val="24"/>
          <w:lang w:val="en-IE"/>
        </w:rPr>
        <w:t xml:space="preserve">. </w:t>
      </w:r>
      <w:r w:rsidR="00AE7881">
        <w:rPr>
          <w:rFonts w:ascii="Times New Roman" w:hAnsi="Times New Roman" w:cs="Times New Roman"/>
          <w:noProof/>
          <w:sz w:val="24"/>
          <w:szCs w:val="24"/>
          <w:lang w:val="en-IE"/>
        </w:rPr>
        <w:t>Subsid</w:t>
      </w:r>
      <w:r w:rsidR="002F6368">
        <w:rPr>
          <w:rFonts w:ascii="Times New Roman" w:hAnsi="Times New Roman" w:cs="Times New Roman"/>
          <w:noProof/>
          <w:sz w:val="24"/>
          <w:szCs w:val="24"/>
          <w:lang w:val="en-IE"/>
        </w:rPr>
        <w:t xml:space="preserve">ies </w:t>
      </w:r>
      <w:r w:rsidR="00CF7856">
        <w:rPr>
          <w:rFonts w:ascii="Times New Roman" w:hAnsi="Times New Roman" w:cs="Times New Roman"/>
          <w:noProof/>
          <w:sz w:val="24"/>
          <w:szCs w:val="24"/>
          <w:lang w:val="en-IE"/>
        </w:rPr>
        <w:t xml:space="preserve">for </w:t>
      </w:r>
      <w:r w:rsidR="002F6368">
        <w:rPr>
          <w:rFonts w:ascii="Times New Roman" w:hAnsi="Times New Roman" w:cs="Times New Roman"/>
          <w:noProof/>
          <w:sz w:val="24"/>
          <w:szCs w:val="24"/>
          <w:lang w:val="en-IE"/>
        </w:rPr>
        <w:t>renewables rose by 15</w:t>
      </w:r>
      <w:r w:rsidR="00AE7881">
        <w:rPr>
          <w:rFonts w:ascii="Times New Roman" w:hAnsi="Times New Roman" w:cs="Times New Roman"/>
          <w:noProof/>
          <w:sz w:val="24"/>
          <w:szCs w:val="24"/>
          <w:lang w:val="en-IE"/>
        </w:rPr>
        <w:t>%,</w:t>
      </w:r>
      <w:r w:rsidR="004F1DDE">
        <w:rPr>
          <w:rFonts w:ascii="Times New Roman" w:hAnsi="Times New Roman" w:cs="Times New Roman"/>
          <w:noProof/>
          <w:sz w:val="24"/>
          <w:szCs w:val="24"/>
          <w:lang w:val="en-IE"/>
        </w:rPr>
        <w:t xml:space="preserve"> reaching EUR 81 billion in 2020,</w:t>
      </w:r>
      <w:r w:rsidR="00AE7881">
        <w:rPr>
          <w:rFonts w:ascii="Times New Roman" w:hAnsi="Times New Roman" w:cs="Times New Roman"/>
          <w:noProof/>
          <w:sz w:val="24"/>
          <w:szCs w:val="24"/>
          <w:lang w:val="en-IE"/>
        </w:rPr>
        <w:t xml:space="preserve"> </w:t>
      </w:r>
      <w:r w:rsidR="00123BFA">
        <w:rPr>
          <w:rFonts w:ascii="Times New Roman" w:hAnsi="Times New Roman" w:cs="Times New Roman"/>
          <w:noProof/>
          <w:sz w:val="24"/>
          <w:szCs w:val="24"/>
          <w:lang w:val="en-IE"/>
        </w:rPr>
        <w:t xml:space="preserve">and </w:t>
      </w:r>
      <w:r w:rsidR="00AE7881">
        <w:rPr>
          <w:rFonts w:ascii="Times New Roman" w:hAnsi="Times New Roman" w:cs="Times New Roman"/>
          <w:noProof/>
          <w:sz w:val="24"/>
          <w:szCs w:val="24"/>
          <w:lang w:val="en-IE"/>
        </w:rPr>
        <w:t>energy</w:t>
      </w:r>
      <w:r w:rsidR="00123BFA">
        <w:rPr>
          <w:rFonts w:ascii="Times New Roman" w:hAnsi="Times New Roman" w:cs="Times New Roman"/>
          <w:noProof/>
          <w:sz w:val="24"/>
          <w:szCs w:val="24"/>
          <w:lang w:val="en-IE"/>
        </w:rPr>
        <w:t>-</w:t>
      </w:r>
      <w:r w:rsidR="00AE7881">
        <w:rPr>
          <w:rFonts w:ascii="Times New Roman" w:hAnsi="Times New Roman" w:cs="Times New Roman"/>
          <w:noProof/>
          <w:sz w:val="24"/>
          <w:szCs w:val="24"/>
          <w:lang w:val="en-IE"/>
        </w:rPr>
        <w:t xml:space="preserve">efficiency subsidies </w:t>
      </w:r>
      <w:r w:rsidR="00123BFA">
        <w:rPr>
          <w:rFonts w:ascii="Times New Roman" w:hAnsi="Times New Roman" w:cs="Times New Roman"/>
          <w:noProof/>
          <w:sz w:val="24"/>
          <w:szCs w:val="24"/>
          <w:lang w:val="en-IE"/>
        </w:rPr>
        <w:t xml:space="preserve">increased </w:t>
      </w:r>
      <w:r w:rsidR="00AE7881">
        <w:rPr>
          <w:rFonts w:ascii="Times New Roman" w:hAnsi="Times New Roman" w:cs="Times New Roman"/>
          <w:noProof/>
          <w:sz w:val="24"/>
          <w:szCs w:val="24"/>
          <w:lang w:val="en-IE"/>
        </w:rPr>
        <w:t xml:space="preserve">by </w:t>
      </w:r>
      <w:r w:rsidR="002F6368">
        <w:rPr>
          <w:rFonts w:ascii="Times New Roman" w:hAnsi="Times New Roman" w:cs="Times New Roman"/>
          <w:noProof/>
          <w:sz w:val="24"/>
          <w:szCs w:val="24"/>
          <w:lang w:val="en-IE"/>
        </w:rPr>
        <w:t>2</w:t>
      </w:r>
      <w:r w:rsidR="00CA4032">
        <w:rPr>
          <w:rFonts w:ascii="Times New Roman" w:hAnsi="Times New Roman" w:cs="Times New Roman"/>
          <w:noProof/>
          <w:sz w:val="24"/>
          <w:szCs w:val="24"/>
          <w:lang w:val="en-IE"/>
        </w:rPr>
        <w:t>0</w:t>
      </w:r>
      <w:r w:rsidR="002F6368">
        <w:rPr>
          <w:rFonts w:ascii="Times New Roman" w:hAnsi="Times New Roman" w:cs="Times New Roman"/>
          <w:noProof/>
          <w:sz w:val="24"/>
          <w:szCs w:val="24"/>
          <w:lang w:val="en-IE"/>
        </w:rPr>
        <w:t>%</w:t>
      </w:r>
      <w:r w:rsidR="004F1DDE">
        <w:rPr>
          <w:rFonts w:ascii="Times New Roman" w:hAnsi="Times New Roman" w:cs="Times New Roman"/>
          <w:noProof/>
          <w:sz w:val="24"/>
          <w:szCs w:val="24"/>
          <w:lang w:val="en-IE"/>
        </w:rPr>
        <w:t xml:space="preserve"> (EUR 15 billion in 2020)</w:t>
      </w:r>
      <w:r w:rsidR="00123BFA">
        <w:rPr>
          <w:rFonts w:ascii="Times New Roman" w:hAnsi="Times New Roman" w:cs="Times New Roman"/>
          <w:noProof/>
          <w:sz w:val="24"/>
          <w:szCs w:val="24"/>
          <w:lang w:val="en-IE"/>
        </w:rPr>
        <w:t xml:space="preserve"> in the same 2015-2020 period </w:t>
      </w:r>
      <w:r w:rsidR="00CF7856">
        <w:rPr>
          <w:rFonts w:ascii="Times New Roman" w:hAnsi="Times New Roman" w:cs="Times New Roman"/>
          <w:noProof/>
          <w:sz w:val="24"/>
          <w:szCs w:val="24"/>
          <w:lang w:val="en-IE"/>
        </w:rPr>
        <w:t xml:space="preserve">– </w:t>
      </w:r>
      <w:r w:rsidR="00AE7881">
        <w:rPr>
          <w:rFonts w:ascii="Times New Roman" w:hAnsi="Times New Roman" w:cs="Times New Roman"/>
          <w:noProof/>
          <w:sz w:val="24"/>
          <w:szCs w:val="24"/>
          <w:lang w:val="en-IE"/>
        </w:rPr>
        <w:t xml:space="preserve">a favourable development </w:t>
      </w:r>
      <w:r w:rsidR="00123BFA">
        <w:rPr>
          <w:rFonts w:ascii="Times New Roman" w:hAnsi="Times New Roman" w:cs="Times New Roman"/>
          <w:noProof/>
          <w:sz w:val="24"/>
          <w:szCs w:val="24"/>
          <w:lang w:val="en-IE"/>
        </w:rPr>
        <w:t>that will help</w:t>
      </w:r>
      <w:r w:rsidR="00AE7881">
        <w:rPr>
          <w:rFonts w:ascii="Times New Roman" w:hAnsi="Times New Roman" w:cs="Times New Roman"/>
          <w:noProof/>
          <w:sz w:val="24"/>
          <w:szCs w:val="24"/>
          <w:lang w:val="en-IE"/>
        </w:rPr>
        <w:t xml:space="preserve"> the EU </w:t>
      </w:r>
      <w:r w:rsidR="00123BFA">
        <w:rPr>
          <w:rFonts w:ascii="Times New Roman" w:hAnsi="Times New Roman" w:cs="Times New Roman"/>
          <w:noProof/>
          <w:sz w:val="24"/>
          <w:szCs w:val="24"/>
          <w:lang w:val="en-IE"/>
        </w:rPr>
        <w:t xml:space="preserve">to attain its objectives for </w:t>
      </w:r>
      <w:r w:rsidR="002D0613">
        <w:rPr>
          <w:rFonts w:ascii="Times New Roman" w:hAnsi="Times New Roman" w:cs="Times New Roman"/>
          <w:noProof/>
          <w:sz w:val="24"/>
          <w:szCs w:val="24"/>
          <w:lang w:val="en-IE"/>
        </w:rPr>
        <w:t>clean</w:t>
      </w:r>
      <w:r w:rsidR="00123BFA">
        <w:rPr>
          <w:rFonts w:ascii="Times New Roman" w:hAnsi="Times New Roman" w:cs="Times New Roman"/>
          <w:noProof/>
          <w:sz w:val="24"/>
          <w:szCs w:val="24"/>
          <w:lang w:val="en-IE"/>
        </w:rPr>
        <w:t>-</w:t>
      </w:r>
      <w:r w:rsidR="002F6368">
        <w:rPr>
          <w:rFonts w:ascii="Times New Roman" w:hAnsi="Times New Roman" w:cs="Times New Roman"/>
          <w:noProof/>
          <w:sz w:val="24"/>
          <w:szCs w:val="24"/>
          <w:lang w:val="en-IE"/>
        </w:rPr>
        <w:t>energy transition.</w:t>
      </w:r>
    </w:p>
    <w:p w14:paraId="66C28F49" w14:textId="60F18F64" w:rsidR="002F6368" w:rsidRDefault="002F6368"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In 2021, total subsidies </w:t>
      </w:r>
      <w:r w:rsidR="00123BFA">
        <w:rPr>
          <w:rFonts w:ascii="Times New Roman" w:hAnsi="Times New Roman" w:cs="Times New Roman"/>
          <w:noProof/>
          <w:sz w:val="24"/>
          <w:szCs w:val="24"/>
          <w:lang w:val="en-IE"/>
        </w:rPr>
        <w:t>for all types of energy (fossil fuels</w:t>
      </w:r>
      <w:r w:rsidR="001E7357">
        <w:rPr>
          <w:rFonts w:ascii="Times New Roman" w:hAnsi="Times New Roman" w:cs="Times New Roman"/>
          <w:noProof/>
          <w:sz w:val="24"/>
          <w:szCs w:val="24"/>
          <w:lang w:val="en-IE"/>
        </w:rPr>
        <w:t>, nuclear</w:t>
      </w:r>
      <w:r w:rsidR="00123BFA">
        <w:rPr>
          <w:rFonts w:ascii="Times New Roman" w:hAnsi="Times New Roman" w:cs="Times New Roman"/>
          <w:noProof/>
          <w:sz w:val="24"/>
          <w:szCs w:val="24"/>
          <w:lang w:val="en-IE"/>
        </w:rPr>
        <w:t xml:space="preserve"> and renewables) </w:t>
      </w:r>
      <w:r>
        <w:rPr>
          <w:rFonts w:ascii="Times New Roman" w:hAnsi="Times New Roman" w:cs="Times New Roman"/>
          <w:noProof/>
          <w:sz w:val="24"/>
          <w:szCs w:val="24"/>
          <w:lang w:val="en-IE"/>
        </w:rPr>
        <w:t>continued to rise</w:t>
      </w:r>
      <w:r w:rsidR="00123BFA">
        <w:rPr>
          <w:rFonts w:ascii="Times New Roman" w:hAnsi="Times New Roman" w:cs="Times New Roman"/>
          <w:noProof/>
          <w:sz w:val="24"/>
          <w:szCs w:val="24"/>
          <w:lang w:val="en-IE"/>
        </w:rPr>
        <w:t xml:space="preserve">. This was due to increasing demand for energy as the </w:t>
      </w:r>
      <w:r>
        <w:rPr>
          <w:rFonts w:ascii="Times New Roman" w:hAnsi="Times New Roman" w:cs="Times New Roman"/>
          <w:noProof/>
          <w:sz w:val="24"/>
          <w:szCs w:val="24"/>
          <w:lang w:val="en-IE"/>
        </w:rPr>
        <w:t xml:space="preserve">economic recovery </w:t>
      </w:r>
      <w:r w:rsidR="00123BFA">
        <w:rPr>
          <w:rFonts w:ascii="Times New Roman" w:hAnsi="Times New Roman" w:cs="Times New Roman"/>
          <w:noProof/>
          <w:sz w:val="24"/>
          <w:szCs w:val="24"/>
          <w:lang w:val="en-IE"/>
        </w:rPr>
        <w:t xml:space="preserve">continued following </w:t>
      </w:r>
      <w:r>
        <w:rPr>
          <w:rFonts w:ascii="Times New Roman" w:hAnsi="Times New Roman" w:cs="Times New Roman"/>
          <w:noProof/>
          <w:sz w:val="24"/>
          <w:szCs w:val="24"/>
          <w:lang w:val="en-IE"/>
        </w:rPr>
        <w:t>2020</w:t>
      </w:r>
      <w:r w:rsidR="000D1760">
        <w:rPr>
          <w:rFonts w:ascii="Times New Roman" w:hAnsi="Times New Roman" w:cs="Times New Roman"/>
          <w:noProof/>
          <w:sz w:val="24"/>
          <w:szCs w:val="24"/>
          <w:lang w:val="en-IE"/>
        </w:rPr>
        <w:t>, a year</w:t>
      </w:r>
      <w:r w:rsidR="00260A7E">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characterised by C</w:t>
      </w:r>
      <w:r w:rsidR="00FC24DF">
        <w:rPr>
          <w:rFonts w:ascii="Times New Roman" w:hAnsi="Times New Roman" w:cs="Times New Roman"/>
          <w:noProof/>
          <w:sz w:val="24"/>
          <w:szCs w:val="24"/>
          <w:lang w:val="en-IE"/>
        </w:rPr>
        <w:t>OVID</w:t>
      </w:r>
      <w:r w:rsidR="00DA2594">
        <w:rPr>
          <w:rFonts w:ascii="Times New Roman" w:hAnsi="Times New Roman" w:cs="Times New Roman"/>
          <w:noProof/>
          <w:sz w:val="24"/>
          <w:szCs w:val="24"/>
          <w:lang w:val="en-IE"/>
        </w:rPr>
        <w:t>-</w:t>
      </w:r>
      <w:r w:rsidR="009A6B53">
        <w:rPr>
          <w:rFonts w:ascii="Times New Roman" w:hAnsi="Times New Roman" w:cs="Times New Roman"/>
          <w:noProof/>
          <w:sz w:val="24"/>
          <w:szCs w:val="24"/>
          <w:lang w:val="en-IE"/>
        </w:rPr>
        <w:t xml:space="preserve">19 </w:t>
      </w:r>
      <w:r>
        <w:rPr>
          <w:rFonts w:ascii="Times New Roman" w:hAnsi="Times New Roman" w:cs="Times New Roman"/>
          <w:noProof/>
          <w:sz w:val="24"/>
          <w:szCs w:val="24"/>
          <w:lang w:val="en-IE"/>
        </w:rPr>
        <w:t xml:space="preserve">related restrictions. As </w:t>
      </w:r>
      <w:r w:rsidR="00123BFA">
        <w:rPr>
          <w:rFonts w:ascii="Times New Roman" w:hAnsi="Times New Roman" w:cs="Times New Roman"/>
          <w:noProof/>
          <w:sz w:val="24"/>
          <w:szCs w:val="24"/>
          <w:lang w:val="en-IE"/>
        </w:rPr>
        <w:t xml:space="preserve">data estimates from </w:t>
      </w:r>
      <w:r w:rsidR="00260A7E">
        <w:rPr>
          <w:rFonts w:ascii="Times New Roman" w:hAnsi="Times New Roman" w:cs="Times New Roman"/>
          <w:noProof/>
          <w:sz w:val="24"/>
          <w:szCs w:val="24"/>
          <w:lang w:val="en-IE"/>
        </w:rPr>
        <w:t xml:space="preserve">2021 </w:t>
      </w:r>
      <w:r>
        <w:rPr>
          <w:rFonts w:ascii="Times New Roman" w:hAnsi="Times New Roman" w:cs="Times New Roman"/>
          <w:noProof/>
          <w:sz w:val="24"/>
          <w:szCs w:val="24"/>
          <w:lang w:val="en-IE"/>
        </w:rPr>
        <w:t xml:space="preserve">show, total energy subsidies rose by </w:t>
      </w:r>
      <w:r w:rsidR="00123BFA">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11 billion</w:t>
      </w:r>
      <w:r w:rsidR="00DE7F7A">
        <w:rPr>
          <w:rFonts w:ascii="Times New Roman" w:hAnsi="Times New Roman" w:cs="Times New Roman"/>
          <w:noProof/>
          <w:sz w:val="24"/>
          <w:szCs w:val="24"/>
          <w:lang w:val="en-IE"/>
        </w:rPr>
        <w:t xml:space="preserve"> </w:t>
      </w:r>
      <w:r w:rsidR="00123BFA">
        <w:rPr>
          <w:rFonts w:ascii="Times New Roman" w:hAnsi="Times New Roman" w:cs="Times New Roman"/>
          <w:noProof/>
          <w:sz w:val="24"/>
          <w:szCs w:val="24"/>
          <w:lang w:val="en-IE"/>
        </w:rPr>
        <w:t xml:space="preserve">in 2021 </w:t>
      </w:r>
      <w:r w:rsidR="00DE7F7A">
        <w:rPr>
          <w:rFonts w:ascii="Times New Roman" w:hAnsi="Times New Roman" w:cs="Times New Roman"/>
          <w:noProof/>
          <w:sz w:val="24"/>
          <w:szCs w:val="24"/>
          <w:lang w:val="en-IE"/>
        </w:rPr>
        <w:t xml:space="preserve">compared to 2020, reaching </w:t>
      </w:r>
      <w:r w:rsidR="00123BFA">
        <w:rPr>
          <w:rFonts w:ascii="Times New Roman" w:hAnsi="Times New Roman" w:cs="Times New Roman"/>
          <w:noProof/>
          <w:sz w:val="24"/>
          <w:szCs w:val="24"/>
          <w:lang w:val="en-IE"/>
        </w:rPr>
        <w:t xml:space="preserve">EUR </w:t>
      </w:r>
      <w:r w:rsidR="00DE7F7A">
        <w:rPr>
          <w:rFonts w:ascii="Times New Roman" w:hAnsi="Times New Roman" w:cs="Times New Roman"/>
          <w:noProof/>
          <w:sz w:val="24"/>
          <w:szCs w:val="24"/>
          <w:lang w:val="en-IE"/>
        </w:rPr>
        <w:t>184 billion</w:t>
      </w:r>
      <w:r w:rsidR="00123BFA">
        <w:rPr>
          <w:rFonts w:ascii="Times New Roman" w:hAnsi="Times New Roman" w:cs="Times New Roman"/>
          <w:noProof/>
          <w:sz w:val="24"/>
          <w:szCs w:val="24"/>
          <w:lang w:val="en-IE"/>
        </w:rPr>
        <w:t>. O</w:t>
      </w:r>
      <w:r>
        <w:rPr>
          <w:rFonts w:ascii="Times New Roman" w:hAnsi="Times New Roman" w:cs="Times New Roman"/>
          <w:noProof/>
          <w:sz w:val="24"/>
          <w:szCs w:val="24"/>
          <w:lang w:val="en-IE"/>
        </w:rPr>
        <w:t xml:space="preserve">f </w:t>
      </w:r>
      <w:r w:rsidR="00123BFA">
        <w:rPr>
          <w:rFonts w:ascii="Times New Roman" w:hAnsi="Times New Roman" w:cs="Times New Roman"/>
          <w:noProof/>
          <w:sz w:val="24"/>
          <w:szCs w:val="24"/>
          <w:lang w:val="en-IE"/>
        </w:rPr>
        <w:t xml:space="preserve">these energy subsidies, </w:t>
      </w:r>
      <w:r>
        <w:rPr>
          <w:rFonts w:ascii="Times New Roman" w:hAnsi="Times New Roman" w:cs="Times New Roman"/>
          <w:noProof/>
          <w:sz w:val="24"/>
          <w:szCs w:val="24"/>
          <w:lang w:val="en-IE"/>
        </w:rPr>
        <w:t>subsidies for energy demand</w:t>
      </w:r>
      <w:r w:rsidR="004F1DDE">
        <w:rPr>
          <w:rStyle w:val="FootnoteReference"/>
          <w:rFonts w:ascii="Times New Roman" w:hAnsi="Times New Roman" w:cs="Times New Roman"/>
          <w:noProof/>
          <w:sz w:val="24"/>
          <w:szCs w:val="24"/>
          <w:lang w:val="en-IE"/>
        </w:rPr>
        <w:footnoteReference w:id="11"/>
      </w:r>
      <w:r>
        <w:rPr>
          <w:rFonts w:ascii="Times New Roman" w:hAnsi="Times New Roman" w:cs="Times New Roman"/>
          <w:noProof/>
          <w:sz w:val="24"/>
          <w:szCs w:val="24"/>
          <w:lang w:val="en-IE"/>
        </w:rPr>
        <w:t xml:space="preserve"> </w:t>
      </w:r>
      <w:r w:rsidR="004F1DDE">
        <w:rPr>
          <w:rFonts w:ascii="Times New Roman" w:hAnsi="Times New Roman" w:cs="Times New Roman"/>
          <w:noProof/>
          <w:sz w:val="24"/>
          <w:szCs w:val="24"/>
          <w:lang w:val="en-IE"/>
        </w:rPr>
        <w:t>reached EUR 65 billion in 2021,</w:t>
      </w:r>
      <w:r>
        <w:rPr>
          <w:rFonts w:ascii="Times New Roman" w:hAnsi="Times New Roman" w:cs="Times New Roman"/>
          <w:noProof/>
          <w:sz w:val="24"/>
          <w:szCs w:val="24"/>
          <w:lang w:val="en-IE"/>
        </w:rPr>
        <w:t xml:space="preserve"> around </w:t>
      </w:r>
      <w:r w:rsidR="00123BFA">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8 billion</w:t>
      </w:r>
      <w:r w:rsidR="00260A7E">
        <w:rPr>
          <w:rFonts w:ascii="Times New Roman" w:hAnsi="Times New Roman" w:cs="Times New Roman"/>
          <w:noProof/>
          <w:sz w:val="24"/>
          <w:szCs w:val="24"/>
          <w:lang w:val="en-IE"/>
        </w:rPr>
        <w:t xml:space="preserve"> higher</w:t>
      </w:r>
      <w:r w:rsidR="00C07677">
        <w:rPr>
          <w:rFonts w:ascii="Times New Roman" w:hAnsi="Times New Roman" w:cs="Times New Roman"/>
          <w:noProof/>
          <w:sz w:val="24"/>
          <w:szCs w:val="24"/>
          <w:lang w:val="en-IE"/>
        </w:rPr>
        <w:t xml:space="preserve"> (+14%)</w:t>
      </w:r>
      <w:r w:rsidR="004F1DDE">
        <w:rPr>
          <w:rFonts w:ascii="Times New Roman" w:hAnsi="Times New Roman" w:cs="Times New Roman"/>
          <w:noProof/>
          <w:sz w:val="24"/>
          <w:szCs w:val="24"/>
          <w:lang w:val="en-IE"/>
        </w:rPr>
        <w:t xml:space="preserve"> than in 2020</w:t>
      </w:r>
      <w:r>
        <w:rPr>
          <w:rFonts w:ascii="Times New Roman" w:hAnsi="Times New Roman" w:cs="Times New Roman"/>
          <w:noProof/>
          <w:sz w:val="24"/>
          <w:szCs w:val="24"/>
          <w:lang w:val="en-IE"/>
        </w:rPr>
        <w:t xml:space="preserve"> and subsidies for energy efficiency </w:t>
      </w:r>
      <w:r w:rsidR="004F1DDE">
        <w:rPr>
          <w:rFonts w:ascii="Times New Roman" w:hAnsi="Times New Roman" w:cs="Times New Roman"/>
          <w:noProof/>
          <w:sz w:val="24"/>
          <w:szCs w:val="24"/>
          <w:lang w:val="en-IE"/>
        </w:rPr>
        <w:t>reached EUR 19 billion,</w:t>
      </w:r>
      <w:r>
        <w:rPr>
          <w:rFonts w:ascii="Times New Roman" w:hAnsi="Times New Roman" w:cs="Times New Roman"/>
          <w:noProof/>
          <w:sz w:val="24"/>
          <w:szCs w:val="24"/>
          <w:lang w:val="en-IE"/>
        </w:rPr>
        <w:t xml:space="preserve"> around </w:t>
      </w:r>
      <w:r w:rsidR="00123BFA">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3 billion higher</w:t>
      </w:r>
      <w:r w:rsidR="00C07677">
        <w:rPr>
          <w:rFonts w:ascii="Times New Roman" w:hAnsi="Times New Roman" w:cs="Times New Roman"/>
          <w:noProof/>
          <w:sz w:val="24"/>
          <w:szCs w:val="24"/>
          <w:lang w:val="en-IE"/>
        </w:rPr>
        <w:t xml:space="preserve"> (+29%)</w:t>
      </w:r>
      <w:r w:rsidR="00FC24DF">
        <w:rPr>
          <w:rFonts w:ascii="Times New Roman" w:hAnsi="Times New Roman" w:cs="Times New Roman"/>
          <w:noProof/>
          <w:sz w:val="24"/>
          <w:szCs w:val="24"/>
          <w:lang w:val="en-IE"/>
        </w:rPr>
        <w:t xml:space="preserve"> than in 2020</w:t>
      </w:r>
      <w:r>
        <w:rPr>
          <w:rFonts w:ascii="Times New Roman" w:hAnsi="Times New Roman" w:cs="Times New Roman"/>
          <w:noProof/>
          <w:sz w:val="24"/>
          <w:szCs w:val="24"/>
          <w:lang w:val="en-IE"/>
        </w:rPr>
        <w:t xml:space="preserve">. At the same time, subsidies </w:t>
      </w:r>
      <w:r w:rsidR="00FC24DF">
        <w:rPr>
          <w:rFonts w:ascii="Times New Roman" w:hAnsi="Times New Roman" w:cs="Times New Roman"/>
          <w:noProof/>
          <w:sz w:val="24"/>
          <w:szCs w:val="24"/>
          <w:lang w:val="en-IE"/>
        </w:rPr>
        <w:t xml:space="preserve">for </w:t>
      </w:r>
      <w:r>
        <w:rPr>
          <w:rFonts w:ascii="Times New Roman" w:hAnsi="Times New Roman" w:cs="Times New Roman"/>
          <w:noProof/>
          <w:sz w:val="24"/>
          <w:szCs w:val="24"/>
          <w:lang w:val="en-IE"/>
        </w:rPr>
        <w:t xml:space="preserve">renewables fell by almost </w:t>
      </w:r>
      <w:r w:rsidR="00811DD3">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3 billion</w:t>
      </w:r>
      <w:r w:rsidR="00C07677">
        <w:rPr>
          <w:rFonts w:ascii="Times New Roman" w:hAnsi="Times New Roman" w:cs="Times New Roman"/>
          <w:noProof/>
          <w:sz w:val="24"/>
          <w:szCs w:val="24"/>
          <w:lang w:val="en-IE"/>
        </w:rPr>
        <w:t xml:space="preserve"> (-3.5%)</w:t>
      </w:r>
      <w:r w:rsidR="00FC24DF">
        <w:rPr>
          <w:rFonts w:ascii="Times New Roman" w:hAnsi="Times New Roman" w:cs="Times New Roman"/>
          <w:noProof/>
          <w:sz w:val="24"/>
          <w:szCs w:val="24"/>
          <w:lang w:val="en-IE"/>
        </w:rPr>
        <w:t xml:space="preserve"> compared to the previous year</w:t>
      </w:r>
      <w:r w:rsidR="00EB61F6">
        <w:rPr>
          <w:rFonts w:ascii="Times New Roman" w:hAnsi="Times New Roman" w:cs="Times New Roman"/>
          <w:noProof/>
          <w:sz w:val="24"/>
          <w:szCs w:val="24"/>
          <w:lang w:val="en-IE"/>
        </w:rPr>
        <w:t xml:space="preserve"> (falling to </w:t>
      </w:r>
      <w:r w:rsidR="00811DD3">
        <w:rPr>
          <w:rFonts w:ascii="Times New Roman" w:hAnsi="Times New Roman" w:cs="Times New Roman"/>
          <w:noProof/>
          <w:sz w:val="24"/>
          <w:szCs w:val="24"/>
          <w:lang w:val="en-IE"/>
        </w:rPr>
        <w:t xml:space="preserve">EUR </w:t>
      </w:r>
      <w:r w:rsidR="00EB61F6">
        <w:rPr>
          <w:rFonts w:ascii="Times New Roman" w:hAnsi="Times New Roman" w:cs="Times New Roman"/>
          <w:noProof/>
          <w:sz w:val="24"/>
          <w:szCs w:val="24"/>
          <w:lang w:val="en-IE"/>
        </w:rPr>
        <w:t>78 billion in 2021)</w:t>
      </w:r>
      <w:r>
        <w:rPr>
          <w:rFonts w:ascii="Times New Roman" w:hAnsi="Times New Roman" w:cs="Times New Roman"/>
          <w:noProof/>
          <w:sz w:val="24"/>
          <w:szCs w:val="24"/>
          <w:lang w:val="en-IE"/>
        </w:rPr>
        <w:t>, owing to increasing wholesale electricity prices, implying lower feed-in premi</w:t>
      </w:r>
      <w:r w:rsidR="00423032">
        <w:rPr>
          <w:rFonts w:ascii="Times New Roman" w:hAnsi="Times New Roman" w:cs="Times New Roman"/>
          <w:noProof/>
          <w:sz w:val="24"/>
          <w:szCs w:val="24"/>
          <w:lang w:val="en-IE"/>
        </w:rPr>
        <w:t>a</w:t>
      </w:r>
      <w:r>
        <w:rPr>
          <w:rFonts w:ascii="Times New Roman" w:hAnsi="Times New Roman" w:cs="Times New Roman"/>
          <w:noProof/>
          <w:sz w:val="24"/>
          <w:szCs w:val="24"/>
          <w:lang w:val="en-IE"/>
        </w:rPr>
        <w:t>.</w:t>
      </w:r>
    </w:p>
    <w:p w14:paraId="4C771E4E" w14:textId="6662A98B" w:rsidR="007804D8" w:rsidRDefault="00AE7881"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F</w:t>
      </w:r>
      <w:r w:rsidR="000234EA">
        <w:rPr>
          <w:rFonts w:ascii="Times New Roman" w:hAnsi="Times New Roman" w:cs="Times New Roman"/>
          <w:noProof/>
          <w:sz w:val="24"/>
          <w:szCs w:val="24"/>
          <w:lang w:val="en-IE"/>
        </w:rPr>
        <w:t>ossil</w:t>
      </w:r>
      <w:r w:rsidR="00886D31">
        <w:rPr>
          <w:rFonts w:ascii="Times New Roman" w:hAnsi="Times New Roman" w:cs="Times New Roman"/>
          <w:noProof/>
          <w:sz w:val="24"/>
          <w:szCs w:val="24"/>
          <w:lang w:val="en-IE"/>
        </w:rPr>
        <w:t>-</w:t>
      </w:r>
      <w:r w:rsidR="000234EA">
        <w:rPr>
          <w:rFonts w:ascii="Times New Roman" w:hAnsi="Times New Roman" w:cs="Times New Roman"/>
          <w:noProof/>
          <w:sz w:val="24"/>
          <w:szCs w:val="24"/>
          <w:lang w:val="en-IE"/>
        </w:rPr>
        <w:t>fuel subsidies</w:t>
      </w:r>
      <w:r w:rsidR="003E0B9D">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3E0B9D">
        <w:rPr>
          <w:rFonts w:ascii="Times New Roman" w:hAnsi="Times New Roman" w:cs="Times New Roman"/>
          <w:noProof/>
          <w:sz w:val="24"/>
          <w:szCs w:val="24"/>
          <w:lang w:val="en-IE"/>
        </w:rPr>
        <w:t>reaching EUR 50 billion</w:t>
      </w:r>
      <w:r w:rsidR="003E0B9D" w:rsidRPr="00F30504">
        <w:rPr>
          <w:rFonts w:ascii="Times New Roman" w:hAnsi="Times New Roman" w:cs="Times New Roman"/>
          <w:noProof/>
          <w:sz w:val="24"/>
          <w:szCs w:val="24"/>
          <w:lang w:val="en-IE"/>
        </w:rPr>
        <w:t xml:space="preserve"> </w:t>
      </w:r>
      <w:r w:rsidR="003E0B9D">
        <w:rPr>
          <w:rFonts w:ascii="Times New Roman" w:hAnsi="Times New Roman" w:cs="Times New Roman"/>
          <w:noProof/>
          <w:sz w:val="24"/>
          <w:szCs w:val="24"/>
          <w:lang w:val="en-IE"/>
        </w:rPr>
        <w:t xml:space="preserve">in 2020, </w:t>
      </w:r>
      <w:r w:rsidR="002F6368">
        <w:rPr>
          <w:rFonts w:ascii="Times New Roman" w:hAnsi="Times New Roman" w:cs="Times New Roman"/>
          <w:noProof/>
          <w:sz w:val="24"/>
          <w:szCs w:val="24"/>
          <w:lang w:val="en-IE"/>
        </w:rPr>
        <w:t xml:space="preserve">fell by 1.5% (or </w:t>
      </w:r>
      <w:r w:rsidR="00FC24DF">
        <w:rPr>
          <w:rFonts w:ascii="Times New Roman" w:hAnsi="Times New Roman" w:cs="Times New Roman"/>
          <w:noProof/>
          <w:sz w:val="24"/>
          <w:szCs w:val="24"/>
          <w:lang w:val="en-IE"/>
        </w:rPr>
        <w:t xml:space="preserve">-EUR </w:t>
      </w:r>
      <w:r w:rsidR="002F6368">
        <w:rPr>
          <w:rFonts w:ascii="Times New Roman" w:hAnsi="Times New Roman" w:cs="Times New Roman"/>
          <w:noProof/>
          <w:sz w:val="24"/>
          <w:szCs w:val="24"/>
          <w:lang w:val="en-IE"/>
        </w:rPr>
        <w:t>0.7 billion) between 2015 and 2020,</w:t>
      </w:r>
      <w:r w:rsidR="003E0B9D">
        <w:rPr>
          <w:rFonts w:ascii="Times New Roman" w:hAnsi="Times New Roman" w:cs="Times New Roman"/>
          <w:noProof/>
          <w:sz w:val="24"/>
          <w:szCs w:val="24"/>
          <w:lang w:val="en-IE"/>
        </w:rPr>
        <w:t xml:space="preserve"> </w:t>
      </w:r>
      <w:r w:rsidR="002F6368">
        <w:rPr>
          <w:rFonts w:ascii="Times New Roman" w:hAnsi="Times New Roman" w:cs="Times New Roman"/>
          <w:noProof/>
          <w:sz w:val="24"/>
          <w:szCs w:val="24"/>
          <w:lang w:val="en-IE"/>
        </w:rPr>
        <w:t xml:space="preserve">as </w:t>
      </w:r>
      <w:r w:rsidR="00EB61F6">
        <w:rPr>
          <w:rFonts w:ascii="Times New Roman" w:hAnsi="Times New Roman" w:cs="Times New Roman"/>
          <w:noProof/>
          <w:sz w:val="24"/>
          <w:szCs w:val="24"/>
          <w:lang w:val="en-IE"/>
        </w:rPr>
        <w:t>the result of</w:t>
      </w:r>
      <w:r w:rsidR="00FC24DF">
        <w:rPr>
          <w:rFonts w:ascii="Times New Roman" w:hAnsi="Times New Roman" w:cs="Times New Roman"/>
          <w:noProof/>
          <w:sz w:val="24"/>
          <w:szCs w:val="24"/>
          <w:lang w:val="en-IE"/>
        </w:rPr>
        <w:t>: (i)</w:t>
      </w:r>
      <w:r w:rsidR="00EB61F6">
        <w:rPr>
          <w:rFonts w:ascii="Times New Roman" w:hAnsi="Times New Roman" w:cs="Times New Roman"/>
          <w:noProof/>
          <w:sz w:val="24"/>
          <w:szCs w:val="24"/>
          <w:lang w:val="en-IE"/>
        </w:rPr>
        <w:t xml:space="preserve"> </w:t>
      </w:r>
      <w:r w:rsidR="00811DD3">
        <w:rPr>
          <w:rFonts w:ascii="Times New Roman" w:hAnsi="Times New Roman" w:cs="Times New Roman"/>
          <w:noProof/>
          <w:sz w:val="24"/>
          <w:szCs w:val="24"/>
          <w:lang w:val="en-IE"/>
        </w:rPr>
        <w:t xml:space="preserve">a </w:t>
      </w:r>
      <w:r w:rsidR="00EB61F6">
        <w:rPr>
          <w:rFonts w:ascii="Times New Roman" w:hAnsi="Times New Roman" w:cs="Times New Roman"/>
          <w:noProof/>
          <w:sz w:val="24"/>
          <w:szCs w:val="24"/>
          <w:lang w:val="en-IE"/>
        </w:rPr>
        <w:t>decrease in non-fuel</w:t>
      </w:r>
      <w:r w:rsidR="00811DD3">
        <w:rPr>
          <w:rFonts w:ascii="Times New Roman" w:hAnsi="Times New Roman" w:cs="Times New Roman"/>
          <w:noProof/>
          <w:sz w:val="24"/>
          <w:szCs w:val="24"/>
          <w:lang w:val="en-IE"/>
        </w:rPr>
        <w:t>-</w:t>
      </w:r>
      <w:r w:rsidR="00EB61F6">
        <w:rPr>
          <w:rFonts w:ascii="Times New Roman" w:hAnsi="Times New Roman" w:cs="Times New Roman"/>
          <w:noProof/>
          <w:sz w:val="24"/>
          <w:szCs w:val="24"/>
          <w:lang w:val="en-IE"/>
        </w:rPr>
        <w:t>specific subsidies (</w:t>
      </w:r>
      <w:r w:rsidR="00FC24DF">
        <w:rPr>
          <w:rFonts w:ascii="Times New Roman" w:hAnsi="Times New Roman" w:cs="Times New Roman"/>
          <w:noProof/>
          <w:sz w:val="24"/>
          <w:szCs w:val="24"/>
          <w:lang w:val="en-IE"/>
        </w:rPr>
        <w:t xml:space="preserve">-EUR </w:t>
      </w:r>
      <w:r w:rsidR="00EB61F6">
        <w:rPr>
          <w:rFonts w:ascii="Times New Roman" w:hAnsi="Times New Roman" w:cs="Times New Roman"/>
          <w:noProof/>
          <w:sz w:val="24"/>
          <w:szCs w:val="24"/>
          <w:lang w:val="en-IE"/>
        </w:rPr>
        <w:t>1.4 billion)</w:t>
      </w:r>
      <w:r w:rsidR="00FC24DF">
        <w:rPr>
          <w:rFonts w:ascii="Times New Roman" w:hAnsi="Times New Roman" w:cs="Times New Roman"/>
          <w:noProof/>
          <w:sz w:val="24"/>
          <w:szCs w:val="24"/>
          <w:lang w:val="en-IE"/>
        </w:rPr>
        <w:t>; (ii)</w:t>
      </w:r>
      <w:r w:rsidR="003658F8">
        <w:rPr>
          <w:rFonts w:ascii="Times New Roman" w:hAnsi="Times New Roman" w:cs="Times New Roman"/>
          <w:noProof/>
          <w:sz w:val="24"/>
          <w:szCs w:val="24"/>
          <w:lang w:val="en-IE"/>
        </w:rPr>
        <w:t xml:space="preserve"> </w:t>
      </w:r>
      <w:r w:rsidR="00811DD3">
        <w:rPr>
          <w:rFonts w:ascii="Times New Roman" w:hAnsi="Times New Roman" w:cs="Times New Roman"/>
          <w:noProof/>
          <w:sz w:val="24"/>
          <w:szCs w:val="24"/>
          <w:lang w:val="en-IE"/>
        </w:rPr>
        <w:t xml:space="preserve">a </w:t>
      </w:r>
      <w:r w:rsidR="003658F8">
        <w:rPr>
          <w:rFonts w:ascii="Times New Roman" w:hAnsi="Times New Roman" w:cs="Times New Roman"/>
          <w:noProof/>
          <w:sz w:val="24"/>
          <w:szCs w:val="24"/>
          <w:lang w:val="en-IE"/>
        </w:rPr>
        <w:t>fa</w:t>
      </w:r>
      <w:r w:rsidR="00EB61F6">
        <w:rPr>
          <w:rFonts w:ascii="Times New Roman" w:hAnsi="Times New Roman" w:cs="Times New Roman"/>
          <w:noProof/>
          <w:sz w:val="24"/>
          <w:szCs w:val="24"/>
          <w:lang w:val="en-IE"/>
        </w:rPr>
        <w:t>ll in coal subsidies (</w:t>
      </w:r>
      <w:r w:rsidR="00FC24DF">
        <w:rPr>
          <w:rFonts w:ascii="Times New Roman" w:hAnsi="Times New Roman" w:cs="Times New Roman"/>
          <w:noProof/>
          <w:sz w:val="24"/>
          <w:szCs w:val="24"/>
          <w:lang w:val="en-IE"/>
        </w:rPr>
        <w:t xml:space="preserve">-EUR </w:t>
      </w:r>
      <w:r w:rsidR="00EB61F6">
        <w:rPr>
          <w:rFonts w:ascii="Times New Roman" w:hAnsi="Times New Roman" w:cs="Times New Roman"/>
          <w:noProof/>
          <w:sz w:val="24"/>
          <w:szCs w:val="24"/>
          <w:lang w:val="en-IE"/>
        </w:rPr>
        <w:t>0.9 billion)</w:t>
      </w:r>
      <w:r w:rsidR="00FC24DF">
        <w:rPr>
          <w:rFonts w:ascii="Times New Roman" w:hAnsi="Times New Roman" w:cs="Times New Roman"/>
          <w:noProof/>
          <w:sz w:val="24"/>
          <w:szCs w:val="24"/>
          <w:lang w:val="en-IE"/>
        </w:rPr>
        <w:t>; (iii)</w:t>
      </w:r>
      <w:r w:rsidR="00EB61F6">
        <w:rPr>
          <w:rFonts w:ascii="Times New Roman" w:hAnsi="Times New Roman" w:cs="Times New Roman"/>
          <w:noProof/>
          <w:sz w:val="24"/>
          <w:szCs w:val="24"/>
          <w:lang w:val="en-IE"/>
        </w:rPr>
        <w:t xml:space="preserve"> </w:t>
      </w:r>
      <w:r w:rsidR="00811DD3">
        <w:rPr>
          <w:rFonts w:ascii="Times New Roman" w:hAnsi="Times New Roman" w:cs="Times New Roman"/>
          <w:noProof/>
          <w:sz w:val="24"/>
          <w:szCs w:val="24"/>
          <w:lang w:val="en-IE"/>
        </w:rPr>
        <w:t xml:space="preserve">a </w:t>
      </w:r>
      <w:r w:rsidR="00EB61F6">
        <w:rPr>
          <w:rFonts w:ascii="Times New Roman" w:hAnsi="Times New Roman" w:cs="Times New Roman"/>
          <w:noProof/>
          <w:sz w:val="24"/>
          <w:szCs w:val="24"/>
          <w:lang w:val="en-IE"/>
        </w:rPr>
        <w:t>rise in gas subsidies (</w:t>
      </w:r>
      <w:r w:rsidR="00FC24DF">
        <w:rPr>
          <w:rFonts w:ascii="Times New Roman" w:hAnsi="Times New Roman" w:cs="Times New Roman"/>
          <w:noProof/>
          <w:sz w:val="24"/>
          <w:szCs w:val="24"/>
          <w:lang w:val="en-IE"/>
        </w:rPr>
        <w:t xml:space="preserve">+EUR </w:t>
      </w:r>
      <w:r w:rsidR="00EB61F6">
        <w:rPr>
          <w:rFonts w:ascii="Times New Roman" w:hAnsi="Times New Roman" w:cs="Times New Roman"/>
          <w:noProof/>
          <w:sz w:val="24"/>
          <w:szCs w:val="24"/>
          <w:lang w:val="en-IE"/>
        </w:rPr>
        <w:t>0.5 billion)</w:t>
      </w:r>
      <w:r w:rsidR="00FC24DF">
        <w:rPr>
          <w:rFonts w:ascii="Times New Roman" w:hAnsi="Times New Roman" w:cs="Times New Roman"/>
          <w:noProof/>
          <w:sz w:val="24"/>
          <w:szCs w:val="24"/>
          <w:lang w:val="en-IE"/>
        </w:rPr>
        <w:t>;</w:t>
      </w:r>
      <w:r w:rsidR="00EB61F6">
        <w:rPr>
          <w:rFonts w:ascii="Times New Roman" w:hAnsi="Times New Roman" w:cs="Times New Roman"/>
          <w:noProof/>
          <w:sz w:val="24"/>
          <w:szCs w:val="24"/>
          <w:lang w:val="en-IE"/>
        </w:rPr>
        <w:t xml:space="preserve"> and</w:t>
      </w:r>
      <w:r w:rsidR="00FC24DF">
        <w:rPr>
          <w:rFonts w:ascii="Times New Roman" w:hAnsi="Times New Roman" w:cs="Times New Roman"/>
          <w:noProof/>
          <w:sz w:val="24"/>
          <w:szCs w:val="24"/>
          <w:lang w:val="en-IE"/>
        </w:rPr>
        <w:t xml:space="preserve"> (iv)</w:t>
      </w:r>
      <w:r w:rsidR="00EB61F6">
        <w:rPr>
          <w:rFonts w:ascii="Times New Roman" w:hAnsi="Times New Roman" w:cs="Times New Roman"/>
          <w:noProof/>
          <w:sz w:val="24"/>
          <w:szCs w:val="24"/>
          <w:lang w:val="en-IE"/>
        </w:rPr>
        <w:t xml:space="preserve"> </w:t>
      </w:r>
      <w:r w:rsidR="00811DD3">
        <w:rPr>
          <w:rFonts w:ascii="Times New Roman" w:hAnsi="Times New Roman" w:cs="Times New Roman"/>
          <w:noProof/>
          <w:sz w:val="24"/>
          <w:szCs w:val="24"/>
          <w:lang w:val="en-IE"/>
        </w:rPr>
        <w:t>a rise in subsidies for</w:t>
      </w:r>
      <w:r w:rsidR="002F6368">
        <w:rPr>
          <w:rFonts w:ascii="Times New Roman" w:hAnsi="Times New Roman" w:cs="Times New Roman"/>
          <w:noProof/>
          <w:sz w:val="24"/>
          <w:szCs w:val="24"/>
          <w:lang w:val="en-IE"/>
        </w:rPr>
        <w:t xml:space="preserve"> oil and petroleum products</w:t>
      </w:r>
      <w:r w:rsidR="00EB61F6">
        <w:rPr>
          <w:rFonts w:ascii="Times New Roman" w:hAnsi="Times New Roman" w:cs="Times New Roman"/>
          <w:noProof/>
          <w:sz w:val="24"/>
          <w:szCs w:val="24"/>
          <w:lang w:val="en-IE"/>
        </w:rPr>
        <w:t xml:space="preserve"> </w:t>
      </w:r>
      <w:r w:rsidR="002F6368">
        <w:rPr>
          <w:rFonts w:ascii="Times New Roman" w:hAnsi="Times New Roman" w:cs="Times New Roman"/>
          <w:noProof/>
          <w:sz w:val="24"/>
          <w:szCs w:val="24"/>
          <w:lang w:val="en-IE"/>
        </w:rPr>
        <w:t>(</w:t>
      </w:r>
      <w:r w:rsidR="00FC24DF">
        <w:rPr>
          <w:rFonts w:ascii="Times New Roman" w:hAnsi="Times New Roman" w:cs="Times New Roman"/>
          <w:noProof/>
          <w:sz w:val="24"/>
          <w:szCs w:val="24"/>
          <w:lang w:val="en-IE"/>
        </w:rPr>
        <w:t xml:space="preserve">+EUR </w:t>
      </w:r>
      <w:r w:rsidR="002F6368">
        <w:rPr>
          <w:rFonts w:ascii="Times New Roman" w:hAnsi="Times New Roman" w:cs="Times New Roman"/>
          <w:noProof/>
          <w:sz w:val="24"/>
          <w:szCs w:val="24"/>
          <w:lang w:val="en-IE"/>
        </w:rPr>
        <w:t>1</w:t>
      </w:r>
      <w:r w:rsidR="00EB61F6">
        <w:rPr>
          <w:rFonts w:ascii="Times New Roman" w:hAnsi="Times New Roman" w:cs="Times New Roman"/>
          <w:noProof/>
          <w:sz w:val="24"/>
          <w:szCs w:val="24"/>
          <w:lang w:val="en-IE"/>
        </w:rPr>
        <w:t>.2</w:t>
      </w:r>
      <w:r w:rsidR="002F6368">
        <w:rPr>
          <w:rFonts w:ascii="Times New Roman" w:hAnsi="Times New Roman" w:cs="Times New Roman"/>
          <w:noProof/>
          <w:sz w:val="24"/>
          <w:szCs w:val="24"/>
          <w:lang w:val="en-IE"/>
        </w:rPr>
        <w:t xml:space="preserve"> billion). Fossil</w:t>
      </w:r>
      <w:r w:rsidR="00811DD3">
        <w:rPr>
          <w:rFonts w:ascii="Times New Roman" w:hAnsi="Times New Roman" w:cs="Times New Roman"/>
          <w:noProof/>
          <w:sz w:val="24"/>
          <w:szCs w:val="24"/>
          <w:lang w:val="en-IE"/>
        </w:rPr>
        <w:t>-</w:t>
      </w:r>
      <w:r w:rsidR="002F6368">
        <w:rPr>
          <w:rFonts w:ascii="Times New Roman" w:hAnsi="Times New Roman" w:cs="Times New Roman"/>
          <w:noProof/>
          <w:sz w:val="24"/>
          <w:szCs w:val="24"/>
          <w:lang w:val="en-IE"/>
        </w:rPr>
        <w:t xml:space="preserve">fuel subsidies decreased </w:t>
      </w:r>
      <w:r w:rsidR="00DA2594">
        <w:rPr>
          <w:rFonts w:ascii="Times New Roman" w:hAnsi="Times New Roman" w:cs="Times New Roman"/>
          <w:noProof/>
          <w:sz w:val="24"/>
          <w:szCs w:val="24"/>
          <w:lang w:val="en-IE"/>
        </w:rPr>
        <w:t>in</w:t>
      </w:r>
      <w:r w:rsidR="002F6368">
        <w:rPr>
          <w:rFonts w:ascii="Times New Roman" w:hAnsi="Times New Roman" w:cs="Times New Roman"/>
          <w:noProof/>
          <w:sz w:val="24"/>
          <w:szCs w:val="24"/>
          <w:lang w:val="en-IE"/>
        </w:rPr>
        <w:t xml:space="preserve"> most Member States</w:t>
      </w:r>
      <w:r w:rsidR="00811DD3">
        <w:rPr>
          <w:rFonts w:ascii="Times New Roman" w:hAnsi="Times New Roman" w:cs="Times New Roman"/>
          <w:noProof/>
          <w:sz w:val="24"/>
          <w:szCs w:val="24"/>
          <w:lang w:val="en-IE"/>
        </w:rPr>
        <w:t xml:space="preserve"> in this period. H</w:t>
      </w:r>
      <w:r w:rsidR="002F6368">
        <w:rPr>
          <w:rFonts w:ascii="Times New Roman" w:hAnsi="Times New Roman" w:cs="Times New Roman"/>
          <w:noProof/>
          <w:sz w:val="24"/>
          <w:szCs w:val="24"/>
          <w:lang w:val="en-IE"/>
        </w:rPr>
        <w:t xml:space="preserve">owever, in </w:t>
      </w:r>
      <w:r w:rsidR="00811DD3">
        <w:rPr>
          <w:rFonts w:ascii="Times New Roman" w:hAnsi="Times New Roman" w:cs="Times New Roman"/>
          <w:noProof/>
          <w:sz w:val="24"/>
          <w:szCs w:val="24"/>
          <w:lang w:val="en-IE"/>
        </w:rPr>
        <w:t xml:space="preserve">a </w:t>
      </w:r>
      <w:r w:rsidR="004224FC">
        <w:rPr>
          <w:rFonts w:ascii="Times New Roman" w:hAnsi="Times New Roman" w:cs="Times New Roman"/>
          <w:noProof/>
          <w:sz w:val="24"/>
          <w:szCs w:val="24"/>
          <w:lang w:val="en-IE"/>
        </w:rPr>
        <w:t xml:space="preserve">few </w:t>
      </w:r>
      <w:r w:rsidR="002F6368">
        <w:rPr>
          <w:rFonts w:ascii="Times New Roman" w:hAnsi="Times New Roman" w:cs="Times New Roman"/>
          <w:noProof/>
          <w:sz w:val="24"/>
          <w:szCs w:val="24"/>
          <w:lang w:val="en-IE"/>
        </w:rPr>
        <w:t xml:space="preserve">countries, like Belgium, </w:t>
      </w:r>
      <w:r w:rsidR="004224FC">
        <w:rPr>
          <w:rFonts w:ascii="Times New Roman" w:hAnsi="Times New Roman" w:cs="Times New Roman"/>
          <w:noProof/>
          <w:sz w:val="24"/>
          <w:szCs w:val="24"/>
          <w:lang w:val="en-IE"/>
        </w:rPr>
        <w:t xml:space="preserve">Bulgaria, </w:t>
      </w:r>
      <w:r w:rsidR="002F6368">
        <w:rPr>
          <w:rFonts w:ascii="Times New Roman" w:hAnsi="Times New Roman" w:cs="Times New Roman"/>
          <w:noProof/>
          <w:sz w:val="24"/>
          <w:szCs w:val="24"/>
          <w:lang w:val="en-IE"/>
        </w:rPr>
        <w:t>Finland, France, the Netherlands</w:t>
      </w:r>
      <w:r w:rsidR="004224FC">
        <w:rPr>
          <w:rFonts w:ascii="Times New Roman" w:hAnsi="Times New Roman" w:cs="Times New Roman"/>
          <w:noProof/>
          <w:sz w:val="24"/>
          <w:szCs w:val="24"/>
          <w:lang w:val="en-IE"/>
        </w:rPr>
        <w:t xml:space="preserve">, </w:t>
      </w:r>
      <w:r w:rsidR="002F6368">
        <w:rPr>
          <w:rFonts w:ascii="Times New Roman" w:hAnsi="Times New Roman" w:cs="Times New Roman"/>
          <w:noProof/>
          <w:sz w:val="24"/>
          <w:szCs w:val="24"/>
          <w:lang w:val="en-IE"/>
        </w:rPr>
        <w:t xml:space="preserve">Poland </w:t>
      </w:r>
      <w:r w:rsidR="004224FC">
        <w:rPr>
          <w:rFonts w:ascii="Times New Roman" w:hAnsi="Times New Roman" w:cs="Times New Roman"/>
          <w:noProof/>
          <w:sz w:val="24"/>
          <w:szCs w:val="24"/>
          <w:lang w:val="en-IE"/>
        </w:rPr>
        <w:t>and Slovakia</w:t>
      </w:r>
      <w:r w:rsidR="00811DD3">
        <w:rPr>
          <w:rFonts w:ascii="Times New Roman" w:hAnsi="Times New Roman" w:cs="Times New Roman"/>
          <w:noProof/>
          <w:sz w:val="24"/>
          <w:szCs w:val="24"/>
          <w:lang w:val="en-IE"/>
        </w:rPr>
        <w:t>, fossil-fuel subsidies</w:t>
      </w:r>
      <w:r w:rsidR="002F6368">
        <w:rPr>
          <w:rFonts w:ascii="Times New Roman" w:hAnsi="Times New Roman" w:cs="Times New Roman"/>
          <w:noProof/>
          <w:sz w:val="24"/>
          <w:szCs w:val="24"/>
          <w:lang w:val="en-IE"/>
        </w:rPr>
        <w:t xml:space="preserve"> rose significantly between 2015 and 2020.</w:t>
      </w:r>
      <w:r w:rsidR="00EB61F6">
        <w:rPr>
          <w:rFonts w:ascii="Times New Roman" w:hAnsi="Times New Roman" w:cs="Times New Roman"/>
          <w:noProof/>
          <w:sz w:val="24"/>
          <w:szCs w:val="24"/>
          <w:lang w:val="en-IE"/>
        </w:rPr>
        <w:t xml:space="preserve"> </w:t>
      </w:r>
      <w:r w:rsidR="00A97627">
        <w:rPr>
          <w:rFonts w:ascii="Times New Roman" w:hAnsi="Times New Roman" w:cs="Times New Roman"/>
          <w:noProof/>
          <w:color w:val="000000" w:themeColor="text1"/>
          <w:sz w:val="24"/>
          <w:szCs w:val="24"/>
          <w:lang w:val="en-US"/>
        </w:rPr>
        <w:t>At EU level, the share of fossil-fuel subsidies within the GDP remained practically unchanged between 2015 and 2020.</w:t>
      </w:r>
    </w:p>
    <w:p w14:paraId="3A93AF63" w14:textId="4AB2D792" w:rsidR="00D23AE9" w:rsidRPr="00D23AE9" w:rsidRDefault="00D23AE9" w:rsidP="00FD261A">
      <w:pPr>
        <w:jc w:val="both"/>
        <w:rPr>
          <w:noProof/>
          <w:lang w:val="en-US"/>
        </w:rPr>
      </w:pPr>
      <w:r w:rsidRPr="00D23AE9">
        <w:rPr>
          <w:rFonts w:ascii="Times New Roman" w:hAnsi="Times New Roman" w:cs="Times New Roman"/>
          <w:noProof/>
          <w:sz w:val="24"/>
          <w:szCs w:val="24"/>
          <w:lang w:val="en-IE"/>
        </w:rPr>
        <w:t xml:space="preserve">In the </w:t>
      </w:r>
      <w:r w:rsidRPr="00FD261A">
        <w:rPr>
          <w:rFonts w:ascii="Times New Roman" w:hAnsi="Times New Roman" w:cs="Times New Roman"/>
          <w:noProof/>
          <w:sz w:val="24"/>
          <w:szCs w:val="24"/>
          <w:lang w:val="en-IE"/>
        </w:rPr>
        <w:t xml:space="preserve">transport sector, </w:t>
      </w:r>
      <w:r w:rsidRPr="00D23AE9">
        <w:rPr>
          <w:rFonts w:ascii="Times New Roman" w:hAnsi="Times New Roman" w:cs="Times New Roman"/>
          <w:noProof/>
          <w:sz w:val="24"/>
          <w:szCs w:val="24"/>
          <w:lang w:val="en-IE"/>
        </w:rPr>
        <w:t>fossil-fuel subsidies (primarily on oil products) increased dramatically (by 29%, or EUR 3.1 billion)</w:t>
      </w:r>
      <w:r>
        <w:rPr>
          <w:rFonts w:ascii="Times New Roman" w:hAnsi="Times New Roman" w:cs="Times New Roman"/>
          <w:noProof/>
          <w:sz w:val="24"/>
          <w:szCs w:val="24"/>
          <w:lang w:val="en-IE"/>
        </w:rPr>
        <w:t xml:space="preserve"> between 2015 and 2019 and fell back by EUR 3 billion in 2020. In 2021, even amid the increase in transport activities following the end of COVID-19 restrictions, fossil-fuel subsidies remained stable overall compared to 2020 as fossil-fuel subsidies fell in other sectors of the economy, for example in the energy sector.</w:t>
      </w:r>
    </w:p>
    <w:p w14:paraId="3327EAEB" w14:textId="77777777" w:rsidR="00D23AE9" w:rsidRDefault="00D23AE9" w:rsidP="00D23AE9">
      <w:pPr>
        <w:pStyle w:val="ListParagraph"/>
        <w:spacing w:before="120" w:after="120"/>
        <w:ind w:left="0"/>
        <w:contextualSpacing w:val="0"/>
        <w:jc w:val="both"/>
        <w:rPr>
          <w:rFonts w:ascii="Times New Roman" w:hAnsi="Times New Roman" w:cs="Times New Roman"/>
          <w:noProof/>
          <w:sz w:val="24"/>
          <w:szCs w:val="24"/>
          <w:lang w:val="en-IE"/>
        </w:rPr>
      </w:pPr>
      <w:r w:rsidRPr="00D23AE9">
        <w:rPr>
          <w:rFonts w:ascii="Times New Roman" w:hAnsi="Times New Roman" w:cs="Times New Roman"/>
          <w:noProof/>
          <w:sz w:val="24"/>
          <w:szCs w:val="24"/>
          <w:lang w:val="en-IE"/>
        </w:rPr>
        <w:t xml:space="preserve">Fossil-fuel subsidies in </w:t>
      </w:r>
      <w:r w:rsidRPr="00FD261A">
        <w:rPr>
          <w:rFonts w:ascii="Times New Roman" w:hAnsi="Times New Roman" w:cs="Times New Roman"/>
          <w:noProof/>
          <w:sz w:val="24"/>
          <w:szCs w:val="24"/>
          <w:lang w:val="en-IE"/>
        </w:rPr>
        <w:t>agriculture also increased</w:t>
      </w:r>
      <w:r w:rsidRPr="00D23AE9">
        <w:rPr>
          <w:rFonts w:ascii="Times New Roman" w:hAnsi="Times New Roman" w:cs="Times New Roman"/>
          <w:noProof/>
          <w:sz w:val="24"/>
          <w:szCs w:val="24"/>
          <w:lang w:val="en-IE"/>
        </w:rPr>
        <w:t xml:space="preserve"> (by 13%, or +EUR 0.7 billion) between 2015 and 2020, overwhelmingly in the form of </w:t>
      </w:r>
      <w:r>
        <w:rPr>
          <w:rFonts w:ascii="Times New Roman" w:hAnsi="Times New Roman" w:cs="Times New Roman"/>
          <w:noProof/>
          <w:sz w:val="24"/>
          <w:szCs w:val="24"/>
          <w:lang w:val="en-IE"/>
        </w:rPr>
        <w:t xml:space="preserve">fuel consumption support </w:t>
      </w:r>
      <w:r w:rsidRPr="00D23AE9">
        <w:rPr>
          <w:rFonts w:ascii="Times New Roman" w:hAnsi="Times New Roman" w:cs="Times New Roman"/>
          <w:noProof/>
          <w:sz w:val="24"/>
          <w:szCs w:val="24"/>
          <w:lang w:val="en-IE"/>
        </w:rPr>
        <w:t>(e.g. reduction or exemption of fuel taxes)</w:t>
      </w:r>
      <w:r>
        <w:rPr>
          <w:rFonts w:ascii="Times New Roman" w:hAnsi="Times New Roman" w:cs="Times New Roman"/>
          <w:noProof/>
          <w:sz w:val="24"/>
          <w:szCs w:val="24"/>
          <w:lang w:val="en-IE"/>
        </w:rPr>
        <w:t>.</w:t>
      </w:r>
    </w:p>
    <w:p w14:paraId="4EBC41FB" w14:textId="7AF8BAEC" w:rsidR="00D23AE9" w:rsidRPr="00D23AE9" w:rsidRDefault="00D23AE9" w:rsidP="00D23AE9">
      <w:pPr>
        <w:pStyle w:val="ListParagraph"/>
        <w:spacing w:before="120" w:after="120"/>
        <w:ind w:left="0"/>
        <w:contextualSpacing w:val="0"/>
        <w:jc w:val="both"/>
        <w:rPr>
          <w:rFonts w:ascii="Times New Roman" w:hAnsi="Times New Roman" w:cs="Times New Roman"/>
          <w:noProof/>
          <w:sz w:val="24"/>
          <w:szCs w:val="24"/>
          <w:lang w:val="en-IE"/>
        </w:rPr>
      </w:pPr>
      <w:r w:rsidRPr="00D23AE9">
        <w:rPr>
          <w:rFonts w:ascii="Times New Roman" w:hAnsi="Times New Roman" w:cs="Times New Roman"/>
          <w:noProof/>
          <w:sz w:val="24"/>
          <w:szCs w:val="24"/>
          <w:lang w:val="en-IE"/>
        </w:rPr>
        <w:t>Fossil-fuel subsidies</w:t>
      </w:r>
      <w:r w:rsidRPr="00FD261A">
        <w:rPr>
          <w:rFonts w:ascii="Times New Roman" w:hAnsi="Times New Roman" w:cs="Times New Roman"/>
          <w:noProof/>
          <w:sz w:val="24"/>
          <w:szCs w:val="24"/>
          <w:lang w:val="en-IE"/>
        </w:rPr>
        <w:t xml:space="preserve"> for households </w:t>
      </w:r>
      <w:r w:rsidRPr="00D23AE9">
        <w:rPr>
          <w:rFonts w:ascii="Times New Roman" w:hAnsi="Times New Roman" w:cs="Times New Roman"/>
          <w:noProof/>
          <w:sz w:val="24"/>
          <w:szCs w:val="24"/>
          <w:lang w:val="en-IE"/>
        </w:rPr>
        <w:t>increased by 15% (EUR 0.4 billion) in the same period, principally in the form of subsidies for heating-oil and natural-gas consumption. In 2021, fossil-fuel subsidies for households continued to increase from their 2020 levels.</w:t>
      </w:r>
    </w:p>
    <w:p w14:paraId="273C0BEF" w14:textId="7AAC7563" w:rsidR="00D23AE9" w:rsidRPr="00D23AE9" w:rsidRDefault="00D23AE9" w:rsidP="00FD261A">
      <w:pPr>
        <w:jc w:val="both"/>
        <w:rPr>
          <w:noProof/>
          <w:lang w:val="en-IE"/>
        </w:rPr>
      </w:pPr>
      <w:r w:rsidRPr="00D23AE9">
        <w:rPr>
          <w:rFonts w:ascii="Times New Roman" w:hAnsi="Times New Roman" w:cs="Times New Roman"/>
          <w:noProof/>
          <w:sz w:val="24"/>
          <w:szCs w:val="24"/>
          <w:lang w:val="en-IE"/>
        </w:rPr>
        <w:t xml:space="preserve">Subsidies for </w:t>
      </w:r>
      <w:r w:rsidRPr="00FD261A">
        <w:rPr>
          <w:rFonts w:ascii="Times New Roman" w:hAnsi="Times New Roman" w:cs="Times New Roman"/>
          <w:noProof/>
          <w:sz w:val="24"/>
          <w:szCs w:val="24"/>
          <w:lang w:val="en-IE"/>
        </w:rPr>
        <w:t>natural gas</w:t>
      </w:r>
      <w:r w:rsidRPr="00D23AE9">
        <w:rPr>
          <w:rFonts w:ascii="Times New Roman" w:hAnsi="Times New Roman" w:cs="Times New Roman"/>
          <w:noProof/>
          <w:sz w:val="24"/>
          <w:szCs w:val="24"/>
          <w:lang w:val="en-IE"/>
        </w:rPr>
        <w:t xml:space="preserve"> grew by 6% (EUR 0.5 billion) between 2015 and 2020, representing around 19% of fossil-fuel subsidies</w:t>
      </w:r>
      <w:r w:rsidR="00FD261A">
        <w:rPr>
          <w:rFonts w:ascii="Times New Roman" w:hAnsi="Times New Roman" w:cs="Times New Roman"/>
          <w:noProof/>
          <w:sz w:val="24"/>
          <w:szCs w:val="24"/>
          <w:lang w:val="en-IE"/>
        </w:rPr>
        <w:t>,</w:t>
      </w:r>
      <w:r w:rsidRPr="00D23AE9">
        <w:rPr>
          <w:rFonts w:ascii="Times New Roman" w:hAnsi="Times New Roman" w:cs="Times New Roman"/>
          <w:noProof/>
          <w:sz w:val="24"/>
          <w:szCs w:val="24"/>
          <w:lang w:val="en-IE"/>
        </w:rPr>
        <w:t xml:space="preserve"> and in 2021 they rose further by an estimated EUR 0.7 billion (+10%) compared to 2020.</w:t>
      </w:r>
      <w:r w:rsidRPr="00FD261A">
        <w:rPr>
          <w:noProof/>
          <w:lang w:val="en-US"/>
        </w:rPr>
        <w:t xml:space="preserve"> </w:t>
      </w:r>
      <w:r w:rsidRPr="00D23AE9">
        <w:rPr>
          <w:rFonts w:ascii="Times New Roman" w:hAnsi="Times New Roman" w:cs="Times New Roman"/>
          <w:noProof/>
          <w:sz w:val="24"/>
          <w:szCs w:val="24"/>
          <w:lang w:val="en-IE"/>
        </w:rPr>
        <w:t>Subsidies on coal and lignite</w:t>
      </w:r>
      <w:r>
        <w:rPr>
          <w:rFonts w:ascii="Times New Roman" w:hAnsi="Times New Roman" w:cs="Times New Roman"/>
          <w:noProof/>
          <w:sz w:val="24"/>
          <w:szCs w:val="24"/>
          <w:lang w:val="en-IE"/>
        </w:rPr>
        <w:t>, representing 18% of the total fossil fuel subsidies,</w:t>
      </w:r>
      <w:r w:rsidRPr="00D23AE9">
        <w:rPr>
          <w:rFonts w:ascii="Times New Roman" w:hAnsi="Times New Roman" w:cs="Times New Roman"/>
          <w:noProof/>
          <w:sz w:val="24"/>
          <w:szCs w:val="24"/>
          <w:lang w:val="en-IE"/>
        </w:rPr>
        <w:t xml:space="preserve"> fell by 9% (-EUR 0.9 billion) in the EU between 2015 and 2020, </w:t>
      </w:r>
      <w:r>
        <w:rPr>
          <w:rFonts w:ascii="Times New Roman" w:hAnsi="Times New Roman" w:cs="Times New Roman"/>
          <w:noProof/>
          <w:sz w:val="24"/>
          <w:szCs w:val="24"/>
          <w:lang w:val="en-IE"/>
        </w:rPr>
        <w:t>but rebounded</w:t>
      </w:r>
      <w:r w:rsidRPr="00D23AE9">
        <w:rPr>
          <w:rFonts w:ascii="Times New Roman" w:hAnsi="Times New Roman" w:cs="Times New Roman"/>
          <w:noProof/>
          <w:sz w:val="24"/>
          <w:szCs w:val="24"/>
          <w:lang w:val="en-IE"/>
        </w:rPr>
        <w:t xml:space="preserve"> by an e</w:t>
      </w:r>
      <w:r>
        <w:rPr>
          <w:rFonts w:ascii="Times New Roman" w:hAnsi="Times New Roman" w:cs="Times New Roman"/>
          <w:noProof/>
          <w:sz w:val="24"/>
          <w:szCs w:val="24"/>
          <w:lang w:val="en-IE"/>
        </w:rPr>
        <w:t xml:space="preserve">stimated </w:t>
      </w:r>
      <w:r w:rsidR="00FD261A">
        <w:rPr>
          <w:rFonts w:ascii="Times New Roman" w:hAnsi="Times New Roman" w:cs="Times New Roman"/>
          <w:noProof/>
          <w:sz w:val="24"/>
          <w:szCs w:val="24"/>
          <w:lang w:val="en-IE"/>
        </w:rPr>
        <w:t>6% (</w:t>
      </w:r>
      <w:r>
        <w:rPr>
          <w:rFonts w:ascii="Times New Roman" w:hAnsi="Times New Roman" w:cs="Times New Roman"/>
          <w:noProof/>
          <w:sz w:val="24"/>
          <w:szCs w:val="24"/>
          <w:lang w:val="en-IE"/>
        </w:rPr>
        <w:t>EUR 0.6 billion</w:t>
      </w:r>
      <w:r w:rsidR="00FD261A">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in 2021</w:t>
      </w:r>
      <w:r w:rsidRPr="00D23AE9">
        <w:rPr>
          <w:rFonts w:ascii="Times New Roman" w:hAnsi="Times New Roman" w:cs="Times New Roman"/>
          <w:noProof/>
          <w:sz w:val="24"/>
          <w:szCs w:val="24"/>
          <w:lang w:val="en-IE"/>
        </w:rPr>
        <w:t>.</w:t>
      </w:r>
    </w:p>
    <w:p w14:paraId="63AFB6DE" w14:textId="540006A9" w:rsidR="00010703" w:rsidRDefault="002F6368"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In the </w:t>
      </w:r>
      <w:r w:rsidR="000232D0">
        <w:rPr>
          <w:rFonts w:ascii="Times New Roman" w:hAnsi="Times New Roman" w:cs="Times New Roman"/>
          <w:noProof/>
          <w:sz w:val="24"/>
          <w:szCs w:val="24"/>
          <w:lang w:val="en-IE"/>
        </w:rPr>
        <w:t xml:space="preserve">coming </w:t>
      </w:r>
      <w:r>
        <w:rPr>
          <w:rFonts w:ascii="Times New Roman" w:hAnsi="Times New Roman" w:cs="Times New Roman"/>
          <w:noProof/>
          <w:sz w:val="24"/>
          <w:szCs w:val="24"/>
          <w:lang w:val="en-IE"/>
        </w:rPr>
        <w:t>years, bearing in mind the probabl</w:t>
      </w:r>
      <w:r w:rsidR="004224FC">
        <w:rPr>
          <w:rFonts w:ascii="Times New Roman" w:hAnsi="Times New Roman" w:cs="Times New Roman"/>
          <w:noProof/>
          <w:sz w:val="24"/>
          <w:szCs w:val="24"/>
          <w:lang w:val="en-IE"/>
        </w:rPr>
        <w:t>e</w:t>
      </w:r>
      <w:r>
        <w:rPr>
          <w:rFonts w:ascii="Times New Roman" w:hAnsi="Times New Roman" w:cs="Times New Roman"/>
          <w:noProof/>
          <w:sz w:val="24"/>
          <w:szCs w:val="24"/>
          <w:lang w:val="en-IE"/>
        </w:rPr>
        <w:t xml:space="preserve"> impact of </w:t>
      </w:r>
      <w:r w:rsidR="000232D0">
        <w:rPr>
          <w:rFonts w:ascii="Times New Roman" w:hAnsi="Times New Roman" w:cs="Times New Roman"/>
          <w:noProof/>
          <w:sz w:val="24"/>
          <w:szCs w:val="24"/>
          <w:lang w:val="en-IE"/>
        </w:rPr>
        <w:t xml:space="preserve">greater </w:t>
      </w:r>
      <w:r w:rsidR="00DA2594">
        <w:rPr>
          <w:rFonts w:ascii="Times New Roman" w:hAnsi="Times New Roman" w:cs="Times New Roman"/>
          <w:noProof/>
          <w:sz w:val="24"/>
          <w:szCs w:val="24"/>
          <w:lang w:val="en-IE"/>
        </w:rPr>
        <w:t>coal use</w:t>
      </w:r>
      <w:r>
        <w:rPr>
          <w:rFonts w:ascii="Times New Roman" w:hAnsi="Times New Roman" w:cs="Times New Roman"/>
          <w:noProof/>
          <w:sz w:val="24"/>
          <w:szCs w:val="24"/>
          <w:lang w:val="en-IE"/>
        </w:rPr>
        <w:t xml:space="preserve">, subsidies </w:t>
      </w:r>
      <w:r w:rsidR="00FC24DF">
        <w:rPr>
          <w:rFonts w:ascii="Times New Roman" w:hAnsi="Times New Roman" w:cs="Times New Roman"/>
          <w:noProof/>
          <w:sz w:val="24"/>
          <w:szCs w:val="24"/>
          <w:lang w:val="en-IE"/>
        </w:rPr>
        <w:t xml:space="preserve">for </w:t>
      </w:r>
      <w:r>
        <w:rPr>
          <w:rFonts w:ascii="Times New Roman" w:hAnsi="Times New Roman" w:cs="Times New Roman"/>
          <w:noProof/>
          <w:sz w:val="24"/>
          <w:szCs w:val="24"/>
          <w:lang w:val="en-IE"/>
        </w:rPr>
        <w:t xml:space="preserve">coal might </w:t>
      </w:r>
      <w:r w:rsidR="000232D0">
        <w:rPr>
          <w:rFonts w:ascii="Times New Roman" w:hAnsi="Times New Roman" w:cs="Times New Roman"/>
          <w:noProof/>
          <w:sz w:val="24"/>
          <w:szCs w:val="24"/>
          <w:lang w:val="en-IE"/>
        </w:rPr>
        <w:t>increase</w:t>
      </w:r>
      <w:r>
        <w:rPr>
          <w:rFonts w:ascii="Times New Roman" w:hAnsi="Times New Roman" w:cs="Times New Roman"/>
          <w:noProof/>
          <w:sz w:val="24"/>
          <w:szCs w:val="24"/>
          <w:lang w:val="en-IE"/>
        </w:rPr>
        <w:t xml:space="preserve"> in the energy sector</w:t>
      </w:r>
      <w:r w:rsidR="0005020C">
        <w:rPr>
          <w:rFonts w:ascii="Times New Roman" w:hAnsi="Times New Roman" w:cs="Times New Roman"/>
          <w:noProof/>
          <w:sz w:val="24"/>
          <w:szCs w:val="24"/>
          <w:lang w:val="en-IE"/>
        </w:rPr>
        <w:t xml:space="preserve">. And </w:t>
      </w:r>
      <w:r>
        <w:rPr>
          <w:rFonts w:ascii="Times New Roman" w:hAnsi="Times New Roman" w:cs="Times New Roman"/>
          <w:noProof/>
          <w:sz w:val="24"/>
          <w:szCs w:val="24"/>
          <w:lang w:val="en-IE"/>
        </w:rPr>
        <w:t xml:space="preserve">the expected fall in gas use </w:t>
      </w:r>
      <w:r w:rsidR="0005020C">
        <w:rPr>
          <w:rFonts w:ascii="Times New Roman" w:hAnsi="Times New Roman" w:cs="Times New Roman"/>
          <w:noProof/>
          <w:sz w:val="24"/>
          <w:szCs w:val="24"/>
          <w:lang w:val="en-IE"/>
        </w:rPr>
        <w:t xml:space="preserve">over the medium-to-long term </w:t>
      </w:r>
      <w:r>
        <w:rPr>
          <w:rFonts w:ascii="Times New Roman" w:hAnsi="Times New Roman" w:cs="Times New Roman"/>
          <w:noProof/>
          <w:sz w:val="24"/>
          <w:szCs w:val="24"/>
          <w:lang w:val="en-IE"/>
        </w:rPr>
        <w:t>point</w:t>
      </w:r>
      <w:r w:rsidR="0005020C">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to decreasing gas subsidies</w:t>
      </w:r>
      <w:r w:rsidR="0005020C">
        <w:rPr>
          <w:rFonts w:ascii="Times New Roman" w:hAnsi="Times New Roman" w:cs="Times New Roman"/>
          <w:noProof/>
          <w:sz w:val="24"/>
          <w:szCs w:val="24"/>
          <w:lang w:val="en-IE"/>
        </w:rPr>
        <w:t xml:space="preserve"> in the future</w:t>
      </w:r>
      <w:r w:rsidR="00DE7F7A">
        <w:rPr>
          <w:rFonts w:ascii="Times New Roman" w:hAnsi="Times New Roman" w:cs="Times New Roman"/>
          <w:noProof/>
          <w:sz w:val="24"/>
          <w:szCs w:val="24"/>
          <w:lang w:val="en-IE"/>
        </w:rPr>
        <w:t xml:space="preserve">, even </w:t>
      </w:r>
      <w:r w:rsidR="0005020C">
        <w:rPr>
          <w:rFonts w:ascii="Times New Roman" w:hAnsi="Times New Roman" w:cs="Times New Roman"/>
          <w:noProof/>
          <w:sz w:val="24"/>
          <w:szCs w:val="24"/>
          <w:lang w:val="en-IE"/>
        </w:rPr>
        <w:t xml:space="preserve">though </w:t>
      </w:r>
      <w:r w:rsidR="00DE7F7A">
        <w:rPr>
          <w:rFonts w:ascii="Times New Roman" w:hAnsi="Times New Roman" w:cs="Times New Roman"/>
          <w:noProof/>
          <w:sz w:val="24"/>
          <w:szCs w:val="24"/>
          <w:lang w:val="en-IE"/>
        </w:rPr>
        <w:t xml:space="preserve">high gas prices </w:t>
      </w:r>
      <w:r w:rsidR="0005020C">
        <w:rPr>
          <w:rFonts w:ascii="Times New Roman" w:hAnsi="Times New Roman" w:cs="Times New Roman"/>
          <w:noProof/>
          <w:sz w:val="24"/>
          <w:szCs w:val="24"/>
          <w:lang w:val="en-IE"/>
        </w:rPr>
        <w:t xml:space="preserve">at present </w:t>
      </w:r>
      <w:r w:rsidR="00DE7F7A">
        <w:rPr>
          <w:rFonts w:ascii="Times New Roman" w:hAnsi="Times New Roman" w:cs="Times New Roman"/>
          <w:noProof/>
          <w:sz w:val="24"/>
          <w:szCs w:val="24"/>
          <w:lang w:val="en-IE"/>
        </w:rPr>
        <w:t xml:space="preserve">might point to increasing gas subsidies </w:t>
      </w:r>
      <w:r w:rsidR="00805314">
        <w:rPr>
          <w:rFonts w:ascii="Times New Roman" w:hAnsi="Times New Roman" w:cs="Times New Roman"/>
          <w:noProof/>
          <w:sz w:val="24"/>
          <w:szCs w:val="24"/>
          <w:lang w:val="en-IE"/>
        </w:rPr>
        <w:t>i</w:t>
      </w:r>
      <w:r w:rsidR="00DE7F7A">
        <w:rPr>
          <w:rFonts w:ascii="Times New Roman" w:hAnsi="Times New Roman" w:cs="Times New Roman"/>
          <w:noProof/>
          <w:sz w:val="24"/>
          <w:szCs w:val="24"/>
          <w:lang w:val="en-IE"/>
        </w:rPr>
        <w:t>n the short term</w:t>
      </w:r>
      <w:r>
        <w:rPr>
          <w:rFonts w:ascii="Times New Roman" w:hAnsi="Times New Roman" w:cs="Times New Roman"/>
          <w:noProof/>
          <w:sz w:val="24"/>
          <w:szCs w:val="24"/>
          <w:lang w:val="en-IE"/>
        </w:rPr>
        <w:t xml:space="preserve">. Subsidies </w:t>
      </w:r>
      <w:r w:rsidR="00805314">
        <w:rPr>
          <w:rFonts w:ascii="Times New Roman" w:hAnsi="Times New Roman" w:cs="Times New Roman"/>
          <w:noProof/>
          <w:sz w:val="24"/>
          <w:szCs w:val="24"/>
          <w:lang w:val="en-IE"/>
        </w:rPr>
        <w:t>for</w:t>
      </w:r>
      <w:r>
        <w:rPr>
          <w:rFonts w:ascii="Times New Roman" w:hAnsi="Times New Roman" w:cs="Times New Roman"/>
          <w:noProof/>
          <w:sz w:val="24"/>
          <w:szCs w:val="24"/>
          <w:lang w:val="en-IE"/>
        </w:rPr>
        <w:t xml:space="preserve"> nuclear energy in </w:t>
      </w:r>
      <w:r w:rsidR="00A86786" w:rsidRPr="00A86786">
        <w:rPr>
          <w:rFonts w:ascii="Times New Roman" w:hAnsi="Times New Roman" w:cs="Times New Roman"/>
          <w:noProof/>
          <w:sz w:val="24"/>
          <w:szCs w:val="24"/>
          <w:lang w:val="en-IE"/>
        </w:rPr>
        <w:t>the form of compensation</w:t>
      </w:r>
      <w:r w:rsidR="00AE7881">
        <w:rPr>
          <w:rFonts w:ascii="Times New Roman" w:hAnsi="Times New Roman" w:cs="Times New Roman"/>
          <w:noProof/>
          <w:sz w:val="24"/>
          <w:szCs w:val="24"/>
          <w:lang w:val="en-IE"/>
        </w:rPr>
        <w:t xml:space="preserve"> </w:t>
      </w:r>
      <w:r w:rsidR="00AE7881" w:rsidRPr="00AE7881">
        <w:rPr>
          <w:rFonts w:ascii="Times New Roman" w:hAnsi="Times New Roman" w:cs="Times New Roman"/>
          <w:noProof/>
          <w:sz w:val="24"/>
          <w:szCs w:val="24"/>
          <w:lang w:val="en-IE"/>
        </w:rPr>
        <w:t xml:space="preserve">for </w:t>
      </w:r>
      <w:r>
        <w:rPr>
          <w:rFonts w:ascii="Times New Roman" w:hAnsi="Times New Roman" w:cs="Times New Roman"/>
          <w:noProof/>
          <w:sz w:val="24"/>
          <w:szCs w:val="24"/>
          <w:lang w:val="en-IE"/>
        </w:rPr>
        <w:t xml:space="preserve">early </w:t>
      </w:r>
      <w:r w:rsidR="00AE7881" w:rsidRPr="00AE7881">
        <w:rPr>
          <w:rFonts w:ascii="Times New Roman" w:hAnsi="Times New Roman" w:cs="Times New Roman"/>
          <w:noProof/>
          <w:sz w:val="24"/>
          <w:szCs w:val="24"/>
          <w:lang w:val="en-IE"/>
        </w:rPr>
        <w:t xml:space="preserve">closure and </w:t>
      </w:r>
      <w:r w:rsidR="0005020C">
        <w:rPr>
          <w:rFonts w:ascii="Times New Roman" w:hAnsi="Times New Roman" w:cs="Times New Roman"/>
          <w:noProof/>
          <w:sz w:val="24"/>
          <w:szCs w:val="24"/>
          <w:lang w:val="en-IE"/>
        </w:rPr>
        <w:t xml:space="preserve">early </w:t>
      </w:r>
      <w:r w:rsidR="00AE7881" w:rsidRPr="00AE7881">
        <w:rPr>
          <w:rFonts w:ascii="Times New Roman" w:hAnsi="Times New Roman" w:cs="Times New Roman"/>
          <w:noProof/>
          <w:sz w:val="24"/>
          <w:szCs w:val="24"/>
          <w:lang w:val="en-IE"/>
        </w:rPr>
        <w:t>decommissioning of nuclear facilities</w:t>
      </w:r>
      <w:r w:rsidR="00AE7881">
        <w:rPr>
          <w:rFonts w:ascii="Times New Roman" w:hAnsi="Times New Roman" w:cs="Times New Roman"/>
          <w:noProof/>
          <w:sz w:val="24"/>
          <w:szCs w:val="24"/>
          <w:lang w:val="en-IE"/>
        </w:rPr>
        <w:t xml:space="preserve"> (mainly </w:t>
      </w:r>
      <w:r w:rsidR="00AE7881" w:rsidRPr="00AE7881">
        <w:rPr>
          <w:rFonts w:ascii="Times New Roman" w:hAnsi="Times New Roman" w:cs="Times New Roman"/>
          <w:noProof/>
          <w:sz w:val="24"/>
          <w:szCs w:val="24"/>
          <w:lang w:val="en-IE"/>
        </w:rPr>
        <w:t>in Germany and France</w:t>
      </w:r>
      <w:r w:rsidR="00AE7881">
        <w:rPr>
          <w:rFonts w:ascii="Times New Roman" w:hAnsi="Times New Roman" w:cs="Times New Roman"/>
          <w:noProof/>
          <w:sz w:val="24"/>
          <w:szCs w:val="24"/>
          <w:lang w:val="en-IE"/>
        </w:rPr>
        <w:t xml:space="preserve">) rose </w:t>
      </w:r>
      <w:r>
        <w:rPr>
          <w:rFonts w:ascii="Times New Roman" w:hAnsi="Times New Roman" w:cs="Times New Roman"/>
          <w:noProof/>
          <w:sz w:val="24"/>
          <w:szCs w:val="24"/>
          <w:lang w:val="en-IE"/>
        </w:rPr>
        <w:t>further in 2021</w:t>
      </w:r>
      <w:r w:rsidR="00805314">
        <w:rPr>
          <w:rFonts w:ascii="Times New Roman" w:hAnsi="Times New Roman" w:cs="Times New Roman"/>
          <w:noProof/>
          <w:sz w:val="24"/>
          <w:szCs w:val="24"/>
          <w:lang w:val="en-IE"/>
        </w:rPr>
        <w:t xml:space="preserve"> due to planned shutdowns</w:t>
      </w:r>
      <w:r>
        <w:rPr>
          <w:rFonts w:ascii="Times New Roman" w:hAnsi="Times New Roman" w:cs="Times New Roman"/>
          <w:noProof/>
          <w:sz w:val="24"/>
          <w:szCs w:val="24"/>
          <w:lang w:val="en-IE"/>
        </w:rPr>
        <w:t>.</w:t>
      </w:r>
      <w:r w:rsidR="007804D8">
        <w:rPr>
          <w:rFonts w:ascii="Times New Roman" w:hAnsi="Times New Roman" w:cs="Times New Roman"/>
          <w:noProof/>
          <w:sz w:val="24"/>
          <w:szCs w:val="24"/>
          <w:lang w:val="en-IE"/>
        </w:rPr>
        <w:t xml:space="preserve"> Subsidies </w:t>
      </w:r>
      <w:r w:rsidR="00805314">
        <w:rPr>
          <w:rFonts w:ascii="Times New Roman" w:hAnsi="Times New Roman" w:cs="Times New Roman"/>
          <w:noProof/>
          <w:sz w:val="24"/>
          <w:szCs w:val="24"/>
          <w:lang w:val="en-IE"/>
        </w:rPr>
        <w:t xml:space="preserve">for </w:t>
      </w:r>
      <w:r w:rsidR="007804D8">
        <w:rPr>
          <w:rFonts w:ascii="Times New Roman" w:hAnsi="Times New Roman" w:cs="Times New Roman"/>
          <w:noProof/>
          <w:sz w:val="24"/>
          <w:szCs w:val="24"/>
          <w:lang w:val="en-IE"/>
        </w:rPr>
        <w:t xml:space="preserve">renewables will strongly depend on wholesale energy prices, </w:t>
      </w:r>
      <w:r w:rsidR="00805314">
        <w:rPr>
          <w:rFonts w:ascii="Times New Roman" w:hAnsi="Times New Roman" w:cs="Times New Roman"/>
          <w:noProof/>
          <w:sz w:val="24"/>
          <w:szCs w:val="24"/>
          <w:lang w:val="en-IE"/>
        </w:rPr>
        <w:t xml:space="preserve">but we can expect </w:t>
      </w:r>
      <w:r w:rsidR="007804D8">
        <w:rPr>
          <w:rFonts w:ascii="Times New Roman" w:hAnsi="Times New Roman" w:cs="Times New Roman"/>
          <w:noProof/>
          <w:sz w:val="24"/>
          <w:szCs w:val="24"/>
          <w:lang w:val="en-IE"/>
        </w:rPr>
        <w:t xml:space="preserve">higher prices </w:t>
      </w:r>
      <w:r w:rsidR="00805314">
        <w:rPr>
          <w:rFonts w:ascii="Times New Roman" w:hAnsi="Times New Roman" w:cs="Times New Roman"/>
          <w:noProof/>
          <w:sz w:val="24"/>
          <w:szCs w:val="24"/>
          <w:lang w:val="en-IE"/>
        </w:rPr>
        <w:t xml:space="preserve">to </w:t>
      </w:r>
      <w:r w:rsidR="007804D8">
        <w:rPr>
          <w:rFonts w:ascii="Times New Roman" w:hAnsi="Times New Roman" w:cs="Times New Roman"/>
          <w:noProof/>
          <w:sz w:val="24"/>
          <w:szCs w:val="24"/>
          <w:lang w:val="en-IE"/>
        </w:rPr>
        <w:t>imply lower subsidies via feed-in premi</w:t>
      </w:r>
      <w:r w:rsidR="00423032">
        <w:rPr>
          <w:rFonts w:ascii="Times New Roman" w:hAnsi="Times New Roman" w:cs="Times New Roman"/>
          <w:noProof/>
          <w:sz w:val="24"/>
          <w:szCs w:val="24"/>
          <w:lang w:val="en-IE"/>
        </w:rPr>
        <w:t>a</w:t>
      </w:r>
      <w:r w:rsidR="007804D8">
        <w:rPr>
          <w:rFonts w:ascii="Times New Roman" w:hAnsi="Times New Roman" w:cs="Times New Roman"/>
          <w:noProof/>
          <w:sz w:val="24"/>
          <w:szCs w:val="24"/>
          <w:lang w:val="en-IE"/>
        </w:rPr>
        <w:t xml:space="preserve"> or contracts for difference</w:t>
      </w:r>
      <w:r w:rsidR="00116930">
        <w:rPr>
          <w:rStyle w:val="FootnoteReference"/>
          <w:rFonts w:ascii="Times New Roman" w:hAnsi="Times New Roman" w:cs="Times New Roman"/>
          <w:noProof/>
          <w:sz w:val="24"/>
          <w:szCs w:val="24"/>
          <w:lang w:val="en-IE"/>
        </w:rPr>
        <w:footnoteReference w:id="12"/>
      </w:r>
      <w:r w:rsidR="007804D8">
        <w:rPr>
          <w:rFonts w:ascii="Times New Roman" w:hAnsi="Times New Roman" w:cs="Times New Roman"/>
          <w:noProof/>
          <w:sz w:val="24"/>
          <w:szCs w:val="24"/>
          <w:lang w:val="en-IE"/>
        </w:rPr>
        <w:t>.</w:t>
      </w:r>
    </w:p>
    <w:p w14:paraId="70AE08D0" w14:textId="04A39DAB" w:rsidR="00971EE4" w:rsidRPr="00656B7F" w:rsidRDefault="00971EE4" w:rsidP="00FD261A">
      <w:pPr>
        <w:pStyle w:val="Heading1"/>
        <w:spacing w:before="480"/>
        <w:ind w:left="714" w:hanging="357"/>
        <w:rPr>
          <w:noProof/>
        </w:rPr>
      </w:pPr>
      <w:r w:rsidRPr="00656B7F">
        <w:rPr>
          <w:noProof/>
        </w:rPr>
        <w:t>Energy subsidies and fossil</w:t>
      </w:r>
      <w:r w:rsidR="00FC6A30">
        <w:rPr>
          <w:noProof/>
        </w:rPr>
        <w:t>-</w:t>
      </w:r>
      <w:r w:rsidRPr="00656B7F">
        <w:rPr>
          <w:noProof/>
        </w:rPr>
        <w:t>fuel subsidies in the EU</w:t>
      </w:r>
    </w:p>
    <w:p w14:paraId="755215E1" w14:textId="77777777" w:rsidR="00971EE4" w:rsidRPr="00971EE4" w:rsidRDefault="00971EE4" w:rsidP="00656B7F">
      <w:pPr>
        <w:pStyle w:val="Heading2"/>
        <w:numPr>
          <w:ilvl w:val="0"/>
          <w:numId w:val="0"/>
        </w:numPr>
        <w:ind w:left="360"/>
        <w:rPr>
          <w:noProof/>
        </w:rPr>
      </w:pPr>
      <w:r w:rsidRPr="00971EE4">
        <w:rPr>
          <w:noProof/>
        </w:rPr>
        <w:t>2.1. Energy subsidies in the EU</w:t>
      </w:r>
    </w:p>
    <w:p w14:paraId="691E43E2" w14:textId="66A50ABD" w:rsidR="005A3F7B" w:rsidRPr="009130C0" w:rsidRDefault="005A3F7B" w:rsidP="004F4044">
      <w:pPr>
        <w:spacing w:before="120" w:after="120"/>
        <w:jc w:val="both"/>
        <w:rPr>
          <w:rFonts w:ascii="Times New Roman" w:hAnsi="Times New Roman" w:cs="Times New Roman"/>
          <w:noProof/>
          <w:sz w:val="24"/>
          <w:szCs w:val="24"/>
          <w:lang w:val="en-US"/>
        </w:rPr>
      </w:pPr>
      <w:r>
        <w:rPr>
          <w:rFonts w:ascii="Times New Roman" w:hAnsi="Times New Roman" w:cs="Times New Roman"/>
          <w:noProof/>
          <w:sz w:val="24"/>
          <w:szCs w:val="24"/>
          <w:lang w:val="en-IE"/>
        </w:rPr>
        <w:t xml:space="preserve">Subsidies </w:t>
      </w:r>
      <w:r w:rsidR="002322C4">
        <w:rPr>
          <w:rFonts w:ascii="Times New Roman" w:hAnsi="Times New Roman" w:cs="Times New Roman"/>
          <w:noProof/>
          <w:sz w:val="24"/>
          <w:szCs w:val="24"/>
          <w:lang w:val="en-IE"/>
        </w:rPr>
        <w:t xml:space="preserve">in this report </w:t>
      </w:r>
      <w:r>
        <w:rPr>
          <w:rFonts w:ascii="Times New Roman" w:hAnsi="Times New Roman" w:cs="Times New Roman"/>
          <w:noProof/>
          <w:sz w:val="24"/>
          <w:szCs w:val="24"/>
          <w:lang w:val="en-IE"/>
        </w:rPr>
        <w:t>are defined following the</w:t>
      </w:r>
      <w:r w:rsidRPr="005A3F7B">
        <w:rPr>
          <w:rFonts w:ascii="Times New Roman" w:hAnsi="Times New Roman" w:cs="Times New Roman"/>
          <w:noProof/>
          <w:sz w:val="24"/>
          <w:szCs w:val="24"/>
          <w:lang w:val="en-IE"/>
        </w:rPr>
        <w:t xml:space="preserve"> </w:t>
      </w:r>
      <w:r w:rsidR="002322C4">
        <w:rPr>
          <w:rFonts w:ascii="Times New Roman" w:hAnsi="Times New Roman" w:cs="Times New Roman"/>
          <w:noProof/>
          <w:sz w:val="24"/>
          <w:szCs w:val="24"/>
          <w:lang w:val="en-IE"/>
        </w:rPr>
        <w:t xml:space="preserve">methodology </w:t>
      </w:r>
      <w:r w:rsidRPr="005A3F7B">
        <w:rPr>
          <w:rFonts w:ascii="Times New Roman" w:hAnsi="Times New Roman" w:cs="Times New Roman"/>
          <w:noProof/>
          <w:sz w:val="24"/>
          <w:szCs w:val="24"/>
          <w:lang w:val="en-IE"/>
        </w:rPr>
        <w:t>set forth by the World Trade Organi</w:t>
      </w:r>
      <w:r w:rsidR="00791241">
        <w:rPr>
          <w:rFonts w:ascii="Times New Roman" w:hAnsi="Times New Roman" w:cs="Times New Roman"/>
          <w:noProof/>
          <w:sz w:val="24"/>
          <w:szCs w:val="24"/>
          <w:lang w:val="en-IE"/>
        </w:rPr>
        <w:t>z</w:t>
      </w:r>
      <w:r w:rsidRPr="005A3F7B">
        <w:rPr>
          <w:rFonts w:ascii="Times New Roman" w:hAnsi="Times New Roman" w:cs="Times New Roman"/>
          <w:noProof/>
          <w:sz w:val="24"/>
          <w:szCs w:val="24"/>
          <w:lang w:val="en-IE"/>
        </w:rPr>
        <w:t>ation (WTO)</w:t>
      </w:r>
      <w:r>
        <w:rPr>
          <w:rStyle w:val="FootnoteReference"/>
          <w:rFonts w:ascii="Times New Roman" w:hAnsi="Times New Roman" w:cs="Times New Roman"/>
          <w:noProof/>
          <w:sz w:val="24"/>
          <w:szCs w:val="24"/>
          <w:lang w:val="en-IE"/>
        </w:rPr>
        <w:footnoteReference w:id="13"/>
      </w:r>
      <w:r w:rsidR="00F83FE2">
        <w:rPr>
          <w:rFonts w:ascii="Times New Roman" w:hAnsi="Times New Roman" w:cs="Times New Roman"/>
          <w:noProof/>
          <w:sz w:val="24"/>
          <w:szCs w:val="24"/>
          <w:lang w:val="en-IE"/>
        </w:rPr>
        <w:t xml:space="preserve">, which </w:t>
      </w:r>
      <w:r w:rsidR="009130C0">
        <w:rPr>
          <w:rFonts w:ascii="Times New Roman" w:hAnsi="Times New Roman" w:cs="Times New Roman"/>
          <w:noProof/>
          <w:sz w:val="24"/>
          <w:szCs w:val="24"/>
          <w:lang w:val="en-IE"/>
        </w:rPr>
        <w:t>was</w:t>
      </w:r>
      <w:r w:rsidR="00F83FE2">
        <w:rPr>
          <w:rFonts w:ascii="Times New Roman" w:hAnsi="Times New Roman" w:cs="Times New Roman"/>
          <w:noProof/>
          <w:sz w:val="24"/>
          <w:szCs w:val="24"/>
          <w:lang w:val="en-IE"/>
        </w:rPr>
        <w:t xml:space="preserve"> used in </w:t>
      </w:r>
      <w:r w:rsidR="009130C0">
        <w:rPr>
          <w:rFonts w:ascii="Times New Roman" w:hAnsi="Times New Roman" w:cs="Times New Roman"/>
          <w:noProof/>
          <w:sz w:val="24"/>
          <w:szCs w:val="24"/>
          <w:lang w:val="en-IE"/>
        </w:rPr>
        <w:t>the supporting Commission study</w:t>
      </w:r>
      <w:r w:rsidR="0099715B">
        <w:rPr>
          <w:rStyle w:val="FootnoteReference"/>
          <w:rFonts w:ascii="Times New Roman" w:hAnsi="Times New Roman" w:cs="Times New Roman"/>
          <w:noProof/>
          <w:sz w:val="24"/>
          <w:szCs w:val="24"/>
          <w:lang w:val="en-IE"/>
        </w:rPr>
        <w:footnoteReference w:id="14"/>
      </w:r>
      <w:r w:rsidR="009130C0">
        <w:rPr>
          <w:rFonts w:ascii="Times New Roman" w:hAnsi="Times New Roman" w:cs="Times New Roman"/>
          <w:noProof/>
          <w:sz w:val="24"/>
          <w:szCs w:val="24"/>
          <w:lang w:val="en-IE"/>
        </w:rPr>
        <w:t xml:space="preserve"> and </w:t>
      </w:r>
      <w:r w:rsidR="00F83FE2">
        <w:rPr>
          <w:rFonts w:ascii="Times New Roman" w:hAnsi="Times New Roman" w:cs="Times New Roman"/>
          <w:noProof/>
          <w:sz w:val="24"/>
          <w:szCs w:val="24"/>
          <w:lang w:val="en-IE"/>
        </w:rPr>
        <w:t xml:space="preserve">the previous </w:t>
      </w:r>
      <w:r w:rsidR="002408C7">
        <w:rPr>
          <w:rFonts w:ascii="Times New Roman" w:hAnsi="Times New Roman" w:cs="Times New Roman"/>
          <w:noProof/>
          <w:sz w:val="24"/>
          <w:szCs w:val="24"/>
          <w:lang w:val="en-IE"/>
        </w:rPr>
        <w:t xml:space="preserve">two </w:t>
      </w:r>
      <w:r w:rsidR="002322C4">
        <w:rPr>
          <w:rFonts w:ascii="Times New Roman" w:hAnsi="Times New Roman" w:cs="Times New Roman"/>
          <w:noProof/>
          <w:sz w:val="24"/>
          <w:szCs w:val="24"/>
          <w:lang w:val="en-IE"/>
        </w:rPr>
        <w:t>energy</w:t>
      </w:r>
      <w:r w:rsidR="00FC6A30">
        <w:rPr>
          <w:rFonts w:ascii="Times New Roman" w:hAnsi="Times New Roman" w:cs="Times New Roman"/>
          <w:noProof/>
          <w:sz w:val="24"/>
          <w:szCs w:val="24"/>
          <w:lang w:val="en-IE"/>
        </w:rPr>
        <w:t>-</w:t>
      </w:r>
      <w:r w:rsidR="002322C4">
        <w:rPr>
          <w:rFonts w:ascii="Times New Roman" w:hAnsi="Times New Roman" w:cs="Times New Roman"/>
          <w:noProof/>
          <w:sz w:val="24"/>
          <w:szCs w:val="24"/>
          <w:lang w:val="en-IE"/>
        </w:rPr>
        <w:t>subsidy report</w:t>
      </w:r>
      <w:r w:rsidR="002408C7">
        <w:rPr>
          <w:rFonts w:ascii="Times New Roman" w:hAnsi="Times New Roman" w:cs="Times New Roman"/>
          <w:noProof/>
          <w:sz w:val="24"/>
          <w:szCs w:val="24"/>
          <w:lang w:val="en-IE"/>
        </w:rPr>
        <w:t>s</w:t>
      </w:r>
      <w:r w:rsidR="00FC24DF">
        <w:rPr>
          <w:rFonts w:ascii="Times New Roman" w:hAnsi="Times New Roman" w:cs="Times New Roman"/>
          <w:noProof/>
          <w:sz w:val="24"/>
          <w:szCs w:val="24"/>
          <w:lang w:val="en-IE"/>
        </w:rPr>
        <w:t xml:space="preserve"> (2020 and 2021)</w:t>
      </w:r>
      <w:r w:rsidR="009130C0">
        <w:rPr>
          <w:rFonts w:ascii="Times New Roman" w:hAnsi="Times New Roman" w:cs="Times New Roman"/>
          <w:noProof/>
          <w:sz w:val="24"/>
          <w:szCs w:val="24"/>
          <w:lang w:val="en-IE"/>
        </w:rPr>
        <w:t>.</w:t>
      </w:r>
      <w:r w:rsidR="00E7665C">
        <w:rPr>
          <w:rFonts w:ascii="Times New Roman" w:hAnsi="Times New Roman" w:cs="Times New Roman"/>
          <w:noProof/>
          <w:sz w:val="24"/>
          <w:szCs w:val="24"/>
          <w:lang w:val="en-IE"/>
        </w:rPr>
        <w:t xml:space="preserve"> This </w:t>
      </w:r>
      <w:r w:rsidR="00FC6A30">
        <w:rPr>
          <w:rFonts w:ascii="Times New Roman" w:hAnsi="Times New Roman" w:cs="Times New Roman"/>
          <w:noProof/>
          <w:sz w:val="24"/>
          <w:szCs w:val="24"/>
          <w:lang w:val="en-IE"/>
        </w:rPr>
        <w:t xml:space="preserve">methodology </w:t>
      </w:r>
      <w:r w:rsidR="00E7665C">
        <w:rPr>
          <w:rFonts w:ascii="Times New Roman" w:hAnsi="Times New Roman" w:cs="Times New Roman"/>
          <w:noProof/>
          <w:sz w:val="24"/>
          <w:szCs w:val="24"/>
          <w:lang w:val="en-IE"/>
        </w:rPr>
        <w:t>groups subsidies in</w:t>
      </w:r>
      <w:r w:rsidR="00FC6A30">
        <w:rPr>
          <w:rFonts w:ascii="Times New Roman" w:hAnsi="Times New Roman" w:cs="Times New Roman"/>
          <w:noProof/>
          <w:sz w:val="24"/>
          <w:szCs w:val="24"/>
          <w:lang w:val="en-IE"/>
        </w:rPr>
        <w:t>to</w:t>
      </w:r>
      <w:r w:rsidR="00E7665C">
        <w:rPr>
          <w:rFonts w:ascii="Times New Roman" w:hAnsi="Times New Roman" w:cs="Times New Roman"/>
          <w:noProof/>
          <w:sz w:val="24"/>
          <w:szCs w:val="24"/>
          <w:lang w:val="en-IE"/>
        </w:rPr>
        <w:t xml:space="preserve"> four categories: </w:t>
      </w:r>
      <w:r w:rsidR="00FC6A30">
        <w:rPr>
          <w:rFonts w:ascii="Times New Roman" w:hAnsi="Times New Roman" w:cs="Times New Roman"/>
          <w:noProof/>
          <w:sz w:val="24"/>
          <w:szCs w:val="24"/>
          <w:lang w:val="en-IE"/>
        </w:rPr>
        <w:t xml:space="preserve">(i) </w:t>
      </w:r>
      <w:r w:rsidR="00E7665C">
        <w:rPr>
          <w:rFonts w:ascii="Times New Roman" w:hAnsi="Times New Roman" w:cs="Times New Roman"/>
          <w:noProof/>
          <w:sz w:val="24"/>
          <w:szCs w:val="24"/>
          <w:lang w:val="en-IE"/>
        </w:rPr>
        <w:t>government measures involving</w:t>
      </w:r>
      <w:r w:rsidR="00FC24DF">
        <w:rPr>
          <w:rFonts w:ascii="Times New Roman" w:hAnsi="Times New Roman" w:cs="Times New Roman"/>
          <w:noProof/>
          <w:sz w:val="24"/>
          <w:szCs w:val="24"/>
          <w:lang w:val="en-IE"/>
        </w:rPr>
        <w:t xml:space="preserve"> the</w:t>
      </w:r>
      <w:r w:rsidR="00E7665C">
        <w:rPr>
          <w:rFonts w:ascii="Times New Roman" w:hAnsi="Times New Roman" w:cs="Times New Roman"/>
          <w:noProof/>
          <w:sz w:val="24"/>
          <w:szCs w:val="24"/>
          <w:lang w:val="en-IE"/>
        </w:rPr>
        <w:t xml:space="preserve"> direct transfer of funds</w:t>
      </w:r>
      <w:r w:rsidR="00FC6A30">
        <w:rPr>
          <w:rFonts w:ascii="Times New Roman" w:hAnsi="Times New Roman" w:cs="Times New Roman"/>
          <w:noProof/>
          <w:sz w:val="24"/>
          <w:szCs w:val="24"/>
          <w:lang w:val="en-IE"/>
        </w:rPr>
        <w:t xml:space="preserve">; (ii) </w:t>
      </w:r>
      <w:r w:rsidR="00E7665C">
        <w:rPr>
          <w:rFonts w:ascii="Times New Roman" w:hAnsi="Times New Roman" w:cs="Times New Roman"/>
          <w:noProof/>
          <w:sz w:val="24"/>
          <w:szCs w:val="24"/>
          <w:lang w:val="en-IE"/>
        </w:rPr>
        <w:t>government revenue that is otherwise foregone (not collected)</w:t>
      </w:r>
      <w:r w:rsidR="00FC6A30">
        <w:rPr>
          <w:rFonts w:ascii="Times New Roman" w:hAnsi="Times New Roman" w:cs="Times New Roman"/>
          <w:noProof/>
          <w:sz w:val="24"/>
          <w:szCs w:val="24"/>
          <w:lang w:val="en-IE"/>
        </w:rPr>
        <w:t>; (iii)</w:t>
      </w:r>
      <w:r w:rsidR="00E7665C">
        <w:rPr>
          <w:rFonts w:ascii="Times New Roman" w:hAnsi="Times New Roman" w:cs="Times New Roman"/>
          <w:noProof/>
          <w:sz w:val="24"/>
          <w:szCs w:val="24"/>
          <w:lang w:val="en-IE"/>
        </w:rPr>
        <w:t xml:space="preserve"> governments providing goods and services or purchasing goods</w:t>
      </w:r>
      <w:r w:rsidR="00FC6A30">
        <w:rPr>
          <w:rFonts w:ascii="Times New Roman" w:hAnsi="Times New Roman" w:cs="Times New Roman"/>
          <w:noProof/>
          <w:sz w:val="24"/>
          <w:szCs w:val="24"/>
          <w:lang w:val="en-IE"/>
        </w:rPr>
        <w:t>;</w:t>
      </w:r>
      <w:r w:rsidR="00E7665C">
        <w:rPr>
          <w:rFonts w:ascii="Times New Roman" w:hAnsi="Times New Roman" w:cs="Times New Roman"/>
          <w:noProof/>
          <w:sz w:val="24"/>
          <w:szCs w:val="24"/>
          <w:lang w:val="en-IE"/>
        </w:rPr>
        <w:t xml:space="preserve"> and </w:t>
      </w:r>
      <w:r w:rsidR="00FC6A30">
        <w:rPr>
          <w:rFonts w:ascii="Times New Roman" w:hAnsi="Times New Roman" w:cs="Times New Roman"/>
          <w:noProof/>
          <w:sz w:val="24"/>
          <w:szCs w:val="24"/>
          <w:lang w:val="en-IE"/>
        </w:rPr>
        <w:t xml:space="preserve">(iv) </w:t>
      </w:r>
      <w:r w:rsidR="00E7665C">
        <w:rPr>
          <w:rFonts w:ascii="Times New Roman" w:hAnsi="Times New Roman" w:cs="Times New Roman"/>
          <w:noProof/>
          <w:sz w:val="24"/>
          <w:szCs w:val="24"/>
          <w:lang w:val="en-IE"/>
        </w:rPr>
        <w:t>price and income supports.</w:t>
      </w:r>
    </w:p>
    <w:p w14:paraId="491F2BB6" w14:textId="63E70943" w:rsidR="005A3F7B" w:rsidRDefault="00E7665C"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 this report, e</w:t>
      </w:r>
      <w:r w:rsidR="005A3F7B">
        <w:rPr>
          <w:rFonts w:ascii="Times New Roman" w:hAnsi="Times New Roman" w:cs="Times New Roman"/>
          <w:noProof/>
          <w:sz w:val="24"/>
          <w:szCs w:val="24"/>
          <w:lang w:val="en-IE"/>
        </w:rPr>
        <w:t xml:space="preserve">nergy subsidies </w:t>
      </w:r>
      <w:r>
        <w:rPr>
          <w:rFonts w:ascii="Times New Roman" w:hAnsi="Times New Roman" w:cs="Times New Roman"/>
          <w:noProof/>
          <w:sz w:val="24"/>
          <w:szCs w:val="24"/>
          <w:lang w:val="en-IE"/>
        </w:rPr>
        <w:t xml:space="preserve">are also examined from different </w:t>
      </w:r>
      <w:r w:rsidR="0026585A">
        <w:rPr>
          <w:rFonts w:ascii="Times New Roman" w:hAnsi="Times New Roman" w:cs="Times New Roman"/>
          <w:noProof/>
          <w:sz w:val="24"/>
          <w:szCs w:val="24"/>
          <w:lang w:val="en-IE"/>
        </w:rPr>
        <w:t>perspectives</w:t>
      </w:r>
      <w:r w:rsidR="005A3F7B">
        <w:rPr>
          <w:rFonts w:ascii="Times New Roman" w:hAnsi="Times New Roman" w:cs="Times New Roman"/>
          <w:noProof/>
          <w:sz w:val="24"/>
          <w:szCs w:val="24"/>
          <w:lang w:val="en-IE"/>
        </w:rPr>
        <w:t>, for example</w:t>
      </w:r>
      <w:r w:rsidR="00FC6A30">
        <w:rPr>
          <w:rFonts w:ascii="Times New Roman" w:hAnsi="Times New Roman" w:cs="Times New Roman"/>
          <w:noProof/>
          <w:sz w:val="24"/>
          <w:szCs w:val="24"/>
          <w:lang w:val="en-IE"/>
        </w:rPr>
        <w:t>: (i)</w:t>
      </w:r>
      <w:r w:rsidR="005A3F7B">
        <w:rPr>
          <w:rFonts w:ascii="Times New Roman" w:hAnsi="Times New Roman" w:cs="Times New Roman"/>
          <w:noProof/>
          <w:sz w:val="24"/>
          <w:szCs w:val="24"/>
          <w:lang w:val="en-IE"/>
        </w:rPr>
        <w:t xml:space="preserve"> by </w:t>
      </w:r>
      <w:r w:rsidR="006100EC">
        <w:rPr>
          <w:rFonts w:ascii="Times New Roman" w:hAnsi="Times New Roman" w:cs="Times New Roman"/>
          <w:noProof/>
          <w:sz w:val="24"/>
          <w:szCs w:val="24"/>
          <w:lang w:val="en-IE"/>
        </w:rPr>
        <w:t xml:space="preserve">the </w:t>
      </w:r>
      <w:r w:rsidR="00FC6A30">
        <w:rPr>
          <w:rFonts w:ascii="Times New Roman" w:hAnsi="Times New Roman" w:cs="Times New Roman"/>
          <w:noProof/>
          <w:sz w:val="24"/>
          <w:szCs w:val="24"/>
          <w:lang w:val="en-IE"/>
        </w:rPr>
        <w:t xml:space="preserve">goal </w:t>
      </w:r>
      <w:r w:rsidR="006100EC">
        <w:rPr>
          <w:rFonts w:ascii="Times New Roman" w:hAnsi="Times New Roman" w:cs="Times New Roman"/>
          <w:noProof/>
          <w:sz w:val="24"/>
          <w:szCs w:val="24"/>
          <w:lang w:val="en-IE"/>
        </w:rPr>
        <w:t xml:space="preserve">they </w:t>
      </w:r>
      <w:r w:rsidR="00FC6A30">
        <w:rPr>
          <w:rFonts w:ascii="Times New Roman" w:hAnsi="Times New Roman" w:cs="Times New Roman"/>
          <w:noProof/>
          <w:sz w:val="24"/>
          <w:szCs w:val="24"/>
          <w:lang w:val="en-IE"/>
        </w:rPr>
        <w:t xml:space="preserve">seek to promote </w:t>
      </w:r>
      <w:r w:rsidR="005A3F7B">
        <w:rPr>
          <w:rFonts w:ascii="Times New Roman" w:hAnsi="Times New Roman" w:cs="Times New Roman"/>
          <w:noProof/>
          <w:sz w:val="24"/>
          <w:szCs w:val="24"/>
          <w:lang w:val="en-IE"/>
        </w:rPr>
        <w:t xml:space="preserve">(production, </w:t>
      </w:r>
      <w:r w:rsidR="006100EC">
        <w:rPr>
          <w:rFonts w:ascii="Times New Roman" w:hAnsi="Times New Roman" w:cs="Times New Roman"/>
          <w:noProof/>
          <w:sz w:val="24"/>
          <w:szCs w:val="24"/>
          <w:lang w:val="en-IE"/>
        </w:rPr>
        <w:t>consumption</w:t>
      </w:r>
      <w:r w:rsidR="009130C0">
        <w:rPr>
          <w:rFonts w:ascii="Times New Roman" w:hAnsi="Times New Roman" w:cs="Times New Roman"/>
          <w:noProof/>
          <w:sz w:val="24"/>
          <w:szCs w:val="24"/>
          <w:lang w:val="en-IE"/>
        </w:rPr>
        <w:t>/</w:t>
      </w:r>
      <w:r w:rsidR="005A3F7B">
        <w:rPr>
          <w:rFonts w:ascii="Times New Roman" w:hAnsi="Times New Roman" w:cs="Times New Roman"/>
          <w:noProof/>
          <w:sz w:val="24"/>
          <w:szCs w:val="24"/>
          <w:lang w:val="en-IE"/>
        </w:rPr>
        <w:t>demand</w:t>
      </w:r>
      <w:r>
        <w:rPr>
          <w:rFonts w:ascii="Times New Roman" w:hAnsi="Times New Roman" w:cs="Times New Roman"/>
          <w:noProof/>
          <w:sz w:val="24"/>
          <w:szCs w:val="24"/>
          <w:lang w:val="en-IE"/>
        </w:rPr>
        <w:t>, infrastructure</w:t>
      </w:r>
      <w:r w:rsidR="005A3F7B">
        <w:rPr>
          <w:rFonts w:ascii="Times New Roman" w:hAnsi="Times New Roman" w:cs="Times New Roman"/>
          <w:noProof/>
          <w:sz w:val="24"/>
          <w:szCs w:val="24"/>
          <w:lang w:val="en-IE"/>
        </w:rPr>
        <w:t xml:space="preserve"> or energy efficiency)</w:t>
      </w:r>
      <w:r w:rsidR="00FC6A30">
        <w:rPr>
          <w:rFonts w:ascii="Times New Roman" w:hAnsi="Times New Roman" w:cs="Times New Roman"/>
          <w:noProof/>
          <w:sz w:val="24"/>
          <w:szCs w:val="24"/>
          <w:lang w:val="en-IE"/>
        </w:rPr>
        <w:t>; (ii)</w:t>
      </w:r>
      <w:r w:rsidR="005A3F7B">
        <w:rPr>
          <w:rFonts w:ascii="Times New Roman" w:hAnsi="Times New Roman" w:cs="Times New Roman"/>
          <w:noProof/>
          <w:sz w:val="24"/>
          <w:szCs w:val="24"/>
          <w:lang w:val="en-IE"/>
        </w:rPr>
        <w:t xml:space="preserve"> by fuel type (fossil fuels, renewables, nuclear)</w:t>
      </w:r>
      <w:r w:rsidR="00FC6A30">
        <w:rPr>
          <w:rFonts w:ascii="Times New Roman" w:hAnsi="Times New Roman" w:cs="Times New Roman"/>
          <w:noProof/>
          <w:sz w:val="24"/>
          <w:szCs w:val="24"/>
          <w:lang w:val="en-IE"/>
        </w:rPr>
        <w:t>; (iii)</w:t>
      </w:r>
      <w:r w:rsidR="005A3F7B">
        <w:rPr>
          <w:rFonts w:ascii="Times New Roman" w:hAnsi="Times New Roman" w:cs="Times New Roman"/>
          <w:noProof/>
          <w:sz w:val="24"/>
          <w:szCs w:val="24"/>
          <w:lang w:val="en-IE"/>
        </w:rPr>
        <w:t xml:space="preserve"> by economic sectors (</w:t>
      </w:r>
      <w:r w:rsidR="00FC24DF">
        <w:rPr>
          <w:rFonts w:ascii="Times New Roman" w:hAnsi="Times New Roman" w:cs="Times New Roman"/>
          <w:noProof/>
          <w:sz w:val="24"/>
          <w:szCs w:val="24"/>
          <w:lang w:val="en-IE"/>
        </w:rPr>
        <w:t xml:space="preserve">the </w:t>
      </w:r>
      <w:r w:rsidR="005A3F7B">
        <w:rPr>
          <w:rFonts w:ascii="Times New Roman" w:hAnsi="Times New Roman" w:cs="Times New Roman"/>
          <w:noProof/>
          <w:sz w:val="24"/>
          <w:szCs w:val="24"/>
          <w:lang w:val="en-IE"/>
        </w:rPr>
        <w:t>energy sector, transport, industry, agriculture</w:t>
      </w:r>
      <w:r w:rsidR="00A17405">
        <w:rPr>
          <w:rStyle w:val="FootnoteReference"/>
          <w:rFonts w:ascii="Times New Roman" w:hAnsi="Times New Roman" w:cs="Times New Roman"/>
          <w:noProof/>
          <w:sz w:val="24"/>
          <w:szCs w:val="24"/>
          <w:lang w:val="en-IE"/>
        </w:rPr>
        <w:footnoteReference w:id="15"/>
      </w:r>
      <w:r w:rsidR="005A3F7B">
        <w:rPr>
          <w:rFonts w:ascii="Times New Roman" w:hAnsi="Times New Roman" w:cs="Times New Roman"/>
          <w:noProof/>
          <w:sz w:val="24"/>
          <w:szCs w:val="24"/>
          <w:lang w:val="en-IE"/>
        </w:rPr>
        <w:t xml:space="preserve">, residential, </w:t>
      </w:r>
      <w:r>
        <w:rPr>
          <w:rFonts w:ascii="Times New Roman" w:hAnsi="Times New Roman" w:cs="Times New Roman"/>
          <w:noProof/>
          <w:sz w:val="24"/>
          <w:szCs w:val="24"/>
          <w:lang w:val="en-IE"/>
        </w:rPr>
        <w:t xml:space="preserve">services, </w:t>
      </w:r>
      <w:r w:rsidR="005A3F7B">
        <w:rPr>
          <w:rFonts w:ascii="Times New Roman" w:hAnsi="Times New Roman" w:cs="Times New Roman"/>
          <w:noProof/>
          <w:sz w:val="24"/>
          <w:szCs w:val="24"/>
          <w:lang w:val="en-IE"/>
        </w:rPr>
        <w:t>etc.)</w:t>
      </w:r>
      <w:r w:rsidR="00FC6A30">
        <w:rPr>
          <w:rFonts w:ascii="Times New Roman" w:hAnsi="Times New Roman" w:cs="Times New Roman"/>
          <w:noProof/>
          <w:sz w:val="24"/>
          <w:szCs w:val="24"/>
          <w:lang w:val="en-IE"/>
        </w:rPr>
        <w:t>;</w:t>
      </w:r>
      <w:r w:rsidR="005A3F7B">
        <w:rPr>
          <w:rFonts w:ascii="Times New Roman" w:hAnsi="Times New Roman" w:cs="Times New Roman"/>
          <w:noProof/>
          <w:sz w:val="24"/>
          <w:szCs w:val="24"/>
          <w:lang w:val="en-IE"/>
        </w:rPr>
        <w:t xml:space="preserve"> or </w:t>
      </w:r>
      <w:r w:rsidR="00FC6A30">
        <w:rPr>
          <w:rFonts w:ascii="Times New Roman" w:hAnsi="Times New Roman" w:cs="Times New Roman"/>
          <w:noProof/>
          <w:sz w:val="24"/>
          <w:szCs w:val="24"/>
          <w:lang w:val="en-IE"/>
        </w:rPr>
        <w:t xml:space="preserve">(iv) </w:t>
      </w:r>
      <w:r w:rsidR="005A3F7B">
        <w:rPr>
          <w:rFonts w:ascii="Times New Roman" w:hAnsi="Times New Roman" w:cs="Times New Roman"/>
          <w:noProof/>
          <w:sz w:val="24"/>
          <w:szCs w:val="24"/>
          <w:lang w:val="en-IE"/>
        </w:rPr>
        <w:t xml:space="preserve">by </w:t>
      </w:r>
      <w:r w:rsidR="00FC6A30">
        <w:rPr>
          <w:rFonts w:ascii="Times New Roman" w:hAnsi="Times New Roman" w:cs="Times New Roman"/>
          <w:noProof/>
          <w:sz w:val="24"/>
          <w:szCs w:val="24"/>
          <w:lang w:val="en-IE"/>
        </w:rPr>
        <w:t xml:space="preserve">the types of </w:t>
      </w:r>
      <w:r w:rsidR="005A3F7B">
        <w:rPr>
          <w:rFonts w:ascii="Times New Roman" w:hAnsi="Times New Roman" w:cs="Times New Roman"/>
          <w:noProof/>
          <w:sz w:val="24"/>
          <w:szCs w:val="24"/>
          <w:lang w:val="en-IE"/>
        </w:rPr>
        <w:t xml:space="preserve">instrument </w:t>
      </w:r>
      <w:r w:rsidR="006100EC">
        <w:rPr>
          <w:rFonts w:ascii="Times New Roman" w:hAnsi="Times New Roman" w:cs="Times New Roman"/>
          <w:noProof/>
          <w:sz w:val="24"/>
          <w:szCs w:val="24"/>
          <w:lang w:val="en-IE"/>
        </w:rPr>
        <w:t xml:space="preserve">used to </w:t>
      </w:r>
      <w:r w:rsidR="009130C0">
        <w:rPr>
          <w:rFonts w:ascii="Times New Roman" w:hAnsi="Times New Roman" w:cs="Times New Roman"/>
          <w:noProof/>
          <w:sz w:val="24"/>
          <w:szCs w:val="24"/>
          <w:lang w:val="en-IE"/>
        </w:rPr>
        <w:t xml:space="preserve">impose </w:t>
      </w:r>
      <w:r w:rsidR="006100EC">
        <w:rPr>
          <w:rFonts w:ascii="Times New Roman" w:hAnsi="Times New Roman" w:cs="Times New Roman"/>
          <w:noProof/>
          <w:sz w:val="24"/>
          <w:szCs w:val="24"/>
          <w:lang w:val="en-IE"/>
        </w:rPr>
        <w:t>subsid</w:t>
      </w:r>
      <w:r w:rsidR="009130C0">
        <w:rPr>
          <w:rFonts w:ascii="Times New Roman" w:hAnsi="Times New Roman" w:cs="Times New Roman"/>
          <w:noProof/>
          <w:sz w:val="24"/>
          <w:szCs w:val="24"/>
          <w:lang w:val="en-IE"/>
        </w:rPr>
        <w:t>ies</w:t>
      </w:r>
      <w:r w:rsidR="005A3F7B">
        <w:rPr>
          <w:rFonts w:ascii="Times New Roman" w:hAnsi="Times New Roman" w:cs="Times New Roman"/>
          <w:noProof/>
          <w:sz w:val="24"/>
          <w:szCs w:val="24"/>
          <w:lang w:val="en-IE"/>
        </w:rPr>
        <w:t xml:space="preserve"> (tax reliefs, grants, price</w:t>
      </w:r>
      <w:r w:rsidR="00FC6A30">
        <w:rPr>
          <w:rFonts w:ascii="Times New Roman" w:hAnsi="Times New Roman" w:cs="Times New Roman"/>
          <w:noProof/>
          <w:sz w:val="24"/>
          <w:szCs w:val="24"/>
          <w:lang w:val="en-IE"/>
        </w:rPr>
        <w:t xml:space="preserve"> supports,</w:t>
      </w:r>
      <w:r w:rsidR="005A3F7B">
        <w:rPr>
          <w:rFonts w:ascii="Times New Roman" w:hAnsi="Times New Roman" w:cs="Times New Roman"/>
          <w:noProof/>
          <w:sz w:val="24"/>
          <w:szCs w:val="24"/>
          <w:lang w:val="en-IE"/>
        </w:rPr>
        <w:t xml:space="preserve"> income supports</w:t>
      </w:r>
      <w:r>
        <w:rPr>
          <w:rFonts w:ascii="Times New Roman" w:hAnsi="Times New Roman" w:cs="Times New Roman"/>
          <w:noProof/>
          <w:sz w:val="24"/>
          <w:szCs w:val="24"/>
          <w:lang w:val="en-IE"/>
        </w:rPr>
        <w:t>, etc.</w:t>
      </w:r>
      <w:r w:rsidR="005A3F7B">
        <w:rPr>
          <w:rFonts w:ascii="Times New Roman" w:hAnsi="Times New Roman" w:cs="Times New Roman"/>
          <w:noProof/>
          <w:sz w:val="24"/>
          <w:szCs w:val="24"/>
          <w:lang w:val="en-IE"/>
        </w:rPr>
        <w:t>).</w:t>
      </w:r>
    </w:p>
    <w:p w14:paraId="4BDCD390" w14:textId="53F2C445" w:rsidR="0021742F" w:rsidRDefault="005A3F7B"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Looking at </w:t>
      </w:r>
      <w:r w:rsidR="007D1383">
        <w:rPr>
          <w:rFonts w:ascii="Times New Roman" w:hAnsi="Times New Roman" w:cs="Times New Roman"/>
          <w:noProof/>
          <w:sz w:val="24"/>
          <w:szCs w:val="24"/>
          <w:lang w:val="en-IE"/>
        </w:rPr>
        <w:t>changes in</w:t>
      </w:r>
      <w:r>
        <w:rPr>
          <w:rFonts w:ascii="Times New Roman" w:hAnsi="Times New Roman" w:cs="Times New Roman"/>
          <w:noProof/>
          <w:sz w:val="24"/>
          <w:szCs w:val="24"/>
          <w:lang w:val="en-IE"/>
        </w:rPr>
        <w:t xml:space="preserve"> </w:t>
      </w:r>
      <w:r w:rsidR="002F5927">
        <w:rPr>
          <w:rFonts w:ascii="Times New Roman" w:hAnsi="Times New Roman" w:cs="Times New Roman"/>
          <w:noProof/>
          <w:sz w:val="24"/>
          <w:szCs w:val="24"/>
          <w:lang w:val="en-IE"/>
        </w:rPr>
        <w:t xml:space="preserve">energy </w:t>
      </w:r>
      <w:r>
        <w:rPr>
          <w:rFonts w:ascii="Times New Roman" w:hAnsi="Times New Roman" w:cs="Times New Roman"/>
          <w:noProof/>
          <w:sz w:val="24"/>
          <w:szCs w:val="24"/>
          <w:lang w:val="en-IE"/>
        </w:rPr>
        <w:t xml:space="preserve">subsidies in the EU, total financial support amounted to </w:t>
      </w:r>
      <w:r w:rsidR="00FC24DF">
        <w:rPr>
          <w:rFonts w:ascii="Times New Roman" w:hAnsi="Times New Roman" w:cs="Times New Roman"/>
          <w:noProof/>
          <w:sz w:val="24"/>
          <w:szCs w:val="24"/>
          <w:lang w:val="en-IE"/>
        </w:rPr>
        <w:t>EUR </w:t>
      </w:r>
      <w:r w:rsidR="004710ED">
        <w:rPr>
          <w:rFonts w:ascii="Times New Roman" w:hAnsi="Times New Roman" w:cs="Times New Roman"/>
          <w:noProof/>
          <w:sz w:val="24"/>
          <w:szCs w:val="24"/>
          <w:lang w:val="en-IE"/>
        </w:rPr>
        <w:t>17</w:t>
      </w:r>
      <w:r w:rsidR="00C52951">
        <w:rPr>
          <w:rFonts w:ascii="Times New Roman" w:hAnsi="Times New Roman" w:cs="Times New Roman"/>
          <w:noProof/>
          <w:sz w:val="24"/>
          <w:szCs w:val="24"/>
          <w:lang w:val="en-IE"/>
        </w:rPr>
        <w:t>3</w:t>
      </w:r>
      <w:r w:rsidR="004710ED">
        <w:rPr>
          <w:rFonts w:ascii="Times New Roman" w:hAnsi="Times New Roman" w:cs="Times New Roman"/>
          <w:noProof/>
          <w:sz w:val="24"/>
          <w:szCs w:val="24"/>
          <w:lang w:val="en-IE"/>
        </w:rPr>
        <w:t xml:space="preserve"> billion in 20</w:t>
      </w:r>
      <w:r w:rsidR="00C52951">
        <w:rPr>
          <w:rFonts w:ascii="Times New Roman" w:hAnsi="Times New Roman" w:cs="Times New Roman"/>
          <w:noProof/>
          <w:sz w:val="24"/>
          <w:szCs w:val="24"/>
          <w:lang w:val="en-IE"/>
        </w:rPr>
        <w:t>20, up by 7</w:t>
      </w:r>
      <w:r>
        <w:rPr>
          <w:rFonts w:ascii="Times New Roman" w:hAnsi="Times New Roman" w:cs="Times New Roman"/>
          <w:noProof/>
          <w:sz w:val="24"/>
          <w:szCs w:val="24"/>
          <w:lang w:val="en-IE"/>
        </w:rPr>
        <w:t>%</w:t>
      </w:r>
      <w:r w:rsidR="00C52951">
        <w:rPr>
          <w:rFonts w:ascii="Times New Roman" w:hAnsi="Times New Roman" w:cs="Times New Roman"/>
          <w:noProof/>
          <w:sz w:val="24"/>
          <w:szCs w:val="24"/>
          <w:lang w:val="en-IE"/>
        </w:rPr>
        <w:t xml:space="preserve"> (</w:t>
      </w:r>
      <w:r w:rsidR="00FC6A30">
        <w:rPr>
          <w:rFonts w:ascii="Times New Roman" w:hAnsi="Times New Roman" w:cs="Times New Roman"/>
          <w:noProof/>
          <w:sz w:val="24"/>
          <w:szCs w:val="24"/>
          <w:lang w:val="en-IE"/>
        </w:rPr>
        <w:t xml:space="preserve">+ EUR </w:t>
      </w:r>
      <w:r w:rsidR="00C52951">
        <w:rPr>
          <w:rFonts w:ascii="Times New Roman" w:hAnsi="Times New Roman" w:cs="Times New Roman"/>
          <w:noProof/>
          <w:sz w:val="24"/>
          <w:szCs w:val="24"/>
          <w:lang w:val="en-IE"/>
        </w:rPr>
        <w:t>14 billion)</w:t>
      </w:r>
      <w:r>
        <w:rPr>
          <w:rFonts w:ascii="Times New Roman" w:hAnsi="Times New Roman" w:cs="Times New Roman"/>
          <w:noProof/>
          <w:sz w:val="24"/>
          <w:szCs w:val="24"/>
          <w:lang w:val="en-IE"/>
        </w:rPr>
        <w:t xml:space="preserve"> since 2015. Subsidies </w:t>
      </w:r>
      <w:r w:rsidR="007A3364">
        <w:rPr>
          <w:rFonts w:ascii="Times New Roman" w:hAnsi="Times New Roman" w:cs="Times New Roman"/>
          <w:noProof/>
          <w:sz w:val="24"/>
          <w:szCs w:val="24"/>
          <w:lang w:val="en-IE"/>
        </w:rPr>
        <w:t xml:space="preserve">for </w:t>
      </w:r>
      <w:r w:rsidR="00C52951">
        <w:rPr>
          <w:rFonts w:ascii="Times New Roman" w:hAnsi="Times New Roman" w:cs="Times New Roman"/>
          <w:noProof/>
          <w:sz w:val="24"/>
          <w:szCs w:val="24"/>
          <w:lang w:val="en-IE"/>
        </w:rPr>
        <w:t>energy production grew by 11% (+</w:t>
      </w:r>
      <w:r w:rsidR="00FC6A30">
        <w:rPr>
          <w:rFonts w:ascii="Times New Roman" w:hAnsi="Times New Roman" w:cs="Times New Roman"/>
          <w:noProof/>
          <w:sz w:val="24"/>
          <w:szCs w:val="24"/>
          <w:lang w:val="en-IE"/>
        </w:rPr>
        <w:t xml:space="preserve">EUR </w:t>
      </w:r>
      <w:r w:rsidR="00C52951">
        <w:rPr>
          <w:rFonts w:ascii="Times New Roman" w:hAnsi="Times New Roman" w:cs="Times New Roman"/>
          <w:noProof/>
          <w:sz w:val="24"/>
          <w:szCs w:val="24"/>
          <w:lang w:val="en-IE"/>
        </w:rPr>
        <w:t xml:space="preserve">9 billion) during the same period, principally owing </w:t>
      </w:r>
      <w:r>
        <w:rPr>
          <w:rFonts w:ascii="Times New Roman" w:hAnsi="Times New Roman" w:cs="Times New Roman"/>
          <w:noProof/>
          <w:sz w:val="24"/>
          <w:szCs w:val="24"/>
          <w:lang w:val="en-IE"/>
        </w:rPr>
        <w:t xml:space="preserve">to </w:t>
      </w:r>
      <w:r w:rsidR="00FC6A30">
        <w:rPr>
          <w:rFonts w:ascii="Times New Roman" w:hAnsi="Times New Roman" w:cs="Times New Roman"/>
          <w:noProof/>
          <w:sz w:val="24"/>
          <w:szCs w:val="24"/>
          <w:lang w:val="en-IE"/>
        </w:rPr>
        <w:t xml:space="preserve">subsidies for </w:t>
      </w:r>
      <w:r w:rsidR="00FC24DF">
        <w:rPr>
          <w:rFonts w:ascii="Times New Roman" w:hAnsi="Times New Roman" w:cs="Times New Roman"/>
          <w:noProof/>
          <w:sz w:val="24"/>
          <w:szCs w:val="24"/>
          <w:lang w:val="en-IE"/>
        </w:rPr>
        <w:t xml:space="preserve">the </w:t>
      </w:r>
      <w:r w:rsidR="00FC6A30">
        <w:rPr>
          <w:rFonts w:ascii="Times New Roman" w:hAnsi="Times New Roman" w:cs="Times New Roman"/>
          <w:noProof/>
          <w:sz w:val="24"/>
          <w:szCs w:val="24"/>
          <w:lang w:val="en-IE"/>
        </w:rPr>
        <w:t xml:space="preserve">generation of </w:t>
      </w:r>
      <w:r w:rsidR="00C52951">
        <w:rPr>
          <w:rFonts w:ascii="Times New Roman" w:hAnsi="Times New Roman" w:cs="Times New Roman"/>
          <w:noProof/>
          <w:sz w:val="24"/>
          <w:szCs w:val="24"/>
          <w:lang w:val="en-IE"/>
        </w:rPr>
        <w:t xml:space="preserve">renewable </w:t>
      </w:r>
      <w:r w:rsidR="00FC6A30">
        <w:rPr>
          <w:rFonts w:ascii="Times New Roman" w:hAnsi="Times New Roman" w:cs="Times New Roman"/>
          <w:noProof/>
          <w:sz w:val="24"/>
          <w:szCs w:val="24"/>
          <w:lang w:val="en-IE"/>
        </w:rPr>
        <w:t>energy</w:t>
      </w:r>
      <w:r w:rsidR="00116930">
        <w:rPr>
          <w:rFonts w:ascii="Times New Roman" w:hAnsi="Times New Roman" w:cs="Times New Roman"/>
          <w:noProof/>
          <w:sz w:val="24"/>
          <w:szCs w:val="24"/>
          <w:lang w:val="en-IE"/>
        </w:rPr>
        <w:t xml:space="preserve"> (EUR 81 billion in 2020)</w:t>
      </w:r>
      <w:r w:rsidR="00C52951">
        <w:rPr>
          <w:rFonts w:ascii="Times New Roman" w:hAnsi="Times New Roman" w:cs="Times New Roman"/>
          <w:noProof/>
          <w:sz w:val="24"/>
          <w:szCs w:val="24"/>
          <w:lang w:val="en-IE"/>
        </w:rPr>
        <w:t>, whereas subsidies for energy</w:t>
      </w:r>
      <w:r w:rsidR="00FC6A30">
        <w:rPr>
          <w:rFonts w:ascii="Times New Roman" w:hAnsi="Times New Roman" w:cs="Times New Roman"/>
          <w:noProof/>
          <w:sz w:val="24"/>
          <w:szCs w:val="24"/>
          <w:lang w:val="en-IE"/>
        </w:rPr>
        <w:t>-</w:t>
      </w:r>
      <w:r w:rsidR="00C52951">
        <w:rPr>
          <w:rFonts w:ascii="Times New Roman" w:hAnsi="Times New Roman" w:cs="Times New Roman"/>
          <w:noProof/>
          <w:sz w:val="24"/>
          <w:szCs w:val="24"/>
          <w:lang w:val="en-IE"/>
        </w:rPr>
        <w:t xml:space="preserve">efficiency measures were up by </w:t>
      </w:r>
      <w:r w:rsidR="00CA4032">
        <w:rPr>
          <w:rFonts w:ascii="Times New Roman" w:hAnsi="Times New Roman" w:cs="Times New Roman"/>
          <w:noProof/>
          <w:sz w:val="24"/>
          <w:szCs w:val="24"/>
          <w:lang w:val="en-IE"/>
        </w:rPr>
        <w:t>20</w:t>
      </w:r>
      <w:r w:rsidR="00C52951">
        <w:rPr>
          <w:rFonts w:ascii="Times New Roman" w:hAnsi="Times New Roman" w:cs="Times New Roman"/>
          <w:noProof/>
          <w:sz w:val="24"/>
          <w:szCs w:val="24"/>
          <w:lang w:val="en-IE"/>
        </w:rPr>
        <w:t xml:space="preserve">% </w:t>
      </w:r>
      <w:r w:rsidR="00FC6A30">
        <w:rPr>
          <w:rFonts w:ascii="Times New Roman" w:hAnsi="Times New Roman" w:cs="Times New Roman"/>
          <w:noProof/>
          <w:sz w:val="24"/>
          <w:szCs w:val="24"/>
          <w:lang w:val="en-IE"/>
        </w:rPr>
        <w:t xml:space="preserve">(+EUR </w:t>
      </w:r>
      <w:r w:rsidR="00CA4032">
        <w:rPr>
          <w:rFonts w:ascii="Times New Roman" w:hAnsi="Times New Roman" w:cs="Times New Roman"/>
          <w:noProof/>
          <w:sz w:val="24"/>
          <w:szCs w:val="24"/>
          <w:lang w:val="en-IE"/>
        </w:rPr>
        <w:t>2.5</w:t>
      </w:r>
      <w:r w:rsidR="00C52951">
        <w:rPr>
          <w:rFonts w:ascii="Times New Roman" w:hAnsi="Times New Roman" w:cs="Times New Roman"/>
          <w:noProof/>
          <w:sz w:val="24"/>
          <w:szCs w:val="24"/>
          <w:lang w:val="en-IE"/>
        </w:rPr>
        <w:t xml:space="preserve"> billion</w:t>
      </w:r>
      <w:r w:rsidR="00FC6A30">
        <w:rPr>
          <w:rFonts w:ascii="Times New Roman" w:hAnsi="Times New Roman" w:cs="Times New Roman"/>
          <w:noProof/>
          <w:sz w:val="24"/>
          <w:szCs w:val="24"/>
          <w:lang w:val="en-IE"/>
        </w:rPr>
        <w:t xml:space="preserve"> in the same period</w:t>
      </w:r>
      <w:r w:rsidR="00116930">
        <w:rPr>
          <w:rFonts w:ascii="Times New Roman" w:hAnsi="Times New Roman" w:cs="Times New Roman"/>
          <w:noProof/>
          <w:sz w:val="24"/>
          <w:szCs w:val="24"/>
          <w:lang w:val="en-IE"/>
        </w:rPr>
        <w:t>, reaching EUR 15 billion in 2020</w:t>
      </w:r>
      <w:r w:rsidR="00C52951">
        <w:rPr>
          <w:rFonts w:ascii="Times New Roman" w:hAnsi="Times New Roman" w:cs="Times New Roman"/>
          <w:noProof/>
          <w:sz w:val="24"/>
          <w:szCs w:val="24"/>
          <w:lang w:val="en-IE"/>
        </w:rPr>
        <w:t>).</w:t>
      </w:r>
    </w:p>
    <w:p w14:paraId="1A38548A" w14:textId="310FCFC5" w:rsidR="00C52951" w:rsidRDefault="0026585A"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improving pandemic situation and permanent easing of containment measures in 2021 </w:t>
      </w:r>
      <w:r w:rsidR="00FC6A30">
        <w:rPr>
          <w:rFonts w:ascii="Times New Roman" w:hAnsi="Times New Roman" w:cs="Times New Roman"/>
          <w:noProof/>
          <w:sz w:val="24"/>
          <w:szCs w:val="24"/>
          <w:lang w:val="en-IE"/>
        </w:rPr>
        <w:t xml:space="preserve">allowed </w:t>
      </w:r>
      <w:r>
        <w:rPr>
          <w:rFonts w:ascii="Times New Roman" w:hAnsi="Times New Roman" w:cs="Times New Roman"/>
          <w:noProof/>
          <w:sz w:val="24"/>
          <w:szCs w:val="24"/>
          <w:lang w:val="en-IE"/>
        </w:rPr>
        <w:t xml:space="preserve">the EU economy </w:t>
      </w:r>
      <w:r w:rsidR="00FC6A30">
        <w:rPr>
          <w:rFonts w:ascii="Times New Roman" w:hAnsi="Times New Roman" w:cs="Times New Roman"/>
          <w:noProof/>
          <w:sz w:val="24"/>
          <w:szCs w:val="24"/>
          <w:lang w:val="en-IE"/>
        </w:rPr>
        <w:t>a chance to recover</w:t>
      </w:r>
      <w:r>
        <w:rPr>
          <w:rFonts w:ascii="Times New Roman" w:hAnsi="Times New Roman" w:cs="Times New Roman"/>
          <w:noProof/>
          <w:sz w:val="24"/>
          <w:szCs w:val="24"/>
          <w:lang w:val="en-IE"/>
        </w:rPr>
        <w:t>. In that year, the EU economy recover</w:t>
      </w:r>
      <w:r w:rsidR="00FC6A30">
        <w:rPr>
          <w:rFonts w:ascii="Times New Roman" w:hAnsi="Times New Roman" w:cs="Times New Roman"/>
          <w:noProof/>
          <w:sz w:val="24"/>
          <w:szCs w:val="24"/>
          <w:lang w:val="en-IE"/>
        </w:rPr>
        <w:t>ed</w:t>
      </w:r>
      <w:r>
        <w:rPr>
          <w:rFonts w:ascii="Times New Roman" w:hAnsi="Times New Roman" w:cs="Times New Roman"/>
          <w:noProof/>
          <w:sz w:val="24"/>
          <w:szCs w:val="24"/>
          <w:lang w:val="en-IE"/>
        </w:rPr>
        <w:t xml:space="preserve"> faster than initially expected, </w:t>
      </w:r>
      <w:r w:rsidR="00FC6A30">
        <w:rPr>
          <w:rFonts w:ascii="Times New Roman" w:hAnsi="Times New Roman" w:cs="Times New Roman"/>
          <w:noProof/>
          <w:sz w:val="24"/>
          <w:szCs w:val="24"/>
          <w:lang w:val="en-IE"/>
        </w:rPr>
        <w:t xml:space="preserve">a recovery </w:t>
      </w:r>
      <w:r w:rsidR="00C52951">
        <w:rPr>
          <w:rFonts w:ascii="Times New Roman" w:hAnsi="Times New Roman" w:cs="Times New Roman"/>
          <w:noProof/>
          <w:sz w:val="24"/>
          <w:szCs w:val="24"/>
          <w:lang w:val="en-IE"/>
        </w:rPr>
        <w:t xml:space="preserve">which also </w:t>
      </w:r>
      <w:r w:rsidR="00116930">
        <w:rPr>
          <w:rFonts w:ascii="Times New Roman" w:hAnsi="Times New Roman" w:cs="Times New Roman"/>
          <w:noProof/>
          <w:sz w:val="24"/>
          <w:szCs w:val="24"/>
          <w:lang w:val="en-IE"/>
        </w:rPr>
        <w:t xml:space="preserve">upwardly </w:t>
      </w:r>
      <w:r w:rsidR="00C52951">
        <w:rPr>
          <w:rFonts w:ascii="Times New Roman" w:hAnsi="Times New Roman" w:cs="Times New Roman"/>
          <w:noProof/>
          <w:sz w:val="24"/>
          <w:szCs w:val="24"/>
          <w:lang w:val="en-IE"/>
        </w:rPr>
        <w:t xml:space="preserve">impacted energy consumption and subsidies on energy products. As estimated data show, </w:t>
      </w:r>
      <w:r w:rsidR="007A3364">
        <w:rPr>
          <w:rFonts w:ascii="Times New Roman" w:hAnsi="Times New Roman" w:cs="Times New Roman"/>
          <w:noProof/>
          <w:sz w:val="24"/>
          <w:szCs w:val="24"/>
          <w:lang w:val="en-IE"/>
        </w:rPr>
        <w:t xml:space="preserve">energy subsidies in the EU </w:t>
      </w:r>
      <w:r w:rsidR="00C52951">
        <w:rPr>
          <w:rFonts w:ascii="Times New Roman" w:hAnsi="Times New Roman" w:cs="Times New Roman"/>
          <w:noProof/>
          <w:sz w:val="24"/>
          <w:szCs w:val="24"/>
          <w:lang w:val="en-IE"/>
        </w:rPr>
        <w:t>rose to</w:t>
      </w:r>
      <w:r w:rsidR="009723DF">
        <w:rPr>
          <w:rFonts w:ascii="Times New Roman" w:hAnsi="Times New Roman" w:cs="Times New Roman"/>
          <w:noProof/>
          <w:sz w:val="24"/>
          <w:szCs w:val="24"/>
          <w:lang w:val="en-IE"/>
        </w:rPr>
        <w:t xml:space="preserve"> </w:t>
      </w:r>
      <w:r w:rsidR="00FC6A30">
        <w:rPr>
          <w:rFonts w:ascii="Times New Roman" w:hAnsi="Times New Roman" w:cs="Times New Roman"/>
          <w:noProof/>
          <w:sz w:val="24"/>
          <w:szCs w:val="24"/>
          <w:lang w:val="en-IE"/>
        </w:rPr>
        <w:t xml:space="preserve">EUR </w:t>
      </w:r>
      <w:r w:rsidR="009723DF">
        <w:rPr>
          <w:rFonts w:ascii="Times New Roman" w:hAnsi="Times New Roman" w:cs="Times New Roman"/>
          <w:noProof/>
          <w:sz w:val="24"/>
          <w:szCs w:val="24"/>
          <w:lang w:val="en-IE"/>
        </w:rPr>
        <w:t>1</w:t>
      </w:r>
      <w:r w:rsidR="00C52951">
        <w:rPr>
          <w:rFonts w:ascii="Times New Roman" w:hAnsi="Times New Roman" w:cs="Times New Roman"/>
          <w:noProof/>
          <w:sz w:val="24"/>
          <w:szCs w:val="24"/>
          <w:lang w:val="en-IE"/>
        </w:rPr>
        <w:t>84 </w:t>
      </w:r>
      <w:r w:rsidR="009723DF">
        <w:rPr>
          <w:rFonts w:ascii="Times New Roman" w:hAnsi="Times New Roman" w:cs="Times New Roman"/>
          <w:noProof/>
          <w:sz w:val="24"/>
          <w:szCs w:val="24"/>
          <w:lang w:val="en-IE"/>
        </w:rPr>
        <w:t>billion</w:t>
      </w:r>
      <w:r w:rsidR="00FC24DF">
        <w:rPr>
          <w:rFonts w:ascii="Times New Roman" w:hAnsi="Times New Roman" w:cs="Times New Roman"/>
          <w:noProof/>
          <w:sz w:val="24"/>
          <w:szCs w:val="24"/>
          <w:lang w:val="en-IE"/>
        </w:rPr>
        <w:t xml:space="preserve"> in 2021</w:t>
      </w:r>
      <w:r w:rsidR="00C07677">
        <w:rPr>
          <w:rFonts w:ascii="Times New Roman" w:hAnsi="Times New Roman" w:cs="Times New Roman"/>
          <w:noProof/>
          <w:sz w:val="24"/>
          <w:szCs w:val="24"/>
          <w:lang w:val="en-IE"/>
        </w:rPr>
        <w:t xml:space="preserve"> (up by EUR 12 billion, or 7% compared to 2020)</w:t>
      </w:r>
      <w:r w:rsidR="007A3364">
        <w:rPr>
          <w:rFonts w:ascii="Times New Roman" w:hAnsi="Times New Roman" w:cs="Times New Roman"/>
          <w:noProof/>
          <w:sz w:val="24"/>
          <w:szCs w:val="24"/>
          <w:lang w:val="en-IE"/>
        </w:rPr>
        <w:t xml:space="preserve">. </w:t>
      </w:r>
      <w:r w:rsidR="00FC6A30">
        <w:rPr>
          <w:rFonts w:ascii="Times New Roman" w:hAnsi="Times New Roman" w:cs="Times New Roman"/>
          <w:noProof/>
          <w:sz w:val="24"/>
          <w:szCs w:val="24"/>
          <w:lang w:val="en-IE"/>
        </w:rPr>
        <w:t>Subsidies related to e</w:t>
      </w:r>
      <w:r w:rsidR="00C52951">
        <w:rPr>
          <w:rFonts w:ascii="Times New Roman" w:hAnsi="Times New Roman" w:cs="Times New Roman"/>
          <w:noProof/>
          <w:sz w:val="24"/>
          <w:szCs w:val="24"/>
          <w:lang w:val="en-IE"/>
        </w:rPr>
        <w:t>nergy demand</w:t>
      </w:r>
      <w:r w:rsidR="00C52951">
        <w:rPr>
          <w:rStyle w:val="FootnoteReference"/>
          <w:rFonts w:ascii="Times New Roman" w:hAnsi="Times New Roman" w:cs="Times New Roman"/>
          <w:noProof/>
          <w:sz w:val="24"/>
          <w:szCs w:val="24"/>
          <w:lang w:val="en-IE"/>
        </w:rPr>
        <w:footnoteReference w:id="16"/>
      </w:r>
      <w:r w:rsidR="00C52951">
        <w:rPr>
          <w:rFonts w:ascii="Times New Roman" w:hAnsi="Times New Roman" w:cs="Times New Roman"/>
          <w:noProof/>
          <w:sz w:val="24"/>
          <w:szCs w:val="24"/>
          <w:lang w:val="en-IE"/>
        </w:rPr>
        <w:t xml:space="preserve"> </w:t>
      </w:r>
      <w:r w:rsidR="00FC6A30">
        <w:rPr>
          <w:rFonts w:ascii="Times New Roman" w:hAnsi="Times New Roman" w:cs="Times New Roman"/>
          <w:noProof/>
          <w:sz w:val="24"/>
          <w:szCs w:val="24"/>
          <w:lang w:val="en-IE"/>
        </w:rPr>
        <w:t>rose</w:t>
      </w:r>
      <w:r w:rsidR="00C52951">
        <w:rPr>
          <w:rFonts w:ascii="Times New Roman" w:hAnsi="Times New Roman" w:cs="Times New Roman"/>
          <w:noProof/>
          <w:sz w:val="24"/>
          <w:szCs w:val="24"/>
          <w:lang w:val="en-IE"/>
        </w:rPr>
        <w:t xml:space="preserve"> by 14% (+</w:t>
      </w:r>
      <w:r w:rsidR="007D1383">
        <w:rPr>
          <w:rFonts w:ascii="Times New Roman" w:hAnsi="Times New Roman" w:cs="Times New Roman"/>
          <w:noProof/>
          <w:sz w:val="24"/>
          <w:szCs w:val="24"/>
          <w:lang w:val="en-IE"/>
        </w:rPr>
        <w:t xml:space="preserve">EUR </w:t>
      </w:r>
      <w:r w:rsidR="00C52951">
        <w:rPr>
          <w:rFonts w:ascii="Times New Roman" w:hAnsi="Times New Roman" w:cs="Times New Roman"/>
          <w:noProof/>
          <w:sz w:val="24"/>
          <w:szCs w:val="24"/>
          <w:lang w:val="en-IE"/>
        </w:rPr>
        <w:t>8 billion)</w:t>
      </w:r>
      <w:r w:rsidR="00FC6A30">
        <w:rPr>
          <w:rFonts w:ascii="Times New Roman" w:hAnsi="Times New Roman" w:cs="Times New Roman"/>
          <w:noProof/>
          <w:sz w:val="24"/>
          <w:szCs w:val="24"/>
          <w:lang w:val="en-IE"/>
        </w:rPr>
        <w:t xml:space="preserve"> in 2021 compared to 2020</w:t>
      </w:r>
      <w:r w:rsidR="00C52951">
        <w:rPr>
          <w:rFonts w:ascii="Times New Roman" w:hAnsi="Times New Roman" w:cs="Times New Roman"/>
          <w:noProof/>
          <w:sz w:val="24"/>
          <w:szCs w:val="24"/>
          <w:lang w:val="en-IE"/>
        </w:rPr>
        <w:t xml:space="preserve">, principally owing to increasing energy consumption amid </w:t>
      </w:r>
      <w:r w:rsidR="002408C7">
        <w:rPr>
          <w:rFonts w:ascii="Times New Roman" w:hAnsi="Times New Roman" w:cs="Times New Roman"/>
          <w:noProof/>
          <w:sz w:val="24"/>
          <w:szCs w:val="24"/>
          <w:lang w:val="en-IE"/>
        </w:rPr>
        <w:t xml:space="preserve">economic </w:t>
      </w:r>
      <w:r w:rsidR="00C52951">
        <w:rPr>
          <w:rFonts w:ascii="Times New Roman" w:hAnsi="Times New Roman" w:cs="Times New Roman"/>
          <w:noProof/>
          <w:sz w:val="24"/>
          <w:szCs w:val="24"/>
          <w:lang w:val="en-IE"/>
        </w:rPr>
        <w:t>recovery</w:t>
      </w:r>
      <w:r w:rsidR="00FC6A30">
        <w:rPr>
          <w:rFonts w:ascii="Times New Roman" w:hAnsi="Times New Roman" w:cs="Times New Roman"/>
          <w:noProof/>
          <w:sz w:val="24"/>
          <w:szCs w:val="24"/>
          <w:lang w:val="en-IE"/>
        </w:rPr>
        <w:t>. This showed</w:t>
      </w:r>
      <w:r w:rsidR="00C52951">
        <w:rPr>
          <w:rFonts w:ascii="Times New Roman" w:hAnsi="Times New Roman" w:cs="Times New Roman"/>
          <w:noProof/>
          <w:sz w:val="24"/>
          <w:szCs w:val="24"/>
          <w:lang w:val="en-IE"/>
        </w:rPr>
        <w:t xml:space="preserve"> that the fall in energy</w:t>
      </w:r>
      <w:r w:rsidR="007D1383">
        <w:rPr>
          <w:rFonts w:ascii="Times New Roman" w:hAnsi="Times New Roman" w:cs="Times New Roman"/>
          <w:noProof/>
          <w:sz w:val="24"/>
          <w:szCs w:val="24"/>
          <w:lang w:val="en-IE"/>
        </w:rPr>
        <w:t>-</w:t>
      </w:r>
      <w:r w:rsidR="00C52951">
        <w:rPr>
          <w:rFonts w:ascii="Times New Roman" w:hAnsi="Times New Roman" w:cs="Times New Roman"/>
          <w:noProof/>
          <w:sz w:val="24"/>
          <w:szCs w:val="24"/>
          <w:lang w:val="en-IE"/>
        </w:rPr>
        <w:t xml:space="preserve">demand subsidies in 2020 was only temporary. The impact of measures taken by Member States </w:t>
      </w:r>
      <w:r w:rsidR="00FC6A30">
        <w:rPr>
          <w:rFonts w:ascii="Times New Roman" w:hAnsi="Times New Roman" w:cs="Times New Roman"/>
          <w:noProof/>
          <w:sz w:val="24"/>
          <w:szCs w:val="24"/>
          <w:lang w:val="en-IE"/>
        </w:rPr>
        <w:t>starting in</w:t>
      </w:r>
      <w:r w:rsidR="00C52951">
        <w:rPr>
          <w:rFonts w:ascii="Times New Roman" w:hAnsi="Times New Roman" w:cs="Times New Roman"/>
          <w:noProof/>
          <w:sz w:val="24"/>
          <w:szCs w:val="24"/>
          <w:lang w:val="en-IE"/>
        </w:rPr>
        <w:t xml:space="preserve"> the second half of 2021</w:t>
      </w:r>
      <w:r w:rsidR="00C07677">
        <w:rPr>
          <w:rFonts w:ascii="Times New Roman" w:hAnsi="Times New Roman" w:cs="Times New Roman"/>
          <w:noProof/>
          <w:sz w:val="24"/>
          <w:szCs w:val="24"/>
          <w:lang w:val="en-IE"/>
        </w:rPr>
        <w:t xml:space="preserve"> </w:t>
      </w:r>
      <w:r w:rsidR="00C52951">
        <w:rPr>
          <w:rFonts w:ascii="Times New Roman" w:hAnsi="Times New Roman" w:cs="Times New Roman"/>
          <w:noProof/>
          <w:sz w:val="24"/>
          <w:szCs w:val="24"/>
          <w:lang w:val="en-IE"/>
        </w:rPr>
        <w:t xml:space="preserve">to support businesses </w:t>
      </w:r>
      <w:r w:rsidR="007D1383">
        <w:rPr>
          <w:rFonts w:ascii="Times New Roman" w:hAnsi="Times New Roman" w:cs="Times New Roman"/>
          <w:noProof/>
          <w:sz w:val="24"/>
          <w:szCs w:val="24"/>
          <w:lang w:val="en-IE"/>
        </w:rPr>
        <w:t xml:space="preserve">and the public </w:t>
      </w:r>
      <w:r w:rsidR="00FC6A30">
        <w:rPr>
          <w:rFonts w:ascii="Times New Roman" w:hAnsi="Times New Roman" w:cs="Times New Roman"/>
          <w:noProof/>
          <w:sz w:val="24"/>
          <w:szCs w:val="24"/>
          <w:lang w:val="en-IE"/>
        </w:rPr>
        <w:t xml:space="preserve">– even if only temporarily – </w:t>
      </w:r>
      <w:r w:rsidR="00C52951">
        <w:rPr>
          <w:rFonts w:ascii="Times New Roman" w:hAnsi="Times New Roman" w:cs="Times New Roman"/>
          <w:noProof/>
          <w:sz w:val="24"/>
          <w:szCs w:val="24"/>
          <w:lang w:val="en-IE"/>
        </w:rPr>
        <w:t xml:space="preserve">amid high energy prices </w:t>
      </w:r>
      <w:r w:rsidR="00EB52BE">
        <w:rPr>
          <w:rFonts w:ascii="Times New Roman" w:hAnsi="Times New Roman" w:cs="Times New Roman"/>
          <w:noProof/>
          <w:sz w:val="24"/>
          <w:szCs w:val="24"/>
          <w:lang w:val="en-IE"/>
        </w:rPr>
        <w:t>can</w:t>
      </w:r>
      <w:r w:rsidR="00C52951">
        <w:rPr>
          <w:rFonts w:ascii="Times New Roman" w:hAnsi="Times New Roman" w:cs="Times New Roman"/>
          <w:noProof/>
          <w:sz w:val="24"/>
          <w:szCs w:val="24"/>
          <w:lang w:val="en-IE"/>
        </w:rPr>
        <w:t xml:space="preserve"> already be </w:t>
      </w:r>
      <w:r w:rsidR="00FC6A30">
        <w:rPr>
          <w:rFonts w:ascii="Times New Roman" w:hAnsi="Times New Roman" w:cs="Times New Roman"/>
          <w:noProof/>
          <w:sz w:val="24"/>
          <w:szCs w:val="24"/>
          <w:lang w:val="en-IE"/>
        </w:rPr>
        <w:t xml:space="preserve">seen </w:t>
      </w:r>
      <w:r w:rsidR="00C52951">
        <w:rPr>
          <w:rFonts w:ascii="Times New Roman" w:hAnsi="Times New Roman" w:cs="Times New Roman"/>
          <w:noProof/>
          <w:sz w:val="24"/>
          <w:szCs w:val="24"/>
          <w:lang w:val="en-IE"/>
        </w:rPr>
        <w:t xml:space="preserve">in increasing </w:t>
      </w:r>
      <w:r w:rsidR="00FC6A30">
        <w:rPr>
          <w:rFonts w:ascii="Times New Roman" w:hAnsi="Times New Roman" w:cs="Times New Roman"/>
          <w:noProof/>
          <w:sz w:val="24"/>
          <w:szCs w:val="24"/>
          <w:lang w:val="en-IE"/>
        </w:rPr>
        <w:t>energy-</w:t>
      </w:r>
      <w:r w:rsidR="00C52951">
        <w:rPr>
          <w:rFonts w:ascii="Times New Roman" w:hAnsi="Times New Roman" w:cs="Times New Roman"/>
          <w:noProof/>
          <w:sz w:val="24"/>
          <w:szCs w:val="24"/>
          <w:lang w:val="en-IE"/>
        </w:rPr>
        <w:t>demand</w:t>
      </w:r>
      <w:r w:rsidR="00FC6A30">
        <w:rPr>
          <w:rFonts w:ascii="Times New Roman" w:hAnsi="Times New Roman" w:cs="Times New Roman"/>
          <w:noProof/>
          <w:sz w:val="24"/>
          <w:szCs w:val="24"/>
          <w:lang w:val="en-IE"/>
        </w:rPr>
        <w:t>-</w:t>
      </w:r>
      <w:r w:rsidR="00C52951">
        <w:rPr>
          <w:rFonts w:ascii="Times New Roman" w:hAnsi="Times New Roman" w:cs="Times New Roman"/>
          <w:noProof/>
          <w:sz w:val="24"/>
          <w:szCs w:val="24"/>
          <w:lang w:val="en-IE"/>
        </w:rPr>
        <w:t>related subsidies</w:t>
      </w:r>
      <w:r w:rsidR="00FC6A30">
        <w:rPr>
          <w:rFonts w:ascii="Times New Roman" w:hAnsi="Times New Roman" w:cs="Times New Roman"/>
          <w:noProof/>
          <w:sz w:val="24"/>
          <w:szCs w:val="24"/>
          <w:lang w:val="en-IE"/>
        </w:rPr>
        <w:t xml:space="preserve"> f</w:t>
      </w:r>
      <w:r w:rsidR="007D1383">
        <w:rPr>
          <w:rFonts w:ascii="Times New Roman" w:hAnsi="Times New Roman" w:cs="Times New Roman"/>
          <w:noProof/>
          <w:sz w:val="24"/>
          <w:szCs w:val="24"/>
          <w:lang w:val="en-IE"/>
        </w:rPr>
        <w:t>or</w:t>
      </w:r>
      <w:r w:rsidR="00FC6A30">
        <w:rPr>
          <w:rFonts w:ascii="Times New Roman" w:hAnsi="Times New Roman" w:cs="Times New Roman"/>
          <w:noProof/>
          <w:sz w:val="24"/>
          <w:szCs w:val="24"/>
          <w:lang w:val="en-IE"/>
        </w:rPr>
        <w:t xml:space="preserve"> this time. H</w:t>
      </w:r>
      <w:r w:rsidR="00C52951">
        <w:rPr>
          <w:rFonts w:ascii="Times New Roman" w:hAnsi="Times New Roman" w:cs="Times New Roman"/>
          <w:noProof/>
          <w:sz w:val="24"/>
          <w:szCs w:val="24"/>
          <w:lang w:val="en-IE"/>
        </w:rPr>
        <w:t xml:space="preserve">owever, </w:t>
      </w:r>
      <w:r w:rsidR="00FC6A30">
        <w:rPr>
          <w:rFonts w:ascii="Times New Roman" w:hAnsi="Times New Roman" w:cs="Times New Roman"/>
          <w:noProof/>
          <w:sz w:val="24"/>
          <w:szCs w:val="24"/>
          <w:lang w:val="en-IE"/>
        </w:rPr>
        <w:t xml:space="preserve">it will only be possibly to quantify </w:t>
      </w:r>
      <w:r w:rsidR="00C52951">
        <w:rPr>
          <w:rFonts w:ascii="Times New Roman" w:hAnsi="Times New Roman" w:cs="Times New Roman"/>
          <w:noProof/>
          <w:sz w:val="24"/>
          <w:szCs w:val="24"/>
          <w:lang w:val="en-IE"/>
        </w:rPr>
        <w:t>precise details in the next edition of the energy subsidies report.</w:t>
      </w:r>
    </w:p>
    <w:p w14:paraId="71AD0B1C" w14:textId="33549135" w:rsidR="005A3F7B" w:rsidRPr="005A3F7B" w:rsidRDefault="00C52951"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S</w:t>
      </w:r>
      <w:r w:rsidR="007A3364">
        <w:rPr>
          <w:rFonts w:ascii="Times New Roman" w:hAnsi="Times New Roman" w:cs="Times New Roman"/>
          <w:noProof/>
          <w:sz w:val="24"/>
          <w:szCs w:val="24"/>
          <w:lang w:val="en-IE"/>
        </w:rPr>
        <w:t>ubsidies for energy</w:t>
      </w:r>
      <w:r w:rsidR="00D81B4B">
        <w:rPr>
          <w:rFonts w:ascii="Times New Roman" w:hAnsi="Times New Roman" w:cs="Times New Roman"/>
          <w:noProof/>
          <w:sz w:val="24"/>
          <w:szCs w:val="24"/>
          <w:lang w:val="en-IE"/>
        </w:rPr>
        <w:t>-</w:t>
      </w:r>
      <w:r w:rsidR="007A3364">
        <w:rPr>
          <w:rFonts w:ascii="Times New Roman" w:hAnsi="Times New Roman" w:cs="Times New Roman"/>
          <w:noProof/>
          <w:sz w:val="24"/>
          <w:szCs w:val="24"/>
          <w:lang w:val="en-IE"/>
        </w:rPr>
        <w:t>efficiency measures</w:t>
      </w:r>
      <w:r>
        <w:rPr>
          <w:rFonts w:ascii="Times New Roman" w:hAnsi="Times New Roman" w:cs="Times New Roman"/>
          <w:noProof/>
          <w:sz w:val="24"/>
          <w:szCs w:val="24"/>
          <w:lang w:val="en-IE"/>
        </w:rPr>
        <w:t>, after a temporary fall in 2020</w:t>
      </w:r>
      <w:r w:rsidR="00FC24DF">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rose again in 2021, reach</w:t>
      </w:r>
      <w:r w:rsidR="00D81B4B">
        <w:rPr>
          <w:rFonts w:ascii="Times New Roman" w:hAnsi="Times New Roman" w:cs="Times New Roman"/>
          <w:noProof/>
          <w:sz w:val="24"/>
          <w:szCs w:val="24"/>
          <w:lang w:val="en-IE"/>
        </w:rPr>
        <w:t>ing</w:t>
      </w:r>
      <w:r>
        <w:rPr>
          <w:rFonts w:ascii="Times New Roman" w:hAnsi="Times New Roman" w:cs="Times New Roman"/>
          <w:noProof/>
          <w:sz w:val="24"/>
          <w:szCs w:val="24"/>
          <w:lang w:val="en-IE"/>
        </w:rPr>
        <w:t xml:space="preserve"> </w:t>
      </w:r>
      <w:r w:rsidR="007D1383">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1</w:t>
      </w:r>
      <w:r w:rsidR="00CA4032">
        <w:rPr>
          <w:rFonts w:ascii="Times New Roman" w:hAnsi="Times New Roman" w:cs="Times New Roman"/>
          <w:noProof/>
          <w:sz w:val="24"/>
          <w:szCs w:val="24"/>
          <w:lang w:val="en-IE"/>
        </w:rPr>
        <w:t>9</w:t>
      </w:r>
      <w:r>
        <w:rPr>
          <w:rFonts w:ascii="Times New Roman" w:hAnsi="Times New Roman" w:cs="Times New Roman"/>
          <w:noProof/>
          <w:sz w:val="24"/>
          <w:szCs w:val="24"/>
          <w:lang w:val="en-IE"/>
        </w:rPr>
        <w:t xml:space="preserve"> billion</w:t>
      </w:r>
      <w:r w:rsidR="00D81B4B">
        <w:rPr>
          <w:rFonts w:ascii="Times New Roman" w:hAnsi="Times New Roman" w:cs="Times New Roman"/>
          <w:noProof/>
          <w:sz w:val="24"/>
          <w:szCs w:val="24"/>
          <w:lang w:val="en-IE"/>
        </w:rPr>
        <w:t>. This amounted to a</w:t>
      </w:r>
      <w:r>
        <w:rPr>
          <w:rFonts w:ascii="Times New Roman" w:hAnsi="Times New Roman" w:cs="Times New Roman"/>
          <w:noProof/>
          <w:sz w:val="24"/>
          <w:szCs w:val="24"/>
          <w:lang w:val="en-IE"/>
        </w:rPr>
        <w:t xml:space="preserve"> 54% </w:t>
      </w:r>
      <w:r w:rsidR="00D81B4B">
        <w:rPr>
          <w:rFonts w:ascii="Times New Roman" w:hAnsi="Times New Roman" w:cs="Times New Roman"/>
          <w:noProof/>
          <w:sz w:val="24"/>
          <w:szCs w:val="24"/>
          <w:lang w:val="en-IE"/>
        </w:rPr>
        <w:t xml:space="preserve">increase </w:t>
      </w:r>
      <w:r>
        <w:rPr>
          <w:rFonts w:ascii="Times New Roman" w:hAnsi="Times New Roman" w:cs="Times New Roman"/>
          <w:noProof/>
          <w:sz w:val="24"/>
          <w:szCs w:val="24"/>
          <w:lang w:val="en-IE"/>
        </w:rPr>
        <w:t>(+</w:t>
      </w:r>
      <w:r w:rsidR="007D1383">
        <w:rPr>
          <w:rFonts w:ascii="Times New Roman" w:hAnsi="Times New Roman" w:cs="Times New Roman"/>
          <w:noProof/>
          <w:sz w:val="24"/>
          <w:szCs w:val="24"/>
          <w:lang w:val="en-IE"/>
        </w:rPr>
        <w:t xml:space="preserve">EUR </w:t>
      </w:r>
      <w:r w:rsidR="00CA4032">
        <w:rPr>
          <w:rFonts w:ascii="Times New Roman" w:hAnsi="Times New Roman" w:cs="Times New Roman"/>
          <w:noProof/>
          <w:sz w:val="24"/>
          <w:szCs w:val="24"/>
          <w:lang w:val="en-IE"/>
        </w:rPr>
        <w:t>6.5</w:t>
      </w:r>
      <w:r>
        <w:rPr>
          <w:rFonts w:ascii="Times New Roman" w:hAnsi="Times New Roman" w:cs="Times New Roman"/>
          <w:noProof/>
          <w:sz w:val="24"/>
          <w:szCs w:val="24"/>
          <w:lang w:val="en-IE"/>
        </w:rPr>
        <w:t xml:space="preserve"> billion)</w:t>
      </w:r>
      <w:r w:rsidR="007A3364">
        <w:rPr>
          <w:rFonts w:ascii="Times New Roman" w:hAnsi="Times New Roman" w:cs="Times New Roman"/>
          <w:noProof/>
          <w:sz w:val="24"/>
          <w:szCs w:val="24"/>
          <w:lang w:val="en-IE"/>
        </w:rPr>
        <w:t xml:space="preserve"> compared to 201</w:t>
      </w:r>
      <w:r>
        <w:rPr>
          <w:rFonts w:ascii="Times New Roman" w:hAnsi="Times New Roman" w:cs="Times New Roman"/>
          <w:noProof/>
          <w:sz w:val="24"/>
          <w:szCs w:val="24"/>
          <w:lang w:val="en-IE"/>
        </w:rPr>
        <w:t>5.</w:t>
      </w:r>
      <w:r w:rsidR="007A3364">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Furthermore</w:t>
      </w:r>
      <w:r w:rsidR="007A3364">
        <w:rPr>
          <w:rFonts w:ascii="Times New Roman" w:hAnsi="Times New Roman" w:cs="Times New Roman"/>
          <w:noProof/>
          <w:sz w:val="24"/>
          <w:szCs w:val="24"/>
          <w:lang w:val="en-IE"/>
        </w:rPr>
        <w:t xml:space="preserve">, the estimated amount of subsidies for industry restructuring rose to </w:t>
      </w:r>
      <w:r w:rsidR="00D81B4B">
        <w:rPr>
          <w:rFonts w:ascii="Times New Roman" w:hAnsi="Times New Roman" w:cs="Times New Roman"/>
          <w:noProof/>
          <w:sz w:val="24"/>
          <w:szCs w:val="24"/>
          <w:lang w:val="en-IE"/>
        </w:rPr>
        <w:t>EUR </w:t>
      </w:r>
      <w:r w:rsidR="0064059A">
        <w:rPr>
          <w:rFonts w:ascii="Times New Roman" w:hAnsi="Times New Roman" w:cs="Times New Roman"/>
          <w:noProof/>
          <w:sz w:val="24"/>
          <w:szCs w:val="24"/>
          <w:lang w:val="en-IE"/>
        </w:rPr>
        <w:t>4.6</w:t>
      </w:r>
      <w:r w:rsidR="007A3364">
        <w:rPr>
          <w:rFonts w:ascii="Times New Roman" w:hAnsi="Times New Roman" w:cs="Times New Roman"/>
          <w:noProof/>
          <w:sz w:val="24"/>
          <w:szCs w:val="24"/>
          <w:lang w:val="en-IE"/>
        </w:rPr>
        <w:t xml:space="preserve"> billion in 202</w:t>
      </w:r>
      <w:r>
        <w:rPr>
          <w:rFonts w:ascii="Times New Roman" w:hAnsi="Times New Roman" w:cs="Times New Roman"/>
          <w:noProof/>
          <w:sz w:val="24"/>
          <w:szCs w:val="24"/>
          <w:lang w:val="en-IE"/>
        </w:rPr>
        <w:t>1</w:t>
      </w:r>
      <w:r w:rsidR="007A3364">
        <w:rPr>
          <w:rFonts w:ascii="Times New Roman" w:hAnsi="Times New Roman" w:cs="Times New Roman"/>
          <w:noProof/>
          <w:sz w:val="24"/>
          <w:szCs w:val="24"/>
          <w:lang w:val="en-IE"/>
        </w:rPr>
        <w:t xml:space="preserve"> (up from </w:t>
      </w:r>
      <w:r w:rsidR="00D81B4B">
        <w:rPr>
          <w:rFonts w:ascii="Times New Roman" w:hAnsi="Times New Roman" w:cs="Times New Roman"/>
          <w:noProof/>
          <w:sz w:val="24"/>
          <w:szCs w:val="24"/>
          <w:lang w:val="en-IE"/>
        </w:rPr>
        <w:t>EUR </w:t>
      </w:r>
      <w:r>
        <w:rPr>
          <w:rFonts w:ascii="Times New Roman" w:hAnsi="Times New Roman" w:cs="Times New Roman"/>
          <w:noProof/>
          <w:sz w:val="24"/>
          <w:szCs w:val="24"/>
          <w:lang w:val="en-IE"/>
        </w:rPr>
        <w:t>2.3-2.4</w:t>
      </w:r>
      <w:r w:rsidR="007A3364">
        <w:rPr>
          <w:rFonts w:ascii="Times New Roman" w:hAnsi="Times New Roman" w:cs="Times New Roman"/>
          <w:noProof/>
          <w:sz w:val="24"/>
          <w:szCs w:val="24"/>
          <w:lang w:val="en-IE"/>
        </w:rPr>
        <w:t xml:space="preserve"> billion in </w:t>
      </w:r>
      <w:r w:rsidR="00FC24DF">
        <w:rPr>
          <w:rFonts w:ascii="Times New Roman" w:hAnsi="Times New Roman" w:cs="Times New Roman"/>
          <w:noProof/>
          <w:sz w:val="24"/>
          <w:szCs w:val="24"/>
          <w:lang w:val="en-IE"/>
        </w:rPr>
        <w:t xml:space="preserve">each of </w:t>
      </w:r>
      <w:r w:rsidR="0026585A">
        <w:rPr>
          <w:rFonts w:ascii="Times New Roman" w:hAnsi="Times New Roman" w:cs="Times New Roman"/>
          <w:noProof/>
          <w:sz w:val="24"/>
          <w:szCs w:val="24"/>
          <w:lang w:val="en-IE"/>
        </w:rPr>
        <w:t xml:space="preserve">the previous </w:t>
      </w:r>
      <w:r w:rsidR="00D81B4B">
        <w:rPr>
          <w:rFonts w:ascii="Times New Roman" w:hAnsi="Times New Roman" w:cs="Times New Roman"/>
          <w:noProof/>
          <w:sz w:val="24"/>
          <w:szCs w:val="24"/>
          <w:lang w:val="en-IE"/>
        </w:rPr>
        <w:t xml:space="preserve">2 </w:t>
      </w:r>
      <w:r w:rsidR="0026585A">
        <w:rPr>
          <w:rFonts w:ascii="Times New Roman" w:hAnsi="Times New Roman" w:cs="Times New Roman"/>
          <w:noProof/>
          <w:sz w:val="24"/>
          <w:szCs w:val="24"/>
          <w:lang w:val="en-IE"/>
        </w:rPr>
        <w:t>years</w:t>
      </w:r>
      <w:r w:rsidR="007A3364">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principally </w:t>
      </w:r>
      <w:r w:rsidR="007A3364">
        <w:rPr>
          <w:rFonts w:ascii="Times New Roman" w:hAnsi="Times New Roman" w:cs="Times New Roman"/>
          <w:noProof/>
          <w:sz w:val="24"/>
          <w:szCs w:val="24"/>
          <w:lang w:val="en-IE"/>
        </w:rPr>
        <w:t>owing to increas</w:t>
      </w:r>
      <w:r w:rsidR="00D81B4B">
        <w:rPr>
          <w:rFonts w:ascii="Times New Roman" w:hAnsi="Times New Roman" w:cs="Times New Roman"/>
          <w:noProof/>
          <w:sz w:val="24"/>
          <w:szCs w:val="24"/>
          <w:lang w:val="en-IE"/>
        </w:rPr>
        <w:t>ed</w:t>
      </w:r>
      <w:r w:rsidR="007A3364">
        <w:rPr>
          <w:rFonts w:ascii="Times New Roman" w:hAnsi="Times New Roman" w:cs="Times New Roman"/>
          <w:noProof/>
          <w:sz w:val="24"/>
          <w:szCs w:val="24"/>
          <w:lang w:val="en-IE"/>
        </w:rPr>
        <w:t xml:space="preserve"> financial support for </w:t>
      </w:r>
      <w:r w:rsidR="00FC24DF">
        <w:rPr>
          <w:rFonts w:ascii="Times New Roman" w:hAnsi="Times New Roman" w:cs="Times New Roman"/>
          <w:noProof/>
          <w:sz w:val="24"/>
          <w:szCs w:val="24"/>
          <w:lang w:val="en-IE"/>
        </w:rPr>
        <w:t xml:space="preserve">the </w:t>
      </w:r>
      <w:r w:rsidR="007A3364">
        <w:rPr>
          <w:rFonts w:ascii="Times New Roman" w:hAnsi="Times New Roman" w:cs="Times New Roman"/>
          <w:noProof/>
          <w:sz w:val="24"/>
          <w:szCs w:val="24"/>
          <w:lang w:val="en-IE"/>
        </w:rPr>
        <w:t xml:space="preserve">decommissioning of </w:t>
      </w:r>
      <w:r w:rsidR="0064059A">
        <w:rPr>
          <w:rFonts w:ascii="Times New Roman" w:hAnsi="Times New Roman" w:cs="Times New Roman"/>
          <w:noProof/>
          <w:sz w:val="24"/>
          <w:szCs w:val="24"/>
          <w:lang w:val="en-IE"/>
        </w:rPr>
        <w:t>coal and lignite mines and related economic transformation measures</w:t>
      </w:r>
      <w:r w:rsidR="007A336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However, subsidies </w:t>
      </w:r>
      <w:r w:rsidR="002408C7">
        <w:rPr>
          <w:rFonts w:ascii="Times New Roman" w:hAnsi="Times New Roman" w:cs="Times New Roman"/>
          <w:noProof/>
          <w:sz w:val="24"/>
          <w:szCs w:val="24"/>
          <w:lang w:val="en-IE"/>
        </w:rPr>
        <w:t>for</w:t>
      </w:r>
      <w:r>
        <w:rPr>
          <w:rFonts w:ascii="Times New Roman" w:hAnsi="Times New Roman" w:cs="Times New Roman"/>
          <w:noProof/>
          <w:sz w:val="24"/>
          <w:szCs w:val="24"/>
          <w:lang w:val="en-IE"/>
        </w:rPr>
        <w:t xml:space="preserve"> energy production fell by 5% </w:t>
      </w:r>
      <w:r w:rsidR="00D81B4B">
        <w:rPr>
          <w:rFonts w:ascii="Times New Roman" w:hAnsi="Times New Roman" w:cs="Times New Roman"/>
          <w:noProof/>
          <w:sz w:val="24"/>
          <w:szCs w:val="24"/>
          <w:lang w:val="en-IE"/>
        </w:rPr>
        <w:t>(-EUR </w:t>
      </w:r>
      <w:r>
        <w:rPr>
          <w:rFonts w:ascii="Times New Roman" w:hAnsi="Times New Roman" w:cs="Times New Roman"/>
          <w:noProof/>
          <w:sz w:val="24"/>
          <w:szCs w:val="24"/>
          <w:lang w:val="en-IE"/>
        </w:rPr>
        <w:t>5</w:t>
      </w:r>
      <w:r w:rsidR="00D81B4B">
        <w:rPr>
          <w:rFonts w:ascii="Times New Roman" w:hAnsi="Times New Roman" w:cs="Times New Roman"/>
          <w:noProof/>
          <w:sz w:val="24"/>
          <w:szCs w:val="24"/>
          <w:lang w:val="en-IE"/>
        </w:rPr>
        <w:t> </w:t>
      </w:r>
      <w:r>
        <w:rPr>
          <w:rFonts w:ascii="Times New Roman" w:hAnsi="Times New Roman" w:cs="Times New Roman"/>
          <w:noProof/>
          <w:sz w:val="24"/>
          <w:szCs w:val="24"/>
          <w:lang w:val="en-IE"/>
        </w:rPr>
        <w:t>billion), as subsidies on renewables (principally solar) fell substantially amid higher wholesale electricity</w:t>
      </w:r>
      <w:r w:rsidR="00D81B4B">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market prices, </w:t>
      </w:r>
      <w:r w:rsidR="00D81B4B">
        <w:rPr>
          <w:rFonts w:ascii="Times New Roman" w:hAnsi="Times New Roman" w:cs="Times New Roman"/>
          <w:noProof/>
          <w:sz w:val="24"/>
          <w:szCs w:val="24"/>
          <w:lang w:val="en-IE"/>
        </w:rPr>
        <w:t xml:space="preserve">which </w:t>
      </w:r>
      <w:r>
        <w:rPr>
          <w:rFonts w:ascii="Times New Roman" w:hAnsi="Times New Roman" w:cs="Times New Roman"/>
          <w:noProof/>
          <w:sz w:val="24"/>
          <w:szCs w:val="24"/>
          <w:lang w:val="en-IE"/>
        </w:rPr>
        <w:t>impact</w:t>
      </w:r>
      <w:r w:rsidR="00D81B4B">
        <w:rPr>
          <w:rFonts w:ascii="Times New Roman" w:hAnsi="Times New Roman" w:cs="Times New Roman"/>
          <w:noProof/>
          <w:sz w:val="24"/>
          <w:szCs w:val="24"/>
          <w:lang w:val="en-IE"/>
        </w:rPr>
        <w:t>ed</w:t>
      </w:r>
      <w:r>
        <w:rPr>
          <w:rFonts w:ascii="Times New Roman" w:hAnsi="Times New Roman" w:cs="Times New Roman"/>
          <w:noProof/>
          <w:sz w:val="24"/>
          <w:szCs w:val="24"/>
          <w:lang w:val="en-IE"/>
        </w:rPr>
        <w:t xml:space="preserve"> feed-in-premium and contract</w:t>
      </w:r>
      <w:r w:rsidR="00D81B4B">
        <w:rPr>
          <w:rFonts w:ascii="Times New Roman" w:hAnsi="Times New Roman" w:cs="Times New Roman"/>
          <w:noProof/>
          <w:sz w:val="24"/>
          <w:szCs w:val="24"/>
          <w:lang w:val="en-IE"/>
        </w:rPr>
        <w:t>-</w:t>
      </w:r>
      <w:r>
        <w:rPr>
          <w:rFonts w:ascii="Times New Roman" w:hAnsi="Times New Roman" w:cs="Times New Roman"/>
          <w:noProof/>
          <w:sz w:val="24"/>
          <w:szCs w:val="24"/>
          <w:lang w:val="en-IE"/>
        </w:rPr>
        <w:t>for</w:t>
      </w:r>
      <w:r w:rsidR="00D81B4B">
        <w:rPr>
          <w:rFonts w:ascii="Times New Roman" w:hAnsi="Times New Roman" w:cs="Times New Roman"/>
          <w:noProof/>
          <w:sz w:val="24"/>
          <w:szCs w:val="24"/>
          <w:lang w:val="en-IE"/>
        </w:rPr>
        <w:t>-</w:t>
      </w:r>
      <w:r>
        <w:rPr>
          <w:rFonts w:ascii="Times New Roman" w:hAnsi="Times New Roman" w:cs="Times New Roman"/>
          <w:noProof/>
          <w:sz w:val="24"/>
          <w:szCs w:val="24"/>
          <w:lang w:val="en-IE"/>
        </w:rPr>
        <w:t>difference types of support schemes.</w:t>
      </w:r>
    </w:p>
    <w:p w14:paraId="16901C2C" w14:textId="014B2B3E" w:rsidR="0021742F" w:rsidRPr="0021742F" w:rsidRDefault="0021742F" w:rsidP="008B4F72">
      <w:pPr>
        <w:pStyle w:val="Caption"/>
        <w:keepNext/>
        <w:spacing w:before="240" w:after="120"/>
        <w:rPr>
          <w:rFonts w:ascii="Times New Roman" w:hAnsi="Times New Roman" w:cs="Times New Roman"/>
          <w:b/>
          <w:i w:val="0"/>
          <w:noProof/>
          <w:color w:val="auto"/>
          <w:sz w:val="20"/>
          <w:szCs w:val="20"/>
          <w:lang w:val="en-US"/>
        </w:rPr>
      </w:pPr>
      <w:r w:rsidRPr="0021742F">
        <w:rPr>
          <w:rFonts w:ascii="Times New Roman" w:hAnsi="Times New Roman" w:cs="Times New Roman"/>
          <w:b/>
          <w:i w:val="0"/>
          <w:noProof/>
          <w:color w:val="auto"/>
          <w:sz w:val="20"/>
          <w:szCs w:val="20"/>
          <w:lang w:val="en-US"/>
        </w:rPr>
        <w:t xml:space="preserve">Figure </w:t>
      </w:r>
      <w:r w:rsidRPr="0021742F">
        <w:rPr>
          <w:rFonts w:ascii="Times New Roman" w:hAnsi="Times New Roman" w:cs="Times New Roman"/>
          <w:b/>
          <w:i w:val="0"/>
          <w:noProof/>
          <w:color w:val="auto"/>
          <w:sz w:val="20"/>
          <w:szCs w:val="20"/>
        </w:rPr>
        <w:fldChar w:fldCharType="begin"/>
      </w:r>
      <w:r w:rsidRPr="0021742F">
        <w:rPr>
          <w:rFonts w:ascii="Times New Roman" w:hAnsi="Times New Roman" w:cs="Times New Roman"/>
          <w:b/>
          <w:i w:val="0"/>
          <w:noProof/>
          <w:color w:val="auto"/>
          <w:sz w:val="20"/>
          <w:szCs w:val="20"/>
          <w:lang w:val="en-US"/>
        </w:rPr>
        <w:instrText xml:space="preserve"> SEQ Figure \* ARABIC </w:instrText>
      </w:r>
      <w:r w:rsidRPr="0021742F">
        <w:rPr>
          <w:rFonts w:ascii="Times New Roman" w:hAnsi="Times New Roman" w:cs="Times New Roman"/>
          <w:b/>
          <w:i w:val="0"/>
          <w:noProof/>
          <w:color w:val="auto"/>
          <w:sz w:val="20"/>
          <w:szCs w:val="20"/>
        </w:rPr>
        <w:fldChar w:fldCharType="separate"/>
      </w:r>
      <w:r w:rsidR="008236A3">
        <w:rPr>
          <w:rFonts w:ascii="Times New Roman" w:hAnsi="Times New Roman" w:cs="Times New Roman"/>
          <w:b/>
          <w:i w:val="0"/>
          <w:noProof/>
          <w:color w:val="auto"/>
          <w:sz w:val="20"/>
          <w:szCs w:val="20"/>
          <w:lang w:val="en-US"/>
        </w:rPr>
        <w:t>1</w:t>
      </w:r>
      <w:r w:rsidRPr="0021742F">
        <w:rPr>
          <w:rFonts w:ascii="Times New Roman" w:hAnsi="Times New Roman" w:cs="Times New Roman"/>
          <w:b/>
          <w:i w:val="0"/>
          <w:noProof/>
          <w:color w:val="auto"/>
          <w:sz w:val="20"/>
          <w:szCs w:val="20"/>
        </w:rPr>
        <w:fldChar w:fldCharType="end"/>
      </w:r>
      <w:r w:rsidRPr="0021742F">
        <w:rPr>
          <w:rFonts w:ascii="Times New Roman" w:hAnsi="Times New Roman" w:cs="Times New Roman"/>
          <w:b/>
          <w:i w:val="0"/>
          <w:noProof/>
          <w:color w:val="auto"/>
          <w:sz w:val="20"/>
          <w:szCs w:val="20"/>
          <w:lang w:val="en-US"/>
        </w:rPr>
        <w:t xml:space="preserve"> – EU energy subsidies by purpose</w:t>
      </w:r>
    </w:p>
    <w:p w14:paraId="31958626" w14:textId="16B5F702" w:rsidR="0021742F" w:rsidRDefault="00D22E1C" w:rsidP="007A3364">
      <w:pPr>
        <w:spacing w:after="0"/>
        <w:rPr>
          <w:rFonts w:ascii="Times New Roman" w:hAnsi="Times New Roman" w:cs="Times New Roman"/>
          <w:b/>
          <w:noProof/>
          <w:sz w:val="24"/>
          <w:szCs w:val="24"/>
          <w:lang w:val="en-IE"/>
        </w:rPr>
      </w:pPr>
      <w:r w:rsidRPr="00D22E1C">
        <w:rPr>
          <w:rFonts w:ascii="Times New Roman" w:hAnsi="Times New Roman" w:cs="Times New Roman"/>
          <w:b/>
          <w:noProof/>
          <w:sz w:val="24"/>
          <w:szCs w:val="24"/>
          <w:lang w:val="en-GB" w:eastAsia="en-GB"/>
        </w:rPr>
        <w:drawing>
          <wp:inline distT="0" distB="0" distL="0" distR="0" wp14:anchorId="493C5DFB" wp14:editId="3E878275">
            <wp:extent cx="4484536" cy="22974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44903" cy="2328356"/>
                    </a:xfrm>
                    <a:prstGeom prst="rect">
                      <a:avLst/>
                    </a:prstGeom>
                  </pic:spPr>
                </pic:pic>
              </a:graphicData>
            </a:graphic>
          </wp:inline>
        </w:drawing>
      </w:r>
    </w:p>
    <w:p w14:paraId="50482231" w14:textId="1406B96F" w:rsidR="007A3364" w:rsidRDefault="008236A3" w:rsidP="008236A3">
      <w:pPr>
        <w:jc w:val="both"/>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r>
        <w:rPr>
          <w:rFonts w:ascii="Times New Roman" w:hAnsi="Times New Roman" w:cs="Times New Roman"/>
          <w:noProof/>
          <w:sz w:val="18"/>
          <w:szCs w:val="18"/>
          <w:lang w:val="en-IE"/>
        </w:rPr>
        <w:t>.</w:t>
      </w:r>
      <w:r w:rsidR="00971EE4">
        <w:rPr>
          <w:rFonts w:ascii="Times New Roman" w:hAnsi="Times New Roman" w:cs="Times New Roman"/>
          <w:noProof/>
          <w:sz w:val="18"/>
          <w:szCs w:val="18"/>
          <w:lang w:val="en-IE"/>
        </w:rPr>
        <w:t xml:space="preserve"> </w:t>
      </w:r>
      <w:r w:rsidR="00D81B4B">
        <w:rPr>
          <w:rFonts w:ascii="Times New Roman" w:hAnsi="Times New Roman" w:cs="Times New Roman"/>
          <w:noProof/>
          <w:sz w:val="18"/>
          <w:szCs w:val="18"/>
          <w:lang w:val="en-IE"/>
        </w:rPr>
        <w:t>T</w:t>
      </w:r>
      <w:r w:rsidR="002408C7">
        <w:rPr>
          <w:rFonts w:ascii="Times New Roman" w:hAnsi="Times New Roman" w:cs="Times New Roman"/>
          <w:noProof/>
          <w:sz w:val="18"/>
          <w:szCs w:val="18"/>
          <w:lang w:val="en-IE"/>
        </w:rPr>
        <w:t>hrough</w:t>
      </w:r>
      <w:r w:rsidR="00D81B4B">
        <w:rPr>
          <w:rFonts w:ascii="Times New Roman" w:hAnsi="Times New Roman" w:cs="Times New Roman"/>
          <w:noProof/>
          <w:sz w:val="18"/>
          <w:szCs w:val="18"/>
          <w:lang w:val="en-IE"/>
        </w:rPr>
        <w:t>out this document,</w:t>
      </w:r>
      <w:r w:rsidR="00971EE4">
        <w:rPr>
          <w:rFonts w:ascii="Times New Roman" w:hAnsi="Times New Roman" w:cs="Times New Roman"/>
          <w:noProof/>
          <w:sz w:val="18"/>
          <w:szCs w:val="18"/>
          <w:lang w:val="en-IE"/>
        </w:rPr>
        <w:t xml:space="preserve"> </w:t>
      </w:r>
      <w:r>
        <w:rPr>
          <w:rFonts w:ascii="Times New Roman" w:hAnsi="Times New Roman" w:cs="Times New Roman"/>
          <w:noProof/>
          <w:sz w:val="18"/>
          <w:szCs w:val="18"/>
          <w:lang w:val="en-IE"/>
        </w:rPr>
        <w:t>sphered</w:t>
      </w:r>
      <w:r w:rsidR="00971EE4">
        <w:rPr>
          <w:rFonts w:ascii="Times New Roman" w:hAnsi="Times New Roman" w:cs="Times New Roman"/>
          <w:noProof/>
          <w:sz w:val="18"/>
          <w:szCs w:val="18"/>
          <w:lang w:val="en-IE"/>
        </w:rPr>
        <w:t xml:space="preserve"> stack bars show that these </w:t>
      </w:r>
      <w:r w:rsidR="00D81B4B">
        <w:rPr>
          <w:rFonts w:ascii="Times New Roman" w:hAnsi="Times New Roman" w:cs="Times New Roman"/>
          <w:noProof/>
          <w:sz w:val="18"/>
          <w:szCs w:val="18"/>
          <w:lang w:val="en-IE"/>
        </w:rPr>
        <w:t xml:space="preserve">2021 </w:t>
      </w:r>
      <w:r w:rsidR="00971EE4">
        <w:rPr>
          <w:rFonts w:ascii="Times New Roman" w:hAnsi="Times New Roman" w:cs="Times New Roman"/>
          <w:noProof/>
          <w:sz w:val="18"/>
          <w:szCs w:val="18"/>
          <w:lang w:val="en-IE"/>
        </w:rPr>
        <w:t xml:space="preserve">data are based on estimations, and each category should be interpreted as adding </w:t>
      </w:r>
      <w:r w:rsidR="00FC24DF">
        <w:rPr>
          <w:rFonts w:ascii="Times New Roman" w:hAnsi="Times New Roman" w:cs="Times New Roman"/>
          <w:noProof/>
          <w:sz w:val="18"/>
          <w:szCs w:val="18"/>
          <w:lang w:val="en-IE"/>
        </w:rPr>
        <w:t xml:space="preserve">a </w:t>
      </w:r>
      <w:r w:rsidR="002408C7">
        <w:rPr>
          <w:rFonts w:ascii="Times New Roman" w:hAnsi="Times New Roman" w:cs="Times New Roman"/>
          <w:noProof/>
          <w:sz w:val="18"/>
          <w:szCs w:val="18"/>
          <w:lang w:val="en-IE"/>
        </w:rPr>
        <w:t xml:space="preserve">sphered bar (estimations) to </w:t>
      </w:r>
      <w:r w:rsidR="00971EE4">
        <w:rPr>
          <w:rFonts w:ascii="Times New Roman" w:hAnsi="Times New Roman" w:cs="Times New Roman"/>
          <w:noProof/>
          <w:sz w:val="18"/>
          <w:szCs w:val="18"/>
          <w:lang w:val="en-IE"/>
        </w:rPr>
        <w:t xml:space="preserve">the </w:t>
      </w:r>
      <w:r>
        <w:rPr>
          <w:rFonts w:ascii="Times New Roman" w:hAnsi="Times New Roman" w:cs="Times New Roman"/>
          <w:noProof/>
          <w:sz w:val="18"/>
          <w:szCs w:val="18"/>
          <w:lang w:val="en-IE"/>
        </w:rPr>
        <w:t>filled</w:t>
      </w:r>
      <w:r w:rsidR="00971EE4">
        <w:rPr>
          <w:rFonts w:ascii="Times New Roman" w:hAnsi="Times New Roman" w:cs="Times New Roman"/>
          <w:noProof/>
          <w:sz w:val="18"/>
          <w:szCs w:val="18"/>
          <w:lang w:val="en-IE"/>
        </w:rPr>
        <w:t xml:space="preserve"> bar (factual data) to compare with earlier years.</w:t>
      </w:r>
    </w:p>
    <w:p w14:paraId="7A548917" w14:textId="7B95A08C" w:rsidR="00162D4A" w:rsidRDefault="00E82685"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As an indicator of </w:t>
      </w:r>
      <w:r w:rsidR="00D81B4B">
        <w:rPr>
          <w:rFonts w:ascii="Times New Roman" w:hAnsi="Times New Roman" w:cs="Times New Roman"/>
          <w:noProof/>
          <w:sz w:val="24"/>
          <w:szCs w:val="24"/>
          <w:lang w:val="en-IE"/>
        </w:rPr>
        <w:t>the energy-</w:t>
      </w:r>
      <w:r>
        <w:rPr>
          <w:rFonts w:ascii="Times New Roman" w:hAnsi="Times New Roman" w:cs="Times New Roman"/>
          <w:noProof/>
          <w:sz w:val="24"/>
          <w:szCs w:val="24"/>
          <w:lang w:val="en-IE"/>
        </w:rPr>
        <w:t xml:space="preserve">subsidy intensity of the economy, energy subsidies </w:t>
      </w:r>
      <w:r w:rsidR="002408C7">
        <w:rPr>
          <w:rFonts w:ascii="Times New Roman" w:hAnsi="Times New Roman" w:cs="Times New Roman"/>
          <w:noProof/>
          <w:sz w:val="24"/>
          <w:szCs w:val="24"/>
          <w:lang w:val="en-IE"/>
        </w:rPr>
        <w:t>in comparison to</w:t>
      </w:r>
      <w:r>
        <w:rPr>
          <w:rFonts w:ascii="Times New Roman" w:hAnsi="Times New Roman" w:cs="Times New Roman"/>
          <w:noProof/>
          <w:sz w:val="24"/>
          <w:szCs w:val="24"/>
          <w:lang w:val="en-IE"/>
        </w:rPr>
        <w:t xml:space="preserve"> GDP </w:t>
      </w:r>
      <w:r w:rsidR="002408C7">
        <w:rPr>
          <w:rFonts w:ascii="Times New Roman" w:hAnsi="Times New Roman" w:cs="Times New Roman"/>
          <w:noProof/>
          <w:sz w:val="24"/>
          <w:szCs w:val="24"/>
          <w:lang w:val="en-IE"/>
        </w:rPr>
        <w:t xml:space="preserve">in </w:t>
      </w:r>
      <w:r>
        <w:rPr>
          <w:rFonts w:ascii="Times New Roman" w:hAnsi="Times New Roman" w:cs="Times New Roman"/>
          <w:noProof/>
          <w:sz w:val="24"/>
          <w:szCs w:val="24"/>
          <w:lang w:val="en-IE"/>
        </w:rPr>
        <w:t xml:space="preserve">EU Member States can be used </w:t>
      </w:r>
      <w:r w:rsidR="00D81B4B">
        <w:rPr>
          <w:rFonts w:ascii="Times New Roman" w:hAnsi="Times New Roman" w:cs="Times New Roman"/>
          <w:noProof/>
          <w:sz w:val="24"/>
          <w:szCs w:val="24"/>
          <w:lang w:val="en-IE"/>
        </w:rPr>
        <w:t>to make cross-</w:t>
      </w:r>
      <w:r>
        <w:rPr>
          <w:rFonts w:ascii="Times New Roman" w:hAnsi="Times New Roman" w:cs="Times New Roman"/>
          <w:noProof/>
          <w:sz w:val="24"/>
          <w:szCs w:val="24"/>
          <w:lang w:val="en-IE"/>
        </w:rPr>
        <w:t>country comparisons</w:t>
      </w:r>
      <w:r w:rsidR="00D81B4B">
        <w:rPr>
          <w:rFonts w:ascii="Times New Roman" w:hAnsi="Times New Roman" w:cs="Times New Roman"/>
          <w:noProof/>
          <w:sz w:val="24"/>
          <w:szCs w:val="24"/>
          <w:lang w:val="en-IE"/>
        </w:rPr>
        <w:t>. This is because</w:t>
      </w:r>
      <w:r>
        <w:rPr>
          <w:rFonts w:ascii="Times New Roman" w:hAnsi="Times New Roman" w:cs="Times New Roman"/>
          <w:noProof/>
          <w:sz w:val="24"/>
          <w:szCs w:val="24"/>
          <w:lang w:val="en-IE"/>
        </w:rPr>
        <w:t xml:space="preserve"> absolute subsidy </w:t>
      </w:r>
      <w:r w:rsidR="00D81B4B">
        <w:rPr>
          <w:rFonts w:ascii="Times New Roman" w:hAnsi="Times New Roman" w:cs="Times New Roman"/>
          <w:noProof/>
          <w:sz w:val="24"/>
          <w:szCs w:val="24"/>
          <w:lang w:val="en-IE"/>
        </w:rPr>
        <w:t xml:space="preserve">values </w:t>
      </w:r>
      <w:r w:rsidR="002408C7">
        <w:rPr>
          <w:rFonts w:ascii="Times New Roman" w:hAnsi="Times New Roman" w:cs="Times New Roman"/>
          <w:noProof/>
          <w:sz w:val="24"/>
          <w:szCs w:val="24"/>
          <w:lang w:val="en-IE"/>
        </w:rPr>
        <w:t xml:space="preserve">also </w:t>
      </w:r>
      <w:r>
        <w:rPr>
          <w:rFonts w:ascii="Times New Roman" w:hAnsi="Times New Roman" w:cs="Times New Roman"/>
          <w:noProof/>
          <w:sz w:val="24"/>
          <w:szCs w:val="24"/>
          <w:lang w:val="en-IE"/>
        </w:rPr>
        <w:t xml:space="preserve">depend on </w:t>
      </w:r>
      <w:r w:rsidR="00FC24DF">
        <w:rPr>
          <w:rFonts w:ascii="Times New Roman" w:hAnsi="Times New Roman" w:cs="Times New Roman"/>
          <w:noProof/>
          <w:sz w:val="24"/>
          <w:szCs w:val="24"/>
          <w:lang w:val="en-IE"/>
        </w:rPr>
        <w:t xml:space="preserve">the size of </w:t>
      </w:r>
      <w:r w:rsidR="00D81B4B">
        <w:rPr>
          <w:rFonts w:ascii="Times New Roman" w:hAnsi="Times New Roman" w:cs="Times New Roman"/>
          <w:noProof/>
          <w:sz w:val="24"/>
          <w:szCs w:val="24"/>
          <w:lang w:val="en-IE"/>
        </w:rPr>
        <w:t xml:space="preserve">a </w:t>
      </w:r>
      <w:r>
        <w:rPr>
          <w:rFonts w:ascii="Times New Roman" w:hAnsi="Times New Roman" w:cs="Times New Roman"/>
          <w:noProof/>
          <w:sz w:val="24"/>
          <w:szCs w:val="24"/>
          <w:lang w:val="en-IE"/>
        </w:rPr>
        <w:t>given country’s economy</w:t>
      </w:r>
      <w:r w:rsidR="00FC24DF">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In 2020, </w:t>
      </w:r>
      <w:r w:rsidR="00C71067">
        <w:rPr>
          <w:rFonts w:ascii="Times New Roman" w:hAnsi="Times New Roman" w:cs="Times New Roman"/>
          <w:noProof/>
          <w:sz w:val="24"/>
          <w:szCs w:val="24"/>
          <w:lang w:val="en-IE"/>
        </w:rPr>
        <w:t xml:space="preserve">energy subsidies </w:t>
      </w:r>
      <w:r>
        <w:rPr>
          <w:rFonts w:ascii="Times New Roman" w:hAnsi="Times New Roman" w:cs="Times New Roman"/>
          <w:noProof/>
          <w:sz w:val="24"/>
          <w:szCs w:val="24"/>
          <w:lang w:val="en-IE"/>
        </w:rPr>
        <w:t xml:space="preserve">in comparison to GDP </w:t>
      </w:r>
      <w:r w:rsidR="00C71067">
        <w:rPr>
          <w:rFonts w:ascii="Times New Roman" w:hAnsi="Times New Roman" w:cs="Times New Roman"/>
          <w:noProof/>
          <w:sz w:val="24"/>
          <w:szCs w:val="24"/>
          <w:lang w:val="en-IE"/>
        </w:rPr>
        <w:t>var</w:t>
      </w:r>
      <w:r>
        <w:rPr>
          <w:rFonts w:ascii="Times New Roman" w:hAnsi="Times New Roman" w:cs="Times New Roman"/>
          <w:noProof/>
          <w:sz w:val="24"/>
          <w:szCs w:val="24"/>
          <w:lang w:val="en-IE"/>
        </w:rPr>
        <w:t>ied</w:t>
      </w:r>
      <w:r w:rsidR="00C71067">
        <w:rPr>
          <w:rFonts w:ascii="Times New Roman" w:hAnsi="Times New Roman" w:cs="Times New Roman"/>
          <w:noProof/>
          <w:sz w:val="24"/>
          <w:szCs w:val="24"/>
          <w:lang w:val="en-IE"/>
        </w:rPr>
        <w:t xml:space="preserve"> </w:t>
      </w:r>
      <w:r w:rsidR="00231676">
        <w:rPr>
          <w:rFonts w:ascii="Times New Roman" w:hAnsi="Times New Roman" w:cs="Times New Roman"/>
          <w:noProof/>
          <w:sz w:val="24"/>
          <w:szCs w:val="24"/>
          <w:lang w:val="en-IE"/>
        </w:rPr>
        <w:t xml:space="preserve">significantly across Member States, ranging from </w:t>
      </w:r>
      <w:r w:rsidR="00CA4032">
        <w:rPr>
          <w:rFonts w:ascii="Times New Roman" w:hAnsi="Times New Roman" w:cs="Times New Roman"/>
          <w:noProof/>
          <w:sz w:val="24"/>
          <w:szCs w:val="24"/>
          <w:lang w:val="en-IE"/>
        </w:rPr>
        <w:t>2</w:t>
      </w:r>
      <w:r>
        <w:rPr>
          <w:rFonts w:ascii="Times New Roman" w:hAnsi="Times New Roman" w:cs="Times New Roman"/>
          <w:noProof/>
          <w:sz w:val="24"/>
          <w:szCs w:val="24"/>
          <w:lang w:val="en-IE"/>
        </w:rPr>
        <w:t>.9</w:t>
      </w:r>
      <w:r w:rsidR="00231676">
        <w:rPr>
          <w:rFonts w:ascii="Times New Roman" w:hAnsi="Times New Roman" w:cs="Times New Roman"/>
          <w:noProof/>
          <w:sz w:val="24"/>
          <w:szCs w:val="24"/>
          <w:lang w:val="en-IE"/>
        </w:rPr>
        <w:t>%</w:t>
      </w:r>
      <w:r w:rsidR="00231676" w:rsidRPr="00231676">
        <w:rPr>
          <w:rFonts w:ascii="Times New Roman" w:hAnsi="Times New Roman" w:cs="Times New Roman"/>
          <w:noProof/>
          <w:sz w:val="24"/>
          <w:szCs w:val="24"/>
          <w:lang w:val="en-IE"/>
        </w:rPr>
        <w:t xml:space="preserve"> </w:t>
      </w:r>
      <w:r w:rsidR="00231676">
        <w:rPr>
          <w:rFonts w:ascii="Times New Roman" w:hAnsi="Times New Roman" w:cs="Times New Roman"/>
          <w:noProof/>
          <w:sz w:val="24"/>
          <w:szCs w:val="24"/>
          <w:lang w:val="en-IE"/>
        </w:rPr>
        <w:t>of GDP</w:t>
      </w:r>
      <w:r w:rsidR="008163BF">
        <w:rPr>
          <w:rFonts w:ascii="Times New Roman" w:hAnsi="Times New Roman" w:cs="Times New Roman"/>
          <w:noProof/>
          <w:sz w:val="24"/>
          <w:szCs w:val="24"/>
          <w:lang w:val="en-IE"/>
        </w:rPr>
        <w:t xml:space="preserve"> in Latvia to </w:t>
      </w:r>
      <w:r>
        <w:rPr>
          <w:rFonts w:ascii="Times New Roman" w:hAnsi="Times New Roman" w:cs="Times New Roman"/>
          <w:noProof/>
          <w:sz w:val="24"/>
          <w:szCs w:val="24"/>
          <w:lang w:val="en-IE"/>
        </w:rPr>
        <w:t>only 0.3</w:t>
      </w:r>
      <w:r w:rsidR="00231676">
        <w:rPr>
          <w:rFonts w:ascii="Times New Roman" w:hAnsi="Times New Roman" w:cs="Times New Roman"/>
          <w:noProof/>
          <w:sz w:val="24"/>
          <w:szCs w:val="24"/>
          <w:lang w:val="en-IE"/>
        </w:rPr>
        <w:t>%</w:t>
      </w:r>
      <w:r w:rsidR="00FC24DF">
        <w:rPr>
          <w:rFonts w:ascii="Times New Roman" w:hAnsi="Times New Roman" w:cs="Times New Roman"/>
          <w:noProof/>
          <w:sz w:val="24"/>
          <w:szCs w:val="24"/>
          <w:lang w:val="en-IE"/>
        </w:rPr>
        <w:t xml:space="preserve"> of GDP</w:t>
      </w:r>
      <w:r w:rsidR="00231676">
        <w:rPr>
          <w:rFonts w:ascii="Times New Roman" w:hAnsi="Times New Roman" w:cs="Times New Roman"/>
          <w:noProof/>
          <w:sz w:val="24"/>
          <w:szCs w:val="24"/>
          <w:lang w:val="en-IE"/>
        </w:rPr>
        <w:t xml:space="preserve"> </w:t>
      </w:r>
      <w:r w:rsidR="008163BF">
        <w:rPr>
          <w:rFonts w:ascii="Times New Roman" w:hAnsi="Times New Roman" w:cs="Times New Roman"/>
          <w:noProof/>
          <w:sz w:val="24"/>
          <w:szCs w:val="24"/>
          <w:lang w:val="en-IE"/>
        </w:rPr>
        <w:t>in Luxembourg</w:t>
      </w:r>
      <w:r w:rsidR="00231676">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E</w:t>
      </w:r>
      <w:r w:rsidR="005904C7">
        <w:rPr>
          <w:rFonts w:ascii="Times New Roman" w:hAnsi="Times New Roman" w:cs="Times New Roman"/>
          <w:noProof/>
          <w:sz w:val="24"/>
          <w:szCs w:val="24"/>
          <w:lang w:val="en-IE"/>
        </w:rPr>
        <w:t>nergy subsidies</w:t>
      </w:r>
      <w:r>
        <w:rPr>
          <w:rFonts w:ascii="Times New Roman" w:hAnsi="Times New Roman" w:cs="Times New Roman"/>
          <w:noProof/>
          <w:sz w:val="24"/>
          <w:szCs w:val="24"/>
          <w:lang w:val="en-IE"/>
        </w:rPr>
        <w:t xml:space="preserve"> as </w:t>
      </w:r>
      <w:r w:rsidR="00D81B4B">
        <w:rPr>
          <w:rFonts w:ascii="Times New Roman" w:hAnsi="Times New Roman" w:cs="Times New Roman"/>
          <w:noProof/>
          <w:sz w:val="24"/>
          <w:szCs w:val="24"/>
          <w:lang w:val="en-IE"/>
        </w:rPr>
        <w:t xml:space="preserve">a </w:t>
      </w:r>
      <w:r>
        <w:rPr>
          <w:rFonts w:ascii="Times New Roman" w:hAnsi="Times New Roman" w:cs="Times New Roman"/>
          <w:noProof/>
          <w:sz w:val="24"/>
          <w:szCs w:val="24"/>
          <w:lang w:val="en-IE"/>
        </w:rPr>
        <w:t>percent</w:t>
      </w:r>
      <w:r w:rsidR="00D81B4B">
        <w:rPr>
          <w:rFonts w:ascii="Times New Roman" w:hAnsi="Times New Roman" w:cs="Times New Roman"/>
          <w:noProof/>
          <w:sz w:val="24"/>
          <w:szCs w:val="24"/>
          <w:lang w:val="en-IE"/>
        </w:rPr>
        <w:t>age</w:t>
      </w:r>
      <w:r>
        <w:rPr>
          <w:rFonts w:ascii="Times New Roman" w:hAnsi="Times New Roman" w:cs="Times New Roman"/>
          <w:noProof/>
          <w:sz w:val="24"/>
          <w:szCs w:val="24"/>
          <w:lang w:val="en-IE"/>
        </w:rPr>
        <w:t xml:space="preserve"> of GDP</w:t>
      </w:r>
      <w:r w:rsidR="005904C7">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in the EU </w:t>
      </w:r>
      <w:r w:rsidR="005904C7">
        <w:rPr>
          <w:rFonts w:ascii="Times New Roman" w:hAnsi="Times New Roman" w:cs="Times New Roman"/>
          <w:noProof/>
          <w:sz w:val="24"/>
          <w:szCs w:val="24"/>
          <w:lang w:val="en-IE"/>
        </w:rPr>
        <w:t>amounted to 1.2% in 20</w:t>
      </w:r>
      <w:r>
        <w:rPr>
          <w:rFonts w:ascii="Times New Roman" w:hAnsi="Times New Roman" w:cs="Times New Roman"/>
          <w:noProof/>
          <w:sz w:val="24"/>
          <w:szCs w:val="24"/>
          <w:lang w:val="en-IE"/>
        </w:rPr>
        <w:t>20</w:t>
      </w:r>
      <w:r w:rsidRPr="00E82685">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on average, showing a high degree of stability in 2015-2020</w:t>
      </w:r>
      <w:r w:rsidR="00CA4032">
        <w:rPr>
          <w:rFonts w:ascii="Times New Roman" w:hAnsi="Times New Roman" w:cs="Times New Roman"/>
          <w:noProof/>
          <w:sz w:val="24"/>
          <w:szCs w:val="24"/>
          <w:lang w:val="en-IE"/>
        </w:rPr>
        <w:t xml:space="preserve"> in the EU </w:t>
      </w:r>
      <w:r w:rsidR="00D81B4B">
        <w:rPr>
          <w:rFonts w:ascii="Times New Roman" w:hAnsi="Times New Roman" w:cs="Times New Roman"/>
          <w:noProof/>
          <w:sz w:val="24"/>
          <w:szCs w:val="24"/>
          <w:lang w:val="en-IE"/>
        </w:rPr>
        <w:t xml:space="preserve">in general </w:t>
      </w:r>
      <w:r w:rsidR="00CA4032">
        <w:rPr>
          <w:rFonts w:ascii="Times New Roman" w:hAnsi="Times New Roman" w:cs="Times New Roman"/>
          <w:noProof/>
          <w:sz w:val="24"/>
          <w:szCs w:val="24"/>
          <w:lang w:val="en-IE"/>
        </w:rPr>
        <w:t xml:space="preserve">and </w:t>
      </w:r>
      <w:r w:rsidR="00D81B4B">
        <w:rPr>
          <w:rFonts w:ascii="Times New Roman" w:hAnsi="Times New Roman" w:cs="Times New Roman"/>
          <w:noProof/>
          <w:sz w:val="24"/>
          <w:szCs w:val="24"/>
          <w:lang w:val="en-IE"/>
        </w:rPr>
        <w:t xml:space="preserve">in </w:t>
      </w:r>
      <w:r w:rsidR="00CA4032">
        <w:rPr>
          <w:rFonts w:ascii="Times New Roman" w:hAnsi="Times New Roman" w:cs="Times New Roman"/>
          <w:noProof/>
          <w:sz w:val="24"/>
          <w:szCs w:val="24"/>
          <w:lang w:val="en-IE"/>
        </w:rPr>
        <w:t xml:space="preserve">most </w:t>
      </w:r>
      <w:r w:rsidR="00D81B4B">
        <w:rPr>
          <w:rFonts w:ascii="Times New Roman" w:hAnsi="Times New Roman" w:cs="Times New Roman"/>
          <w:noProof/>
          <w:sz w:val="24"/>
          <w:szCs w:val="24"/>
          <w:lang w:val="en-IE"/>
        </w:rPr>
        <w:t>Member States</w:t>
      </w:r>
      <w:r w:rsidR="00CA4032">
        <w:rPr>
          <w:rFonts w:ascii="Times New Roman" w:hAnsi="Times New Roman" w:cs="Times New Roman"/>
          <w:noProof/>
          <w:sz w:val="24"/>
          <w:szCs w:val="24"/>
          <w:lang w:val="en-IE"/>
        </w:rPr>
        <w:t xml:space="preserve"> as well</w:t>
      </w:r>
      <w:r>
        <w:rPr>
          <w:rFonts w:ascii="Times New Roman" w:hAnsi="Times New Roman" w:cs="Times New Roman"/>
          <w:noProof/>
          <w:sz w:val="24"/>
          <w:szCs w:val="24"/>
          <w:lang w:val="en-IE"/>
        </w:rPr>
        <w:t>.</w:t>
      </w:r>
    </w:p>
    <w:p w14:paraId="040DEB36" w14:textId="2D36737D" w:rsidR="00040807" w:rsidRDefault="006466FD"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The analysis also shows that </w:t>
      </w:r>
      <w:r w:rsidR="005904C7">
        <w:rPr>
          <w:rFonts w:ascii="Times New Roman" w:hAnsi="Times New Roman" w:cs="Times New Roman"/>
          <w:noProof/>
          <w:sz w:val="24"/>
          <w:szCs w:val="24"/>
          <w:lang w:val="en-IE"/>
        </w:rPr>
        <w:t xml:space="preserve">different countries </w:t>
      </w:r>
      <w:r>
        <w:rPr>
          <w:rFonts w:ascii="Times New Roman" w:hAnsi="Times New Roman" w:cs="Times New Roman"/>
          <w:noProof/>
          <w:sz w:val="24"/>
          <w:szCs w:val="24"/>
          <w:lang w:val="en-IE"/>
        </w:rPr>
        <w:t xml:space="preserve">use subsidies to </w:t>
      </w:r>
      <w:r w:rsidR="005904C7">
        <w:rPr>
          <w:rFonts w:ascii="Times New Roman" w:hAnsi="Times New Roman" w:cs="Times New Roman"/>
          <w:noProof/>
          <w:sz w:val="24"/>
          <w:szCs w:val="24"/>
          <w:lang w:val="en-IE"/>
        </w:rPr>
        <w:t xml:space="preserve">support different </w:t>
      </w:r>
      <w:r>
        <w:rPr>
          <w:rFonts w:ascii="Times New Roman" w:hAnsi="Times New Roman" w:cs="Times New Roman"/>
          <w:noProof/>
          <w:sz w:val="24"/>
          <w:szCs w:val="24"/>
          <w:lang w:val="en-IE"/>
        </w:rPr>
        <w:t xml:space="preserve">policies and </w:t>
      </w:r>
      <w:r w:rsidR="005904C7">
        <w:rPr>
          <w:rFonts w:ascii="Times New Roman" w:hAnsi="Times New Roman" w:cs="Times New Roman"/>
          <w:noProof/>
          <w:sz w:val="24"/>
          <w:szCs w:val="24"/>
          <w:lang w:val="en-IE"/>
        </w:rPr>
        <w:t>measures</w:t>
      </w:r>
      <w:r w:rsidR="00080DDE">
        <w:rPr>
          <w:rFonts w:ascii="Times New Roman" w:hAnsi="Times New Roman" w:cs="Times New Roman"/>
          <w:noProof/>
          <w:sz w:val="24"/>
          <w:szCs w:val="24"/>
          <w:lang w:val="en-IE"/>
        </w:rPr>
        <w:t xml:space="preserve">, </w:t>
      </w:r>
      <w:r w:rsidR="00615905">
        <w:rPr>
          <w:rFonts w:ascii="Times New Roman" w:hAnsi="Times New Roman" w:cs="Times New Roman"/>
          <w:noProof/>
          <w:sz w:val="24"/>
          <w:szCs w:val="24"/>
          <w:lang w:val="en-IE"/>
        </w:rPr>
        <w:t xml:space="preserve">and </w:t>
      </w:r>
      <w:r w:rsidR="00FC24DF">
        <w:rPr>
          <w:rFonts w:ascii="Times New Roman" w:hAnsi="Times New Roman" w:cs="Times New Roman"/>
          <w:noProof/>
          <w:sz w:val="24"/>
          <w:szCs w:val="24"/>
          <w:lang w:val="en-IE"/>
        </w:rPr>
        <w:t xml:space="preserve">that </w:t>
      </w:r>
      <w:r w:rsidR="00615905">
        <w:rPr>
          <w:rFonts w:ascii="Times New Roman" w:hAnsi="Times New Roman" w:cs="Times New Roman"/>
          <w:noProof/>
          <w:sz w:val="24"/>
          <w:szCs w:val="24"/>
          <w:lang w:val="en-IE"/>
        </w:rPr>
        <w:t xml:space="preserve">these different policies and measures </w:t>
      </w:r>
      <w:r w:rsidR="00080DDE">
        <w:rPr>
          <w:rFonts w:ascii="Times New Roman" w:hAnsi="Times New Roman" w:cs="Times New Roman"/>
          <w:noProof/>
          <w:sz w:val="24"/>
          <w:szCs w:val="24"/>
          <w:lang w:val="en-IE"/>
        </w:rPr>
        <w:t xml:space="preserve">impact </w:t>
      </w:r>
      <w:r w:rsidR="009130C0">
        <w:rPr>
          <w:rFonts w:ascii="Times New Roman" w:hAnsi="Times New Roman" w:cs="Times New Roman"/>
          <w:noProof/>
          <w:sz w:val="24"/>
          <w:szCs w:val="24"/>
          <w:lang w:val="en-IE"/>
        </w:rPr>
        <w:t xml:space="preserve">the </w:t>
      </w:r>
      <w:r w:rsidR="00615905">
        <w:rPr>
          <w:rFonts w:ascii="Times New Roman" w:hAnsi="Times New Roman" w:cs="Times New Roman"/>
          <w:noProof/>
          <w:sz w:val="24"/>
          <w:szCs w:val="24"/>
          <w:lang w:val="en-IE"/>
        </w:rPr>
        <w:t xml:space="preserve">objectives for the </w:t>
      </w:r>
      <w:r w:rsidR="009130C0">
        <w:rPr>
          <w:rFonts w:ascii="Times New Roman" w:hAnsi="Times New Roman" w:cs="Times New Roman"/>
          <w:noProof/>
          <w:sz w:val="24"/>
          <w:szCs w:val="24"/>
          <w:lang w:val="en-IE"/>
        </w:rPr>
        <w:t>EU</w:t>
      </w:r>
      <w:r w:rsidR="00615905">
        <w:rPr>
          <w:rFonts w:ascii="Times New Roman" w:hAnsi="Times New Roman" w:cs="Times New Roman"/>
          <w:noProof/>
          <w:sz w:val="24"/>
          <w:szCs w:val="24"/>
          <w:lang w:val="en-IE"/>
        </w:rPr>
        <w:t>’s</w:t>
      </w:r>
      <w:r w:rsidR="00080DDE">
        <w:rPr>
          <w:rFonts w:ascii="Times New Roman" w:hAnsi="Times New Roman" w:cs="Times New Roman"/>
          <w:noProof/>
          <w:sz w:val="24"/>
          <w:szCs w:val="24"/>
          <w:lang w:val="en-IE"/>
        </w:rPr>
        <w:t xml:space="preserve"> </w:t>
      </w:r>
      <w:r w:rsidR="002D0613">
        <w:rPr>
          <w:rFonts w:ascii="Times New Roman" w:hAnsi="Times New Roman" w:cs="Times New Roman"/>
          <w:noProof/>
          <w:sz w:val="24"/>
          <w:szCs w:val="24"/>
          <w:lang w:val="en-IE"/>
        </w:rPr>
        <w:t>clean</w:t>
      </w:r>
      <w:r w:rsidR="00615905">
        <w:rPr>
          <w:rFonts w:ascii="Times New Roman" w:hAnsi="Times New Roman" w:cs="Times New Roman"/>
          <w:noProof/>
          <w:sz w:val="24"/>
          <w:szCs w:val="24"/>
          <w:lang w:val="en-IE"/>
        </w:rPr>
        <w:t>-</w:t>
      </w:r>
      <w:r w:rsidR="00080DDE">
        <w:rPr>
          <w:rFonts w:ascii="Times New Roman" w:hAnsi="Times New Roman" w:cs="Times New Roman"/>
          <w:noProof/>
          <w:sz w:val="24"/>
          <w:szCs w:val="24"/>
          <w:lang w:val="en-IE"/>
        </w:rPr>
        <w:t>energy</w:t>
      </w:r>
      <w:r w:rsidR="00FC24DF">
        <w:rPr>
          <w:rFonts w:ascii="Times New Roman" w:hAnsi="Times New Roman" w:cs="Times New Roman"/>
          <w:noProof/>
          <w:sz w:val="24"/>
          <w:szCs w:val="24"/>
          <w:lang w:val="en-IE"/>
        </w:rPr>
        <w:t xml:space="preserve"> </w:t>
      </w:r>
      <w:r w:rsidR="00080DDE">
        <w:rPr>
          <w:rFonts w:ascii="Times New Roman" w:hAnsi="Times New Roman" w:cs="Times New Roman"/>
          <w:noProof/>
          <w:sz w:val="24"/>
          <w:szCs w:val="24"/>
          <w:lang w:val="en-IE"/>
        </w:rPr>
        <w:t>transition differently</w:t>
      </w:r>
      <w:r w:rsidR="00E82685">
        <w:rPr>
          <w:rFonts w:ascii="Times New Roman" w:hAnsi="Times New Roman" w:cs="Times New Roman"/>
          <w:noProof/>
          <w:sz w:val="24"/>
          <w:szCs w:val="24"/>
          <w:lang w:val="en-IE"/>
        </w:rPr>
        <w:t>.</w:t>
      </w:r>
      <w:r w:rsidR="00FC24DF">
        <w:rPr>
          <w:rFonts w:ascii="Times New Roman" w:hAnsi="Times New Roman" w:cs="Times New Roman"/>
          <w:noProof/>
          <w:sz w:val="24"/>
          <w:szCs w:val="24"/>
          <w:lang w:val="en-IE"/>
        </w:rPr>
        <w:t xml:space="preserve"> For example,</w:t>
      </w:r>
      <w:r w:rsidR="00E82685">
        <w:rPr>
          <w:rFonts w:ascii="Times New Roman" w:hAnsi="Times New Roman" w:cs="Times New Roman"/>
          <w:noProof/>
          <w:sz w:val="24"/>
          <w:szCs w:val="24"/>
          <w:lang w:val="en-IE"/>
        </w:rPr>
        <w:t xml:space="preserve"> </w:t>
      </w:r>
      <w:r w:rsidR="00D22E1C" w:rsidRPr="00D22E1C">
        <w:rPr>
          <w:rFonts w:ascii="Times New Roman" w:hAnsi="Times New Roman" w:cs="Times New Roman"/>
          <w:noProof/>
          <w:sz w:val="24"/>
          <w:szCs w:val="24"/>
          <w:lang w:val="en-IE"/>
        </w:rPr>
        <w:t xml:space="preserve">Latvia spent </w:t>
      </w:r>
      <w:r w:rsidR="00CA4032">
        <w:rPr>
          <w:rFonts w:ascii="Times New Roman" w:hAnsi="Times New Roman" w:cs="Times New Roman"/>
          <w:noProof/>
          <w:sz w:val="24"/>
          <w:szCs w:val="24"/>
          <w:lang w:val="en-IE"/>
        </w:rPr>
        <w:t>2</w:t>
      </w:r>
      <w:r w:rsidR="005904C7" w:rsidRPr="00D22E1C">
        <w:rPr>
          <w:rFonts w:ascii="Times New Roman" w:hAnsi="Times New Roman" w:cs="Times New Roman"/>
          <w:noProof/>
          <w:sz w:val="24"/>
          <w:szCs w:val="24"/>
          <w:lang w:val="en-IE"/>
        </w:rPr>
        <w:t xml:space="preserve">% of its GDP on </w:t>
      </w:r>
      <w:r w:rsidRPr="00D22E1C">
        <w:rPr>
          <w:rFonts w:ascii="Times New Roman" w:hAnsi="Times New Roman" w:cs="Times New Roman"/>
          <w:noProof/>
          <w:sz w:val="24"/>
          <w:szCs w:val="24"/>
          <w:lang w:val="en-IE"/>
        </w:rPr>
        <w:t xml:space="preserve">subsidies for </w:t>
      </w:r>
      <w:r w:rsidR="005904C7" w:rsidRPr="00D22E1C">
        <w:rPr>
          <w:rFonts w:ascii="Times New Roman" w:hAnsi="Times New Roman" w:cs="Times New Roman"/>
          <w:noProof/>
          <w:sz w:val="24"/>
          <w:szCs w:val="24"/>
          <w:lang w:val="en-IE"/>
        </w:rPr>
        <w:t>energy</w:t>
      </w:r>
      <w:r w:rsidR="00615905">
        <w:rPr>
          <w:rFonts w:ascii="Times New Roman" w:hAnsi="Times New Roman" w:cs="Times New Roman"/>
          <w:noProof/>
          <w:sz w:val="24"/>
          <w:szCs w:val="24"/>
          <w:lang w:val="en-IE"/>
        </w:rPr>
        <w:t>-</w:t>
      </w:r>
      <w:r w:rsidR="005904C7" w:rsidRPr="00D22E1C">
        <w:rPr>
          <w:rFonts w:ascii="Times New Roman" w:hAnsi="Times New Roman" w:cs="Times New Roman"/>
          <w:noProof/>
          <w:sz w:val="24"/>
          <w:szCs w:val="24"/>
          <w:lang w:val="en-IE"/>
        </w:rPr>
        <w:t xml:space="preserve">efficiency measures in </w:t>
      </w:r>
      <w:r w:rsidR="00E82685" w:rsidRPr="00D22E1C">
        <w:rPr>
          <w:rFonts w:ascii="Times New Roman" w:hAnsi="Times New Roman" w:cs="Times New Roman"/>
          <w:noProof/>
          <w:sz w:val="24"/>
          <w:szCs w:val="24"/>
          <w:lang w:val="en-IE"/>
        </w:rPr>
        <w:t>2020</w:t>
      </w:r>
      <w:r w:rsidR="00E82685" w:rsidRPr="00D22E1C">
        <w:rPr>
          <w:rStyle w:val="FootnoteReference"/>
          <w:rFonts w:ascii="Times New Roman" w:hAnsi="Times New Roman" w:cs="Times New Roman"/>
          <w:noProof/>
          <w:sz w:val="24"/>
          <w:szCs w:val="24"/>
          <w:lang w:val="en-IE"/>
        </w:rPr>
        <w:footnoteReference w:id="17"/>
      </w:r>
      <w:r w:rsidR="00116930">
        <w:rPr>
          <w:rFonts w:ascii="Times New Roman" w:hAnsi="Times New Roman" w:cs="Times New Roman"/>
          <w:noProof/>
          <w:sz w:val="24"/>
          <w:szCs w:val="24"/>
          <w:lang w:val="en-IE"/>
        </w:rPr>
        <w:t xml:space="preserve"> (and 0.4% of its GDP on both fossil fuel and renewable subsidies)</w:t>
      </w:r>
      <w:r w:rsidR="00FC24DF">
        <w:rPr>
          <w:rFonts w:ascii="Times New Roman" w:hAnsi="Times New Roman" w:cs="Times New Roman"/>
          <w:noProof/>
          <w:sz w:val="24"/>
          <w:szCs w:val="24"/>
          <w:lang w:val="en-IE"/>
        </w:rPr>
        <w:t xml:space="preserve">, while </w:t>
      </w:r>
      <w:r w:rsidR="00080DDE">
        <w:rPr>
          <w:rFonts w:ascii="Times New Roman" w:hAnsi="Times New Roman" w:cs="Times New Roman"/>
          <w:noProof/>
          <w:sz w:val="24"/>
          <w:szCs w:val="24"/>
          <w:lang w:val="en-IE"/>
        </w:rPr>
        <w:t>Germany</w:t>
      </w:r>
      <w:r w:rsidR="00E82685">
        <w:rPr>
          <w:rFonts w:ascii="Times New Roman" w:hAnsi="Times New Roman" w:cs="Times New Roman"/>
          <w:noProof/>
          <w:sz w:val="24"/>
          <w:szCs w:val="24"/>
          <w:lang w:val="en-IE"/>
        </w:rPr>
        <w:t xml:space="preserve">, Italy and Greece </w:t>
      </w:r>
      <w:r w:rsidR="00080DDE">
        <w:rPr>
          <w:rFonts w:ascii="Times New Roman" w:hAnsi="Times New Roman" w:cs="Times New Roman"/>
          <w:noProof/>
          <w:sz w:val="24"/>
          <w:szCs w:val="24"/>
          <w:lang w:val="en-IE"/>
        </w:rPr>
        <w:t xml:space="preserve">spent around </w:t>
      </w:r>
      <w:r w:rsidR="00E82685">
        <w:rPr>
          <w:rFonts w:ascii="Times New Roman" w:hAnsi="Times New Roman" w:cs="Times New Roman"/>
          <w:noProof/>
          <w:sz w:val="24"/>
          <w:szCs w:val="24"/>
          <w:lang w:val="en-IE"/>
        </w:rPr>
        <w:t>1</w:t>
      </w:r>
      <w:r w:rsidR="00080DDE">
        <w:rPr>
          <w:rFonts w:ascii="Times New Roman" w:hAnsi="Times New Roman" w:cs="Times New Roman"/>
          <w:noProof/>
          <w:sz w:val="24"/>
          <w:szCs w:val="24"/>
          <w:lang w:val="en-IE"/>
        </w:rPr>
        <w:t xml:space="preserve">% of </w:t>
      </w:r>
      <w:r w:rsidR="00260A7E">
        <w:rPr>
          <w:rFonts w:ascii="Times New Roman" w:hAnsi="Times New Roman" w:cs="Times New Roman"/>
          <w:noProof/>
          <w:sz w:val="24"/>
          <w:szCs w:val="24"/>
          <w:lang w:val="en-IE"/>
        </w:rPr>
        <w:t xml:space="preserve">their </w:t>
      </w:r>
      <w:r w:rsidR="00E82685">
        <w:rPr>
          <w:rFonts w:ascii="Times New Roman" w:hAnsi="Times New Roman" w:cs="Times New Roman"/>
          <w:noProof/>
          <w:sz w:val="24"/>
          <w:szCs w:val="24"/>
          <w:lang w:val="en-IE"/>
        </w:rPr>
        <w:t>GDP on subsidising renewables</w:t>
      </w:r>
      <w:r w:rsidR="00080DDE">
        <w:rPr>
          <w:rFonts w:ascii="Times New Roman" w:hAnsi="Times New Roman" w:cs="Times New Roman"/>
          <w:noProof/>
          <w:sz w:val="24"/>
          <w:szCs w:val="24"/>
          <w:lang w:val="en-IE"/>
        </w:rPr>
        <w:t>.</w:t>
      </w:r>
      <w:r w:rsidR="00116930">
        <w:rPr>
          <w:rFonts w:ascii="Times New Roman" w:hAnsi="Times New Roman" w:cs="Times New Roman"/>
          <w:noProof/>
          <w:sz w:val="24"/>
          <w:szCs w:val="24"/>
          <w:lang w:val="en-IE"/>
        </w:rPr>
        <w:t xml:space="preserve"> Germany and Italy respectively spent 0.4% and 0.3% of their GDP on fossil fuel subsidies. </w:t>
      </w:r>
    </w:p>
    <w:p w14:paraId="181C28A6" w14:textId="1F2EFA9F" w:rsidR="005904C7" w:rsidRPr="002F6368" w:rsidRDefault="00080DDE" w:rsidP="004F4044">
      <w:pPr>
        <w:spacing w:before="120" w:after="120"/>
        <w:jc w:val="both"/>
        <w:rPr>
          <w:rFonts w:ascii="Times New Roman" w:hAnsi="Times New Roman" w:cs="Times New Roman"/>
          <w:noProof/>
          <w:sz w:val="24"/>
          <w:szCs w:val="24"/>
          <w:lang w:val="hu-HU"/>
        </w:rPr>
      </w:pPr>
      <w:r>
        <w:rPr>
          <w:rFonts w:ascii="Times New Roman" w:hAnsi="Times New Roman" w:cs="Times New Roman"/>
          <w:noProof/>
          <w:sz w:val="24"/>
          <w:szCs w:val="24"/>
          <w:lang w:val="en-IE"/>
        </w:rPr>
        <w:t xml:space="preserve">At the same time, </w:t>
      </w:r>
      <w:r w:rsidR="00040807">
        <w:rPr>
          <w:rFonts w:ascii="Times New Roman" w:hAnsi="Times New Roman" w:cs="Times New Roman"/>
          <w:noProof/>
          <w:sz w:val="24"/>
          <w:szCs w:val="24"/>
          <w:lang w:val="en-IE"/>
        </w:rPr>
        <w:t>other countries still tend to spend more on fossil fuels</w:t>
      </w:r>
      <w:r w:rsidR="000D1760">
        <w:rPr>
          <w:rStyle w:val="FootnoteReference"/>
          <w:rFonts w:ascii="Times New Roman" w:hAnsi="Times New Roman" w:cs="Times New Roman"/>
          <w:noProof/>
          <w:sz w:val="24"/>
          <w:szCs w:val="24"/>
          <w:lang w:val="en-IE"/>
        </w:rPr>
        <w:footnoteReference w:id="18"/>
      </w:r>
      <w:r w:rsidR="00040807">
        <w:rPr>
          <w:rFonts w:ascii="Times New Roman" w:hAnsi="Times New Roman" w:cs="Times New Roman"/>
          <w:noProof/>
          <w:sz w:val="24"/>
          <w:szCs w:val="24"/>
          <w:lang w:val="en-IE"/>
        </w:rPr>
        <w:t xml:space="preserve"> than </w:t>
      </w:r>
      <w:r w:rsidR="002408C7">
        <w:rPr>
          <w:rFonts w:ascii="Times New Roman" w:hAnsi="Times New Roman" w:cs="Times New Roman"/>
          <w:noProof/>
          <w:sz w:val="24"/>
          <w:szCs w:val="24"/>
          <w:lang w:val="en-IE"/>
        </w:rPr>
        <w:t xml:space="preserve">on </w:t>
      </w:r>
      <w:r w:rsidR="00040807">
        <w:rPr>
          <w:rFonts w:ascii="Times New Roman" w:hAnsi="Times New Roman" w:cs="Times New Roman"/>
          <w:noProof/>
          <w:sz w:val="24"/>
          <w:szCs w:val="24"/>
          <w:lang w:val="en-IE"/>
        </w:rPr>
        <w:t xml:space="preserve">measures incentivising </w:t>
      </w:r>
      <w:r w:rsidR="00615905">
        <w:rPr>
          <w:rFonts w:ascii="Times New Roman" w:hAnsi="Times New Roman" w:cs="Times New Roman"/>
          <w:noProof/>
          <w:sz w:val="24"/>
          <w:szCs w:val="24"/>
          <w:lang w:val="en-IE"/>
        </w:rPr>
        <w:t>the clean-</w:t>
      </w:r>
      <w:r w:rsidR="002D0613">
        <w:rPr>
          <w:rFonts w:ascii="Times New Roman" w:hAnsi="Times New Roman" w:cs="Times New Roman"/>
          <w:noProof/>
          <w:sz w:val="24"/>
          <w:szCs w:val="24"/>
          <w:lang w:val="en-IE"/>
        </w:rPr>
        <w:t xml:space="preserve">energy </w:t>
      </w:r>
      <w:r w:rsidR="00040807">
        <w:rPr>
          <w:rFonts w:ascii="Times New Roman" w:hAnsi="Times New Roman" w:cs="Times New Roman"/>
          <w:noProof/>
          <w:sz w:val="24"/>
          <w:szCs w:val="24"/>
          <w:lang w:val="en-IE"/>
        </w:rPr>
        <w:t xml:space="preserve">transition. </w:t>
      </w:r>
      <w:r w:rsidR="00EE3E19">
        <w:rPr>
          <w:rFonts w:ascii="Times New Roman" w:hAnsi="Times New Roman" w:cs="Times New Roman"/>
          <w:noProof/>
          <w:sz w:val="24"/>
          <w:szCs w:val="24"/>
          <w:lang w:val="en-IE"/>
        </w:rPr>
        <w:t xml:space="preserve">In 2020, </w:t>
      </w:r>
      <w:r w:rsidR="00E82685">
        <w:rPr>
          <w:rFonts w:ascii="Times New Roman" w:hAnsi="Times New Roman" w:cs="Times New Roman"/>
          <w:noProof/>
          <w:sz w:val="24"/>
          <w:szCs w:val="24"/>
          <w:lang w:val="en-IE"/>
        </w:rPr>
        <w:t>Cyprus spent about</w:t>
      </w:r>
      <w:r w:rsidR="005904C7">
        <w:rPr>
          <w:rFonts w:ascii="Times New Roman" w:hAnsi="Times New Roman" w:cs="Times New Roman"/>
          <w:noProof/>
          <w:sz w:val="24"/>
          <w:szCs w:val="24"/>
          <w:lang w:val="en-IE"/>
        </w:rPr>
        <w:t xml:space="preserve"> 1</w:t>
      </w:r>
      <w:r w:rsidR="00E82685">
        <w:rPr>
          <w:rFonts w:ascii="Times New Roman" w:hAnsi="Times New Roman" w:cs="Times New Roman"/>
          <w:noProof/>
          <w:sz w:val="24"/>
          <w:szCs w:val="24"/>
          <w:lang w:val="en-IE"/>
        </w:rPr>
        <w:t>.3</w:t>
      </w:r>
      <w:r w:rsidR="005904C7">
        <w:rPr>
          <w:rFonts w:ascii="Times New Roman" w:hAnsi="Times New Roman" w:cs="Times New Roman"/>
          <w:noProof/>
          <w:sz w:val="24"/>
          <w:szCs w:val="24"/>
          <w:lang w:val="en-IE"/>
        </w:rPr>
        <w:t xml:space="preserve">% of </w:t>
      </w:r>
      <w:r w:rsidR="00615905">
        <w:rPr>
          <w:rFonts w:ascii="Times New Roman" w:hAnsi="Times New Roman" w:cs="Times New Roman"/>
          <w:noProof/>
          <w:sz w:val="24"/>
          <w:szCs w:val="24"/>
          <w:lang w:val="en-IE"/>
        </w:rPr>
        <w:t xml:space="preserve">its </w:t>
      </w:r>
      <w:r w:rsidR="005904C7">
        <w:rPr>
          <w:rFonts w:ascii="Times New Roman" w:hAnsi="Times New Roman" w:cs="Times New Roman"/>
          <w:noProof/>
          <w:sz w:val="24"/>
          <w:szCs w:val="24"/>
          <w:lang w:val="en-IE"/>
        </w:rPr>
        <w:t>GDP on subsidising fossil fuels</w:t>
      </w:r>
      <w:r w:rsidR="00116930">
        <w:rPr>
          <w:rFonts w:ascii="Times New Roman" w:hAnsi="Times New Roman" w:cs="Times New Roman"/>
          <w:noProof/>
          <w:sz w:val="24"/>
          <w:szCs w:val="24"/>
          <w:lang w:val="en-IE"/>
        </w:rPr>
        <w:t xml:space="preserve"> (and only 0.2% on renewable subsidies)</w:t>
      </w:r>
      <w:r w:rsidR="005904C7">
        <w:rPr>
          <w:rFonts w:ascii="Times New Roman" w:hAnsi="Times New Roman" w:cs="Times New Roman"/>
          <w:noProof/>
          <w:sz w:val="24"/>
          <w:szCs w:val="24"/>
          <w:lang w:val="en-IE"/>
        </w:rPr>
        <w:t xml:space="preserve">, </w:t>
      </w:r>
      <w:r w:rsidR="00D46AF8">
        <w:rPr>
          <w:rFonts w:ascii="Times New Roman" w:hAnsi="Times New Roman" w:cs="Times New Roman"/>
          <w:noProof/>
          <w:sz w:val="24"/>
          <w:szCs w:val="24"/>
          <w:lang w:val="en-IE"/>
        </w:rPr>
        <w:t xml:space="preserve">and </w:t>
      </w:r>
      <w:r w:rsidR="002F5927">
        <w:rPr>
          <w:rFonts w:ascii="Times New Roman" w:hAnsi="Times New Roman" w:cs="Times New Roman"/>
          <w:noProof/>
          <w:sz w:val="24"/>
          <w:szCs w:val="24"/>
          <w:lang w:val="en-IE"/>
        </w:rPr>
        <w:t xml:space="preserve">in </w:t>
      </w:r>
      <w:r w:rsidR="005904C7">
        <w:rPr>
          <w:rFonts w:ascii="Times New Roman" w:hAnsi="Times New Roman" w:cs="Times New Roman"/>
          <w:noProof/>
          <w:sz w:val="24"/>
          <w:szCs w:val="24"/>
          <w:lang w:val="en-IE"/>
        </w:rPr>
        <w:t xml:space="preserve">Greece and Belgium </w:t>
      </w:r>
      <w:r w:rsidR="00D46AF8">
        <w:rPr>
          <w:rFonts w:ascii="Times New Roman" w:hAnsi="Times New Roman" w:cs="Times New Roman"/>
          <w:noProof/>
          <w:sz w:val="24"/>
          <w:szCs w:val="24"/>
          <w:lang w:val="en-IE"/>
        </w:rPr>
        <w:t xml:space="preserve">this share </w:t>
      </w:r>
      <w:r w:rsidR="005904C7">
        <w:rPr>
          <w:rFonts w:ascii="Times New Roman" w:hAnsi="Times New Roman" w:cs="Times New Roman"/>
          <w:noProof/>
          <w:sz w:val="24"/>
          <w:szCs w:val="24"/>
          <w:lang w:val="en-IE"/>
        </w:rPr>
        <w:t>was close to 1%</w:t>
      </w:r>
      <w:r w:rsidR="009130C0">
        <w:rPr>
          <w:rFonts w:ascii="Times New Roman" w:hAnsi="Times New Roman" w:cs="Times New Roman"/>
          <w:noProof/>
          <w:sz w:val="24"/>
          <w:szCs w:val="24"/>
          <w:lang w:val="en-IE"/>
        </w:rPr>
        <w:t xml:space="preserve">, discouraging </w:t>
      </w:r>
      <w:r w:rsidR="00615905">
        <w:rPr>
          <w:rFonts w:ascii="Times New Roman" w:hAnsi="Times New Roman" w:cs="Times New Roman"/>
          <w:noProof/>
          <w:sz w:val="24"/>
          <w:szCs w:val="24"/>
          <w:lang w:val="en-IE"/>
        </w:rPr>
        <w:t>the</w:t>
      </w:r>
      <w:r w:rsidR="009130C0">
        <w:rPr>
          <w:rFonts w:ascii="Times New Roman" w:hAnsi="Times New Roman" w:cs="Times New Roman"/>
          <w:noProof/>
          <w:sz w:val="24"/>
          <w:szCs w:val="24"/>
          <w:lang w:val="en-IE"/>
        </w:rPr>
        <w:t xml:space="preserve"> </w:t>
      </w:r>
      <w:r w:rsidR="002D0613">
        <w:rPr>
          <w:rFonts w:ascii="Times New Roman" w:hAnsi="Times New Roman" w:cs="Times New Roman"/>
          <w:noProof/>
          <w:sz w:val="24"/>
          <w:szCs w:val="24"/>
          <w:lang w:val="en-IE"/>
        </w:rPr>
        <w:t>clean</w:t>
      </w:r>
      <w:r w:rsidR="00615905">
        <w:rPr>
          <w:rFonts w:ascii="Times New Roman" w:hAnsi="Times New Roman" w:cs="Times New Roman"/>
          <w:noProof/>
          <w:sz w:val="24"/>
          <w:szCs w:val="24"/>
          <w:lang w:val="en-IE"/>
        </w:rPr>
        <w:t>-</w:t>
      </w:r>
      <w:r w:rsidR="002D0613">
        <w:rPr>
          <w:rFonts w:ascii="Times New Roman" w:hAnsi="Times New Roman" w:cs="Times New Roman"/>
          <w:noProof/>
          <w:sz w:val="24"/>
          <w:szCs w:val="24"/>
          <w:lang w:val="en-IE"/>
        </w:rPr>
        <w:t xml:space="preserve">energy </w:t>
      </w:r>
      <w:r w:rsidR="009130C0">
        <w:rPr>
          <w:rFonts w:ascii="Times New Roman" w:hAnsi="Times New Roman" w:cs="Times New Roman"/>
          <w:noProof/>
          <w:sz w:val="24"/>
          <w:szCs w:val="24"/>
          <w:lang w:val="en-IE"/>
        </w:rPr>
        <w:t>transition.</w:t>
      </w:r>
      <w:r w:rsidR="00116930">
        <w:rPr>
          <w:rFonts w:ascii="Times New Roman" w:hAnsi="Times New Roman" w:cs="Times New Roman"/>
          <w:noProof/>
          <w:sz w:val="24"/>
          <w:szCs w:val="24"/>
          <w:lang w:val="en-IE"/>
        </w:rPr>
        <w:t xml:space="preserve"> Nevertheless, the</w:t>
      </w:r>
      <w:r w:rsidR="00FD261A">
        <w:rPr>
          <w:rFonts w:ascii="Times New Roman" w:hAnsi="Times New Roman" w:cs="Times New Roman"/>
          <w:noProof/>
          <w:sz w:val="24"/>
          <w:szCs w:val="24"/>
          <w:lang w:val="en-IE"/>
        </w:rPr>
        <w:t>se latter</w:t>
      </w:r>
      <w:r w:rsidR="00116930">
        <w:rPr>
          <w:rFonts w:ascii="Times New Roman" w:hAnsi="Times New Roman" w:cs="Times New Roman"/>
          <w:noProof/>
          <w:sz w:val="24"/>
          <w:szCs w:val="24"/>
          <w:lang w:val="en-IE"/>
        </w:rPr>
        <w:t xml:space="preserve"> two countries respectively spent 0.9% and 0.5% of their GDP on renewables</w:t>
      </w:r>
      <w:r w:rsidR="00137802">
        <w:rPr>
          <w:rFonts w:ascii="Times New Roman" w:hAnsi="Times New Roman" w:cs="Times New Roman"/>
          <w:noProof/>
          <w:sz w:val="24"/>
          <w:szCs w:val="24"/>
          <w:lang w:val="en-IE"/>
        </w:rPr>
        <w:t>.</w:t>
      </w:r>
      <w:r w:rsidR="00082ED9">
        <w:rPr>
          <w:rFonts w:ascii="Times New Roman" w:hAnsi="Times New Roman" w:cs="Times New Roman"/>
          <w:noProof/>
          <w:sz w:val="24"/>
          <w:szCs w:val="24"/>
          <w:lang w:val="en-IE"/>
        </w:rPr>
        <w:t xml:space="preserve"> In 2021, energy subsid</w:t>
      </w:r>
      <w:r w:rsidR="00260A7E">
        <w:rPr>
          <w:rFonts w:ascii="Times New Roman" w:hAnsi="Times New Roman" w:cs="Times New Roman"/>
          <w:noProof/>
          <w:sz w:val="24"/>
          <w:szCs w:val="24"/>
          <w:lang w:val="en-IE"/>
        </w:rPr>
        <w:t>ies</w:t>
      </w:r>
      <w:r w:rsidR="00082ED9">
        <w:rPr>
          <w:rFonts w:ascii="Times New Roman" w:hAnsi="Times New Roman" w:cs="Times New Roman"/>
          <w:noProof/>
          <w:sz w:val="24"/>
          <w:szCs w:val="24"/>
          <w:lang w:val="en-IE"/>
        </w:rPr>
        <w:t xml:space="preserve"> </w:t>
      </w:r>
      <w:r w:rsidR="00615905">
        <w:rPr>
          <w:rFonts w:ascii="Times New Roman" w:hAnsi="Times New Roman" w:cs="Times New Roman"/>
          <w:noProof/>
          <w:sz w:val="24"/>
          <w:szCs w:val="24"/>
          <w:lang w:val="en-IE"/>
        </w:rPr>
        <w:t>as a percentage of</w:t>
      </w:r>
      <w:r w:rsidR="00082ED9">
        <w:rPr>
          <w:rFonts w:ascii="Times New Roman" w:hAnsi="Times New Roman" w:cs="Times New Roman"/>
          <w:noProof/>
          <w:sz w:val="24"/>
          <w:szCs w:val="24"/>
          <w:lang w:val="en-IE"/>
        </w:rPr>
        <w:t xml:space="preserve"> GDP remained stable</w:t>
      </w:r>
      <w:r w:rsidR="00623283">
        <w:rPr>
          <w:rFonts w:ascii="Times New Roman" w:hAnsi="Times New Roman" w:cs="Times New Roman"/>
          <w:noProof/>
          <w:sz w:val="24"/>
          <w:szCs w:val="24"/>
          <w:lang w:val="en-IE"/>
        </w:rPr>
        <w:t xml:space="preserve"> (or decreased slightly compared to 2020)</w:t>
      </w:r>
      <w:r w:rsidR="00082ED9">
        <w:rPr>
          <w:rFonts w:ascii="Times New Roman" w:hAnsi="Times New Roman" w:cs="Times New Roman"/>
          <w:noProof/>
          <w:sz w:val="24"/>
          <w:szCs w:val="24"/>
          <w:lang w:val="en-IE"/>
        </w:rPr>
        <w:t xml:space="preserve"> in most EU Member States.</w:t>
      </w:r>
    </w:p>
    <w:p w14:paraId="0B50345C" w14:textId="210F69BE" w:rsidR="00162D4A" w:rsidRPr="0021742F" w:rsidRDefault="00162D4A" w:rsidP="00162D4A">
      <w:pPr>
        <w:pStyle w:val="Caption"/>
        <w:keepNext/>
        <w:spacing w:after="120"/>
        <w:rPr>
          <w:rFonts w:ascii="Times New Roman" w:hAnsi="Times New Roman" w:cs="Times New Roman"/>
          <w:b/>
          <w:i w:val="0"/>
          <w:noProof/>
          <w:color w:val="000000" w:themeColor="text1"/>
          <w:sz w:val="20"/>
          <w:szCs w:val="20"/>
          <w:lang w:val="en-US"/>
        </w:rPr>
      </w:pPr>
      <w:r w:rsidRPr="0021742F">
        <w:rPr>
          <w:rFonts w:ascii="Times New Roman" w:hAnsi="Times New Roman" w:cs="Times New Roman"/>
          <w:b/>
          <w:i w:val="0"/>
          <w:noProof/>
          <w:color w:val="000000" w:themeColor="text1"/>
          <w:sz w:val="20"/>
          <w:szCs w:val="20"/>
          <w:lang w:val="en-US"/>
        </w:rPr>
        <w:t xml:space="preserve">Figure </w:t>
      </w:r>
      <w:r w:rsidRPr="0021742F">
        <w:rPr>
          <w:rFonts w:ascii="Times New Roman" w:hAnsi="Times New Roman" w:cs="Times New Roman"/>
          <w:b/>
          <w:i w:val="0"/>
          <w:noProof/>
          <w:color w:val="000000" w:themeColor="text1"/>
          <w:sz w:val="20"/>
          <w:szCs w:val="20"/>
        </w:rPr>
        <w:fldChar w:fldCharType="begin"/>
      </w:r>
      <w:r w:rsidRPr="0021742F">
        <w:rPr>
          <w:rFonts w:ascii="Times New Roman" w:hAnsi="Times New Roman" w:cs="Times New Roman"/>
          <w:b/>
          <w:i w:val="0"/>
          <w:noProof/>
          <w:color w:val="000000" w:themeColor="text1"/>
          <w:sz w:val="20"/>
          <w:szCs w:val="20"/>
          <w:lang w:val="en-US"/>
        </w:rPr>
        <w:instrText xml:space="preserve"> SEQ Figure \* ARABIC </w:instrText>
      </w:r>
      <w:r w:rsidRPr="0021742F">
        <w:rPr>
          <w:rFonts w:ascii="Times New Roman" w:hAnsi="Times New Roman" w:cs="Times New Roman"/>
          <w:b/>
          <w:i w:val="0"/>
          <w:noProof/>
          <w:color w:val="000000" w:themeColor="text1"/>
          <w:sz w:val="20"/>
          <w:szCs w:val="20"/>
        </w:rPr>
        <w:fldChar w:fldCharType="separate"/>
      </w:r>
      <w:r w:rsidR="008236A3">
        <w:rPr>
          <w:rFonts w:ascii="Times New Roman" w:hAnsi="Times New Roman" w:cs="Times New Roman"/>
          <w:b/>
          <w:i w:val="0"/>
          <w:noProof/>
          <w:color w:val="000000" w:themeColor="text1"/>
          <w:sz w:val="20"/>
          <w:szCs w:val="20"/>
          <w:lang w:val="en-US"/>
        </w:rPr>
        <w:t>2</w:t>
      </w:r>
      <w:r w:rsidRPr="0021742F">
        <w:rPr>
          <w:rFonts w:ascii="Times New Roman" w:hAnsi="Times New Roman" w:cs="Times New Roman"/>
          <w:b/>
          <w:i w:val="0"/>
          <w:noProof/>
          <w:color w:val="000000" w:themeColor="text1"/>
          <w:sz w:val="20"/>
          <w:szCs w:val="20"/>
        </w:rPr>
        <w:fldChar w:fldCharType="end"/>
      </w:r>
      <w:r w:rsidRPr="0021742F">
        <w:rPr>
          <w:rFonts w:ascii="Times New Roman" w:hAnsi="Times New Roman" w:cs="Times New Roman"/>
          <w:b/>
          <w:i w:val="0"/>
          <w:noProof/>
          <w:color w:val="000000" w:themeColor="text1"/>
          <w:sz w:val="20"/>
          <w:szCs w:val="20"/>
          <w:lang w:val="en-US"/>
        </w:rPr>
        <w:t xml:space="preserve"> - Subsidies </w:t>
      </w:r>
      <w:r w:rsidR="000A141C">
        <w:rPr>
          <w:rFonts w:ascii="Times New Roman" w:hAnsi="Times New Roman" w:cs="Times New Roman"/>
          <w:b/>
          <w:i w:val="0"/>
          <w:noProof/>
          <w:color w:val="000000" w:themeColor="text1"/>
          <w:sz w:val="20"/>
          <w:szCs w:val="20"/>
          <w:lang w:val="en-US"/>
        </w:rPr>
        <w:t>for</w:t>
      </w:r>
      <w:r w:rsidRPr="0021742F">
        <w:rPr>
          <w:rFonts w:ascii="Times New Roman" w:hAnsi="Times New Roman" w:cs="Times New Roman"/>
          <w:b/>
          <w:i w:val="0"/>
          <w:noProof/>
          <w:color w:val="000000" w:themeColor="text1"/>
          <w:sz w:val="20"/>
          <w:szCs w:val="20"/>
          <w:lang w:val="en-US"/>
        </w:rPr>
        <w:t xml:space="preserve"> different energy sources, as </w:t>
      </w:r>
      <w:r w:rsidR="00615905">
        <w:rPr>
          <w:rFonts w:ascii="Times New Roman" w:hAnsi="Times New Roman" w:cs="Times New Roman"/>
          <w:b/>
          <w:i w:val="0"/>
          <w:noProof/>
          <w:color w:val="000000" w:themeColor="text1"/>
          <w:sz w:val="20"/>
          <w:szCs w:val="20"/>
          <w:lang w:val="en-US"/>
        </w:rPr>
        <w:t xml:space="preserve">a </w:t>
      </w:r>
      <w:r w:rsidRPr="0021742F">
        <w:rPr>
          <w:rFonts w:ascii="Times New Roman" w:hAnsi="Times New Roman" w:cs="Times New Roman"/>
          <w:b/>
          <w:i w:val="0"/>
          <w:noProof/>
          <w:color w:val="000000" w:themeColor="text1"/>
          <w:sz w:val="20"/>
          <w:szCs w:val="20"/>
          <w:lang w:val="en-US"/>
        </w:rPr>
        <w:t>percent</w:t>
      </w:r>
      <w:r w:rsidR="00615905">
        <w:rPr>
          <w:rFonts w:ascii="Times New Roman" w:hAnsi="Times New Roman" w:cs="Times New Roman"/>
          <w:b/>
          <w:i w:val="0"/>
          <w:noProof/>
          <w:color w:val="000000" w:themeColor="text1"/>
          <w:sz w:val="20"/>
          <w:szCs w:val="20"/>
          <w:lang w:val="en-US"/>
        </w:rPr>
        <w:t>age</w:t>
      </w:r>
      <w:r w:rsidRPr="0021742F">
        <w:rPr>
          <w:rFonts w:ascii="Times New Roman" w:hAnsi="Times New Roman" w:cs="Times New Roman"/>
          <w:b/>
          <w:i w:val="0"/>
          <w:noProof/>
          <w:color w:val="000000" w:themeColor="text1"/>
          <w:sz w:val="20"/>
          <w:szCs w:val="20"/>
          <w:lang w:val="en-US"/>
        </w:rPr>
        <w:t xml:space="preserve"> of</w:t>
      </w:r>
      <w:r w:rsidR="008236A3">
        <w:rPr>
          <w:rFonts w:ascii="Times New Roman" w:hAnsi="Times New Roman" w:cs="Times New Roman"/>
          <w:b/>
          <w:i w:val="0"/>
          <w:noProof/>
          <w:color w:val="000000" w:themeColor="text1"/>
          <w:sz w:val="20"/>
          <w:szCs w:val="20"/>
          <w:lang w:val="en-US"/>
        </w:rPr>
        <w:t xml:space="preserve"> GDP</w:t>
      </w:r>
      <w:r w:rsidR="00CA4032">
        <w:rPr>
          <w:rFonts w:ascii="Times New Roman" w:hAnsi="Times New Roman" w:cs="Times New Roman"/>
          <w:b/>
          <w:i w:val="0"/>
          <w:noProof/>
          <w:color w:val="000000" w:themeColor="text1"/>
          <w:sz w:val="20"/>
          <w:szCs w:val="20"/>
          <w:lang w:val="en-US"/>
        </w:rPr>
        <w:t xml:space="preserve"> in 2015 and 2020,</w:t>
      </w:r>
      <w:r w:rsidR="008236A3">
        <w:rPr>
          <w:rFonts w:ascii="Times New Roman" w:hAnsi="Times New Roman" w:cs="Times New Roman"/>
          <w:b/>
          <w:i w:val="0"/>
          <w:noProof/>
          <w:color w:val="000000" w:themeColor="text1"/>
          <w:sz w:val="20"/>
          <w:szCs w:val="20"/>
          <w:lang w:val="en-US"/>
        </w:rPr>
        <w:t xml:space="preserve"> and in billion euros in 2020</w:t>
      </w:r>
    </w:p>
    <w:p w14:paraId="1EF56EE9" w14:textId="5CBE0B21" w:rsidR="00162D4A" w:rsidRDefault="00CA4032" w:rsidP="00162D4A">
      <w:pPr>
        <w:spacing w:after="0"/>
        <w:rPr>
          <w:rFonts w:ascii="Times New Roman" w:hAnsi="Times New Roman" w:cs="Times New Roman"/>
          <w:b/>
          <w:noProof/>
          <w:sz w:val="24"/>
          <w:szCs w:val="24"/>
          <w:lang w:val="en-IE"/>
        </w:rPr>
      </w:pPr>
      <w:r w:rsidRPr="00CA4032">
        <w:rPr>
          <w:rFonts w:ascii="Times New Roman" w:hAnsi="Times New Roman" w:cs="Times New Roman"/>
          <w:b/>
          <w:noProof/>
          <w:sz w:val="24"/>
          <w:szCs w:val="24"/>
          <w:lang w:val="en-GB" w:eastAsia="en-GB"/>
        </w:rPr>
        <w:drawing>
          <wp:inline distT="0" distB="0" distL="0" distR="0" wp14:anchorId="7A19B748" wp14:editId="7B21F80E">
            <wp:extent cx="4937760" cy="256032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39424" cy="2561183"/>
                    </a:xfrm>
                    <a:prstGeom prst="rect">
                      <a:avLst/>
                    </a:prstGeom>
                  </pic:spPr>
                </pic:pic>
              </a:graphicData>
            </a:graphic>
          </wp:inline>
        </w:drawing>
      </w:r>
      <w:r w:rsidR="008236A3" w:rsidRPr="008236A3">
        <w:rPr>
          <w:rFonts w:ascii="Times New Roman" w:hAnsi="Times New Roman" w:cs="Times New Roman"/>
          <w:b/>
          <w:noProof/>
          <w:sz w:val="24"/>
          <w:szCs w:val="24"/>
          <w:lang w:val="en-US"/>
        </w:rPr>
        <w:t xml:space="preserve"> </w:t>
      </w:r>
    </w:p>
    <w:p w14:paraId="48ACB10B" w14:textId="2239C694" w:rsidR="00162D4A" w:rsidRPr="008236A3" w:rsidRDefault="008236A3" w:rsidP="008236A3">
      <w:pPr>
        <w:jc w:val="both"/>
        <w:rPr>
          <w:rFonts w:ascii="Times New Roman" w:hAnsi="Times New Roman" w:cs="Times New Roman"/>
          <w:noProof/>
          <w:sz w:val="18"/>
          <w:szCs w:val="18"/>
          <w:lang w:val="en-US"/>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r>
        <w:rPr>
          <w:rFonts w:ascii="Times New Roman" w:hAnsi="Times New Roman" w:cs="Times New Roman"/>
          <w:noProof/>
          <w:sz w:val="18"/>
          <w:szCs w:val="18"/>
          <w:lang w:val="en-IE"/>
        </w:rPr>
        <w:t xml:space="preserve">. </w:t>
      </w:r>
      <w:r w:rsidR="005904C7" w:rsidRPr="008236A3">
        <w:rPr>
          <w:rFonts w:ascii="Times New Roman" w:hAnsi="Times New Roman" w:cs="Times New Roman"/>
          <w:noProof/>
          <w:sz w:val="18"/>
          <w:szCs w:val="18"/>
          <w:lang w:val="en-US"/>
        </w:rPr>
        <w:t>Electricity refers to general</w:t>
      </w:r>
      <w:r w:rsidR="00615905">
        <w:rPr>
          <w:rFonts w:ascii="Times New Roman" w:hAnsi="Times New Roman" w:cs="Times New Roman"/>
          <w:noProof/>
          <w:sz w:val="18"/>
          <w:szCs w:val="18"/>
          <w:lang w:val="en-US"/>
        </w:rPr>
        <w:t>,</w:t>
      </w:r>
      <w:r w:rsidR="005904C7" w:rsidRPr="008236A3">
        <w:rPr>
          <w:rFonts w:ascii="Times New Roman" w:hAnsi="Times New Roman" w:cs="Times New Roman"/>
          <w:noProof/>
          <w:sz w:val="18"/>
          <w:szCs w:val="18"/>
          <w:lang w:val="en-US"/>
        </w:rPr>
        <w:t xml:space="preserve"> non-technology</w:t>
      </w:r>
      <w:r w:rsidR="00615905">
        <w:rPr>
          <w:rFonts w:ascii="Times New Roman" w:hAnsi="Times New Roman" w:cs="Times New Roman"/>
          <w:noProof/>
          <w:sz w:val="18"/>
          <w:szCs w:val="18"/>
          <w:lang w:val="en-US"/>
        </w:rPr>
        <w:t>-</w:t>
      </w:r>
      <w:r w:rsidR="005904C7" w:rsidRPr="008236A3">
        <w:rPr>
          <w:rFonts w:ascii="Times New Roman" w:hAnsi="Times New Roman" w:cs="Times New Roman"/>
          <w:noProof/>
          <w:sz w:val="18"/>
          <w:szCs w:val="18"/>
          <w:lang w:val="en-US"/>
        </w:rPr>
        <w:t xml:space="preserve">specific support for electricity, while </w:t>
      </w:r>
      <w:r>
        <w:rPr>
          <w:rFonts w:ascii="Times New Roman" w:hAnsi="Times New Roman" w:cs="Times New Roman"/>
          <w:noProof/>
          <w:sz w:val="18"/>
          <w:szCs w:val="18"/>
          <w:lang w:val="en-US"/>
        </w:rPr>
        <w:t>‘</w:t>
      </w:r>
      <w:r>
        <w:rPr>
          <w:rFonts w:ascii="Times New Roman" w:hAnsi="Times New Roman" w:cs="Times New Roman"/>
          <w:noProof/>
          <w:sz w:val="18"/>
          <w:szCs w:val="18"/>
          <w:lang w:val="en-IE"/>
        </w:rPr>
        <w:t>All energies’ represents subsidies not directly attributable to energy carriers or fuels (e.g. energy</w:t>
      </w:r>
      <w:r w:rsidR="00615905">
        <w:rPr>
          <w:rFonts w:ascii="Times New Roman" w:hAnsi="Times New Roman" w:cs="Times New Roman"/>
          <w:noProof/>
          <w:sz w:val="18"/>
          <w:szCs w:val="18"/>
          <w:lang w:val="en-IE"/>
        </w:rPr>
        <w:t>-</w:t>
      </w:r>
      <w:r>
        <w:rPr>
          <w:rFonts w:ascii="Times New Roman" w:hAnsi="Times New Roman" w:cs="Times New Roman"/>
          <w:noProof/>
          <w:sz w:val="18"/>
          <w:szCs w:val="18"/>
          <w:lang w:val="en-IE"/>
        </w:rPr>
        <w:t>efficiency measures</w:t>
      </w:r>
      <w:r w:rsidR="00615905">
        <w:rPr>
          <w:rFonts w:ascii="Times New Roman" w:hAnsi="Times New Roman" w:cs="Times New Roman"/>
          <w:noProof/>
          <w:sz w:val="18"/>
          <w:szCs w:val="18"/>
          <w:lang w:val="en-IE"/>
        </w:rPr>
        <w:t xml:space="preserve"> and</w:t>
      </w:r>
      <w:r>
        <w:rPr>
          <w:rFonts w:ascii="Times New Roman" w:hAnsi="Times New Roman" w:cs="Times New Roman"/>
          <w:noProof/>
          <w:sz w:val="18"/>
          <w:szCs w:val="18"/>
          <w:lang w:val="en-IE"/>
        </w:rPr>
        <w:t xml:space="preserve"> energy</w:t>
      </w:r>
      <w:r w:rsidR="00615905">
        <w:rPr>
          <w:rFonts w:ascii="Times New Roman" w:hAnsi="Times New Roman" w:cs="Times New Roman"/>
          <w:noProof/>
          <w:sz w:val="18"/>
          <w:szCs w:val="18"/>
          <w:lang w:val="en-IE"/>
        </w:rPr>
        <w:t>-</w:t>
      </w:r>
      <w:r>
        <w:rPr>
          <w:rFonts w:ascii="Times New Roman" w:hAnsi="Times New Roman" w:cs="Times New Roman"/>
          <w:noProof/>
          <w:sz w:val="18"/>
          <w:szCs w:val="18"/>
          <w:lang w:val="en-IE"/>
        </w:rPr>
        <w:t>demand/consumption incentives, irrespective of the energy carrier</w:t>
      </w:r>
      <w:r w:rsidR="008F5B2B">
        <w:rPr>
          <w:rFonts w:ascii="Times New Roman" w:hAnsi="Times New Roman" w:cs="Times New Roman"/>
          <w:noProof/>
          <w:sz w:val="18"/>
          <w:szCs w:val="18"/>
          <w:lang w:val="en-IE"/>
        </w:rPr>
        <w:t>;</w:t>
      </w:r>
      <w:r>
        <w:rPr>
          <w:rFonts w:ascii="Times New Roman" w:hAnsi="Times New Roman" w:cs="Times New Roman"/>
          <w:noProof/>
          <w:sz w:val="18"/>
          <w:szCs w:val="18"/>
          <w:lang w:val="en-IE"/>
        </w:rPr>
        <w:t xml:space="preserve"> investment grants</w:t>
      </w:r>
      <w:r w:rsidR="008F5B2B">
        <w:rPr>
          <w:rFonts w:ascii="Times New Roman" w:hAnsi="Times New Roman" w:cs="Times New Roman"/>
          <w:noProof/>
          <w:sz w:val="18"/>
          <w:szCs w:val="18"/>
          <w:lang w:val="en-IE"/>
        </w:rPr>
        <w:t>;</w:t>
      </w:r>
      <w:r>
        <w:rPr>
          <w:rFonts w:ascii="Times New Roman" w:hAnsi="Times New Roman" w:cs="Times New Roman"/>
          <w:noProof/>
          <w:sz w:val="18"/>
          <w:szCs w:val="18"/>
          <w:lang w:val="en-IE"/>
        </w:rPr>
        <w:t xml:space="preserve"> and particular R&amp;D expenditures)</w:t>
      </w:r>
      <w:r w:rsidR="00365660">
        <w:rPr>
          <w:rFonts w:ascii="Times New Roman" w:hAnsi="Times New Roman" w:cs="Times New Roman"/>
          <w:noProof/>
          <w:sz w:val="18"/>
          <w:szCs w:val="18"/>
          <w:lang w:val="en-IE"/>
        </w:rPr>
        <w:t>. For more details, see the Commission study</w:t>
      </w:r>
      <w:r w:rsidR="00615905">
        <w:rPr>
          <w:rFonts w:ascii="Times New Roman" w:hAnsi="Times New Roman" w:cs="Times New Roman"/>
          <w:noProof/>
          <w:sz w:val="18"/>
          <w:szCs w:val="18"/>
          <w:lang w:val="en-IE"/>
        </w:rPr>
        <w:t>.</w:t>
      </w:r>
    </w:p>
    <w:p w14:paraId="2410C904" w14:textId="0808F7C9" w:rsidR="0025698C" w:rsidRDefault="00E82685"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Subsidies</w:t>
      </w:r>
      <w:r w:rsidRPr="00E82685">
        <w:rPr>
          <w:rFonts w:ascii="Times New Roman" w:hAnsi="Times New Roman" w:cs="Times New Roman"/>
          <w:noProof/>
          <w:sz w:val="24"/>
          <w:szCs w:val="24"/>
          <w:lang w:val="en-IE"/>
        </w:rPr>
        <w:t xml:space="preserve"> </w:t>
      </w:r>
      <w:r w:rsidR="00A86D11">
        <w:rPr>
          <w:rFonts w:ascii="Times New Roman" w:hAnsi="Times New Roman" w:cs="Times New Roman"/>
          <w:noProof/>
          <w:sz w:val="24"/>
          <w:szCs w:val="24"/>
          <w:lang w:val="en-IE"/>
        </w:rPr>
        <w:t xml:space="preserve">for </w:t>
      </w:r>
      <w:r w:rsidRPr="00064A9B">
        <w:rPr>
          <w:rFonts w:ascii="Times New Roman" w:hAnsi="Times New Roman" w:cs="Times New Roman"/>
          <w:b/>
          <w:noProof/>
          <w:sz w:val="24"/>
          <w:szCs w:val="24"/>
          <w:lang w:val="en-IE"/>
        </w:rPr>
        <w:t>renewable</w:t>
      </w:r>
      <w:r w:rsidR="0025698C" w:rsidRPr="00C777FE">
        <w:rPr>
          <w:rFonts w:ascii="Times New Roman" w:hAnsi="Times New Roman" w:cs="Times New Roman"/>
          <w:b/>
          <w:noProof/>
          <w:sz w:val="24"/>
          <w:szCs w:val="24"/>
          <w:lang w:val="en-IE"/>
        </w:rPr>
        <w:t xml:space="preserve"> sources</w:t>
      </w:r>
      <w:r w:rsidR="00615905">
        <w:rPr>
          <w:rFonts w:ascii="Times New Roman" w:hAnsi="Times New Roman" w:cs="Times New Roman"/>
          <w:b/>
          <w:noProof/>
          <w:sz w:val="24"/>
          <w:szCs w:val="24"/>
          <w:lang w:val="en-IE"/>
        </w:rPr>
        <w:t xml:space="preserve"> of energy</w:t>
      </w:r>
      <w:r>
        <w:rPr>
          <w:rFonts w:ascii="Times New Roman" w:hAnsi="Times New Roman" w:cs="Times New Roman"/>
          <w:b/>
          <w:noProof/>
          <w:sz w:val="24"/>
          <w:szCs w:val="24"/>
          <w:lang w:val="en-IE"/>
        </w:rPr>
        <w:t xml:space="preserve">, </w:t>
      </w:r>
      <w:r w:rsidRPr="00E82685">
        <w:rPr>
          <w:rFonts w:ascii="Times New Roman" w:hAnsi="Times New Roman" w:cs="Times New Roman"/>
          <w:noProof/>
          <w:sz w:val="24"/>
          <w:szCs w:val="24"/>
          <w:lang w:val="en-IE"/>
        </w:rPr>
        <w:t>rep</w:t>
      </w:r>
      <w:r>
        <w:rPr>
          <w:rFonts w:ascii="Times New Roman" w:hAnsi="Times New Roman" w:cs="Times New Roman"/>
          <w:noProof/>
          <w:sz w:val="24"/>
          <w:szCs w:val="24"/>
          <w:lang w:val="en-IE"/>
        </w:rPr>
        <w:t>resenting around 4</w:t>
      </w:r>
      <w:r w:rsidR="00EB61F6">
        <w:rPr>
          <w:rFonts w:ascii="Times New Roman" w:hAnsi="Times New Roman" w:cs="Times New Roman"/>
          <w:noProof/>
          <w:sz w:val="24"/>
          <w:szCs w:val="24"/>
          <w:lang w:val="en-IE"/>
        </w:rPr>
        <w:t>4</w:t>
      </w:r>
      <w:r>
        <w:rPr>
          <w:rFonts w:ascii="Times New Roman" w:hAnsi="Times New Roman" w:cs="Times New Roman"/>
          <w:noProof/>
          <w:sz w:val="24"/>
          <w:szCs w:val="24"/>
          <w:lang w:val="en-IE"/>
        </w:rPr>
        <w:t>%</w:t>
      </w:r>
      <w:r w:rsidR="00260A7E">
        <w:rPr>
          <w:rFonts w:ascii="Times New Roman" w:hAnsi="Times New Roman" w:cs="Times New Roman"/>
          <w:noProof/>
          <w:sz w:val="24"/>
          <w:szCs w:val="24"/>
          <w:lang w:val="en-IE"/>
        </w:rPr>
        <w:t xml:space="preserve"> of </w:t>
      </w:r>
      <w:r w:rsidR="00615905">
        <w:rPr>
          <w:rFonts w:ascii="Times New Roman" w:hAnsi="Times New Roman" w:cs="Times New Roman"/>
          <w:noProof/>
          <w:sz w:val="24"/>
          <w:szCs w:val="24"/>
          <w:lang w:val="en-IE"/>
        </w:rPr>
        <w:t xml:space="preserve">the </w:t>
      </w:r>
      <w:r w:rsidR="00260A7E">
        <w:rPr>
          <w:rFonts w:ascii="Times New Roman" w:hAnsi="Times New Roman" w:cs="Times New Roman"/>
          <w:noProof/>
          <w:sz w:val="24"/>
          <w:szCs w:val="24"/>
          <w:lang w:val="en-IE"/>
        </w:rPr>
        <w:t xml:space="preserve">overall </w:t>
      </w:r>
      <w:r w:rsidR="00615905">
        <w:rPr>
          <w:rFonts w:ascii="Times New Roman" w:hAnsi="Times New Roman" w:cs="Times New Roman"/>
          <w:noProof/>
          <w:sz w:val="24"/>
          <w:szCs w:val="24"/>
          <w:lang w:val="en-IE"/>
        </w:rPr>
        <w:t xml:space="preserve">value of energy </w:t>
      </w:r>
      <w:r w:rsidR="00260A7E">
        <w:rPr>
          <w:rFonts w:ascii="Times New Roman" w:hAnsi="Times New Roman" w:cs="Times New Roman"/>
          <w:noProof/>
          <w:sz w:val="24"/>
          <w:szCs w:val="24"/>
          <w:lang w:val="en-IE"/>
        </w:rPr>
        <w:t>subsidies</w:t>
      </w:r>
      <w:r w:rsidR="0025698C">
        <w:rPr>
          <w:rFonts w:ascii="Times New Roman" w:hAnsi="Times New Roman" w:cs="Times New Roman"/>
          <w:noProof/>
          <w:sz w:val="24"/>
          <w:szCs w:val="24"/>
          <w:lang w:val="en-IE"/>
        </w:rPr>
        <w:t xml:space="preserve"> </w:t>
      </w:r>
      <w:r w:rsidR="00615905">
        <w:rPr>
          <w:rFonts w:ascii="Times New Roman" w:hAnsi="Times New Roman" w:cs="Times New Roman"/>
          <w:noProof/>
          <w:sz w:val="24"/>
          <w:szCs w:val="24"/>
          <w:lang w:val="en-IE"/>
        </w:rPr>
        <w:t>in recent</w:t>
      </w:r>
      <w:r w:rsidR="0025698C">
        <w:rPr>
          <w:rFonts w:ascii="Times New Roman" w:hAnsi="Times New Roman" w:cs="Times New Roman"/>
          <w:noProof/>
          <w:sz w:val="24"/>
          <w:szCs w:val="24"/>
          <w:lang w:val="en-IE"/>
        </w:rPr>
        <w:t xml:space="preserve"> years</w:t>
      </w:r>
      <w:r>
        <w:rPr>
          <w:rFonts w:ascii="Times New Roman" w:hAnsi="Times New Roman" w:cs="Times New Roman"/>
          <w:noProof/>
          <w:sz w:val="24"/>
          <w:szCs w:val="24"/>
          <w:lang w:val="en-IE"/>
        </w:rPr>
        <w:t>,</w:t>
      </w:r>
      <w:r w:rsidR="0025698C">
        <w:rPr>
          <w:rFonts w:ascii="Times New Roman" w:hAnsi="Times New Roman" w:cs="Times New Roman"/>
          <w:noProof/>
          <w:sz w:val="24"/>
          <w:szCs w:val="24"/>
          <w:lang w:val="en-IE"/>
        </w:rPr>
        <w:t xml:space="preserve"> </w:t>
      </w:r>
      <w:r w:rsidR="00615905">
        <w:rPr>
          <w:rFonts w:ascii="Times New Roman" w:hAnsi="Times New Roman" w:cs="Times New Roman"/>
          <w:noProof/>
          <w:sz w:val="24"/>
          <w:szCs w:val="24"/>
          <w:lang w:val="en-IE"/>
        </w:rPr>
        <w:t>grew</w:t>
      </w:r>
      <w:r>
        <w:rPr>
          <w:rFonts w:ascii="Times New Roman" w:hAnsi="Times New Roman" w:cs="Times New Roman"/>
          <w:noProof/>
          <w:sz w:val="24"/>
          <w:szCs w:val="24"/>
          <w:lang w:val="en-IE"/>
        </w:rPr>
        <w:t xml:space="preserve"> by 7% (+</w:t>
      </w:r>
      <w:r w:rsidR="00615905">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5.5</w:t>
      </w:r>
      <w:r w:rsidR="0025698C">
        <w:rPr>
          <w:rFonts w:ascii="Times New Roman" w:hAnsi="Times New Roman" w:cs="Times New Roman"/>
          <w:noProof/>
          <w:sz w:val="24"/>
          <w:szCs w:val="24"/>
          <w:lang w:val="en-IE"/>
        </w:rPr>
        <w:t xml:space="preserve"> billion</w:t>
      </w:r>
      <w:r>
        <w:rPr>
          <w:rFonts w:ascii="Times New Roman" w:hAnsi="Times New Roman" w:cs="Times New Roman"/>
          <w:noProof/>
          <w:sz w:val="24"/>
          <w:szCs w:val="24"/>
          <w:lang w:val="en-IE"/>
        </w:rPr>
        <w:t xml:space="preserve">) </w:t>
      </w:r>
      <w:r w:rsidR="0025698C">
        <w:rPr>
          <w:rFonts w:ascii="Times New Roman" w:hAnsi="Times New Roman" w:cs="Times New Roman"/>
          <w:noProof/>
          <w:sz w:val="24"/>
          <w:szCs w:val="24"/>
          <w:lang w:val="en-IE"/>
        </w:rPr>
        <w:t>in 20</w:t>
      </w:r>
      <w:r>
        <w:rPr>
          <w:rFonts w:ascii="Times New Roman" w:hAnsi="Times New Roman" w:cs="Times New Roman"/>
          <w:noProof/>
          <w:sz w:val="24"/>
          <w:szCs w:val="24"/>
          <w:lang w:val="en-IE"/>
        </w:rPr>
        <w:t>20</w:t>
      </w:r>
      <w:r w:rsidR="0025698C">
        <w:rPr>
          <w:rFonts w:ascii="Times New Roman" w:hAnsi="Times New Roman" w:cs="Times New Roman"/>
          <w:noProof/>
          <w:sz w:val="24"/>
          <w:szCs w:val="24"/>
          <w:lang w:val="en-IE"/>
        </w:rPr>
        <w:t xml:space="preserve"> compared to 201</w:t>
      </w:r>
      <w:r>
        <w:rPr>
          <w:rFonts w:ascii="Times New Roman" w:hAnsi="Times New Roman" w:cs="Times New Roman"/>
          <w:noProof/>
          <w:sz w:val="24"/>
          <w:szCs w:val="24"/>
          <w:lang w:val="en-IE"/>
        </w:rPr>
        <w:t>9</w:t>
      </w:r>
      <w:r w:rsidR="00615905">
        <w:rPr>
          <w:rFonts w:ascii="Times New Roman" w:hAnsi="Times New Roman" w:cs="Times New Roman"/>
          <w:noProof/>
          <w:sz w:val="24"/>
          <w:szCs w:val="24"/>
          <w:lang w:val="en-IE"/>
        </w:rPr>
        <w:t>. H</w:t>
      </w:r>
      <w:r>
        <w:rPr>
          <w:rFonts w:ascii="Times New Roman" w:hAnsi="Times New Roman" w:cs="Times New Roman"/>
          <w:noProof/>
          <w:sz w:val="24"/>
          <w:szCs w:val="24"/>
          <w:lang w:val="en-IE"/>
        </w:rPr>
        <w:t xml:space="preserve">owever, in </w:t>
      </w:r>
      <w:r w:rsidR="0025698C">
        <w:rPr>
          <w:rFonts w:ascii="Times New Roman" w:hAnsi="Times New Roman" w:cs="Times New Roman"/>
          <w:noProof/>
          <w:sz w:val="24"/>
          <w:szCs w:val="24"/>
          <w:lang w:val="en-IE"/>
        </w:rPr>
        <w:t>202</w:t>
      </w:r>
      <w:r>
        <w:rPr>
          <w:rFonts w:ascii="Times New Roman" w:hAnsi="Times New Roman" w:cs="Times New Roman"/>
          <w:noProof/>
          <w:sz w:val="24"/>
          <w:szCs w:val="24"/>
          <w:lang w:val="en-IE"/>
        </w:rPr>
        <w:t>1</w:t>
      </w:r>
      <w:r w:rsidR="0025698C">
        <w:rPr>
          <w:rFonts w:ascii="Times New Roman" w:hAnsi="Times New Roman" w:cs="Times New Roman"/>
          <w:noProof/>
          <w:sz w:val="24"/>
          <w:szCs w:val="24"/>
          <w:lang w:val="en-IE"/>
        </w:rPr>
        <w:t xml:space="preserve"> the</w:t>
      </w:r>
      <w:r w:rsidR="00615905">
        <w:rPr>
          <w:rFonts w:ascii="Times New Roman" w:hAnsi="Times New Roman" w:cs="Times New Roman"/>
          <w:noProof/>
          <w:sz w:val="24"/>
          <w:szCs w:val="24"/>
          <w:lang w:val="en-IE"/>
        </w:rPr>
        <w:t>se subsidies</w:t>
      </w:r>
      <w:r w:rsidR="0025698C">
        <w:rPr>
          <w:rFonts w:ascii="Times New Roman" w:hAnsi="Times New Roman" w:cs="Times New Roman"/>
          <w:noProof/>
          <w:sz w:val="24"/>
          <w:szCs w:val="24"/>
          <w:lang w:val="en-IE"/>
        </w:rPr>
        <w:t xml:space="preserve"> </w:t>
      </w:r>
      <w:r w:rsidR="000A141C">
        <w:rPr>
          <w:rFonts w:ascii="Times New Roman" w:hAnsi="Times New Roman" w:cs="Times New Roman"/>
          <w:noProof/>
          <w:sz w:val="24"/>
          <w:szCs w:val="24"/>
          <w:lang w:val="en-IE"/>
        </w:rPr>
        <w:t xml:space="preserve">decreased </w:t>
      </w:r>
      <w:r>
        <w:rPr>
          <w:rFonts w:ascii="Times New Roman" w:hAnsi="Times New Roman" w:cs="Times New Roman"/>
          <w:noProof/>
          <w:sz w:val="24"/>
          <w:szCs w:val="24"/>
          <w:lang w:val="en-IE"/>
        </w:rPr>
        <w:t>by 3% (-</w:t>
      </w:r>
      <w:r w:rsidR="00615905">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2.8 billion</w:t>
      </w:r>
      <w:r w:rsidR="00116930">
        <w:rPr>
          <w:rFonts w:ascii="Times New Roman" w:hAnsi="Times New Roman" w:cs="Times New Roman"/>
          <w:noProof/>
          <w:sz w:val="24"/>
          <w:szCs w:val="24"/>
          <w:lang w:val="en-IE"/>
        </w:rPr>
        <w:t>, impacted by higher wholesale energy prices and consequently, lower feed-in premia or contract for differences</w:t>
      </w:r>
      <w:r w:rsidR="00A86D11">
        <w:rPr>
          <w:rFonts w:ascii="Times New Roman" w:hAnsi="Times New Roman" w:cs="Times New Roman"/>
          <w:noProof/>
          <w:sz w:val="24"/>
          <w:szCs w:val="24"/>
          <w:lang w:val="en-IE"/>
        </w:rPr>
        <w:t>)</w:t>
      </w:r>
      <w:r>
        <w:rPr>
          <w:rFonts w:ascii="Times New Roman" w:hAnsi="Times New Roman" w:cs="Times New Roman"/>
          <w:noProof/>
          <w:sz w:val="24"/>
          <w:szCs w:val="24"/>
          <w:lang w:val="en-IE"/>
        </w:rPr>
        <w:t>, as estimated numbers show</w:t>
      </w:r>
      <w:r w:rsidR="0025698C">
        <w:rPr>
          <w:rFonts w:ascii="Times New Roman" w:hAnsi="Times New Roman" w:cs="Times New Roman"/>
          <w:noProof/>
          <w:sz w:val="24"/>
          <w:szCs w:val="24"/>
          <w:lang w:val="en-IE"/>
        </w:rPr>
        <w:t>. On the other hand, fossil</w:t>
      </w:r>
      <w:r w:rsidR="00615905">
        <w:rPr>
          <w:rFonts w:ascii="Times New Roman" w:hAnsi="Times New Roman" w:cs="Times New Roman"/>
          <w:noProof/>
          <w:sz w:val="24"/>
          <w:szCs w:val="24"/>
          <w:lang w:val="en-IE"/>
        </w:rPr>
        <w:t>-</w:t>
      </w:r>
      <w:r w:rsidR="0025698C">
        <w:rPr>
          <w:rFonts w:ascii="Times New Roman" w:hAnsi="Times New Roman" w:cs="Times New Roman"/>
          <w:noProof/>
          <w:sz w:val="24"/>
          <w:szCs w:val="24"/>
          <w:lang w:val="en-IE"/>
        </w:rPr>
        <w:t>fuel subsidies</w:t>
      </w:r>
      <w:r w:rsidR="00A86D11">
        <w:rPr>
          <w:rFonts w:ascii="Times New Roman" w:hAnsi="Times New Roman" w:cs="Times New Roman"/>
          <w:noProof/>
          <w:sz w:val="24"/>
          <w:szCs w:val="24"/>
          <w:lang w:val="en-IE"/>
        </w:rPr>
        <w:t>, which</w:t>
      </w:r>
      <w:r w:rsidR="00EB61F6">
        <w:rPr>
          <w:rFonts w:ascii="Times New Roman" w:hAnsi="Times New Roman" w:cs="Times New Roman"/>
          <w:noProof/>
          <w:sz w:val="24"/>
          <w:szCs w:val="24"/>
          <w:lang w:val="en-IE"/>
        </w:rPr>
        <w:t xml:space="preserve"> </w:t>
      </w:r>
      <w:r w:rsidR="00615905">
        <w:rPr>
          <w:rFonts w:ascii="Times New Roman" w:hAnsi="Times New Roman" w:cs="Times New Roman"/>
          <w:noProof/>
          <w:sz w:val="24"/>
          <w:szCs w:val="24"/>
          <w:lang w:val="en-IE"/>
        </w:rPr>
        <w:t>have accounted for</w:t>
      </w:r>
      <w:r w:rsidR="00EB61F6">
        <w:rPr>
          <w:rFonts w:ascii="Times New Roman" w:hAnsi="Times New Roman" w:cs="Times New Roman"/>
          <w:noProof/>
          <w:sz w:val="24"/>
          <w:szCs w:val="24"/>
          <w:lang w:val="en-IE"/>
        </w:rPr>
        <w:t xml:space="preserve"> 31% </w:t>
      </w:r>
      <w:r w:rsidR="00615905">
        <w:rPr>
          <w:rFonts w:ascii="Times New Roman" w:hAnsi="Times New Roman" w:cs="Times New Roman"/>
          <w:noProof/>
          <w:sz w:val="24"/>
          <w:szCs w:val="24"/>
          <w:lang w:val="en-IE"/>
        </w:rPr>
        <w:t>of the total value of energy subsidies in recent years</w:t>
      </w:r>
      <w:r w:rsidR="00EB61F6">
        <w:rPr>
          <w:rFonts w:ascii="Times New Roman" w:hAnsi="Times New Roman" w:cs="Times New Roman"/>
          <w:noProof/>
          <w:sz w:val="24"/>
          <w:szCs w:val="24"/>
          <w:lang w:val="en-IE"/>
        </w:rPr>
        <w:t>,</w:t>
      </w:r>
      <w:r w:rsidR="0025698C">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decreased by 5.5% </w:t>
      </w:r>
      <w:r w:rsidR="00615905">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2.9 billion) </w:t>
      </w:r>
      <w:r w:rsidR="00EB61F6">
        <w:rPr>
          <w:rFonts w:ascii="Times New Roman" w:hAnsi="Times New Roman" w:cs="Times New Roman"/>
          <w:noProof/>
          <w:sz w:val="24"/>
          <w:szCs w:val="24"/>
          <w:lang w:val="en-IE"/>
        </w:rPr>
        <w:t xml:space="preserve">in 2020 </w:t>
      </w:r>
      <w:r>
        <w:rPr>
          <w:rFonts w:ascii="Times New Roman" w:hAnsi="Times New Roman" w:cs="Times New Roman"/>
          <w:noProof/>
          <w:sz w:val="24"/>
          <w:szCs w:val="24"/>
          <w:lang w:val="en-IE"/>
        </w:rPr>
        <w:t xml:space="preserve">and remained practically stable in 2021. </w:t>
      </w:r>
      <w:r w:rsidR="00EB52BE">
        <w:rPr>
          <w:rFonts w:ascii="Times New Roman" w:hAnsi="Times New Roman" w:cs="Times New Roman"/>
          <w:noProof/>
          <w:sz w:val="24"/>
          <w:szCs w:val="24"/>
          <w:lang w:val="en-IE"/>
        </w:rPr>
        <w:t>I</w:t>
      </w:r>
      <w:r>
        <w:rPr>
          <w:rFonts w:ascii="Times New Roman" w:hAnsi="Times New Roman" w:cs="Times New Roman"/>
          <w:noProof/>
          <w:sz w:val="24"/>
          <w:szCs w:val="24"/>
          <w:lang w:val="en-IE"/>
        </w:rPr>
        <w:t>n 2021, in spite</w:t>
      </w:r>
      <w:r w:rsidR="00C800F0">
        <w:rPr>
          <w:rFonts w:ascii="Times New Roman" w:hAnsi="Times New Roman" w:cs="Times New Roman"/>
          <w:noProof/>
          <w:sz w:val="24"/>
          <w:szCs w:val="24"/>
          <w:lang w:val="en-IE"/>
        </w:rPr>
        <w:t xml:space="preserve"> of</w:t>
      </w:r>
      <w:r>
        <w:rPr>
          <w:rFonts w:ascii="Times New Roman" w:hAnsi="Times New Roman" w:cs="Times New Roman"/>
          <w:noProof/>
          <w:sz w:val="24"/>
          <w:szCs w:val="24"/>
          <w:lang w:val="en-IE"/>
        </w:rPr>
        <w:t xml:space="preserve"> </w:t>
      </w:r>
      <w:r w:rsidR="008F5B2B">
        <w:rPr>
          <w:rFonts w:ascii="Times New Roman" w:hAnsi="Times New Roman" w:cs="Times New Roman"/>
          <w:noProof/>
          <w:sz w:val="24"/>
          <w:szCs w:val="24"/>
          <w:lang w:val="en-IE"/>
        </w:rPr>
        <w:t xml:space="preserve">a recovery in </w:t>
      </w:r>
      <w:r>
        <w:rPr>
          <w:rFonts w:ascii="Times New Roman" w:hAnsi="Times New Roman" w:cs="Times New Roman"/>
          <w:noProof/>
          <w:sz w:val="24"/>
          <w:szCs w:val="24"/>
          <w:lang w:val="en-IE"/>
        </w:rPr>
        <w:t xml:space="preserve">fuel consumption </w:t>
      </w:r>
      <w:r w:rsidR="008F5B2B">
        <w:rPr>
          <w:rFonts w:ascii="Times New Roman" w:hAnsi="Times New Roman" w:cs="Times New Roman"/>
          <w:noProof/>
          <w:sz w:val="24"/>
          <w:szCs w:val="24"/>
          <w:lang w:val="en-IE"/>
        </w:rPr>
        <w:t>for</w:t>
      </w:r>
      <w:r>
        <w:rPr>
          <w:rFonts w:ascii="Times New Roman" w:hAnsi="Times New Roman" w:cs="Times New Roman"/>
          <w:noProof/>
          <w:sz w:val="24"/>
          <w:szCs w:val="24"/>
          <w:lang w:val="en-IE"/>
        </w:rPr>
        <w:t xml:space="preserve"> transport, </w:t>
      </w:r>
      <w:r w:rsidR="002408C7">
        <w:rPr>
          <w:rFonts w:ascii="Times New Roman" w:hAnsi="Times New Roman" w:cs="Times New Roman"/>
          <w:noProof/>
          <w:sz w:val="24"/>
          <w:szCs w:val="24"/>
          <w:lang w:val="en-IE"/>
        </w:rPr>
        <w:t xml:space="preserve">overall </w:t>
      </w:r>
      <w:r>
        <w:rPr>
          <w:rFonts w:ascii="Times New Roman" w:hAnsi="Times New Roman" w:cs="Times New Roman"/>
          <w:noProof/>
          <w:sz w:val="24"/>
          <w:szCs w:val="24"/>
          <w:lang w:val="en-IE"/>
        </w:rPr>
        <w:t>fossil</w:t>
      </w:r>
      <w:r w:rsidR="008F5B2B">
        <w:rPr>
          <w:rFonts w:ascii="Times New Roman" w:hAnsi="Times New Roman" w:cs="Times New Roman"/>
          <w:noProof/>
          <w:sz w:val="24"/>
          <w:szCs w:val="24"/>
          <w:lang w:val="en-IE"/>
        </w:rPr>
        <w:t>-fuel</w:t>
      </w:r>
      <w:r>
        <w:rPr>
          <w:rFonts w:ascii="Times New Roman" w:hAnsi="Times New Roman" w:cs="Times New Roman"/>
          <w:noProof/>
          <w:sz w:val="24"/>
          <w:szCs w:val="24"/>
          <w:lang w:val="en-IE"/>
        </w:rPr>
        <w:t xml:space="preserve"> subsidies did not increase as </w:t>
      </w:r>
      <w:r w:rsidR="008F5B2B">
        <w:rPr>
          <w:rFonts w:ascii="Times New Roman" w:hAnsi="Times New Roman" w:cs="Times New Roman"/>
          <w:noProof/>
          <w:sz w:val="24"/>
          <w:szCs w:val="24"/>
          <w:lang w:val="en-IE"/>
        </w:rPr>
        <w:t xml:space="preserve">they did </w:t>
      </w:r>
      <w:r>
        <w:rPr>
          <w:rFonts w:ascii="Times New Roman" w:hAnsi="Times New Roman" w:cs="Times New Roman"/>
          <w:noProof/>
          <w:sz w:val="24"/>
          <w:szCs w:val="24"/>
          <w:lang w:val="en-IE"/>
        </w:rPr>
        <w:t>in other sectors, such as energy</w:t>
      </w:r>
      <w:r w:rsidR="008F5B2B">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8F5B2B">
        <w:rPr>
          <w:rFonts w:ascii="Times New Roman" w:hAnsi="Times New Roman" w:cs="Times New Roman"/>
          <w:noProof/>
          <w:sz w:val="24"/>
          <w:szCs w:val="24"/>
          <w:lang w:val="en-IE"/>
        </w:rPr>
        <w:t xml:space="preserve">On </w:t>
      </w:r>
      <w:r w:rsidR="00C800F0">
        <w:rPr>
          <w:rFonts w:ascii="Times New Roman" w:hAnsi="Times New Roman" w:cs="Times New Roman"/>
          <w:noProof/>
          <w:sz w:val="24"/>
          <w:szCs w:val="24"/>
          <w:lang w:val="en-IE"/>
        </w:rPr>
        <w:t xml:space="preserve">the contrary, </w:t>
      </w:r>
      <w:r w:rsidR="008F5B2B">
        <w:rPr>
          <w:rFonts w:ascii="Times New Roman" w:hAnsi="Times New Roman" w:cs="Times New Roman"/>
          <w:noProof/>
          <w:sz w:val="24"/>
          <w:szCs w:val="24"/>
          <w:lang w:val="en-IE"/>
        </w:rPr>
        <w:t>fossil-fuel subsidies for transport fell</w:t>
      </w:r>
      <w:r w:rsidR="002408C7">
        <w:rPr>
          <w:rFonts w:ascii="Times New Roman" w:hAnsi="Times New Roman" w:cs="Times New Roman"/>
          <w:noProof/>
          <w:sz w:val="24"/>
          <w:szCs w:val="24"/>
          <w:lang w:val="en-IE"/>
        </w:rPr>
        <w:t>.</w:t>
      </w:r>
    </w:p>
    <w:p w14:paraId="32FC6603" w14:textId="75733584" w:rsidR="0025698C" w:rsidRDefault="0025698C"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Subsidies </w:t>
      </w:r>
      <w:r w:rsidR="00E82685">
        <w:rPr>
          <w:rFonts w:ascii="Times New Roman" w:hAnsi="Times New Roman" w:cs="Times New Roman"/>
          <w:noProof/>
          <w:sz w:val="24"/>
          <w:szCs w:val="24"/>
          <w:lang w:val="en-IE"/>
        </w:rPr>
        <w:t>on</w:t>
      </w:r>
      <w:r>
        <w:rPr>
          <w:rFonts w:ascii="Times New Roman" w:hAnsi="Times New Roman" w:cs="Times New Roman"/>
          <w:noProof/>
          <w:sz w:val="24"/>
          <w:szCs w:val="24"/>
          <w:lang w:val="en-IE"/>
        </w:rPr>
        <w:t xml:space="preserve"> </w:t>
      </w:r>
      <w:r w:rsidRPr="00C777FE">
        <w:rPr>
          <w:rFonts w:ascii="Times New Roman" w:hAnsi="Times New Roman" w:cs="Times New Roman"/>
          <w:b/>
          <w:noProof/>
          <w:sz w:val="24"/>
          <w:szCs w:val="24"/>
          <w:lang w:val="en-IE"/>
        </w:rPr>
        <w:t>electricity</w:t>
      </w:r>
      <w:r w:rsidR="00365660">
        <w:rPr>
          <w:rStyle w:val="FootnoteReference"/>
          <w:rFonts w:ascii="Times New Roman" w:hAnsi="Times New Roman" w:cs="Times New Roman"/>
          <w:b/>
          <w:noProof/>
          <w:sz w:val="24"/>
          <w:szCs w:val="24"/>
          <w:lang w:val="en-IE"/>
        </w:rPr>
        <w:footnoteReference w:id="19"/>
      </w:r>
      <w:r w:rsidR="000A141C">
        <w:rPr>
          <w:rFonts w:ascii="Times New Roman" w:hAnsi="Times New Roman" w:cs="Times New Roman"/>
          <w:noProof/>
          <w:sz w:val="24"/>
          <w:szCs w:val="24"/>
          <w:lang w:val="en-IE"/>
        </w:rPr>
        <w:t xml:space="preserve"> </w:t>
      </w:r>
      <w:r w:rsidR="008F5B2B">
        <w:rPr>
          <w:rFonts w:ascii="Times New Roman" w:hAnsi="Times New Roman" w:cs="Times New Roman"/>
          <w:noProof/>
          <w:sz w:val="24"/>
          <w:szCs w:val="24"/>
          <w:lang w:val="en-IE"/>
        </w:rPr>
        <w:t xml:space="preserve">fell </w:t>
      </w:r>
      <w:r w:rsidR="00E82685">
        <w:rPr>
          <w:rFonts w:ascii="Times New Roman" w:hAnsi="Times New Roman" w:cs="Times New Roman"/>
          <w:noProof/>
          <w:sz w:val="24"/>
          <w:szCs w:val="24"/>
          <w:lang w:val="en-IE"/>
        </w:rPr>
        <w:t>slightly between 2015 and 2020</w:t>
      </w:r>
      <w:r>
        <w:rPr>
          <w:rFonts w:ascii="Times New Roman" w:hAnsi="Times New Roman" w:cs="Times New Roman"/>
          <w:noProof/>
          <w:sz w:val="24"/>
          <w:szCs w:val="24"/>
          <w:lang w:val="en-IE"/>
        </w:rPr>
        <w:t>, whereas subsidies for ‘all energies’ (multiple energy sources or measures no</w:t>
      </w:r>
      <w:r w:rsidR="008F5B2B">
        <w:rPr>
          <w:rFonts w:ascii="Times New Roman" w:hAnsi="Times New Roman" w:cs="Times New Roman"/>
          <w:noProof/>
          <w:sz w:val="24"/>
          <w:szCs w:val="24"/>
          <w:lang w:val="en-IE"/>
        </w:rPr>
        <w:t xml:space="preserve">t </w:t>
      </w:r>
      <w:r>
        <w:rPr>
          <w:rFonts w:ascii="Times New Roman" w:hAnsi="Times New Roman" w:cs="Times New Roman"/>
          <w:noProof/>
          <w:sz w:val="24"/>
          <w:szCs w:val="24"/>
          <w:lang w:val="en-IE"/>
        </w:rPr>
        <w:t>directly a</w:t>
      </w:r>
      <w:r w:rsidR="008F5B2B">
        <w:rPr>
          <w:rFonts w:ascii="Times New Roman" w:hAnsi="Times New Roman" w:cs="Times New Roman"/>
          <w:noProof/>
          <w:sz w:val="24"/>
          <w:szCs w:val="24"/>
          <w:lang w:val="en-IE"/>
        </w:rPr>
        <w:t>ttributable</w:t>
      </w:r>
      <w:r>
        <w:rPr>
          <w:rFonts w:ascii="Times New Roman" w:hAnsi="Times New Roman" w:cs="Times New Roman"/>
          <w:noProof/>
          <w:sz w:val="24"/>
          <w:szCs w:val="24"/>
          <w:lang w:val="en-IE"/>
        </w:rPr>
        <w:t xml:space="preserve"> to energy products) </w:t>
      </w:r>
      <w:r w:rsidR="008F5B2B">
        <w:rPr>
          <w:rFonts w:ascii="Times New Roman" w:hAnsi="Times New Roman" w:cs="Times New Roman"/>
          <w:noProof/>
          <w:sz w:val="24"/>
          <w:szCs w:val="24"/>
          <w:lang w:val="en-IE"/>
        </w:rPr>
        <w:t>rose</w:t>
      </w:r>
      <w:r>
        <w:rPr>
          <w:rFonts w:ascii="Times New Roman" w:hAnsi="Times New Roman" w:cs="Times New Roman"/>
          <w:noProof/>
          <w:sz w:val="24"/>
          <w:szCs w:val="24"/>
          <w:lang w:val="en-IE"/>
        </w:rPr>
        <w:t xml:space="preserve"> </w:t>
      </w:r>
      <w:r w:rsidR="00E82685">
        <w:rPr>
          <w:rFonts w:ascii="Times New Roman" w:hAnsi="Times New Roman" w:cs="Times New Roman"/>
          <w:noProof/>
          <w:sz w:val="24"/>
          <w:szCs w:val="24"/>
          <w:lang w:val="en-IE"/>
        </w:rPr>
        <w:t xml:space="preserve">from </w:t>
      </w:r>
      <w:r w:rsidR="008F5B2B">
        <w:rPr>
          <w:rFonts w:ascii="Times New Roman" w:hAnsi="Times New Roman" w:cs="Times New Roman"/>
          <w:noProof/>
          <w:sz w:val="24"/>
          <w:szCs w:val="24"/>
          <w:lang w:val="en-IE"/>
        </w:rPr>
        <w:t xml:space="preserve">EUR </w:t>
      </w:r>
      <w:r w:rsidR="00E82685">
        <w:rPr>
          <w:rFonts w:ascii="Times New Roman" w:hAnsi="Times New Roman" w:cs="Times New Roman"/>
          <w:noProof/>
          <w:sz w:val="24"/>
          <w:szCs w:val="24"/>
          <w:lang w:val="en-IE"/>
        </w:rPr>
        <w:t xml:space="preserve">20 billion to </w:t>
      </w:r>
      <w:r w:rsidR="008F5B2B">
        <w:rPr>
          <w:rFonts w:ascii="Times New Roman" w:hAnsi="Times New Roman" w:cs="Times New Roman"/>
          <w:noProof/>
          <w:sz w:val="24"/>
          <w:szCs w:val="24"/>
          <w:lang w:val="en-IE"/>
        </w:rPr>
        <w:t xml:space="preserve">EUR </w:t>
      </w:r>
      <w:r w:rsidR="00E82685">
        <w:rPr>
          <w:rFonts w:ascii="Times New Roman" w:hAnsi="Times New Roman" w:cs="Times New Roman"/>
          <w:noProof/>
          <w:sz w:val="24"/>
          <w:szCs w:val="24"/>
          <w:lang w:val="en-IE"/>
        </w:rPr>
        <w:t>26 billion (+30%). In 2021, both subsidies on electricity and ‘all energies’</w:t>
      </w:r>
      <w:r w:rsidR="002408C7">
        <w:rPr>
          <w:rFonts w:ascii="Times New Roman" w:hAnsi="Times New Roman" w:cs="Times New Roman"/>
          <w:noProof/>
          <w:sz w:val="24"/>
          <w:szCs w:val="24"/>
          <w:lang w:val="en-IE"/>
        </w:rPr>
        <w:t xml:space="preserve"> </w:t>
      </w:r>
      <w:r w:rsidR="008F5B2B">
        <w:rPr>
          <w:rFonts w:ascii="Times New Roman" w:hAnsi="Times New Roman" w:cs="Times New Roman"/>
          <w:noProof/>
          <w:sz w:val="24"/>
          <w:szCs w:val="24"/>
          <w:lang w:val="en-IE"/>
        </w:rPr>
        <w:t>increased</w:t>
      </w:r>
      <w:r w:rsidR="002408C7">
        <w:rPr>
          <w:rFonts w:ascii="Times New Roman" w:hAnsi="Times New Roman" w:cs="Times New Roman"/>
          <w:noProof/>
          <w:sz w:val="24"/>
          <w:szCs w:val="24"/>
          <w:lang w:val="en-IE"/>
        </w:rPr>
        <w:t>, implying an increase i</w:t>
      </w:r>
      <w:r w:rsidR="00E82685">
        <w:rPr>
          <w:rFonts w:ascii="Times New Roman" w:hAnsi="Times New Roman" w:cs="Times New Roman"/>
          <w:noProof/>
          <w:sz w:val="24"/>
          <w:szCs w:val="24"/>
          <w:lang w:val="en-IE"/>
        </w:rPr>
        <w:t xml:space="preserve">n tax expenditure on energy products </w:t>
      </w:r>
      <w:r w:rsidR="008F5B2B">
        <w:rPr>
          <w:rFonts w:ascii="Times New Roman" w:hAnsi="Times New Roman" w:cs="Times New Roman"/>
          <w:noProof/>
          <w:sz w:val="24"/>
          <w:szCs w:val="24"/>
          <w:lang w:val="en-IE"/>
        </w:rPr>
        <w:t xml:space="preserve">that </w:t>
      </w:r>
      <w:r w:rsidR="00E82685">
        <w:rPr>
          <w:rFonts w:ascii="Times New Roman" w:hAnsi="Times New Roman" w:cs="Times New Roman"/>
          <w:noProof/>
          <w:sz w:val="24"/>
          <w:szCs w:val="24"/>
          <w:lang w:val="en-IE"/>
        </w:rPr>
        <w:t>cannot be a</w:t>
      </w:r>
      <w:r w:rsidR="008F5B2B">
        <w:rPr>
          <w:rFonts w:ascii="Times New Roman" w:hAnsi="Times New Roman" w:cs="Times New Roman"/>
          <w:noProof/>
          <w:sz w:val="24"/>
          <w:szCs w:val="24"/>
          <w:lang w:val="en-IE"/>
        </w:rPr>
        <w:t>ttributed</w:t>
      </w:r>
      <w:r w:rsidR="00E82685">
        <w:rPr>
          <w:rFonts w:ascii="Times New Roman" w:hAnsi="Times New Roman" w:cs="Times New Roman"/>
          <w:noProof/>
          <w:sz w:val="24"/>
          <w:szCs w:val="24"/>
          <w:lang w:val="en-IE"/>
        </w:rPr>
        <w:t xml:space="preserve"> to a given carrier (relating to </w:t>
      </w:r>
      <w:r w:rsidR="007D1383">
        <w:rPr>
          <w:rFonts w:ascii="Times New Roman" w:hAnsi="Times New Roman" w:cs="Times New Roman"/>
          <w:noProof/>
          <w:sz w:val="24"/>
          <w:szCs w:val="24"/>
          <w:lang w:val="en-IE"/>
        </w:rPr>
        <w:t xml:space="preserve">support for </w:t>
      </w:r>
      <w:r w:rsidR="00E82685">
        <w:rPr>
          <w:rFonts w:ascii="Times New Roman" w:hAnsi="Times New Roman" w:cs="Times New Roman"/>
          <w:noProof/>
          <w:sz w:val="24"/>
          <w:szCs w:val="24"/>
          <w:lang w:val="en-IE"/>
        </w:rPr>
        <w:t>energy demand).</w:t>
      </w:r>
    </w:p>
    <w:p w14:paraId="17E2467A" w14:textId="6DDE82E7" w:rsidR="005A3F7B" w:rsidRDefault="0025698C" w:rsidP="004F4044">
      <w:pPr>
        <w:spacing w:before="120" w:after="120"/>
        <w:jc w:val="both"/>
        <w:rPr>
          <w:rFonts w:ascii="Times New Roman" w:hAnsi="Times New Roman" w:cs="Times New Roman"/>
          <w:b/>
          <w:noProof/>
          <w:sz w:val="24"/>
          <w:szCs w:val="24"/>
          <w:lang w:val="en-IE"/>
        </w:rPr>
      </w:pPr>
      <w:r>
        <w:rPr>
          <w:rFonts w:ascii="Times New Roman" w:hAnsi="Times New Roman" w:cs="Times New Roman"/>
          <w:noProof/>
          <w:sz w:val="24"/>
          <w:szCs w:val="24"/>
          <w:lang w:val="en-IE"/>
        </w:rPr>
        <w:t xml:space="preserve">Subsidies for </w:t>
      </w:r>
      <w:r w:rsidRPr="00C777FE">
        <w:rPr>
          <w:rFonts w:ascii="Times New Roman" w:hAnsi="Times New Roman" w:cs="Times New Roman"/>
          <w:b/>
          <w:noProof/>
          <w:sz w:val="24"/>
          <w:szCs w:val="24"/>
          <w:lang w:val="en-IE"/>
        </w:rPr>
        <w:t>nuclear energy</w:t>
      </w:r>
      <w:r>
        <w:rPr>
          <w:rFonts w:ascii="Times New Roman" w:hAnsi="Times New Roman" w:cs="Times New Roman"/>
          <w:noProof/>
          <w:sz w:val="24"/>
          <w:szCs w:val="24"/>
          <w:lang w:val="en-IE"/>
        </w:rPr>
        <w:t xml:space="preserve">, </w:t>
      </w:r>
      <w:r w:rsidR="00E82685">
        <w:rPr>
          <w:rFonts w:ascii="Times New Roman" w:hAnsi="Times New Roman" w:cs="Times New Roman"/>
          <w:noProof/>
          <w:sz w:val="24"/>
          <w:szCs w:val="24"/>
          <w:lang w:val="en-IE"/>
        </w:rPr>
        <w:t xml:space="preserve">after being stable </w:t>
      </w:r>
      <w:r w:rsidR="008F5B2B">
        <w:rPr>
          <w:rFonts w:ascii="Times New Roman" w:hAnsi="Times New Roman" w:cs="Times New Roman"/>
          <w:noProof/>
          <w:sz w:val="24"/>
          <w:szCs w:val="24"/>
          <w:lang w:val="en-IE"/>
        </w:rPr>
        <w:t xml:space="preserve">for </w:t>
      </w:r>
      <w:r w:rsidR="00E82685">
        <w:rPr>
          <w:rFonts w:ascii="Times New Roman" w:hAnsi="Times New Roman" w:cs="Times New Roman"/>
          <w:noProof/>
          <w:sz w:val="24"/>
          <w:szCs w:val="24"/>
          <w:lang w:val="en-IE"/>
        </w:rPr>
        <w:t>several years</w:t>
      </w:r>
      <w:r w:rsidR="002408C7">
        <w:rPr>
          <w:rFonts w:ascii="Times New Roman" w:hAnsi="Times New Roman" w:cs="Times New Roman"/>
          <w:noProof/>
          <w:sz w:val="24"/>
          <w:szCs w:val="24"/>
          <w:lang w:val="en-IE"/>
        </w:rPr>
        <w:t xml:space="preserve"> since 2015</w:t>
      </w:r>
      <w:r w:rsidR="00523E3F">
        <w:rPr>
          <w:rFonts w:ascii="Times New Roman" w:hAnsi="Times New Roman" w:cs="Times New Roman"/>
          <w:noProof/>
          <w:sz w:val="24"/>
          <w:szCs w:val="24"/>
          <w:lang w:val="en-IE"/>
        </w:rPr>
        <w:t xml:space="preserve"> (averaging at EUR 4.2 billion)</w:t>
      </w:r>
      <w:r>
        <w:rPr>
          <w:rFonts w:ascii="Times New Roman" w:hAnsi="Times New Roman" w:cs="Times New Roman"/>
          <w:noProof/>
          <w:sz w:val="24"/>
          <w:szCs w:val="24"/>
          <w:lang w:val="en-IE"/>
        </w:rPr>
        <w:t xml:space="preserve">, </w:t>
      </w:r>
      <w:r w:rsidR="00E82685">
        <w:rPr>
          <w:rFonts w:ascii="Times New Roman" w:hAnsi="Times New Roman" w:cs="Times New Roman"/>
          <w:noProof/>
          <w:sz w:val="24"/>
          <w:szCs w:val="24"/>
          <w:lang w:val="en-IE"/>
        </w:rPr>
        <w:t xml:space="preserve">reached </w:t>
      </w:r>
      <w:r w:rsidR="00523E3F">
        <w:rPr>
          <w:rFonts w:ascii="Times New Roman" w:hAnsi="Times New Roman" w:cs="Times New Roman"/>
          <w:noProof/>
          <w:sz w:val="24"/>
          <w:szCs w:val="24"/>
          <w:lang w:val="en-IE"/>
        </w:rPr>
        <w:t xml:space="preserve">almost </w:t>
      </w:r>
      <w:r w:rsidR="008F5B2B">
        <w:rPr>
          <w:rFonts w:ascii="Times New Roman" w:hAnsi="Times New Roman" w:cs="Times New Roman"/>
          <w:noProof/>
          <w:sz w:val="24"/>
          <w:szCs w:val="24"/>
          <w:lang w:val="en-IE"/>
        </w:rPr>
        <w:t xml:space="preserve">EUR </w:t>
      </w:r>
      <w:r w:rsidR="00E82685">
        <w:rPr>
          <w:rFonts w:ascii="Times New Roman" w:hAnsi="Times New Roman" w:cs="Times New Roman"/>
          <w:noProof/>
          <w:sz w:val="24"/>
          <w:szCs w:val="24"/>
          <w:lang w:val="en-IE"/>
        </w:rPr>
        <w:t>5 billion in both 2019 and 2020</w:t>
      </w:r>
      <w:r w:rsidR="008F5B2B">
        <w:rPr>
          <w:rFonts w:ascii="Times New Roman" w:hAnsi="Times New Roman" w:cs="Times New Roman"/>
          <w:noProof/>
          <w:sz w:val="24"/>
          <w:szCs w:val="24"/>
          <w:lang w:val="en-IE"/>
        </w:rPr>
        <w:t>. H</w:t>
      </w:r>
      <w:r w:rsidR="003658F8">
        <w:rPr>
          <w:rFonts w:ascii="Times New Roman" w:hAnsi="Times New Roman" w:cs="Times New Roman"/>
          <w:noProof/>
          <w:sz w:val="24"/>
          <w:szCs w:val="24"/>
          <w:lang w:val="en-IE"/>
        </w:rPr>
        <w:t xml:space="preserve">owever, </w:t>
      </w:r>
      <w:r w:rsidR="00E82685">
        <w:rPr>
          <w:rFonts w:ascii="Times New Roman" w:hAnsi="Times New Roman" w:cs="Times New Roman"/>
          <w:noProof/>
          <w:sz w:val="24"/>
          <w:szCs w:val="24"/>
          <w:lang w:val="en-IE"/>
        </w:rPr>
        <w:t xml:space="preserve">in 2021 </w:t>
      </w:r>
      <w:r w:rsidR="00C800F0">
        <w:rPr>
          <w:rFonts w:ascii="Times New Roman" w:hAnsi="Times New Roman" w:cs="Times New Roman"/>
          <w:noProof/>
          <w:sz w:val="24"/>
          <w:szCs w:val="24"/>
          <w:lang w:val="en-IE"/>
        </w:rPr>
        <w:t xml:space="preserve">they </w:t>
      </w:r>
      <w:r w:rsidR="00E82685">
        <w:rPr>
          <w:rFonts w:ascii="Times New Roman" w:hAnsi="Times New Roman" w:cs="Times New Roman"/>
          <w:noProof/>
          <w:sz w:val="24"/>
          <w:szCs w:val="24"/>
          <w:lang w:val="en-IE"/>
        </w:rPr>
        <w:t xml:space="preserve">rose further to </w:t>
      </w:r>
      <w:r w:rsidR="008F5B2B">
        <w:rPr>
          <w:rFonts w:ascii="Times New Roman" w:hAnsi="Times New Roman" w:cs="Times New Roman"/>
          <w:noProof/>
          <w:sz w:val="24"/>
          <w:szCs w:val="24"/>
          <w:lang w:val="en-IE"/>
        </w:rPr>
        <w:t xml:space="preserve">EUR </w:t>
      </w:r>
      <w:r w:rsidR="00E82685">
        <w:rPr>
          <w:rFonts w:ascii="Times New Roman" w:hAnsi="Times New Roman" w:cs="Times New Roman"/>
          <w:noProof/>
          <w:sz w:val="24"/>
          <w:szCs w:val="24"/>
          <w:lang w:val="en-IE"/>
        </w:rPr>
        <w:t xml:space="preserve">7.2 billion, </w:t>
      </w:r>
      <w:r w:rsidR="008F5B2B">
        <w:rPr>
          <w:rFonts w:ascii="Times New Roman" w:hAnsi="Times New Roman" w:cs="Times New Roman"/>
          <w:noProof/>
          <w:sz w:val="24"/>
          <w:szCs w:val="24"/>
          <w:lang w:val="en-IE"/>
        </w:rPr>
        <w:t>al</w:t>
      </w:r>
      <w:r w:rsidR="00E82685">
        <w:rPr>
          <w:rFonts w:ascii="Times New Roman" w:hAnsi="Times New Roman" w:cs="Times New Roman"/>
          <w:noProof/>
          <w:sz w:val="24"/>
          <w:szCs w:val="24"/>
          <w:lang w:val="en-IE"/>
        </w:rPr>
        <w:t xml:space="preserve">though </w:t>
      </w:r>
      <w:r w:rsidR="008F5B2B">
        <w:rPr>
          <w:rFonts w:ascii="Times New Roman" w:hAnsi="Times New Roman" w:cs="Times New Roman"/>
          <w:noProof/>
          <w:sz w:val="24"/>
          <w:szCs w:val="24"/>
          <w:lang w:val="en-IE"/>
        </w:rPr>
        <w:t xml:space="preserve">even after this increase nuclear subsidies </w:t>
      </w:r>
      <w:r w:rsidR="003658F8">
        <w:rPr>
          <w:rFonts w:ascii="Times New Roman" w:hAnsi="Times New Roman" w:cs="Times New Roman"/>
          <w:noProof/>
          <w:sz w:val="24"/>
          <w:szCs w:val="24"/>
          <w:lang w:val="en-IE"/>
        </w:rPr>
        <w:t xml:space="preserve">still </w:t>
      </w:r>
      <w:r w:rsidR="00E82685">
        <w:rPr>
          <w:rFonts w:ascii="Times New Roman" w:hAnsi="Times New Roman" w:cs="Times New Roman"/>
          <w:noProof/>
          <w:sz w:val="24"/>
          <w:szCs w:val="24"/>
          <w:lang w:val="en-IE"/>
        </w:rPr>
        <w:t>only represent</w:t>
      </w:r>
      <w:r w:rsidR="008F5B2B">
        <w:rPr>
          <w:rFonts w:ascii="Times New Roman" w:hAnsi="Times New Roman" w:cs="Times New Roman"/>
          <w:noProof/>
          <w:sz w:val="24"/>
          <w:szCs w:val="24"/>
          <w:lang w:val="en-IE"/>
        </w:rPr>
        <w:t>ed</w:t>
      </w:r>
      <w:r w:rsidR="00E82685">
        <w:rPr>
          <w:rFonts w:ascii="Times New Roman" w:hAnsi="Times New Roman" w:cs="Times New Roman"/>
          <w:noProof/>
          <w:sz w:val="24"/>
          <w:szCs w:val="24"/>
          <w:lang w:val="en-IE"/>
        </w:rPr>
        <w:t xml:space="preserve"> 4% of total energy subsidies in the EU. This increase was mainly linked to financial</w:t>
      </w:r>
      <w:r>
        <w:rPr>
          <w:rFonts w:ascii="Times New Roman" w:hAnsi="Times New Roman" w:cs="Times New Roman"/>
          <w:noProof/>
          <w:sz w:val="24"/>
          <w:szCs w:val="24"/>
          <w:lang w:val="en-IE"/>
        </w:rPr>
        <w:t xml:space="preserve"> instruments </w:t>
      </w:r>
      <w:r w:rsidR="008F5B2B">
        <w:rPr>
          <w:rFonts w:ascii="Times New Roman" w:hAnsi="Times New Roman" w:cs="Times New Roman"/>
          <w:noProof/>
          <w:sz w:val="24"/>
          <w:szCs w:val="24"/>
          <w:lang w:val="en-IE"/>
        </w:rPr>
        <w:t xml:space="preserve">to </w:t>
      </w:r>
      <w:r w:rsidR="00A86786">
        <w:rPr>
          <w:rFonts w:ascii="Times New Roman" w:hAnsi="Times New Roman" w:cs="Times New Roman"/>
          <w:noProof/>
          <w:sz w:val="24"/>
          <w:szCs w:val="24"/>
          <w:lang w:val="en-IE"/>
        </w:rPr>
        <w:t>compensat</w:t>
      </w:r>
      <w:r w:rsidR="008F5B2B">
        <w:rPr>
          <w:rFonts w:ascii="Times New Roman" w:hAnsi="Times New Roman" w:cs="Times New Roman"/>
          <w:noProof/>
          <w:sz w:val="24"/>
          <w:szCs w:val="24"/>
          <w:lang w:val="en-IE"/>
        </w:rPr>
        <w:t>e for the</w:t>
      </w:r>
      <w:r w:rsidR="00A86786">
        <w:rPr>
          <w:rFonts w:ascii="Times New Roman" w:hAnsi="Times New Roman" w:cs="Times New Roman"/>
          <w:noProof/>
          <w:sz w:val="24"/>
          <w:szCs w:val="24"/>
          <w:lang w:val="en-IE"/>
        </w:rPr>
        <w:t xml:space="preserve"> early </w:t>
      </w:r>
      <w:r>
        <w:rPr>
          <w:rFonts w:ascii="Times New Roman" w:hAnsi="Times New Roman" w:cs="Times New Roman"/>
          <w:noProof/>
          <w:sz w:val="24"/>
          <w:szCs w:val="24"/>
          <w:lang w:val="en-IE"/>
        </w:rPr>
        <w:t xml:space="preserve">closure </w:t>
      </w:r>
      <w:r w:rsidR="004564AC">
        <w:rPr>
          <w:rFonts w:ascii="Times New Roman" w:hAnsi="Times New Roman" w:cs="Times New Roman"/>
          <w:noProof/>
          <w:sz w:val="24"/>
          <w:szCs w:val="24"/>
          <w:lang w:val="en-IE"/>
        </w:rPr>
        <w:t xml:space="preserve">and decommissioning </w:t>
      </w:r>
      <w:r>
        <w:rPr>
          <w:rFonts w:ascii="Times New Roman" w:hAnsi="Times New Roman" w:cs="Times New Roman"/>
          <w:noProof/>
          <w:sz w:val="24"/>
          <w:szCs w:val="24"/>
          <w:lang w:val="en-IE"/>
        </w:rPr>
        <w:t xml:space="preserve">of nuclear facilities, principally in Germany and France. </w:t>
      </w:r>
      <w:r w:rsidR="00E82685">
        <w:rPr>
          <w:rFonts w:ascii="Times New Roman" w:hAnsi="Times New Roman" w:cs="Times New Roman"/>
          <w:noProof/>
          <w:sz w:val="24"/>
          <w:szCs w:val="24"/>
          <w:lang w:val="en-IE"/>
        </w:rPr>
        <w:t xml:space="preserve">Compensation schemes are mainly based on paying </w:t>
      </w:r>
      <w:r w:rsidR="008F5B2B">
        <w:rPr>
          <w:rFonts w:ascii="Times New Roman" w:hAnsi="Times New Roman" w:cs="Times New Roman"/>
          <w:noProof/>
          <w:sz w:val="24"/>
          <w:szCs w:val="24"/>
          <w:lang w:val="en-IE"/>
        </w:rPr>
        <w:t xml:space="preserve">for electricity that will not be </w:t>
      </w:r>
      <w:r w:rsidR="00E82685">
        <w:rPr>
          <w:rFonts w:ascii="Times New Roman" w:hAnsi="Times New Roman" w:cs="Times New Roman"/>
          <w:noProof/>
          <w:sz w:val="24"/>
          <w:szCs w:val="24"/>
          <w:lang w:val="en-IE"/>
        </w:rPr>
        <w:t xml:space="preserve">generated </w:t>
      </w:r>
      <w:r w:rsidR="008F5B2B">
        <w:rPr>
          <w:rFonts w:ascii="Times New Roman" w:hAnsi="Times New Roman" w:cs="Times New Roman"/>
          <w:noProof/>
          <w:sz w:val="24"/>
          <w:szCs w:val="24"/>
          <w:lang w:val="en-IE"/>
        </w:rPr>
        <w:t xml:space="preserve">(due to the early closure) </w:t>
      </w:r>
      <w:r w:rsidR="00E82685">
        <w:rPr>
          <w:rFonts w:ascii="Times New Roman" w:hAnsi="Times New Roman" w:cs="Times New Roman"/>
          <w:noProof/>
          <w:sz w:val="24"/>
          <w:szCs w:val="24"/>
          <w:lang w:val="en-IE"/>
        </w:rPr>
        <w:t xml:space="preserve">or </w:t>
      </w:r>
      <w:r w:rsidR="008F5B2B">
        <w:rPr>
          <w:rFonts w:ascii="Times New Roman" w:hAnsi="Times New Roman" w:cs="Times New Roman"/>
          <w:noProof/>
          <w:sz w:val="24"/>
          <w:szCs w:val="24"/>
          <w:lang w:val="en-IE"/>
        </w:rPr>
        <w:t>for ‘</w:t>
      </w:r>
      <w:r w:rsidR="00E82685">
        <w:rPr>
          <w:rFonts w:ascii="Times New Roman" w:hAnsi="Times New Roman" w:cs="Times New Roman"/>
          <w:noProof/>
          <w:sz w:val="24"/>
          <w:szCs w:val="24"/>
          <w:lang w:val="en-IE"/>
        </w:rPr>
        <w:t>stranded</w:t>
      </w:r>
      <w:r w:rsidR="008F5B2B">
        <w:rPr>
          <w:rFonts w:ascii="Times New Roman" w:hAnsi="Times New Roman" w:cs="Times New Roman"/>
          <w:noProof/>
          <w:sz w:val="24"/>
          <w:szCs w:val="24"/>
          <w:lang w:val="en-IE"/>
        </w:rPr>
        <w:t>’</w:t>
      </w:r>
      <w:r w:rsidR="00E82685">
        <w:rPr>
          <w:rFonts w:ascii="Times New Roman" w:hAnsi="Times New Roman" w:cs="Times New Roman"/>
          <w:noProof/>
          <w:sz w:val="24"/>
          <w:szCs w:val="24"/>
          <w:lang w:val="en-IE"/>
        </w:rPr>
        <w:t xml:space="preserve"> assets</w:t>
      </w:r>
      <w:r w:rsidR="00523E3F">
        <w:rPr>
          <w:rStyle w:val="FootnoteReference"/>
          <w:rFonts w:ascii="Times New Roman" w:hAnsi="Times New Roman" w:cs="Times New Roman"/>
          <w:noProof/>
          <w:sz w:val="24"/>
          <w:szCs w:val="24"/>
          <w:lang w:val="en-IE"/>
        </w:rPr>
        <w:footnoteReference w:id="20"/>
      </w:r>
      <w:r w:rsidR="00E82685">
        <w:rPr>
          <w:rFonts w:ascii="Times New Roman" w:hAnsi="Times New Roman" w:cs="Times New Roman"/>
          <w:noProof/>
          <w:sz w:val="24"/>
          <w:szCs w:val="24"/>
          <w:lang w:val="en-IE"/>
        </w:rPr>
        <w:t>. In Germany</w:t>
      </w:r>
      <w:r w:rsidR="002408C7">
        <w:rPr>
          <w:rFonts w:ascii="Times New Roman" w:hAnsi="Times New Roman" w:cs="Times New Roman"/>
          <w:noProof/>
          <w:sz w:val="24"/>
          <w:szCs w:val="24"/>
          <w:lang w:val="en-IE"/>
        </w:rPr>
        <w:t xml:space="preserve">, </w:t>
      </w:r>
      <w:r w:rsidR="00E82685" w:rsidRPr="00E82685">
        <w:rPr>
          <w:rFonts w:ascii="Times New Roman" w:hAnsi="Times New Roman" w:cs="Times New Roman"/>
          <w:noProof/>
          <w:sz w:val="24"/>
          <w:szCs w:val="24"/>
          <w:lang w:val="en-IE"/>
        </w:rPr>
        <w:t xml:space="preserve">compensation of </w:t>
      </w:r>
      <w:r w:rsidR="008F5B2B">
        <w:rPr>
          <w:rFonts w:ascii="Times New Roman" w:hAnsi="Times New Roman" w:cs="Times New Roman"/>
          <w:noProof/>
          <w:sz w:val="24"/>
          <w:szCs w:val="24"/>
          <w:lang w:val="en-IE"/>
        </w:rPr>
        <w:t xml:space="preserve">EUR </w:t>
      </w:r>
      <w:r w:rsidR="00E82685" w:rsidRPr="00E82685">
        <w:rPr>
          <w:rFonts w:ascii="Times New Roman" w:hAnsi="Times New Roman" w:cs="Times New Roman"/>
          <w:noProof/>
          <w:sz w:val="24"/>
          <w:szCs w:val="24"/>
          <w:lang w:val="en-IE"/>
        </w:rPr>
        <w:t>2.4 billion was paid in November 2021, which substantially impacted the total amount of subsid</w:t>
      </w:r>
      <w:r w:rsidR="00260A7E">
        <w:rPr>
          <w:rFonts w:ascii="Times New Roman" w:hAnsi="Times New Roman" w:cs="Times New Roman"/>
          <w:noProof/>
          <w:sz w:val="24"/>
          <w:szCs w:val="24"/>
          <w:lang w:val="en-IE"/>
        </w:rPr>
        <w:t>ies</w:t>
      </w:r>
      <w:r w:rsidR="00E82685" w:rsidRPr="00E82685">
        <w:rPr>
          <w:rFonts w:ascii="Times New Roman" w:hAnsi="Times New Roman" w:cs="Times New Roman"/>
          <w:noProof/>
          <w:sz w:val="24"/>
          <w:szCs w:val="24"/>
          <w:lang w:val="en-IE"/>
        </w:rPr>
        <w:t xml:space="preserve"> </w:t>
      </w:r>
      <w:r w:rsidR="008F5B2B">
        <w:rPr>
          <w:rFonts w:ascii="Times New Roman" w:hAnsi="Times New Roman" w:cs="Times New Roman"/>
          <w:noProof/>
          <w:sz w:val="24"/>
          <w:szCs w:val="24"/>
          <w:lang w:val="en-IE"/>
        </w:rPr>
        <w:t>for</w:t>
      </w:r>
      <w:r w:rsidR="008F5B2B" w:rsidRPr="00E82685">
        <w:rPr>
          <w:rFonts w:ascii="Times New Roman" w:hAnsi="Times New Roman" w:cs="Times New Roman"/>
          <w:noProof/>
          <w:sz w:val="24"/>
          <w:szCs w:val="24"/>
          <w:lang w:val="en-IE"/>
        </w:rPr>
        <w:t xml:space="preserve"> </w:t>
      </w:r>
      <w:r w:rsidR="00E82685" w:rsidRPr="00E82685">
        <w:rPr>
          <w:rFonts w:ascii="Times New Roman" w:hAnsi="Times New Roman" w:cs="Times New Roman"/>
          <w:noProof/>
          <w:sz w:val="24"/>
          <w:szCs w:val="24"/>
          <w:lang w:val="en-IE"/>
        </w:rPr>
        <w:t>nuclear</w:t>
      </w:r>
      <w:r w:rsidR="008F5B2B">
        <w:rPr>
          <w:rFonts w:ascii="Times New Roman" w:hAnsi="Times New Roman" w:cs="Times New Roman"/>
          <w:noProof/>
          <w:sz w:val="24"/>
          <w:szCs w:val="24"/>
          <w:lang w:val="en-IE"/>
        </w:rPr>
        <w:t xml:space="preserve"> energy</w:t>
      </w:r>
      <w:r w:rsidR="00E82685" w:rsidRPr="00E82685">
        <w:rPr>
          <w:rFonts w:ascii="Times New Roman" w:hAnsi="Times New Roman" w:cs="Times New Roman"/>
          <w:noProof/>
          <w:sz w:val="24"/>
          <w:szCs w:val="24"/>
          <w:lang w:val="en-IE"/>
        </w:rPr>
        <w:t xml:space="preserve"> in Europe</w:t>
      </w:r>
      <w:r w:rsidR="00E82685">
        <w:rPr>
          <w:rFonts w:ascii="Times New Roman" w:hAnsi="Times New Roman" w:cs="Times New Roman"/>
          <w:noProof/>
          <w:sz w:val="24"/>
          <w:szCs w:val="24"/>
          <w:lang w:val="en-IE"/>
        </w:rPr>
        <w:t xml:space="preserve">. </w:t>
      </w:r>
    </w:p>
    <w:p w14:paraId="5EB67170" w14:textId="5ADDA597" w:rsidR="0021742F" w:rsidRPr="0025698C" w:rsidRDefault="0021742F" w:rsidP="008236A3">
      <w:pPr>
        <w:pStyle w:val="Caption"/>
        <w:keepNext/>
        <w:spacing w:after="120"/>
        <w:rPr>
          <w:rFonts w:ascii="Times New Roman" w:hAnsi="Times New Roman" w:cs="Times New Roman"/>
          <w:b/>
          <w:i w:val="0"/>
          <w:noProof/>
          <w:color w:val="auto"/>
          <w:sz w:val="20"/>
          <w:szCs w:val="20"/>
          <w:lang w:val="en-US"/>
        </w:rPr>
      </w:pPr>
      <w:r w:rsidRPr="005A3F7B">
        <w:rPr>
          <w:rFonts w:ascii="Times New Roman" w:hAnsi="Times New Roman" w:cs="Times New Roman"/>
          <w:b/>
          <w:i w:val="0"/>
          <w:noProof/>
          <w:color w:val="auto"/>
          <w:sz w:val="20"/>
          <w:szCs w:val="20"/>
          <w:lang w:val="en-US"/>
        </w:rPr>
        <w:t xml:space="preserve">Figure </w:t>
      </w:r>
      <w:r w:rsidRPr="0021742F">
        <w:rPr>
          <w:rFonts w:ascii="Times New Roman" w:hAnsi="Times New Roman" w:cs="Times New Roman"/>
          <w:b/>
          <w:i w:val="0"/>
          <w:noProof/>
          <w:color w:val="auto"/>
          <w:sz w:val="20"/>
          <w:szCs w:val="20"/>
        </w:rPr>
        <w:fldChar w:fldCharType="begin"/>
      </w:r>
      <w:r w:rsidRPr="005A3F7B">
        <w:rPr>
          <w:rFonts w:ascii="Times New Roman" w:hAnsi="Times New Roman" w:cs="Times New Roman"/>
          <w:b/>
          <w:i w:val="0"/>
          <w:noProof/>
          <w:color w:val="auto"/>
          <w:sz w:val="20"/>
          <w:szCs w:val="20"/>
          <w:lang w:val="en-US"/>
        </w:rPr>
        <w:instrText xml:space="preserve"> SEQ Figure \* ARABIC </w:instrText>
      </w:r>
      <w:r w:rsidRPr="0021742F">
        <w:rPr>
          <w:rFonts w:ascii="Times New Roman" w:hAnsi="Times New Roman" w:cs="Times New Roman"/>
          <w:b/>
          <w:i w:val="0"/>
          <w:noProof/>
          <w:color w:val="auto"/>
          <w:sz w:val="20"/>
          <w:szCs w:val="20"/>
        </w:rPr>
        <w:fldChar w:fldCharType="separate"/>
      </w:r>
      <w:r w:rsidR="008236A3">
        <w:rPr>
          <w:rFonts w:ascii="Times New Roman" w:hAnsi="Times New Roman" w:cs="Times New Roman"/>
          <w:b/>
          <w:i w:val="0"/>
          <w:noProof/>
          <w:color w:val="auto"/>
          <w:sz w:val="20"/>
          <w:szCs w:val="20"/>
          <w:lang w:val="en-US"/>
        </w:rPr>
        <w:t>3</w:t>
      </w:r>
      <w:r w:rsidRPr="0021742F">
        <w:rPr>
          <w:rFonts w:ascii="Times New Roman" w:hAnsi="Times New Roman" w:cs="Times New Roman"/>
          <w:b/>
          <w:i w:val="0"/>
          <w:noProof/>
          <w:color w:val="auto"/>
          <w:sz w:val="20"/>
          <w:szCs w:val="20"/>
        </w:rPr>
        <w:fldChar w:fldCharType="end"/>
      </w:r>
      <w:r w:rsidRPr="005A3F7B">
        <w:rPr>
          <w:rFonts w:ascii="Times New Roman" w:hAnsi="Times New Roman" w:cs="Times New Roman"/>
          <w:b/>
          <w:i w:val="0"/>
          <w:noProof/>
          <w:color w:val="auto"/>
          <w:sz w:val="20"/>
          <w:szCs w:val="20"/>
          <w:lang w:val="en-US"/>
        </w:rPr>
        <w:t xml:space="preserve"> – EU </w:t>
      </w:r>
      <w:r w:rsidRPr="0021742F">
        <w:rPr>
          <w:rFonts w:ascii="Times New Roman" w:hAnsi="Times New Roman" w:cs="Times New Roman"/>
          <w:b/>
          <w:i w:val="0"/>
          <w:noProof/>
          <w:color w:val="000000" w:themeColor="text1"/>
          <w:sz w:val="20"/>
          <w:szCs w:val="20"/>
          <w:lang w:val="en-US"/>
        </w:rPr>
        <w:t xml:space="preserve">energy subsidies </w:t>
      </w:r>
      <w:r w:rsidRPr="0025698C">
        <w:rPr>
          <w:rFonts w:ascii="Times New Roman" w:hAnsi="Times New Roman" w:cs="Times New Roman"/>
          <w:b/>
          <w:i w:val="0"/>
          <w:noProof/>
          <w:color w:val="auto"/>
          <w:sz w:val="20"/>
          <w:szCs w:val="20"/>
          <w:lang w:val="en-US"/>
        </w:rPr>
        <w:t>by fuel type</w:t>
      </w:r>
    </w:p>
    <w:p w14:paraId="182ABB98" w14:textId="2595987A" w:rsidR="0021742F" w:rsidRDefault="00D22E1C" w:rsidP="007A3364">
      <w:pPr>
        <w:spacing w:after="0"/>
        <w:rPr>
          <w:rFonts w:ascii="Times New Roman" w:hAnsi="Times New Roman" w:cs="Times New Roman"/>
          <w:b/>
          <w:noProof/>
          <w:sz w:val="24"/>
          <w:szCs w:val="24"/>
          <w:lang w:val="en-IE"/>
        </w:rPr>
      </w:pPr>
      <w:r w:rsidRPr="00D22E1C">
        <w:rPr>
          <w:rFonts w:ascii="Times New Roman" w:hAnsi="Times New Roman" w:cs="Times New Roman"/>
          <w:b/>
          <w:noProof/>
          <w:sz w:val="24"/>
          <w:szCs w:val="24"/>
          <w:lang w:val="en-GB" w:eastAsia="en-GB"/>
        </w:rPr>
        <w:drawing>
          <wp:inline distT="0" distB="0" distL="0" distR="0" wp14:anchorId="085DC8F9" wp14:editId="66264277">
            <wp:extent cx="4571831" cy="2321780"/>
            <wp:effectExtent l="0" t="0" r="635"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598512" cy="2335330"/>
                    </a:xfrm>
                    <a:prstGeom prst="rect">
                      <a:avLst/>
                    </a:prstGeom>
                  </pic:spPr>
                </pic:pic>
              </a:graphicData>
            </a:graphic>
          </wp:inline>
        </w:drawing>
      </w:r>
    </w:p>
    <w:p w14:paraId="5E000063" w14:textId="628CBD08" w:rsidR="00794A47" w:rsidRDefault="008236A3" w:rsidP="00794A47">
      <w:pPr>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r>
        <w:rPr>
          <w:rFonts w:ascii="Times New Roman" w:hAnsi="Times New Roman" w:cs="Times New Roman"/>
          <w:noProof/>
          <w:sz w:val="18"/>
          <w:szCs w:val="18"/>
          <w:lang w:val="en-IE"/>
        </w:rPr>
        <w:t>.</w:t>
      </w:r>
      <w:r w:rsidR="00794A47" w:rsidRPr="00794A47">
        <w:rPr>
          <w:rFonts w:ascii="Times New Roman" w:hAnsi="Times New Roman" w:cs="Times New Roman"/>
          <w:noProof/>
          <w:sz w:val="18"/>
          <w:szCs w:val="18"/>
          <w:lang w:val="en-IE"/>
        </w:rPr>
        <w:t xml:space="preserve"> </w:t>
      </w:r>
      <w:r w:rsidR="00A86D11">
        <w:rPr>
          <w:rFonts w:ascii="Times New Roman" w:hAnsi="Times New Roman" w:cs="Times New Roman"/>
          <w:noProof/>
          <w:sz w:val="18"/>
          <w:szCs w:val="18"/>
          <w:lang w:val="en-IE"/>
        </w:rPr>
        <w:t>‘</w:t>
      </w:r>
      <w:r w:rsidR="00794A47">
        <w:rPr>
          <w:rFonts w:ascii="Times New Roman" w:hAnsi="Times New Roman" w:cs="Times New Roman"/>
          <w:noProof/>
          <w:sz w:val="18"/>
          <w:szCs w:val="18"/>
          <w:lang w:val="en-IE"/>
        </w:rPr>
        <w:t>All energies</w:t>
      </w:r>
      <w:r w:rsidR="00A86D11">
        <w:rPr>
          <w:rFonts w:ascii="Times New Roman" w:hAnsi="Times New Roman" w:cs="Times New Roman"/>
          <w:noProof/>
          <w:sz w:val="18"/>
          <w:szCs w:val="18"/>
          <w:lang w:val="en-IE"/>
        </w:rPr>
        <w:t>’</w:t>
      </w:r>
      <w:r w:rsidR="00794A47">
        <w:rPr>
          <w:rFonts w:ascii="Times New Roman" w:hAnsi="Times New Roman" w:cs="Times New Roman"/>
          <w:noProof/>
          <w:sz w:val="18"/>
          <w:szCs w:val="18"/>
          <w:lang w:val="en-IE"/>
        </w:rPr>
        <w:t xml:space="preserve"> represent</w:t>
      </w:r>
      <w:r w:rsidR="00A86D11">
        <w:rPr>
          <w:rFonts w:ascii="Times New Roman" w:hAnsi="Times New Roman" w:cs="Times New Roman"/>
          <w:noProof/>
          <w:sz w:val="18"/>
          <w:szCs w:val="18"/>
          <w:lang w:val="en-IE"/>
        </w:rPr>
        <w:t>s</w:t>
      </w:r>
      <w:r w:rsidR="00794A47">
        <w:rPr>
          <w:rFonts w:ascii="Times New Roman" w:hAnsi="Times New Roman" w:cs="Times New Roman"/>
          <w:noProof/>
          <w:sz w:val="18"/>
          <w:szCs w:val="18"/>
          <w:lang w:val="en-IE"/>
        </w:rPr>
        <w:t xml:space="preserve"> subsidies not directly attributable to energy carriers or fuels (e.g. energy</w:t>
      </w:r>
      <w:r w:rsidR="008F5B2B">
        <w:rPr>
          <w:rFonts w:ascii="Times New Roman" w:hAnsi="Times New Roman" w:cs="Times New Roman"/>
          <w:noProof/>
          <w:sz w:val="18"/>
          <w:szCs w:val="18"/>
          <w:lang w:val="en-IE"/>
        </w:rPr>
        <w:t>-</w:t>
      </w:r>
      <w:r w:rsidR="00794A47">
        <w:rPr>
          <w:rFonts w:ascii="Times New Roman" w:hAnsi="Times New Roman" w:cs="Times New Roman"/>
          <w:noProof/>
          <w:sz w:val="18"/>
          <w:szCs w:val="18"/>
          <w:lang w:val="en-IE"/>
        </w:rPr>
        <w:t>efficiency measures</w:t>
      </w:r>
      <w:r w:rsidR="00116930">
        <w:rPr>
          <w:rFonts w:ascii="Times New Roman" w:hAnsi="Times New Roman" w:cs="Times New Roman"/>
          <w:noProof/>
          <w:sz w:val="18"/>
          <w:szCs w:val="18"/>
          <w:lang w:val="en-IE"/>
        </w:rPr>
        <w:t>, representing around 55% of ‘all energies in 2021’</w:t>
      </w:r>
      <w:r w:rsidR="008F5B2B">
        <w:rPr>
          <w:rFonts w:ascii="Times New Roman" w:hAnsi="Times New Roman" w:cs="Times New Roman"/>
          <w:noProof/>
          <w:sz w:val="18"/>
          <w:szCs w:val="18"/>
          <w:lang w:val="en-IE"/>
        </w:rPr>
        <w:t xml:space="preserve"> and </w:t>
      </w:r>
      <w:r w:rsidR="00794A47">
        <w:rPr>
          <w:rFonts w:ascii="Times New Roman" w:hAnsi="Times New Roman" w:cs="Times New Roman"/>
          <w:noProof/>
          <w:sz w:val="18"/>
          <w:szCs w:val="18"/>
          <w:lang w:val="en-IE"/>
        </w:rPr>
        <w:t>energy</w:t>
      </w:r>
      <w:r w:rsidR="007D1383">
        <w:rPr>
          <w:rFonts w:ascii="Times New Roman" w:hAnsi="Times New Roman" w:cs="Times New Roman"/>
          <w:noProof/>
          <w:sz w:val="18"/>
          <w:szCs w:val="18"/>
          <w:lang w:val="en-IE"/>
        </w:rPr>
        <w:t>-</w:t>
      </w:r>
      <w:r>
        <w:rPr>
          <w:rFonts w:ascii="Times New Roman" w:hAnsi="Times New Roman" w:cs="Times New Roman"/>
          <w:noProof/>
          <w:sz w:val="18"/>
          <w:szCs w:val="18"/>
          <w:lang w:val="en-IE"/>
        </w:rPr>
        <w:t>d</w:t>
      </w:r>
      <w:r w:rsidR="00794A47">
        <w:rPr>
          <w:rFonts w:ascii="Times New Roman" w:hAnsi="Times New Roman" w:cs="Times New Roman"/>
          <w:noProof/>
          <w:sz w:val="18"/>
          <w:szCs w:val="18"/>
          <w:lang w:val="en-IE"/>
        </w:rPr>
        <w:t>emand/consumption incentives irrespective of the energy carrier</w:t>
      </w:r>
      <w:r w:rsidR="008F5B2B">
        <w:rPr>
          <w:rFonts w:ascii="Times New Roman" w:hAnsi="Times New Roman" w:cs="Times New Roman"/>
          <w:noProof/>
          <w:sz w:val="18"/>
          <w:szCs w:val="18"/>
          <w:lang w:val="en-IE"/>
        </w:rPr>
        <w:t>;</w:t>
      </w:r>
      <w:r w:rsidR="00794A47">
        <w:rPr>
          <w:rFonts w:ascii="Times New Roman" w:hAnsi="Times New Roman" w:cs="Times New Roman"/>
          <w:noProof/>
          <w:sz w:val="18"/>
          <w:szCs w:val="18"/>
          <w:lang w:val="en-IE"/>
        </w:rPr>
        <w:t xml:space="preserve"> investment grants</w:t>
      </w:r>
      <w:r w:rsidR="008F5B2B">
        <w:rPr>
          <w:rFonts w:ascii="Times New Roman" w:hAnsi="Times New Roman" w:cs="Times New Roman"/>
          <w:noProof/>
          <w:sz w:val="18"/>
          <w:szCs w:val="18"/>
          <w:lang w:val="en-IE"/>
        </w:rPr>
        <w:t>;</w:t>
      </w:r>
      <w:r w:rsidR="00794A47">
        <w:rPr>
          <w:rFonts w:ascii="Times New Roman" w:hAnsi="Times New Roman" w:cs="Times New Roman"/>
          <w:noProof/>
          <w:sz w:val="18"/>
          <w:szCs w:val="18"/>
          <w:lang w:val="en-IE"/>
        </w:rPr>
        <w:t xml:space="preserve"> and particular R&amp;D expenditures)</w:t>
      </w:r>
      <w:r w:rsidR="00A86D11">
        <w:rPr>
          <w:rFonts w:ascii="Times New Roman" w:hAnsi="Times New Roman" w:cs="Times New Roman"/>
          <w:noProof/>
          <w:sz w:val="18"/>
          <w:szCs w:val="18"/>
          <w:lang w:val="en-IE"/>
        </w:rPr>
        <w:t>.</w:t>
      </w:r>
    </w:p>
    <w:p w14:paraId="45F0A144" w14:textId="2FDB28B9" w:rsidR="00162D4A" w:rsidRDefault="00EB52BE"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share of</w:t>
      </w:r>
      <w:r w:rsidR="0025698C">
        <w:rPr>
          <w:rFonts w:ascii="Times New Roman" w:hAnsi="Times New Roman" w:cs="Times New Roman"/>
          <w:noProof/>
          <w:sz w:val="24"/>
          <w:szCs w:val="24"/>
          <w:lang w:val="en-IE"/>
        </w:rPr>
        <w:t xml:space="preserve"> energy subsidies </w:t>
      </w:r>
      <w:r>
        <w:rPr>
          <w:rFonts w:ascii="Times New Roman" w:hAnsi="Times New Roman" w:cs="Times New Roman"/>
          <w:noProof/>
          <w:sz w:val="24"/>
          <w:szCs w:val="24"/>
          <w:lang w:val="en-IE"/>
        </w:rPr>
        <w:t xml:space="preserve">that </w:t>
      </w:r>
      <w:r w:rsidR="0025698C">
        <w:rPr>
          <w:rFonts w:ascii="Times New Roman" w:hAnsi="Times New Roman" w:cs="Times New Roman"/>
          <w:noProof/>
          <w:sz w:val="24"/>
          <w:szCs w:val="24"/>
          <w:lang w:val="en-IE"/>
        </w:rPr>
        <w:t xml:space="preserve">could directly be linked to the </w:t>
      </w:r>
      <w:r w:rsidR="0025698C" w:rsidRPr="00162D4A">
        <w:rPr>
          <w:rFonts w:ascii="Times New Roman" w:hAnsi="Times New Roman" w:cs="Times New Roman"/>
          <w:b/>
          <w:noProof/>
          <w:sz w:val="24"/>
          <w:szCs w:val="24"/>
          <w:lang w:val="en-IE"/>
        </w:rPr>
        <w:t>energy sector</w:t>
      </w:r>
      <w:r w:rsidR="00523E3F" w:rsidRPr="005275B4">
        <w:rPr>
          <w:rStyle w:val="FootnoteReference"/>
          <w:rFonts w:ascii="Times New Roman" w:hAnsi="Times New Roman" w:cs="Times New Roman"/>
          <w:noProof/>
          <w:sz w:val="24"/>
          <w:szCs w:val="24"/>
          <w:lang w:val="en-IE"/>
        </w:rPr>
        <w:footnoteReference w:id="21"/>
      </w:r>
      <w:r w:rsidR="007D1383">
        <w:rPr>
          <w:rFonts w:ascii="Times New Roman" w:hAnsi="Times New Roman" w:cs="Times New Roman"/>
          <w:b/>
          <w:noProof/>
          <w:sz w:val="24"/>
          <w:szCs w:val="24"/>
          <w:lang w:val="en-IE"/>
        </w:rPr>
        <w:t xml:space="preserve"> </w:t>
      </w:r>
      <w:r w:rsidR="007D1383" w:rsidRPr="00523E3F">
        <w:rPr>
          <w:rFonts w:ascii="Times New Roman" w:hAnsi="Times New Roman" w:cs="Times New Roman"/>
          <w:noProof/>
          <w:sz w:val="24"/>
          <w:szCs w:val="24"/>
          <w:lang w:val="en-IE"/>
        </w:rPr>
        <w:t>(i.e. the electricity</w:t>
      </w:r>
      <w:r w:rsidR="00A86D11" w:rsidRPr="00523E3F">
        <w:rPr>
          <w:rFonts w:ascii="Times New Roman" w:hAnsi="Times New Roman" w:cs="Times New Roman"/>
          <w:noProof/>
          <w:sz w:val="24"/>
          <w:szCs w:val="24"/>
          <w:lang w:val="en-IE"/>
        </w:rPr>
        <w:t>-</w:t>
      </w:r>
      <w:r w:rsidR="00FF4C24" w:rsidRPr="00523E3F">
        <w:rPr>
          <w:rFonts w:ascii="Times New Roman" w:hAnsi="Times New Roman" w:cs="Times New Roman"/>
          <w:noProof/>
          <w:sz w:val="24"/>
          <w:szCs w:val="24"/>
          <w:lang w:val="en-IE"/>
        </w:rPr>
        <w:t>generation sector, coal miners,</w:t>
      </w:r>
      <w:r w:rsidR="00A86D11" w:rsidRPr="00523E3F">
        <w:rPr>
          <w:rFonts w:ascii="Times New Roman" w:hAnsi="Times New Roman" w:cs="Times New Roman"/>
          <w:noProof/>
          <w:sz w:val="24"/>
          <w:szCs w:val="24"/>
          <w:lang w:val="en-IE"/>
        </w:rPr>
        <w:t xml:space="preserve"> and</w:t>
      </w:r>
      <w:r w:rsidR="00FF4C24" w:rsidRPr="00523E3F">
        <w:rPr>
          <w:rFonts w:ascii="Times New Roman" w:hAnsi="Times New Roman" w:cs="Times New Roman"/>
          <w:noProof/>
          <w:sz w:val="24"/>
          <w:szCs w:val="24"/>
          <w:lang w:val="en-IE"/>
        </w:rPr>
        <w:t xml:space="preserve"> oil and gas companies)</w:t>
      </w:r>
      <w:r w:rsidRPr="00523E3F">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was around 56-58% in 2019 </w:t>
      </w:r>
      <w:r w:rsidR="0005519A">
        <w:rPr>
          <w:rFonts w:ascii="Times New Roman" w:hAnsi="Times New Roman" w:cs="Times New Roman"/>
          <w:noProof/>
          <w:sz w:val="24"/>
          <w:szCs w:val="24"/>
          <w:lang w:val="en-IE"/>
        </w:rPr>
        <w:t>and 2020</w:t>
      </w:r>
      <w:r>
        <w:rPr>
          <w:rFonts w:ascii="Times New Roman" w:hAnsi="Times New Roman" w:cs="Times New Roman"/>
          <w:noProof/>
          <w:sz w:val="24"/>
          <w:szCs w:val="24"/>
          <w:lang w:val="en-IE"/>
        </w:rPr>
        <w:t xml:space="preserve">, whereas in 2021 </w:t>
      </w:r>
      <w:r w:rsidR="008F5B2B">
        <w:rPr>
          <w:rFonts w:ascii="Times New Roman" w:hAnsi="Times New Roman" w:cs="Times New Roman"/>
          <w:noProof/>
          <w:sz w:val="24"/>
          <w:szCs w:val="24"/>
          <w:lang w:val="en-IE"/>
        </w:rPr>
        <w:t xml:space="preserve">this </w:t>
      </w:r>
      <w:r>
        <w:rPr>
          <w:rFonts w:ascii="Times New Roman" w:hAnsi="Times New Roman" w:cs="Times New Roman"/>
          <w:noProof/>
          <w:sz w:val="24"/>
          <w:szCs w:val="24"/>
          <w:lang w:val="en-IE"/>
        </w:rPr>
        <w:t>fell to 54%</w:t>
      </w:r>
      <w:r w:rsidR="0005519A" w:rsidRPr="00080DDE">
        <w:rPr>
          <w:rFonts w:ascii="Times New Roman" w:hAnsi="Times New Roman" w:cs="Times New Roman"/>
          <w:noProof/>
          <w:sz w:val="24"/>
          <w:szCs w:val="24"/>
          <w:lang w:val="en-IE"/>
        </w:rPr>
        <w:t xml:space="preserve">. </w:t>
      </w:r>
      <w:r w:rsidR="00080DDE">
        <w:rPr>
          <w:rFonts w:ascii="Times New Roman" w:hAnsi="Times New Roman" w:cs="Times New Roman"/>
          <w:noProof/>
          <w:sz w:val="24"/>
          <w:szCs w:val="24"/>
          <w:lang w:val="en-IE"/>
        </w:rPr>
        <w:t>In the same period, t</w:t>
      </w:r>
      <w:r w:rsidR="0025698C" w:rsidRPr="00080DDE">
        <w:rPr>
          <w:rFonts w:ascii="Times New Roman" w:hAnsi="Times New Roman" w:cs="Times New Roman"/>
          <w:noProof/>
          <w:sz w:val="24"/>
          <w:szCs w:val="24"/>
          <w:lang w:val="en-IE"/>
        </w:rPr>
        <w:t xml:space="preserve">he share of </w:t>
      </w:r>
      <w:r w:rsidR="008F5B2B">
        <w:rPr>
          <w:rFonts w:ascii="Times New Roman" w:hAnsi="Times New Roman" w:cs="Times New Roman"/>
          <w:noProof/>
          <w:sz w:val="24"/>
          <w:szCs w:val="24"/>
          <w:lang w:val="en-IE"/>
        </w:rPr>
        <w:t xml:space="preserve">energy subsidies paid to </w:t>
      </w:r>
      <w:r>
        <w:rPr>
          <w:rFonts w:ascii="Times New Roman" w:hAnsi="Times New Roman" w:cs="Times New Roman"/>
          <w:noProof/>
          <w:sz w:val="24"/>
          <w:szCs w:val="24"/>
          <w:lang w:val="en-IE"/>
        </w:rPr>
        <w:t>household</w:t>
      </w:r>
      <w:r w:rsidR="002408C7">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showed an increasing trend</w:t>
      </w:r>
      <w:r w:rsidR="00A86D11">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A86D11">
        <w:rPr>
          <w:rFonts w:ascii="Times New Roman" w:hAnsi="Times New Roman" w:cs="Times New Roman"/>
          <w:noProof/>
          <w:sz w:val="24"/>
          <w:szCs w:val="24"/>
          <w:lang w:val="en-IE"/>
        </w:rPr>
        <w:t xml:space="preserve">reaching </w:t>
      </w:r>
      <w:r>
        <w:rPr>
          <w:rFonts w:ascii="Times New Roman" w:hAnsi="Times New Roman" w:cs="Times New Roman"/>
          <w:noProof/>
          <w:sz w:val="24"/>
          <w:szCs w:val="24"/>
          <w:lang w:val="en-IE"/>
        </w:rPr>
        <w:t xml:space="preserve">around 12-13%, </w:t>
      </w:r>
      <w:r w:rsidR="008F5B2B">
        <w:rPr>
          <w:rFonts w:ascii="Times New Roman" w:hAnsi="Times New Roman" w:cs="Times New Roman"/>
          <w:noProof/>
          <w:sz w:val="24"/>
          <w:szCs w:val="24"/>
          <w:lang w:val="en-IE"/>
        </w:rPr>
        <w:t xml:space="preserve">while </w:t>
      </w:r>
      <w:r>
        <w:rPr>
          <w:rFonts w:ascii="Times New Roman" w:hAnsi="Times New Roman" w:cs="Times New Roman"/>
          <w:noProof/>
          <w:sz w:val="24"/>
          <w:szCs w:val="24"/>
          <w:lang w:val="en-IE"/>
        </w:rPr>
        <w:t xml:space="preserve">the share of </w:t>
      </w:r>
      <w:r w:rsidR="0025698C" w:rsidRPr="00080DDE">
        <w:rPr>
          <w:rFonts w:ascii="Times New Roman" w:hAnsi="Times New Roman" w:cs="Times New Roman"/>
          <w:noProof/>
          <w:sz w:val="24"/>
          <w:szCs w:val="24"/>
          <w:lang w:val="en-IE"/>
        </w:rPr>
        <w:t xml:space="preserve">industry </w:t>
      </w:r>
      <w:r w:rsidR="002408C7">
        <w:rPr>
          <w:rFonts w:ascii="Times New Roman" w:hAnsi="Times New Roman" w:cs="Times New Roman"/>
          <w:noProof/>
          <w:sz w:val="24"/>
          <w:szCs w:val="24"/>
          <w:lang w:val="en-IE"/>
        </w:rPr>
        <w:t xml:space="preserve">was </w:t>
      </w:r>
      <w:r w:rsidR="008F5B2B">
        <w:rPr>
          <w:rFonts w:ascii="Times New Roman" w:hAnsi="Times New Roman" w:cs="Times New Roman"/>
          <w:noProof/>
          <w:sz w:val="24"/>
          <w:szCs w:val="24"/>
          <w:lang w:val="en-IE"/>
        </w:rPr>
        <w:t xml:space="preserve">just </w:t>
      </w:r>
      <w:r w:rsidR="00080DDE">
        <w:rPr>
          <w:rFonts w:ascii="Times New Roman" w:hAnsi="Times New Roman" w:cs="Times New Roman"/>
          <w:noProof/>
          <w:sz w:val="24"/>
          <w:szCs w:val="24"/>
          <w:lang w:val="en-IE"/>
        </w:rPr>
        <w:t>above</w:t>
      </w:r>
      <w:r w:rsidR="0025698C" w:rsidRPr="00080DDE">
        <w:rPr>
          <w:rFonts w:ascii="Times New Roman" w:hAnsi="Times New Roman" w:cs="Times New Roman"/>
          <w:noProof/>
          <w:sz w:val="24"/>
          <w:szCs w:val="24"/>
          <w:lang w:val="en-IE"/>
        </w:rPr>
        <w:t xml:space="preserve"> 10%, </w:t>
      </w:r>
      <w:r w:rsidRPr="00080DDE">
        <w:rPr>
          <w:rFonts w:ascii="Times New Roman" w:hAnsi="Times New Roman" w:cs="Times New Roman"/>
          <w:noProof/>
          <w:sz w:val="24"/>
          <w:szCs w:val="24"/>
          <w:lang w:val="en-IE"/>
        </w:rPr>
        <w:t xml:space="preserve">and </w:t>
      </w:r>
      <w:r>
        <w:rPr>
          <w:rFonts w:ascii="Times New Roman" w:hAnsi="Times New Roman" w:cs="Times New Roman"/>
          <w:noProof/>
          <w:sz w:val="24"/>
          <w:szCs w:val="24"/>
          <w:lang w:val="en-IE"/>
        </w:rPr>
        <w:t xml:space="preserve">that of </w:t>
      </w:r>
      <w:r w:rsidRPr="00080DDE">
        <w:rPr>
          <w:rFonts w:ascii="Times New Roman" w:hAnsi="Times New Roman" w:cs="Times New Roman"/>
          <w:noProof/>
          <w:sz w:val="24"/>
          <w:szCs w:val="24"/>
          <w:lang w:val="en-IE"/>
        </w:rPr>
        <w:t xml:space="preserve">transport </w:t>
      </w:r>
      <w:r>
        <w:rPr>
          <w:rFonts w:ascii="Times New Roman" w:hAnsi="Times New Roman" w:cs="Times New Roman"/>
          <w:noProof/>
          <w:sz w:val="24"/>
          <w:szCs w:val="24"/>
          <w:lang w:val="en-IE"/>
        </w:rPr>
        <w:t>was slightly below</w:t>
      </w:r>
      <w:r w:rsidR="00260A7E">
        <w:rPr>
          <w:rFonts w:ascii="Times New Roman" w:hAnsi="Times New Roman" w:cs="Times New Roman"/>
          <w:noProof/>
          <w:sz w:val="24"/>
          <w:szCs w:val="24"/>
          <w:lang w:val="en-IE"/>
        </w:rPr>
        <w:t xml:space="preserve"> 10%</w:t>
      </w:r>
      <w:r>
        <w:rPr>
          <w:rFonts w:ascii="Times New Roman" w:hAnsi="Times New Roman" w:cs="Times New Roman"/>
          <w:noProof/>
          <w:sz w:val="24"/>
          <w:szCs w:val="24"/>
          <w:lang w:val="en-IE"/>
        </w:rPr>
        <w:t xml:space="preserve">. </w:t>
      </w:r>
      <w:r w:rsidR="0005519A" w:rsidRPr="00080DDE">
        <w:rPr>
          <w:rFonts w:ascii="Times New Roman" w:hAnsi="Times New Roman" w:cs="Times New Roman"/>
          <w:noProof/>
          <w:sz w:val="24"/>
          <w:szCs w:val="24"/>
          <w:lang w:val="en-IE"/>
        </w:rPr>
        <w:t>Betwe</w:t>
      </w:r>
      <w:r w:rsidR="0005519A">
        <w:rPr>
          <w:rFonts w:ascii="Times New Roman" w:hAnsi="Times New Roman" w:cs="Times New Roman"/>
          <w:noProof/>
          <w:sz w:val="24"/>
          <w:szCs w:val="24"/>
          <w:lang w:val="en-IE"/>
        </w:rPr>
        <w:t>en 2015 and 20</w:t>
      </w:r>
      <w:r>
        <w:rPr>
          <w:rFonts w:ascii="Times New Roman" w:hAnsi="Times New Roman" w:cs="Times New Roman"/>
          <w:noProof/>
          <w:sz w:val="24"/>
          <w:szCs w:val="24"/>
          <w:lang w:val="en-IE"/>
        </w:rPr>
        <w:t>20</w:t>
      </w:r>
      <w:r w:rsidR="0005519A">
        <w:rPr>
          <w:rFonts w:ascii="Times New Roman" w:hAnsi="Times New Roman" w:cs="Times New Roman"/>
          <w:noProof/>
          <w:sz w:val="24"/>
          <w:szCs w:val="24"/>
          <w:lang w:val="en-IE"/>
        </w:rPr>
        <w:t>, s</w:t>
      </w:r>
      <w:r w:rsidR="004710ED">
        <w:rPr>
          <w:rFonts w:ascii="Times New Roman" w:hAnsi="Times New Roman" w:cs="Times New Roman"/>
          <w:noProof/>
          <w:sz w:val="24"/>
          <w:szCs w:val="24"/>
          <w:lang w:val="en-IE"/>
        </w:rPr>
        <w:t xml:space="preserve">ubsidies rose by </w:t>
      </w:r>
      <w:r>
        <w:rPr>
          <w:rFonts w:ascii="Times New Roman" w:hAnsi="Times New Roman" w:cs="Times New Roman"/>
          <w:noProof/>
          <w:sz w:val="24"/>
          <w:szCs w:val="24"/>
          <w:lang w:val="en-IE"/>
        </w:rPr>
        <w:t xml:space="preserve">almost </w:t>
      </w:r>
      <w:r w:rsidR="008F5B2B">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10 billion in the </w:t>
      </w:r>
      <w:r w:rsidR="004710ED">
        <w:rPr>
          <w:rFonts w:ascii="Times New Roman" w:hAnsi="Times New Roman" w:cs="Times New Roman"/>
          <w:noProof/>
          <w:sz w:val="24"/>
          <w:szCs w:val="24"/>
          <w:lang w:val="en-IE"/>
        </w:rPr>
        <w:t xml:space="preserve">energy </w:t>
      </w:r>
      <w:r>
        <w:rPr>
          <w:rFonts w:ascii="Times New Roman" w:hAnsi="Times New Roman" w:cs="Times New Roman"/>
          <w:noProof/>
          <w:sz w:val="24"/>
          <w:szCs w:val="24"/>
          <w:lang w:val="en-IE"/>
        </w:rPr>
        <w:t>sector (+10%)</w:t>
      </w:r>
      <w:r w:rsidR="00A86D11">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2408C7">
        <w:rPr>
          <w:rFonts w:ascii="Times New Roman" w:hAnsi="Times New Roman" w:cs="Times New Roman"/>
          <w:noProof/>
          <w:sz w:val="24"/>
          <w:szCs w:val="24"/>
          <w:lang w:val="en-IE"/>
        </w:rPr>
        <w:t>and non-</w:t>
      </w:r>
      <w:r>
        <w:rPr>
          <w:rFonts w:ascii="Times New Roman" w:hAnsi="Times New Roman" w:cs="Times New Roman"/>
          <w:noProof/>
          <w:sz w:val="24"/>
          <w:szCs w:val="24"/>
          <w:lang w:val="en-IE"/>
        </w:rPr>
        <w:t>sector</w:t>
      </w:r>
      <w:r w:rsidR="00FF4C2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specific </w:t>
      </w:r>
      <w:r w:rsidR="002408C7">
        <w:rPr>
          <w:rFonts w:ascii="Times New Roman" w:hAnsi="Times New Roman" w:cs="Times New Roman"/>
          <w:noProof/>
          <w:sz w:val="24"/>
          <w:szCs w:val="24"/>
          <w:lang w:val="en-IE"/>
        </w:rPr>
        <w:t xml:space="preserve">energy </w:t>
      </w:r>
      <w:r>
        <w:rPr>
          <w:rFonts w:ascii="Times New Roman" w:hAnsi="Times New Roman" w:cs="Times New Roman"/>
          <w:noProof/>
          <w:sz w:val="24"/>
          <w:szCs w:val="24"/>
          <w:lang w:val="en-IE"/>
        </w:rPr>
        <w:t xml:space="preserve">subsidies also </w:t>
      </w:r>
      <w:r w:rsidR="00FF4C24">
        <w:rPr>
          <w:rFonts w:ascii="Times New Roman" w:hAnsi="Times New Roman" w:cs="Times New Roman"/>
          <w:noProof/>
          <w:sz w:val="24"/>
          <w:szCs w:val="24"/>
          <w:lang w:val="en-IE"/>
        </w:rPr>
        <w:t xml:space="preserve">increased </w:t>
      </w:r>
      <w:r>
        <w:rPr>
          <w:rFonts w:ascii="Times New Roman" w:hAnsi="Times New Roman" w:cs="Times New Roman"/>
          <w:noProof/>
          <w:sz w:val="24"/>
          <w:szCs w:val="24"/>
          <w:lang w:val="en-IE"/>
        </w:rPr>
        <w:t xml:space="preserve">by </w:t>
      </w:r>
      <w:r w:rsidR="00FF4C24">
        <w:rPr>
          <w:rFonts w:ascii="Times New Roman" w:hAnsi="Times New Roman" w:cs="Times New Roman"/>
          <w:noProof/>
          <w:sz w:val="24"/>
          <w:szCs w:val="24"/>
          <w:lang w:val="en-IE"/>
        </w:rPr>
        <w:t>EUR </w:t>
      </w:r>
      <w:r>
        <w:rPr>
          <w:rFonts w:ascii="Times New Roman" w:hAnsi="Times New Roman" w:cs="Times New Roman"/>
          <w:noProof/>
          <w:sz w:val="24"/>
          <w:szCs w:val="24"/>
          <w:lang w:val="en-IE"/>
        </w:rPr>
        <w:t>2.7</w:t>
      </w:r>
      <w:r w:rsidR="00FF4C24">
        <w:rPr>
          <w:rFonts w:ascii="Times New Roman" w:hAnsi="Times New Roman" w:cs="Times New Roman"/>
          <w:noProof/>
          <w:sz w:val="24"/>
          <w:szCs w:val="24"/>
          <w:lang w:val="en-IE"/>
        </w:rPr>
        <w:t> </w:t>
      </w:r>
      <w:r>
        <w:rPr>
          <w:rFonts w:ascii="Times New Roman" w:hAnsi="Times New Roman" w:cs="Times New Roman"/>
          <w:noProof/>
          <w:sz w:val="24"/>
          <w:szCs w:val="24"/>
          <w:lang w:val="en-IE"/>
        </w:rPr>
        <w:t>billion</w:t>
      </w:r>
      <w:r w:rsidR="00FF4C24">
        <w:rPr>
          <w:rFonts w:ascii="Times New Roman" w:hAnsi="Times New Roman" w:cs="Times New Roman"/>
          <w:noProof/>
          <w:sz w:val="24"/>
          <w:szCs w:val="24"/>
          <w:lang w:val="en-IE"/>
        </w:rPr>
        <w:t xml:space="preserve"> over the same period</w:t>
      </w:r>
      <w:r>
        <w:rPr>
          <w:rFonts w:ascii="Times New Roman" w:hAnsi="Times New Roman" w:cs="Times New Roman"/>
          <w:noProof/>
          <w:sz w:val="24"/>
          <w:szCs w:val="24"/>
          <w:lang w:val="en-IE"/>
        </w:rPr>
        <w:t>. At the same time</w:t>
      </w:r>
      <w:r w:rsidR="00FF4C2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energy subsidies in the commercial sector </w:t>
      </w:r>
      <w:r w:rsidR="00FF4C24">
        <w:rPr>
          <w:rFonts w:ascii="Times New Roman" w:hAnsi="Times New Roman" w:cs="Times New Roman"/>
          <w:noProof/>
          <w:sz w:val="24"/>
          <w:szCs w:val="24"/>
          <w:lang w:val="en-IE"/>
        </w:rPr>
        <w:t>fell</w:t>
      </w:r>
      <w:r>
        <w:rPr>
          <w:rFonts w:ascii="Times New Roman" w:hAnsi="Times New Roman" w:cs="Times New Roman"/>
          <w:noProof/>
          <w:sz w:val="24"/>
          <w:szCs w:val="24"/>
          <w:lang w:val="en-IE"/>
        </w:rPr>
        <w:t xml:space="preserve"> by </w:t>
      </w:r>
      <w:r w:rsidR="00FF4C24">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1 billion</w:t>
      </w:r>
      <w:r w:rsidR="00162D4A">
        <w:rPr>
          <w:rFonts w:ascii="Times New Roman" w:hAnsi="Times New Roman" w:cs="Times New Roman"/>
          <w:noProof/>
          <w:sz w:val="24"/>
          <w:szCs w:val="24"/>
          <w:lang w:val="en-IE"/>
        </w:rPr>
        <w:t>.</w:t>
      </w:r>
    </w:p>
    <w:p w14:paraId="3B6791E2" w14:textId="5DD0837E" w:rsidR="0021742F" w:rsidRDefault="004710ED" w:rsidP="005275B4">
      <w:pPr>
        <w:spacing w:before="120" w:after="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 202</w:t>
      </w:r>
      <w:r w:rsidR="00EB52BE">
        <w:rPr>
          <w:rFonts w:ascii="Times New Roman" w:hAnsi="Times New Roman" w:cs="Times New Roman"/>
          <w:noProof/>
          <w:sz w:val="24"/>
          <w:szCs w:val="24"/>
          <w:lang w:val="en-IE"/>
        </w:rPr>
        <w:t>1</w:t>
      </w:r>
      <w:r w:rsidR="00B2622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FF4C24">
        <w:rPr>
          <w:rFonts w:ascii="Times New Roman" w:hAnsi="Times New Roman" w:cs="Times New Roman"/>
          <w:noProof/>
          <w:sz w:val="24"/>
          <w:szCs w:val="24"/>
          <w:lang w:val="en-IE"/>
        </w:rPr>
        <w:t xml:space="preserve">energy </w:t>
      </w:r>
      <w:r>
        <w:rPr>
          <w:rFonts w:ascii="Times New Roman" w:hAnsi="Times New Roman" w:cs="Times New Roman"/>
          <w:noProof/>
          <w:sz w:val="24"/>
          <w:szCs w:val="24"/>
          <w:lang w:val="en-IE"/>
        </w:rPr>
        <w:t xml:space="preserve">subsidies </w:t>
      </w:r>
      <w:r w:rsidR="00FF4C24">
        <w:rPr>
          <w:rFonts w:ascii="Times New Roman" w:hAnsi="Times New Roman" w:cs="Times New Roman"/>
          <w:noProof/>
          <w:sz w:val="24"/>
          <w:szCs w:val="24"/>
          <w:lang w:val="en-IE"/>
        </w:rPr>
        <w:t>paid to</w:t>
      </w:r>
      <w:r>
        <w:rPr>
          <w:rFonts w:ascii="Times New Roman" w:hAnsi="Times New Roman" w:cs="Times New Roman"/>
          <w:noProof/>
          <w:sz w:val="24"/>
          <w:szCs w:val="24"/>
          <w:lang w:val="en-IE"/>
        </w:rPr>
        <w:t xml:space="preserve"> </w:t>
      </w:r>
      <w:r w:rsidR="00EB52BE">
        <w:rPr>
          <w:rFonts w:ascii="Times New Roman" w:hAnsi="Times New Roman" w:cs="Times New Roman"/>
          <w:noProof/>
          <w:sz w:val="24"/>
          <w:szCs w:val="24"/>
          <w:lang w:val="en-IE"/>
        </w:rPr>
        <w:t xml:space="preserve">the household sector </w:t>
      </w:r>
      <w:r w:rsidR="00FF4C24">
        <w:rPr>
          <w:rFonts w:ascii="Times New Roman" w:hAnsi="Times New Roman" w:cs="Times New Roman"/>
          <w:noProof/>
          <w:sz w:val="24"/>
          <w:szCs w:val="24"/>
          <w:lang w:val="en-IE"/>
        </w:rPr>
        <w:t>increased</w:t>
      </w:r>
      <w:r w:rsidR="00EB52BE">
        <w:rPr>
          <w:rFonts w:ascii="Times New Roman" w:hAnsi="Times New Roman" w:cs="Times New Roman"/>
          <w:noProof/>
          <w:sz w:val="24"/>
          <w:szCs w:val="24"/>
          <w:lang w:val="en-IE"/>
        </w:rPr>
        <w:t xml:space="preserve"> by an estimated </w:t>
      </w:r>
      <w:r w:rsidR="00A86D11">
        <w:rPr>
          <w:rFonts w:ascii="Times New Roman" w:hAnsi="Times New Roman" w:cs="Times New Roman"/>
          <w:noProof/>
          <w:sz w:val="24"/>
          <w:szCs w:val="24"/>
          <w:lang w:val="en-IE"/>
        </w:rPr>
        <w:t>EUR </w:t>
      </w:r>
      <w:r w:rsidR="00EB52BE">
        <w:rPr>
          <w:rFonts w:ascii="Times New Roman" w:hAnsi="Times New Roman" w:cs="Times New Roman"/>
          <w:noProof/>
          <w:sz w:val="24"/>
          <w:szCs w:val="24"/>
          <w:lang w:val="en-IE"/>
        </w:rPr>
        <w:t>5</w:t>
      </w:r>
      <w:r w:rsidR="00A86D11">
        <w:rPr>
          <w:rFonts w:ascii="Times New Roman" w:hAnsi="Times New Roman" w:cs="Times New Roman"/>
          <w:noProof/>
          <w:sz w:val="24"/>
          <w:szCs w:val="24"/>
          <w:lang w:val="en-IE"/>
        </w:rPr>
        <w:t> </w:t>
      </w:r>
      <w:r w:rsidR="00EB52BE">
        <w:rPr>
          <w:rFonts w:ascii="Times New Roman" w:hAnsi="Times New Roman" w:cs="Times New Roman"/>
          <w:noProof/>
          <w:sz w:val="24"/>
          <w:szCs w:val="24"/>
          <w:lang w:val="en-IE"/>
        </w:rPr>
        <w:t>billion compared</w:t>
      </w:r>
      <w:r w:rsidR="005275B4">
        <w:rPr>
          <w:rFonts w:ascii="Times New Roman" w:hAnsi="Times New Roman" w:cs="Times New Roman"/>
          <w:noProof/>
          <w:sz w:val="24"/>
          <w:szCs w:val="24"/>
          <w:lang w:val="en-IE"/>
        </w:rPr>
        <w:t xml:space="preserve"> (+26%)</w:t>
      </w:r>
      <w:r w:rsidR="00EB52BE">
        <w:rPr>
          <w:rFonts w:ascii="Times New Roman" w:hAnsi="Times New Roman" w:cs="Times New Roman"/>
          <w:noProof/>
          <w:sz w:val="24"/>
          <w:szCs w:val="24"/>
          <w:lang w:val="en-IE"/>
        </w:rPr>
        <w:t xml:space="preserve"> to 2020, as high energy prices induced more financial support from governments for households. In the industr</w:t>
      </w:r>
      <w:r w:rsidR="00FF4C24">
        <w:rPr>
          <w:rFonts w:ascii="Times New Roman" w:hAnsi="Times New Roman" w:cs="Times New Roman"/>
          <w:noProof/>
          <w:sz w:val="24"/>
          <w:szCs w:val="24"/>
          <w:lang w:val="en-IE"/>
        </w:rPr>
        <w:t>ial sector</w:t>
      </w:r>
      <w:r w:rsidR="00EB52BE">
        <w:rPr>
          <w:rFonts w:ascii="Times New Roman" w:hAnsi="Times New Roman" w:cs="Times New Roman"/>
          <w:noProof/>
          <w:sz w:val="24"/>
          <w:szCs w:val="24"/>
          <w:lang w:val="en-IE"/>
        </w:rPr>
        <w:t xml:space="preserve">, energy subsidies </w:t>
      </w:r>
      <w:r w:rsidR="00A86D11">
        <w:rPr>
          <w:rFonts w:ascii="Times New Roman" w:hAnsi="Times New Roman" w:cs="Times New Roman"/>
          <w:noProof/>
          <w:sz w:val="24"/>
          <w:szCs w:val="24"/>
          <w:lang w:val="en-IE"/>
        </w:rPr>
        <w:t>increased</w:t>
      </w:r>
      <w:r w:rsidR="00EB52BE">
        <w:rPr>
          <w:rFonts w:ascii="Times New Roman" w:hAnsi="Times New Roman" w:cs="Times New Roman"/>
          <w:noProof/>
          <w:sz w:val="24"/>
          <w:szCs w:val="24"/>
          <w:lang w:val="en-IE"/>
        </w:rPr>
        <w:t xml:space="preserve"> by </w:t>
      </w:r>
      <w:r w:rsidR="00FF4C24">
        <w:rPr>
          <w:rFonts w:ascii="Times New Roman" w:hAnsi="Times New Roman" w:cs="Times New Roman"/>
          <w:noProof/>
          <w:sz w:val="24"/>
          <w:szCs w:val="24"/>
          <w:lang w:val="en-IE"/>
        </w:rPr>
        <w:t>EU</w:t>
      </w:r>
      <w:r w:rsidR="00A86D11">
        <w:rPr>
          <w:rFonts w:ascii="Times New Roman" w:hAnsi="Times New Roman" w:cs="Times New Roman"/>
          <w:noProof/>
          <w:sz w:val="24"/>
          <w:szCs w:val="24"/>
          <w:lang w:val="en-IE"/>
        </w:rPr>
        <w:t>R </w:t>
      </w:r>
      <w:r w:rsidR="00EB52BE">
        <w:rPr>
          <w:rFonts w:ascii="Times New Roman" w:hAnsi="Times New Roman" w:cs="Times New Roman"/>
          <w:noProof/>
          <w:sz w:val="24"/>
          <w:szCs w:val="24"/>
          <w:lang w:val="en-IE"/>
        </w:rPr>
        <w:t>1.7</w:t>
      </w:r>
      <w:r w:rsidR="00A86D11">
        <w:rPr>
          <w:rFonts w:ascii="Times New Roman" w:hAnsi="Times New Roman" w:cs="Times New Roman"/>
          <w:noProof/>
          <w:sz w:val="24"/>
          <w:szCs w:val="24"/>
          <w:lang w:val="en-IE"/>
        </w:rPr>
        <w:t> </w:t>
      </w:r>
      <w:r w:rsidR="00EB52BE">
        <w:rPr>
          <w:rFonts w:ascii="Times New Roman" w:hAnsi="Times New Roman" w:cs="Times New Roman"/>
          <w:noProof/>
          <w:sz w:val="24"/>
          <w:szCs w:val="24"/>
          <w:lang w:val="en-IE"/>
        </w:rPr>
        <w:t>billion</w:t>
      </w:r>
      <w:r w:rsidR="00825BA7">
        <w:rPr>
          <w:rFonts w:ascii="Times New Roman" w:hAnsi="Times New Roman" w:cs="Times New Roman"/>
          <w:noProof/>
          <w:sz w:val="24"/>
          <w:szCs w:val="24"/>
          <w:lang w:val="en-IE"/>
        </w:rPr>
        <w:t xml:space="preserve"> (+8%)</w:t>
      </w:r>
      <w:r w:rsidR="00EB52BE">
        <w:rPr>
          <w:rFonts w:ascii="Times New Roman" w:hAnsi="Times New Roman" w:cs="Times New Roman"/>
          <w:noProof/>
          <w:sz w:val="24"/>
          <w:szCs w:val="24"/>
          <w:lang w:val="en-IE"/>
        </w:rPr>
        <w:t xml:space="preserve">, whereas in the energy sector they fell by </w:t>
      </w:r>
      <w:r w:rsidR="00FF4C24">
        <w:rPr>
          <w:rFonts w:ascii="Times New Roman" w:hAnsi="Times New Roman" w:cs="Times New Roman"/>
          <w:noProof/>
          <w:sz w:val="24"/>
          <w:szCs w:val="24"/>
          <w:lang w:val="en-IE"/>
        </w:rPr>
        <w:t xml:space="preserve">EUR </w:t>
      </w:r>
      <w:r w:rsidR="00EB52BE">
        <w:rPr>
          <w:rFonts w:ascii="Times New Roman" w:hAnsi="Times New Roman" w:cs="Times New Roman"/>
          <w:noProof/>
          <w:sz w:val="24"/>
          <w:szCs w:val="24"/>
          <w:lang w:val="en-IE"/>
        </w:rPr>
        <w:t>2.1 billion</w:t>
      </w:r>
      <w:r w:rsidR="00825BA7">
        <w:rPr>
          <w:rFonts w:ascii="Times New Roman" w:hAnsi="Times New Roman" w:cs="Times New Roman"/>
          <w:noProof/>
          <w:sz w:val="24"/>
          <w:szCs w:val="24"/>
          <w:lang w:val="en-IE"/>
        </w:rPr>
        <w:t xml:space="preserve"> (-2%)</w:t>
      </w:r>
      <w:r w:rsidR="00EB52BE">
        <w:rPr>
          <w:rFonts w:ascii="Times New Roman" w:hAnsi="Times New Roman" w:cs="Times New Roman"/>
          <w:noProof/>
          <w:sz w:val="24"/>
          <w:szCs w:val="24"/>
          <w:lang w:val="en-IE"/>
        </w:rPr>
        <w:t>.</w:t>
      </w:r>
    </w:p>
    <w:p w14:paraId="32D9ACEC" w14:textId="1B43F718" w:rsidR="0021742F" w:rsidRPr="0021742F" w:rsidRDefault="0021742F" w:rsidP="005275B4">
      <w:pPr>
        <w:pStyle w:val="Caption"/>
        <w:keepNext/>
        <w:spacing w:before="240" w:after="120"/>
        <w:rPr>
          <w:rFonts w:ascii="Times New Roman" w:hAnsi="Times New Roman" w:cs="Times New Roman"/>
          <w:b/>
          <w:i w:val="0"/>
          <w:noProof/>
          <w:color w:val="000000" w:themeColor="text1"/>
          <w:sz w:val="20"/>
          <w:szCs w:val="20"/>
          <w:lang w:val="en-US"/>
        </w:rPr>
      </w:pPr>
      <w:r w:rsidRPr="0021742F">
        <w:rPr>
          <w:rFonts w:ascii="Times New Roman" w:hAnsi="Times New Roman" w:cs="Times New Roman"/>
          <w:b/>
          <w:i w:val="0"/>
          <w:noProof/>
          <w:color w:val="000000" w:themeColor="text1"/>
          <w:sz w:val="20"/>
          <w:szCs w:val="20"/>
          <w:lang w:val="en-US"/>
        </w:rPr>
        <w:t xml:space="preserve">Figure </w:t>
      </w:r>
      <w:r w:rsidRPr="0021742F">
        <w:rPr>
          <w:rFonts w:ascii="Times New Roman" w:hAnsi="Times New Roman" w:cs="Times New Roman"/>
          <w:b/>
          <w:i w:val="0"/>
          <w:noProof/>
          <w:color w:val="000000" w:themeColor="text1"/>
          <w:sz w:val="20"/>
          <w:szCs w:val="20"/>
        </w:rPr>
        <w:fldChar w:fldCharType="begin"/>
      </w:r>
      <w:r w:rsidRPr="0021742F">
        <w:rPr>
          <w:rFonts w:ascii="Times New Roman" w:hAnsi="Times New Roman" w:cs="Times New Roman"/>
          <w:b/>
          <w:i w:val="0"/>
          <w:noProof/>
          <w:color w:val="000000" w:themeColor="text1"/>
          <w:sz w:val="20"/>
          <w:szCs w:val="20"/>
          <w:lang w:val="en-US"/>
        </w:rPr>
        <w:instrText xml:space="preserve"> SEQ Figure \* ARABIC </w:instrText>
      </w:r>
      <w:r w:rsidRPr="0021742F">
        <w:rPr>
          <w:rFonts w:ascii="Times New Roman" w:hAnsi="Times New Roman" w:cs="Times New Roman"/>
          <w:b/>
          <w:i w:val="0"/>
          <w:noProof/>
          <w:color w:val="000000" w:themeColor="text1"/>
          <w:sz w:val="20"/>
          <w:szCs w:val="20"/>
        </w:rPr>
        <w:fldChar w:fldCharType="separate"/>
      </w:r>
      <w:r w:rsidR="008236A3">
        <w:rPr>
          <w:rFonts w:ascii="Times New Roman" w:hAnsi="Times New Roman" w:cs="Times New Roman"/>
          <w:b/>
          <w:i w:val="0"/>
          <w:noProof/>
          <w:color w:val="000000" w:themeColor="text1"/>
          <w:sz w:val="20"/>
          <w:szCs w:val="20"/>
          <w:lang w:val="en-US"/>
        </w:rPr>
        <w:t>4</w:t>
      </w:r>
      <w:r w:rsidRPr="0021742F">
        <w:rPr>
          <w:rFonts w:ascii="Times New Roman" w:hAnsi="Times New Roman" w:cs="Times New Roman"/>
          <w:b/>
          <w:i w:val="0"/>
          <w:noProof/>
          <w:color w:val="000000" w:themeColor="text1"/>
          <w:sz w:val="20"/>
          <w:szCs w:val="20"/>
        </w:rPr>
        <w:fldChar w:fldCharType="end"/>
      </w:r>
      <w:r w:rsidRPr="0021742F">
        <w:rPr>
          <w:rFonts w:ascii="Times New Roman" w:hAnsi="Times New Roman" w:cs="Times New Roman"/>
          <w:b/>
          <w:i w:val="0"/>
          <w:noProof/>
          <w:color w:val="000000" w:themeColor="text1"/>
          <w:sz w:val="20"/>
          <w:szCs w:val="20"/>
          <w:lang w:val="en-US"/>
        </w:rPr>
        <w:t xml:space="preserve"> – EU energy subsidies by economic sector</w:t>
      </w:r>
    </w:p>
    <w:p w14:paraId="63CBB54B" w14:textId="21C395A8" w:rsidR="0021742F" w:rsidRPr="0021742F" w:rsidRDefault="00EB61F6" w:rsidP="0021742F">
      <w:pPr>
        <w:pStyle w:val="ListParagraph"/>
        <w:spacing w:after="0"/>
        <w:ind w:left="0"/>
        <w:rPr>
          <w:rFonts w:ascii="Times New Roman" w:hAnsi="Times New Roman" w:cs="Times New Roman"/>
          <w:b/>
          <w:noProof/>
          <w:sz w:val="24"/>
          <w:szCs w:val="24"/>
          <w:lang w:val="en-IE"/>
        </w:rPr>
      </w:pPr>
      <w:r w:rsidRPr="00EB61F6">
        <w:rPr>
          <w:rFonts w:ascii="Times New Roman" w:hAnsi="Times New Roman" w:cs="Times New Roman"/>
          <w:b/>
          <w:noProof/>
          <w:sz w:val="24"/>
          <w:szCs w:val="24"/>
          <w:lang w:val="en-GB" w:eastAsia="en-GB"/>
        </w:rPr>
        <w:drawing>
          <wp:inline distT="0" distB="0" distL="0" distR="0" wp14:anchorId="5F7E2DB5" wp14:editId="5C483EFE">
            <wp:extent cx="4789197" cy="2282024"/>
            <wp:effectExtent l="0" t="0" r="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820471" cy="2296926"/>
                    </a:xfrm>
                    <a:prstGeom prst="rect">
                      <a:avLst/>
                    </a:prstGeom>
                  </pic:spPr>
                </pic:pic>
              </a:graphicData>
            </a:graphic>
          </wp:inline>
        </w:drawing>
      </w:r>
    </w:p>
    <w:p w14:paraId="7F78FE47" w14:textId="77777777" w:rsidR="008236A3" w:rsidRDefault="008236A3" w:rsidP="008236A3">
      <w:pPr>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p>
    <w:p w14:paraId="21229744" w14:textId="431638CA" w:rsidR="00794A47" w:rsidRPr="0025698C" w:rsidRDefault="00EB52BE"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The overall majority (around</w:t>
      </w:r>
      <w:r w:rsidR="00794A47">
        <w:rPr>
          <w:rFonts w:ascii="Times New Roman" w:hAnsi="Times New Roman" w:cs="Times New Roman"/>
          <w:noProof/>
          <w:sz w:val="24"/>
          <w:szCs w:val="24"/>
          <w:lang w:val="en-IE"/>
        </w:rPr>
        <w:t xml:space="preserve"> 9</w:t>
      </w:r>
      <w:r>
        <w:rPr>
          <w:rFonts w:ascii="Times New Roman" w:hAnsi="Times New Roman" w:cs="Times New Roman"/>
          <w:noProof/>
          <w:sz w:val="24"/>
          <w:szCs w:val="24"/>
          <w:lang w:val="en-IE"/>
        </w:rPr>
        <w:t>0</w:t>
      </w:r>
      <w:r w:rsidR="00794A47">
        <w:rPr>
          <w:rFonts w:ascii="Times New Roman" w:hAnsi="Times New Roman" w:cs="Times New Roman"/>
          <w:noProof/>
          <w:sz w:val="24"/>
          <w:szCs w:val="24"/>
          <w:lang w:val="en-IE"/>
        </w:rPr>
        <w:t>%</w:t>
      </w:r>
      <w:r>
        <w:rPr>
          <w:rFonts w:ascii="Times New Roman" w:hAnsi="Times New Roman" w:cs="Times New Roman"/>
          <w:noProof/>
          <w:sz w:val="24"/>
          <w:szCs w:val="24"/>
          <w:lang w:val="en-IE"/>
        </w:rPr>
        <w:t>)</w:t>
      </w:r>
      <w:r w:rsidR="00794A47">
        <w:rPr>
          <w:rFonts w:ascii="Times New Roman" w:hAnsi="Times New Roman" w:cs="Times New Roman"/>
          <w:noProof/>
          <w:sz w:val="24"/>
          <w:szCs w:val="24"/>
          <w:lang w:val="en-IE"/>
        </w:rPr>
        <w:t xml:space="preserve"> of </w:t>
      </w:r>
      <w:r w:rsidR="00794A47" w:rsidRPr="00162D4A">
        <w:rPr>
          <w:rFonts w:ascii="Times New Roman" w:hAnsi="Times New Roman" w:cs="Times New Roman"/>
          <w:b/>
          <w:noProof/>
          <w:sz w:val="24"/>
          <w:szCs w:val="24"/>
          <w:lang w:val="en-IE"/>
        </w:rPr>
        <w:t>renewable subsidies</w:t>
      </w:r>
      <w:r w:rsidR="00794A47">
        <w:rPr>
          <w:rFonts w:ascii="Times New Roman" w:hAnsi="Times New Roman" w:cs="Times New Roman"/>
          <w:noProof/>
          <w:sz w:val="24"/>
          <w:szCs w:val="24"/>
          <w:lang w:val="en-IE"/>
        </w:rPr>
        <w:t xml:space="preserve"> in the EU (</w:t>
      </w:r>
      <w:r w:rsidR="00FF4C24">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81 </w:t>
      </w:r>
      <w:r w:rsidR="00794A47">
        <w:rPr>
          <w:rFonts w:ascii="Times New Roman" w:hAnsi="Times New Roman" w:cs="Times New Roman"/>
          <w:noProof/>
          <w:sz w:val="24"/>
          <w:szCs w:val="24"/>
          <w:lang w:val="en-IE"/>
        </w:rPr>
        <w:t>billion in 20</w:t>
      </w:r>
      <w:r>
        <w:rPr>
          <w:rFonts w:ascii="Times New Roman" w:hAnsi="Times New Roman" w:cs="Times New Roman"/>
          <w:noProof/>
          <w:sz w:val="24"/>
          <w:szCs w:val="24"/>
          <w:lang w:val="en-IE"/>
        </w:rPr>
        <w:t xml:space="preserve">20) </w:t>
      </w:r>
      <w:r w:rsidR="00FF4C24">
        <w:rPr>
          <w:rFonts w:ascii="Times New Roman" w:hAnsi="Times New Roman" w:cs="Times New Roman"/>
          <w:noProof/>
          <w:sz w:val="24"/>
          <w:szCs w:val="24"/>
          <w:lang w:val="en-IE"/>
        </w:rPr>
        <w:t xml:space="preserve">were </w:t>
      </w:r>
      <w:r>
        <w:rPr>
          <w:rFonts w:ascii="Times New Roman" w:hAnsi="Times New Roman" w:cs="Times New Roman"/>
          <w:noProof/>
          <w:sz w:val="24"/>
          <w:szCs w:val="24"/>
          <w:lang w:val="en-IE"/>
        </w:rPr>
        <w:t>in the energy sector</w:t>
      </w:r>
      <w:r w:rsidR="00794A47">
        <w:rPr>
          <w:rFonts w:ascii="Times New Roman" w:hAnsi="Times New Roman" w:cs="Times New Roman"/>
          <w:noProof/>
          <w:sz w:val="24"/>
          <w:szCs w:val="24"/>
          <w:lang w:val="en-IE"/>
        </w:rPr>
        <w:t xml:space="preserve">. Around </w:t>
      </w:r>
      <w:r>
        <w:rPr>
          <w:rFonts w:ascii="Times New Roman" w:hAnsi="Times New Roman" w:cs="Times New Roman"/>
          <w:noProof/>
          <w:sz w:val="24"/>
          <w:szCs w:val="24"/>
          <w:lang w:val="en-IE"/>
        </w:rPr>
        <w:t>38</w:t>
      </w:r>
      <w:r w:rsidR="00794A47">
        <w:rPr>
          <w:rFonts w:ascii="Times New Roman" w:hAnsi="Times New Roman" w:cs="Times New Roman"/>
          <w:noProof/>
          <w:sz w:val="24"/>
          <w:szCs w:val="24"/>
          <w:lang w:val="en-IE"/>
        </w:rPr>
        <w:t>% of renewable subsidies could be linked to solar energy in 2020, whereas wind</w:t>
      </w:r>
      <w:r w:rsidR="002464D6">
        <w:rPr>
          <w:rFonts w:ascii="Times New Roman" w:hAnsi="Times New Roman" w:cs="Times New Roman"/>
          <w:noProof/>
          <w:sz w:val="24"/>
          <w:szCs w:val="24"/>
          <w:lang w:val="en-IE"/>
        </w:rPr>
        <w:t xml:space="preserve"> power generation</w:t>
      </w:r>
      <w:r w:rsidR="00794A47">
        <w:rPr>
          <w:rFonts w:ascii="Times New Roman" w:hAnsi="Times New Roman" w:cs="Times New Roman"/>
          <w:noProof/>
          <w:sz w:val="24"/>
          <w:szCs w:val="24"/>
          <w:lang w:val="en-IE"/>
        </w:rPr>
        <w:t xml:space="preserve"> </w:t>
      </w:r>
      <w:r w:rsidR="00FF4C24">
        <w:rPr>
          <w:rFonts w:ascii="Times New Roman" w:hAnsi="Times New Roman" w:cs="Times New Roman"/>
          <w:noProof/>
          <w:sz w:val="24"/>
          <w:szCs w:val="24"/>
          <w:lang w:val="en-IE"/>
        </w:rPr>
        <w:t>accounted for</w:t>
      </w:r>
      <w:r w:rsidR="00794A47">
        <w:rPr>
          <w:rFonts w:ascii="Times New Roman" w:hAnsi="Times New Roman" w:cs="Times New Roman"/>
          <w:noProof/>
          <w:sz w:val="24"/>
          <w:szCs w:val="24"/>
          <w:lang w:val="en-IE"/>
        </w:rPr>
        <w:t xml:space="preserve"> around 27%</w:t>
      </w:r>
      <w:r w:rsidR="00FF4C24">
        <w:rPr>
          <w:rFonts w:ascii="Times New Roman" w:hAnsi="Times New Roman" w:cs="Times New Roman"/>
          <w:noProof/>
          <w:sz w:val="24"/>
          <w:szCs w:val="24"/>
          <w:lang w:val="en-IE"/>
        </w:rPr>
        <w:t xml:space="preserve"> of renewable-energy subsidies</w:t>
      </w:r>
      <w:r w:rsidR="00794A47">
        <w:rPr>
          <w:rFonts w:ascii="Times New Roman" w:hAnsi="Times New Roman" w:cs="Times New Roman"/>
          <w:noProof/>
          <w:sz w:val="24"/>
          <w:szCs w:val="24"/>
          <w:lang w:val="en-IE"/>
        </w:rPr>
        <w:t xml:space="preserve">, and the share </w:t>
      </w:r>
      <w:r w:rsidR="00FF4C24">
        <w:rPr>
          <w:rFonts w:ascii="Times New Roman" w:hAnsi="Times New Roman" w:cs="Times New Roman"/>
          <w:noProof/>
          <w:sz w:val="24"/>
          <w:szCs w:val="24"/>
          <w:lang w:val="en-IE"/>
        </w:rPr>
        <w:t xml:space="preserve">for </w:t>
      </w:r>
      <w:r w:rsidR="00794A47">
        <w:rPr>
          <w:rFonts w:ascii="Times New Roman" w:hAnsi="Times New Roman" w:cs="Times New Roman"/>
          <w:noProof/>
          <w:sz w:val="24"/>
          <w:szCs w:val="24"/>
          <w:lang w:val="en-IE"/>
        </w:rPr>
        <w:t>biomass was around 22%</w:t>
      </w:r>
      <w:r w:rsidR="00FF4C24">
        <w:rPr>
          <w:rFonts w:ascii="Times New Roman" w:hAnsi="Times New Roman" w:cs="Times New Roman"/>
          <w:noProof/>
          <w:sz w:val="24"/>
          <w:szCs w:val="24"/>
          <w:lang w:val="en-IE"/>
        </w:rPr>
        <w:t>. This left</w:t>
      </w:r>
      <w:r w:rsidR="00365660">
        <w:rPr>
          <w:rFonts w:ascii="Times New Roman" w:hAnsi="Times New Roman" w:cs="Times New Roman"/>
          <w:noProof/>
          <w:sz w:val="24"/>
          <w:szCs w:val="24"/>
          <w:lang w:val="en-IE"/>
        </w:rPr>
        <w:t xml:space="preserve"> only a small share for hydro, geothermal and other renewables</w:t>
      </w:r>
      <w:r w:rsidR="003658F8">
        <w:rPr>
          <w:rFonts w:ascii="Times New Roman" w:hAnsi="Times New Roman" w:cs="Times New Roman"/>
          <w:noProof/>
          <w:sz w:val="24"/>
          <w:szCs w:val="24"/>
          <w:lang w:val="en-IE"/>
        </w:rPr>
        <w:t xml:space="preserve"> (13%)</w:t>
      </w:r>
      <w:r w:rsidR="00794A47">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In 2021</w:t>
      </w:r>
      <w:r w:rsidR="00AB2348">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the share of solar </w:t>
      </w:r>
      <w:r w:rsidR="00260A7E">
        <w:rPr>
          <w:rFonts w:ascii="Times New Roman" w:hAnsi="Times New Roman" w:cs="Times New Roman"/>
          <w:noProof/>
          <w:sz w:val="24"/>
          <w:szCs w:val="24"/>
          <w:lang w:val="en-IE"/>
        </w:rPr>
        <w:t>renewable</w:t>
      </w:r>
      <w:r>
        <w:rPr>
          <w:rFonts w:ascii="Times New Roman" w:hAnsi="Times New Roman" w:cs="Times New Roman"/>
          <w:noProof/>
          <w:sz w:val="24"/>
          <w:szCs w:val="24"/>
          <w:lang w:val="en-IE"/>
        </w:rPr>
        <w:t xml:space="preserve"> subsidies </w:t>
      </w:r>
      <w:r w:rsidR="00FF4C24">
        <w:rPr>
          <w:rFonts w:ascii="Times New Roman" w:hAnsi="Times New Roman" w:cs="Times New Roman"/>
          <w:noProof/>
          <w:sz w:val="24"/>
          <w:szCs w:val="24"/>
          <w:lang w:val="en-IE"/>
        </w:rPr>
        <w:t xml:space="preserve">captured by solar </w:t>
      </w:r>
      <w:r>
        <w:rPr>
          <w:rFonts w:ascii="Times New Roman" w:hAnsi="Times New Roman" w:cs="Times New Roman"/>
          <w:noProof/>
          <w:sz w:val="24"/>
          <w:szCs w:val="24"/>
          <w:lang w:val="en-IE"/>
        </w:rPr>
        <w:t xml:space="preserve">decreased to 34%, whereas the share </w:t>
      </w:r>
      <w:r w:rsidR="00FF4C24">
        <w:rPr>
          <w:rFonts w:ascii="Times New Roman" w:hAnsi="Times New Roman" w:cs="Times New Roman"/>
          <w:noProof/>
          <w:sz w:val="24"/>
          <w:szCs w:val="24"/>
          <w:lang w:val="en-IE"/>
        </w:rPr>
        <w:t>captured by</w:t>
      </w:r>
      <w:r>
        <w:rPr>
          <w:rFonts w:ascii="Times New Roman" w:hAnsi="Times New Roman" w:cs="Times New Roman"/>
          <w:noProof/>
          <w:sz w:val="24"/>
          <w:szCs w:val="24"/>
          <w:lang w:val="en-IE"/>
        </w:rPr>
        <w:t xml:space="preserve"> wind and biomass was around 24%</w:t>
      </w:r>
      <w:r w:rsidR="000D1760">
        <w:rPr>
          <w:rFonts w:ascii="Times New Roman" w:hAnsi="Times New Roman" w:cs="Times New Roman"/>
          <w:noProof/>
          <w:sz w:val="24"/>
          <w:szCs w:val="24"/>
          <w:lang w:val="en-IE"/>
        </w:rPr>
        <w:t xml:space="preserve"> each</w:t>
      </w:r>
      <w:r>
        <w:rPr>
          <w:rFonts w:ascii="Times New Roman" w:hAnsi="Times New Roman" w:cs="Times New Roman"/>
          <w:noProof/>
          <w:sz w:val="24"/>
          <w:szCs w:val="24"/>
          <w:lang w:val="en-IE"/>
        </w:rPr>
        <w:t>.</w:t>
      </w:r>
    </w:p>
    <w:p w14:paraId="565895C7" w14:textId="5EE54C85" w:rsidR="0021742F" w:rsidRDefault="00AD4973" w:rsidP="004F4044">
      <w:pPr>
        <w:spacing w:before="120" w:after="120"/>
        <w:jc w:val="both"/>
        <w:rPr>
          <w:rFonts w:ascii="Times New Roman" w:hAnsi="Times New Roman" w:cs="Times New Roman"/>
          <w:noProof/>
          <w:sz w:val="24"/>
          <w:szCs w:val="24"/>
          <w:lang w:val="en-IE"/>
        </w:rPr>
      </w:pPr>
      <w:r w:rsidRPr="00AD4973">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 xml:space="preserve">most </w:t>
      </w:r>
      <w:r w:rsidR="00FF4C24">
        <w:rPr>
          <w:rFonts w:ascii="Times New Roman" w:hAnsi="Times New Roman" w:cs="Times New Roman"/>
          <w:noProof/>
          <w:sz w:val="24"/>
          <w:szCs w:val="24"/>
          <w:lang w:val="en-IE"/>
        </w:rPr>
        <w:t xml:space="preserve">significant </w:t>
      </w:r>
      <w:r w:rsidRPr="00162D4A">
        <w:rPr>
          <w:rFonts w:ascii="Times New Roman" w:hAnsi="Times New Roman" w:cs="Times New Roman"/>
          <w:b/>
          <w:noProof/>
          <w:sz w:val="24"/>
          <w:szCs w:val="24"/>
          <w:lang w:val="en-IE"/>
        </w:rPr>
        <w:t>renewable</w:t>
      </w:r>
      <w:r w:rsidR="00FF4C24">
        <w:rPr>
          <w:rFonts w:ascii="Times New Roman" w:hAnsi="Times New Roman" w:cs="Times New Roman"/>
          <w:b/>
          <w:noProof/>
          <w:sz w:val="24"/>
          <w:szCs w:val="24"/>
          <w:lang w:val="en-IE"/>
        </w:rPr>
        <w:t>-</w:t>
      </w:r>
      <w:r w:rsidRPr="00162D4A">
        <w:rPr>
          <w:rFonts w:ascii="Times New Roman" w:hAnsi="Times New Roman" w:cs="Times New Roman"/>
          <w:b/>
          <w:noProof/>
          <w:sz w:val="24"/>
          <w:szCs w:val="24"/>
          <w:lang w:val="en-IE"/>
        </w:rPr>
        <w:t>energy subsidy instruments</w:t>
      </w:r>
      <w:r>
        <w:rPr>
          <w:rFonts w:ascii="Times New Roman" w:hAnsi="Times New Roman" w:cs="Times New Roman"/>
          <w:noProof/>
          <w:sz w:val="24"/>
          <w:szCs w:val="24"/>
          <w:lang w:val="en-IE"/>
        </w:rPr>
        <w:t xml:space="preserve"> in the EU Member States </w:t>
      </w:r>
      <w:r w:rsidR="00FF4C24">
        <w:rPr>
          <w:rFonts w:ascii="Times New Roman" w:hAnsi="Times New Roman" w:cs="Times New Roman"/>
          <w:noProof/>
          <w:sz w:val="24"/>
          <w:szCs w:val="24"/>
          <w:lang w:val="en-IE"/>
        </w:rPr>
        <w:t xml:space="preserve">are </w:t>
      </w:r>
      <w:r>
        <w:rPr>
          <w:rFonts w:ascii="Times New Roman" w:hAnsi="Times New Roman" w:cs="Times New Roman"/>
          <w:noProof/>
          <w:sz w:val="24"/>
          <w:szCs w:val="24"/>
          <w:lang w:val="en-IE"/>
        </w:rPr>
        <w:t>feed</w:t>
      </w:r>
      <w:r w:rsidR="00BB2782">
        <w:rPr>
          <w:rFonts w:ascii="Times New Roman" w:hAnsi="Times New Roman" w:cs="Times New Roman"/>
          <w:noProof/>
          <w:sz w:val="24"/>
          <w:szCs w:val="24"/>
          <w:lang w:val="en-IE"/>
        </w:rPr>
        <w:t>-</w:t>
      </w:r>
      <w:r>
        <w:rPr>
          <w:rFonts w:ascii="Times New Roman" w:hAnsi="Times New Roman" w:cs="Times New Roman"/>
          <w:noProof/>
          <w:sz w:val="24"/>
          <w:szCs w:val="24"/>
          <w:lang w:val="en-IE"/>
        </w:rPr>
        <w:t>in tariffs</w:t>
      </w:r>
      <w:r w:rsidR="005275B4">
        <w:rPr>
          <w:rStyle w:val="FootnoteReference"/>
          <w:rFonts w:ascii="Times New Roman" w:hAnsi="Times New Roman" w:cs="Times New Roman"/>
          <w:noProof/>
          <w:sz w:val="24"/>
          <w:szCs w:val="24"/>
          <w:lang w:val="en-IE"/>
        </w:rPr>
        <w:footnoteReference w:id="22"/>
      </w:r>
      <w:r>
        <w:rPr>
          <w:rFonts w:ascii="Times New Roman" w:hAnsi="Times New Roman" w:cs="Times New Roman"/>
          <w:noProof/>
          <w:sz w:val="24"/>
          <w:szCs w:val="24"/>
          <w:lang w:val="en-IE"/>
        </w:rPr>
        <w:t xml:space="preserve"> (amounting to </w:t>
      </w:r>
      <w:r w:rsidR="00FF4C24">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5</w:t>
      </w:r>
      <w:r w:rsidR="00EB52BE">
        <w:rPr>
          <w:rFonts w:ascii="Times New Roman" w:hAnsi="Times New Roman" w:cs="Times New Roman"/>
          <w:noProof/>
          <w:sz w:val="24"/>
          <w:szCs w:val="24"/>
          <w:lang w:val="en-IE"/>
        </w:rPr>
        <w:t>4</w:t>
      </w:r>
      <w:r>
        <w:rPr>
          <w:rFonts w:ascii="Times New Roman" w:hAnsi="Times New Roman" w:cs="Times New Roman"/>
          <w:noProof/>
          <w:sz w:val="24"/>
          <w:szCs w:val="24"/>
          <w:lang w:val="en-IE"/>
        </w:rPr>
        <w:t xml:space="preserve"> billion </w:t>
      </w:r>
      <w:r w:rsidR="005275B4">
        <w:rPr>
          <w:rFonts w:ascii="Times New Roman" w:hAnsi="Times New Roman" w:cs="Times New Roman"/>
          <w:noProof/>
          <w:sz w:val="24"/>
          <w:szCs w:val="24"/>
          <w:lang w:val="en-IE"/>
        </w:rPr>
        <w:t xml:space="preserve">or 67% of the total renewable subsidies </w:t>
      </w:r>
      <w:r>
        <w:rPr>
          <w:rFonts w:ascii="Times New Roman" w:hAnsi="Times New Roman" w:cs="Times New Roman"/>
          <w:noProof/>
          <w:sz w:val="24"/>
          <w:szCs w:val="24"/>
          <w:lang w:val="en-IE"/>
        </w:rPr>
        <w:t>in 20</w:t>
      </w:r>
      <w:r w:rsidR="00EB52BE">
        <w:rPr>
          <w:rFonts w:ascii="Times New Roman" w:hAnsi="Times New Roman" w:cs="Times New Roman"/>
          <w:noProof/>
          <w:sz w:val="24"/>
          <w:szCs w:val="24"/>
          <w:lang w:val="en-IE"/>
        </w:rPr>
        <w:t>20</w:t>
      </w:r>
      <w:r w:rsidR="004564AC">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4564AC">
        <w:rPr>
          <w:rFonts w:ascii="Times New Roman" w:hAnsi="Times New Roman" w:cs="Times New Roman"/>
          <w:noProof/>
          <w:sz w:val="24"/>
          <w:szCs w:val="24"/>
          <w:lang w:val="en-IE"/>
        </w:rPr>
        <w:t>The</w:t>
      </w:r>
      <w:r w:rsidR="00FF4C24">
        <w:rPr>
          <w:rFonts w:ascii="Times New Roman" w:hAnsi="Times New Roman" w:cs="Times New Roman"/>
          <w:noProof/>
          <w:sz w:val="24"/>
          <w:szCs w:val="24"/>
          <w:lang w:val="en-IE"/>
        </w:rPr>
        <w:t>se feed-in tariffs</w:t>
      </w:r>
      <w:r w:rsidR="004564AC">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reflect subsidies stemming from long</w:t>
      </w:r>
      <w:r w:rsidR="000D1760">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term contracts </w:t>
      </w:r>
      <w:r w:rsidR="00C800F0">
        <w:rPr>
          <w:rFonts w:ascii="Times New Roman" w:hAnsi="Times New Roman" w:cs="Times New Roman"/>
          <w:noProof/>
          <w:sz w:val="24"/>
          <w:szCs w:val="24"/>
          <w:lang w:val="en-IE"/>
        </w:rPr>
        <w:t xml:space="preserve">mostly </w:t>
      </w:r>
      <w:r>
        <w:rPr>
          <w:rFonts w:ascii="Times New Roman" w:hAnsi="Times New Roman" w:cs="Times New Roman"/>
          <w:noProof/>
          <w:sz w:val="24"/>
          <w:szCs w:val="24"/>
          <w:lang w:val="en-IE"/>
        </w:rPr>
        <w:t>concluded more than a decade ago, as recent contracts no longer apply feed</w:t>
      </w:r>
      <w:r w:rsidR="000D1760">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in tariffs with the exception of </w:t>
      </w:r>
      <w:r w:rsidR="00BB2782">
        <w:rPr>
          <w:rFonts w:ascii="Times New Roman" w:hAnsi="Times New Roman" w:cs="Times New Roman"/>
          <w:noProof/>
          <w:sz w:val="24"/>
          <w:szCs w:val="24"/>
          <w:lang w:val="en-IE"/>
        </w:rPr>
        <w:t xml:space="preserve">some </w:t>
      </w:r>
      <w:r>
        <w:rPr>
          <w:rFonts w:ascii="Times New Roman" w:hAnsi="Times New Roman" w:cs="Times New Roman"/>
          <w:noProof/>
          <w:sz w:val="24"/>
          <w:szCs w:val="24"/>
          <w:lang w:val="en-IE"/>
        </w:rPr>
        <w:t>small producers</w:t>
      </w:r>
      <w:r w:rsidR="00162D4A">
        <w:rPr>
          <w:rFonts w:ascii="Times New Roman" w:hAnsi="Times New Roman" w:cs="Times New Roman"/>
          <w:noProof/>
          <w:sz w:val="24"/>
          <w:szCs w:val="24"/>
          <w:lang w:val="en-IE"/>
        </w:rPr>
        <w:t>. F</w:t>
      </w:r>
      <w:r>
        <w:rPr>
          <w:rFonts w:ascii="Times New Roman" w:hAnsi="Times New Roman" w:cs="Times New Roman"/>
          <w:noProof/>
          <w:sz w:val="24"/>
          <w:szCs w:val="24"/>
          <w:lang w:val="en-IE"/>
        </w:rPr>
        <w:t>eed</w:t>
      </w:r>
      <w:r w:rsidR="00BB2782">
        <w:rPr>
          <w:rFonts w:ascii="Times New Roman" w:hAnsi="Times New Roman" w:cs="Times New Roman"/>
          <w:noProof/>
          <w:sz w:val="24"/>
          <w:szCs w:val="24"/>
          <w:lang w:val="en-IE"/>
        </w:rPr>
        <w:t>-</w:t>
      </w:r>
      <w:r>
        <w:rPr>
          <w:rFonts w:ascii="Times New Roman" w:hAnsi="Times New Roman" w:cs="Times New Roman"/>
          <w:noProof/>
          <w:sz w:val="24"/>
          <w:szCs w:val="24"/>
          <w:lang w:val="en-IE"/>
        </w:rPr>
        <w:t>in premi</w:t>
      </w:r>
      <w:r w:rsidR="00A86D11">
        <w:rPr>
          <w:rFonts w:ascii="Times New Roman" w:hAnsi="Times New Roman" w:cs="Times New Roman"/>
          <w:noProof/>
          <w:sz w:val="24"/>
          <w:szCs w:val="24"/>
          <w:lang w:val="en-IE"/>
        </w:rPr>
        <w:t>a</w:t>
      </w:r>
      <w:r>
        <w:rPr>
          <w:rFonts w:ascii="Times New Roman" w:hAnsi="Times New Roman" w:cs="Times New Roman"/>
          <w:noProof/>
          <w:sz w:val="24"/>
          <w:szCs w:val="24"/>
          <w:lang w:val="en-IE"/>
        </w:rPr>
        <w:t xml:space="preserve"> </w:t>
      </w:r>
      <w:r w:rsidR="00162D4A">
        <w:rPr>
          <w:rFonts w:ascii="Times New Roman" w:hAnsi="Times New Roman" w:cs="Times New Roman"/>
          <w:noProof/>
          <w:sz w:val="24"/>
          <w:szCs w:val="24"/>
          <w:lang w:val="en-IE"/>
        </w:rPr>
        <w:t xml:space="preserve">and renewable quotas with trading certificates </w:t>
      </w:r>
      <w:r w:rsidR="00FF4C24">
        <w:rPr>
          <w:rFonts w:ascii="Times New Roman" w:hAnsi="Times New Roman" w:cs="Times New Roman"/>
          <w:noProof/>
          <w:sz w:val="24"/>
          <w:szCs w:val="24"/>
          <w:lang w:val="en-IE"/>
        </w:rPr>
        <w:t>accounted for less</w:t>
      </w:r>
      <w:r w:rsidR="00162D4A">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w:t>
      </w:r>
      <w:r w:rsidR="00162D4A">
        <w:rPr>
          <w:rFonts w:ascii="Times New Roman" w:hAnsi="Times New Roman" w:cs="Times New Roman"/>
          <w:noProof/>
          <w:sz w:val="24"/>
          <w:szCs w:val="24"/>
          <w:lang w:val="en-IE"/>
        </w:rPr>
        <w:t xml:space="preserve">respectively </w:t>
      </w:r>
      <w:r w:rsidR="007D1383">
        <w:rPr>
          <w:rFonts w:ascii="Times New Roman" w:hAnsi="Times New Roman" w:cs="Times New Roman"/>
          <w:noProof/>
          <w:sz w:val="24"/>
          <w:szCs w:val="24"/>
          <w:lang w:val="en-IE"/>
        </w:rPr>
        <w:t>EUR </w:t>
      </w:r>
      <w:r>
        <w:rPr>
          <w:rFonts w:ascii="Times New Roman" w:hAnsi="Times New Roman" w:cs="Times New Roman"/>
          <w:noProof/>
          <w:sz w:val="24"/>
          <w:szCs w:val="24"/>
          <w:lang w:val="en-IE"/>
        </w:rPr>
        <w:t>8</w:t>
      </w:r>
      <w:r w:rsidR="00A86D11">
        <w:rPr>
          <w:rFonts w:ascii="Times New Roman" w:hAnsi="Times New Roman" w:cs="Times New Roman"/>
          <w:noProof/>
          <w:sz w:val="24"/>
          <w:szCs w:val="24"/>
          <w:lang w:val="en-IE"/>
        </w:rPr>
        <w:t> </w:t>
      </w:r>
      <w:r>
        <w:rPr>
          <w:rFonts w:ascii="Times New Roman" w:hAnsi="Times New Roman" w:cs="Times New Roman"/>
          <w:noProof/>
          <w:sz w:val="24"/>
          <w:szCs w:val="24"/>
          <w:lang w:val="en-IE"/>
        </w:rPr>
        <w:t>billion</w:t>
      </w:r>
      <w:r w:rsidR="005275B4">
        <w:rPr>
          <w:rFonts w:ascii="Times New Roman" w:hAnsi="Times New Roman" w:cs="Times New Roman"/>
          <w:noProof/>
          <w:sz w:val="24"/>
          <w:szCs w:val="24"/>
          <w:lang w:val="en-IE"/>
        </w:rPr>
        <w:t>, or 10%</w:t>
      </w:r>
      <w:r>
        <w:rPr>
          <w:rFonts w:ascii="Times New Roman" w:hAnsi="Times New Roman" w:cs="Times New Roman"/>
          <w:noProof/>
          <w:sz w:val="24"/>
          <w:szCs w:val="24"/>
          <w:lang w:val="en-IE"/>
        </w:rPr>
        <w:t xml:space="preserve"> and </w:t>
      </w:r>
      <w:r w:rsidR="007D1383">
        <w:rPr>
          <w:rFonts w:ascii="Times New Roman" w:hAnsi="Times New Roman" w:cs="Times New Roman"/>
          <w:noProof/>
          <w:sz w:val="24"/>
          <w:szCs w:val="24"/>
          <w:lang w:val="en-IE"/>
        </w:rPr>
        <w:t>EUR </w:t>
      </w:r>
      <w:r w:rsidR="005275B4">
        <w:rPr>
          <w:rFonts w:ascii="Times New Roman" w:hAnsi="Times New Roman" w:cs="Times New Roman"/>
          <w:noProof/>
          <w:sz w:val="24"/>
          <w:szCs w:val="24"/>
          <w:lang w:val="en-IE"/>
        </w:rPr>
        <w:t>7 </w:t>
      </w:r>
      <w:r>
        <w:rPr>
          <w:rFonts w:ascii="Times New Roman" w:hAnsi="Times New Roman" w:cs="Times New Roman"/>
          <w:noProof/>
          <w:sz w:val="24"/>
          <w:szCs w:val="24"/>
          <w:lang w:val="en-IE"/>
        </w:rPr>
        <w:t>billion</w:t>
      </w:r>
      <w:r w:rsidR="005275B4">
        <w:rPr>
          <w:rFonts w:ascii="Times New Roman" w:hAnsi="Times New Roman" w:cs="Times New Roman"/>
          <w:noProof/>
          <w:sz w:val="24"/>
          <w:szCs w:val="24"/>
          <w:lang w:val="en-IE"/>
        </w:rPr>
        <w:t>, or 8%</w:t>
      </w:r>
      <w:r>
        <w:rPr>
          <w:rFonts w:ascii="Times New Roman" w:hAnsi="Times New Roman" w:cs="Times New Roman"/>
          <w:noProof/>
          <w:sz w:val="24"/>
          <w:szCs w:val="24"/>
          <w:lang w:val="en-IE"/>
        </w:rPr>
        <w:t xml:space="preserve"> in 20</w:t>
      </w:r>
      <w:r w:rsidR="00EB52BE">
        <w:rPr>
          <w:rFonts w:ascii="Times New Roman" w:hAnsi="Times New Roman" w:cs="Times New Roman"/>
          <w:noProof/>
          <w:sz w:val="24"/>
          <w:szCs w:val="24"/>
          <w:lang w:val="en-IE"/>
        </w:rPr>
        <w:t>20</w:t>
      </w:r>
      <w:r>
        <w:rPr>
          <w:rFonts w:ascii="Times New Roman" w:hAnsi="Times New Roman" w:cs="Times New Roman"/>
          <w:noProof/>
          <w:sz w:val="24"/>
          <w:szCs w:val="24"/>
          <w:lang w:val="en-IE"/>
        </w:rPr>
        <w:t>). Tax</w:t>
      </w:r>
      <w:r w:rsidR="00FF4C2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relief instruments (mainly in the form of </w:t>
      </w:r>
      <w:r w:rsidR="00BE1832">
        <w:rPr>
          <w:rFonts w:ascii="Times New Roman" w:hAnsi="Times New Roman" w:cs="Times New Roman"/>
          <w:noProof/>
          <w:sz w:val="24"/>
          <w:szCs w:val="24"/>
          <w:lang w:val="en-IE"/>
        </w:rPr>
        <w:t xml:space="preserve">tax </w:t>
      </w:r>
      <w:r>
        <w:rPr>
          <w:rFonts w:ascii="Times New Roman" w:hAnsi="Times New Roman" w:cs="Times New Roman"/>
          <w:noProof/>
          <w:sz w:val="24"/>
          <w:szCs w:val="24"/>
          <w:lang w:val="en-IE"/>
        </w:rPr>
        <w:t xml:space="preserve">reductions and exemptions) also contributed around </w:t>
      </w:r>
      <w:r w:rsidR="00FF4C24">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6 billion </w:t>
      </w:r>
      <w:r w:rsidR="005275B4">
        <w:rPr>
          <w:rFonts w:ascii="Times New Roman" w:hAnsi="Times New Roman" w:cs="Times New Roman"/>
          <w:noProof/>
          <w:sz w:val="24"/>
          <w:szCs w:val="24"/>
          <w:lang w:val="en-IE"/>
        </w:rPr>
        <w:t xml:space="preserve">(7%) </w:t>
      </w:r>
      <w:r>
        <w:rPr>
          <w:rFonts w:ascii="Times New Roman" w:hAnsi="Times New Roman" w:cs="Times New Roman"/>
          <w:noProof/>
          <w:sz w:val="24"/>
          <w:szCs w:val="24"/>
          <w:lang w:val="en-IE"/>
        </w:rPr>
        <w:t xml:space="preserve">to the total </w:t>
      </w:r>
      <w:r w:rsidR="00BB2782">
        <w:rPr>
          <w:rFonts w:ascii="Times New Roman" w:hAnsi="Times New Roman" w:cs="Times New Roman"/>
          <w:noProof/>
          <w:sz w:val="24"/>
          <w:szCs w:val="24"/>
          <w:lang w:val="en-IE"/>
        </w:rPr>
        <w:t xml:space="preserve">amount of </w:t>
      </w:r>
      <w:r>
        <w:rPr>
          <w:rFonts w:ascii="Times New Roman" w:hAnsi="Times New Roman" w:cs="Times New Roman"/>
          <w:noProof/>
          <w:sz w:val="24"/>
          <w:szCs w:val="24"/>
          <w:lang w:val="en-IE"/>
        </w:rPr>
        <w:t>renewable subsid</w:t>
      </w:r>
      <w:r w:rsidR="00BB2782">
        <w:rPr>
          <w:rFonts w:ascii="Times New Roman" w:hAnsi="Times New Roman" w:cs="Times New Roman"/>
          <w:noProof/>
          <w:sz w:val="24"/>
          <w:szCs w:val="24"/>
          <w:lang w:val="en-IE"/>
        </w:rPr>
        <w:t>ies</w:t>
      </w:r>
      <w:r>
        <w:rPr>
          <w:rFonts w:ascii="Times New Roman" w:hAnsi="Times New Roman" w:cs="Times New Roman"/>
          <w:noProof/>
          <w:sz w:val="24"/>
          <w:szCs w:val="24"/>
          <w:lang w:val="en-IE"/>
        </w:rPr>
        <w:t>.</w:t>
      </w:r>
    </w:p>
    <w:p w14:paraId="1F76CA23" w14:textId="2737B722" w:rsidR="00AD4973" w:rsidRDefault="00162D4A" w:rsidP="00F30504">
      <w:pPr>
        <w:spacing w:before="120" w:after="120"/>
        <w:jc w:val="both"/>
        <w:rPr>
          <w:rFonts w:ascii="Times New Roman" w:hAnsi="Times New Roman" w:cs="Times New Roman"/>
          <w:noProof/>
          <w:sz w:val="24"/>
          <w:szCs w:val="24"/>
          <w:lang w:val="en-IE"/>
        </w:rPr>
      </w:pPr>
      <w:r w:rsidRPr="00162D4A">
        <w:rPr>
          <w:rFonts w:ascii="Times New Roman" w:hAnsi="Times New Roman" w:cs="Times New Roman"/>
          <w:b/>
          <w:noProof/>
          <w:sz w:val="24"/>
          <w:szCs w:val="24"/>
          <w:lang w:val="en-IE"/>
        </w:rPr>
        <w:t>Energy</w:t>
      </w:r>
      <w:r w:rsidR="00FF4C24">
        <w:rPr>
          <w:rFonts w:ascii="Times New Roman" w:hAnsi="Times New Roman" w:cs="Times New Roman"/>
          <w:b/>
          <w:noProof/>
          <w:sz w:val="24"/>
          <w:szCs w:val="24"/>
          <w:lang w:val="en-IE"/>
        </w:rPr>
        <w:t>-</w:t>
      </w:r>
      <w:r w:rsidRPr="00162D4A">
        <w:rPr>
          <w:rFonts w:ascii="Times New Roman" w:hAnsi="Times New Roman" w:cs="Times New Roman"/>
          <w:b/>
          <w:noProof/>
          <w:sz w:val="24"/>
          <w:szCs w:val="24"/>
          <w:lang w:val="en-IE"/>
        </w:rPr>
        <w:t>efficiency subsidies</w:t>
      </w:r>
      <w:r>
        <w:rPr>
          <w:rFonts w:ascii="Times New Roman" w:hAnsi="Times New Roman" w:cs="Times New Roman"/>
          <w:noProof/>
          <w:sz w:val="24"/>
          <w:szCs w:val="24"/>
          <w:lang w:val="en-IE"/>
        </w:rPr>
        <w:t xml:space="preserve"> in the EU increas</w:t>
      </w:r>
      <w:r w:rsidR="00FF4C24">
        <w:rPr>
          <w:rFonts w:ascii="Times New Roman" w:hAnsi="Times New Roman" w:cs="Times New Roman"/>
          <w:noProof/>
          <w:sz w:val="24"/>
          <w:szCs w:val="24"/>
          <w:lang w:val="en-IE"/>
        </w:rPr>
        <w:t>ed</w:t>
      </w:r>
      <w:r>
        <w:rPr>
          <w:rFonts w:ascii="Times New Roman" w:hAnsi="Times New Roman" w:cs="Times New Roman"/>
          <w:noProof/>
          <w:sz w:val="24"/>
          <w:szCs w:val="24"/>
          <w:lang w:val="en-IE"/>
        </w:rPr>
        <w:t xml:space="preserve"> </w:t>
      </w:r>
      <w:r w:rsidR="00EB52BE">
        <w:rPr>
          <w:rFonts w:ascii="Times New Roman" w:hAnsi="Times New Roman" w:cs="Times New Roman"/>
          <w:noProof/>
          <w:sz w:val="24"/>
          <w:szCs w:val="24"/>
          <w:lang w:val="en-IE"/>
        </w:rPr>
        <w:t xml:space="preserve">between 2015 and 2019, whereas in </w:t>
      </w:r>
      <w:r>
        <w:rPr>
          <w:rFonts w:ascii="Times New Roman" w:hAnsi="Times New Roman" w:cs="Times New Roman"/>
          <w:noProof/>
          <w:sz w:val="24"/>
          <w:szCs w:val="24"/>
          <w:lang w:val="en-IE"/>
        </w:rPr>
        <w:t xml:space="preserve">2020 they </w:t>
      </w:r>
      <w:r w:rsidR="00EB52BE">
        <w:rPr>
          <w:rFonts w:ascii="Times New Roman" w:hAnsi="Times New Roman" w:cs="Times New Roman"/>
          <w:noProof/>
          <w:sz w:val="24"/>
          <w:szCs w:val="24"/>
          <w:lang w:val="en-IE"/>
        </w:rPr>
        <w:t>fell back slightly (</w:t>
      </w:r>
      <w:r w:rsidR="00FF4C24">
        <w:rPr>
          <w:rFonts w:ascii="Times New Roman" w:hAnsi="Times New Roman" w:cs="Times New Roman"/>
          <w:noProof/>
          <w:sz w:val="24"/>
          <w:szCs w:val="24"/>
          <w:lang w:val="en-IE"/>
        </w:rPr>
        <w:t>falling by</w:t>
      </w:r>
      <w:r w:rsidR="00946865">
        <w:rPr>
          <w:rFonts w:ascii="Times New Roman" w:hAnsi="Times New Roman" w:cs="Times New Roman"/>
          <w:noProof/>
          <w:sz w:val="24"/>
          <w:szCs w:val="24"/>
          <w:lang w:val="en-IE"/>
        </w:rPr>
        <w:t xml:space="preserve"> 6% to</w:t>
      </w:r>
      <w:r w:rsidR="00FF4C24">
        <w:rPr>
          <w:rFonts w:ascii="Times New Roman" w:hAnsi="Times New Roman" w:cs="Times New Roman"/>
          <w:noProof/>
          <w:sz w:val="24"/>
          <w:szCs w:val="24"/>
          <w:lang w:val="en-IE"/>
        </w:rPr>
        <w:t xml:space="preserve"> EUR </w:t>
      </w:r>
      <w:r w:rsidR="00EB52BE">
        <w:rPr>
          <w:rFonts w:ascii="Times New Roman" w:hAnsi="Times New Roman" w:cs="Times New Roman"/>
          <w:noProof/>
          <w:sz w:val="24"/>
          <w:szCs w:val="24"/>
          <w:lang w:val="en-IE"/>
        </w:rPr>
        <w:t>1 billion), reaching</w:t>
      </w:r>
      <w:r>
        <w:rPr>
          <w:rFonts w:ascii="Times New Roman" w:hAnsi="Times New Roman" w:cs="Times New Roman"/>
          <w:noProof/>
          <w:sz w:val="24"/>
          <w:szCs w:val="24"/>
          <w:lang w:val="en-IE"/>
        </w:rPr>
        <w:t xml:space="preserve"> </w:t>
      </w:r>
      <w:r w:rsidR="00946865">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1</w:t>
      </w:r>
      <w:r w:rsidR="00EB52BE">
        <w:rPr>
          <w:rFonts w:ascii="Times New Roman" w:hAnsi="Times New Roman" w:cs="Times New Roman"/>
          <w:noProof/>
          <w:sz w:val="24"/>
          <w:szCs w:val="24"/>
          <w:lang w:val="en-IE"/>
        </w:rPr>
        <w:t>5</w:t>
      </w:r>
      <w:r>
        <w:rPr>
          <w:rFonts w:ascii="Times New Roman" w:hAnsi="Times New Roman" w:cs="Times New Roman"/>
          <w:noProof/>
          <w:sz w:val="24"/>
          <w:szCs w:val="24"/>
          <w:lang w:val="en-IE"/>
        </w:rPr>
        <w:t xml:space="preserve"> billion, </w:t>
      </w:r>
      <w:r w:rsidR="00A86D11">
        <w:rPr>
          <w:rFonts w:ascii="Times New Roman" w:hAnsi="Times New Roman" w:cs="Times New Roman"/>
          <w:noProof/>
          <w:sz w:val="24"/>
          <w:szCs w:val="24"/>
          <w:lang w:val="en-IE"/>
        </w:rPr>
        <w:t>al</w:t>
      </w:r>
      <w:r w:rsidR="00AB2348">
        <w:rPr>
          <w:rFonts w:ascii="Times New Roman" w:hAnsi="Times New Roman" w:cs="Times New Roman"/>
          <w:noProof/>
          <w:sz w:val="24"/>
          <w:szCs w:val="24"/>
          <w:lang w:val="en-IE"/>
        </w:rPr>
        <w:t xml:space="preserve">though </w:t>
      </w:r>
      <w:r w:rsidR="00A86D11">
        <w:rPr>
          <w:rFonts w:ascii="Times New Roman" w:hAnsi="Times New Roman" w:cs="Times New Roman"/>
          <w:noProof/>
          <w:sz w:val="24"/>
          <w:szCs w:val="24"/>
          <w:lang w:val="en-IE"/>
        </w:rPr>
        <w:t xml:space="preserve">they were still </w:t>
      </w:r>
      <w:r>
        <w:rPr>
          <w:rFonts w:ascii="Times New Roman" w:hAnsi="Times New Roman" w:cs="Times New Roman"/>
          <w:noProof/>
          <w:sz w:val="24"/>
          <w:szCs w:val="24"/>
          <w:lang w:val="en-IE"/>
        </w:rPr>
        <w:t xml:space="preserve">up almost </w:t>
      </w:r>
      <w:r w:rsidR="00CA4032">
        <w:rPr>
          <w:rFonts w:ascii="Times New Roman" w:hAnsi="Times New Roman" w:cs="Times New Roman"/>
          <w:noProof/>
          <w:sz w:val="24"/>
          <w:szCs w:val="24"/>
          <w:lang w:val="en-IE"/>
        </w:rPr>
        <w:t>20</w:t>
      </w:r>
      <w:r>
        <w:rPr>
          <w:rFonts w:ascii="Times New Roman" w:hAnsi="Times New Roman" w:cs="Times New Roman"/>
          <w:noProof/>
          <w:sz w:val="24"/>
          <w:szCs w:val="24"/>
          <w:lang w:val="en-IE"/>
        </w:rPr>
        <w:t xml:space="preserve">% compared to 2015. </w:t>
      </w:r>
      <w:r w:rsidR="00EB52BE">
        <w:rPr>
          <w:rFonts w:ascii="Times New Roman" w:hAnsi="Times New Roman" w:cs="Times New Roman"/>
          <w:noProof/>
          <w:sz w:val="24"/>
          <w:szCs w:val="24"/>
          <w:lang w:val="en-IE"/>
        </w:rPr>
        <w:t>In 2021, energy</w:t>
      </w:r>
      <w:r w:rsidR="007D1383">
        <w:rPr>
          <w:rFonts w:ascii="Times New Roman" w:hAnsi="Times New Roman" w:cs="Times New Roman"/>
          <w:noProof/>
          <w:sz w:val="24"/>
          <w:szCs w:val="24"/>
          <w:lang w:val="en-IE"/>
        </w:rPr>
        <w:t>-</w:t>
      </w:r>
      <w:r w:rsidR="00EB52BE">
        <w:rPr>
          <w:rFonts w:ascii="Times New Roman" w:hAnsi="Times New Roman" w:cs="Times New Roman"/>
          <w:noProof/>
          <w:sz w:val="24"/>
          <w:szCs w:val="24"/>
          <w:lang w:val="en-IE"/>
        </w:rPr>
        <w:t xml:space="preserve">efficiency subsidies rebounded, reaching an estimated </w:t>
      </w:r>
      <w:r w:rsidR="00946865">
        <w:rPr>
          <w:rFonts w:ascii="Times New Roman" w:hAnsi="Times New Roman" w:cs="Times New Roman"/>
          <w:noProof/>
          <w:sz w:val="24"/>
          <w:szCs w:val="24"/>
          <w:lang w:val="en-IE"/>
        </w:rPr>
        <w:t xml:space="preserve">EUR </w:t>
      </w:r>
      <w:r w:rsidR="00EB52BE">
        <w:rPr>
          <w:rFonts w:ascii="Times New Roman" w:hAnsi="Times New Roman" w:cs="Times New Roman"/>
          <w:noProof/>
          <w:sz w:val="24"/>
          <w:szCs w:val="24"/>
          <w:lang w:val="en-IE"/>
        </w:rPr>
        <w:t>19 billion</w:t>
      </w:r>
      <w:r w:rsidR="00C07677">
        <w:rPr>
          <w:rFonts w:ascii="Times New Roman" w:hAnsi="Times New Roman" w:cs="Times New Roman"/>
          <w:noProof/>
          <w:sz w:val="24"/>
          <w:szCs w:val="24"/>
          <w:lang w:val="en-IE"/>
        </w:rPr>
        <w:t xml:space="preserve"> (+29% compared to 2020)</w:t>
      </w:r>
      <w:r w:rsidR="00EB52BE">
        <w:rPr>
          <w:rFonts w:ascii="Times New Roman" w:hAnsi="Times New Roman" w:cs="Times New Roman"/>
          <w:noProof/>
          <w:sz w:val="24"/>
          <w:szCs w:val="24"/>
          <w:lang w:val="en-IE"/>
        </w:rPr>
        <w:t>, increasing particularly in households (+</w:t>
      </w:r>
      <w:r w:rsidR="00946865">
        <w:rPr>
          <w:rFonts w:ascii="Times New Roman" w:hAnsi="Times New Roman" w:cs="Times New Roman"/>
          <w:noProof/>
          <w:sz w:val="24"/>
          <w:szCs w:val="24"/>
          <w:lang w:val="en-IE"/>
        </w:rPr>
        <w:t xml:space="preserve">EUR </w:t>
      </w:r>
      <w:r w:rsidR="00EB52BE">
        <w:rPr>
          <w:rFonts w:ascii="Times New Roman" w:hAnsi="Times New Roman" w:cs="Times New Roman"/>
          <w:noProof/>
          <w:sz w:val="24"/>
          <w:szCs w:val="24"/>
          <w:lang w:val="en-IE"/>
        </w:rPr>
        <w:t xml:space="preserve">1.3 billion) and in industry </w:t>
      </w:r>
      <w:r w:rsidR="00946865">
        <w:rPr>
          <w:rFonts w:ascii="Times New Roman" w:hAnsi="Times New Roman" w:cs="Times New Roman"/>
          <w:noProof/>
          <w:sz w:val="24"/>
          <w:szCs w:val="24"/>
          <w:lang w:val="en-IE"/>
        </w:rPr>
        <w:t xml:space="preserve">(+EUR </w:t>
      </w:r>
      <w:r w:rsidR="00EB52BE">
        <w:rPr>
          <w:rFonts w:ascii="Times New Roman" w:hAnsi="Times New Roman" w:cs="Times New Roman"/>
          <w:noProof/>
          <w:sz w:val="24"/>
          <w:szCs w:val="24"/>
          <w:lang w:val="en-IE"/>
        </w:rPr>
        <w:t xml:space="preserve">0.5 billion). </w:t>
      </w:r>
      <w:r w:rsidR="00F30504">
        <w:rPr>
          <w:rFonts w:ascii="Times New Roman" w:hAnsi="Times New Roman" w:cs="Times New Roman"/>
          <w:noProof/>
          <w:sz w:val="24"/>
          <w:szCs w:val="24"/>
          <w:lang w:val="en-IE"/>
        </w:rPr>
        <w:t xml:space="preserve">Grants </w:t>
      </w:r>
      <w:r w:rsidR="00946865">
        <w:rPr>
          <w:rFonts w:ascii="Times New Roman" w:hAnsi="Times New Roman" w:cs="Times New Roman"/>
          <w:noProof/>
          <w:sz w:val="24"/>
          <w:szCs w:val="24"/>
          <w:lang w:val="en-IE"/>
        </w:rPr>
        <w:t xml:space="preserve">were </w:t>
      </w:r>
      <w:r w:rsidR="00F30504">
        <w:rPr>
          <w:rFonts w:ascii="Times New Roman" w:hAnsi="Times New Roman" w:cs="Times New Roman"/>
          <w:noProof/>
          <w:sz w:val="24"/>
          <w:szCs w:val="24"/>
          <w:lang w:val="en-IE"/>
        </w:rPr>
        <w:t>particular</w:t>
      </w:r>
      <w:r w:rsidR="00946865">
        <w:rPr>
          <w:rFonts w:ascii="Times New Roman" w:hAnsi="Times New Roman" w:cs="Times New Roman"/>
          <w:noProof/>
          <w:sz w:val="24"/>
          <w:szCs w:val="24"/>
          <w:lang w:val="en-IE"/>
        </w:rPr>
        <w:t>ly</w:t>
      </w:r>
      <w:r w:rsidR="00F30504">
        <w:rPr>
          <w:rFonts w:ascii="Times New Roman" w:hAnsi="Times New Roman" w:cs="Times New Roman"/>
          <w:noProof/>
          <w:sz w:val="24"/>
          <w:szCs w:val="24"/>
          <w:lang w:val="en-IE"/>
        </w:rPr>
        <w:t xml:space="preserve"> </w:t>
      </w:r>
      <w:r w:rsidR="00946865">
        <w:rPr>
          <w:rFonts w:ascii="Times New Roman" w:hAnsi="Times New Roman" w:cs="Times New Roman"/>
          <w:noProof/>
          <w:sz w:val="24"/>
          <w:szCs w:val="24"/>
          <w:lang w:val="en-IE"/>
        </w:rPr>
        <w:t>significant</w:t>
      </w:r>
      <w:r w:rsidR="00F30504">
        <w:rPr>
          <w:rFonts w:ascii="Times New Roman" w:hAnsi="Times New Roman" w:cs="Times New Roman"/>
          <w:noProof/>
          <w:sz w:val="24"/>
          <w:szCs w:val="24"/>
          <w:lang w:val="en-IE"/>
        </w:rPr>
        <w:t xml:space="preserve">, </w:t>
      </w:r>
      <w:r w:rsidR="00946865">
        <w:rPr>
          <w:rFonts w:ascii="Times New Roman" w:hAnsi="Times New Roman" w:cs="Times New Roman"/>
          <w:noProof/>
          <w:sz w:val="24"/>
          <w:szCs w:val="24"/>
          <w:lang w:val="en-IE"/>
        </w:rPr>
        <w:t xml:space="preserve">accounting for </w:t>
      </w:r>
      <w:r w:rsidR="00F30504">
        <w:rPr>
          <w:rFonts w:ascii="Times New Roman" w:hAnsi="Times New Roman" w:cs="Times New Roman"/>
          <w:noProof/>
          <w:sz w:val="24"/>
          <w:szCs w:val="24"/>
          <w:lang w:val="en-IE"/>
        </w:rPr>
        <w:t xml:space="preserve">39% of </w:t>
      </w:r>
      <w:r w:rsidR="007D1383">
        <w:rPr>
          <w:rFonts w:ascii="Times New Roman" w:hAnsi="Times New Roman" w:cs="Times New Roman"/>
          <w:noProof/>
          <w:sz w:val="24"/>
          <w:szCs w:val="24"/>
          <w:lang w:val="en-IE"/>
        </w:rPr>
        <w:t>all</w:t>
      </w:r>
      <w:r w:rsidR="00F30504">
        <w:rPr>
          <w:rFonts w:ascii="Times New Roman" w:hAnsi="Times New Roman" w:cs="Times New Roman"/>
          <w:noProof/>
          <w:sz w:val="24"/>
          <w:szCs w:val="24"/>
          <w:lang w:val="en-IE"/>
        </w:rPr>
        <w:t xml:space="preserve"> energy</w:t>
      </w:r>
      <w:r w:rsidR="00946865">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efficiency subsidies in 2020-2021</w:t>
      </w:r>
      <w:r w:rsidR="00946865">
        <w:rPr>
          <w:rFonts w:ascii="Times New Roman" w:hAnsi="Times New Roman" w:cs="Times New Roman"/>
          <w:noProof/>
          <w:sz w:val="24"/>
          <w:szCs w:val="24"/>
          <w:lang w:val="en-IE"/>
        </w:rPr>
        <w:t>. The next most significant categories of energy-efficiency subsidy were</w:t>
      </w:r>
      <w:r w:rsidR="00F30504">
        <w:rPr>
          <w:rFonts w:ascii="Times New Roman" w:hAnsi="Times New Roman" w:cs="Times New Roman"/>
          <w:noProof/>
          <w:sz w:val="24"/>
          <w:szCs w:val="24"/>
          <w:lang w:val="en-IE"/>
        </w:rPr>
        <w:t xml:space="preserve"> tax expenditures (30%)</w:t>
      </w:r>
      <w:r w:rsidR="00A86D11">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 xml:space="preserve"> soft loans (18%)</w:t>
      </w:r>
      <w:r w:rsidR="00A86D11">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 xml:space="preserve"> and energy</w:t>
      </w:r>
      <w:r w:rsidR="00946865">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efficiency obligations (13%). In 2021</w:t>
      </w:r>
      <w:r w:rsidR="00946865">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 xml:space="preserve"> </w:t>
      </w:r>
      <w:r w:rsidR="00F30504" w:rsidRPr="00F30504">
        <w:rPr>
          <w:rFonts w:ascii="Times New Roman" w:hAnsi="Times New Roman" w:cs="Times New Roman"/>
          <w:noProof/>
          <w:sz w:val="24"/>
          <w:szCs w:val="24"/>
          <w:lang w:val="en-IE"/>
        </w:rPr>
        <w:t>many</w:t>
      </w:r>
      <w:r w:rsidR="00F30504">
        <w:rPr>
          <w:rFonts w:ascii="Times New Roman" w:hAnsi="Times New Roman" w:cs="Times New Roman"/>
          <w:noProof/>
          <w:sz w:val="24"/>
          <w:szCs w:val="24"/>
          <w:lang w:val="en-IE"/>
        </w:rPr>
        <w:t xml:space="preserve"> EU Member States started to</w:t>
      </w:r>
      <w:r w:rsidR="00F30504" w:rsidRPr="00F30504">
        <w:rPr>
          <w:rFonts w:ascii="Times New Roman" w:hAnsi="Times New Roman" w:cs="Times New Roman"/>
          <w:noProof/>
          <w:sz w:val="24"/>
          <w:szCs w:val="24"/>
          <w:lang w:val="en-IE"/>
        </w:rPr>
        <w:t xml:space="preserve"> implement recovery plans</w:t>
      </w:r>
      <w:r w:rsidR="00AB2348">
        <w:rPr>
          <w:rStyle w:val="FootnoteReference"/>
          <w:rFonts w:ascii="Times New Roman" w:hAnsi="Times New Roman" w:cs="Times New Roman"/>
          <w:noProof/>
          <w:sz w:val="24"/>
          <w:szCs w:val="24"/>
          <w:lang w:val="en-IE"/>
        </w:rPr>
        <w:footnoteReference w:id="23"/>
      </w:r>
      <w:r w:rsidR="00F30504" w:rsidRPr="00F30504">
        <w:rPr>
          <w:rFonts w:ascii="Times New Roman" w:hAnsi="Times New Roman" w:cs="Times New Roman"/>
          <w:noProof/>
          <w:sz w:val="24"/>
          <w:szCs w:val="24"/>
          <w:lang w:val="en-IE"/>
        </w:rPr>
        <w:t xml:space="preserve"> that </w:t>
      </w:r>
      <w:r w:rsidR="00D70F1E">
        <w:rPr>
          <w:rFonts w:ascii="Times New Roman" w:hAnsi="Times New Roman" w:cs="Times New Roman"/>
          <w:noProof/>
          <w:sz w:val="24"/>
          <w:szCs w:val="24"/>
          <w:lang w:val="en-IE"/>
        </w:rPr>
        <w:t>became a</w:t>
      </w:r>
      <w:r w:rsidR="00946865">
        <w:rPr>
          <w:rFonts w:ascii="Times New Roman" w:hAnsi="Times New Roman" w:cs="Times New Roman"/>
          <w:noProof/>
          <w:sz w:val="24"/>
          <w:szCs w:val="24"/>
          <w:lang w:val="en-IE"/>
        </w:rPr>
        <w:t xml:space="preserve"> significant </w:t>
      </w:r>
      <w:r w:rsidR="00D70F1E">
        <w:rPr>
          <w:rFonts w:ascii="Times New Roman" w:hAnsi="Times New Roman" w:cs="Times New Roman"/>
          <w:noProof/>
          <w:sz w:val="24"/>
          <w:szCs w:val="24"/>
          <w:lang w:val="en-IE"/>
        </w:rPr>
        <w:t>source of</w:t>
      </w:r>
      <w:r w:rsidR="00F30504" w:rsidRPr="00F30504">
        <w:rPr>
          <w:rFonts w:ascii="Times New Roman" w:hAnsi="Times New Roman" w:cs="Times New Roman"/>
          <w:noProof/>
          <w:sz w:val="24"/>
          <w:szCs w:val="24"/>
          <w:lang w:val="en-IE"/>
        </w:rPr>
        <w:t xml:space="preserve"> energy</w:t>
      </w:r>
      <w:r w:rsidR="00946865">
        <w:rPr>
          <w:rFonts w:ascii="Times New Roman" w:hAnsi="Times New Roman" w:cs="Times New Roman"/>
          <w:noProof/>
          <w:sz w:val="24"/>
          <w:szCs w:val="24"/>
          <w:lang w:val="en-IE"/>
        </w:rPr>
        <w:t>-</w:t>
      </w:r>
      <w:r w:rsidR="00F30504" w:rsidRPr="00F30504">
        <w:rPr>
          <w:rFonts w:ascii="Times New Roman" w:hAnsi="Times New Roman" w:cs="Times New Roman"/>
          <w:noProof/>
          <w:sz w:val="24"/>
          <w:szCs w:val="24"/>
          <w:lang w:val="en-IE"/>
        </w:rPr>
        <w:t>efficiency</w:t>
      </w:r>
      <w:r w:rsidR="00D70F1E">
        <w:rPr>
          <w:rFonts w:ascii="Times New Roman" w:hAnsi="Times New Roman" w:cs="Times New Roman"/>
          <w:noProof/>
          <w:sz w:val="24"/>
          <w:szCs w:val="24"/>
          <w:lang w:val="en-IE"/>
        </w:rPr>
        <w:t xml:space="preserve"> investments</w:t>
      </w:r>
      <w:r w:rsidR="00F30504">
        <w:rPr>
          <w:rFonts w:ascii="Times New Roman" w:hAnsi="Times New Roman" w:cs="Times New Roman"/>
          <w:noProof/>
          <w:sz w:val="24"/>
          <w:szCs w:val="24"/>
          <w:lang w:val="en-IE"/>
        </w:rPr>
        <w:t xml:space="preserve">. </w:t>
      </w:r>
      <w:r w:rsidR="00F30504" w:rsidRPr="00F30504">
        <w:rPr>
          <w:rFonts w:ascii="Times New Roman" w:hAnsi="Times New Roman" w:cs="Times New Roman"/>
          <w:noProof/>
          <w:sz w:val="24"/>
          <w:szCs w:val="24"/>
          <w:lang w:val="en-IE"/>
        </w:rPr>
        <w:t xml:space="preserve">The increase in support for energy efficiency between 2020 and 2021 </w:t>
      </w:r>
      <w:r w:rsidR="00F30504">
        <w:rPr>
          <w:rFonts w:ascii="Times New Roman" w:hAnsi="Times New Roman" w:cs="Times New Roman"/>
          <w:noProof/>
          <w:sz w:val="24"/>
          <w:szCs w:val="24"/>
          <w:lang w:val="en-IE"/>
        </w:rPr>
        <w:t>has largely been</w:t>
      </w:r>
      <w:r w:rsidR="00F30504" w:rsidRPr="00F30504">
        <w:rPr>
          <w:rFonts w:ascii="Times New Roman" w:hAnsi="Times New Roman" w:cs="Times New Roman"/>
          <w:noProof/>
          <w:sz w:val="24"/>
          <w:szCs w:val="24"/>
          <w:lang w:val="en-IE"/>
        </w:rPr>
        <w:t xml:space="preserve"> driven by the building sector.</w:t>
      </w:r>
    </w:p>
    <w:p w14:paraId="2B356833" w14:textId="0623ECE5" w:rsidR="00162D4A" w:rsidRDefault="00162D4A"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Increas</w:t>
      </w:r>
      <w:r w:rsidR="00946865">
        <w:rPr>
          <w:rFonts w:ascii="Times New Roman" w:hAnsi="Times New Roman" w:cs="Times New Roman"/>
          <w:noProof/>
          <w:sz w:val="24"/>
          <w:szCs w:val="24"/>
          <w:lang w:val="en-IE"/>
        </w:rPr>
        <w:t>ing</w:t>
      </w:r>
      <w:r>
        <w:rPr>
          <w:rFonts w:ascii="Times New Roman" w:hAnsi="Times New Roman" w:cs="Times New Roman"/>
          <w:noProof/>
          <w:sz w:val="24"/>
          <w:szCs w:val="24"/>
          <w:lang w:val="en-IE"/>
        </w:rPr>
        <w:t xml:space="preserve"> energy</w:t>
      </w:r>
      <w:r w:rsidR="007D1383">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efficiency </w:t>
      </w:r>
      <w:r w:rsidRPr="009130C0">
        <w:rPr>
          <w:rFonts w:ascii="Times New Roman" w:hAnsi="Times New Roman" w:cs="Times New Roman"/>
          <w:noProof/>
          <w:sz w:val="24"/>
          <w:szCs w:val="24"/>
          <w:lang w:val="en-IE"/>
        </w:rPr>
        <w:t xml:space="preserve">subsidies </w:t>
      </w:r>
      <w:r w:rsidR="00946865">
        <w:rPr>
          <w:rFonts w:ascii="Times New Roman" w:hAnsi="Times New Roman" w:cs="Times New Roman"/>
          <w:noProof/>
          <w:sz w:val="24"/>
          <w:szCs w:val="24"/>
          <w:lang w:val="en-IE"/>
        </w:rPr>
        <w:t xml:space="preserve">is </w:t>
      </w:r>
      <w:r w:rsidR="00EB22D1">
        <w:rPr>
          <w:rFonts w:ascii="Times New Roman" w:hAnsi="Times New Roman" w:cs="Times New Roman"/>
          <w:noProof/>
          <w:sz w:val="24"/>
          <w:szCs w:val="24"/>
          <w:lang w:val="en-IE"/>
        </w:rPr>
        <w:t xml:space="preserve">aligned with the </w:t>
      </w:r>
      <w:r w:rsidR="00946865">
        <w:rPr>
          <w:rFonts w:ascii="Times New Roman" w:hAnsi="Times New Roman" w:cs="Times New Roman"/>
          <w:noProof/>
          <w:sz w:val="24"/>
          <w:szCs w:val="24"/>
          <w:lang w:val="en-IE"/>
        </w:rPr>
        <w:t>‘</w:t>
      </w:r>
      <w:r w:rsidR="00EB22D1">
        <w:rPr>
          <w:rFonts w:ascii="Times New Roman" w:hAnsi="Times New Roman" w:cs="Times New Roman"/>
          <w:noProof/>
          <w:sz w:val="24"/>
          <w:szCs w:val="24"/>
          <w:lang w:val="en-IE"/>
        </w:rPr>
        <w:t>energy</w:t>
      </w:r>
      <w:r w:rsidR="00946865">
        <w:rPr>
          <w:rFonts w:ascii="Times New Roman" w:hAnsi="Times New Roman" w:cs="Times New Roman"/>
          <w:noProof/>
          <w:sz w:val="24"/>
          <w:szCs w:val="24"/>
          <w:lang w:val="en-IE"/>
        </w:rPr>
        <w:t>-</w:t>
      </w:r>
      <w:r w:rsidR="00EB22D1">
        <w:rPr>
          <w:rFonts w:ascii="Times New Roman" w:hAnsi="Times New Roman" w:cs="Times New Roman"/>
          <w:noProof/>
          <w:sz w:val="24"/>
          <w:szCs w:val="24"/>
          <w:lang w:val="en-IE"/>
        </w:rPr>
        <w:t>efficiency first</w:t>
      </w:r>
      <w:r w:rsidR="00946865">
        <w:rPr>
          <w:rFonts w:ascii="Times New Roman" w:hAnsi="Times New Roman" w:cs="Times New Roman"/>
          <w:noProof/>
          <w:sz w:val="24"/>
          <w:szCs w:val="24"/>
          <w:lang w:val="en-IE"/>
        </w:rPr>
        <w:t>’</w:t>
      </w:r>
      <w:r w:rsidR="00EB22D1">
        <w:rPr>
          <w:rFonts w:ascii="Times New Roman" w:hAnsi="Times New Roman" w:cs="Times New Roman"/>
          <w:noProof/>
          <w:sz w:val="24"/>
          <w:szCs w:val="24"/>
          <w:lang w:val="en-IE"/>
        </w:rPr>
        <w:t xml:space="preserve"> principle of EU energy policies, and</w:t>
      </w:r>
      <w:r w:rsidR="00EB22D1" w:rsidRPr="009130C0">
        <w:rPr>
          <w:rFonts w:ascii="Times New Roman" w:hAnsi="Times New Roman" w:cs="Times New Roman"/>
          <w:noProof/>
          <w:sz w:val="24"/>
          <w:szCs w:val="24"/>
          <w:lang w:val="en-IE"/>
        </w:rPr>
        <w:t xml:space="preserve"> </w:t>
      </w:r>
      <w:r w:rsidR="00A86D11">
        <w:rPr>
          <w:rFonts w:ascii="Times New Roman" w:hAnsi="Times New Roman" w:cs="Times New Roman"/>
          <w:noProof/>
          <w:sz w:val="24"/>
          <w:szCs w:val="24"/>
          <w:lang w:val="en-IE"/>
        </w:rPr>
        <w:t xml:space="preserve">these subsidies </w:t>
      </w:r>
      <w:r w:rsidR="00946865">
        <w:rPr>
          <w:rFonts w:ascii="Times New Roman" w:hAnsi="Times New Roman" w:cs="Times New Roman"/>
          <w:noProof/>
          <w:sz w:val="24"/>
          <w:szCs w:val="24"/>
          <w:lang w:val="en-IE"/>
        </w:rPr>
        <w:t xml:space="preserve">have </w:t>
      </w:r>
      <w:r w:rsidRPr="009130C0">
        <w:rPr>
          <w:rFonts w:ascii="Times New Roman" w:hAnsi="Times New Roman" w:cs="Times New Roman"/>
          <w:noProof/>
          <w:sz w:val="24"/>
          <w:szCs w:val="24"/>
          <w:lang w:val="en-IE"/>
        </w:rPr>
        <w:t>also</w:t>
      </w:r>
      <w:r>
        <w:rPr>
          <w:rFonts w:ascii="Times New Roman" w:hAnsi="Times New Roman" w:cs="Times New Roman"/>
          <w:noProof/>
          <w:sz w:val="24"/>
          <w:szCs w:val="24"/>
          <w:lang w:val="en-IE"/>
        </w:rPr>
        <w:t xml:space="preserve"> contributed to the decreasing energy intensity of the EU economy. </w:t>
      </w:r>
      <w:r w:rsidR="00946865">
        <w:rPr>
          <w:rFonts w:ascii="Times New Roman" w:hAnsi="Times New Roman" w:cs="Times New Roman"/>
          <w:noProof/>
          <w:sz w:val="24"/>
          <w:szCs w:val="24"/>
          <w:lang w:val="en-IE"/>
        </w:rPr>
        <w:t>A</w:t>
      </w:r>
      <w:r w:rsidR="00EB52BE">
        <w:rPr>
          <w:rFonts w:ascii="Times New Roman" w:hAnsi="Times New Roman" w:cs="Times New Roman"/>
          <w:noProof/>
          <w:sz w:val="24"/>
          <w:szCs w:val="24"/>
          <w:lang w:val="en-IE"/>
        </w:rPr>
        <w:t xml:space="preserve">mid economic recession, </w:t>
      </w:r>
      <w:r w:rsidR="00946865">
        <w:rPr>
          <w:rFonts w:ascii="Times New Roman" w:hAnsi="Times New Roman" w:cs="Times New Roman"/>
          <w:noProof/>
          <w:sz w:val="24"/>
          <w:szCs w:val="24"/>
          <w:lang w:val="en-IE"/>
        </w:rPr>
        <w:t xml:space="preserve">EU GDP in 2020 </w:t>
      </w:r>
      <w:r w:rsidR="00EB52BE">
        <w:rPr>
          <w:rFonts w:ascii="Times New Roman" w:hAnsi="Times New Roman" w:cs="Times New Roman"/>
          <w:noProof/>
          <w:sz w:val="24"/>
          <w:szCs w:val="24"/>
          <w:lang w:val="en-IE"/>
        </w:rPr>
        <w:t xml:space="preserve">showed only 2.6% growth compared to 2015, </w:t>
      </w:r>
      <w:r w:rsidR="00946865">
        <w:rPr>
          <w:rFonts w:ascii="Times New Roman" w:hAnsi="Times New Roman" w:cs="Times New Roman"/>
          <w:noProof/>
          <w:sz w:val="24"/>
          <w:szCs w:val="24"/>
          <w:lang w:val="en-IE"/>
        </w:rPr>
        <w:t>even though</w:t>
      </w:r>
      <w:r w:rsidR="00EB52BE">
        <w:rPr>
          <w:rFonts w:ascii="Times New Roman" w:hAnsi="Times New Roman" w:cs="Times New Roman"/>
          <w:noProof/>
          <w:sz w:val="24"/>
          <w:szCs w:val="24"/>
          <w:lang w:val="en-IE"/>
        </w:rPr>
        <w:t xml:space="preserve"> EU final energy consumption </w:t>
      </w:r>
      <w:r w:rsidR="00946865">
        <w:rPr>
          <w:rFonts w:ascii="Times New Roman" w:hAnsi="Times New Roman" w:cs="Times New Roman"/>
          <w:noProof/>
          <w:sz w:val="24"/>
          <w:szCs w:val="24"/>
          <w:lang w:val="en-IE"/>
        </w:rPr>
        <w:t>had fallen</w:t>
      </w:r>
      <w:r w:rsidR="00EB52BE">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by </w:t>
      </w:r>
      <w:r w:rsidR="002D0613">
        <w:rPr>
          <w:rFonts w:ascii="Times New Roman" w:hAnsi="Times New Roman" w:cs="Times New Roman"/>
          <w:noProof/>
          <w:sz w:val="24"/>
          <w:szCs w:val="24"/>
          <w:lang w:val="en-IE"/>
        </w:rPr>
        <w:t>5</w:t>
      </w:r>
      <w:r w:rsidR="00EB52BE">
        <w:rPr>
          <w:rFonts w:ascii="Times New Roman" w:hAnsi="Times New Roman" w:cs="Times New Roman"/>
          <w:noProof/>
          <w:sz w:val="24"/>
          <w:szCs w:val="24"/>
          <w:lang w:val="en-IE"/>
        </w:rPr>
        <w:t>%</w:t>
      </w:r>
      <w:r w:rsidR="00946865">
        <w:rPr>
          <w:rFonts w:ascii="Times New Roman" w:hAnsi="Times New Roman" w:cs="Times New Roman"/>
          <w:noProof/>
          <w:sz w:val="24"/>
          <w:szCs w:val="24"/>
          <w:lang w:val="en-IE"/>
        </w:rPr>
        <w:t xml:space="preserve"> in the same five-year period</w:t>
      </w:r>
      <w:r w:rsidR="00EB52BE">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implying that</w:t>
      </w:r>
      <w:r w:rsidR="00A86D11">
        <w:rPr>
          <w:rFonts w:ascii="Times New Roman" w:hAnsi="Times New Roman" w:cs="Times New Roman"/>
          <w:noProof/>
          <w:sz w:val="24"/>
          <w:szCs w:val="24"/>
          <w:lang w:val="en-IE"/>
        </w:rPr>
        <w:t xml:space="preserve"> the</w:t>
      </w:r>
      <w:r>
        <w:rPr>
          <w:rFonts w:ascii="Times New Roman" w:hAnsi="Times New Roman" w:cs="Times New Roman"/>
          <w:noProof/>
          <w:sz w:val="24"/>
          <w:szCs w:val="24"/>
          <w:lang w:val="en-IE"/>
        </w:rPr>
        <w:t xml:space="preserve"> energy intensity of the EU economy decreased by </w:t>
      </w:r>
      <w:r w:rsidR="002D0613">
        <w:rPr>
          <w:rFonts w:ascii="Times New Roman" w:hAnsi="Times New Roman" w:cs="Times New Roman"/>
          <w:noProof/>
          <w:sz w:val="24"/>
          <w:szCs w:val="24"/>
          <w:lang w:val="en-IE"/>
        </w:rPr>
        <w:t>7.</w:t>
      </w:r>
      <w:r w:rsidR="00EB52BE">
        <w:rPr>
          <w:rFonts w:ascii="Times New Roman" w:hAnsi="Times New Roman" w:cs="Times New Roman"/>
          <w:noProof/>
          <w:sz w:val="24"/>
          <w:szCs w:val="24"/>
          <w:lang w:val="en-IE"/>
        </w:rPr>
        <w:t>4</w:t>
      </w:r>
      <w:r>
        <w:rPr>
          <w:rFonts w:ascii="Times New Roman" w:hAnsi="Times New Roman" w:cs="Times New Roman"/>
          <w:noProof/>
          <w:sz w:val="24"/>
          <w:szCs w:val="24"/>
          <w:lang w:val="en-IE"/>
        </w:rPr>
        <w:t>%</w:t>
      </w:r>
      <w:r w:rsidR="00946865">
        <w:rPr>
          <w:rFonts w:ascii="Times New Roman" w:hAnsi="Times New Roman" w:cs="Times New Roman"/>
          <w:noProof/>
          <w:sz w:val="24"/>
          <w:szCs w:val="24"/>
          <w:lang w:val="en-IE"/>
        </w:rPr>
        <w:t xml:space="preserve"> over this time</w:t>
      </w:r>
      <w:r>
        <w:rPr>
          <w:rFonts w:ascii="Times New Roman" w:hAnsi="Times New Roman" w:cs="Times New Roman"/>
          <w:noProof/>
          <w:sz w:val="24"/>
          <w:szCs w:val="24"/>
          <w:lang w:val="en-IE"/>
        </w:rPr>
        <w:t xml:space="preserve">. </w:t>
      </w:r>
      <w:r w:rsidR="00EB52BE">
        <w:rPr>
          <w:rFonts w:ascii="Times New Roman" w:hAnsi="Times New Roman" w:cs="Times New Roman"/>
          <w:noProof/>
          <w:sz w:val="24"/>
          <w:szCs w:val="24"/>
          <w:lang w:val="en-IE"/>
        </w:rPr>
        <w:t xml:space="preserve">Although GDP grew by 5.3% in the EU in 2021, it is </w:t>
      </w:r>
      <w:r w:rsidR="00946865">
        <w:rPr>
          <w:rFonts w:ascii="Times New Roman" w:hAnsi="Times New Roman" w:cs="Times New Roman"/>
          <w:noProof/>
          <w:sz w:val="24"/>
          <w:szCs w:val="24"/>
          <w:lang w:val="en-IE"/>
        </w:rPr>
        <w:t>un</w:t>
      </w:r>
      <w:r w:rsidR="00EB52BE">
        <w:rPr>
          <w:rFonts w:ascii="Times New Roman" w:hAnsi="Times New Roman" w:cs="Times New Roman"/>
          <w:noProof/>
          <w:sz w:val="24"/>
          <w:szCs w:val="24"/>
          <w:lang w:val="en-IE"/>
        </w:rPr>
        <w:t xml:space="preserve">likely that the decreasing trend of energy intensity reversed. </w:t>
      </w:r>
      <w:r w:rsidR="00017A76">
        <w:rPr>
          <w:rFonts w:ascii="Times New Roman" w:hAnsi="Times New Roman" w:cs="Times New Roman"/>
          <w:noProof/>
          <w:sz w:val="24"/>
          <w:szCs w:val="24"/>
          <w:lang w:val="en-IE"/>
        </w:rPr>
        <w:t>Further shift</w:t>
      </w:r>
      <w:r w:rsidR="00946865">
        <w:rPr>
          <w:rFonts w:ascii="Times New Roman" w:hAnsi="Times New Roman" w:cs="Times New Roman"/>
          <w:noProof/>
          <w:sz w:val="24"/>
          <w:szCs w:val="24"/>
          <w:lang w:val="en-IE"/>
        </w:rPr>
        <w:t>s</w:t>
      </w:r>
      <w:r w:rsidR="00017A76">
        <w:rPr>
          <w:rFonts w:ascii="Times New Roman" w:hAnsi="Times New Roman" w:cs="Times New Roman"/>
          <w:noProof/>
          <w:sz w:val="24"/>
          <w:szCs w:val="24"/>
          <w:lang w:val="en-IE"/>
        </w:rPr>
        <w:t xml:space="preserve"> from subsidies</w:t>
      </w:r>
      <w:r w:rsidR="00946865">
        <w:rPr>
          <w:rFonts w:ascii="Times New Roman" w:hAnsi="Times New Roman" w:cs="Times New Roman"/>
          <w:noProof/>
          <w:sz w:val="24"/>
          <w:szCs w:val="24"/>
          <w:lang w:val="en-IE"/>
        </w:rPr>
        <w:t xml:space="preserve"> that</w:t>
      </w:r>
      <w:r w:rsidR="00017A76">
        <w:rPr>
          <w:rFonts w:ascii="Times New Roman" w:hAnsi="Times New Roman" w:cs="Times New Roman"/>
          <w:noProof/>
          <w:sz w:val="24"/>
          <w:szCs w:val="24"/>
          <w:lang w:val="en-IE"/>
        </w:rPr>
        <w:t xml:space="preserve"> incentivis</w:t>
      </w:r>
      <w:r w:rsidR="00946865">
        <w:rPr>
          <w:rFonts w:ascii="Times New Roman" w:hAnsi="Times New Roman" w:cs="Times New Roman"/>
          <w:noProof/>
          <w:sz w:val="24"/>
          <w:szCs w:val="24"/>
          <w:lang w:val="en-IE"/>
        </w:rPr>
        <w:t>e</w:t>
      </w:r>
      <w:r w:rsidR="00017A76">
        <w:rPr>
          <w:rFonts w:ascii="Times New Roman" w:hAnsi="Times New Roman" w:cs="Times New Roman"/>
          <w:noProof/>
          <w:sz w:val="24"/>
          <w:szCs w:val="24"/>
          <w:lang w:val="en-IE"/>
        </w:rPr>
        <w:t xml:space="preserve"> energy consumption towards subsidies </w:t>
      </w:r>
      <w:r w:rsidR="00EB52BE">
        <w:rPr>
          <w:rFonts w:ascii="Times New Roman" w:hAnsi="Times New Roman" w:cs="Times New Roman"/>
          <w:noProof/>
          <w:sz w:val="24"/>
          <w:szCs w:val="24"/>
          <w:lang w:val="en-IE"/>
        </w:rPr>
        <w:t>for energy</w:t>
      </w:r>
      <w:r w:rsidR="00946865">
        <w:rPr>
          <w:rFonts w:ascii="Times New Roman" w:hAnsi="Times New Roman" w:cs="Times New Roman"/>
          <w:noProof/>
          <w:sz w:val="24"/>
          <w:szCs w:val="24"/>
          <w:lang w:val="en-IE"/>
        </w:rPr>
        <w:t>-</w:t>
      </w:r>
      <w:r w:rsidR="00EB52BE">
        <w:rPr>
          <w:rFonts w:ascii="Times New Roman" w:hAnsi="Times New Roman" w:cs="Times New Roman"/>
          <w:noProof/>
          <w:sz w:val="24"/>
          <w:szCs w:val="24"/>
          <w:lang w:val="en-IE"/>
        </w:rPr>
        <w:t>efficiency measures c</w:t>
      </w:r>
      <w:r w:rsidR="00017A76">
        <w:rPr>
          <w:rFonts w:ascii="Times New Roman" w:hAnsi="Times New Roman" w:cs="Times New Roman"/>
          <w:noProof/>
          <w:sz w:val="24"/>
          <w:szCs w:val="24"/>
          <w:lang w:val="en-IE"/>
        </w:rPr>
        <w:t xml:space="preserve">ould </w:t>
      </w:r>
      <w:r w:rsidR="00946865">
        <w:rPr>
          <w:rFonts w:ascii="Times New Roman" w:hAnsi="Times New Roman" w:cs="Times New Roman"/>
          <w:noProof/>
          <w:sz w:val="24"/>
          <w:szCs w:val="24"/>
          <w:lang w:val="en-IE"/>
        </w:rPr>
        <w:t xml:space="preserve">help </w:t>
      </w:r>
      <w:r w:rsidR="00017A76">
        <w:rPr>
          <w:rFonts w:ascii="Times New Roman" w:hAnsi="Times New Roman" w:cs="Times New Roman"/>
          <w:noProof/>
          <w:sz w:val="24"/>
          <w:szCs w:val="24"/>
          <w:lang w:val="en-IE"/>
        </w:rPr>
        <w:t>to</w:t>
      </w:r>
      <w:r w:rsidR="00946865">
        <w:rPr>
          <w:rFonts w:ascii="Times New Roman" w:hAnsi="Times New Roman" w:cs="Times New Roman"/>
          <w:noProof/>
          <w:sz w:val="24"/>
          <w:szCs w:val="24"/>
          <w:lang w:val="en-IE"/>
        </w:rPr>
        <w:t xml:space="preserve"> maintain</w:t>
      </w:r>
      <w:r w:rsidR="00EB52BE">
        <w:rPr>
          <w:rFonts w:ascii="Times New Roman" w:hAnsi="Times New Roman" w:cs="Times New Roman"/>
          <w:noProof/>
          <w:sz w:val="24"/>
          <w:szCs w:val="24"/>
          <w:lang w:val="en-IE"/>
        </w:rPr>
        <w:t xml:space="preserve"> this</w:t>
      </w:r>
      <w:r w:rsidR="00017A76">
        <w:rPr>
          <w:rFonts w:ascii="Times New Roman" w:hAnsi="Times New Roman" w:cs="Times New Roman"/>
          <w:noProof/>
          <w:sz w:val="24"/>
          <w:szCs w:val="24"/>
          <w:lang w:val="en-IE"/>
        </w:rPr>
        <w:t xml:space="preserve"> decreasing trend</w:t>
      </w:r>
      <w:r w:rsidR="00EB52BE">
        <w:rPr>
          <w:rFonts w:ascii="Times New Roman" w:hAnsi="Times New Roman" w:cs="Times New Roman"/>
          <w:noProof/>
          <w:sz w:val="24"/>
          <w:szCs w:val="24"/>
          <w:lang w:val="en-IE"/>
        </w:rPr>
        <w:t>.</w:t>
      </w:r>
    </w:p>
    <w:p w14:paraId="3AEB2AF1" w14:textId="688C65D5" w:rsidR="0025698C" w:rsidRPr="0021742F" w:rsidRDefault="0025698C" w:rsidP="0025698C">
      <w:pPr>
        <w:pStyle w:val="Caption"/>
        <w:keepNext/>
        <w:spacing w:after="120"/>
        <w:rPr>
          <w:rFonts w:ascii="Times New Roman" w:hAnsi="Times New Roman" w:cs="Times New Roman"/>
          <w:b/>
          <w:i w:val="0"/>
          <w:noProof/>
          <w:color w:val="000000" w:themeColor="text1"/>
          <w:sz w:val="20"/>
          <w:szCs w:val="20"/>
          <w:lang w:val="en-US"/>
        </w:rPr>
      </w:pPr>
      <w:r w:rsidRPr="0021742F">
        <w:rPr>
          <w:rFonts w:ascii="Times New Roman" w:hAnsi="Times New Roman" w:cs="Times New Roman"/>
          <w:b/>
          <w:i w:val="0"/>
          <w:noProof/>
          <w:color w:val="000000" w:themeColor="text1"/>
          <w:sz w:val="20"/>
          <w:szCs w:val="20"/>
          <w:lang w:val="en-US"/>
        </w:rPr>
        <w:t xml:space="preserve">Figure </w:t>
      </w:r>
      <w:r w:rsidRPr="0021742F">
        <w:rPr>
          <w:rFonts w:ascii="Times New Roman" w:hAnsi="Times New Roman" w:cs="Times New Roman"/>
          <w:b/>
          <w:i w:val="0"/>
          <w:noProof/>
          <w:color w:val="000000" w:themeColor="text1"/>
          <w:sz w:val="20"/>
          <w:szCs w:val="20"/>
        </w:rPr>
        <w:fldChar w:fldCharType="begin"/>
      </w:r>
      <w:r w:rsidRPr="0021742F">
        <w:rPr>
          <w:rFonts w:ascii="Times New Roman" w:hAnsi="Times New Roman" w:cs="Times New Roman"/>
          <w:b/>
          <w:i w:val="0"/>
          <w:noProof/>
          <w:color w:val="000000" w:themeColor="text1"/>
          <w:sz w:val="20"/>
          <w:szCs w:val="20"/>
          <w:lang w:val="en-US"/>
        </w:rPr>
        <w:instrText xml:space="preserve"> SEQ Figure \* ARABIC </w:instrText>
      </w:r>
      <w:r w:rsidRPr="0021742F">
        <w:rPr>
          <w:rFonts w:ascii="Times New Roman" w:hAnsi="Times New Roman" w:cs="Times New Roman"/>
          <w:b/>
          <w:i w:val="0"/>
          <w:noProof/>
          <w:color w:val="000000" w:themeColor="text1"/>
          <w:sz w:val="20"/>
          <w:szCs w:val="20"/>
        </w:rPr>
        <w:fldChar w:fldCharType="separate"/>
      </w:r>
      <w:r w:rsidR="008236A3">
        <w:rPr>
          <w:rFonts w:ascii="Times New Roman" w:hAnsi="Times New Roman" w:cs="Times New Roman"/>
          <w:b/>
          <w:i w:val="0"/>
          <w:noProof/>
          <w:color w:val="000000" w:themeColor="text1"/>
          <w:sz w:val="20"/>
          <w:szCs w:val="20"/>
          <w:lang w:val="en-US"/>
        </w:rPr>
        <w:t>5</w:t>
      </w:r>
      <w:r w:rsidRPr="0021742F">
        <w:rPr>
          <w:rFonts w:ascii="Times New Roman" w:hAnsi="Times New Roman" w:cs="Times New Roman"/>
          <w:b/>
          <w:i w:val="0"/>
          <w:noProof/>
          <w:color w:val="000000" w:themeColor="text1"/>
          <w:sz w:val="20"/>
          <w:szCs w:val="20"/>
        </w:rPr>
        <w:fldChar w:fldCharType="end"/>
      </w:r>
      <w:r w:rsidRPr="0021742F">
        <w:rPr>
          <w:rFonts w:ascii="Times New Roman" w:hAnsi="Times New Roman" w:cs="Times New Roman"/>
          <w:b/>
          <w:i w:val="0"/>
          <w:noProof/>
          <w:color w:val="000000" w:themeColor="text1"/>
          <w:sz w:val="20"/>
          <w:szCs w:val="20"/>
          <w:lang w:val="en-US"/>
        </w:rPr>
        <w:t xml:space="preserve"> – Energy</w:t>
      </w:r>
      <w:r w:rsidR="00946865">
        <w:rPr>
          <w:rFonts w:ascii="Times New Roman" w:hAnsi="Times New Roman" w:cs="Times New Roman"/>
          <w:b/>
          <w:i w:val="0"/>
          <w:noProof/>
          <w:color w:val="000000" w:themeColor="text1"/>
          <w:sz w:val="20"/>
          <w:szCs w:val="20"/>
          <w:lang w:val="en-US"/>
        </w:rPr>
        <w:t>-</w:t>
      </w:r>
      <w:r w:rsidRPr="0021742F">
        <w:rPr>
          <w:rFonts w:ascii="Times New Roman" w:hAnsi="Times New Roman" w:cs="Times New Roman"/>
          <w:b/>
          <w:i w:val="0"/>
          <w:noProof/>
          <w:color w:val="000000" w:themeColor="text1"/>
          <w:sz w:val="20"/>
          <w:szCs w:val="20"/>
          <w:lang w:val="en-US"/>
        </w:rPr>
        <w:t>efficiency subsidies in the EU</w:t>
      </w:r>
    </w:p>
    <w:p w14:paraId="6ADB4527" w14:textId="0B7C8D6A" w:rsidR="0025698C" w:rsidRDefault="00523E3F" w:rsidP="0025698C">
      <w:pPr>
        <w:spacing w:after="0"/>
        <w:rPr>
          <w:rFonts w:ascii="Times New Roman" w:hAnsi="Times New Roman" w:cs="Times New Roman"/>
          <w:b/>
          <w:noProof/>
          <w:sz w:val="24"/>
          <w:szCs w:val="24"/>
          <w:lang w:val="en-IE"/>
        </w:rPr>
      </w:pPr>
      <w:r w:rsidRPr="00523E3F">
        <w:rPr>
          <w:rFonts w:ascii="Times New Roman" w:hAnsi="Times New Roman" w:cs="Times New Roman"/>
          <w:b/>
          <w:noProof/>
          <w:sz w:val="24"/>
          <w:szCs w:val="24"/>
          <w:lang w:val="en-GB" w:eastAsia="en-GB"/>
        </w:rPr>
        <w:drawing>
          <wp:inline distT="0" distB="0" distL="0" distR="0" wp14:anchorId="6A3F2A10" wp14:editId="250A168A">
            <wp:extent cx="5127651" cy="245695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144321" cy="2464940"/>
                    </a:xfrm>
                    <a:prstGeom prst="rect">
                      <a:avLst/>
                    </a:prstGeom>
                  </pic:spPr>
                </pic:pic>
              </a:graphicData>
            </a:graphic>
          </wp:inline>
        </w:drawing>
      </w:r>
    </w:p>
    <w:p w14:paraId="1C5C5CBB" w14:textId="77777777" w:rsidR="008236A3" w:rsidRDefault="008236A3" w:rsidP="008236A3">
      <w:pPr>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p>
    <w:p w14:paraId="7C1E614C" w14:textId="00DE81A9" w:rsidR="0021742F" w:rsidRDefault="00F44876" w:rsidP="00F30504">
      <w:pPr>
        <w:spacing w:before="120" w:after="120"/>
        <w:jc w:val="both"/>
        <w:rPr>
          <w:rFonts w:ascii="Times New Roman" w:hAnsi="Times New Roman" w:cs="Times New Roman"/>
          <w:noProof/>
          <w:sz w:val="24"/>
          <w:szCs w:val="24"/>
          <w:lang w:val="en-IE"/>
        </w:rPr>
      </w:pPr>
      <w:r w:rsidRPr="00F44876">
        <w:rPr>
          <w:rFonts w:ascii="Times New Roman" w:hAnsi="Times New Roman" w:cs="Times New Roman"/>
          <w:noProof/>
          <w:sz w:val="24"/>
          <w:szCs w:val="24"/>
          <w:lang w:val="en-IE"/>
        </w:rPr>
        <w:t>Loo</w:t>
      </w:r>
      <w:r>
        <w:rPr>
          <w:rFonts w:ascii="Times New Roman" w:hAnsi="Times New Roman" w:cs="Times New Roman"/>
          <w:noProof/>
          <w:sz w:val="24"/>
          <w:szCs w:val="24"/>
          <w:lang w:val="en-IE"/>
        </w:rPr>
        <w:t xml:space="preserve">king at other sectors, </w:t>
      </w:r>
      <w:r w:rsidRPr="00F44876">
        <w:rPr>
          <w:rFonts w:ascii="Times New Roman" w:hAnsi="Times New Roman" w:cs="Times New Roman"/>
          <w:b/>
          <w:noProof/>
          <w:sz w:val="24"/>
          <w:szCs w:val="24"/>
          <w:lang w:val="en-IE"/>
        </w:rPr>
        <w:t xml:space="preserve">households </w:t>
      </w:r>
      <w:r w:rsidR="00415FB9">
        <w:rPr>
          <w:rFonts w:ascii="Times New Roman" w:hAnsi="Times New Roman" w:cs="Times New Roman"/>
          <w:noProof/>
          <w:sz w:val="24"/>
          <w:szCs w:val="24"/>
          <w:lang w:val="en-IE"/>
        </w:rPr>
        <w:t xml:space="preserve">received </w:t>
      </w:r>
      <w:r>
        <w:rPr>
          <w:rFonts w:ascii="Times New Roman" w:hAnsi="Times New Roman" w:cs="Times New Roman"/>
          <w:noProof/>
          <w:sz w:val="24"/>
          <w:szCs w:val="24"/>
          <w:lang w:val="en-IE"/>
        </w:rPr>
        <w:t xml:space="preserve">around </w:t>
      </w:r>
      <w:r w:rsidR="00F30504">
        <w:rPr>
          <w:rFonts w:ascii="Times New Roman" w:hAnsi="Times New Roman" w:cs="Times New Roman"/>
          <w:noProof/>
          <w:sz w:val="24"/>
          <w:szCs w:val="24"/>
          <w:lang w:val="en-IE"/>
        </w:rPr>
        <w:t>11</w:t>
      </w:r>
      <w:r>
        <w:rPr>
          <w:rFonts w:ascii="Times New Roman" w:hAnsi="Times New Roman" w:cs="Times New Roman"/>
          <w:noProof/>
          <w:sz w:val="24"/>
          <w:szCs w:val="24"/>
          <w:lang w:val="en-IE"/>
        </w:rPr>
        <w:t xml:space="preserve">% of total </w:t>
      </w:r>
      <w:r w:rsidR="00415FB9">
        <w:rPr>
          <w:rFonts w:ascii="Times New Roman" w:hAnsi="Times New Roman" w:cs="Times New Roman"/>
          <w:noProof/>
          <w:sz w:val="24"/>
          <w:szCs w:val="24"/>
          <w:lang w:val="en-IE"/>
        </w:rPr>
        <w:t xml:space="preserve">energy subsidies </w:t>
      </w:r>
      <w:r w:rsidR="00AB2348">
        <w:rPr>
          <w:rFonts w:ascii="Times New Roman" w:hAnsi="Times New Roman" w:cs="Times New Roman"/>
          <w:noProof/>
          <w:sz w:val="24"/>
          <w:szCs w:val="24"/>
          <w:lang w:val="en-IE"/>
        </w:rPr>
        <w:t xml:space="preserve">in 2020 </w:t>
      </w:r>
      <w:r w:rsidR="00946865">
        <w:rPr>
          <w:rFonts w:ascii="Times New Roman" w:hAnsi="Times New Roman" w:cs="Times New Roman"/>
          <w:noProof/>
          <w:sz w:val="24"/>
          <w:szCs w:val="24"/>
          <w:lang w:val="en-IE"/>
        </w:rPr>
        <w:t xml:space="preserve">allocated to </w:t>
      </w:r>
      <w:r>
        <w:rPr>
          <w:rFonts w:ascii="Times New Roman" w:hAnsi="Times New Roman" w:cs="Times New Roman"/>
          <w:noProof/>
          <w:sz w:val="24"/>
          <w:szCs w:val="24"/>
          <w:lang w:val="en-IE"/>
        </w:rPr>
        <w:t>all economic sectors</w:t>
      </w:r>
      <w:r w:rsidR="00946865">
        <w:rPr>
          <w:rFonts w:ascii="Times New Roman" w:hAnsi="Times New Roman" w:cs="Times New Roman"/>
          <w:noProof/>
          <w:sz w:val="24"/>
          <w:szCs w:val="24"/>
          <w:lang w:val="en-IE"/>
        </w:rPr>
        <w:t xml:space="preserve">. </w:t>
      </w:r>
      <w:r w:rsidR="00045B1A">
        <w:rPr>
          <w:rFonts w:ascii="Times New Roman" w:hAnsi="Times New Roman" w:cs="Times New Roman"/>
          <w:noProof/>
          <w:sz w:val="24"/>
          <w:szCs w:val="24"/>
          <w:lang w:val="en-IE"/>
        </w:rPr>
        <w:t>More than half</w:t>
      </w:r>
      <w:r>
        <w:rPr>
          <w:rFonts w:ascii="Times New Roman" w:hAnsi="Times New Roman" w:cs="Times New Roman"/>
          <w:noProof/>
          <w:sz w:val="24"/>
          <w:szCs w:val="24"/>
          <w:lang w:val="en-IE"/>
        </w:rPr>
        <w:t xml:space="preserve"> of subsidies</w:t>
      </w:r>
      <w:r w:rsidR="00045B1A">
        <w:rPr>
          <w:rFonts w:ascii="Times New Roman" w:hAnsi="Times New Roman" w:cs="Times New Roman"/>
          <w:noProof/>
          <w:sz w:val="24"/>
          <w:szCs w:val="24"/>
          <w:lang w:val="en-IE"/>
        </w:rPr>
        <w:t xml:space="preserve"> for households could</w:t>
      </w:r>
      <w:r>
        <w:rPr>
          <w:rFonts w:ascii="Times New Roman" w:hAnsi="Times New Roman" w:cs="Times New Roman"/>
          <w:noProof/>
          <w:sz w:val="24"/>
          <w:szCs w:val="24"/>
          <w:lang w:val="en-IE"/>
        </w:rPr>
        <w:t xml:space="preserve"> not directly </w:t>
      </w:r>
      <w:r w:rsidR="00045B1A">
        <w:rPr>
          <w:rFonts w:ascii="Times New Roman" w:hAnsi="Times New Roman" w:cs="Times New Roman"/>
          <w:noProof/>
          <w:sz w:val="24"/>
          <w:szCs w:val="24"/>
          <w:lang w:val="en-IE"/>
        </w:rPr>
        <w:t xml:space="preserve">be </w:t>
      </w:r>
      <w:r>
        <w:rPr>
          <w:rFonts w:ascii="Times New Roman" w:hAnsi="Times New Roman" w:cs="Times New Roman"/>
          <w:noProof/>
          <w:sz w:val="24"/>
          <w:szCs w:val="24"/>
          <w:lang w:val="en-IE"/>
        </w:rPr>
        <w:t xml:space="preserve">attributable to energy carriers (e.g. </w:t>
      </w:r>
      <w:r w:rsidR="00045B1A">
        <w:rPr>
          <w:rFonts w:ascii="Times New Roman" w:hAnsi="Times New Roman" w:cs="Times New Roman"/>
          <w:noProof/>
          <w:sz w:val="24"/>
          <w:szCs w:val="24"/>
          <w:lang w:val="en-IE"/>
        </w:rPr>
        <w:t xml:space="preserve">subsidies for </w:t>
      </w:r>
      <w:r w:rsidR="00946865">
        <w:rPr>
          <w:rFonts w:ascii="Times New Roman" w:hAnsi="Times New Roman" w:cs="Times New Roman"/>
          <w:noProof/>
          <w:sz w:val="24"/>
          <w:szCs w:val="24"/>
          <w:lang w:val="en-IE"/>
        </w:rPr>
        <w:t>energy-</w:t>
      </w:r>
      <w:r>
        <w:rPr>
          <w:rFonts w:ascii="Times New Roman" w:hAnsi="Times New Roman" w:cs="Times New Roman"/>
          <w:noProof/>
          <w:sz w:val="24"/>
          <w:szCs w:val="24"/>
          <w:lang w:val="en-IE"/>
        </w:rPr>
        <w:t>efficiency</w:t>
      </w:r>
      <w:r w:rsidR="003658F8">
        <w:rPr>
          <w:rFonts w:ascii="Times New Roman" w:hAnsi="Times New Roman" w:cs="Times New Roman"/>
          <w:noProof/>
          <w:sz w:val="24"/>
          <w:szCs w:val="24"/>
          <w:lang w:val="en-IE"/>
        </w:rPr>
        <w:t xml:space="preserve"> measures</w:t>
      </w:r>
      <w:r>
        <w:rPr>
          <w:rFonts w:ascii="Times New Roman" w:hAnsi="Times New Roman" w:cs="Times New Roman"/>
          <w:noProof/>
          <w:sz w:val="24"/>
          <w:szCs w:val="24"/>
          <w:lang w:val="en-IE"/>
        </w:rPr>
        <w:t>)</w:t>
      </w:r>
      <w:r w:rsidR="00045B1A">
        <w:rPr>
          <w:rFonts w:ascii="Times New Roman" w:hAnsi="Times New Roman" w:cs="Times New Roman"/>
          <w:noProof/>
          <w:sz w:val="24"/>
          <w:szCs w:val="24"/>
          <w:lang w:val="en-IE"/>
        </w:rPr>
        <w:t>. S</w:t>
      </w:r>
      <w:r>
        <w:rPr>
          <w:rFonts w:ascii="Times New Roman" w:hAnsi="Times New Roman" w:cs="Times New Roman"/>
          <w:noProof/>
          <w:sz w:val="24"/>
          <w:szCs w:val="24"/>
          <w:lang w:val="en-IE"/>
        </w:rPr>
        <w:t>upport to electricity</w:t>
      </w:r>
      <w:r w:rsidR="00045B1A">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 xml:space="preserve"> and fossil</w:t>
      </w:r>
      <w:r w:rsidR="007D1383">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fuel (e.g. heating oil, gas, coal)</w:t>
      </w:r>
      <w:r>
        <w:rPr>
          <w:rFonts w:ascii="Times New Roman" w:hAnsi="Times New Roman" w:cs="Times New Roman"/>
          <w:noProof/>
          <w:sz w:val="24"/>
          <w:szCs w:val="24"/>
          <w:lang w:val="en-IE"/>
        </w:rPr>
        <w:t xml:space="preserve"> consumption</w:t>
      </w:r>
      <w:r w:rsidR="00045B1A">
        <w:rPr>
          <w:rFonts w:ascii="Times New Roman" w:hAnsi="Times New Roman" w:cs="Times New Roman"/>
          <w:noProof/>
          <w:sz w:val="24"/>
          <w:szCs w:val="24"/>
          <w:lang w:val="en-IE"/>
        </w:rPr>
        <w:t xml:space="preserve"> also represented significant shares (respectively 26% and 17%)</w:t>
      </w:r>
      <w:r w:rsidR="00040807">
        <w:rPr>
          <w:rStyle w:val="FootnoteReference"/>
          <w:rFonts w:ascii="Times New Roman" w:hAnsi="Times New Roman" w:cs="Times New Roman"/>
          <w:noProof/>
          <w:sz w:val="24"/>
          <w:szCs w:val="24"/>
          <w:lang w:val="en-IE"/>
        </w:rPr>
        <w:footnoteReference w:id="24"/>
      </w:r>
      <w:r>
        <w:rPr>
          <w:rFonts w:ascii="Times New Roman" w:hAnsi="Times New Roman" w:cs="Times New Roman"/>
          <w:noProof/>
          <w:sz w:val="24"/>
          <w:szCs w:val="24"/>
          <w:lang w:val="en-IE"/>
        </w:rPr>
        <w:t>.</w:t>
      </w:r>
      <w:r w:rsidR="002D0613">
        <w:rPr>
          <w:rFonts w:ascii="Times New Roman" w:hAnsi="Times New Roman" w:cs="Times New Roman"/>
          <w:noProof/>
          <w:sz w:val="24"/>
          <w:szCs w:val="24"/>
          <w:lang w:val="en-IE"/>
        </w:rPr>
        <w:t xml:space="preserve"> </w:t>
      </w:r>
      <w:r w:rsidR="007D1383">
        <w:rPr>
          <w:rFonts w:ascii="Times New Roman" w:hAnsi="Times New Roman" w:cs="Times New Roman"/>
          <w:noProof/>
          <w:sz w:val="24"/>
          <w:szCs w:val="24"/>
          <w:lang w:val="en-IE"/>
        </w:rPr>
        <w:t>For</w:t>
      </w:r>
      <w:r w:rsidR="002D0613">
        <w:rPr>
          <w:rFonts w:ascii="Times New Roman" w:hAnsi="Times New Roman" w:cs="Times New Roman"/>
          <w:noProof/>
          <w:sz w:val="24"/>
          <w:szCs w:val="24"/>
          <w:lang w:val="en-IE"/>
        </w:rPr>
        <w:t xml:space="preserve"> industry</w:t>
      </w:r>
      <w:r w:rsidR="003658F8">
        <w:rPr>
          <w:rFonts w:ascii="Times New Roman" w:hAnsi="Times New Roman" w:cs="Times New Roman"/>
          <w:noProof/>
          <w:sz w:val="24"/>
          <w:szCs w:val="24"/>
          <w:lang w:val="en-IE"/>
        </w:rPr>
        <w:t>,</w:t>
      </w:r>
      <w:r w:rsidR="002D0613">
        <w:rPr>
          <w:rFonts w:ascii="Times New Roman" w:hAnsi="Times New Roman" w:cs="Times New Roman"/>
          <w:noProof/>
          <w:sz w:val="24"/>
          <w:szCs w:val="24"/>
          <w:lang w:val="en-IE"/>
        </w:rPr>
        <w:t xml:space="preserve"> </w:t>
      </w:r>
      <w:r w:rsidR="00045B1A">
        <w:rPr>
          <w:rFonts w:ascii="Times New Roman" w:hAnsi="Times New Roman" w:cs="Times New Roman"/>
          <w:noProof/>
          <w:sz w:val="24"/>
          <w:szCs w:val="24"/>
          <w:lang w:val="en-IE"/>
        </w:rPr>
        <w:t xml:space="preserve">most of the </w:t>
      </w:r>
      <w:r w:rsidR="002D0613">
        <w:rPr>
          <w:rFonts w:ascii="Times New Roman" w:hAnsi="Times New Roman" w:cs="Times New Roman"/>
          <w:noProof/>
          <w:sz w:val="24"/>
          <w:szCs w:val="24"/>
          <w:lang w:val="en-IE"/>
        </w:rPr>
        <w:t>subsidies could directly be attributed to electricity, gas, oil products and renewables</w:t>
      </w:r>
      <w:r w:rsidR="00FB4B44">
        <w:rPr>
          <w:rFonts w:ascii="Times New Roman" w:hAnsi="Times New Roman" w:cs="Times New Roman"/>
          <w:noProof/>
          <w:sz w:val="24"/>
          <w:szCs w:val="24"/>
          <w:lang w:val="en-IE"/>
        </w:rPr>
        <w:t>;</w:t>
      </w:r>
      <w:r w:rsidR="002D0613">
        <w:rPr>
          <w:rFonts w:ascii="Times New Roman" w:hAnsi="Times New Roman" w:cs="Times New Roman"/>
          <w:noProof/>
          <w:sz w:val="24"/>
          <w:szCs w:val="24"/>
          <w:lang w:val="en-IE"/>
        </w:rPr>
        <w:t xml:space="preserve"> whereas </w:t>
      </w:r>
      <w:r w:rsidR="007D1383">
        <w:rPr>
          <w:rFonts w:ascii="Times New Roman" w:hAnsi="Times New Roman" w:cs="Times New Roman"/>
          <w:noProof/>
          <w:sz w:val="24"/>
          <w:szCs w:val="24"/>
          <w:lang w:val="en-IE"/>
        </w:rPr>
        <w:t>for the</w:t>
      </w:r>
      <w:r w:rsidR="002D0613">
        <w:rPr>
          <w:rFonts w:ascii="Times New Roman" w:hAnsi="Times New Roman" w:cs="Times New Roman"/>
          <w:noProof/>
          <w:sz w:val="24"/>
          <w:szCs w:val="24"/>
          <w:lang w:val="en-IE"/>
        </w:rPr>
        <w:t xml:space="preserve"> transport</w:t>
      </w:r>
      <w:r w:rsidR="007D1383">
        <w:rPr>
          <w:rFonts w:ascii="Times New Roman" w:hAnsi="Times New Roman" w:cs="Times New Roman"/>
          <w:noProof/>
          <w:sz w:val="24"/>
          <w:szCs w:val="24"/>
          <w:lang w:val="en-IE"/>
        </w:rPr>
        <w:t xml:space="preserve"> sector</w:t>
      </w:r>
      <w:r w:rsidR="00FB4B44">
        <w:rPr>
          <w:rFonts w:ascii="Times New Roman" w:hAnsi="Times New Roman" w:cs="Times New Roman"/>
          <w:noProof/>
          <w:sz w:val="24"/>
          <w:szCs w:val="24"/>
          <w:lang w:val="en-IE"/>
        </w:rPr>
        <w:t>,</w:t>
      </w:r>
      <w:r w:rsidR="002D0613">
        <w:rPr>
          <w:rFonts w:ascii="Times New Roman" w:hAnsi="Times New Roman" w:cs="Times New Roman"/>
          <w:noProof/>
          <w:sz w:val="24"/>
          <w:szCs w:val="24"/>
          <w:lang w:val="en-IE"/>
        </w:rPr>
        <w:t xml:space="preserve"> subsidies were predominantly attributable to oil products.</w:t>
      </w:r>
    </w:p>
    <w:p w14:paraId="34878A56" w14:textId="3EBC2F30" w:rsidR="00F44876" w:rsidRDefault="00F44876" w:rsidP="004F4044">
      <w:pPr>
        <w:spacing w:before="120" w:after="120"/>
        <w:jc w:val="both"/>
        <w:rPr>
          <w:rFonts w:ascii="Times New Roman" w:hAnsi="Times New Roman" w:cs="Times New Roman"/>
          <w:noProof/>
          <w:sz w:val="24"/>
          <w:szCs w:val="24"/>
          <w:lang w:val="en-IE"/>
        </w:rPr>
      </w:pPr>
      <w:r w:rsidRPr="00F44876">
        <w:rPr>
          <w:rFonts w:ascii="Times New Roman" w:hAnsi="Times New Roman" w:cs="Times New Roman"/>
          <w:b/>
          <w:noProof/>
          <w:sz w:val="24"/>
          <w:szCs w:val="24"/>
          <w:lang w:val="en-IE"/>
        </w:rPr>
        <w:t>Price regulation</w:t>
      </w:r>
      <w:r>
        <w:rPr>
          <w:rFonts w:ascii="Times New Roman" w:hAnsi="Times New Roman" w:cs="Times New Roman"/>
          <w:noProof/>
          <w:sz w:val="24"/>
          <w:szCs w:val="24"/>
          <w:lang w:val="en-IE"/>
        </w:rPr>
        <w:t xml:space="preserve"> </w:t>
      </w:r>
      <w:r w:rsidR="00F30504">
        <w:rPr>
          <w:rFonts w:ascii="Times New Roman" w:hAnsi="Times New Roman" w:cs="Times New Roman"/>
          <w:noProof/>
          <w:sz w:val="24"/>
          <w:szCs w:val="24"/>
          <w:lang w:val="en-IE"/>
        </w:rPr>
        <w:t>on the</w:t>
      </w:r>
      <w:r>
        <w:rPr>
          <w:rFonts w:ascii="Times New Roman" w:hAnsi="Times New Roman" w:cs="Times New Roman"/>
          <w:noProof/>
          <w:sz w:val="24"/>
          <w:szCs w:val="24"/>
          <w:lang w:val="en-IE"/>
        </w:rPr>
        <w:t xml:space="preserve"> consumer</w:t>
      </w:r>
      <w:r w:rsidR="00F30504">
        <w:rPr>
          <w:rFonts w:ascii="Times New Roman" w:hAnsi="Times New Roman" w:cs="Times New Roman"/>
          <w:noProof/>
          <w:sz w:val="24"/>
          <w:szCs w:val="24"/>
          <w:lang w:val="en-IE"/>
        </w:rPr>
        <w:t xml:space="preserve"> side (consumer price guarantees) </w:t>
      </w:r>
      <w:r w:rsidR="00423032">
        <w:rPr>
          <w:rFonts w:ascii="Times New Roman" w:hAnsi="Times New Roman" w:cs="Times New Roman"/>
          <w:noProof/>
          <w:sz w:val="24"/>
          <w:szCs w:val="24"/>
          <w:lang w:val="en-IE"/>
        </w:rPr>
        <w:t xml:space="preserve">declined in </w:t>
      </w:r>
      <w:r w:rsidR="00FB4B44">
        <w:rPr>
          <w:rFonts w:ascii="Times New Roman" w:hAnsi="Times New Roman" w:cs="Times New Roman"/>
          <w:noProof/>
          <w:sz w:val="24"/>
          <w:szCs w:val="24"/>
          <w:lang w:val="en-IE"/>
        </w:rPr>
        <w:t xml:space="preserve">significance </w:t>
      </w:r>
      <w:r w:rsidR="00F30504">
        <w:rPr>
          <w:rFonts w:ascii="Times New Roman" w:hAnsi="Times New Roman" w:cs="Times New Roman"/>
          <w:noProof/>
          <w:sz w:val="24"/>
          <w:szCs w:val="24"/>
          <w:lang w:val="en-IE"/>
        </w:rPr>
        <w:t>between 2015 and 2020</w:t>
      </w:r>
      <w:r w:rsidR="00FB4B44">
        <w:rPr>
          <w:rFonts w:ascii="Times New Roman" w:hAnsi="Times New Roman" w:cs="Times New Roman"/>
          <w:noProof/>
          <w:sz w:val="24"/>
          <w:szCs w:val="24"/>
          <w:lang w:val="en-IE"/>
        </w:rPr>
        <w:t>. H</w:t>
      </w:r>
      <w:r w:rsidR="00F30504">
        <w:rPr>
          <w:rFonts w:ascii="Times New Roman" w:hAnsi="Times New Roman" w:cs="Times New Roman"/>
          <w:noProof/>
          <w:sz w:val="24"/>
          <w:szCs w:val="24"/>
          <w:lang w:val="en-IE"/>
        </w:rPr>
        <w:t xml:space="preserve">owever, in 2021 </w:t>
      </w:r>
      <w:r w:rsidR="00FB4B44">
        <w:rPr>
          <w:rFonts w:ascii="Times New Roman" w:hAnsi="Times New Roman" w:cs="Times New Roman"/>
          <w:noProof/>
          <w:sz w:val="24"/>
          <w:szCs w:val="24"/>
          <w:lang w:val="en-IE"/>
        </w:rPr>
        <w:t>the cost of these guarantees</w:t>
      </w:r>
      <w:r w:rsidR="00F30504">
        <w:rPr>
          <w:rFonts w:ascii="Times New Roman" w:hAnsi="Times New Roman" w:cs="Times New Roman"/>
          <w:noProof/>
          <w:sz w:val="24"/>
          <w:szCs w:val="24"/>
          <w:lang w:val="en-IE"/>
        </w:rPr>
        <w:t xml:space="preserve"> rose above </w:t>
      </w:r>
      <w:r w:rsidR="00423032">
        <w:rPr>
          <w:rFonts w:ascii="Times New Roman" w:hAnsi="Times New Roman" w:cs="Times New Roman"/>
          <w:noProof/>
          <w:sz w:val="24"/>
          <w:szCs w:val="24"/>
          <w:lang w:val="en-IE"/>
        </w:rPr>
        <w:t>EUR </w:t>
      </w:r>
      <w:r w:rsidR="00F30504">
        <w:rPr>
          <w:rFonts w:ascii="Times New Roman" w:hAnsi="Times New Roman" w:cs="Times New Roman"/>
          <w:noProof/>
          <w:sz w:val="24"/>
          <w:szCs w:val="24"/>
          <w:lang w:val="en-IE"/>
        </w:rPr>
        <w:t>5</w:t>
      </w:r>
      <w:r w:rsidR="00423032">
        <w:rPr>
          <w:rFonts w:ascii="Times New Roman" w:hAnsi="Times New Roman" w:cs="Times New Roman"/>
          <w:noProof/>
          <w:sz w:val="24"/>
          <w:szCs w:val="24"/>
          <w:lang w:val="en-IE"/>
        </w:rPr>
        <w:t> </w:t>
      </w:r>
      <w:r w:rsidR="00F30504">
        <w:rPr>
          <w:rFonts w:ascii="Times New Roman" w:hAnsi="Times New Roman" w:cs="Times New Roman"/>
          <w:noProof/>
          <w:sz w:val="24"/>
          <w:szCs w:val="24"/>
          <w:lang w:val="en-IE"/>
        </w:rPr>
        <w:t xml:space="preserve">billion from </w:t>
      </w:r>
      <w:r w:rsidR="00FB4B44">
        <w:rPr>
          <w:rFonts w:ascii="Times New Roman" w:hAnsi="Times New Roman" w:cs="Times New Roman"/>
          <w:noProof/>
          <w:sz w:val="24"/>
          <w:szCs w:val="24"/>
          <w:lang w:val="en-IE"/>
        </w:rPr>
        <w:t xml:space="preserve">only EUR </w:t>
      </w:r>
      <w:r w:rsidR="00F30504">
        <w:rPr>
          <w:rFonts w:ascii="Times New Roman" w:hAnsi="Times New Roman" w:cs="Times New Roman"/>
          <w:noProof/>
          <w:sz w:val="24"/>
          <w:szCs w:val="24"/>
          <w:lang w:val="en-IE"/>
        </w:rPr>
        <w:t xml:space="preserve">1.8 billion in 2020, probably </w:t>
      </w:r>
      <w:r w:rsidR="00FB4B44">
        <w:rPr>
          <w:rFonts w:ascii="Times New Roman" w:hAnsi="Times New Roman" w:cs="Times New Roman"/>
          <w:noProof/>
          <w:sz w:val="24"/>
          <w:szCs w:val="24"/>
          <w:lang w:val="en-IE"/>
        </w:rPr>
        <w:t xml:space="preserve">due </w:t>
      </w:r>
      <w:r w:rsidR="00F30504">
        <w:rPr>
          <w:rFonts w:ascii="Times New Roman" w:hAnsi="Times New Roman" w:cs="Times New Roman"/>
          <w:noProof/>
          <w:sz w:val="24"/>
          <w:szCs w:val="24"/>
          <w:lang w:val="en-IE"/>
        </w:rPr>
        <w:t xml:space="preserve">to increasing </w:t>
      </w:r>
      <w:r w:rsidR="00AB2348">
        <w:rPr>
          <w:rFonts w:ascii="Times New Roman" w:hAnsi="Times New Roman" w:cs="Times New Roman"/>
          <w:noProof/>
          <w:sz w:val="24"/>
          <w:szCs w:val="24"/>
          <w:lang w:val="en-IE"/>
        </w:rPr>
        <w:t>energy</w:t>
      </w:r>
      <w:r w:rsidR="00FB4B44">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price supports for household</w:t>
      </w:r>
      <w:r w:rsidR="00FB4B44">
        <w:rPr>
          <w:rFonts w:ascii="Times New Roman" w:hAnsi="Times New Roman" w:cs="Times New Roman"/>
          <w:noProof/>
          <w:sz w:val="24"/>
          <w:szCs w:val="24"/>
          <w:lang w:val="en-IE"/>
        </w:rPr>
        <w:t>s</w:t>
      </w:r>
      <w:r w:rsidR="00F30504">
        <w:rPr>
          <w:rFonts w:ascii="Times New Roman" w:hAnsi="Times New Roman" w:cs="Times New Roman"/>
          <w:noProof/>
          <w:sz w:val="24"/>
          <w:szCs w:val="24"/>
          <w:lang w:val="en-IE"/>
        </w:rPr>
        <w:t xml:space="preserve"> and industry</w:t>
      </w:r>
      <w:r w:rsidR="00116930">
        <w:rPr>
          <w:rFonts w:ascii="Times New Roman" w:hAnsi="Times New Roman" w:cs="Times New Roman"/>
          <w:noProof/>
          <w:sz w:val="24"/>
          <w:szCs w:val="24"/>
          <w:lang w:val="en-IE"/>
        </w:rPr>
        <w:t>, amid rising energy prices</w:t>
      </w:r>
      <w:r w:rsidR="00F30504">
        <w:rPr>
          <w:rFonts w:ascii="Times New Roman" w:hAnsi="Times New Roman" w:cs="Times New Roman"/>
          <w:noProof/>
          <w:sz w:val="24"/>
          <w:szCs w:val="24"/>
          <w:lang w:val="en-IE"/>
        </w:rPr>
        <w:t>. At the same time, support on the</w:t>
      </w:r>
      <w:r>
        <w:rPr>
          <w:rFonts w:ascii="Times New Roman" w:hAnsi="Times New Roman" w:cs="Times New Roman"/>
          <w:noProof/>
          <w:sz w:val="24"/>
          <w:szCs w:val="24"/>
          <w:lang w:val="en-IE"/>
        </w:rPr>
        <w:t xml:space="preserve"> producer side</w:t>
      </w:r>
      <w:r w:rsidR="00F30504">
        <w:rPr>
          <w:rFonts w:ascii="Times New Roman" w:hAnsi="Times New Roman" w:cs="Times New Roman"/>
          <w:noProof/>
          <w:sz w:val="24"/>
          <w:szCs w:val="24"/>
          <w:lang w:val="en-IE"/>
        </w:rPr>
        <w:t xml:space="preserve"> (producer price guarantees, such as purchase agreements, fuel</w:t>
      </w:r>
      <w:r w:rsidR="00FB4B44">
        <w:rPr>
          <w:rFonts w:ascii="Times New Roman" w:hAnsi="Times New Roman" w:cs="Times New Roman"/>
          <w:noProof/>
          <w:sz w:val="24"/>
          <w:szCs w:val="24"/>
          <w:lang w:val="en-IE"/>
        </w:rPr>
        <w:t>-</w:t>
      </w:r>
      <w:r w:rsidR="00F30504">
        <w:rPr>
          <w:rFonts w:ascii="Times New Roman" w:hAnsi="Times New Roman" w:cs="Times New Roman"/>
          <w:noProof/>
          <w:sz w:val="24"/>
          <w:szCs w:val="24"/>
          <w:lang w:val="en-IE"/>
        </w:rPr>
        <w:t xml:space="preserve">cost guarantees, etc.) remained in the range of </w:t>
      </w:r>
      <w:r w:rsidR="00FB4B44">
        <w:rPr>
          <w:rFonts w:ascii="Times New Roman" w:hAnsi="Times New Roman" w:cs="Times New Roman"/>
          <w:noProof/>
          <w:sz w:val="24"/>
          <w:szCs w:val="24"/>
          <w:lang w:val="en-IE"/>
        </w:rPr>
        <w:t xml:space="preserve">EUR </w:t>
      </w:r>
      <w:r w:rsidR="00F30504">
        <w:rPr>
          <w:rFonts w:ascii="Times New Roman" w:hAnsi="Times New Roman" w:cs="Times New Roman"/>
          <w:noProof/>
          <w:sz w:val="24"/>
          <w:szCs w:val="24"/>
          <w:lang w:val="en-IE"/>
        </w:rPr>
        <w:t xml:space="preserve">4-5 billion over the </w:t>
      </w:r>
      <w:r w:rsidR="00FB4B44">
        <w:rPr>
          <w:rFonts w:ascii="Times New Roman" w:hAnsi="Times New Roman" w:cs="Times New Roman"/>
          <w:noProof/>
          <w:sz w:val="24"/>
          <w:szCs w:val="24"/>
          <w:lang w:val="en-IE"/>
        </w:rPr>
        <w:t>p</w:t>
      </w:r>
      <w:r w:rsidR="00F30504">
        <w:rPr>
          <w:rFonts w:ascii="Times New Roman" w:hAnsi="Times New Roman" w:cs="Times New Roman"/>
          <w:noProof/>
          <w:sz w:val="24"/>
          <w:szCs w:val="24"/>
          <w:lang w:val="en-IE"/>
        </w:rPr>
        <w:t>ast few years in the EU</w:t>
      </w:r>
      <w:r>
        <w:rPr>
          <w:rFonts w:ascii="Times New Roman" w:hAnsi="Times New Roman" w:cs="Times New Roman"/>
          <w:noProof/>
          <w:sz w:val="24"/>
          <w:szCs w:val="24"/>
          <w:lang w:val="en-IE"/>
        </w:rPr>
        <w:t>.</w:t>
      </w:r>
    </w:p>
    <w:p w14:paraId="4ED2C41B" w14:textId="6B0214EC" w:rsidR="00F44876" w:rsidRDefault="00F44876" w:rsidP="004F4044">
      <w:pPr>
        <w:spacing w:before="120" w:after="120"/>
        <w:jc w:val="both"/>
        <w:rPr>
          <w:rFonts w:ascii="Times New Roman" w:hAnsi="Times New Roman" w:cs="Times New Roman"/>
          <w:noProof/>
          <w:sz w:val="24"/>
          <w:szCs w:val="24"/>
          <w:lang w:val="en-IE"/>
        </w:rPr>
      </w:pPr>
      <w:r w:rsidRPr="00F44876">
        <w:rPr>
          <w:rFonts w:ascii="Times New Roman" w:hAnsi="Times New Roman" w:cs="Times New Roman"/>
          <w:b/>
          <w:noProof/>
          <w:sz w:val="24"/>
          <w:szCs w:val="24"/>
          <w:lang w:val="en-IE"/>
        </w:rPr>
        <w:t>Capacity</w:t>
      </w:r>
      <w:r w:rsidR="00FB4B44">
        <w:rPr>
          <w:rFonts w:ascii="Times New Roman" w:hAnsi="Times New Roman" w:cs="Times New Roman"/>
          <w:b/>
          <w:noProof/>
          <w:sz w:val="24"/>
          <w:szCs w:val="24"/>
          <w:lang w:val="en-IE"/>
        </w:rPr>
        <w:t>-</w:t>
      </w:r>
      <w:r w:rsidRPr="00F44876">
        <w:rPr>
          <w:rFonts w:ascii="Times New Roman" w:hAnsi="Times New Roman" w:cs="Times New Roman"/>
          <w:b/>
          <w:noProof/>
          <w:sz w:val="24"/>
          <w:szCs w:val="24"/>
          <w:lang w:val="en-IE"/>
        </w:rPr>
        <w:t>payment subsidies</w:t>
      </w:r>
      <w:r>
        <w:rPr>
          <w:rFonts w:ascii="Times New Roman" w:hAnsi="Times New Roman" w:cs="Times New Roman"/>
          <w:noProof/>
          <w:sz w:val="24"/>
          <w:szCs w:val="24"/>
          <w:lang w:val="en-IE"/>
        </w:rPr>
        <w:t xml:space="preserve"> showed a high degree of stability in </w:t>
      </w:r>
      <w:r w:rsidR="00260A7E">
        <w:rPr>
          <w:rFonts w:ascii="Times New Roman" w:hAnsi="Times New Roman" w:cs="Times New Roman"/>
          <w:noProof/>
          <w:sz w:val="24"/>
          <w:szCs w:val="24"/>
          <w:lang w:val="en-IE"/>
        </w:rPr>
        <w:t>2015-2020,</w:t>
      </w:r>
      <w:r>
        <w:rPr>
          <w:rFonts w:ascii="Times New Roman" w:hAnsi="Times New Roman" w:cs="Times New Roman"/>
          <w:noProof/>
          <w:sz w:val="24"/>
          <w:szCs w:val="24"/>
          <w:lang w:val="en-IE"/>
        </w:rPr>
        <w:t xml:space="preserve"> </w:t>
      </w:r>
      <w:r w:rsidR="00260A7E">
        <w:rPr>
          <w:rFonts w:ascii="Times New Roman" w:hAnsi="Times New Roman" w:cs="Times New Roman"/>
          <w:noProof/>
          <w:sz w:val="24"/>
          <w:szCs w:val="24"/>
          <w:lang w:val="en-IE"/>
        </w:rPr>
        <w:t>averaging around</w:t>
      </w:r>
      <w:r>
        <w:rPr>
          <w:rFonts w:ascii="Times New Roman" w:hAnsi="Times New Roman" w:cs="Times New Roman"/>
          <w:noProof/>
          <w:sz w:val="24"/>
          <w:szCs w:val="24"/>
          <w:lang w:val="en-IE"/>
        </w:rPr>
        <w:t xml:space="preserve"> </w:t>
      </w:r>
      <w:r w:rsidR="00FB4B44">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2.</w:t>
      </w:r>
      <w:r w:rsidR="00F30504">
        <w:rPr>
          <w:rFonts w:ascii="Times New Roman" w:hAnsi="Times New Roman" w:cs="Times New Roman"/>
          <w:noProof/>
          <w:sz w:val="24"/>
          <w:szCs w:val="24"/>
          <w:lang w:val="en-IE"/>
        </w:rPr>
        <w:t>1</w:t>
      </w:r>
      <w:r>
        <w:rPr>
          <w:rFonts w:ascii="Times New Roman" w:hAnsi="Times New Roman" w:cs="Times New Roman"/>
          <w:noProof/>
          <w:sz w:val="24"/>
          <w:szCs w:val="24"/>
          <w:lang w:val="en-IE"/>
        </w:rPr>
        <w:t xml:space="preserve"> billion</w:t>
      </w:r>
      <w:r w:rsidR="00260A7E">
        <w:rPr>
          <w:rFonts w:ascii="Times New Roman" w:hAnsi="Times New Roman" w:cs="Times New Roman"/>
          <w:noProof/>
          <w:sz w:val="24"/>
          <w:szCs w:val="24"/>
          <w:lang w:val="en-IE"/>
        </w:rPr>
        <w:t xml:space="preserve"> </w:t>
      </w:r>
      <w:r w:rsidR="00FB4B44">
        <w:rPr>
          <w:rFonts w:ascii="Times New Roman" w:hAnsi="Times New Roman" w:cs="Times New Roman"/>
          <w:noProof/>
          <w:sz w:val="24"/>
          <w:szCs w:val="24"/>
          <w:lang w:val="en-IE"/>
        </w:rPr>
        <w:t xml:space="preserve">in this period </w:t>
      </w:r>
      <w:r w:rsidR="00260A7E">
        <w:rPr>
          <w:rFonts w:ascii="Times New Roman" w:hAnsi="Times New Roman" w:cs="Times New Roman"/>
          <w:noProof/>
          <w:sz w:val="24"/>
          <w:szCs w:val="24"/>
          <w:lang w:val="en-IE"/>
        </w:rPr>
        <w:t>and</w:t>
      </w:r>
      <w:r w:rsidR="00F30504">
        <w:rPr>
          <w:rFonts w:ascii="Times New Roman" w:hAnsi="Times New Roman" w:cs="Times New Roman"/>
          <w:noProof/>
          <w:sz w:val="24"/>
          <w:szCs w:val="24"/>
          <w:lang w:val="en-IE"/>
        </w:rPr>
        <w:t xml:space="preserve"> rising to an estimated </w:t>
      </w:r>
      <w:r w:rsidR="00FB4B44">
        <w:rPr>
          <w:rFonts w:ascii="Times New Roman" w:hAnsi="Times New Roman" w:cs="Times New Roman"/>
          <w:noProof/>
          <w:sz w:val="24"/>
          <w:szCs w:val="24"/>
          <w:lang w:val="en-IE"/>
        </w:rPr>
        <w:t xml:space="preserve">EUR </w:t>
      </w:r>
      <w:r w:rsidR="00F30504">
        <w:rPr>
          <w:rFonts w:ascii="Times New Roman" w:hAnsi="Times New Roman" w:cs="Times New Roman"/>
          <w:noProof/>
          <w:sz w:val="24"/>
          <w:szCs w:val="24"/>
          <w:lang w:val="en-IE"/>
        </w:rPr>
        <w:t>2.6 billion in 2021</w:t>
      </w:r>
      <w:r>
        <w:rPr>
          <w:rFonts w:ascii="Times New Roman" w:hAnsi="Times New Roman" w:cs="Times New Roman"/>
          <w:noProof/>
          <w:sz w:val="24"/>
          <w:szCs w:val="24"/>
          <w:lang w:val="en-IE"/>
        </w:rPr>
        <w:t>.</w:t>
      </w:r>
      <w:r w:rsidR="005C3757">
        <w:rPr>
          <w:rFonts w:ascii="Times New Roman" w:hAnsi="Times New Roman" w:cs="Times New Roman"/>
          <w:noProof/>
          <w:sz w:val="24"/>
          <w:szCs w:val="24"/>
          <w:lang w:val="en-IE"/>
        </w:rPr>
        <w:t xml:space="preserve"> Capacity mechanisms mostly </w:t>
      </w:r>
      <w:r w:rsidR="00FB4B44">
        <w:rPr>
          <w:rFonts w:ascii="Times New Roman" w:hAnsi="Times New Roman" w:cs="Times New Roman"/>
          <w:noProof/>
          <w:sz w:val="24"/>
          <w:szCs w:val="24"/>
          <w:lang w:val="en-IE"/>
        </w:rPr>
        <w:t xml:space="preserve">paid for </w:t>
      </w:r>
      <w:r w:rsidR="005C3757">
        <w:rPr>
          <w:rFonts w:ascii="Times New Roman" w:hAnsi="Times New Roman" w:cs="Times New Roman"/>
          <w:noProof/>
          <w:sz w:val="24"/>
          <w:szCs w:val="24"/>
          <w:lang w:val="en-IE"/>
        </w:rPr>
        <w:t>electricity generation from fossil fuels in this period.</w:t>
      </w:r>
    </w:p>
    <w:p w14:paraId="06BA28DD" w14:textId="36280508" w:rsidR="00971EE4" w:rsidRDefault="00971EE4"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Subsidies </w:t>
      </w:r>
      <w:r w:rsidR="00AB2348">
        <w:rPr>
          <w:rFonts w:ascii="Times New Roman" w:hAnsi="Times New Roman" w:cs="Times New Roman"/>
          <w:noProof/>
          <w:sz w:val="24"/>
          <w:szCs w:val="24"/>
          <w:lang w:val="en-IE"/>
        </w:rPr>
        <w:t>on</w:t>
      </w:r>
      <w:r>
        <w:rPr>
          <w:rFonts w:ascii="Times New Roman" w:hAnsi="Times New Roman" w:cs="Times New Roman"/>
          <w:noProof/>
          <w:sz w:val="24"/>
          <w:szCs w:val="24"/>
          <w:lang w:val="en-IE"/>
        </w:rPr>
        <w:t xml:space="preserve"> </w:t>
      </w:r>
      <w:r w:rsidRPr="00971EE4">
        <w:rPr>
          <w:rFonts w:ascii="Times New Roman" w:hAnsi="Times New Roman" w:cs="Times New Roman"/>
          <w:b/>
          <w:noProof/>
          <w:sz w:val="24"/>
          <w:szCs w:val="24"/>
          <w:lang w:val="en-IE"/>
        </w:rPr>
        <w:t>hydrogen</w:t>
      </w:r>
      <w:r>
        <w:rPr>
          <w:rFonts w:ascii="Times New Roman" w:hAnsi="Times New Roman" w:cs="Times New Roman"/>
          <w:noProof/>
          <w:sz w:val="24"/>
          <w:szCs w:val="24"/>
          <w:lang w:val="en-IE"/>
        </w:rPr>
        <w:t xml:space="preserve"> </w:t>
      </w:r>
      <w:r w:rsidR="00531F6C">
        <w:rPr>
          <w:rFonts w:ascii="Times New Roman" w:hAnsi="Times New Roman" w:cs="Times New Roman"/>
          <w:noProof/>
          <w:sz w:val="24"/>
          <w:szCs w:val="24"/>
          <w:lang w:val="en-IE"/>
        </w:rPr>
        <w:t xml:space="preserve">have </w:t>
      </w:r>
      <w:r w:rsidR="00423032">
        <w:rPr>
          <w:rFonts w:ascii="Times New Roman" w:hAnsi="Times New Roman" w:cs="Times New Roman"/>
          <w:noProof/>
          <w:sz w:val="24"/>
          <w:szCs w:val="24"/>
          <w:lang w:val="en-IE"/>
        </w:rPr>
        <w:t>increased greatly</w:t>
      </w:r>
      <w:r>
        <w:rPr>
          <w:rFonts w:ascii="Times New Roman" w:hAnsi="Times New Roman" w:cs="Times New Roman"/>
          <w:noProof/>
          <w:sz w:val="24"/>
          <w:szCs w:val="24"/>
          <w:lang w:val="en-IE"/>
        </w:rPr>
        <w:t xml:space="preserve"> </w:t>
      </w:r>
      <w:r w:rsidR="00531F6C">
        <w:rPr>
          <w:rFonts w:ascii="Times New Roman" w:hAnsi="Times New Roman" w:cs="Times New Roman"/>
          <w:noProof/>
          <w:sz w:val="24"/>
          <w:szCs w:val="24"/>
          <w:lang w:val="en-IE"/>
        </w:rPr>
        <w:t>in recent</w:t>
      </w:r>
      <w:r>
        <w:rPr>
          <w:rFonts w:ascii="Times New Roman" w:hAnsi="Times New Roman" w:cs="Times New Roman"/>
          <w:noProof/>
          <w:sz w:val="24"/>
          <w:szCs w:val="24"/>
          <w:lang w:val="en-IE"/>
        </w:rPr>
        <w:t xml:space="preserve"> years</w:t>
      </w:r>
      <w:r w:rsidR="00531F6C">
        <w:rPr>
          <w:rFonts w:ascii="Times New Roman" w:hAnsi="Times New Roman" w:cs="Times New Roman"/>
          <w:noProof/>
          <w:sz w:val="24"/>
          <w:szCs w:val="24"/>
          <w:lang w:val="en-IE"/>
        </w:rPr>
        <w:t>,</w:t>
      </w:r>
      <w:r w:rsidR="003E3119">
        <w:rPr>
          <w:rFonts w:ascii="Times New Roman" w:hAnsi="Times New Roman" w:cs="Times New Roman"/>
          <w:noProof/>
          <w:sz w:val="24"/>
          <w:szCs w:val="24"/>
          <w:lang w:val="en-IE"/>
        </w:rPr>
        <w:t xml:space="preserve"> </w:t>
      </w:r>
      <w:r w:rsidR="00531F6C">
        <w:rPr>
          <w:rFonts w:ascii="Times New Roman" w:hAnsi="Times New Roman" w:cs="Times New Roman"/>
          <w:noProof/>
          <w:sz w:val="24"/>
          <w:szCs w:val="24"/>
          <w:lang w:val="en-IE"/>
        </w:rPr>
        <w:t xml:space="preserve">climbing </w:t>
      </w:r>
      <w:r w:rsidR="003E3119">
        <w:rPr>
          <w:rFonts w:ascii="Times New Roman" w:hAnsi="Times New Roman" w:cs="Times New Roman"/>
          <w:noProof/>
          <w:sz w:val="24"/>
          <w:szCs w:val="24"/>
          <w:lang w:val="en-IE"/>
        </w:rPr>
        <w:t xml:space="preserve">from </w:t>
      </w:r>
      <w:r w:rsidR="00423032">
        <w:rPr>
          <w:rFonts w:ascii="Times New Roman" w:hAnsi="Times New Roman" w:cs="Times New Roman"/>
          <w:noProof/>
          <w:sz w:val="24"/>
          <w:szCs w:val="24"/>
          <w:lang w:val="en-IE"/>
        </w:rPr>
        <w:t>EUR </w:t>
      </w:r>
      <w:r w:rsidR="0096517B">
        <w:rPr>
          <w:rFonts w:ascii="Times New Roman" w:hAnsi="Times New Roman" w:cs="Times New Roman"/>
          <w:noProof/>
          <w:sz w:val="24"/>
          <w:szCs w:val="24"/>
          <w:lang w:val="en-IE"/>
        </w:rPr>
        <w:t>195</w:t>
      </w:r>
      <w:r w:rsidR="00423032">
        <w:rPr>
          <w:rFonts w:ascii="Times New Roman" w:hAnsi="Times New Roman" w:cs="Times New Roman"/>
          <w:noProof/>
          <w:sz w:val="24"/>
          <w:szCs w:val="24"/>
          <w:lang w:val="en-IE"/>
        </w:rPr>
        <w:t> </w:t>
      </w:r>
      <w:r>
        <w:rPr>
          <w:rFonts w:ascii="Times New Roman" w:hAnsi="Times New Roman" w:cs="Times New Roman"/>
          <w:noProof/>
          <w:sz w:val="24"/>
          <w:szCs w:val="24"/>
          <w:lang w:val="en-IE"/>
        </w:rPr>
        <w:t>million</w:t>
      </w:r>
      <w:r w:rsidR="003E3119">
        <w:rPr>
          <w:rFonts w:ascii="Times New Roman" w:hAnsi="Times New Roman" w:cs="Times New Roman"/>
          <w:noProof/>
          <w:sz w:val="24"/>
          <w:szCs w:val="24"/>
          <w:lang w:val="en-IE"/>
        </w:rPr>
        <w:t xml:space="preserve"> in 2015 to </w:t>
      </w:r>
      <w:r w:rsidR="00531F6C">
        <w:rPr>
          <w:rFonts w:ascii="Times New Roman" w:hAnsi="Times New Roman" w:cs="Times New Roman"/>
          <w:noProof/>
          <w:sz w:val="24"/>
          <w:szCs w:val="24"/>
          <w:lang w:val="en-IE"/>
        </w:rPr>
        <w:t xml:space="preserve">EUR </w:t>
      </w:r>
      <w:r w:rsidR="0096517B">
        <w:rPr>
          <w:rFonts w:ascii="Times New Roman" w:hAnsi="Times New Roman" w:cs="Times New Roman"/>
          <w:noProof/>
          <w:sz w:val="24"/>
          <w:szCs w:val="24"/>
          <w:lang w:val="en-IE"/>
        </w:rPr>
        <w:t>3</w:t>
      </w:r>
      <w:r w:rsidR="00F30504">
        <w:rPr>
          <w:rFonts w:ascii="Times New Roman" w:hAnsi="Times New Roman" w:cs="Times New Roman"/>
          <w:noProof/>
          <w:sz w:val="24"/>
          <w:szCs w:val="24"/>
          <w:lang w:val="en-IE"/>
        </w:rPr>
        <w:t>29</w:t>
      </w:r>
      <w:r>
        <w:rPr>
          <w:rFonts w:ascii="Times New Roman" w:hAnsi="Times New Roman" w:cs="Times New Roman"/>
          <w:noProof/>
          <w:sz w:val="24"/>
          <w:szCs w:val="24"/>
          <w:lang w:val="en-IE"/>
        </w:rPr>
        <w:t xml:space="preserve"> </w:t>
      </w:r>
      <w:r w:rsidR="0096517B">
        <w:rPr>
          <w:rFonts w:ascii="Times New Roman" w:hAnsi="Times New Roman" w:cs="Times New Roman"/>
          <w:noProof/>
          <w:sz w:val="24"/>
          <w:szCs w:val="24"/>
          <w:lang w:val="en-IE"/>
        </w:rPr>
        <w:t>million</w:t>
      </w:r>
      <w:r w:rsidR="003E3119">
        <w:rPr>
          <w:rFonts w:ascii="Times New Roman" w:hAnsi="Times New Roman" w:cs="Times New Roman"/>
          <w:noProof/>
          <w:sz w:val="24"/>
          <w:szCs w:val="24"/>
          <w:lang w:val="en-IE"/>
        </w:rPr>
        <w:t xml:space="preserve"> in 20</w:t>
      </w:r>
      <w:r w:rsidR="00F30504">
        <w:rPr>
          <w:rFonts w:ascii="Times New Roman" w:hAnsi="Times New Roman" w:cs="Times New Roman"/>
          <w:noProof/>
          <w:sz w:val="24"/>
          <w:szCs w:val="24"/>
          <w:lang w:val="en-IE"/>
        </w:rPr>
        <w:t>21</w:t>
      </w:r>
      <w:r>
        <w:rPr>
          <w:rFonts w:ascii="Times New Roman" w:hAnsi="Times New Roman" w:cs="Times New Roman"/>
          <w:noProof/>
          <w:sz w:val="24"/>
          <w:szCs w:val="24"/>
          <w:lang w:val="en-IE"/>
        </w:rPr>
        <w:t xml:space="preserve">. </w:t>
      </w:r>
      <w:r w:rsidR="00F30504">
        <w:rPr>
          <w:rFonts w:ascii="Times New Roman" w:hAnsi="Times New Roman" w:cs="Times New Roman"/>
          <w:noProof/>
          <w:sz w:val="24"/>
          <w:szCs w:val="24"/>
          <w:lang w:val="en-IE"/>
        </w:rPr>
        <w:t>In 2021, two thirds of th</w:t>
      </w:r>
      <w:r w:rsidR="003658F8">
        <w:rPr>
          <w:rFonts w:ascii="Times New Roman" w:hAnsi="Times New Roman" w:cs="Times New Roman"/>
          <w:noProof/>
          <w:sz w:val="24"/>
          <w:szCs w:val="24"/>
          <w:lang w:val="en-IE"/>
        </w:rPr>
        <w:t>is</w:t>
      </w:r>
      <w:r w:rsidR="00F30504">
        <w:rPr>
          <w:rFonts w:ascii="Times New Roman" w:hAnsi="Times New Roman" w:cs="Times New Roman"/>
          <w:noProof/>
          <w:sz w:val="24"/>
          <w:szCs w:val="24"/>
          <w:lang w:val="en-IE"/>
        </w:rPr>
        <w:t xml:space="preserve"> </w:t>
      </w:r>
      <w:r w:rsidR="003658F8">
        <w:rPr>
          <w:rFonts w:ascii="Times New Roman" w:hAnsi="Times New Roman" w:cs="Times New Roman"/>
          <w:noProof/>
          <w:sz w:val="24"/>
          <w:szCs w:val="24"/>
          <w:lang w:val="en-IE"/>
        </w:rPr>
        <w:t xml:space="preserve">support </w:t>
      </w:r>
      <w:r w:rsidR="00F30504">
        <w:rPr>
          <w:rFonts w:ascii="Times New Roman" w:hAnsi="Times New Roman" w:cs="Times New Roman"/>
          <w:noProof/>
          <w:sz w:val="24"/>
          <w:szCs w:val="24"/>
          <w:lang w:val="en-IE"/>
        </w:rPr>
        <w:t>w</w:t>
      </w:r>
      <w:r w:rsidR="00531F6C">
        <w:rPr>
          <w:rFonts w:ascii="Times New Roman" w:hAnsi="Times New Roman" w:cs="Times New Roman"/>
          <w:noProof/>
          <w:sz w:val="24"/>
          <w:szCs w:val="24"/>
          <w:lang w:val="en-IE"/>
        </w:rPr>
        <w:t>as in the form of support for</w:t>
      </w:r>
      <w:r w:rsidR="00F30504">
        <w:rPr>
          <w:rFonts w:ascii="Times New Roman" w:hAnsi="Times New Roman" w:cs="Times New Roman"/>
          <w:noProof/>
          <w:sz w:val="24"/>
          <w:szCs w:val="24"/>
          <w:lang w:val="en-IE"/>
        </w:rPr>
        <w:t xml:space="preserve"> R&amp;D expenditure</w:t>
      </w:r>
      <w:r w:rsidR="00531F6C">
        <w:rPr>
          <w:rFonts w:ascii="Times New Roman" w:hAnsi="Times New Roman" w:cs="Times New Roman"/>
          <w:noProof/>
          <w:sz w:val="24"/>
          <w:szCs w:val="24"/>
          <w:lang w:val="en-IE"/>
        </w:rPr>
        <w:t xml:space="preserve">, with </w:t>
      </w:r>
      <w:r w:rsidR="00AB2348">
        <w:rPr>
          <w:rFonts w:ascii="Times New Roman" w:hAnsi="Times New Roman" w:cs="Times New Roman"/>
          <w:noProof/>
          <w:sz w:val="24"/>
          <w:szCs w:val="24"/>
          <w:lang w:val="en-IE"/>
        </w:rPr>
        <w:t>the remain</w:t>
      </w:r>
      <w:r w:rsidR="00531F6C">
        <w:rPr>
          <w:rFonts w:ascii="Times New Roman" w:hAnsi="Times New Roman" w:cs="Times New Roman"/>
          <w:noProof/>
          <w:sz w:val="24"/>
          <w:szCs w:val="24"/>
          <w:lang w:val="en-IE"/>
        </w:rPr>
        <w:t>der</w:t>
      </w:r>
      <w:r w:rsidR="00260A7E">
        <w:rPr>
          <w:rFonts w:ascii="Times New Roman" w:hAnsi="Times New Roman" w:cs="Times New Roman"/>
          <w:noProof/>
          <w:sz w:val="24"/>
          <w:szCs w:val="24"/>
          <w:lang w:val="en-IE"/>
        </w:rPr>
        <w:t xml:space="preserve"> </w:t>
      </w:r>
      <w:r w:rsidR="00AB2348">
        <w:rPr>
          <w:rFonts w:ascii="Times New Roman" w:hAnsi="Times New Roman" w:cs="Times New Roman"/>
          <w:noProof/>
          <w:sz w:val="24"/>
          <w:szCs w:val="24"/>
          <w:lang w:val="en-IE"/>
        </w:rPr>
        <w:t xml:space="preserve">mainly </w:t>
      </w:r>
      <w:r w:rsidR="00531F6C">
        <w:rPr>
          <w:rFonts w:ascii="Times New Roman" w:hAnsi="Times New Roman" w:cs="Times New Roman"/>
          <w:noProof/>
          <w:sz w:val="24"/>
          <w:szCs w:val="24"/>
          <w:lang w:val="en-IE"/>
        </w:rPr>
        <w:t xml:space="preserve">made up of </w:t>
      </w:r>
      <w:r w:rsidR="00AB2348">
        <w:rPr>
          <w:rFonts w:ascii="Times New Roman" w:hAnsi="Times New Roman" w:cs="Times New Roman"/>
          <w:noProof/>
          <w:sz w:val="24"/>
          <w:szCs w:val="24"/>
          <w:lang w:val="en-IE"/>
        </w:rPr>
        <w:t>direct transfers</w:t>
      </w:r>
      <w:r w:rsidR="005C3757">
        <w:rPr>
          <w:rStyle w:val="FootnoteReference"/>
          <w:rFonts w:ascii="Times New Roman" w:hAnsi="Times New Roman" w:cs="Times New Roman"/>
          <w:noProof/>
          <w:sz w:val="24"/>
          <w:szCs w:val="24"/>
          <w:lang w:val="en-IE"/>
        </w:rPr>
        <w:footnoteReference w:id="25"/>
      </w:r>
      <w:r w:rsidR="00F30504">
        <w:rPr>
          <w:rFonts w:ascii="Times New Roman" w:hAnsi="Times New Roman" w:cs="Times New Roman"/>
          <w:noProof/>
          <w:sz w:val="24"/>
          <w:szCs w:val="24"/>
          <w:lang w:val="en-IE"/>
        </w:rPr>
        <w:t xml:space="preserve">. In the years to come, </w:t>
      </w:r>
      <w:r w:rsidR="00531F6C">
        <w:rPr>
          <w:rFonts w:ascii="Times New Roman" w:hAnsi="Times New Roman" w:cs="Times New Roman"/>
          <w:noProof/>
          <w:sz w:val="24"/>
          <w:szCs w:val="24"/>
          <w:lang w:val="en-IE"/>
        </w:rPr>
        <w:t xml:space="preserve">and </w:t>
      </w:r>
      <w:r w:rsidR="00F30504">
        <w:rPr>
          <w:rFonts w:ascii="Times New Roman" w:hAnsi="Times New Roman" w:cs="Times New Roman"/>
          <w:noProof/>
          <w:sz w:val="24"/>
          <w:szCs w:val="24"/>
          <w:lang w:val="en-IE"/>
        </w:rPr>
        <w:t xml:space="preserve">as preliminary data </w:t>
      </w:r>
      <w:r w:rsidR="00531F6C">
        <w:rPr>
          <w:rFonts w:ascii="Times New Roman" w:hAnsi="Times New Roman" w:cs="Times New Roman"/>
          <w:noProof/>
          <w:sz w:val="24"/>
          <w:szCs w:val="24"/>
          <w:lang w:val="en-IE"/>
        </w:rPr>
        <w:t xml:space="preserve">already </w:t>
      </w:r>
      <w:r w:rsidR="00F30504">
        <w:rPr>
          <w:rFonts w:ascii="Times New Roman" w:hAnsi="Times New Roman" w:cs="Times New Roman"/>
          <w:noProof/>
          <w:sz w:val="24"/>
          <w:szCs w:val="24"/>
          <w:lang w:val="en-IE"/>
        </w:rPr>
        <w:t xml:space="preserve">show, a significant increase in subsidies </w:t>
      </w:r>
      <w:r w:rsidR="00531F6C">
        <w:rPr>
          <w:rFonts w:ascii="Times New Roman" w:hAnsi="Times New Roman" w:cs="Times New Roman"/>
          <w:noProof/>
          <w:sz w:val="24"/>
          <w:szCs w:val="24"/>
          <w:lang w:val="en-IE"/>
        </w:rPr>
        <w:t xml:space="preserve">for </w:t>
      </w:r>
      <w:r w:rsidR="00F30504">
        <w:rPr>
          <w:rFonts w:ascii="Times New Roman" w:hAnsi="Times New Roman" w:cs="Times New Roman"/>
          <w:noProof/>
          <w:sz w:val="24"/>
          <w:szCs w:val="24"/>
          <w:lang w:val="en-IE"/>
        </w:rPr>
        <w:t>hydrogen is expected.</w:t>
      </w:r>
    </w:p>
    <w:p w14:paraId="5ABFB7A6" w14:textId="0D0538B5" w:rsidR="008236A3" w:rsidRDefault="00F30504" w:rsidP="004F4044">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Different </w:t>
      </w:r>
      <w:r w:rsidRPr="00F30504">
        <w:rPr>
          <w:rFonts w:ascii="Times New Roman" w:hAnsi="Times New Roman" w:cs="Times New Roman"/>
          <w:b/>
          <w:noProof/>
          <w:sz w:val="24"/>
          <w:szCs w:val="24"/>
          <w:lang w:val="en-IE"/>
        </w:rPr>
        <w:t xml:space="preserve">subsidy </w:t>
      </w:r>
      <w:r>
        <w:rPr>
          <w:rFonts w:ascii="Times New Roman" w:hAnsi="Times New Roman" w:cs="Times New Roman"/>
          <w:b/>
          <w:noProof/>
          <w:sz w:val="24"/>
          <w:szCs w:val="24"/>
          <w:lang w:val="en-IE"/>
        </w:rPr>
        <w:t xml:space="preserve">categories </w:t>
      </w:r>
      <w:r w:rsidRPr="00F30504">
        <w:rPr>
          <w:rFonts w:ascii="Times New Roman" w:hAnsi="Times New Roman" w:cs="Times New Roman"/>
          <w:noProof/>
          <w:sz w:val="24"/>
          <w:szCs w:val="24"/>
          <w:lang w:val="en-IE"/>
        </w:rPr>
        <w:t>might</w:t>
      </w:r>
      <w:r>
        <w:rPr>
          <w:rFonts w:ascii="Times New Roman" w:hAnsi="Times New Roman" w:cs="Times New Roman"/>
          <w:noProof/>
          <w:sz w:val="24"/>
          <w:szCs w:val="24"/>
          <w:lang w:val="en-IE"/>
        </w:rPr>
        <w:t xml:space="preserve"> incentiv</w:t>
      </w:r>
      <w:r w:rsidR="00531F6C">
        <w:rPr>
          <w:rFonts w:ascii="Times New Roman" w:hAnsi="Times New Roman" w:cs="Times New Roman"/>
          <w:noProof/>
          <w:sz w:val="24"/>
          <w:szCs w:val="24"/>
          <w:lang w:val="en-IE"/>
        </w:rPr>
        <w:t>is</w:t>
      </w:r>
      <w:r>
        <w:rPr>
          <w:rFonts w:ascii="Times New Roman" w:hAnsi="Times New Roman" w:cs="Times New Roman"/>
          <w:noProof/>
          <w:sz w:val="24"/>
          <w:szCs w:val="24"/>
          <w:lang w:val="en-IE"/>
        </w:rPr>
        <w:t>e different energy technologies</w:t>
      </w:r>
      <w:r w:rsidR="00531F6C">
        <w:rPr>
          <w:rFonts w:ascii="Times New Roman" w:hAnsi="Times New Roman" w:cs="Times New Roman"/>
          <w:noProof/>
          <w:sz w:val="24"/>
          <w:szCs w:val="24"/>
          <w:lang w:val="en-IE"/>
        </w:rPr>
        <w:t>. H</w:t>
      </w:r>
      <w:r>
        <w:rPr>
          <w:rFonts w:ascii="Times New Roman" w:hAnsi="Times New Roman" w:cs="Times New Roman"/>
          <w:noProof/>
          <w:sz w:val="24"/>
          <w:szCs w:val="24"/>
          <w:lang w:val="en-IE"/>
        </w:rPr>
        <w:t xml:space="preserve">owever, it is not always possible to </w:t>
      </w:r>
      <w:r w:rsidR="00AB2348">
        <w:rPr>
          <w:rFonts w:ascii="Times New Roman" w:hAnsi="Times New Roman" w:cs="Times New Roman"/>
          <w:noProof/>
          <w:sz w:val="24"/>
          <w:szCs w:val="24"/>
          <w:lang w:val="en-IE"/>
        </w:rPr>
        <w:t>determine which</w:t>
      </w:r>
      <w:r>
        <w:rPr>
          <w:rFonts w:ascii="Times New Roman" w:hAnsi="Times New Roman" w:cs="Times New Roman"/>
          <w:noProof/>
          <w:sz w:val="24"/>
          <w:szCs w:val="24"/>
          <w:lang w:val="en-IE"/>
        </w:rPr>
        <w:t xml:space="preserve"> </w:t>
      </w:r>
      <w:r w:rsidR="00531F6C">
        <w:rPr>
          <w:rFonts w:ascii="Times New Roman" w:hAnsi="Times New Roman" w:cs="Times New Roman"/>
          <w:noProof/>
          <w:sz w:val="24"/>
          <w:szCs w:val="24"/>
          <w:lang w:val="en-IE"/>
        </w:rPr>
        <w:t xml:space="preserve">subsidy </w:t>
      </w:r>
      <w:r>
        <w:rPr>
          <w:rFonts w:ascii="Times New Roman" w:hAnsi="Times New Roman" w:cs="Times New Roman"/>
          <w:noProof/>
          <w:sz w:val="24"/>
          <w:szCs w:val="24"/>
          <w:lang w:val="en-IE"/>
        </w:rPr>
        <w:t>categor</w:t>
      </w:r>
      <w:r w:rsidR="00AB2348">
        <w:rPr>
          <w:rFonts w:ascii="Times New Roman" w:hAnsi="Times New Roman" w:cs="Times New Roman"/>
          <w:noProof/>
          <w:sz w:val="24"/>
          <w:szCs w:val="24"/>
          <w:lang w:val="en-IE"/>
        </w:rPr>
        <w:t xml:space="preserve">ies are </w:t>
      </w:r>
      <w:r w:rsidR="00531F6C">
        <w:rPr>
          <w:rFonts w:ascii="Times New Roman" w:hAnsi="Times New Roman" w:cs="Times New Roman"/>
          <w:noProof/>
          <w:sz w:val="24"/>
          <w:szCs w:val="24"/>
          <w:lang w:val="en-IE"/>
        </w:rPr>
        <w:t xml:space="preserve">most </w:t>
      </w:r>
      <w:r w:rsidR="00AB2348">
        <w:rPr>
          <w:rFonts w:ascii="Times New Roman" w:hAnsi="Times New Roman" w:cs="Times New Roman"/>
          <w:noProof/>
          <w:sz w:val="24"/>
          <w:szCs w:val="24"/>
          <w:lang w:val="en-IE"/>
        </w:rPr>
        <w:t>typical for</w:t>
      </w:r>
      <w:r>
        <w:rPr>
          <w:rFonts w:ascii="Times New Roman" w:hAnsi="Times New Roman" w:cs="Times New Roman"/>
          <w:noProof/>
          <w:sz w:val="24"/>
          <w:szCs w:val="24"/>
          <w:lang w:val="en-IE"/>
        </w:rPr>
        <w:t xml:space="preserve"> </w:t>
      </w:r>
      <w:r w:rsidR="00C800F0">
        <w:rPr>
          <w:rFonts w:ascii="Times New Roman" w:hAnsi="Times New Roman" w:cs="Times New Roman"/>
          <w:noProof/>
          <w:sz w:val="24"/>
          <w:szCs w:val="24"/>
          <w:lang w:val="en-IE"/>
        </w:rPr>
        <w:t xml:space="preserve">specific </w:t>
      </w:r>
      <w:r>
        <w:rPr>
          <w:rFonts w:ascii="Times New Roman" w:hAnsi="Times New Roman" w:cs="Times New Roman"/>
          <w:noProof/>
          <w:sz w:val="24"/>
          <w:szCs w:val="24"/>
          <w:lang w:val="en-IE"/>
        </w:rPr>
        <w:t xml:space="preserve">energy groups. </w:t>
      </w:r>
      <w:r w:rsidR="00045B1A">
        <w:rPr>
          <w:rFonts w:ascii="Times New Roman" w:hAnsi="Times New Roman" w:cs="Times New Roman"/>
          <w:noProof/>
          <w:sz w:val="24"/>
          <w:szCs w:val="24"/>
          <w:lang w:val="en-IE"/>
        </w:rPr>
        <w:t>As Table 1 shows, t</w:t>
      </w:r>
      <w:r>
        <w:rPr>
          <w:rFonts w:ascii="Times New Roman" w:hAnsi="Times New Roman" w:cs="Times New Roman"/>
          <w:noProof/>
          <w:sz w:val="24"/>
          <w:szCs w:val="24"/>
          <w:lang w:val="en-IE"/>
        </w:rPr>
        <w:t>ax</w:t>
      </w:r>
      <w:r w:rsidR="00531F6C">
        <w:rPr>
          <w:rFonts w:ascii="Times New Roman" w:hAnsi="Times New Roman" w:cs="Times New Roman"/>
          <w:noProof/>
          <w:sz w:val="24"/>
          <w:szCs w:val="24"/>
          <w:lang w:val="en-IE"/>
        </w:rPr>
        <w:t>-</w:t>
      </w:r>
      <w:r>
        <w:rPr>
          <w:rFonts w:ascii="Times New Roman" w:hAnsi="Times New Roman" w:cs="Times New Roman"/>
          <w:noProof/>
          <w:sz w:val="24"/>
          <w:szCs w:val="24"/>
          <w:lang w:val="en-IE"/>
        </w:rPr>
        <w:t>expenditure</w:t>
      </w:r>
      <w:r w:rsidR="00531F6C">
        <w:rPr>
          <w:rFonts w:ascii="Times New Roman" w:hAnsi="Times New Roman" w:cs="Times New Roman"/>
          <w:noProof/>
          <w:sz w:val="24"/>
          <w:szCs w:val="24"/>
          <w:lang w:val="en-IE"/>
        </w:rPr>
        <w:t xml:space="preserve"> subsidies</w:t>
      </w:r>
      <w:r>
        <w:rPr>
          <w:rFonts w:ascii="Times New Roman" w:hAnsi="Times New Roman" w:cs="Times New Roman"/>
          <w:noProof/>
          <w:sz w:val="24"/>
          <w:szCs w:val="24"/>
          <w:lang w:val="en-IE"/>
        </w:rPr>
        <w:t xml:space="preserve"> (exemptions, reductions, etc.) </w:t>
      </w:r>
      <w:r w:rsidR="00260A7E">
        <w:rPr>
          <w:rFonts w:ascii="Times New Roman" w:hAnsi="Times New Roman" w:cs="Times New Roman"/>
          <w:noProof/>
          <w:sz w:val="24"/>
          <w:szCs w:val="24"/>
          <w:lang w:val="en-IE"/>
        </w:rPr>
        <w:t xml:space="preserve">are </w:t>
      </w:r>
      <w:r w:rsidR="00531F6C">
        <w:rPr>
          <w:rFonts w:ascii="Times New Roman" w:hAnsi="Times New Roman" w:cs="Times New Roman"/>
          <w:noProof/>
          <w:sz w:val="24"/>
          <w:szCs w:val="24"/>
          <w:lang w:val="en-IE"/>
        </w:rPr>
        <w:t>significant for</w:t>
      </w:r>
      <w:r>
        <w:rPr>
          <w:rFonts w:ascii="Times New Roman" w:hAnsi="Times New Roman" w:cs="Times New Roman"/>
          <w:noProof/>
          <w:sz w:val="24"/>
          <w:szCs w:val="24"/>
          <w:lang w:val="en-IE"/>
        </w:rPr>
        <w:t xml:space="preserve"> fossil fuels, as they cover around two thirds of fossil</w:t>
      </w:r>
      <w:r w:rsidR="00531F6C">
        <w:rPr>
          <w:rFonts w:ascii="Times New Roman" w:hAnsi="Times New Roman" w:cs="Times New Roman"/>
          <w:noProof/>
          <w:sz w:val="24"/>
          <w:szCs w:val="24"/>
          <w:lang w:val="en-IE"/>
        </w:rPr>
        <w:t>-fuel</w:t>
      </w:r>
      <w:r>
        <w:rPr>
          <w:rFonts w:ascii="Times New Roman" w:hAnsi="Times New Roman" w:cs="Times New Roman"/>
          <w:noProof/>
          <w:sz w:val="24"/>
          <w:szCs w:val="24"/>
          <w:lang w:val="en-IE"/>
        </w:rPr>
        <w:t xml:space="preserve"> subsidies. In contrast, income and price supports (e.g. feed</w:t>
      </w:r>
      <w:r w:rsidR="000D1760">
        <w:rPr>
          <w:rFonts w:ascii="Times New Roman" w:hAnsi="Times New Roman" w:cs="Times New Roman"/>
          <w:noProof/>
          <w:sz w:val="24"/>
          <w:szCs w:val="24"/>
          <w:lang w:val="en-IE"/>
        </w:rPr>
        <w:t>-</w:t>
      </w:r>
      <w:r>
        <w:rPr>
          <w:rFonts w:ascii="Times New Roman" w:hAnsi="Times New Roman" w:cs="Times New Roman"/>
          <w:noProof/>
          <w:sz w:val="24"/>
          <w:szCs w:val="24"/>
          <w:lang w:val="en-IE"/>
        </w:rPr>
        <w:t>in tariffs/premi</w:t>
      </w:r>
      <w:r w:rsidR="00423032">
        <w:rPr>
          <w:rFonts w:ascii="Times New Roman" w:hAnsi="Times New Roman" w:cs="Times New Roman"/>
          <w:noProof/>
          <w:sz w:val="24"/>
          <w:szCs w:val="24"/>
          <w:lang w:val="en-IE"/>
        </w:rPr>
        <w:t>a</w:t>
      </w:r>
      <w:r>
        <w:rPr>
          <w:rFonts w:ascii="Times New Roman" w:hAnsi="Times New Roman" w:cs="Times New Roman"/>
          <w:noProof/>
          <w:sz w:val="24"/>
          <w:szCs w:val="24"/>
          <w:lang w:val="en-IE"/>
        </w:rPr>
        <w:t xml:space="preserve">) </w:t>
      </w:r>
      <w:r w:rsidR="00531F6C">
        <w:rPr>
          <w:rFonts w:ascii="Times New Roman" w:hAnsi="Times New Roman" w:cs="Times New Roman"/>
          <w:noProof/>
          <w:sz w:val="24"/>
          <w:szCs w:val="24"/>
          <w:lang w:val="en-IE"/>
        </w:rPr>
        <w:t xml:space="preserve">account for </w:t>
      </w:r>
      <w:r>
        <w:rPr>
          <w:rFonts w:ascii="Times New Roman" w:hAnsi="Times New Roman" w:cs="Times New Roman"/>
          <w:noProof/>
          <w:sz w:val="24"/>
          <w:szCs w:val="24"/>
          <w:lang w:val="en-IE"/>
        </w:rPr>
        <w:t xml:space="preserve">85% of the total </w:t>
      </w:r>
      <w:r w:rsidR="00531F6C">
        <w:rPr>
          <w:rFonts w:ascii="Times New Roman" w:hAnsi="Times New Roman" w:cs="Times New Roman"/>
          <w:noProof/>
          <w:sz w:val="24"/>
          <w:szCs w:val="24"/>
          <w:lang w:val="en-IE"/>
        </w:rPr>
        <w:t xml:space="preserve">support for </w:t>
      </w:r>
      <w:r>
        <w:rPr>
          <w:rFonts w:ascii="Times New Roman" w:hAnsi="Times New Roman" w:cs="Times New Roman"/>
          <w:noProof/>
          <w:sz w:val="24"/>
          <w:szCs w:val="24"/>
          <w:lang w:val="en-IE"/>
        </w:rPr>
        <w:t xml:space="preserve">renewable </w:t>
      </w:r>
      <w:r w:rsidR="00531F6C">
        <w:rPr>
          <w:rFonts w:ascii="Times New Roman" w:hAnsi="Times New Roman" w:cs="Times New Roman"/>
          <w:noProof/>
          <w:sz w:val="24"/>
          <w:szCs w:val="24"/>
          <w:lang w:val="en-IE"/>
        </w:rPr>
        <w:t xml:space="preserve">energies </w:t>
      </w:r>
      <w:r w:rsidR="00AB2348">
        <w:rPr>
          <w:rFonts w:ascii="Times New Roman" w:hAnsi="Times New Roman" w:cs="Times New Roman"/>
          <w:noProof/>
          <w:sz w:val="24"/>
          <w:szCs w:val="24"/>
          <w:lang w:val="en-IE"/>
        </w:rPr>
        <w:t xml:space="preserve">(and </w:t>
      </w:r>
      <w:r w:rsidR="00531F6C">
        <w:rPr>
          <w:rFonts w:ascii="Times New Roman" w:hAnsi="Times New Roman" w:cs="Times New Roman"/>
          <w:noProof/>
          <w:sz w:val="24"/>
          <w:szCs w:val="24"/>
          <w:lang w:val="en-IE"/>
        </w:rPr>
        <w:t xml:space="preserve">account for </w:t>
      </w:r>
      <w:r w:rsidR="00AB2348">
        <w:rPr>
          <w:rFonts w:ascii="Times New Roman" w:hAnsi="Times New Roman" w:cs="Times New Roman"/>
          <w:noProof/>
          <w:sz w:val="24"/>
          <w:szCs w:val="24"/>
          <w:lang w:val="en-IE"/>
        </w:rPr>
        <w:t>41% of total energy subsidies)</w:t>
      </w:r>
      <w:r>
        <w:rPr>
          <w:rFonts w:ascii="Times New Roman" w:hAnsi="Times New Roman" w:cs="Times New Roman"/>
          <w:noProof/>
          <w:sz w:val="24"/>
          <w:szCs w:val="24"/>
          <w:lang w:val="en-IE"/>
        </w:rPr>
        <w:t>. Tax</w:t>
      </w:r>
      <w:r w:rsidR="00531F6C">
        <w:rPr>
          <w:rFonts w:ascii="Times New Roman" w:hAnsi="Times New Roman" w:cs="Times New Roman"/>
          <w:noProof/>
          <w:sz w:val="24"/>
          <w:szCs w:val="24"/>
          <w:lang w:val="en-IE"/>
        </w:rPr>
        <w:t>-</w:t>
      </w:r>
      <w:r>
        <w:rPr>
          <w:rFonts w:ascii="Times New Roman" w:hAnsi="Times New Roman" w:cs="Times New Roman"/>
          <w:noProof/>
          <w:sz w:val="24"/>
          <w:szCs w:val="24"/>
          <w:lang w:val="en-IE"/>
        </w:rPr>
        <w:t>expenditure</w:t>
      </w:r>
      <w:r w:rsidR="00531F6C">
        <w:rPr>
          <w:rFonts w:ascii="Times New Roman" w:hAnsi="Times New Roman" w:cs="Times New Roman"/>
          <w:noProof/>
          <w:sz w:val="24"/>
          <w:szCs w:val="24"/>
          <w:lang w:val="en-IE"/>
        </w:rPr>
        <w:t xml:space="preserve"> subsidies</w:t>
      </w:r>
      <w:r>
        <w:rPr>
          <w:rFonts w:ascii="Times New Roman" w:hAnsi="Times New Roman" w:cs="Times New Roman"/>
          <w:noProof/>
          <w:sz w:val="24"/>
          <w:szCs w:val="24"/>
          <w:lang w:val="en-IE"/>
        </w:rPr>
        <w:t xml:space="preserve"> are also </w:t>
      </w:r>
      <w:r w:rsidR="00531F6C">
        <w:rPr>
          <w:rFonts w:ascii="Times New Roman" w:hAnsi="Times New Roman" w:cs="Times New Roman"/>
          <w:noProof/>
          <w:sz w:val="24"/>
          <w:szCs w:val="24"/>
          <w:lang w:val="en-IE"/>
        </w:rPr>
        <w:t xml:space="preserve">significant </w:t>
      </w:r>
      <w:r w:rsidR="00AB2348">
        <w:rPr>
          <w:rFonts w:ascii="Times New Roman" w:hAnsi="Times New Roman" w:cs="Times New Roman"/>
          <w:noProof/>
          <w:sz w:val="24"/>
          <w:szCs w:val="24"/>
          <w:lang w:val="en-IE"/>
        </w:rPr>
        <w:t xml:space="preserve">for electricity </w:t>
      </w:r>
      <w:r w:rsidR="00045B1A">
        <w:rPr>
          <w:rFonts w:ascii="Times New Roman" w:hAnsi="Times New Roman" w:cs="Times New Roman"/>
          <w:noProof/>
          <w:sz w:val="24"/>
          <w:szCs w:val="24"/>
          <w:lang w:val="en-IE"/>
        </w:rPr>
        <w:t xml:space="preserve">(86%) </w:t>
      </w:r>
      <w:r w:rsidR="00AB2348">
        <w:rPr>
          <w:rFonts w:ascii="Times New Roman" w:hAnsi="Times New Roman" w:cs="Times New Roman"/>
          <w:noProof/>
          <w:sz w:val="24"/>
          <w:szCs w:val="24"/>
          <w:lang w:val="en-IE"/>
        </w:rPr>
        <w:t xml:space="preserve">and </w:t>
      </w:r>
      <w:r w:rsidR="000D1760">
        <w:rPr>
          <w:rFonts w:ascii="Times New Roman" w:hAnsi="Times New Roman" w:cs="Times New Roman"/>
          <w:noProof/>
          <w:sz w:val="24"/>
          <w:szCs w:val="24"/>
          <w:lang w:val="en-IE"/>
        </w:rPr>
        <w:t xml:space="preserve">the </w:t>
      </w:r>
      <w:r w:rsidR="00AB2348">
        <w:rPr>
          <w:rFonts w:ascii="Times New Roman" w:hAnsi="Times New Roman" w:cs="Times New Roman"/>
          <w:noProof/>
          <w:sz w:val="24"/>
          <w:szCs w:val="24"/>
          <w:lang w:val="en-IE"/>
        </w:rPr>
        <w:t>‘all energies</w:t>
      </w:r>
      <w:r>
        <w:rPr>
          <w:rFonts w:ascii="Times New Roman" w:hAnsi="Times New Roman" w:cs="Times New Roman"/>
          <w:noProof/>
          <w:sz w:val="24"/>
          <w:szCs w:val="24"/>
          <w:lang w:val="en-IE"/>
        </w:rPr>
        <w:t>’</w:t>
      </w:r>
      <w:r w:rsidR="00045B1A">
        <w:rPr>
          <w:rFonts w:ascii="Times New Roman" w:hAnsi="Times New Roman" w:cs="Times New Roman"/>
          <w:noProof/>
          <w:sz w:val="24"/>
          <w:szCs w:val="24"/>
          <w:lang w:val="en-IE"/>
        </w:rPr>
        <w:t xml:space="preserve"> (40%)</w:t>
      </w:r>
      <w:r w:rsidR="000D1760">
        <w:rPr>
          <w:rFonts w:ascii="Times New Roman" w:hAnsi="Times New Roman" w:cs="Times New Roman"/>
          <w:noProof/>
          <w:sz w:val="24"/>
          <w:szCs w:val="24"/>
          <w:lang w:val="en-IE"/>
        </w:rPr>
        <w:t xml:space="preserve"> category (</w:t>
      </w:r>
      <w:r w:rsidR="002464D6">
        <w:rPr>
          <w:rFonts w:ascii="Times New Roman" w:hAnsi="Times New Roman" w:cs="Times New Roman"/>
          <w:noProof/>
          <w:sz w:val="24"/>
          <w:szCs w:val="24"/>
          <w:lang w:val="en-IE"/>
        </w:rPr>
        <w:t>the ‘all energies’ category also</w:t>
      </w:r>
      <w:r w:rsidR="000D1760">
        <w:rPr>
          <w:rFonts w:ascii="Times New Roman" w:hAnsi="Times New Roman" w:cs="Times New Roman"/>
          <w:noProof/>
          <w:sz w:val="24"/>
          <w:szCs w:val="24"/>
          <w:lang w:val="en-IE"/>
        </w:rPr>
        <w:t xml:space="preserve"> includes</w:t>
      </w:r>
      <w:r>
        <w:rPr>
          <w:rFonts w:ascii="Times New Roman" w:hAnsi="Times New Roman" w:cs="Times New Roman"/>
          <w:noProof/>
          <w:sz w:val="24"/>
          <w:szCs w:val="24"/>
          <w:lang w:val="en-IE"/>
        </w:rPr>
        <w:t xml:space="preserve"> energy</w:t>
      </w:r>
      <w:r w:rsidR="007D1383">
        <w:rPr>
          <w:rFonts w:ascii="Times New Roman" w:hAnsi="Times New Roman" w:cs="Times New Roman"/>
          <w:noProof/>
          <w:sz w:val="24"/>
          <w:szCs w:val="24"/>
          <w:lang w:val="en-IE"/>
        </w:rPr>
        <w:t>-</w:t>
      </w:r>
      <w:r>
        <w:rPr>
          <w:rFonts w:ascii="Times New Roman" w:hAnsi="Times New Roman" w:cs="Times New Roman"/>
          <w:noProof/>
          <w:sz w:val="24"/>
          <w:szCs w:val="24"/>
          <w:lang w:val="en-IE"/>
        </w:rPr>
        <w:t>efficiency subsidies</w:t>
      </w:r>
      <w:r w:rsidR="000D1760">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while for </w:t>
      </w:r>
      <w:r w:rsidR="000D1760">
        <w:rPr>
          <w:rFonts w:ascii="Times New Roman" w:hAnsi="Times New Roman" w:cs="Times New Roman"/>
          <w:noProof/>
          <w:sz w:val="24"/>
          <w:szCs w:val="24"/>
          <w:lang w:val="en-IE"/>
        </w:rPr>
        <w:t>‘all energies’</w:t>
      </w:r>
      <w:r w:rsidR="00423032">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direct</w:t>
      </w:r>
      <w:r w:rsidR="00531F6C">
        <w:rPr>
          <w:rFonts w:ascii="Times New Roman" w:hAnsi="Times New Roman" w:cs="Times New Roman"/>
          <w:noProof/>
          <w:sz w:val="24"/>
          <w:szCs w:val="24"/>
          <w:lang w:val="en-IE"/>
        </w:rPr>
        <w:t>-</w:t>
      </w:r>
      <w:r>
        <w:rPr>
          <w:rFonts w:ascii="Times New Roman" w:hAnsi="Times New Roman" w:cs="Times New Roman"/>
          <w:noProof/>
          <w:sz w:val="24"/>
          <w:szCs w:val="24"/>
          <w:lang w:val="en-IE"/>
        </w:rPr>
        <w:t>transfer</w:t>
      </w:r>
      <w:r w:rsidR="00531F6C">
        <w:rPr>
          <w:rFonts w:ascii="Times New Roman" w:hAnsi="Times New Roman" w:cs="Times New Roman"/>
          <w:noProof/>
          <w:sz w:val="24"/>
          <w:szCs w:val="24"/>
          <w:lang w:val="en-IE"/>
        </w:rPr>
        <w:t xml:space="preserve"> subsidies</w:t>
      </w:r>
      <w:r w:rsidR="00242670">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also play an important role</w:t>
      </w:r>
      <w:r w:rsidR="00045B1A">
        <w:rPr>
          <w:rFonts w:ascii="Times New Roman" w:hAnsi="Times New Roman" w:cs="Times New Roman"/>
          <w:noProof/>
          <w:sz w:val="24"/>
          <w:szCs w:val="24"/>
          <w:lang w:val="en-IE"/>
        </w:rPr>
        <w:t xml:space="preserve"> (around one third within total subsidies for ‘all energies’)</w:t>
      </w:r>
      <w:r>
        <w:rPr>
          <w:rFonts w:ascii="Times New Roman" w:hAnsi="Times New Roman" w:cs="Times New Roman"/>
          <w:noProof/>
          <w:sz w:val="24"/>
          <w:szCs w:val="24"/>
          <w:lang w:val="en-IE"/>
        </w:rPr>
        <w:t>.</w:t>
      </w:r>
    </w:p>
    <w:p w14:paraId="0D5F9CA1" w14:textId="085DC481" w:rsidR="008236A3" w:rsidRPr="008236A3" w:rsidRDefault="008236A3" w:rsidP="008236A3">
      <w:pPr>
        <w:pStyle w:val="Caption"/>
        <w:keepNext/>
        <w:spacing w:after="120"/>
        <w:jc w:val="both"/>
        <w:rPr>
          <w:rFonts w:ascii="Times New Roman" w:hAnsi="Times New Roman" w:cs="Times New Roman"/>
          <w:b/>
          <w:i w:val="0"/>
          <w:noProof/>
          <w:color w:val="auto"/>
          <w:sz w:val="20"/>
          <w:szCs w:val="20"/>
          <w:lang w:val="en-US"/>
        </w:rPr>
      </w:pPr>
      <w:r w:rsidRPr="008236A3">
        <w:rPr>
          <w:rFonts w:ascii="Times New Roman" w:hAnsi="Times New Roman" w:cs="Times New Roman"/>
          <w:b/>
          <w:i w:val="0"/>
          <w:noProof/>
          <w:color w:val="auto"/>
          <w:sz w:val="20"/>
          <w:szCs w:val="20"/>
          <w:lang w:val="en-US"/>
        </w:rPr>
        <w:t xml:space="preserve">Table </w:t>
      </w:r>
      <w:r w:rsidRPr="008236A3">
        <w:rPr>
          <w:rFonts w:ascii="Times New Roman" w:hAnsi="Times New Roman" w:cs="Times New Roman"/>
          <w:b/>
          <w:i w:val="0"/>
          <w:noProof/>
          <w:color w:val="auto"/>
          <w:sz w:val="20"/>
          <w:szCs w:val="20"/>
        </w:rPr>
        <w:fldChar w:fldCharType="begin"/>
      </w:r>
      <w:r w:rsidRPr="008236A3">
        <w:rPr>
          <w:rFonts w:ascii="Times New Roman" w:hAnsi="Times New Roman" w:cs="Times New Roman"/>
          <w:b/>
          <w:i w:val="0"/>
          <w:noProof/>
          <w:color w:val="auto"/>
          <w:sz w:val="20"/>
          <w:szCs w:val="20"/>
          <w:lang w:val="en-US"/>
        </w:rPr>
        <w:instrText xml:space="preserve"> SEQ Table \* ARABIC </w:instrText>
      </w:r>
      <w:r w:rsidRPr="008236A3">
        <w:rPr>
          <w:rFonts w:ascii="Times New Roman" w:hAnsi="Times New Roman" w:cs="Times New Roman"/>
          <w:b/>
          <w:i w:val="0"/>
          <w:noProof/>
          <w:color w:val="auto"/>
          <w:sz w:val="20"/>
          <w:szCs w:val="20"/>
        </w:rPr>
        <w:fldChar w:fldCharType="separate"/>
      </w:r>
      <w:r w:rsidRPr="008236A3">
        <w:rPr>
          <w:rFonts w:ascii="Times New Roman" w:hAnsi="Times New Roman" w:cs="Times New Roman"/>
          <w:b/>
          <w:i w:val="0"/>
          <w:noProof/>
          <w:color w:val="auto"/>
          <w:sz w:val="20"/>
          <w:szCs w:val="20"/>
          <w:lang w:val="en-US"/>
        </w:rPr>
        <w:t>1</w:t>
      </w:r>
      <w:r w:rsidRPr="008236A3">
        <w:rPr>
          <w:rFonts w:ascii="Times New Roman" w:hAnsi="Times New Roman" w:cs="Times New Roman"/>
          <w:b/>
          <w:i w:val="0"/>
          <w:noProof/>
          <w:color w:val="auto"/>
          <w:sz w:val="20"/>
          <w:szCs w:val="20"/>
        </w:rPr>
        <w:fldChar w:fldCharType="end"/>
      </w:r>
      <w:r w:rsidRPr="008236A3">
        <w:rPr>
          <w:rFonts w:ascii="Times New Roman" w:hAnsi="Times New Roman" w:cs="Times New Roman"/>
          <w:b/>
          <w:i w:val="0"/>
          <w:noProof/>
          <w:color w:val="auto"/>
          <w:sz w:val="20"/>
          <w:szCs w:val="20"/>
          <w:lang w:val="en-US"/>
        </w:rPr>
        <w:t xml:space="preserve"> – Distribution of subsidies across different energy carriers and instruments</w:t>
      </w:r>
    </w:p>
    <w:p w14:paraId="36767EFB" w14:textId="13402340" w:rsidR="008236A3" w:rsidRDefault="00523E3F" w:rsidP="008236A3">
      <w:pPr>
        <w:spacing w:before="120" w:after="0"/>
        <w:jc w:val="both"/>
        <w:rPr>
          <w:rFonts w:ascii="Times New Roman" w:hAnsi="Times New Roman" w:cs="Times New Roman"/>
          <w:noProof/>
          <w:sz w:val="24"/>
          <w:szCs w:val="24"/>
          <w:lang w:val="en-IE"/>
        </w:rPr>
      </w:pPr>
      <w:r w:rsidRPr="00523E3F">
        <w:rPr>
          <w:rFonts w:ascii="Times New Roman" w:hAnsi="Times New Roman" w:cs="Times New Roman"/>
          <w:noProof/>
          <w:sz w:val="24"/>
          <w:szCs w:val="24"/>
          <w:lang w:val="en-GB" w:eastAsia="en-GB"/>
        </w:rPr>
        <w:drawing>
          <wp:inline distT="0" distB="0" distL="0" distR="0" wp14:anchorId="373291E3" wp14:editId="40FAC96A">
            <wp:extent cx="5731510" cy="1456690"/>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1456690"/>
                    </a:xfrm>
                    <a:prstGeom prst="rect">
                      <a:avLst/>
                    </a:prstGeom>
                  </pic:spPr>
                </pic:pic>
              </a:graphicData>
            </a:graphic>
          </wp:inline>
        </w:drawing>
      </w:r>
    </w:p>
    <w:p w14:paraId="4C4F012C" w14:textId="77777777" w:rsidR="008236A3" w:rsidRDefault="008236A3" w:rsidP="008236A3">
      <w:pPr>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p>
    <w:p w14:paraId="0BF46725" w14:textId="77777777" w:rsidR="00656B7F" w:rsidRPr="00656B7F" w:rsidRDefault="00656B7F" w:rsidP="00656B7F">
      <w:pPr>
        <w:pStyle w:val="ListParagraph"/>
        <w:numPr>
          <w:ilvl w:val="0"/>
          <w:numId w:val="1"/>
        </w:numPr>
        <w:spacing w:before="360"/>
        <w:contextualSpacing w:val="0"/>
        <w:outlineLvl w:val="1"/>
        <w:rPr>
          <w:rFonts w:ascii="Times New Roman" w:hAnsi="Times New Roman" w:cs="Times New Roman"/>
          <w:b/>
          <w:noProof/>
          <w:vanish/>
          <w:sz w:val="24"/>
          <w:szCs w:val="24"/>
          <w:lang w:val="en-IE"/>
        </w:rPr>
      </w:pPr>
    </w:p>
    <w:p w14:paraId="53E2D7CC" w14:textId="77777777" w:rsidR="00656B7F" w:rsidRPr="00656B7F" w:rsidRDefault="00656B7F" w:rsidP="00656B7F">
      <w:pPr>
        <w:pStyle w:val="ListParagraph"/>
        <w:numPr>
          <w:ilvl w:val="0"/>
          <w:numId w:val="1"/>
        </w:numPr>
        <w:spacing w:before="360"/>
        <w:contextualSpacing w:val="0"/>
        <w:outlineLvl w:val="1"/>
        <w:rPr>
          <w:rFonts w:ascii="Times New Roman" w:hAnsi="Times New Roman" w:cs="Times New Roman"/>
          <w:b/>
          <w:noProof/>
          <w:vanish/>
          <w:sz w:val="24"/>
          <w:szCs w:val="24"/>
          <w:lang w:val="en-IE"/>
        </w:rPr>
      </w:pPr>
    </w:p>
    <w:p w14:paraId="55923603" w14:textId="59836B8D" w:rsidR="0021742F" w:rsidRPr="00656B7F" w:rsidRDefault="0021742F" w:rsidP="00656B7F">
      <w:pPr>
        <w:pStyle w:val="Heading2"/>
        <w:rPr>
          <w:noProof/>
        </w:rPr>
      </w:pPr>
      <w:r w:rsidRPr="00656B7F">
        <w:rPr>
          <w:noProof/>
        </w:rPr>
        <w:t>Fossil</w:t>
      </w:r>
      <w:r w:rsidR="00531F6C">
        <w:rPr>
          <w:noProof/>
        </w:rPr>
        <w:t>-</w:t>
      </w:r>
      <w:r w:rsidRPr="00656B7F">
        <w:rPr>
          <w:noProof/>
        </w:rPr>
        <w:t>fuel subsidies in the EU</w:t>
      </w:r>
    </w:p>
    <w:p w14:paraId="652F0501" w14:textId="2E05746B" w:rsidR="003346A0" w:rsidRDefault="00F30504" w:rsidP="00971EE4">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b/>
          <w:noProof/>
          <w:sz w:val="24"/>
          <w:szCs w:val="24"/>
          <w:lang w:val="en-IE"/>
        </w:rPr>
        <w:t>F</w:t>
      </w:r>
      <w:r w:rsidR="00971EE4" w:rsidRPr="00971EE4">
        <w:rPr>
          <w:rFonts w:ascii="Times New Roman" w:hAnsi="Times New Roman" w:cs="Times New Roman"/>
          <w:b/>
          <w:noProof/>
          <w:sz w:val="24"/>
          <w:szCs w:val="24"/>
          <w:lang w:val="en-IE"/>
        </w:rPr>
        <w:t>ossil</w:t>
      </w:r>
      <w:r w:rsidR="00242670">
        <w:rPr>
          <w:rFonts w:ascii="Times New Roman" w:hAnsi="Times New Roman" w:cs="Times New Roman"/>
          <w:b/>
          <w:noProof/>
          <w:sz w:val="24"/>
          <w:szCs w:val="24"/>
          <w:lang w:val="en-IE"/>
        </w:rPr>
        <w:t>-</w:t>
      </w:r>
      <w:r w:rsidR="00971EE4" w:rsidRPr="00971EE4">
        <w:rPr>
          <w:rFonts w:ascii="Times New Roman" w:hAnsi="Times New Roman" w:cs="Times New Roman"/>
          <w:b/>
          <w:noProof/>
          <w:sz w:val="24"/>
          <w:szCs w:val="24"/>
          <w:lang w:val="en-IE"/>
        </w:rPr>
        <w:t>fuel subsidies</w:t>
      </w:r>
      <w:r w:rsidR="00971EE4">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fell </w:t>
      </w:r>
      <w:r w:rsidR="00FE245C">
        <w:rPr>
          <w:rFonts w:ascii="Times New Roman" w:hAnsi="Times New Roman" w:cs="Times New Roman"/>
          <w:noProof/>
          <w:sz w:val="24"/>
          <w:szCs w:val="24"/>
          <w:lang w:val="en-IE"/>
        </w:rPr>
        <w:t xml:space="preserve">by </w:t>
      </w:r>
      <w:r>
        <w:rPr>
          <w:rFonts w:ascii="Times New Roman" w:hAnsi="Times New Roman" w:cs="Times New Roman"/>
          <w:noProof/>
          <w:sz w:val="24"/>
          <w:szCs w:val="24"/>
          <w:lang w:val="en-IE"/>
        </w:rPr>
        <w:t>1.5</w:t>
      </w:r>
      <w:r w:rsidR="00FE245C">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in </w:t>
      </w:r>
      <w:r w:rsidR="00FE245C">
        <w:rPr>
          <w:rFonts w:ascii="Times New Roman" w:hAnsi="Times New Roman" w:cs="Times New Roman"/>
          <w:noProof/>
          <w:sz w:val="24"/>
          <w:szCs w:val="24"/>
          <w:lang w:val="en-IE"/>
        </w:rPr>
        <w:t>the EU</w:t>
      </w:r>
      <w:r>
        <w:rPr>
          <w:rFonts w:ascii="Times New Roman" w:hAnsi="Times New Roman" w:cs="Times New Roman"/>
          <w:noProof/>
          <w:sz w:val="24"/>
          <w:szCs w:val="24"/>
          <w:lang w:val="en-IE"/>
        </w:rPr>
        <w:t xml:space="preserve"> </w:t>
      </w:r>
      <w:r w:rsidR="00242670">
        <w:rPr>
          <w:rFonts w:ascii="Times New Roman" w:hAnsi="Times New Roman" w:cs="Times New Roman"/>
          <w:noProof/>
          <w:sz w:val="24"/>
          <w:szCs w:val="24"/>
          <w:lang w:val="en-IE"/>
        </w:rPr>
        <w:t xml:space="preserve">in the 5 years </w:t>
      </w:r>
      <w:r>
        <w:rPr>
          <w:rFonts w:ascii="Times New Roman" w:hAnsi="Times New Roman" w:cs="Times New Roman"/>
          <w:noProof/>
          <w:sz w:val="24"/>
          <w:szCs w:val="24"/>
          <w:lang w:val="en-IE"/>
        </w:rPr>
        <w:t>since 2015</w:t>
      </w:r>
      <w:r w:rsidR="00242670">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reach</w:t>
      </w:r>
      <w:r w:rsidR="00423032">
        <w:rPr>
          <w:rFonts w:ascii="Times New Roman" w:hAnsi="Times New Roman" w:cs="Times New Roman"/>
          <w:noProof/>
          <w:sz w:val="24"/>
          <w:szCs w:val="24"/>
          <w:lang w:val="en-IE"/>
        </w:rPr>
        <w:t>ing</w:t>
      </w:r>
      <w:r>
        <w:rPr>
          <w:rFonts w:ascii="Times New Roman" w:hAnsi="Times New Roman" w:cs="Times New Roman"/>
          <w:noProof/>
          <w:sz w:val="24"/>
          <w:szCs w:val="24"/>
          <w:lang w:val="en-IE"/>
        </w:rPr>
        <w:t xml:space="preserve"> </w:t>
      </w:r>
      <w:r w:rsidR="00423032">
        <w:rPr>
          <w:rFonts w:ascii="Times New Roman" w:hAnsi="Times New Roman" w:cs="Times New Roman"/>
          <w:noProof/>
          <w:sz w:val="24"/>
          <w:szCs w:val="24"/>
          <w:lang w:val="en-IE"/>
        </w:rPr>
        <w:t>EUR </w:t>
      </w:r>
      <w:r>
        <w:rPr>
          <w:rFonts w:ascii="Times New Roman" w:hAnsi="Times New Roman" w:cs="Times New Roman"/>
          <w:noProof/>
          <w:sz w:val="24"/>
          <w:szCs w:val="24"/>
          <w:lang w:val="en-IE"/>
        </w:rPr>
        <w:t>50</w:t>
      </w:r>
      <w:r w:rsidR="00242670">
        <w:rPr>
          <w:rFonts w:ascii="Times New Roman" w:hAnsi="Times New Roman" w:cs="Times New Roman"/>
          <w:noProof/>
          <w:sz w:val="24"/>
          <w:szCs w:val="24"/>
          <w:lang w:val="en-IE"/>
        </w:rPr>
        <w:t> </w:t>
      </w:r>
      <w:r>
        <w:rPr>
          <w:rFonts w:ascii="Times New Roman" w:hAnsi="Times New Roman" w:cs="Times New Roman"/>
          <w:noProof/>
          <w:sz w:val="24"/>
          <w:szCs w:val="24"/>
          <w:lang w:val="en-IE"/>
        </w:rPr>
        <w:t>billion</w:t>
      </w:r>
      <w:r w:rsidRPr="00F30504">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in 2020</w:t>
      </w:r>
      <w:r w:rsidR="00997D52">
        <w:rPr>
          <w:rStyle w:val="FootnoteReference"/>
          <w:rFonts w:ascii="Times New Roman" w:hAnsi="Times New Roman" w:cs="Times New Roman"/>
          <w:noProof/>
          <w:sz w:val="24"/>
          <w:szCs w:val="24"/>
          <w:lang w:val="en-IE"/>
        </w:rPr>
        <w:footnoteReference w:id="26"/>
      </w:r>
      <w:r>
        <w:rPr>
          <w:rFonts w:ascii="Times New Roman" w:hAnsi="Times New Roman" w:cs="Times New Roman"/>
          <w:noProof/>
          <w:sz w:val="24"/>
          <w:szCs w:val="24"/>
          <w:lang w:val="en-IE"/>
        </w:rPr>
        <w:t>.</w:t>
      </w:r>
      <w:r w:rsidR="00971EE4">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In 2020, fossil</w:t>
      </w:r>
      <w:r w:rsidR="00242670">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w:t>
      </w:r>
      <w:r w:rsidR="00242670">
        <w:rPr>
          <w:rFonts w:ascii="Times New Roman" w:hAnsi="Times New Roman" w:cs="Times New Roman"/>
          <w:noProof/>
          <w:sz w:val="24"/>
          <w:szCs w:val="24"/>
          <w:lang w:val="en-IE"/>
        </w:rPr>
        <w:t xml:space="preserve">were EUR </w:t>
      </w:r>
      <w:r>
        <w:rPr>
          <w:rFonts w:ascii="Times New Roman" w:hAnsi="Times New Roman" w:cs="Times New Roman"/>
          <w:noProof/>
          <w:sz w:val="24"/>
          <w:szCs w:val="24"/>
          <w:lang w:val="en-IE"/>
        </w:rPr>
        <w:t xml:space="preserve">3 billion </w:t>
      </w:r>
      <w:r w:rsidR="00242670">
        <w:rPr>
          <w:rFonts w:ascii="Times New Roman" w:hAnsi="Times New Roman" w:cs="Times New Roman"/>
          <w:noProof/>
          <w:sz w:val="24"/>
          <w:szCs w:val="24"/>
          <w:lang w:val="en-IE"/>
        </w:rPr>
        <w:t>less than in</w:t>
      </w:r>
      <w:r>
        <w:rPr>
          <w:rFonts w:ascii="Times New Roman" w:hAnsi="Times New Roman" w:cs="Times New Roman"/>
          <w:noProof/>
          <w:sz w:val="24"/>
          <w:szCs w:val="24"/>
          <w:lang w:val="en-IE"/>
        </w:rPr>
        <w:t xml:space="preserve"> 2019, p</w:t>
      </w:r>
      <w:r w:rsidR="00612B96">
        <w:rPr>
          <w:rFonts w:ascii="Times New Roman" w:hAnsi="Times New Roman" w:cs="Times New Roman"/>
          <w:noProof/>
          <w:sz w:val="24"/>
          <w:szCs w:val="24"/>
          <w:lang w:val="en-IE"/>
        </w:rPr>
        <w:t xml:space="preserve">rincipally owing to </w:t>
      </w:r>
      <w:r w:rsidR="00242670">
        <w:rPr>
          <w:rFonts w:ascii="Times New Roman" w:hAnsi="Times New Roman" w:cs="Times New Roman"/>
          <w:noProof/>
          <w:sz w:val="24"/>
          <w:szCs w:val="24"/>
          <w:lang w:val="en-IE"/>
        </w:rPr>
        <w:t xml:space="preserve">reduced </w:t>
      </w:r>
      <w:r w:rsidR="00612B96">
        <w:rPr>
          <w:rFonts w:ascii="Times New Roman" w:hAnsi="Times New Roman" w:cs="Times New Roman"/>
          <w:noProof/>
          <w:sz w:val="24"/>
          <w:szCs w:val="24"/>
          <w:lang w:val="en-IE"/>
        </w:rPr>
        <w:t>transport activities</w:t>
      </w:r>
      <w:r w:rsidR="00FB5011">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However, looking at the estimated 2021 data, </w:t>
      </w:r>
      <w:r w:rsidR="00BB7900">
        <w:rPr>
          <w:rFonts w:ascii="Times New Roman" w:hAnsi="Times New Roman" w:cs="Times New Roman"/>
          <w:noProof/>
          <w:sz w:val="24"/>
          <w:szCs w:val="24"/>
          <w:lang w:val="en-IE"/>
        </w:rPr>
        <w:t xml:space="preserve">overall </w:t>
      </w:r>
      <w:r>
        <w:rPr>
          <w:rFonts w:ascii="Times New Roman" w:hAnsi="Times New Roman" w:cs="Times New Roman"/>
          <w:noProof/>
          <w:sz w:val="24"/>
          <w:szCs w:val="24"/>
          <w:lang w:val="en-IE"/>
        </w:rPr>
        <w:t>fossil</w:t>
      </w:r>
      <w:r w:rsidR="00242670">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in the EU did not show a sharp upturn with the economic rebound, </w:t>
      </w:r>
      <w:r w:rsidR="00242670">
        <w:rPr>
          <w:rFonts w:ascii="Times New Roman" w:hAnsi="Times New Roman" w:cs="Times New Roman"/>
          <w:noProof/>
          <w:sz w:val="24"/>
          <w:szCs w:val="24"/>
          <w:lang w:val="en-IE"/>
        </w:rPr>
        <w:t xml:space="preserve">but instead </w:t>
      </w:r>
      <w:r>
        <w:rPr>
          <w:rFonts w:ascii="Times New Roman" w:hAnsi="Times New Roman" w:cs="Times New Roman"/>
          <w:noProof/>
          <w:sz w:val="24"/>
          <w:szCs w:val="24"/>
          <w:lang w:val="en-IE"/>
        </w:rPr>
        <w:t>stayed close to the</w:t>
      </w:r>
      <w:r w:rsidR="00242670">
        <w:rPr>
          <w:rFonts w:ascii="Times New Roman" w:hAnsi="Times New Roman" w:cs="Times New Roman"/>
          <w:noProof/>
          <w:sz w:val="24"/>
          <w:szCs w:val="24"/>
          <w:lang w:val="en-IE"/>
        </w:rPr>
        <w:t>ir</w:t>
      </w:r>
      <w:r>
        <w:rPr>
          <w:rFonts w:ascii="Times New Roman" w:hAnsi="Times New Roman" w:cs="Times New Roman"/>
          <w:noProof/>
          <w:sz w:val="24"/>
          <w:szCs w:val="24"/>
          <w:lang w:val="en-IE"/>
        </w:rPr>
        <w:t xml:space="preserve"> 2020 level. This was the result of differen</w:t>
      </w:r>
      <w:r w:rsidR="00242670">
        <w:rPr>
          <w:rFonts w:ascii="Times New Roman" w:hAnsi="Times New Roman" w:cs="Times New Roman"/>
          <w:noProof/>
          <w:sz w:val="24"/>
          <w:szCs w:val="24"/>
          <w:lang w:val="en-IE"/>
        </w:rPr>
        <w:t>ces in</w:t>
      </w:r>
      <w:r>
        <w:rPr>
          <w:rFonts w:ascii="Times New Roman" w:hAnsi="Times New Roman" w:cs="Times New Roman"/>
          <w:noProof/>
          <w:sz w:val="24"/>
          <w:szCs w:val="24"/>
          <w:lang w:val="en-IE"/>
        </w:rPr>
        <w:t xml:space="preserve"> fossil</w:t>
      </w:r>
      <w:r w:rsidR="00886D31">
        <w:rPr>
          <w:rFonts w:ascii="Times New Roman" w:hAnsi="Times New Roman" w:cs="Times New Roman"/>
          <w:noProof/>
          <w:sz w:val="24"/>
          <w:szCs w:val="24"/>
          <w:lang w:val="en-IE"/>
        </w:rPr>
        <w:t>-</w:t>
      </w:r>
      <w:r>
        <w:rPr>
          <w:rFonts w:ascii="Times New Roman" w:hAnsi="Times New Roman" w:cs="Times New Roman"/>
          <w:noProof/>
          <w:sz w:val="24"/>
          <w:szCs w:val="24"/>
          <w:lang w:val="en-IE"/>
        </w:rPr>
        <w:t>fuel subsidies in different economic sectors</w:t>
      </w:r>
      <w:r w:rsidR="00116930">
        <w:rPr>
          <w:rFonts w:ascii="Times New Roman" w:hAnsi="Times New Roman" w:cs="Times New Roman"/>
          <w:noProof/>
          <w:sz w:val="24"/>
          <w:szCs w:val="24"/>
          <w:lang w:val="en-IE"/>
        </w:rPr>
        <w:t>, as it is outlined in the following paragraphs.</w:t>
      </w:r>
    </w:p>
    <w:p w14:paraId="57DFD120" w14:textId="20C5422F" w:rsidR="00971EE4" w:rsidRDefault="00F30504" w:rsidP="00971EE4">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F</w:t>
      </w:r>
      <w:r w:rsidR="00971EE4">
        <w:rPr>
          <w:rFonts w:ascii="Times New Roman" w:hAnsi="Times New Roman" w:cs="Times New Roman"/>
          <w:noProof/>
          <w:sz w:val="24"/>
          <w:szCs w:val="24"/>
          <w:lang w:val="en-IE"/>
        </w:rPr>
        <w:t>ossil</w:t>
      </w:r>
      <w:r w:rsidR="00242670">
        <w:rPr>
          <w:rFonts w:ascii="Times New Roman" w:hAnsi="Times New Roman" w:cs="Times New Roman"/>
          <w:noProof/>
          <w:sz w:val="24"/>
          <w:szCs w:val="24"/>
          <w:lang w:val="en-IE"/>
        </w:rPr>
        <w:t>-</w:t>
      </w:r>
      <w:r w:rsidR="00971EE4">
        <w:rPr>
          <w:rFonts w:ascii="Times New Roman" w:hAnsi="Times New Roman" w:cs="Times New Roman"/>
          <w:noProof/>
          <w:sz w:val="24"/>
          <w:szCs w:val="24"/>
          <w:lang w:val="en-IE"/>
        </w:rPr>
        <w:t>fuel s</w:t>
      </w:r>
      <w:r w:rsidR="00FE245C">
        <w:rPr>
          <w:rFonts w:ascii="Times New Roman" w:hAnsi="Times New Roman" w:cs="Times New Roman"/>
          <w:noProof/>
          <w:sz w:val="24"/>
          <w:szCs w:val="24"/>
          <w:lang w:val="en-IE"/>
        </w:rPr>
        <w:t>ubsidies</w:t>
      </w:r>
      <w:r w:rsidR="00DC3EC8">
        <w:rPr>
          <w:rFonts w:ascii="Times New Roman" w:hAnsi="Times New Roman" w:cs="Times New Roman"/>
          <w:noProof/>
          <w:sz w:val="24"/>
          <w:szCs w:val="24"/>
          <w:lang w:val="en-IE"/>
        </w:rPr>
        <w:t xml:space="preserve"> in the </w:t>
      </w:r>
      <w:r w:rsidR="00DC3EC8" w:rsidRPr="00971EE4">
        <w:rPr>
          <w:rFonts w:ascii="Times New Roman" w:hAnsi="Times New Roman" w:cs="Times New Roman"/>
          <w:b/>
          <w:noProof/>
          <w:sz w:val="24"/>
          <w:szCs w:val="24"/>
          <w:lang w:val="en-IE"/>
        </w:rPr>
        <w:t>energy sector</w:t>
      </w:r>
      <w:r w:rsidR="00FE245C">
        <w:rPr>
          <w:rFonts w:ascii="Times New Roman" w:hAnsi="Times New Roman" w:cs="Times New Roman"/>
          <w:noProof/>
          <w:sz w:val="24"/>
          <w:szCs w:val="24"/>
          <w:lang w:val="en-IE"/>
        </w:rPr>
        <w:t xml:space="preserve"> fell by </w:t>
      </w:r>
      <w:r w:rsidR="00242670">
        <w:rPr>
          <w:rFonts w:ascii="Times New Roman" w:hAnsi="Times New Roman" w:cs="Times New Roman"/>
          <w:noProof/>
          <w:sz w:val="24"/>
          <w:szCs w:val="24"/>
          <w:lang w:val="en-IE"/>
        </w:rPr>
        <w:t xml:space="preserve">EUR </w:t>
      </w:r>
      <w:r w:rsidR="00FE245C">
        <w:rPr>
          <w:rFonts w:ascii="Times New Roman" w:hAnsi="Times New Roman" w:cs="Times New Roman"/>
          <w:noProof/>
          <w:sz w:val="24"/>
          <w:szCs w:val="24"/>
          <w:lang w:val="en-IE"/>
        </w:rPr>
        <w:t>1.</w:t>
      </w:r>
      <w:r>
        <w:rPr>
          <w:rFonts w:ascii="Times New Roman" w:hAnsi="Times New Roman" w:cs="Times New Roman"/>
          <w:noProof/>
          <w:sz w:val="24"/>
          <w:szCs w:val="24"/>
          <w:lang w:val="en-IE"/>
        </w:rPr>
        <w:t>9</w:t>
      </w:r>
      <w:r w:rsidR="00FE245C">
        <w:rPr>
          <w:rFonts w:ascii="Times New Roman" w:hAnsi="Times New Roman" w:cs="Times New Roman"/>
          <w:noProof/>
          <w:sz w:val="24"/>
          <w:szCs w:val="24"/>
          <w:lang w:val="en-IE"/>
        </w:rPr>
        <w:t xml:space="preserve"> billion (</w:t>
      </w:r>
      <w:r w:rsidR="00FA31F4">
        <w:rPr>
          <w:rFonts w:ascii="Times New Roman" w:hAnsi="Times New Roman" w:cs="Times New Roman"/>
          <w:noProof/>
          <w:sz w:val="24"/>
          <w:szCs w:val="24"/>
          <w:lang w:val="en-IE"/>
        </w:rPr>
        <w:t>-</w:t>
      </w:r>
      <w:r>
        <w:rPr>
          <w:rFonts w:ascii="Times New Roman" w:hAnsi="Times New Roman" w:cs="Times New Roman"/>
          <w:noProof/>
          <w:sz w:val="24"/>
          <w:szCs w:val="24"/>
          <w:lang w:val="en-IE"/>
        </w:rPr>
        <w:t>11</w:t>
      </w:r>
      <w:r w:rsidR="00971EE4">
        <w:rPr>
          <w:rFonts w:ascii="Times New Roman" w:hAnsi="Times New Roman" w:cs="Times New Roman"/>
          <w:noProof/>
          <w:sz w:val="24"/>
          <w:szCs w:val="24"/>
          <w:lang w:val="en-IE"/>
        </w:rPr>
        <w:t>%) between 2015 and 20</w:t>
      </w:r>
      <w:r>
        <w:rPr>
          <w:rFonts w:ascii="Times New Roman" w:hAnsi="Times New Roman" w:cs="Times New Roman"/>
          <w:noProof/>
          <w:sz w:val="24"/>
          <w:szCs w:val="24"/>
          <w:lang w:val="en-IE"/>
        </w:rPr>
        <w:t>20</w:t>
      </w:r>
      <w:r w:rsidR="00971EE4" w:rsidRPr="002464D6">
        <w:rPr>
          <w:rFonts w:ascii="Times New Roman" w:hAnsi="Times New Roman" w:cs="Times New Roman"/>
          <w:noProof/>
          <w:sz w:val="24"/>
          <w:szCs w:val="24"/>
          <w:lang w:val="en-IE"/>
        </w:rPr>
        <w:t>,</w:t>
      </w:r>
      <w:r w:rsidR="00971EE4">
        <w:rPr>
          <w:rFonts w:ascii="Times New Roman" w:hAnsi="Times New Roman" w:cs="Times New Roman"/>
          <w:noProof/>
          <w:sz w:val="24"/>
          <w:szCs w:val="24"/>
          <w:lang w:val="en-IE"/>
        </w:rPr>
        <w:t xml:space="preserve"> mainly</w:t>
      </w:r>
      <w:r w:rsidR="00B72327">
        <w:rPr>
          <w:rFonts w:ascii="Times New Roman" w:hAnsi="Times New Roman" w:cs="Times New Roman"/>
          <w:noProof/>
          <w:sz w:val="24"/>
          <w:szCs w:val="24"/>
          <w:lang w:val="en-IE"/>
        </w:rPr>
        <w:t xml:space="preserve"> as</w:t>
      </w:r>
      <w:r w:rsidR="00971EE4">
        <w:rPr>
          <w:rFonts w:ascii="Times New Roman" w:hAnsi="Times New Roman" w:cs="Times New Roman"/>
          <w:noProof/>
          <w:sz w:val="24"/>
          <w:szCs w:val="24"/>
          <w:lang w:val="en-IE"/>
        </w:rPr>
        <w:t xml:space="preserve"> </w:t>
      </w:r>
      <w:r w:rsidR="00B72327">
        <w:rPr>
          <w:rFonts w:ascii="Times New Roman" w:hAnsi="Times New Roman" w:cs="Times New Roman"/>
          <w:noProof/>
          <w:sz w:val="24"/>
          <w:szCs w:val="24"/>
          <w:lang w:val="en-IE"/>
        </w:rPr>
        <w:t>a</w:t>
      </w:r>
      <w:r w:rsidR="00971EE4">
        <w:rPr>
          <w:rFonts w:ascii="Times New Roman" w:hAnsi="Times New Roman" w:cs="Times New Roman"/>
          <w:noProof/>
          <w:sz w:val="24"/>
          <w:szCs w:val="24"/>
          <w:lang w:val="en-IE"/>
        </w:rPr>
        <w:t xml:space="preserve"> consequence of decreasing subsidies </w:t>
      </w:r>
      <w:r>
        <w:rPr>
          <w:rFonts w:ascii="Times New Roman" w:hAnsi="Times New Roman" w:cs="Times New Roman"/>
          <w:noProof/>
          <w:sz w:val="24"/>
          <w:szCs w:val="24"/>
          <w:lang w:val="en-IE"/>
        </w:rPr>
        <w:t>on non-fuel</w:t>
      </w:r>
      <w:r w:rsidR="00242670">
        <w:rPr>
          <w:rFonts w:ascii="Times New Roman" w:hAnsi="Times New Roman" w:cs="Times New Roman"/>
          <w:noProof/>
          <w:sz w:val="24"/>
          <w:szCs w:val="24"/>
          <w:lang w:val="en-IE"/>
        </w:rPr>
        <w:t>-</w:t>
      </w:r>
      <w:r>
        <w:rPr>
          <w:rFonts w:ascii="Times New Roman" w:hAnsi="Times New Roman" w:cs="Times New Roman"/>
          <w:noProof/>
          <w:sz w:val="24"/>
          <w:szCs w:val="24"/>
          <w:lang w:val="en-IE"/>
        </w:rPr>
        <w:t>specific and multi</w:t>
      </w:r>
      <w:r w:rsidR="00242670">
        <w:rPr>
          <w:rFonts w:ascii="Times New Roman" w:hAnsi="Times New Roman" w:cs="Times New Roman"/>
          <w:noProof/>
          <w:sz w:val="24"/>
          <w:szCs w:val="24"/>
          <w:lang w:val="en-IE"/>
        </w:rPr>
        <w:t>-</w:t>
      </w:r>
      <w:r>
        <w:rPr>
          <w:rFonts w:ascii="Times New Roman" w:hAnsi="Times New Roman" w:cs="Times New Roman"/>
          <w:noProof/>
          <w:sz w:val="24"/>
          <w:szCs w:val="24"/>
          <w:lang w:val="en-IE"/>
        </w:rPr>
        <w:t>fossil</w:t>
      </w:r>
      <w:r w:rsidR="00242670">
        <w:rPr>
          <w:rFonts w:ascii="Times New Roman" w:hAnsi="Times New Roman" w:cs="Times New Roman"/>
          <w:noProof/>
          <w:sz w:val="24"/>
          <w:szCs w:val="24"/>
          <w:lang w:val="en-IE"/>
        </w:rPr>
        <w:t>-</w:t>
      </w:r>
      <w:r>
        <w:rPr>
          <w:rFonts w:ascii="Times New Roman" w:hAnsi="Times New Roman" w:cs="Times New Roman"/>
          <w:noProof/>
          <w:sz w:val="24"/>
          <w:szCs w:val="24"/>
          <w:lang w:val="en-IE"/>
        </w:rPr>
        <w:t>fuel subsidies, whereas subsidies specifically assigned to coal</w:t>
      </w:r>
      <w:r w:rsidR="001A017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lignite and natural gas remained practically unchanged. All in all, decreasing subsidisation of fossil</w:t>
      </w:r>
      <w:r w:rsidR="007D1383">
        <w:rPr>
          <w:rFonts w:ascii="Times New Roman" w:hAnsi="Times New Roman" w:cs="Times New Roman"/>
          <w:noProof/>
          <w:sz w:val="24"/>
          <w:szCs w:val="24"/>
          <w:lang w:val="en-IE"/>
        </w:rPr>
        <w:t xml:space="preserve"> fuels</w:t>
      </w:r>
      <w:r>
        <w:rPr>
          <w:rFonts w:ascii="Times New Roman" w:hAnsi="Times New Roman" w:cs="Times New Roman"/>
          <w:noProof/>
          <w:sz w:val="24"/>
          <w:szCs w:val="24"/>
          <w:lang w:val="en-IE"/>
        </w:rPr>
        <w:t xml:space="preserve"> </w:t>
      </w:r>
      <w:r w:rsidR="003658F8">
        <w:rPr>
          <w:rFonts w:ascii="Times New Roman" w:hAnsi="Times New Roman" w:cs="Times New Roman"/>
          <w:noProof/>
          <w:sz w:val="24"/>
          <w:szCs w:val="24"/>
          <w:lang w:val="en-IE"/>
        </w:rPr>
        <w:t xml:space="preserve">in energy production </w:t>
      </w:r>
      <w:r>
        <w:rPr>
          <w:rFonts w:ascii="Times New Roman" w:hAnsi="Times New Roman" w:cs="Times New Roman"/>
          <w:noProof/>
          <w:sz w:val="24"/>
          <w:szCs w:val="24"/>
          <w:lang w:val="en-IE"/>
        </w:rPr>
        <w:t>is</w:t>
      </w:r>
      <w:r w:rsidR="00971EE4">
        <w:rPr>
          <w:rFonts w:ascii="Times New Roman" w:hAnsi="Times New Roman" w:cs="Times New Roman"/>
          <w:noProof/>
          <w:sz w:val="24"/>
          <w:szCs w:val="24"/>
          <w:lang w:val="en-IE"/>
        </w:rPr>
        <w:t xml:space="preserve"> </w:t>
      </w:r>
      <w:r w:rsidR="00B72327">
        <w:rPr>
          <w:rFonts w:ascii="Times New Roman" w:hAnsi="Times New Roman" w:cs="Times New Roman"/>
          <w:noProof/>
          <w:sz w:val="24"/>
          <w:szCs w:val="24"/>
          <w:lang w:val="en-IE"/>
        </w:rPr>
        <w:t xml:space="preserve">a positive development </w:t>
      </w:r>
      <w:r w:rsidR="00242670">
        <w:rPr>
          <w:rFonts w:ascii="Times New Roman" w:hAnsi="Times New Roman" w:cs="Times New Roman"/>
          <w:noProof/>
          <w:sz w:val="24"/>
          <w:szCs w:val="24"/>
          <w:lang w:val="en-IE"/>
        </w:rPr>
        <w:t>for</w:t>
      </w:r>
      <w:r w:rsidR="00971EE4">
        <w:rPr>
          <w:rFonts w:ascii="Times New Roman" w:hAnsi="Times New Roman" w:cs="Times New Roman"/>
          <w:noProof/>
          <w:sz w:val="24"/>
          <w:szCs w:val="24"/>
          <w:lang w:val="en-IE"/>
        </w:rPr>
        <w:t xml:space="preserve"> </w:t>
      </w:r>
      <w:r w:rsidR="00242670">
        <w:rPr>
          <w:rFonts w:ascii="Times New Roman" w:hAnsi="Times New Roman" w:cs="Times New Roman"/>
          <w:noProof/>
          <w:sz w:val="24"/>
          <w:szCs w:val="24"/>
          <w:lang w:val="en-IE"/>
        </w:rPr>
        <w:t xml:space="preserve">the EU’s </w:t>
      </w:r>
      <w:r w:rsidR="00971EE4">
        <w:rPr>
          <w:rFonts w:ascii="Times New Roman" w:hAnsi="Times New Roman" w:cs="Times New Roman"/>
          <w:noProof/>
          <w:sz w:val="24"/>
          <w:szCs w:val="24"/>
          <w:lang w:val="en-IE"/>
        </w:rPr>
        <w:t xml:space="preserve">climate objectives </w:t>
      </w:r>
      <w:r w:rsidR="00D3165D">
        <w:rPr>
          <w:rFonts w:ascii="Times New Roman" w:hAnsi="Times New Roman" w:cs="Times New Roman"/>
          <w:noProof/>
          <w:sz w:val="24"/>
          <w:szCs w:val="24"/>
          <w:lang w:val="en-IE"/>
        </w:rPr>
        <w:t>and international commitments</w:t>
      </w:r>
      <w:r w:rsidR="00971EE4">
        <w:rPr>
          <w:rFonts w:ascii="Times New Roman" w:hAnsi="Times New Roman" w:cs="Times New Roman"/>
          <w:noProof/>
          <w:sz w:val="24"/>
          <w:szCs w:val="24"/>
          <w:lang w:val="en-IE"/>
        </w:rPr>
        <w:t>.</w:t>
      </w:r>
      <w:r w:rsidR="00794A47" w:rsidRPr="00794A47">
        <w:rPr>
          <w:rFonts w:ascii="Times New Roman" w:hAnsi="Times New Roman" w:cs="Times New Roman"/>
          <w:noProof/>
          <w:sz w:val="24"/>
          <w:szCs w:val="24"/>
          <w:lang w:val="en-IE"/>
        </w:rPr>
        <w:t xml:space="preserve"> </w:t>
      </w:r>
      <w:r w:rsidR="00794A47">
        <w:rPr>
          <w:rFonts w:ascii="Times New Roman" w:hAnsi="Times New Roman" w:cs="Times New Roman"/>
          <w:noProof/>
          <w:sz w:val="24"/>
          <w:szCs w:val="24"/>
          <w:lang w:val="en-IE"/>
        </w:rPr>
        <w:t>In 202</w:t>
      </w:r>
      <w:r>
        <w:rPr>
          <w:rFonts w:ascii="Times New Roman" w:hAnsi="Times New Roman" w:cs="Times New Roman"/>
          <w:noProof/>
          <w:sz w:val="24"/>
          <w:szCs w:val="24"/>
          <w:lang w:val="en-IE"/>
        </w:rPr>
        <w:t>1</w:t>
      </w:r>
      <w:r w:rsidR="00794A47">
        <w:rPr>
          <w:rFonts w:ascii="Times New Roman" w:hAnsi="Times New Roman" w:cs="Times New Roman"/>
          <w:noProof/>
          <w:sz w:val="24"/>
          <w:szCs w:val="24"/>
          <w:lang w:val="en-IE"/>
        </w:rPr>
        <w:t>, fossil</w:t>
      </w:r>
      <w:r w:rsidR="00242670">
        <w:rPr>
          <w:rFonts w:ascii="Times New Roman" w:hAnsi="Times New Roman" w:cs="Times New Roman"/>
          <w:noProof/>
          <w:sz w:val="24"/>
          <w:szCs w:val="24"/>
          <w:lang w:val="en-IE"/>
        </w:rPr>
        <w:t>-</w:t>
      </w:r>
      <w:r w:rsidR="00794A47">
        <w:rPr>
          <w:rFonts w:ascii="Times New Roman" w:hAnsi="Times New Roman" w:cs="Times New Roman"/>
          <w:noProof/>
          <w:sz w:val="24"/>
          <w:szCs w:val="24"/>
          <w:lang w:val="en-IE"/>
        </w:rPr>
        <w:t>fuel subsidies continued t</w:t>
      </w:r>
      <w:r>
        <w:rPr>
          <w:rFonts w:ascii="Times New Roman" w:hAnsi="Times New Roman" w:cs="Times New Roman"/>
          <w:noProof/>
          <w:sz w:val="24"/>
          <w:szCs w:val="24"/>
          <w:lang w:val="en-IE"/>
        </w:rPr>
        <w:t xml:space="preserve">o decrease in the energy sector, and were 25% </w:t>
      </w:r>
      <w:r w:rsidR="00D93D42">
        <w:rPr>
          <w:rFonts w:ascii="Times New Roman" w:hAnsi="Times New Roman" w:cs="Times New Roman"/>
          <w:noProof/>
          <w:sz w:val="24"/>
          <w:szCs w:val="24"/>
          <w:lang w:val="en-IE"/>
        </w:rPr>
        <w:t>lower than in</w:t>
      </w:r>
      <w:r>
        <w:rPr>
          <w:rFonts w:ascii="Times New Roman" w:hAnsi="Times New Roman" w:cs="Times New Roman"/>
          <w:noProof/>
          <w:sz w:val="24"/>
          <w:szCs w:val="24"/>
          <w:lang w:val="en-IE"/>
        </w:rPr>
        <w:t xml:space="preserve"> 2015.</w:t>
      </w:r>
    </w:p>
    <w:p w14:paraId="4066A9B1" w14:textId="6DAE89A0" w:rsidR="00971EE4" w:rsidRDefault="00E87665" w:rsidP="00971EE4">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w:t>
      </w:r>
      <w:r w:rsidR="00971EE4">
        <w:rPr>
          <w:rFonts w:ascii="Times New Roman" w:hAnsi="Times New Roman" w:cs="Times New Roman"/>
          <w:noProof/>
          <w:sz w:val="24"/>
          <w:szCs w:val="24"/>
          <w:lang w:val="en-IE"/>
        </w:rPr>
        <w:t xml:space="preserve">n the </w:t>
      </w:r>
      <w:r w:rsidR="00971EE4" w:rsidRPr="00971EE4">
        <w:rPr>
          <w:rFonts w:ascii="Times New Roman" w:hAnsi="Times New Roman" w:cs="Times New Roman"/>
          <w:b/>
          <w:noProof/>
          <w:sz w:val="24"/>
          <w:szCs w:val="24"/>
          <w:lang w:val="en-IE"/>
        </w:rPr>
        <w:t>transport sector</w:t>
      </w:r>
      <w:r>
        <w:rPr>
          <w:rFonts w:ascii="Times New Roman" w:hAnsi="Times New Roman" w:cs="Times New Roman"/>
          <w:b/>
          <w:noProof/>
          <w:sz w:val="24"/>
          <w:szCs w:val="24"/>
          <w:lang w:val="en-IE"/>
        </w:rPr>
        <w:t xml:space="preserve">, </w:t>
      </w:r>
      <w:r w:rsidRPr="00E87665">
        <w:rPr>
          <w:rFonts w:ascii="Times New Roman" w:hAnsi="Times New Roman" w:cs="Times New Roman"/>
          <w:noProof/>
          <w:sz w:val="24"/>
          <w:szCs w:val="24"/>
          <w:lang w:val="en-IE"/>
        </w:rPr>
        <w:t>fossil</w:t>
      </w:r>
      <w:r w:rsidR="00D93D42">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(primarily </w:t>
      </w:r>
      <w:r w:rsidR="00BB7900">
        <w:rPr>
          <w:rFonts w:ascii="Times New Roman" w:hAnsi="Times New Roman" w:cs="Times New Roman"/>
          <w:noProof/>
          <w:sz w:val="24"/>
          <w:szCs w:val="24"/>
          <w:lang w:val="en-IE"/>
        </w:rPr>
        <w:t xml:space="preserve">on </w:t>
      </w:r>
      <w:r>
        <w:rPr>
          <w:rFonts w:ascii="Times New Roman" w:hAnsi="Times New Roman" w:cs="Times New Roman"/>
          <w:noProof/>
          <w:sz w:val="24"/>
          <w:szCs w:val="24"/>
          <w:lang w:val="en-IE"/>
        </w:rPr>
        <w:t xml:space="preserve">oil products) </w:t>
      </w:r>
      <w:r w:rsidR="00D93D42">
        <w:rPr>
          <w:rFonts w:ascii="Times New Roman" w:hAnsi="Times New Roman" w:cs="Times New Roman"/>
          <w:noProof/>
          <w:sz w:val="24"/>
          <w:szCs w:val="24"/>
          <w:lang w:val="en-IE"/>
        </w:rPr>
        <w:t xml:space="preserve">increased dramatically </w:t>
      </w:r>
      <w:r w:rsidR="005C3757">
        <w:rPr>
          <w:rFonts w:ascii="Times New Roman" w:hAnsi="Times New Roman" w:cs="Times New Roman"/>
          <w:noProof/>
          <w:sz w:val="24"/>
          <w:szCs w:val="24"/>
          <w:lang w:val="en-IE"/>
        </w:rPr>
        <w:t>(</w:t>
      </w:r>
      <w:r w:rsidR="00045B1A">
        <w:rPr>
          <w:rFonts w:ascii="Times New Roman" w:hAnsi="Times New Roman" w:cs="Times New Roman"/>
          <w:noProof/>
          <w:sz w:val="24"/>
          <w:szCs w:val="24"/>
          <w:lang w:val="en-IE"/>
        </w:rPr>
        <w:t xml:space="preserve">by </w:t>
      </w:r>
      <w:r w:rsidR="005C3757">
        <w:rPr>
          <w:rFonts w:ascii="Times New Roman" w:hAnsi="Times New Roman" w:cs="Times New Roman"/>
          <w:noProof/>
          <w:sz w:val="24"/>
          <w:szCs w:val="24"/>
          <w:lang w:val="en-IE"/>
        </w:rPr>
        <w:t>29%</w:t>
      </w:r>
      <w:r w:rsidR="00045B1A">
        <w:rPr>
          <w:rFonts w:ascii="Times New Roman" w:hAnsi="Times New Roman" w:cs="Times New Roman"/>
          <w:noProof/>
          <w:sz w:val="24"/>
          <w:szCs w:val="24"/>
          <w:lang w:val="en-IE"/>
        </w:rPr>
        <w:t>, or EUR 3.1 billion</w:t>
      </w:r>
      <w:r w:rsidR="005C3757">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between 2015 and 2019, </w:t>
      </w:r>
      <w:r w:rsidR="00D93D42">
        <w:rPr>
          <w:rFonts w:ascii="Times New Roman" w:hAnsi="Times New Roman" w:cs="Times New Roman"/>
          <w:noProof/>
          <w:sz w:val="24"/>
          <w:szCs w:val="24"/>
          <w:lang w:val="en-IE"/>
        </w:rPr>
        <w:t xml:space="preserve">before </w:t>
      </w:r>
      <w:r>
        <w:rPr>
          <w:rFonts w:ascii="Times New Roman" w:hAnsi="Times New Roman" w:cs="Times New Roman"/>
          <w:noProof/>
          <w:sz w:val="24"/>
          <w:szCs w:val="24"/>
          <w:lang w:val="en-IE"/>
        </w:rPr>
        <w:t>f</w:t>
      </w:r>
      <w:r w:rsidR="00BB7900">
        <w:rPr>
          <w:rFonts w:ascii="Times New Roman" w:hAnsi="Times New Roman" w:cs="Times New Roman"/>
          <w:noProof/>
          <w:sz w:val="24"/>
          <w:szCs w:val="24"/>
          <w:lang w:val="en-IE"/>
        </w:rPr>
        <w:t>alling</w:t>
      </w:r>
      <w:r>
        <w:rPr>
          <w:rFonts w:ascii="Times New Roman" w:hAnsi="Times New Roman" w:cs="Times New Roman"/>
          <w:noProof/>
          <w:sz w:val="24"/>
          <w:szCs w:val="24"/>
          <w:lang w:val="en-IE"/>
        </w:rPr>
        <w:t xml:space="preserve"> back in 2020 by </w:t>
      </w:r>
      <w:r w:rsidR="00D93D42">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3 billion (primarily owing to lower petroleum consumption) and</w:t>
      </w:r>
      <w:r w:rsidRPr="00E87665">
        <w:rPr>
          <w:rFonts w:ascii="Times New Roman" w:hAnsi="Times New Roman" w:cs="Times New Roman"/>
          <w:noProof/>
          <w:sz w:val="24"/>
          <w:szCs w:val="24"/>
          <w:lang w:val="en-IE"/>
        </w:rPr>
        <w:t xml:space="preserve"> </w:t>
      </w:r>
      <w:r w:rsidR="00971EE4">
        <w:rPr>
          <w:rFonts w:ascii="Times New Roman" w:hAnsi="Times New Roman" w:cs="Times New Roman"/>
          <w:noProof/>
          <w:sz w:val="24"/>
          <w:szCs w:val="24"/>
          <w:lang w:val="en-IE"/>
        </w:rPr>
        <w:t>r</w:t>
      </w:r>
      <w:r>
        <w:rPr>
          <w:rFonts w:ascii="Times New Roman" w:hAnsi="Times New Roman" w:cs="Times New Roman"/>
          <w:noProof/>
          <w:sz w:val="24"/>
          <w:szCs w:val="24"/>
          <w:lang w:val="en-IE"/>
        </w:rPr>
        <w:t>ebound</w:t>
      </w:r>
      <w:r w:rsidR="00BB7900">
        <w:rPr>
          <w:rFonts w:ascii="Times New Roman" w:hAnsi="Times New Roman" w:cs="Times New Roman"/>
          <w:noProof/>
          <w:sz w:val="24"/>
          <w:szCs w:val="24"/>
          <w:lang w:val="en-IE"/>
        </w:rPr>
        <w:t>ing</w:t>
      </w:r>
      <w:r>
        <w:rPr>
          <w:rFonts w:ascii="Times New Roman" w:hAnsi="Times New Roman" w:cs="Times New Roman"/>
          <w:noProof/>
          <w:sz w:val="24"/>
          <w:szCs w:val="24"/>
          <w:lang w:val="en-IE"/>
        </w:rPr>
        <w:t xml:space="preserve"> in 2021 by </w:t>
      </w:r>
      <w:r w:rsidR="00423032">
        <w:rPr>
          <w:rFonts w:ascii="Times New Roman" w:hAnsi="Times New Roman" w:cs="Times New Roman"/>
          <w:noProof/>
          <w:sz w:val="24"/>
          <w:szCs w:val="24"/>
          <w:lang w:val="en-IE"/>
        </w:rPr>
        <w:t>EUR </w:t>
      </w:r>
      <w:r>
        <w:rPr>
          <w:rFonts w:ascii="Times New Roman" w:hAnsi="Times New Roman" w:cs="Times New Roman"/>
          <w:noProof/>
          <w:sz w:val="24"/>
          <w:szCs w:val="24"/>
          <w:lang w:val="en-IE"/>
        </w:rPr>
        <w:t>0</w:t>
      </w:r>
      <w:r w:rsidR="00971EE4">
        <w:rPr>
          <w:rFonts w:ascii="Times New Roman" w:hAnsi="Times New Roman" w:cs="Times New Roman"/>
          <w:noProof/>
          <w:sz w:val="24"/>
          <w:szCs w:val="24"/>
          <w:lang w:val="en-IE"/>
        </w:rPr>
        <w:t>.</w:t>
      </w:r>
      <w:r>
        <w:rPr>
          <w:rFonts w:ascii="Times New Roman" w:hAnsi="Times New Roman" w:cs="Times New Roman"/>
          <w:noProof/>
          <w:sz w:val="24"/>
          <w:szCs w:val="24"/>
          <w:lang w:val="en-IE"/>
        </w:rPr>
        <w:t>9</w:t>
      </w:r>
      <w:r w:rsidR="00423032">
        <w:rPr>
          <w:rFonts w:ascii="Times New Roman" w:hAnsi="Times New Roman" w:cs="Times New Roman"/>
          <w:noProof/>
          <w:sz w:val="24"/>
          <w:szCs w:val="24"/>
          <w:lang w:val="en-IE"/>
        </w:rPr>
        <w:t> </w:t>
      </w:r>
      <w:r>
        <w:rPr>
          <w:rFonts w:ascii="Times New Roman" w:hAnsi="Times New Roman" w:cs="Times New Roman"/>
          <w:noProof/>
          <w:sz w:val="24"/>
          <w:szCs w:val="24"/>
          <w:lang w:val="en-IE"/>
        </w:rPr>
        <w:t>billion (+9</w:t>
      </w:r>
      <w:r w:rsidR="00971EE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compared to 2020</w:t>
      </w:r>
      <w:r w:rsidR="00971EE4">
        <w:rPr>
          <w:rFonts w:ascii="Times New Roman" w:hAnsi="Times New Roman" w:cs="Times New Roman"/>
          <w:noProof/>
          <w:sz w:val="24"/>
          <w:szCs w:val="24"/>
          <w:lang w:val="en-IE"/>
        </w:rPr>
        <w:t xml:space="preserve">). </w:t>
      </w:r>
      <w:r w:rsidR="00EB61F6">
        <w:rPr>
          <w:rFonts w:ascii="Times New Roman" w:hAnsi="Times New Roman" w:cs="Times New Roman"/>
          <w:noProof/>
          <w:sz w:val="24"/>
          <w:szCs w:val="24"/>
          <w:lang w:val="en-IE"/>
        </w:rPr>
        <w:t xml:space="preserve">According to estimations in the context of the study, </w:t>
      </w:r>
      <w:r>
        <w:rPr>
          <w:rFonts w:ascii="Times New Roman" w:hAnsi="Times New Roman" w:cs="Times New Roman"/>
          <w:noProof/>
          <w:sz w:val="24"/>
          <w:szCs w:val="24"/>
          <w:lang w:val="en-IE"/>
        </w:rPr>
        <w:t xml:space="preserve">consumption of kerosene in aviation </w:t>
      </w:r>
      <w:r w:rsidR="00D93D42">
        <w:rPr>
          <w:rFonts w:ascii="Times New Roman" w:hAnsi="Times New Roman" w:cs="Times New Roman"/>
          <w:noProof/>
          <w:sz w:val="24"/>
          <w:szCs w:val="24"/>
          <w:lang w:val="en-IE"/>
        </w:rPr>
        <w:t xml:space="preserve">in 2021 </w:t>
      </w:r>
      <w:r>
        <w:rPr>
          <w:rFonts w:ascii="Times New Roman" w:hAnsi="Times New Roman" w:cs="Times New Roman"/>
          <w:noProof/>
          <w:sz w:val="24"/>
          <w:szCs w:val="24"/>
          <w:lang w:val="en-IE"/>
        </w:rPr>
        <w:t>was still lower than in 2019.</w:t>
      </w:r>
    </w:p>
    <w:p w14:paraId="734E6E6D" w14:textId="1DBDF4EC" w:rsidR="00FB5011" w:rsidRDefault="00971EE4" w:rsidP="00971EE4">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Fossil</w:t>
      </w:r>
      <w:r w:rsidR="00D93D42">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in </w:t>
      </w:r>
      <w:r w:rsidRPr="00971EE4">
        <w:rPr>
          <w:rFonts w:ascii="Times New Roman" w:hAnsi="Times New Roman" w:cs="Times New Roman"/>
          <w:b/>
          <w:noProof/>
          <w:sz w:val="24"/>
          <w:szCs w:val="24"/>
          <w:lang w:val="en-IE"/>
        </w:rPr>
        <w:t>agriculture</w:t>
      </w:r>
      <w:r w:rsidR="00D93D42">
        <w:rPr>
          <w:rFonts w:ascii="Times New Roman" w:hAnsi="Times New Roman" w:cs="Times New Roman"/>
          <w:b/>
          <w:noProof/>
          <w:sz w:val="24"/>
          <w:szCs w:val="24"/>
          <w:lang w:val="en-IE"/>
        </w:rPr>
        <w:t xml:space="preserve"> also increased</w:t>
      </w:r>
      <w:r>
        <w:rPr>
          <w:rFonts w:ascii="Times New Roman" w:hAnsi="Times New Roman" w:cs="Times New Roman"/>
          <w:noProof/>
          <w:sz w:val="24"/>
          <w:szCs w:val="24"/>
          <w:lang w:val="en-IE"/>
        </w:rPr>
        <w:t xml:space="preserve"> (</w:t>
      </w:r>
      <w:r w:rsidR="0024646B">
        <w:rPr>
          <w:rFonts w:ascii="Times New Roman" w:hAnsi="Times New Roman" w:cs="Times New Roman"/>
          <w:noProof/>
          <w:sz w:val="24"/>
          <w:szCs w:val="24"/>
          <w:lang w:val="en-IE"/>
        </w:rPr>
        <w:t xml:space="preserve">by 13%, or </w:t>
      </w:r>
      <w:r w:rsidR="00D93D42">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0.</w:t>
      </w:r>
      <w:r w:rsidR="0024646B">
        <w:rPr>
          <w:rFonts w:ascii="Times New Roman" w:hAnsi="Times New Roman" w:cs="Times New Roman"/>
          <w:noProof/>
          <w:sz w:val="24"/>
          <w:szCs w:val="24"/>
          <w:lang w:val="en-IE"/>
        </w:rPr>
        <w:t>7</w:t>
      </w:r>
      <w:r>
        <w:rPr>
          <w:rFonts w:ascii="Times New Roman" w:hAnsi="Times New Roman" w:cs="Times New Roman"/>
          <w:noProof/>
          <w:sz w:val="24"/>
          <w:szCs w:val="24"/>
          <w:lang w:val="en-IE"/>
        </w:rPr>
        <w:t xml:space="preserve"> billion</w:t>
      </w:r>
      <w:r w:rsidR="0024646B">
        <w:rPr>
          <w:rFonts w:ascii="Times New Roman" w:hAnsi="Times New Roman" w:cs="Times New Roman"/>
          <w:noProof/>
          <w:sz w:val="24"/>
          <w:szCs w:val="24"/>
          <w:lang w:val="en-IE"/>
        </w:rPr>
        <w:t>) between 2015 and 2020</w:t>
      </w:r>
      <w:r>
        <w:rPr>
          <w:rFonts w:ascii="Times New Roman" w:hAnsi="Times New Roman" w:cs="Times New Roman"/>
          <w:noProof/>
          <w:sz w:val="24"/>
          <w:szCs w:val="24"/>
          <w:lang w:val="en-IE"/>
        </w:rPr>
        <w:t xml:space="preserve">, and the sector received subsidies overwhelmingly in the form of </w:t>
      </w:r>
      <w:r w:rsidR="00D93D42">
        <w:rPr>
          <w:rFonts w:ascii="Times New Roman" w:hAnsi="Times New Roman" w:cs="Times New Roman"/>
          <w:noProof/>
          <w:sz w:val="24"/>
          <w:szCs w:val="24"/>
          <w:lang w:val="en-IE"/>
        </w:rPr>
        <w:t xml:space="preserve">support for consumption of </w:t>
      </w:r>
      <w:r>
        <w:rPr>
          <w:rFonts w:ascii="Times New Roman" w:hAnsi="Times New Roman" w:cs="Times New Roman"/>
          <w:noProof/>
          <w:sz w:val="24"/>
          <w:szCs w:val="24"/>
          <w:lang w:val="en-IE"/>
        </w:rPr>
        <w:t>petroleum product</w:t>
      </w:r>
      <w:r w:rsidR="00D93D42">
        <w:rPr>
          <w:rFonts w:ascii="Times New Roman" w:hAnsi="Times New Roman" w:cs="Times New Roman"/>
          <w:noProof/>
          <w:sz w:val="24"/>
          <w:szCs w:val="24"/>
          <w:lang w:val="en-IE"/>
        </w:rPr>
        <w:t>s</w:t>
      </w:r>
      <w:r w:rsidR="00045B1A">
        <w:rPr>
          <w:rFonts w:ascii="Times New Roman" w:hAnsi="Times New Roman" w:cs="Times New Roman"/>
          <w:noProof/>
          <w:sz w:val="24"/>
          <w:szCs w:val="24"/>
          <w:lang w:val="en-IE"/>
        </w:rPr>
        <w:t xml:space="preserve"> (e.g. reduction or exemption of fuel taxes)</w:t>
      </w:r>
      <w:r>
        <w:rPr>
          <w:rFonts w:ascii="Times New Roman" w:hAnsi="Times New Roman" w:cs="Times New Roman"/>
          <w:noProof/>
          <w:sz w:val="24"/>
          <w:szCs w:val="24"/>
          <w:lang w:val="en-IE"/>
        </w:rPr>
        <w:t>. Fossil</w:t>
      </w:r>
      <w:r w:rsidR="00D93D42">
        <w:rPr>
          <w:rFonts w:ascii="Times New Roman" w:hAnsi="Times New Roman" w:cs="Times New Roman"/>
          <w:noProof/>
          <w:sz w:val="24"/>
          <w:szCs w:val="24"/>
          <w:lang w:val="en-IE"/>
        </w:rPr>
        <w:t>-fuel</w:t>
      </w:r>
      <w:r>
        <w:rPr>
          <w:rFonts w:ascii="Times New Roman" w:hAnsi="Times New Roman" w:cs="Times New Roman"/>
          <w:noProof/>
          <w:sz w:val="24"/>
          <w:szCs w:val="24"/>
          <w:lang w:val="en-IE"/>
        </w:rPr>
        <w:t xml:space="preserve"> subsidies</w:t>
      </w:r>
      <w:r w:rsidRPr="002464D6">
        <w:rPr>
          <w:rFonts w:ascii="Times New Roman" w:hAnsi="Times New Roman" w:cs="Times New Roman"/>
          <w:b/>
          <w:noProof/>
          <w:sz w:val="24"/>
          <w:szCs w:val="24"/>
          <w:lang w:val="en-IE"/>
        </w:rPr>
        <w:t xml:space="preserve"> </w:t>
      </w:r>
      <w:r w:rsidR="00D93D42" w:rsidRPr="002464D6">
        <w:rPr>
          <w:rFonts w:ascii="Times New Roman" w:hAnsi="Times New Roman" w:cs="Times New Roman"/>
          <w:b/>
          <w:noProof/>
          <w:sz w:val="24"/>
          <w:szCs w:val="24"/>
          <w:lang w:val="en-IE"/>
        </w:rPr>
        <w:t xml:space="preserve">for households </w:t>
      </w:r>
      <w:r w:rsidR="00D93D42">
        <w:rPr>
          <w:rFonts w:ascii="Times New Roman" w:hAnsi="Times New Roman" w:cs="Times New Roman"/>
          <w:noProof/>
          <w:sz w:val="24"/>
          <w:szCs w:val="24"/>
          <w:lang w:val="en-IE"/>
        </w:rPr>
        <w:t xml:space="preserve">increased </w:t>
      </w:r>
      <w:r>
        <w:rPr>
          <w:rFonts w:ascii="Times New Roman" w:hAnsi="Times New Roman" w:cs="Times New Roman"/>
          <w:noProof/>
          <w:sz w:val="24"/>
          <w:szCs w:val="24"/>
          <w:lang w:val="en-IE"/>
        </w:rPr>
        <w:t xml:space="preserve">by </w:t>
      </w:r>
      <w:r w:rsidR="00BB7900">
        <w:rPr>
          <w:rFonts w:ascii="Times New Roman" w:hAnsi="Times New Roman" w:cs="Times New Roman"/>
          <w:noProof/>
          <w:sz w:val="24"/>
          <w:szCs w:val="24"/>
          <w:lang w:val="en-IE"/>
        </w:rPr>
        <w:t>15% (</w:t>
      </w:r>
      <w:r w:rsidR="007D1383">
        <w:rPr>
          <w:rFonts w:ascii="Times New Roman" w:hAnsi="Times New Roman" w:cs="Times New Roman"/>
          <w:noProof/>
          <w:sz w:val="24"/>
          <w:szCs w:val="24"/>
          <w:lang w:val="en-IE"/>
        </w:rPr>
        <w:t>EUR </w:t>
      </w:r>
      <w:r>
        <w:rPr>
          <w:rFonts w:ascii="Times New Roman" w:hAnsi="Times New Roman" w:cs="Times New Roman"/>
          <w:noProof/>
          <w:sz w:val="24"/>
          <w:szCs w:val="24"/>
          <w:lang w:val="en-IE"/>
        </w:rPr>
        <w:t>0.</w:t>
      </w:r>
      <w:r w:rsidR="0024646B">
        <w:rPr>
          <w:rFonts w:ascii="Times New Roman" w:hAnsi="Times New Roman" w:cs="Times New Roman"/>
          <w:noProof/>
          <w:sz w:val="24"/>
          <w:szCs w:val="24"/>
          <w:lang w:val="en-IE"/>
        </w:rPr>
        <w:t>4</w:t>
      </w:r>
      <w:r>
        <w:rPr>
          <w:rFonts w:ascii="Times New Roman" w:hAnsi="Times New Roman" w:cs="Times New Roman"/>
          <w:noProof/>
          <w:sz w:val="24"/>
          <w:szCs w:val="24"/>
          <w:lang w:val="en-IE"/>
        </w:rPr>
        <w:t xml:space="preserve"> billion) in the same period, principally in the form of subsidies </w:t>
      </w:r>
      <w:r w:rsidR="00D93D42">
        <w:rPr>
          <w:rFonts w:ascii="Times New Roman" w:hAnsi="Times New Roman" w:cs="Times New Roman"/>
          <w:noProof/>
          <w:sz w:val="24"/>
          <w:szCs w:val="24"/>
          <w:lang w:val="en-IE"/>
        </w:rPr>
        <w:t>for</w:t>
      </w:r>
      <w:r>
        <w:rPr>
          <w:rFonts w:ascii="Times New Roman" w:hAnsi="Times New Roman" w:cs="Times New Roman"/>
          <w:noProof/>
          <w:sz w:val="24"/>
          <w:szCs w:val="24"/>
          <w:lang w:val="en-IE"/>
        </w:rPr>
        <w:t xml:space="preserve"> heating</w:t>
      </w:r>
      <w:r w:rsidR="007D1383">
        <w:rPr>
          <w:rFonts w:ascii="Times New Roman" w:hAnsi="Times New Roman" w:cs="Times New Roman"/>
          <w:noProof/>
          <w:sz w:val="24"/>
          <w:szCs w:val="24"/>
          <w:lang w:val="en-IE"/>
        </w:rPr>
        <w:t>-</w:t>
      </w:r>
      <w:r>
        <w:rPr>
          <w:rFonts w:ascii="Times New Roman" w:hAnsi="Times New Roman" w:cs="Times New Roman"/>
          <w:noProof/>
          <w:sz w:val="24"/>
          <w:szCs w:val="24"/>
          <w:lang w:val="en-IE"/>
        </w:rPr>
        <w:t>oil and natural</w:t>
      </w:r>
      <w:r w:rsidR="007D1383">
        <w:rPr>
          <w:rFonts w:ascii="Times New Roman" w:hAnsi="Times New Roman" w:cs="Times New Roman"/>
          <w:noProof/>
          <w:sz w:val="24"/>
          <w:szCs w:val="24"/>
          <w:lang w:val="en-IE"/>
        </w:rPr>
        <w:t>-</w:t>
      </w:r>
      <w:r>
        <w:rPr>
          <w:rFonts w:ascii="Times New Roman" w:hAnsi="Times New Roman" w:cs="Times New Roman"/>
          <w:noProof/>
          <w:sz w:val="24"/>
          <w:szCs w:val="24"/>
          <w:lang w:val="en-IE"/>
        </w:rPr>
        <w:t>gas consumption.</w:t>
      </w:r>
      <w:r w:rsidR="0024646B">
        <w:rPr>
          <w:rFonts w:ascii="Times New Roman" w:hAnsi="Times New Roman" w:cs="Times New Roman"/>
          <w:noProof/>
          <w:sz w:val="24"/>
          <w:szCs w:val="24"/>
          <w:lang w:val="en-IE"/>
        </w:rPr>
        <w:t xml:space="preserve"> In 2021</w:t>
      </w:r>
      <w:r w:rsidR="003658F8">
        <w:rPr>
          <w:rFonts w:ascii="Times New Roman" w:hAnsi="Times New Roman" w:cs="Times New Roman"/>
          <w:noProof/>
          <w:sz w:val="24"/>
          <w:szCs w:val="24"/>
          <w:lang w:val="en-IE"/>
        </w:rPr>
        <w:t>,</w:t>
      </w:r>
      <w:r w:rsidR="0024646B">
        <w:rPr>
          <w:rFonts w:ascii="Times New Roman" w:hAnsi="Times New Roman" w:cs="Times New Roman"/>
          <w:noProof/>
          <w:sz w:val="24"/>
          <w:szCs w:val="24"/>
          <w:lang w:val="en-IE"/>
        </w:rPr>
        <w:t xml:space="preserve"> fossil</w:t>
      </w:r>
      <w:r w:rsidR="00D93D42">
        <w:rPr>
          <w:rFonts w:ascii="Times New Roman" w:hAnsi="Times New Roman" w:cs="Times New Roman"/>
          <w:noProof/>
          <w:sz w:val="24"/>
          <w:szCs w:val="24"/>
          <w:lang w:val="en-IE"/>
        </w:rPr>
        <w:t>-</w:t>
      </w:r>
      <w:r w:rsidR="0024646B">
        <w:rPr>
          <w:rFonts w:ascii="Times New Roman" w:hAnsi="Times New Roman" w:cs="Times New Roman"/>
          <w:noProof/>
          <w:sz w:val="24"/>
          <w:szCs w:val="24"/>
          <w:lang w:val="en-IE"/>
        </w:rPr>
        <w:t xml:space="preserve">fuel subsidies </w:t>
      </w:r>
      <w:r w:rsidR="00EB61F6">
        <w:rPr>
          <w:rFonts w:ascii="Times New Roman" w:hAnsi="Times New Roman" w:cs="Times New Roman"/>
          <w:noProof/>
          <w:sz w:val="24"/>
          <w:szCs w:val="24"/>
          <w:lang w:val="en-IE"/>
        </w:rPr>
        <w:t xml:space="preserve">for </w:t>
      </w:r>
      <w:r w:rsidR="0024646B">
        <w:rPr>
          <w:rFonts w:ascii="Times New Roman" w:hAnsi="Times New Roman" w:cs="Times New Roman"/>
          <w:noProof/>
          <w:sz w:val="24"/>
          <w:szCs w:val="24"/>
          <w:lang w:val="en-IE"/>
        </w:rPr>
        <w:t>households continued to increase</w:t>
      </w:r>
      <w:r w:rsidR="00D93D42">
        <w:rPr>
          <w:rFonts w:ascii="Times New Roman" w:hAnsi="Times New Roman" w:cs="Times New Roman"/>
          <w:noProof/>
          <w:sz w:val="24"/>
          <w:szCs w:val="24"/>
          <w:lang w:val="en-IE"/>
        </w:rPr>
        <w:t xml:space="preserve"> from their 2020 levels</w:t>
      </w:r>
      <w:r w:rsidR="0024646B">
        <w:rPr>
          <w:rFonts w:ascii="Times New Roman" w:hAnsi="Times New Roman" w:cs="Times New Roman"/>
          <w:noProof/>
          <w:sz w:val="24"/>
          <w:szCs w:val="24"/>
          <w:lang w:val="en-IE"/>
        </w:rPr>
        <w:t>.</w:t>
      </w:r>
    </w:p>
    <w:p w14:paraId="3D88C8D0" w14:textId="2BB1AB21" w:rsidR="00971EE4" w:rsidRPr="00971EE4" w:rsidRDefault="00971EE4" w:rsidP="00971EE4">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In contrast, </w:t>
      </w:r>
      <w:r w:rsidR="00A17405">
        <w:rPr>
          <w:rFonts w:ascii="Times New Roman" w:hAnsi="Times New Roman" w:cs="Times New Roman"/>
          <w:noProof/>
          <w:sz w:val="24"/>
          <w:szCs w:val="24"/>
          <w:lang w:val="en-IE"/>
        </w:rPr>
        <w:t>fossil</w:t>
      </w:r>
      <w:r w:rsidR="00D93D42">
        <w:rPr>
          <w:rFonts w:ascii="Times New Roman" w:hAnsi="Times New Roman" w:cs="Times New Roman"/>
          <w:noProof/>
          <w:sz w:val="24"/>
          <w:szCs w:val="24"/>
          <w:lang w:val="en-IE"/>
        </w:rPr>
        <w:t>-</w:t>
      </w:r>
      <w:r w:rsidR="00A17405">
        <w:rPr>
          <w:rFonts w:ascii="Times New Roman" w:hAnsi="Times New Roman" w:cs="Times New Roman"/>
          <w:noProof/>
          <w:sz w:val="24"/>
          <w:szCs w:val="24"/>
          <w:lang w:val="en-IE"/>
        </w:rPr>
        <w:t xml:space="preserve">fuel </w:t>
      </w:r>
      <w:r>
        <w:rPr>
          <w:rFonts w:ascii="Times New Roman" w:hAnsi="Times New Roman" w:cs="Times New Roman"/>
          <w:noProof/>
          <w:sz w:val="24"/>
          <w:szCs w:val="24"/>
          <w:lang w:val="en-IE"/>
        </w:rPr>
        <w:t xml:space="preserve">subsidies </w:t>
      </w:r>
      <w:r w:rsidR="00FE245C">
        <w:rPr>
          <w:rFonts w:ascii="Times New Roman" w:hAnsi="Times New Roman" w:cs="Times New Roman"/>
          <w:noProof/>
          <w:sz w:val="24"/>
          <w:szCs w:val="24"/>
          <w:lang w:val="en-IE"/>
        </w:rPr>
        <w:t xml:space="preserve">in </w:t>
      </w:r>
      <w:r w:rsidRPr="00971EE4">
        <w:rPr>
          <w:rFonts w:ascii="Times New Roman" w:hAnsi="Times New Roman" w:cs="Times New Roman"/>
          <w:b/>
          <w:noProof/>
          <w:sz w:val="24"/>
          <w:szCs w:val="24"/>
          <w:lang w:val="en-IE"/>
        </w:rPr>
        <w:t>industr</w:t>
      </w:r>
      <w:r w:rsidR="00A17405">
        <w:rPr>
          <w:rFonts w:ascii="Times New Roman" w:hAnsi="Times New Roman" w:cs="Times New Roman"/>
          <w:b/>
          <w:noProof/>
          <w:sz w:val="24"/>
          <w:szCs w:val="24"/>
          <w:lang w:val="en-IE"/>
        </w:rPr>
        <w:t>y</w:t>
      </w:r>
      <w:r w:rsidR="00A17405" w:rsidRPr="009130C0">
        <w:rPr>
          <w:rFonts w:ascii="Times New Roman" w:hAnsi="Times New Roman" w:cs="Times New Roman"/>
          <w:noProof/>
          <w:sz w:val="24"/>
          <w:szCs w:val="24"/>
          <w:lang w:val="en-IE"/>
        </w:rPr>
        <w:t>, pro</w:t>
      </w:r>
      <w:r w:rsidR="00A17405">
        <w:rPr>
          <w:rFonts w:ascii="Times New Roman" w:hAnsi="Times New Roman" w:cs="Times New Roman"/>
          <w:noProof/>
          <w:sz w:val="24"/>
          <w:szCs w:val="24"/>
          <w:lang w:val="en-IE"/>
        </w:rPr>
        <w:t xml:space="preserve">vided mainly in the form of tax reductions and exemptions for energy use, </w:t>
      </w:r>
      <w:r>
        <w:rPr>
          <w:rFonts w:ascii="Times New Roman" w:hAnsi="Times New Roman" w:cs="Times New Roman"/>
          <w:noProof/>
          <w:sz w:val="24"/>
          <w:szCs w:val="24"/>
          <w:lang w:val="en-IE"/>
        </w:rPr>
        <w:t xml:space="preserve">fell by </w:t>
      </w:r>
      <w:r w:rsidR="00D93D42">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0.</w:t>
      </w:r>
      <w:r w:rsidR="0024646B">
        <w:rPr>
          <w:rFonts w:ascii="Times New Roman" w:hAnsi="Times New Roman" w:cs="Times New Roman"/>
          <w:noProof/>
          <w:sz w:val="24"/>
          <w:szCs w:val="24"/>
          <w:lang w:val="en-IE"/>
        </w:rPr>
        <w:t>2 billion (-2</w:t>
      </w:r>
      <w:r>
        <w:rPr>
          <w:rFonts w:ascii="Times New Roman" w:hAnsi="Times New Roman" w:cs="Times New Roman"/>
          <w:noProof/>
          <w:sz w:val="24"/>
          <w:szCs w:val="24"/>
          <w:lang w:val="en-IE"/>
        </w:rPr>
        <w:t>%) between 2015 and 20</w:t>
      </w:r>
      <w:r w:rsidR="0024646B">
        <w:rPr>
          <w:rFonts w:ascii="Times New Roman" w:hAnsi="Times New Roman" w:cs="Times New Roman"/>
          <w:noProof/>
          <w:sz w:val="24"/>
          <w:szCs w:val="24"/>
          <w:lang w:val="en-IE"/>
        </w:rPr>
        <w:t xml:space="preserve">20. Subsidies on coal decreased by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 xml:space="preserve">1.4 billion, whereas subsidies on gas and oil grew by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 xml:space="preserve">0.5 billion and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1.1 billion</w:t>
      </w:r>
      <w:r w:rsidR="006E0199">
        <w:rPr>
          <w:rFonts w:ascii="Times New Roman" w:hAnsi="Times New Roman" w:cs="Times New Roman"/>
          <w:noProof/>
          <w:sz w:val="24"/>
          <w:szCs w:val="24"/>
          <w:lang w:val="en-IE"/>
        </w:rPr>
        <w:t xml:space="preserve"> respectively</w:t>
      </w:r>
      <w:r w:rsidR="00D93D42">
        <w:rPr>
          <w:rFonts w:ascii="Times New Roman" w:hAnsi="Times New Roman" w:cs="Times New Roman"/>
          <w:noProof/>
          <w:sz w:val="24"/>
          <w:szCs w:val="24"/>
          <w:lang w:val="en-IE"/>
        </w:rPr>
        <w:t xml:space="preserve"> in the five-year period</w:t>
      </w:r>
      <w:r w:rsidR="0024646B">
        <w:rPr>
          <w:rFonts w:ascii="Times New Roman" w:hAnsi="Times New Roman" w:cs="Times New Roman"/>
          <w:noProof/>
          <w:sz w:val="24"/>
          <w:szCs w:val="24"/>
          <w:lang w:val="en-IE"/>
        </w:rPr>
        <w:t>.</w:t>
      </w:r>
    </w:p>
    <w:p w14:paraId="438CA16A" w14:textId="06E0E3C0" w:rsidR="00971EE4" w:rsidRPr="00971EE4" w:rsidRDefault="00971EE4" w:rsidP="008236A3">
      <w:pPr>
        <w:pStyle w:val="Caption"/>
        <w:keepNext/>
        <w:spacing w:after="120"/>
        <w:rPr>
          <w:rFonts w:ascii="Times New Roman" w:hAnsi="Times New Roman" w:cs="Times New Roman"/>
          <w:b/>
          <w:i w:val="0"/>
          <w:noProof/>
          <w:color w:val="auto"/>
          <w:sz w:val="20"/>
          <w:szCs w:val="20"/>
          <w:lang w:val="en-US"/>
        </w:rPr>
      </w:pPr>
      <w:r w:rsidRPr="00971EE4">
        <w:rPr>
          <w:rFonts w:ascii="Times New Roman" w:hAnsi="Times New Roman" w:cs="Times New Roman"/>
          <w:b/>
          <w:i w:val="0"/>
          <w:noProof/>
          <w:color w:val="auto"/>
          <w:sz w:val="20"/>
          <w:szCs w:val="20"/>
          <w:lang w:val="en-US"/>
        </w:rPr>
        <w:t xml:space="preserve">Figure </w:t>
      </w:r>
      <w:r w:rsidRPr="00971EE4">
        <w:rPr>
          <w:rFonts w:ascii="Times New Roman" w:hAnsi="Times New Roman" w:cs="Times New Roman"/>
          <w:b/>
          <w:i w:val="0"/>
          <w:noProof/>
          <w:color w:val="auto"/>
          <w:sz w:val="20"/>
          <w:szCs w:val="20"/>
        </w:rPr>
        <w:fldChar w:fldCharType="begin"/>
      </w:r>
      <w:r w:rsidRPr="00971EE4">
        <w:rPr>
          <w:rFonts w:ascii="Times New Roman" w:hAnsi="Times New Roman" w:cs="Times New Roman"/>
          <w:b/>
          <w:i w:val="0"/>
          <w:noProof/>
          <w:color w:val="auto"/>
          <w:sz w:val="20"/>
          <w:szCs w:val="20"/>
          <w:lang w:val="en-US"/>
        </w:rPr>
        <w:instrText xml:space="preserve"> SEQ Figure \* ARABIC </w:instrText>
      </w:r>
      <w:r w:rsidRPr="00971EE4">
        <w:rPr>
          <w:rFonts w:ascii="Times New Roman" w:hAnsi="Times New Roman" w:cs="Times New Roman"/>
          <w:b/>
          <w:i w:val="0"/>
          <w:noProof/>
          <w:color w:val="auto"/>
          <w:sz w:val="20"/>
          <w:szCs w:val="20"/>
        </w:rPr>
        <w:fldChar w:fldCharType="separate"/>
      </w:r>
      <w:r w:rsidR="008236A3">
        <w:rPr>
          <w:rFonts w:ascii="Times New Roman" w:hAnsi="Times New Roman" w:cs="Times New Roman"/>
          <w:b/>
          <w:i w:val="0"/>
          <w:noProof/>
          <w:color w:val="auto"/>
          <w:sz w:val="20"/>
          <w:szCs w:val="20"/>
          <w:lang w:val="en-US"/>
        </w:rPr>
        <w:t>6</w:t>
      </w:r>
      <w:r w:rsidRPr="00971EE4">
        <w:rPr>
          <w:rFonts w:ascii="Times New Roman" w:hAnsi="Times New Roman" w:cs="Times New Roman"/>
          <w:b/>
          <w:i w:val="0"/>
          <w:noProof/>
          <w:color w:val="auto"/>
          <w:sz w:val="20"/>
          <w:szCs w:val="20"/>
        </w:rPr>
        <w:fldChar w:fldCharType="end"/>
      </w:r>
      <w:r w:rsidRPr="00971EE4">
        <w:rPr>
          <w:rFonts w:ascii="Times New Roman" w:hAnsi="Times New Roman" w:cs="Times New Roman"/>
          <w:b/>
          <w:i w:val="0"/>
          <w:noProof/>
          <w:color w:val="auto"/>
          <w:sz w:val="20"/>
          <w:szCs w:val="20"/>
          <w:lang w:val="en-US"/>
        </w:rPr>
        <w:t xml:space="preserve"> – Fossil</w:t>
      </w:r>
      <w:r w:rsidR="00D93D42">
        <w:rPr>
          <w:rFonts w:ascii="Times New Roman" w:hAnsi="Times New Roman" w:cs="Times New Roman"/>
          <w:b/>
          <w:i w:val="0"/>
          <w:noProof/>
          <w:color w:val="auto"/>
          <w:sz w:val="20"/>
          <w:szCs w:val="20"/>
          <w:lang w:val="en-US"/>
        </w:rPr>
        <w:t>-</w:t>
      </w:r>
      <w:r w:rsidRPr="00971EE4">
        <w:rPr>
          <w:rFonts w:ascii="Times New Roman" w:hAnsi="Times New Roman" w:cs="Times New Roman"/>
          <w:b/>
          <w:i w:val="0"/>
          <w:noProof/>
          <w:color w:val="auto"/>
          <w:sz w:val="20"/>
          <w:szCs w:val="20"/>
          <w:lang w:val="en-US"/>
        </w:rPr>
        <w:t>fuel subsidies in different sectors in the EU</w:t>
      </w:r>
    </w:p>
    <w:p w14:paraId="05192EC9" w14:textId="102904A3" w:rsidR="00971EE4" w:rsidRDefault="00EB61F6" w:rsidP="00971EE4">
      <w:pPr>
        <w:pStyle w:val="ListParagraph"/>
        <w:spacing w:after="0"/>
        <w:ind w:left="0"/>
        <w:rPr>
          <w:rFonts w:ascii="Times New Roman" w:hAnsi="Times New Roman" w:cs="Times New Roman"/>
          <w:b/>
          <w:noProof/>
          <w:sz w:val="24"/>
          <w:szCs w:val="24"/>
          <w:lang w:val="en-IE"/>
        </w:rPr>
      </w:pPr>
      <w:r w:rsidRPr="00EB61F6">
        <w:rPr>
          <w:rFonts w:ascii="Times New Roman" w:hAnsi="Times New Roman" w:cs="Times New Roman"/>
          <w:b/>
          <w:noProof/>
          <w:sz w:val="24"/>
          <w:szCs w:val="24"/>
          <w:lang w:val="en-GB" w:eastAsia="en-GB"/>
        </w:rPr>
        <w:drawing>
          <wp:inline distT="0" distB="0" distL="0" distR="0" wp14:anchorId="3DF0F120" wp14:editId="2A6B9D72">
            <wp:extent cx="4117827" cy="228997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4142365" cy="2303622"/>
                    </a:xfrm>
                    <a:prstGeom prst="rect">
                      <a:avLst/>
                    </a:prstGeom>
                  </pic:spPr>
                </pic:pic>
              </a:graphicData>
            </a:graphic>
          </wp:inline>
        </w:drawing>
      </w:r>
    </w:p>
    <w:p w14:paraId="24A56F17" w14:textId="77777777" w:rsidR="008236A3" w:rsidRDefault="008236A3" w:rsidP="008236A3">
      <w:pPr>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p>
    <w:p w14:paraId="3F97F62B" w14:textId="68704F2E" w:rsidR="00971EE4" w:rsidRDefault="00971EE4" w:rsidP="00971EE4">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Subsidies on </w:t>
      </w:r>
      <w:r w:rsidR="0024646B" w:rsidRPr="0024646B">
        <w:rPr>
          <w:rFonts w:ascii="Times New Roman" w:hAnsi="Times New Roman" w:cs="Times New Roman"/>
          <w:b/>
          <w:noProof/>
          <w:sz w:val="24"/>
          <w:szCs w:val="24"/>
          <w:lang w:val="en-IE"/>
        </w:rPr>
        <w:t>oil and</w:t>
      </w:r>
      <w:r w:rsidR="0024646B">
        <w:rPr>
          <w:rFonts w:ascii="Times New Roman" w:hAnsi="Times New Roman" w:cs="Times New Roman"/>
          <w:noProof/>
          <w:sz w:val="24"/>
          <w:szCs w:val="24"/>
          <w:lang w:val="en-IE"/>
        </w:rPr>
        <w:t xml:space="preserve"> </w:t>
      </w:r>
      <w:r w:rsidRPr="00971EE4">
        <w:rPr>
          <w:rFonts w:ascii="Times New Roman" w:hAnsi="Times New Roman" w:cs="Times New Roman"/>
          <w:b/>
          <w:noProof/>
          <w:sz w:val="24"/>
          <w:szCs w:val="24"/>
          <w:lang w:val="en-IE"/>
        </w:rPr>
        <w:t>petroleum products</w:t>
      </w:r>
      <w:r>
        <w:rPr>
          <w:rFonts w:ascii="Times New Roman" w:hAnsi="Times New Roman" w:cs="Times New Roman"/>
          <w:noProof/>
          <w:sz w:val="24"/>
          <w:szCs w:val="24"/>
          <w:lang w:val="en-IE"/>
        </w:rPr>
        <w:t>, representing more than half of total fossil</w:t>
      </w:r>
      <w:r w:rsidR="00D93D42">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in the EU, grew by </w:t>
      </w:r>
      <w:r w:rsidR="0024646B">
        <w:rPr>
          <w:rFonts w:ascii="Times New Roman" w:hAnsi="Times New Roman" w:cs="Times New Roman"/>
          <w:noProof/>
          <w:sz w:val="24"/>
          <w:szCs w:val="24"/>
          <w:lang w:val="en-IE"/>
        </w:rPr>
        <w:t>6%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1</w:t>
      </w:r>
      <w:r>
        <w:rPr>
          <w:rFonts w:ascii="Times New Roman" w:hAnsi="Times New Roman" w:cs="Times New Roman"/>
          <w:noProof/>
          <w:sz w:val="24"/>
          <w:szCs w:val="24"/>
          <w:lang w:val="en-IE"/>
        </w:rPr>
        <w:t>.</w:t>
      </w:r>
      <w:r w:rsidR="0024646B">
        <w:rPr>
          <w:rFonts w:ascii="Times New Roman" w:hAnsi="Times New Roman" w:cs="Times New Roman"/>
          <w:noProof/>
          <w:sz w:val="24"/>
          <w:szCs w:val="24"/>
          <w:lang w:val="en-IE"/>
        </w:rPr>
        <w:t>2</w:t>
      </w:r>
      <w:r>
        <w:rPr>
          <w:rFonts w:ascii="Times New Roman" w:hAnsi="Times New Roman" w:cs="Times New Roman"/>
          <w:noProof/>
          <w:sz w:val="24"/>
          <w:szCs w:val="24"/>
          <w:lang w:val="en-IE"/>
        </w:rPr>
        <w:t xml:space="preserve"> billion</w:t>
      </w:r>
      <w:r w:rsidR="0024646B">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between 2015 and 20</w:t>
      </w:r>
      <w:r w:rsidR="0024646B">
        <w:rPr>
          <w:rFonts w:ascii="Times New Roman" w:hAnsi="Times New Roman" w:cs="Times New Roman"/>
          <w:noProof/>
          <w:sz w:val="24"/>
          <w:szCs w:val="24"/>
          <w:lang w:val="en-IE"/>
        </w:rPr>
        <w:t xml:space="preserve">20, </w:t>
      </w:r>
      <w:r w:rsidR="00D93D42">
        <w:rPr>
          <w:rFonts w:ascii="Times New Roman" w:hAnsi="Times New Roman" w:cs="Times New Roman"/>
          <w:noProof/>
          <w:sz w:val="24"/>
          <w:szCs w:val="24"/>
          <w:lang w:val="en-IE"/>
        </w:rPr>
        <w:t>although these subsidies</w:t>
      </w:r>
      <w:r w:rsidR="0024646B">
        <w:rPr>
          <w:rFonts w:ascii="Times New Roman" w:hAnsi="Times New Roman" w:cs="Times New Roman"/>
          <w:noProof/>
          <w:sz w:val="24"/>
          <w:szCs w:val="24"/>
          <w:lang w:val="en-IE"/>
        </w:rPr>
        <w:t xml:space="preserve"> fell by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 xml:space="preserve">3.1 billion in 2020 owing to the </w:t>
      </w:r>
      <w:r w:rsidR="00D93D42">
        <w:rPr>
          <w:rFonts w:ascii="Times New Roman" w:hAnsi="Times New Roman" w:cs="Times New Roman"/>
          <w:noProof/>
          <w:sz w:val="24"/>
          <w:szCs w:val="24"/>
          <w:lang w:val="en-IE"/>
        </w:rPr>
        <w:t>COVID</w:t>
      </w:r>
      <w:r w:rsidR="0024646B">
        <w:rPr>
          <w:rFonts w:ascii="Times New Roman" w:hAnsi="Times New Roman" w:cs="Times New Roman"/>
          <w:noProof/>
          <w:sz w:val="24"/>
          <w:szCs w:val="24"/>
          <w:lang w:val="en-IE"/>
        </w:rPr>
        <w:t>-19 related lockdowns</w:t>
      </w:r>
      <w:r>
        <w:rPr>
          <w:rFonts w:ascii="Times New Roman" w:hAnsi="Times New Roman" w:cs="Times New Roman"/>
          <w:noProof/>
          <w:sz w:val="24"/>
          <w:szCs w:val="24"/>
          <w:lang w:val="en-IE"/>
        </w:rPr>
        <w:t xml:space="preserve">. </w:t>
      </w:r>
      <w:r w:rsidR="00EB61F6">
        <w:rPr>
          <w:rFonts w:ascii="Times New Roman" w:hAnsi="Times New Roman" w:cs="Times New Roman"/>
          <w:noProof/>
          <w:sz w:val="24"/>
          <w:szCs w:val="24"/>
          <w:lang w:val="en-IE"/>
        </w:rPr>
        <w:t>S</w:t>
      </w:r>
      <w:r w:rsidR="0024646B">
        <w:rPr>
          <w:rFonts w:ascii="Times New Roman" w:hAnsi="Times New Roman" w:cs="Times New Roman"/>
          <w:noProof/>
          <w:sz w:val="24"/>
          <w:szCs w:val="24"/>
          <w:lang w:val="en-IE"/>
        </w:rPr>
        <w:t xml:space="preserve">ubsidies </w:t>
      </w:r>
      <w:r w:rsidR="00EB61F6">
        <w:rPr>
          <w:rFonts w:ascii="Times New Roman" w:hAnsi="Times New Roman" w:cs="Times New Roman"/>
          <w:noProof/>
          <w:sz w:val="24"/>
          <w:szCs w:val="24"/>
          <w:lang w:val="en-IE"/>
        </w:rPr>
        <w:t xml:space="preserve">on diesel fuel </w:t>
      </w:r>
      <w:r w:rsidR="0024646B">
        <w:rPr>
          <w:rFonts w:ascii="Times New Roman" w:hAnsi="Times New Roman" w:cs="Times New Roman"/>
          <w:noProof/>
          <w:sz w:val="24"/>
          <w:szCs w:val="24"/>
          <w:lang w:val="en-IE"/>
        </w:rPr>
        <w:t>rose by 44%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3.4 billion) between 2015 and 2020 in the EU, with the biggest contributors</w:t>
      </w:r>
      <w:r w:rsidR="00D93D42">
        <w:rPr>
          <w:rFonts w:ascii="Times New Roman" w:hAnsi="Times New Roman" w:cs="Times New Roman"/>
          <w:noProof/>
          <w:sz w:val="24"/>
          <w:szCs w:val="24"/>
          <w:lang w:val="en-IE"/>
        </w:rPr>
        <w:t xml:space="preserve"> being</w:t>
      </w:r>
      <w:r w:rsidR="0024646B">
        <w:rPr>
          <w:rFonts w:ascii="Times New Roman" w:hAnsi="Times New Roman" w:cs="Times New Roman"/>
          <w:noProof/>
          <w:sz w:val="24"/>
          <w:szCs w:val="24"/>
          <w:lang w:val="en-IE"/>
        </w:rPr>
        <w:t xml:space="preserve"> Belgium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1.8 billion</w:t>
      </w:r>
      <w:r w:rsidR="00045B1A">
        <w:rPr>
          <w:rFonts w:ascii="Times New Roman" w:hAnsi="Times New Roman" w:cs="Times New Roman"/>
          <w:noProof/>
          <w:sz w:val="24"/>
          <w:szCs w:val="24"/>
          <w:lang w:val="en-IE"/>
        </w:rPr>
        <w:t>, more than tripling</w:t>
      </w:r>
      <w:r w:rsidR="0024646B">
        <w:rPr>
          <w:rFonts w:ascii="Times New Roman" w:hAnsi="Times New Roman" w:cs="Times New Roman"/>
          <w:noProof/>
          <w:sz w:val="24"/>
          <w:szCs w:val="24"/>
          <w:lang w:val="en-IE"/>
        </w:rPr>
        <w:t>) and France (+</w:t>
      </w:r>
      <w:r w:rsidR="00D93D42">
        <w:rPr>
          <w:rFonts w:ascii="Times New Roman" w:hAnsi="Times New Roman" w:cs="Times New Roman"/>
          <w:noProof/>
          <w:sz w:val="24"/>
          <w:szCs w:val="24"/>
          <w:lang w:val="en-IE"/>
        </w:rPr>
        <w:t>EUR</w:t>
      </w:r>
      <w:r w:rsidR="006E0199">
        <w:rPr>
          <w:rFonts w:ascii="Times New Roman" w:hAnsi="Times New Roman" w:cs="Times New Roman"/>
          <w:noProof/>
          <w:sz w:val="24"/>
          <w:szCs w:val="24"/>
          <w:lang w:val="en-IE"/>
        </w:rPr>
        <w:t> </w:t>
      </w:r>
      <w:r w:rsidR="0024646B">
        <w:rPr>
          <w:rFonts w:ascii="Times New Roman" w:hAnsi="Times New Roman" w:cs="Times New Roman"/>
          <w:noProof/>
          <w:sz w:val="24"/>
          <w:szCs w:val="24"/>
          <w:lang w:val="en-IE"/>
        </w:rPr>
        <w:t>1.2</w:t>
      </w:r>
      <w:r w:rsidR="006E0199">
        <w:rPr>
          <w:rFonts w:ascii="Times New Roman" w:hAnsi="Times New Roman" w:cs="Times New Roman"/>
          <w:noProof/>
          <w:sz w:val="24"/>
          <w:szCs w:val="24"/>
          <w:lang w:val="en-IE"/>
        </w:rPr>
        <w:t> </w:t>
      </w:r>
      <w:r w:rsidR="0024646B">
        <w:rPr>
          <w:rFonts w:ascii="Times New Roman" w:hAnsi="Times New Roman" w:cs="Times New Roman"/>
          <w:noProof/>
          <w:sz w:val="24"/>
          <w:szCs w:val="24"/>
          <w:lang w:val="en-IE"/>
        </w:rPr>
        <w:t>billion</w:t>
      </w:r>
      <w:r w:rsidR="00045B1A">
        <w:rPr>
          <w:rFonts w:ascii="Times New Roman" w:hAnsi="Times New Roman" w:cs="Times New Roman"/>
          <w:noProof/>
          <w:sz w:val="24"/>
          <w:szCs w:val="24"/>
          <w:lang w:val="en-IE"/>
        </w:rPr>
        <w:t>, or +74%</w:t>
      </w:r>
      <w:r w:rsidR="0024646B">
        <w:rPr>
          <w:rFonts w:ascii="Times New Roman" w:hAnsi="Times New Roman" w:cs="Times New Roman"/>
          <w:noProof/>
          <w:sz w:val="24"/>
          <w:szCs w:val="24"/>
          <w:lang w:val="en-IE"/>
        </w:rPr>
        <w:t>).</w:t>
      </w:r>
      <w:r w:rsidR="00BB540F">
        <w:rPr>
          <w:rFonts w:ascii="Times New Roman" w:hAnsi="Times New Roman" w:cs="Times New Roman"/>
          <w:noProof/>
          <w:sz w:val="24"/>
          <w:szCs w:val="24"/>
          <w:lang w:val="en-IE"/>
        </w:rPr>
        <w:t xml:space="preserve"> Oil and petroleum subsidies grew by an estimated </w:t>
      </w:r>
      <w:r w:rsidR="00D93D42">
        <w:rPr>
          <w:rFonts w:ascii="Times New Roman" w:hAnsi="Times New Roman" w:cs="Times New Roman"/>
          <w:noProof/>
          <w:sz w:val="24"/>
          <w:szCs w:val="24"/>
          <w:lang w:val="en-IE"/>
        </w:rPr>
        <w:t xml:space="preserve">EUR </w:t>
      </w:r>
      <w:r w:rsidR="00BB540F">
        <w:rPr>
          <w:rFonts w:ascii="Times New Roman" w:hAnsi="Times New Roman" w:cs="Times New Roman"/>
          <w:noProof/>
          <w:sz w:val="24"/>
          <w:szCs w:val="24"/>
          <w:lang w:val="en-IE"/>
        </w:rPr>
        <w:t>0.8 billion in 2021</w:t>
      </w:r>
      <w:r w:rsidR="00D93D42">
        <w:rPr>
          <w:rFonts w:ascii="Times New Roman" w:hAnsi="Times New Roman" w:cs="Times New Roman"/>
          <w:noProof/>
          <w:sz w:val="24"/>
          <w:szCs w:val="24"/>
          <w:lang w:val="en-IE"/>
        </w:rPr>
        <w:t xml:space="preserve"> compared to 2020</w:t>
      </w:r>
      <w:r w:rsidR="00BB540F">
        <w:rPr>
          <w:rFonts w:ascii="Times New Roman" w:hAnsi="Times New Roman" w:cs="Times New Roman"/>
          <w:noProof/>
          <w:sz w:val="24"/>
          <w:szCs w:val="24"/>
          <w:lang w:val="en-IE"/>
        </w:rPr>
        <w:t>.</w:t>
      </w:r>
    </w:p>
    <w:p w14:paraId="43CBB5C0" w14:textId="3F0D428C" w:rsidR="00971EE4" w:rsidRDefault="00971EE4" w:rsidP="00971EE4">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Subsidies on </w:t>
      </w:r>
      <w:r w:rsidRPr="00971EE4">
        <w:rPr>
          <w:rFonts w:ascii="Times New Roman" w:hAnsi="Times New Roman" w:cs="Times New Roman"/>
          <w:b/>
          <w:noProof/>
          <w:sz w:val="24"/>
          <w:szCs w:val="24"/>
          <w:lang w:val="en-IE"/>
        </w:rPr>
        <w:t>coal</w:t>
      </w:r>
      <w:r>
        <w:rPr>
          <w:rFonts w:ascii="Times New Roman" w:hAnsi="Times New Roman" w:cs="Times New Roman"/>
          <w:noProof/>
          <w:sz w:val="24"/>
          <w:szCs w:val="24"/>
          <w:lang w:val="en-IE"/>
        </w:rPr>
        <w:t xml:space="preserve"> </w:t>
      </w:r>
      <w:r w:rsidRPr="00971EE4">
        <w:rPr>
          <w:rFonts w:ascii="Times New Roman" w:hAnsi="Times New Roman" w:cs="Times New Roman"/>
          <w:b/>
          <w:noProof/>
          <w:sz w:val="24"/>
          <w:szCs w:val="24"/>
          <w:lang w:val="en-IE"/>
        </w:rPr>
        <w:t>and lignite</w:t>
      </w:r>
      <w:r w:rsidRPr="00971EE4">
        <w:rPr>
          <w:rFonts w:ascii="Times New Roman" w:hAnsi="Times New Roman" w:cs="Times New Roman"/>
          <w:noProof/>
          <w:sz w:val="24"/>
          <w:szCs w:val="24"/>
          <w:lang w:val="en-IE"/>
        </w:rPr>
        <w:t xml:space="preserve"> </w:t>
      </w:r>
      <w:r w:rsidR="0024646B">
        <w:rPr>
          <w:rFonts w:ascii="Times New Roman" w:hAnsi="Times New Roman" w:cs="Times New Roman"/>
          <w:noProof/>
          <w:sz w:val="24"/>
          <w:szCs w:val="24"/>
          <w:lang w:val="en-IE"/>
        </w:rPr>
        <w:t>fell by 9% (-</w:t>
      </w:r>
      <w:r w:rsidR="00D93D42">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0.9 billion) in</w:t>
      </w:r>
      <w:r>
        <w:rPr>
          <w:rFonts w:ascii="Times New Roman" w:hAnsi="Times New Roman" w:cs="Times New Roman"/>
          <w:noProof/>
          <w:sz w:val="24"/>
          <w:szCs w:val="24"/>
          <w:lang w:val="en-IE"/>
        </w:rPr>
        <w:t xml:space="preserve"> the EU between 2015 and 20</w:t>
      </w:r>
      <w:r w:rsidR="0024646B">
        <w:rPr>
          <w:rFonts w:ascii="Times New Roman" w:hAnsi="Times New Roman" w:cs="Times New Roman"/>
          <w:noProof/>
          <w:sz w:val="24"/>
          <w:szCs w:val="24"/>
          <w:lang w:val="en-IE"/>
        </w:rPr>
        <w:t>20</w:t>
      </w:r>
      <w:r>
        <w:rPr>
          <w:rFonts w:ascii="Times New Roman" w:hAnsi="Times New Roman" w:cs="Times New Roman"/>
          <w:noProof/>
          <w:sz w:val="24"/>
          <w:szCs w:val="24"/>
          <w:lang w:val="en-IE"/>
        </w:rPr>
        <w:t>, owing to decrease</w:t>
      </w:r>
      <w:r w:rsidR="00D93D42">
        <w:rPr>
          <w:rFonts w:ascii="Times New Roman" w:hAnsi="Times New Roman" w:cs="Times New Roman"/>
          <w:noProof/>
          <w:sz w:val="24"/>
          <w:szCs w:val="24"/>
          <w:lang w:val="en-IE"/>
        </w:rPr>
        <w:t>d use of</w:t>
      </w:r>
      <w:r>
        <w:rPr>
          <w:rFonts w:ascii="Times New Roman" w:hAnsi="Times New Roman" w:cs="Times New Roman"/>
          <w:noProof/>
          <w:sz w:val="24"/>
          <w:szCs w:val="24"/>
          <w:lang w:val="en-IE"/>
        </w:rPr>
        <w:t xml:space="preserve"> solid fuel</w:t>
      </w:r>
      <w:r w:rsidR="007D1383">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in </w:t>
      </w:r>
      <w:r w:rsidR="0024646B">
        <w:rPr>
          <w:rFonts w:ascii="Times New Roman" w:hAnsi="Times New Roman" w:cs="Times New Roman"/>
          <w:noProof/>
          <w:sz w:val="24"/>
          <w:szCs w:val="24"/>
          <w:lang w:val="en-IE"/>
        </w:rPr>
        <w:t xml:space="preserve">several sectors such as industry. However, in </w:t>
      </w:r>
      <w:r>
        <w:rPr>
          <w:rFonts w:ascii="Times New Roman" w:hAnsi="Times New Roman" w:cs="Times New Roman"/>
          <w:noProof/>
          <w:sz w:val="24"/>
          <w:szCs w:val="24"/>
          <w:lang w:val="en-IE"/>
        </w:rPr>
        <w:t>electricity</w:t>
      </w:r>
      <w:r w:rsidR="007D1383">
        <w:rPr>
          <w:rFonts w:ascii="Times New Roman" w:hAnsi="Times New Roman" w:cs="Times New Roman"/>
          <w:noProof/>
          <w:sz w:val="24"/>
          <w:szCs w:val="24"/>
          <w:lang w:val="en-IE"/>
        </w:rPr>
        <w:t xml:space="preserve"> generation</w:t>
      </w:r>
      <w:r w:rsidR="00D93D42">
        <w:rPr>
          <w:rFonts w:ascii="Times New Roman" w:hAnsi="Times New Roman" w:cs="Times New Roman"/>
          <w:noProof/>
          <w:sz w:val="24"/>
          <w:szCs w:val="24"/>
          <w:lang w:val="en-IE"/>
        </w:rPr>
        <w:t>,</w:t>
      </w:r>
      <w:r w:rsidR="0024646B">
        <w:rPr>
          <w:rFonts w:ascii="Times New Roman" w:hAnsi="Times New Roman" w:cs="Times New Roman"/>
          <w:noProof/>
          <w:sz w:val="24"/>
          <w:szCs w:val="24"/>
          <w:lang w:val="en-IE"/>
        </w:rPr>
        <w:t xml:space="preserve"> coal subsidies did not show</w:t>
      </w:r>
      <w:r w:rsidR="00D93D42">
        <w:rPr>
          <w:rFonts w:ascii="Times New Roman" w:hAnsi="Times New Roman" w:cs="Times New Roman"/>
          <w:noProof/>
          <w:sz w:val="24"/>
          <w:szCs w:val="24"/>
          <w:lang w:val="en-IE"/>
        </w:rPr>
        <w:t xml:space="preserve"> any</w:t>
      </w:r>
      <w:r w:rsidR="0024646B">
        <w:rPr>
          <w:rFonts w:ascii="Times New Roman" w:hAnsi="Times New Roman" w:cs="Times New Roman"/>
          <w:noProof/>
          <w:sz w:val="24"/>
          <w:szCs w:val="24"/>
          <w:lang w:val="en-IE"/>
        </w:rPr>
        <w:t xml:space="preserve"> significant change</w:t>
      </w:r>
      <w:r w:rsidR="00D93D42">
        <w:rPr>
          <w:rFonts w:ascii="Times New Roman" w:hAnsi="Times New Roman" w:cs="Times New Roman"/>
          <w:noProof/>
          <w:sz w:val="24"/>
          <w:szCs w:val="24"/>
          <w:lang w:val="en-IE"/>
        </w:rPr>
        <w:t xml:space="preserve"> in this five-year period</w:t>
      </w:r>
      <w:r>
        <w:rPr>
          <w:rFonts w:ascii="Times New Roman" w:hAnsi="Times New Roman" w:cs="Times New Roman"/>
          <w:noProof/>
          <w:sz w:val="24"/>
          <w:szCs w:val="24"/>
          <w:lang w:val="en-IE"/>
        </w:rPr>
        <w:t xml:space="preserve">. </w:t>
      </w:r>
      <w:r w:rsidR="0024646B">
        <w:rPr>
          <w:rFonts w:ascii="Times New Roman" w:hAnsi="Times New Roman" w:cs="Times New Roman"/>
          <w:noProof/>
          <w:sz w:val="24"/>
          <w:szCs w:val="24"/>
          <w:lang w:val="en-IE"/>
        </w:rPr>
        <w:t>In the future</w:t>
      </w:r>
      <w:r w:rsidR="001A0174">
        <w:rPr>
          <w:rFonts w:ascii="Times New Roman" w:hAnsi="Times New Roman" w:cs="Times New Roman"/>
          <w:noProof/>
          <w:sz w:val="24"/>
          <w:szCs w:val="24"/>
          <w:lang w:val="en-IE"/>
        </w:rPr>
        <w:t>,</w:t>
      </w:r>
      <w:r w:rsidR="0024646B">
        <w:rPr>
          <w:rFonts w:ascii="Times New Roman" w:hAnsi="Times New Roman" w:cs="Times New Roman"/>
          <w:noProof/>
          <w:sz w:val="24"/>
          <w:szCs w:val="24"/>
          <w:lang w:val="en-IE"/>
        </w:rPr>
        <w:t xml:space="preserve"> subsidies for the coal sector might </w:t>
      </w:r>
      <w:r w:rsidR="00D93D42">
        <w:rPr>
          <w:rFonts w:ascii="Times New Roman" w:hAnsi="Times New Roman" w:cs="Times New Roman"/>
          <w:noProof/>
          <w:sz w:val="24"/>
          <w:szCs w:val="24"/>
          <w:lang w:val="en-IE"/>
        </w:rPr>
        <w:t>increase</w:t>
      </w:r>
      <w:r w:rsidR="0024646B">
        <w:rPr>
          <w:rFonts w:ascii="Times New Roman" w:hAnsi="Times New Roman" w:cs="Times New Roman"/>
          <w:noProof/>
          <w:sz w:val="24"/>
          <w:szCs w:val="24"/>
          <w:lang w:val="en-IE"/>
        </w:rPr>
        <w:t xml:space="preserve"> for a limited time, </w:t>
      </w:r>
      <w:r w:rsidR="002F6368">
        <w:rPr>
          <w:rFonts w:ascii="Times New Roman" w:hAnsi="Times New Roman" w:cs="Times New Roman"/>
          <w:noProof/>
          <w:sz w:val="24"/>
          <w:szCs w:val="24"/>
          <w:lang w:val="en-IE"/>
        </w:rPr>
        <w:t xml:space="preserve">owing to </w:t>
      </w:r>
      <w:r w:rsidR="006E0199">
        <w:rPr>
          <w:rFonts w:ascii="Times New Roman" w:hAnsi="Times New Roman" w:cs="Times New Roman"/>
          <w:noProof/>
          <w:sz w:val="24"/>
          <w:szCs w:val="24"/>
          <w:lang w:val="en-IE"/>
        </w:rPr>
        <w:t xml:space="preserve">both </w:t>
      </w:r>
      <w:r w:rsidR="00D93D42">
        <w:rPr>
          <w:rFonts w:ascii="Times New Roman" w:hAnsi="Times New Roman" w:cs="Times New Roman"/>
          <w:noProof/>
          <w:sz w:val="24"/>
          <w:szCs w:val="24"/>
          <w:lang w:val="en-IE"/>
        </w:rPr>
        <w:t xml:space="preserve">the </w:t>
      </w:r>
      <w:r w:rsidR="002F6368">
        <w:rPr>
          <w:rFonts w:ascii="Times New Roman" w:hAnsi="Times New Roman" w:cs="Times New Roman"/>
          <w:noProof/>
          <w:sz w:val="24"/>
          <w:szCs w:val="24"/>
          <w:lang w:val="en-IE"/>
        </w:rPr>
        <w:t>expected short</w:t>
      </w:r>
      <w:r w:rsidR="00D93D42">
        <w:rPr>
          <w:rFonts w:ascii="Times New Roman" w:hAnsi="Times New Roman" w:cs="Times New Roman"/>
          <w:noProof/>
          <w:sz w:val="24"/>
          <w:szCs w:val="24"/>
          <w:lang w:val="en-IE"/>
        </w:rPr>
        <w:t>-</w:t>
      </w:r>
      <w:r w:rsidR="002F6368">
        <w:rPr>
          <w:rFonts w:ascii="Times New Roman" w:hAnsi="Times New Roman" w:cs="Times New Roman"/>
          <w:noProof/>
          <w:sz w:val="24"/>
          <w:szCs w:val="24"/>
          <w:lang w:val="en-IE"/>
        </w:rPr>
        <w:t xml:space="preserve">term increase of coal in </w:t>
      </w:r>
      <w:r w:rsidR="006E0199">
        <w:rPr>
          <w:rFonts w:ascii="Times New Roman" w:hAnsi="Times New Roman" w:cs="Times New Roman"/>
          <w:noProof/>
          <w:sz w:val="24"/>
          <w:szCs w:val="24"/>
          <w:lang w:val="en-IE"/>
        </w:rPr>
        <w:t>electricity-</w:t>
      </w:r>
      <w:r w:rsidR="00D93D42">
        <w:rPr>
          <w:rFonts w:ascii="Times New Roman" w:hAnsi="Times New Roman" w:cs="Times New Roman"/>
          <w:noProof/>
          <w:sz w:val="24"/>
          <w:szCs w:val="24"/>
          <w:lang w:val="en-IE"/>
        </w:rPr>
        <w:t xml:space="preserve">generation </w:t>
      </w:r>
      <w:r w:rsidR="002F6368">
        <w:rPr>
          <w:rFonts w:ascii="Times New Roman" w:hAnsi="Times New Roman" w:cs="Times New Roman"/>
          <w:noProof/>
          <w:sz w:val="24"/>
          <w:szCs w:val="24"/>
          <w:lang w:val="en-IE"/>
        </w:rPr>
        <w:t xml:space="preserve">mixes and </w:t>
      </w:r>
      <w:r w:rsidR="0024646B">
        <w:rPr>
          <w:rFonts w:ascii="Times New Roman" w:hAnsi="Times New Roman" w:cs="Times New Roman"/>
          <w:noProof/>
          <w:sz w:val="24"/>
          <w:szCs w:val="24"/>
          <w:lang w:val="en-IE"/>
        </w:rPr>
        <w:t xml:space="preserve">compensation schemes for </w:t>
      </w:r>
      <w:r w:rsidR="00BB7900">
        <w:rPr>
          <w:rFonts w:ascii="Times New Roman" w:hAnsi="Times New Roman" w:cs="Times New Roman"/>
          <w:noProof/>
          <w:sz w:val="24"/>
          <w:szCs w:val="24"/>
          <w:lang w:val="en-IE"/>
        </w:rPr>
        <w:t xml:space="preserve">coal and lignite </w:t>
      </w:r>
      <w:r w:rsidR="0024646B">
        <w:rPr>
          <w:rFonts w:ascii="Times New Roman" w:hAnsi="Times New Roman" w:cs="Times New Roman"/>
          <w:noProof/>
          <w:sz w:val="24"/>
          <w:szCs w:val="24"/>
          <w:lang w:val="en-IE"/>
        </w:rPr>
        <w:t xml:space="preserve">plant closures </w:t>
      </w:r>
      <w:r w:rsidR="00D93D42">
        <w:rPr>
          <w:rFonts w:ascii="Times New Roman" w:hAnsi="Times New Roman" w:cs="Times New Roman"/>
          <w:noProof/>
          <w:sz w:val="24"/>
          <w:szCs w:val="24"/>
          <w:lang w:val="en-IE"/>
        </w:rPr>
        <w:t xml:space="preserve">planned </w:t>
      </w:r>
      <w:r w:rsidR="0024646B">
        <w:rPr>
          <w:rFonts w:ascii="Times New Roman" w:hAnsi="Times New Roman" w:cs="Times New Roman"/>
          <w:noProof/>
          <w:sz w:val="24"/>
          <w:szCs w:val="24"/>
          <w:lang w:val="en-IE"/>
        </w:rPr>
        <w:t>in several Member States</w:t>
      </w:r>
      <w:r w:rsidR="001A0174">
        <w:rPr>
          <w:rFonts w:ascii="Times New Roman" w:hAnsi="Times New Roman" w:cs="Times New Roman"/>
          <w:noProof/>
          <w:sz w:val="24"/>
          <w:szCs w:val="24"/>
          <w:lang w:val="en-IE"/>
        </w:rPr>
        <w:t>.</w:t>
      </w:r>
      <w:r w:rsidR="00BB7900">
        <w:rPr>
          <w:rFonts w:ascii="Times New Roman" w:hAnsi="Times New Roman" w:cs="Times New Roman"/>
          <w:noProof/>
          <w:sz w:val="24"/>
          <w:szCs w:val="24"/>
          <w:lang w:val="en-IE"/>
        </w:rPr>
        <w:t xml:space="preserve"> </w:t>
      </w:r>
      <w:r w:rsidR="001A0174">
        <w:rPr>
          <w:rFonts w:ascii="Times New Roman" w:hAnsi="Times New Roman" w:cs="Times New Roman"/>
          <w:noProof/>
          <w:sz w:val="24"/>
          <w:szCs w:val="24"/>
          <w:lang w:val="en-IE"/>
        </w:rPr>
        <w:t>H</w:t>
      </w:r>
      <w:r w:rsidR="00BB7900">
        <w:rPr>
          <w:rFonts w:ascii="Times New Roman" w:hAnsi="Times New Roman" w:cs="Times New Roman"/>
          <w:noProof/>
          <w:sz w:val="24"/>
          <w:szCs w:val="24"/>
          <w:lang w:val="en-IE"/>
        </w:rPr>
        <w:t>owever</w:t>
      </w:r>
      <w:r w:rsidR="006E0199">
        <w:rPr>
          <w:rFonts w:ascii="Times New Roman" w:hAnsi="Times New Roman" w:cs="Times New Roman"/>
          <w:noProof/>
          <w:sz w:val="24"/>
          <w:szCs w:val="24"/>
          <w:lang w:val="en-IE"/>
        </w:rPr>
        <w:t>,</w:t>
      </w:r>
      <w:r w:rsidR="00BB7900">
        <w:rPr>
          <w:rFonts w:ascii="Times New Roman" w:hAnsi="Times New Roman" w:cs="Times New Roman"/>
          <w:noProof/>
          <w:sz w:val="24"/>
          <w:szCs w:val="24"/>
          <w:lang w:val="en-IE"/>
        </w:rPr>
        <w:t xml:space="preserve"> th</w:t>
      </w:r>
      <w:r w:rsidR="001A0174">
        <w:rPr>
          <w:rFonts w:ascii="Times New Roman" w:hAnsi="Times New Roman" w:cs="Times New Roman"/>
          <w:noProof/>
          <w:sz w:val="24"/>
          <w:szCs w:val="24"/>
          <w:lang w:val="en-IE"/>
        </w:rPr>
        <w:t>e</w:t>
      </w:r>
      <w:r w:rsidR="00D93D42">
        <w:rPr>
          <w:rFonts w:ascii="Times New Roman" w:hAnsi="Times New Roman" w:cs="Times New Roman"/>
          <w:noProof/>
          <w:sz w:val="24"/>
          <w:szCs w:val="24"/>
          <w:lang w:val="en-IE"/>
        </w:rPr>
        <w:t xml:space="preserve">re may be changes in the plans for these compensation schemes given the </w:t>
      </w:r>
      <w:r w:rsidR="00BB7900">
        <w:rPr>
          <w:rFonts w:ascii="Times New Roman" w:hAnsi="Times New Roman" w:cs="Times New Roman"/>
          <w:noProof/>
          <w:sz w:val="24"/>
          <w:szCs w:val="24"/>
          <w:lang w:val="en-IE"/>
        </w:rPr>
        <w:t xml:space="preserve">current </w:t>
      </w:r>
      <w:r w:rsidR="00714F05">
        <w:rPr>
          <w:rFonts w:ascii="Times New Roman" w:hAnsi="Times New Roman" w:cs="Times New Roman"/>
          <w:noProof/>
          <w:sz w:val="24"/>
          <w:szCs w:val="24"/>
          <w:lang w:val="en-IE"/>
        </w:rPr>
        <w:t xml:space="preserve">challenges for </w:t>
      </w:r>
      <w:r w:rsidR="00BB7900">
        <w:rPr>
          <w:rFonts w:ascii="Times New Roman" w:hAnsi="Times New Roman" w:cs="Times New Roman"/>
          <w:noProof/>
          <w:sz w:val="24"/>
          <w:szCs w:val="24"/>
          <w:lang w:val="en-IE"/>
        </w:rPr>
        <w:t xml:space="preserve">energy security </w:t>
      </w:r>
      <w:r w:rsidR="00714F05">
        <w:rPr>
          <w:rFonts w:ascii="Times New Roman" w:hAnsi="Times New Roman" w:cs="Times New Roman"/>
          <w:noProof/>
          <w:sz w:val="24"/>
          <w:szCs w:val="24"/>
          <w:lang w:val="en-IE"/>
        </w:rPr>
        <w:t xml:space="preserve">and </w:t>
      </w:r>
      <w:r w:rsidR="00BB7900">
        <w:rPr>
          <w:rFonts w:ascii="Times New Roman" w:hAnsi="Times New Roman" w:cs="Times New Roman"/>
          <w:noProof/>
          <w:sz w:val="24"/>
          <w:szCs w:val="24"/>
          <w:lang w:val="en-IE"/>
        </w:rPr>
        <w:t>supply</w:t>
      </w:r>
      <w:r w:rsidR="0024646B">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The biggest drop in solid</w:t>
      </w:r>
      <w:r w:rsidR="00714F05">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w:t>
      </w:r>
      <w:r w:rsidR="00C03088">
        <w:rPr>
          <w:rFonts w:ascii="Times New Roman" w:hAnsi="Times New Roman" w:cs="Times New Roman"/>
          <w:noProof/>
          <w:sz w:val="24"/>
          <w:szCs w:val="24"/>
          <w:lang w:val="en-IE"/>
        </w:rPr>
        <w:t xml:space="preserve">in this </w:t>
      </w:r>
      <w:r w:rsidR="00714F05">
        <w:rPr>
          <w:rFonts w:ascii="Times New Roman" w:hAnsi="Times New Roman" w:cs="Times New Roman"/>
          <w:noProof/>
          <w:sz w:val="24"/>
          <w:szCs w:val="24"/>
          <w:lang w:val="en-IE"/>
        </w:rPr>
        <w:t xml:space="preserve">five-year </w:t>
      </w:r>
      <w:r w:rsidR="00C03088">
        <w:rPr>
          <w:rFonts w:ascii="Times New Roman" w:hAnsi="Times New Roman" w:cs="Times New Roman"/>
          <w:noProof/>
          <w:sz w:val="24"/>
          <w:szCs w:val="24"/>
          <w:lang w:val="en-IE"/>
        </w:rPr>
        <w:t xml:space="preserve">period </w:t>
      </w:r>
      <w:r>
        <w:rPr>
          <w:rFonts w:ascii="Times New Roman" w:hAnsi="Times New Roman" w:cs="Times New Roman"/>
          <w:noProof/>
          <w:sz w:val="24"/>
          <w:szCs w:val="24"/>
          <w:lang w:val="en-IE"/>
        </w:rPr>
        <w:t>cou</w:t>
      </w:r>
      <w:r w:rsidR="0024646B">
        <w:rPr>
          <w:rFonts w:ascii="Times New Roman" w:hAnsi="Times New Roman" w:cs="Times New Roman"/>
          <w:noProof/>
          <w:sz w:val="24"/>
          <w:szCs w:val="24"/>
          <w:lang w:val="en-IE"/>
        </w:rPr>
        <w:t>ld be observed in Germany (by 11%</w:t>
      </w:r>
      <w:r w:rsidR="006E0199">
        <w:rPr>
          <w:rFonts w:ascii="Times New Roman" w:hAnsi="Times New Roman" w:cs="Times New Roman"/>
          <w:noProof/>
          <w:sz w:val="24"/>
          <w:szCs w:val="24"/>
          <w:lang w:val="en-IE"/>
        </w:rPr>
        <w:t xml:space="preserve"> or</w:t>
      </w:r>
      <w:r w:rsidR="0024646B">
        <w:rPr>
          <w:rFonts w:ascii="Times New Roman" w:hAnsi="Times New Roman" w:cs="Times New Roman"/>
          <w:noProof/>
          <w:sz w:val="24"/>
          <w:szCs w:val="24"/>
          <w:lang w:val="en-IE"/>
        </w:rPr>
        <w:t xml:space="preserve"> -</w:t>
      </w:r>
      <w:r w:rsidR="00714F05">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0.8</w:t>
      </w:r>
      <w:r>
        <w:rPr>
          <w:rFonts w:ascii="Times New Roman" w:hAnsi="Times New Roman" w:cs="Times New Roman"/>
          <w:noProof/>
          <w:sz w:val="24"/>
          <w:szCs w:val="24"/>
          <w:lang w:val="en-IE"/>
        </w:rPr>
        <w:t xml:space="preserve"> billion</w:t>
      </w:r>
      <w:r w:rsidR="0024646B">
        <w:rPr>
          <w:rFonts w:ascii="Times New Roman" w:hAnsi="Times New Roman" w:cs="Times New Roman"/>
          <w:noProof/>
          <w:sz w:val="24"/>
          <w:szCs w:val="24"/>
          <w:lang w:val="en-IE"/>
        </w:rPr>
        <w:t>), whereas in Poland coal subsidies</w:t>
      </w:r>
      <w:r w:rsidR="00714F05">
        <w:rPr>
          <w:rFonts w:ascii="Times New Roman" w:hAnsi="Times New Roman" w:cs="Times New Roman"/>
          <w:noProof/>
          <w:sz w:val="24"/>
          <w:szCs w:val="24"/>
          <w:lang w:val="en-IE"/>
        </w:rPr>
        <w:t xml:space="preserve"> increased</w:t>
      </w:r>
      <w:r w:rsidR="0024646B">
        <w:rPr>
          <w:rFonts w:ascii="Times New Roman" w:hAnsi="Times New Roman" w:cs="Times New Roman"/>
          <w:noProof/>
          <w:sz w:val="24"/>
          <w:szCs w:val="24"/>
          <w:lang w:val="en-IE"/>
        </w:rPr>
        <w:t xml:space="preserve"> by 65% (+</w:t>
      </w:r>
      <w:r w:rsidR="00714F05">
        <w:rPr>
          <w:rFonts w:ascii="Times New Roman" w:hAnsi="Times New Roman" w:cs="Times New Roman"/>
          <w:noProof/>
          <w:sz w:val="24"/>
          <w:szCs w:val="24"/>
          <w:lang w:val="en-IE"/>
        </w:rPr>
        <w:t xml:space="preserve">EUR </w:t>
      </w:r>
      <w:r w:rsidR="0024646B">
        <w:rPr>
          <w:rFonts w:ascii="Times New Roman" w:hAnsi="Times New Roman" w:cs="Times New Roman"/>
          <w:noProof/>
          <w:sz w:val="24"/>
          <w:szCs w:val="24"/>
          <w:lang w:val="en-IE"/>
        </w:rPr>
        <w:t>0.6 billion).</w:t>
      </w:r>
      <w:r w:rsidR="0024646B" w:rsidRPr="0024646B">
        <w:rPr>
          <w:rFonts w:ascii="Times New Roman" w:hAnsi="Times New Roman" w:cs="Times New Roman"/>
          <w:noProof/>
          <w:sz w:val="24"/>
          <w:szCs w:val="24"/>
          <w:lang w:val="en-IE"/>
        </w:rPr>
        <w:t xml:space="preserve"> </w:t>
      </w:r>
      <w:r w:rsidR="00BB540F">
        <w:rPr>
          <w:rFonts w:ascii="Times New Roman" w:hAnsi="Times New Roman" w:cs="Times New Roman"/>
          <w:noProof/>
          <w:sz w:val="24"/>
          <w:szCs w:val="24"/>
          <w:lang w:val="en-IE"/>
        </w:rPr>
        <w:t>Coal subsidies</w:t>
      </w:r>
      <w:r w:rsidR="002464D6">
        <w:rPr>
          <w:rFonts w:ascii="Times New Roman" w:hAnsi="Times New Roman" w:cs="Times New Roman"/>
          <w:noProof/>
          <w:sz w:val="24"/>
          <w:szCs w:val="24"/>
          <w:lang w:val="en-IE"/>
        </w:rPr>
        <w:t xml:space="preserve"> in the EU</w:t>
      </w:r>
      <w:r w:rsidR="00BB540F">
        <w:rPr>
          <w:rFonts w:ascii="Times New Roman" w:hAnsi="Times New Roman" w:cs="Times New Roman"/>
          <w:noProof/>
          <w:sz w:val="24"/>
          <w:szCs w:val="24"/>
          <w:lang w:val="en-IE"/>
        </w:rPr>
        <w:t xml:space="preserve"> </w:t>
      </w:r>
      <w:r w:rsidR="00714F05">
        <w:rPr>
          <w:rFonts w:ascii="Times New Roman" w:hAnsi="Times New Roman" w:cs="Times New Roman"/>
          <w:noProof/>
          <w:sz w:val="24"/>
          <w:szCs w:val="24"/>
          <w:lang w:val="en-IE"/>
        </w:rPr>
        <w:t>increased</w:t>
      </w:r>
      <w:r w:rsidR="00BB540F">
        <w:rPr>
          <w:rFonts w:ascii="Times New Roman" w:hAnsi="Times New Roman" w:cs="Times New Roman"/>
          <w:noProof/>
          <w:sz w:val="24"/>
          <w:szCs w:val="24"/>
          <w:lang w:val="en-IE"/>
        </w:rPr>
        <w:t xml:space="preserve"> by an estimated </w:t>
      </w:r>
      <w:r w:rsidR="00714F05">
        <w:rPr>
          <w:rFonts w:ascii="Times New Roman" w:hAnsi="Times New Roman" w:cs="Times New Roman"/>
          <w:noProof/>
          <w:sz w:val="24"/>
          <w:szCs w:val="24"/>
          <w:lang w:val="en-IE"/>
        </w:rPr>
        <w:t xml:space="preserve">EUR </w:t>
      </w:r>
      <w:r w:rsidR="00BB540F">
        <w:rPr>
          <w:rFonts w:ascii="Times New Roman" w:hAnsi="Times New Roman" w:cs="Times New Roman"/>
          <w:noProof/>
          <w:sz w:val="24"/>
          <w:szCs w:val="24"/>
          <w:lang w:val="en-IE"/>
        </w:rPr>
        <w:t>0.6 billion in 2021</w:t>
      </w:r>
      <w:r w:rsidR="00714F05">
        <w:rPr>
          <w:rFonts w:ascii="Times New Roman" w:hAnsi="Times New Roman" w:cs="Times New Roman"/>
          <w:noProof/>
          <w:sz w:val="24"/>
          <w:szCs w:val="24"/>
          <w:lang w:val="en-IE"/>
        </w:rPr>
        <w:t xml:space="preserve"> across the EU</w:t>
      </w:r>
      <w:r w:rsidR="00BB540F">
        <w:rPr>
          <w:rFonts w:ascii="Times New Roman" w:hAnsi="Times New Roman" w:cs="Times New Roman"/>
          <w:noProof/>
          <w:sz w:val="24"/>
          <w:szCs w:val="24"/>
          <w:lang w:val="en-IE"/>
        </w:rPr>
        <w:t xml:space="preserve"> </w:t>
      </w:r>
      <w:r w:rsidR="00714F05">
        <w:rPr>
          <w:rFonts w:ascii="Times New Roman" w:hAnsi="Times New Roman" w:cs="Times New Roman"/>
          <w:noProof/>
          <w:sz w:val="24"/>
          <w:szCs w:val="24"/>
          <w:lang w:val="en-IE"/>
        </w:rPr>
        <w:t>compared to 2020.</w:t>
      </w:r>
    </w:p>
    <w:p w14:paraId="41042B6D" w14:textId="49B3B675" w:rsidR="002132CB" w:rsidRDefault="00971EE4" w:rsidP="00082ED9">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Subsidies </w:t>
      </w:r>
      <w:r w:rsidR="004A2CD9">
        <w:rPr>
          <w:rFonts w:ascii="Times New Roman" w:hAnsi="Times New Roman" w:cs="Times New Roman"/>
          <w:noProof/>
          <w:sz w:val="24"/>
          <w:szCs w:val="24"/>
          <w:lang w:val="en-IE"/>
        </w:rPr>
        <w:t>for</w:t>
      </w:r>
      <w:r>
        <w:rPr>
          <w:rFonts w:ascii="Times New Roman" w:hAnsi="Times New Roman" w:cs="Times New Roman"/>
          <w:noProof/>
          <w:sz w:val="24"/>
          <w:szCs w:val="24"/>
          <w:lang w:val="en-IE"/>
        </w:rPr>
        <w:t xml:space="preserve"> </w:t>
      </w:r>
      <w:r w:rsidRPr="00971EE4">
        <w:rPr>
          <w:rFonts w:ascii="Times New Roman" w:hAnsi="Times New Roman" w:cs="Times New Roman"/>
          <w:b/>
          <w:noProof/>
          <w:sz w:val="24"/>
          <w:szCs w:val="24"/>
          <w:lang w:val="en-IE"/>
        </w:rPr>
        <w:t>natural gas</w:t>
      </w:r>
      <w:r>
        <w:rPr>
          <w:rFonts w:ascii="Times New Roman" w:hAnsi="Times New Roman" w:cs="Times New Roman"/>
          <w:noProof/>
          <w:sz w:val="24"/>
          <w:szCs w:val="24"/>
          <w:lang w:val="en-IE"/>
        </w:rPr>
        <w:t xml:space="preserve"> grew by </w:t>
      </w:r>
      <w:r w:rsidR="00BB7900">
        <w:rPr>
          <w:rFonts w:ascii="Times New Roman" w:hAnsi="Times New Roman" w:cs="Times New Roman"/>
          <w:noProof/>
          <w:sz w:val="24"/>
          <w:szCs w:val="24"/>
          <w:lang w:val="en-IE"/>
        </w:rPr>
        <w:t>6% (</w:t>
      </w:r>
      <w:r w:rsidR="00714F05">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0.</w:t>
      </w:r>
      <w:r w:rsidR="0024646B">
        <w:rPr>
          <w:rFonts w:ascii="Times New Roman" w:hAnsi="Times New Roman" w:cs="Times New Roman"/>
          <w:noProof/>
          <w:sz w:val="24"/>
          <w:szCs w:val="24"/>
          <w:lang w:val="en-IE"/>
        </w:rPr>
        <w:t>5</w:t>
      </w:r>
      <w:r>
        <w:rPr>
          <w:rFonts w:ascii="Times New Roman" w:hAnsi="Times New Roman" w:cs="Times New Roman"/>
          <w:noProof/>
          <w:sz w:val="24"/>
          <w:szCs w:val="24"/>
          <w:lang w:val="en-IE"/>
        </w:rPr>
        <w:t xml:space="preserve"> billion) between 2015 and 20</w:t>
      </w:r>
      <w:r w:rsidR="0024646B">
        <w:rPr>
          <w:rFonts w:ascii="Times New Roman" w:hAnsi="Times New Roman" w:cs="Times New Roman"/>
          <w:noProof/>
          <w:sz w:val="24"/>
          <w:szCs w:val="24"/>
          <w:lang w:val="en-IE"/>
        </w:rPr>
        <w:t>20, representing around 19</w:t>
      </w:r>
      <w:r>
        <w:rPr>
          <w:rFonts w:ascii="Times New Roman" w:hAnsi="Times New Roman" w:cs="Times New Roman"/>
          <w:noProof/>
          <w:sz w:val="24"/>
          <w:szCs w:val="24"/>
          <w:lang w:val="en-IE"/>
        </w:rPr>
        <w:t>% of fossil</w:t>
      </w:r>
      <w:r w:rsidR="00714F05">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slightly more than </w:t>
      </w:r>
      <w:r w:rsidR="00C03088">
        <w:rPr>
          <w:rFonts w:ascii="Times New Roman" w:hAnsi="Times New Roman" w:cs="Times New Roman"/>
          <w:noProof/>
          <w:sz w:val="24"/>
          <w:szCs w:val="24"/>
          <w:lang w:val="en-IE"/>
        </w:rPr>
        <w:t xml:space="preserve">the share of </w:t>
      </w:r>
      <w:r w:rsidR="00714F05">
        <w:rPr>
          <w:rFonts w:ascii="Times New Roman" w:hAnsi="Times New Roman" w:cs="Times New Roman"/>
          <w:noProof/>
          <w:sz w:val="24"/>
          <w:szCs w:val="24"/>
          <w:lang w:val="en-IE"/>
        </w:rPr>
        <w:t xml:space="preserve">subsidies accounted for by </w:t>
      </w:r>
      <w:r>
        <w:rPr>
          <w:rFonts w:ascii="Times New Roman" w:hAnsi="Times New Roman" w:cs="Times New Roman"/>
          <w:noProof/>
          <w:sz w:val="24"/>
          <w:szCs w:val="24"/>
          <w:lang w:val="en-IE"/>
        </w:rPr>
        <w:t>coal and lignite (1</w:t>
      </w:r>
      <w:r w:rsidR="0024646B">
        <w:rPr>
          <w:rFonts w:ascii="Times New Roman" w:hAnsi="Times New Roman" w:cs="Times New Roman"/>
          <w:noProof/>
          <w:sz w:val="24"/>
          <w:szCs w:val="24"/>
          <w:lang w:val="en-IE"/>
        </w:rPr>
        <w:t>8</w:t>
      </w:r>
      <w:r>
        <w:rPr>
          <w:rFonts w:ascii="Times New Roman" w:hAnsi="Times New Roman" w:cs="Times New Roman"/>
          <w:noProof/>
          <w:sz w:val="24"/>
          <w:szCs w:val="24"/>
          <w:lang w:val="en-IE"/>
        </w:rPr>
        <w:t xml:space="preserve">%). </w:t>
      </w:r>
      <w:r w:rsidR="0024646B">
        <w:rPr>
          <w:rFonts w:ascii="Times New Roman" w:hAnsi="Times New Roman" w:cs="Times New Roman"/>
          <w:noProof/>
          <w:sz w:val="24"/>
          <w:szCs w:val="24"/>
          <w:lang w:val="en-IE"/>
        </w:rPr>
        <w:t xml:space="preserve">Subsidies on gas rose in the industrial sector during this period, while </w:t>
      </w:r>
      <w:r w:rsidR="00714F05">
        <w:rPr>
          <w:rFonts w:ascii="Times New Roman" w:hAnsi="Times New Roman" w:cs="Times New Roman"/>
          <w:noProof/>
          <w:sz w:val="24"/>
          <w:szCs w:val="24"/>
          <w:lang w:val="en-IE"/>
        </w:rPr>
        <w:t xml:space="preserve">there was no change in subsidies </w:t>
      </w:r>
      <w:r w:rsidR="0024646B">
        <w:rPr>
          <w:rFonts w:ascii="Times New Roman" w:hAnsi="Times New Roman" w:cs="Times New Roman"/>
          <w:noProof/>
          <w:sz w:val="24"/>
          <w:szCs w:val="24"/>
          <w:lang w:val="en-IE"/>
        </w:rPr>
        <w:t xml:space="preserve">in </w:t>
      </w:r>
      <w:r w:rsidR="00714F05">
        <w:rPr>
          <w:rFonts w:ascii="Times New Roman" w:hAnsi="Times New Roman" w:cs="Times New Roman"/>
          <w:noProof/>
          <w:sz w:val="24"/>
          <w:szCs w:val="24"/>
          <w:lang w:val="en-IE"/>
        </w:rPr>
        <w:t>the electricity-</w:t>
      </w:r>
      <w:r w:rsidR="0024646B">
        <w:rPr>
          <w:rFonts w:ascii="Times New Roman" w:hAnsi="Times New Roman" w:cs="Times New Roman"/>
          <w:noProof/>
          <w:sz w:val="24"/>
          <w:szCs w:val="24"/>
          <w:lang w:val="en-IE"/>
        </w:rPr>
        <w:t xml:space="preserve">generation </w:t>
      </w:r>
      <w:r w:rsidR="00714F05">
        <w:rPr>
          <w:rFonts w:ascii="Times New Roman" w:hAnsi="Times New Roman" w:cs="Times New Roman"/>
          <w:noProof/>
          <w:sz w:val="24"/>
          <w:szCs w:val="24"/>
          <w:lang w:val="en-IE"/>
        </w:rPr>
        <w:t>sector</w:t>
      </w:r>
      <w:r w:rsidR="0024646B">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Natural</w:t>
      </w:r>
      <w:r w:rsidR="00714F05">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gas subsidies rose by </w:t>
      </w:r>
      <w:r w:rsidR="0024646B">
        <w:rPr>
          <w:rFonts w:ascii="Times New Roman" w:hAnsi="Times New Roman" w:cs="Times New Roman"/>
          <w:noProof/>
          <w:sz w:val="24"/>
          <w:szCs w:val="24"/>
          <w:lang w:val="en-IE"/>
        </w:rPr>
        <w:t xml:space="preserve">around </w:t>
      </w:r>
      <w:r w:rsidR="00714F05">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0.5 </w:t>
      </w:r>
      <w:r w:rsidR="000A5707">
        <w:rPr>
          <w:rFonts w:ascii="Times New Roman" w:hAnsi="Times New Roman" w:cs="Times New Roman"/>
          <w:noProof/>
          <w:sz w:val="24"/>
          <w:szCs w:val="24"/>
          <w:lang w:val="en-IE"/>
        </w:rPr>
        <w:t>b</w:t>
      </w:r>
      <w:r w:rsidR="008D4C1B">
        <w:rPr>
          <w:rFonts w:ascii="Times New Roman" w:hAnsi="Times New Roman" w:cs="Times New Roman"/>
          <w:noProof/>
          <w:sz w:val="24"/>
          <w:szCs w:val="24"/>
          <w:lang w:val="en-IE"/>
        </w:rPr>
        <w:t xml:space="preserve">illion </w:t>
      </w:r>
      <w:r>
        <w:rPr>
          <w:rFonts w:ascii="Times New Roman" w:hAnsi="Times New Roman" w:cs="Times New Roman"/>
          <w:noProof/>
          <w:sz w:val="24"/>
          <w:szCs w:val="24"/>
          <w:lang w:val="en-IE"/>
        </w:rPr>
        <w:t>both in Germany</w:t>
      </w:r>
      <w:r w:rsidR="00045B1A">
        <w:rPr>
          <w:rFonts w:ascii="Times New Roman" w:hAnsi="Times New Roman" w:cs="Times New Roman"/>
          <w:noProof/>
          <w:sz w:val="24"/>
          <w:szCs w:val="24"/>
          <w:lang w:val="en-IE"/>
        </w:rPr>
        <w:t xml:space="preserve"> (+9%)</w:t>
      </w:r>
      <w:r>
        <w:rPr>
          <w:rFonts w:ascii="Times New Roman" w:hAnsi="Times New Roman" w:cs="Times New Roman"/>
          <w:noProof/>
          <w:sz w:val="24"/>
          <w:szCs w:val="24"/>
          <w:lang w:val="en-IE"/>
        </w:rPr>
        <w:t xml:space="preserve"> and France</w:t>
      </w:r>
      <w:r w:rsidR="00045B1A">
        <w:rPr>
          <w:rFonts w:ascii="Times New Roman" w:hAnsi="Times New Roman" w:cs="Times New Roman"/>
          <w:noProof/>
          <w:sz w:val="24"/>
          <w:szCs w:val="24"/>
          <w:lang w:val="en-IE"/>
        </w:rPr>
        <w:t xml:space="preserve"> (+113%)</w:t>
      </w:r>
      <w:r>
        <w:rPr>
          <w:rFonts w:ascii="Times New Roman" w:hAnsi="Times New Roman" w:cs="Times New Roman"/>
          <w:noProof/>
          <w:sz w:val="24"/>
          <w:szCs w:val="24"/>
          <w:lang w:val="en-IE"/>
        </w:rPr>
        <w:t xml:space="preserve"> in this period</w:t>
      </w:r>
      <w:r w:rsidR="00C03088">
        <w:rPr>
          <w:rFonts w:ascii="Times New Roman" w:hAnsi="Times New Roman" w:cs="Times New Roman"/>
          <w:noProof/>
          <w:sz w:val="24"/>
          <w:szCs w:val="24"/>
          <w:lang w:val="en-IE"/>
        </w:rPr>
        <w:t xml:space="preserve">, whereas </w:t>
      </w:r>
      <w:r w:rsidR="0024646B">
        <w:rPr>
          <w:rFonts w:ascii="Times New Roman" w:hAnsi="Times New Roman" w:cs="Times New Roman"/>
          <w:noProof/>
          <w:sz w:val="24"/>
          <w:szCs w:val="24"/>
          <w:lang w:val="en-IE"/>
        </w:rPr>
        <w:t xml:space="preserve">the change between 2015 and 2020 </w:t>
      </w:r>
      <w:r w:rsidR="00C03088">
        <w:rPr>
          <w:rFonts w:ascii="Times New Roman" w:hAnsi="Times New Roman" w:cs="Times New Roman"/>
          <w:noProof/>
          <w:sz w:val="24"/>
          <w:szCs w:val="24"/>
          <w:lang w:val="en-IE"/>
        </w:rPr>
        <w:t xml:space="preserve">showed </w:t>
      </w:r>
      <w:r w:rsidR="008D4C1B">
        <w:rPr>
          <w:rFonts w:ascii="Times New Roman" w:hAnsi="Times New Roman" w:cs="Times New Roman"/>
          <w:noProof/>
          <w:sz w:val="24"/>
          <w:szCs w:val="24"/>
          <w:lang w:val="en-IE"/>
        </w:rPr>
        <w:t xml:space="preserve">a </w:t>
      </w:r>
      <w:r w:rsidR="00C03088">
        <w:rPr>
          <w:rFonts w:ascii="Times New Roman" w:hAnsi="Times New Roman" w:cs="Times New Roman"/>
          <w:noProof/>
          <w:sz w:val="24"/>
          <w:szCs w:val="24"/>
          <w:lang w:val="en-IE"/>
        </w:rPr>
        <w:t xml:space="preserve">mixed picture in </w:t>
      </w:r>
      <w:r w:rsidR="0024646B">
        <w:rPr>
          <w:rFonts w:ascii="Times New Roman" w:hAnsi="Times New Roman" w:cs="Times New Roman"/>
          <w:noProof/>
          <w:sz w:val="24"/>
          <w:szCs w:val="24"/>
          <w:lang w:val="en-IE"/>
        </w:rPr>
        <w:t>other countries</w:t>
      </w:r>
      <w:r>
        <w:rPr>
          <w:rFonts w:ascii="Times New Roman" w:hAnsi="Times New Roman" w:cs="Times New Roman"/>
          <w:noProof/>
          <w:sz w:val="24"/>
          <w:szCs w:val="24"/>
          <w:lang w:val="en-IE"/>
        </w:rPr>
        <w:t>.</w:t>
      </w:r>
    </w:p>
    <w:p w14:paraId="04C06983" w14:textId="74098F1C" w:rsidR="00082ED9" w:rsidRDefault="001A0174" w:rsidP="00082ED9">
      <w:pPr>
        <w:pStyle w:val="ListParagraph"/>
        <w:spacing w:before="120" w:after="120"/>
        <w:ind w:left="0"/>
        <w:contextualSpacing w:val="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Increas</w:t>
      </w:r>
      <w:r w:rsidR="00A97627">
        <w:rPr>
          <w:rFonts w:ascii="Times New Roman" w:hAnsi="Times New Roman" w:cs="Times New Roman"/>
          <w:noProof/>
          <w:sz w:val="24"/>
          <w:szCs w:val="24"/>
          <w:lang w:val="en-IE"/>
        </w:rPr>
        <w:t>ing</w:t>
      </w:r>
      <w:r>
        <w:rPr>
          <w:rFonts w:ascii="Times New Roman" w:hAnsi="Times New Roman" w:cs="Times New Roman"/>
          <w:noProof/>
          <w:sz w:val="24"/>
          <w:szCs w:val="24"/>
          <w:lang w:val="en-IE"/>
        </w:rPr>
        <w:t xml:space="preserve"> coal prices amid </w:t>
      </w:r>
      <w:r w:rsidR="002132CB">
        <w:rPr>
          <w:rFonts w:ascii="Times New Roman" w:hAnsi="Times New Roman" w:cs="Times New Roman"/>
          <w:noProof/>
          <w:sz w:val="24"/>
          <w:szCs w:val="24"/>
          <w:lang w:val="en-IE"/>
        </w:rPr>
        <w:t xml:space="preserve">extreme </w:t>
      </w:r>
      <w:r>
        <w:rPr>
          <w:rFonts w:ascii="Times New Roman" w:hAnsi="Times New Roman" w:cs="Times New Roman"/>
          <w:noProof/>
          <w:sz w:val="24"/>
          <w:szCs w:val="24"/>
          <w:lang w:val="en-IE"/>
        </w:rPr>
        <w:t xml:space="preserve">high gas prices made </w:t>
      </w:r>
      <w:r w:rsidR="006E0199">
        <w:rPr>
          <w:rFonts w:ascii="Times New Roman" w:hAnsi="Times New Roman" w:cs="Times New Roman"/>
          <w:noProof/>
          <w:sz w:val="24"/>
          <w:szCs w:val="24"/>
          <w:lang w:val="en-IE"/>
        </w:rPr>
        <w:t>it more difficult to</w:t>
      </w:r>
      <w:r w:rsidR="00714F05">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replace</w:t>
      </w:r>
      <w:r w:rsidR="0024646B">
        <w:rPr>
          <w:rFonts w:ascii="Times New Roman" w:hAnsi="Times New Roman" w:cs="Times New Roman"/>
          <w:noProof/>
          <w:sz w:val="24"/>
          <w:szCs w:val="24"/>
          <w:lang w:val="en-IE"/>
        </w:rPr>
        <w:t xml:space="preserve"> gas</w:t>
      </w:r>
      <w:r w:rsidR="00714F05">
        <w:rPr>
          <w:rFonts w:ascii="Times New Roman" w:hAnsi="Times New Roman" w:cs="Times New Roman"/>
          <w:noProof/>
          <w:sz w:val="24"/>
          <w:szCs w:val="24"/>
          <w:lang w:val="en-IE"/>
        </w:rPr>
        <w:t xml:space="preserve"> with </w:t>
      </w:r>
      <w:r w:rsidR="00A97627">
        <w:rPr>
          <w:rFonts w:ascii="Times New Roman" w:hAnsi="Times New Roman" w:cs="Times New Roman"/>
          <w:noProof/>
          <w:sz w:val="24"/>
          <w:szCs w:val="24"/>
          <w:lang w:val="en-IE"/>
        </w:rPr>
        <w:t>coal</w:t>
      </w:r>
      <w:r w:rsidR="0024646B">
        <w:rPr>
          <w:rFonts w:ascii="Times New Roman" w:hAnsi="Times New Roman" w:cs="Times New Roman"/>
          <w:noProof/>
          <w:sz w:val="24"/>
          <w:szCs w:val="24"/>
          <w:lang w:val="en-IE"/>
        </w:rPr>
        <w:t xml:space="preserve"> in the power mix of many EU Member States</w:t>
      </w:r>
      <w:r w:rsidR="00A97627">
        <w:rPr>
          <w:rFonts w:ascii="Times New Roman" w:hAnsi="Times New Roman" w:cs="Times New Roman"/>
          <w:noProof/>
          <w:sz w:val="24"/>
          <w:szCs w:val="24"/>
          <w:lang w:val="en-IE"/>
        </w:rPr>
        <w:t xml:space="preserve">, but </w:t>
      </w:r>
      <w:r w:rsidR="00FD261A">
        <w:rPr>
          <w:rFonts w:ascii="Times New Roman" w:hAnsi="Times New Roman" w:cs="Times New Roman"/>
          <w:noProof/>
          <w:sz w:val="24"/>
          <w:szCs w:val="24"/>
          <w:lang w:val="en-IE"/>
        </w:rPr>
        <w:t>they</w:t>
      </w:r>
      <w:r w:rsidR="00A97627">
        <w:rPr>
          <w:rFonts w:ascii="Times New Roman" w:hAnsi="Times New Roman" w:cs="Times New Roman"/>
          <w:noProof/>
          <w:sz w:val="24"/>
          <w:szCs w:val="24"/>
          <w:lang w:val="en-IE"/>
        </w:rPr>
        <w:t xml:space="preserve"> encourage replacement with cheaper renewable energy sources</w:t>
      </w:r>
      <w:r>
        <w:rPr>
          <w:rFonts w:ascii="Times New Roman" w:hAnsi="Times New Roman" w:cs="Times New Roman"/>
          <w:noProof/>
          <w:sz w:val="24"/>
          <w:szCs w:val="24"/>
          <w:lang w:val="en-IE"/>
        </w:rPr>
        <w:t>.</w:t>
      </w:r>
      <w:r w:rsidR="0024646B">
        <w:rPr>
          <w:rFonts w:ascii="Times New Roman" w:hAnsi="Times New Roman" w:cs="Times New Roman"/>
          <w:noProof/>
          <w:sz w:val="24"/>
          <w:szCs w:val="24"/>
          <w:lang w:val="en-IE"/>
        </w:rPr>
        <w:t xml:space="preserve"> </w:t>
      </w:r>
      <w:r w:rsidR="00A97627">
        <w:rPr>
          <w:rFonts w:ascii="Times New Roman" w:hAnsi="Times New Roman" w:cs="Times New Roman"/>
          <w:noProof/>
          <w:sz w:val="24"/>
          <w:szCs w:val="24"/>
          <w:lang w:val="en-IE"/>
        </w:rPr>
        <w:t>As</w:t>
      </w:r>
      <w:r w:rsidR="00714F05">
        <w:rPr>
          <w:rFonts w:ascii="Times New Roman" w:hAnsi="Times New Roman" w:cs="Times New Roman"/>
          <w:noProof/>
          <w:sz w:val="24"/>
          <w:szCs w:val="24"/>
          <w:lang w:val="en-IE"/>
        </w:rPr>
        <w:t xml:space="preserve"> a result </w:t>
      </w:r>
      <w:r>
        <w:rPr>
          <w:rFonts w:ascii="Times New Roman" w:hAnsi="Times New Roman" w:cs="Times New Roman"/>
          <w:noProof/>
          <w:sz w:val="24"/>
          <w:szCs w:val="24"/>
          <w:lang w:val="en-IE"/>
        </w:rPr>
        <w:t>of</w:t>
      </w:r>
      <w:r w:rsidR="0024646B">
        <w:rPr>
          <w:rFonts w:ascii="Times New Roman" w:hAnsi="Times New Roman" w:cs="Times New Roman"/>
          <w:noProof/>
          <w:sz w:val="24"/>
          <w:szCs w:val="24"/>
          <w:lang w:val="en-IE"/>
        </w:rPr>
        <w:t xml:space="preserve"> the current geopolitical situation, the EU has </w:t>
      </w:r>
      <w:r w:rsidR="00714F05">
        <w:rPr>
          <w:rFonts w:ascii="Times New Roman" w:hAnsi="Times New Roman" w:cs="Times New Roman"/>
          <w:noProof/>
          <w:sz w:val="24"/>
          <w:szCs w:val="24"/>
          <w:lang w:val="en-IE"/>
        </w:rPr>
        <w:t xml:space="preserve">introduced </w:t>
      </w:r>
      <w:r w:rsidR="006E0199">
        <w:rPr>
          <w:rFonts w:ascii="Times New Roman" w:hAnsi="Times New Roman" w:cs="Times New Roman"/>
          <w:noProof/>
          <w:sz w:val="24"/>
          <w:szCs w:val="24"/>
          <w:lang w:val="en-IE"/>
        </w:rPr>
        <w:t>two initiatives. The first initiative is</w:t>
      </w:r>
      <w:r w:rsidR="00714F05">
        <w:rPr>
          <w:rFonts w:ascii="Times New Roman" w:hAnsi="Times New Roman" w:cs="Times New Roman"/>
          <w:noProof/>
          <w:sz w:val="24"/>
          <w:szCs w:val="24"/>
          <w:lang w:val="en-IE"/>
        </w:rPr>
        <w:t xml:space="preserve"> </w:t>
      </w:r>
      <w:r w:rsidR="0024646B">
        <w:rPr>
          <w:rFonts w:ascii="Times New Roman" w:hAnsi="Times New Roman" w:cs="Times New Roman"/>
          <w:noProof/>
          <w:sz w:val="24"/>
          <w:szCs w:val="24"/>
          <w:lang w:val="en-IE"/>
        </w:rPr>
        <w:t>the R</w:t>
      </w:r>
      <w:r w:rsidR="004762E2">
        <w:rPr>
          <w:rFonts w:ascii="Times New Roman" w:hAnsi="Times New Roman" w:cs="Times New Roman"/>
          <w:noProof/>
          <w:sz w:val="24"/>
          <w:szCs w:val="24"/>
          <w:lang w:val="en-IE"/>
        </w:rPr>
        <w:t>E</w:t>
      </w:r>
      <w:r w:rsidR="0024646B">
        <w:rPr>
          <w:rFonts w:ascii="Times New Roman" w:hAnsi="Times New Roman" w:cs="Times New Roman"/>
          <w:noProof/>
          <w:sz w:val="24"/>
          <w:szCs w:val="24"/>
          <w:lang w:val="en-IE"/>
        </w:rPr>
        <w:t>PowerEU plan</w:t>
      </w:r>
      <w:r w:rsidR="00361B25">
        <w:rPr>
          <w:rFonts w:ascii="Times New Roman" w:hAnsi="Times New Roman" w:cs="Times New Roman"/>
          <w:noProof/>
          <w:sz w:val="24"/>
          <w:szCs w:val="24"/>
          <w:lang w:val="en-IE"/>
        </w:rPr>
        <w:t xml:space="preserve"> </w:t>
      </w:r>
      <w:r w:rsidR="0024646B">
        <w:rPr>
          <w:rFonts w:ascii="Times New Roman" w:hAnsi="Times New Roman" w:cs="Times New Roman"/>
          <w:noProof/>
          <w:sz w:val="24"/>
          <w:szCs w:val="24"/>
          <w:lang w:val="en-IE"/>
        </w:rPr>
        <w:t>to reduce reliance on gas consumption (principally aiming at</w:t>
      </w:r>
      <w:r w:rsidR="00714F05">
        <w:rPr>
          <w:rFonts w:ascii="Times New Roman" w:hAnsi="Times New Roman" w:cs="Times New Roman"/>
          <w:noProof/>
          <w:sz w:val="24"/>
          <w:szCs w:val="24"/>
          <w:lang w:val="en-IE"/>
        </w:rPr>
        <w:t>: (i)</w:t>
      </w:r>
      <w:r w:rsidR="0024646B">
        <w:rPr>
          <w:rFonts w:ascii="Times New Roman" w:hAnsi="Times New Roman" w:cs="Times New Roman"/>
          <w:noProof/>
          <w:sz w:val="24"/>
          <w:szCs w:val="24"/>
          <w:lang w:val="en-IE"/>
        </w:rPr>
        <w:t xml:space="preserve"> </w:t>
      </w:r>
      <w:r w:rsidR="004762E2">
        <w:rPr>
          <w:rFonts w:ascii="Times New Roman" w:hAnsi="Times New Roman" w:cs="Times New Roman"/>
          <w:noProof/>
          <w:sz w:val="24"/>
          <w:szCs w:val="24"/>
          <w:lang w:val="en-IE"/>
        </w:rPr>
        <w:t xml:space="preserve">diversifying </w:t>
      </w:r>
      <w:r w:rsidR="0024646B">
        <w:rPr>
          <w:rFonts w:ascii="Times New Roman" w:hAnsi="Times New Roman" w:cs="Times New Roman"/>
          <w:noProof/>
          <w:sz w:val="24"/>
          <w:szCs w:val="24"/>
          <w:lang w:val="en-IE"/>
        </w:rPr>
        <w:t xml:space="preserve">gas </w:t>
      </w:r>
      <w:r w:rsidR="004762E2">
        <w:rPr>
          <w:rFonts w:ascii="Times New Roman" w:hAnsi="Times New Roman" w:cs="Times New Roman"/>
          <w:noProof/>
          <w:sz w:val="24"/>
          <w:szCs w:val="24"/>
          <w:lang w:val="en-IE"/>
        </w:rPr>
        <w:t xml:space="preserve">supplies away </w:t>
      </w:r>
      <w:r w:rsidR="0024646B">
        <w:rPr>
          <w:rFonts w:ascii="Times New Roman" w:hAnsi="Times New Roman" w:cs="Times New Roman"/>
          <w:noProof/>
          <w:sz w:val="24"/>
          <w:szCs w:val="24"/>
          <w:lang w:val="en-IE"/>
        </w:rPr>
        <w:t>from Russia</w:t>
      </w:r>
      <w:r w:rsidR="00714F05">
        <w:rPr>
          <w:rFonts w:ascii="Times New Roman" w:hAnsi="Times New Roman" w:cs="Times New Roman"/>
          <w:noProof/>
          <w:sz w:val="24"/>
          <w:szCs w:val="24"/>
          <w:lang w:val="en-IE"/>
        </w:rPr>
        <w:t>; (ii)</w:t>
      </w:r>
      <w:r w:rsidR="004762E2">
        <w:rPr>
          <w:rFonts w:ascii="Times New Roman" w:hAnsi="Times New Roman" w:cs="Times New Roman"/>
          <w:noProof/>
          <w:sz w:val="24"/>
          <w:szCs w:val="24"/>
          <w:lang w:val="en-IE"/>
        </w:rPr>
        <w:t xml:space="preserve"> boosting energy efficiency</w:t>
      </w:r>
      <w:r w:rsidR="00714F05">
        <w:rPr>
          <w:rFonts w:ascii="Times New Roman" w:hAnsi="Times New Roman" w:cs="Times New Roman"/>
          <w:noProof/>
          <w:sz w:val="24"/>
          <w:szCs w:val="24"/>
          <w:lang w:val="en-IE"/>
        </w:rPr>
        <w:t xml:space="preserve"> </w:t>
      </w:r>
      <w:r w:rsidR="002464D6">
        <w:rPr>
          <w:rFonts w:ascii="Times New Roman" w:hAnsi="Times New Roman" w:cs="Times New Roman"/>
          <w:noProof/>
          <w:sz w:val="24"/>
          <w:szCs w:val="24"/>
          <w:lang w:val="en-IE"/>
        </w:rPr>
        <w:t>and</w:t>
      </w:r>
      <w:r w:rsidR="004762E2">
        <w:rPr>
          <w:rFonts w:ascii="Times New Roman" w:hAnsi="Times New Roman" w:cs="Times New Roman"/>
          <w:noProof/>
          <w:sz w:val="24"/>
          <w:szCs w:val="24"/>
          <w:lang w:val="en-IE"/>
        </w:rPr>
        <w:t xml:space="preserve"> energy savings</w:t>
      </w:r>
      <w:r w:rsidR="00714F05">
        <w:rPr>
          <w:rFonts w:ascii="Times New Roman" w:hAnsi="Times New Roman" w:cs="Times New Roman"/>
          <w:noProof/>
          <w:sz w:val="24"/>
          <w:szCs w:val="24"/>
          <w:lang w:val="en-IE"/>
        </w:rPr>
        <w:t>;</w:t>
      </w:r>
      <w:r w:rsidR="004762E2">
        <w:rPr>
          <w:rFonts w:ascii="Times New Roman" w:hAnsi="Times New Roman" w:cs="Times New Roman"/>
          <w:noProof/>
          <w:sz w:val="24"/>
          <w:szCs w:val="24"/>
          <w:lang w:val="en-IE"/>
        </w:rPr>
        <w:t xml:space="preserve"> and</w:t>
      </w:r>
      <w:r w:rsidR="00714F05">
        <w:rPr>
          <w:rFonts w:ascii="Times New Roman" w:hAnsi="Times New Roman" w:cs="Times New Roman"/>
          <w:noProof/>
          <w:sz w:val="24"/>
          <w:szCs w:val="24"/>
          <w:lang w:val="en-IE"/>
        </w:rPr>
        <w:t xml:space="preserve"> (i</w:t>
      </w:r>
      <w:r w:rsidR="002464D6">
        <w:rPr>
          <w:rFonts w:ascii="Times New Roman" w:hAnsi="Times New Roman" w:cs="Times New Roman"/>
          <w:noProof/>
          <w:sz w:val="24"/>
          <w:szCs w:val="24"/>
          <w:lang w:val="en-IE"/>
        </w:rPr>
        <w:t>ii</w:t>
      </w:r>
      <w:r w:rsidR="00714F05">
        <w:rPr>
          <w:rFonts w:ascii="Times New Roman" w:hAnsi="Times New Roman" w:cs="Times New Roman"/>
          <w:noProof/>
          <w:sz w:val="24"/>
          <w:szCs w:val="24"/>
          <w:lang w:val="en-IE"/>
        </w:rPr>
        <w:t>)</w:t>
      </w:r>
      <w:r w:rsidR="004762E2">
        <w:rPr>
          <w:rFonts w:ascii="Times New Roman" w:hAnsi="Times New Roman" w:cs="Times New Roman"/>
          <w:noProof/>
          <w:sz w:val="24"/>
          <w:szCs w:val="24"/>
          <w:lang w:val="en-IE"/>
        </w:rPr>
        <w:t xml:space="preserve"> accelerating the rollout of renewables</w:t>
      </w:r>
      <w:r w:rsidR="006E0199">
        <w:rPr>
          <w:rFonts w:ascii="Times New Roman" w:hAnsi="Times New Roman" w:cs="Times New Roman"/>
          <w:noProof/>
          <w:sz w:val="24"/>
          <w:szCs w:val="24"/>
          <w:lang w:val="en-IE"/>
        </w:rPr>
        <w:t>. The second initiative is</w:t>
      </w:r>
      <w:r w:rsidR="00D3165D">
        <w:rPr>
          <w:rFonts w:ascii="Times New Roman" w:hAnsi="Times New Roman" w:cs="Times New Roman"/>
          <w:noProof/>
          <w:sz w:val="24"/>
          <w:szCs w:val="24"/>
          <w:lang w:val="en-IE"/>
        </w:rPr>
        <w:t xml:space="preserve"> the ‘Save gas for a safe winter’ plan to reduce gas consumption in</w:t>
      </w:r>
      <w:r w:rsidR="00714F05">
        <w:rPr>
          <w:rFonts w:ascii="Times New Roman" w:hAnsi="Times New Roman" w:cs="Times New Roman"/>
          <w:noProof/>
          <w:sz w:val="24"/>
          <w:szCs w:val="24"/>
          <w:lang w:val="en-IE"/>
        </w:rPr>
        <w:t xml:space="preserve"> winter 2022-2023</w:t>
      </w:r>
      <w:r w:rsidR="00A97627">
        <w:rPr>
          <w:rStyle w:val="FootnoteReference"/>
          <w:rFonts w:ascii="Times New Roman" w:hAnsi="Times New Roman" w:cs="Times New Roman"/>
          <w:noProof/>
          <w:sz w:val="24"/>
          <w:szCs w:val="24"/>
          <w:lang w:val="en-IE"/>
        </w:rPr>
        <w:footnoteReference w:id="27"/>
      </w:r>
      <w:r w:rsidR="0024646B">
        <w:rPr>
          <w:rFonts w:ascii="Times New Roman" w:hAnsi="Times New Roman" w:cs="Times New Roman"/>
          <w:noProof/>
          <w:sz w:val="24"/>
          <w:szCs w:val="24"/>
          <w:lang w:val="en-IE"/>
        </w:rPr>
        <w:t>. In the future</w:t>
      </w:r>
      <w:r w:rsidR="00D3165D">
        <w:rPr>
          <w:rFonts w:ascii="Times New Roman" w:hAnsi="Times New Roman" w:cs="Times New Roman"/>
          <w:noProof/>
          <w:sz w:val="24"/>
          <w:szCs w:val="24"/>
          <w:lang w:val="en-IE"/>
        </w:rPr>
        <w:t>,</w:t>
      </w:r>
      <w:r w:rsidR="0024646B">
        <w:rPr>
          <w:rFonts w:ascii="Times New Roman" w:hAnsi="Times New Roman" w:cs="Times New Roman"/>
          <w:noProof/>
          <w:sz w:val="24"/>
          <w:szCs w:val="24"/>
          <w:lang w:val="en-IE"/>
        </w:rPr>
        <w:t xml:space="preserve"> th</w:t>
      </w:r>
      <w:r w:rsidR="00714F05">
        <w:rPr>
          <w:rFonts w:ascii="Times New Roman" w:hAnsi="Times New Roman" w:cs="Times New Roman"/>
          <w:noProof/>
          <w:sz w:val="24"/>
          <w:szCs w:val="24"/>
          <w:lang w:val="en-IE"/>
        </w:rPr>
        <w:t>ese two initiatives</w:t>
      </w:r>
      <w:r w:rsidR="0024646B">
        <w:rPr>
          <w:rFonts w:ascii="Times New Roman" w:hAnsi="Times New Roman" w:cs="Times New Roman"/>
          <w:noProof/>
          <w:sz w:val="24"/>
          <w:szCs w:val="24"/>
          <w:lang w:val="en-IE"/>
        </w:rPr>
        <w:t xml:space="preserve"> will probably impact subsidies on natural gas</w:t>
      </w:r>
      <w:r w:rsidR="001C745A">
        <w:rPr>
          <w:rStyle w:val="FootnoteReference"/>
          <w:rFonts w:ascii="Times New Roman" w:hAnsi="Times New Roman" w:cs="Times New Roman"/>
          <w:noProof/>
          <w:sz w:val="24"/>
          <w:szCs w:val="24"/>
          <w:lang w:val="en-IE"/>
        </w:rPr>
        <w:footnoteReference w:id="28"/>
      </w:r>
      <w:r w:rsidR="0024646B">
        <w:rPr>
          <w:rFonts w:ascii="Times New Roman" w:hAnsi="Times New Roman" w:cs="Times New Roman"/>
          <w:noProof/>
          <w:sz w:val="24"/>
          <w:szCs w:val="24"/>
          <w:lang w:val="en-IE"/>
        </w:rPr>
        <w:t>.</w:t>
      </w:r>
      <w:r w:rsidR="00BB540F">
        <w:rPr>
          <w:rFonts w:ascii="Times New Roman" w:hAnsi="Times New Roman" w:cs="Times New Roman"/>
          <w:noProof/>
          <w:sz w:val="24"/>
          <w:szCs w:val="24"/>
          <w:lang w:val="en-IE"/>
        </w:rPr>
        <w:t xml:space="preserve"> Gas subsidies </w:t>
      </w:r>
      <w:r w:rsidR="00714F05">
        <w:rPr>
          <w:rFonts w:ascii="Times New Roman" w:hAnsi="Times New Roman" w:cs="Times New Roman"/>
          <w:noProof/>
          <w:sz w:val="24"/>
          <w:szCs w:val="24"/>
          <w:lang w:val="en-IE"/>
        </w:rPr>
        <w:t xml:space="preserve">across the EU </w:t>
      </w:r>
      <w:r w:rsidR="00BB540F">
        <w:rPr>
          <w:rFonts w:ascii="Times New Roman" w:hAnsi="Times New Roman" w:cs="Times New Roman"/>
          <w:noProof/>
          <w:sz w:val="24"/>
          <w:szCs w:val="24"/>
          <w:lang w:val="en-IE"/>
        </w:rPr>
        <w:t xml:space="preserve">rose by an estimated </w:t>
      </w:r>
      <w:r w:rsidR="00714F05">
        <w:rPr>
          <w:rFonts w:ascii="Times New Roman" w:hAnsi="Times New Roman" w:cs="Times New Roman"/>
          <w:noProof/>
          <w:sz w:val="24"/>
          <w:szCs w:val="24"/>
          <w:lang w:val="en-IE"/>
        </w:rPr>
        <w:t xml:space="preserve">EUR </w:t>
      </w:r>
      <w:r w:rsidR="00BB540F">
        <w:rPr>
          <w:rFonts w:ascii="Times New Roman" w:hAnsi="Times New Roman" w:cs="Times New Roman"/>
          <w:noProof/>
          <w:sz w:val="24"/>
          <w:szCs w:val="24"/>
          <w:lang w:val="en-IE"/>
        </w:rPr>
        <w:t xml:space="preserve">0.7 billion </w:t>
      </w:r>
      <w:r w:rsidR="00045B1A">
        <w:rPr>
          <w:rFonts w:ascii="Times New Roman" w:hAnsi="Times New Roman" w:cs="Times New Roman"/>
          <w:noProof/>
          <w:sz w:val="24"/>
          <w:szCs w:val="24"/>
          <w:lang w:val="en-IE"/>
        </w:rPr>
        <w:t xml:space="preserve">(+10%) </w:t>
      </w:r>
      <w:r w:rsidR="00BB540F">
        <w:rPr>
          <w:rFonts w:ascii="Times New Roman" w:hAnsi="Times New Roman" w:cs="Times New Roman"/>
          <w:noProof/>
          <w:sz w:val="24"/>
          <w:szCs w:val="24"/>
          <w:lang w:val="en-IE"/>
        </w:rPr>
        <w:t>in 2021 compared to 2020.</w:t>
      </w:r>
    </w:p>
    <w:p w14:paraId="7D470755" w14:textId="53D6876D" w:rsidR="0024646B" w:rsidRDefault="0024646B" w:rsidP="00082ED9">
      <w:pPr>
        <w:pStyle w:val="ListParagraph"/>
        <w:spacing w:before="120" w:after="120"/>
        <w:ind w:left="0"/>
        <w:contextualSpacing w:val="0"/>
        <w:jc w:val="both"/>
        <w:rPr>
          <w:rFonts w:ascii="Times New Roman" w:hAnsi="Times New Roman" w:cs="Times New Roman"/>
          <w:noProof/>
          <w:color w:val="000000" w:themeColor="text1"/>
          <w:sz w:val="24"/>
          <w:szCs w:val="24"/>
          <w:lang w:val="en-US"/>
        </w:rPr>
      </w:pPr>
      <w:r w:rsidRPr="0024646B">
        <w:rPr>
          <w:rFonts w:ascii="Times New Roman" w:hAnsi="Times New Roman" w:cs="Times New Roman"/>
          <w:noProof/>
          <w:color w:val="000000" w:themeColor="text1"/>
          <w:sz w:val="24"/>
          <w:szCs w:val="24"/>
          <w:lang w:val="en-US"/>
        </w:rPr>
        <w:t>Subsidies</w:t>
      </w:r>
      <w:r>
        <w:rPr>
          <w:rFonts w:ascii="Times New Roman" w:hAnsi="Times New Roman" w:cs="Times New Roman"/>
          <w:noProof/>
          <w:color w:val="000000" w:themeColor="text1"/>
          <w:sz w:val="24"/>
          <w:szCs w:val="24"/>
          <w:lang w:val="en-US"/>
        </w:rPr>
        <w:t xml:space="preserve"> on fossil fuels have </w:t>
      </w:r>
      <w:r w:rsidRPr="0024646B">
        <w:rPr>
          <w:rFonts w:ascii="Times New Roman" w:hAnsi="Times New Roman" w:cs="Times New Roman"/>
          <w:b/>
          <w:noProof/>
          <w:color w:val="000000" w:themeColor="text1"/>
          <w:sz w:val="24"/>
          <w:szCs w:val="24"/>
          <w:lang w:val="en-US"/>
        </w:rPr>
        <w:t xml:space="preserve">different </w:t>
      </w:r>
      <w:r w:rsidR="00714F05">
        <w:rPr>
          <w:rFonts w:ascii="Times New Roman" w:hAnsi="Times New Roman" w:cs="Times New Roman"/>
          <w:b/>
          <w:noProof/>
          <w:color w:val="000000" w:themeColor="text1"/>
          <w:sz w:val="24"/>
          <w:szCs w:val="24"/>
          <w:lang w:val="en-US"/>
        </w:rPr>
        <w:t>significance</w:t>
      </w:r>
      <w:r w:rsidR="00714F05" w:rsidRPr="0024646B">
        <w:rPr>
          <w:rFonts w:ascii="Times New Roman" w:hAnsi="Times New Roman" w:cs="Times New Roman"/>
          <w:b/>
          <w:noProof/>
          <w:color w:val="000000" w:themeColor="text1"/>
          <w:sz w:val="24"/>
          <w:szCs w:val="24"/>
          <w:lang w:val="en-US"/>
        </w:rPr>
        <w:t xml:space="preserve"> </w:t>
      </w:r>
      <w:r w:rsidRPr="0024646B">
        <w:rPr>
          <w:rFonts w:ascii="Times New Roman" w:hAnsi="Times New Roman" w:cs="Times New Roman"/>
          <w:b/>
          <w:noProof/>
          <w:color w:val="000000" w:themeColor="text1"/>
          <w:sz w:val="24"/>
          <w:szCs w:val="24"/>
          <w:lang w:val="en-US"/>
        </w:rPr>
        <w:t xml:space="preserve">in </w:t>
      </w:r>
      <w:r w:rsidR="00714F05">
        <w:rPr>
          <w:rFonts w:ascii="Times New Roman" w:hAnsi="Times New Roman" w:cs="Times New Roman"/>
          <w:b/>
          <w:noProof/>
          <w:color w:val="000000" w:themeColor="text1"/>
          <w:sz w:val="24"/>
          <w:szCs w:val="24"/>
          <w:lang w:val="en-US"/>
        </w:rPr>
        <w:t>different</w:t>
      </w:r>
      <w:r w:rsidR="00714F05" w:rsidRPr="0024646B">
        <w:rPr>
          <w:rFonts w:ascii="Times New Roman" w:hAnsi="Times New Roman" w:cs="Times New Roman"/>
          <w:b/>
          <w:noProof/>
          <w:color w:val="000000" w:themeColor="text1"/>
          <w:sz w:val="24"/>
          <w:szCs w:val="24"/>
          <w:lang w:val="en-US"/>
        </w:rPr>
        <w:t xml:space="preserve"> </w:t>
      </w:r>
      <w:r w:rsidRPr="0024646B">
        <w:rPr>
          <w:rFonts w:ascii="Times New Roman" w:hAnsi="Times New Roman" w:cs="Times New Roman"/>
          <w:b/>
          <w:noProof/>
          <w:color w:val="000000" w:themeColor="text1"/>
          <w:sz w:val="24"/>
          <w:szCs w:val="24"/>
          <w:lang w:val="en-US"/>
        </w:rPr>
        <w:t>EU countries</w:t>
      </w:r>
      <w:r>
        <w:rPr>
          <w:rFonts w:ascii="Times New Roman" w:hAnsi="Times New Roman" w:cs="Times New Roman"/>
          <w:noProof/>
          <w:color w:val="000000" w:themeColor="text1"/>
          <w:sz w:val="24"/>
          <w:szCs w:val="24"/>
          <w:lang w:val="en-US"/>
        </w:rPr>
        <w:t xml:space="preserve"> </w:t>
      </w:r>
      <w:r w:rsidR="006E0199">
        <w:rPr>
          <w:rFonts w:ascii="Times New Roman" w:hAnsi="Times New Roman" w:cs="Times New Roman"/>
          <w:noProof/>
          <w:color w:val="000000" w:themeColor="text1"/>
          <w:sz w:val="24"/>
          <w:szCs w:val="24"/>
          <w:lang w:val="en-US"/>
        </w:rPr>
        <w:t>depending on</w:t>
      </w:r>
      <w:r>
        <w:rPr>
          <w:rFonts w:ascii="Times New Roman" w:hAnsi="Times New Roman" w:cs="Times New Roman"/>
          <w:noProof/>
          <w:color w:val="000000" w:themeColor="text1"/>
          <w:sz w:val="24"/>
          <w:szCs w:val="24"/>
          <w:lang w:val="en-US"/>
        </w:rPr>
        <w:t xml:space="preserve"> </w:t>
      </w:r>
      <w:r w:rsidR="00714F05">
        <w:rPr>
          <w:rFonts w:ascii="Times New Roman" w:hAnsi="Times New Roman" w:cs="Times New Roman"/>
          <w:noProof/>
          <w:color w:val="000000" w:themeColor="text1"/>
          <w:sz w:val="24"/>
          <w:szCs w:val="24"/>
          <w:lang w:val="en-US"/>
        </w:rPr>
        <w:t xml:space="preserve">the size of </w:t>
      </w:r>
      <w:r>
        <w:rPr>
          <w:rFonts w:ascii="Times New Roman" w:hAnsi="Times New Roman" w:cs="Times New Roman"/>
          <w:noProof/>
          <w:color w:val="000000" w:themeColor="text1"/>
          <w:sz w:val="24"/>
          <w:szCs w:val="24"/>
          <w:lang w:val="en-US"/>
        </w:rPr>
        <w:t>national GDP. In 2020, Cyprus spent 1.</w:t>
      </w:r>
      <w:r w:rsidR="00082ED9">
        <w:rPr>
          <w:rFonts w:ascii="Times New Roman" w:hAnsi="Times New Roman" w:cs="Times New Roman"/>
          <w:noProof/>
          <w:color w:val="000000" w:themeColor="text1"/>
          <w:sz w:val="24"/>
          <w:szCs w:val="24"/>
          <w:lang w:val="en-US"/>
        </w:rPr>
        <w:t>3</w:t>
      </w:r>
      <w:r>
        <w:rPr>
          <w:rFonts w:ascii="Times New Roman" w:hAnsi="Times New Roman" w:cs="Times New Roman"/>
          <w:noProof/>
          <w:color w:val="000000" w:themeColor="text1"/>
          <w:sz w:val="24"/>
          <w:szCs w:val="24"/>
          <w:lang w:val="en-US"/>
        </w:rPr>
        <w:t>% of its GDP on subsidi</w:t>
      </w:r>
      <w:r w:rsidR="00714F05">
        <w:rPr>
          <w:rFonts w:ascii="Times New Roman" w:hAnsi="Times New Roman" w:cs="Times New Roman"/>
          <w:noProof/>
          <w:color w:val="000000" w:themeColor="text1"/>
          <w:sz w:val="24"/>
          <w:szCs w:val="24"/>
          <w:lang w:val="en-US"/>
        </w:rPr>
        <w:t>s</w:t>
      </w:r>
      <w:r>
        <w:rPr>
          <w:rFonts w:ascii="Times New Roman" w:hAnsi="Times New Roman" w:cs="Times New Roman"/>
          <w:noProof/>
          <w:color w:val="000000" w:themeColor="text1"/>
          <w:sz w:val="24"/>
          <w:szCs w:val="24"/>
          <w:lang w:val="en-US"/>
        </w:rPr>
        <w:t>ing fossil fuels (principally oil products). Bulgaria also spent 0.9% of its GDP on fossil</w:t>
      </w:r>
      <w:r w:rsidR="00886D31">
        <w:rPr>
          <w:rFonts w:ascii="Times New Roman" w:hAnsi="Times New Roman" w:cs="Times New Roman"/>
          <w:noProof/>
          <w:color w:val="000000" w:themeColor="text1"/>
          <w:sz w:val="24"/>
          <w:szCs w:val="24"/>
          <w:lang w:val="en-US"/>
        </w:rPr>
        <w:t>-fuel</w:t>
      </w:r>
      <w:r>
        <w:rPr>
          <w:rFonts w:ascii="Times New Roman" w:hAnsi="Times New Roman" w:cs="Times New Roman"/>
          <w:noProof/>
          <w:color w:val="000000" w:themeColor="text1"/>
          <w:sz w:val="24"/>
          <w:szCs w:val="24"/>
          <w:lang w:val="en-US"/>
        </w:rPr>
        <w:t xml:space="preserve"> subsidies</w:t>
      </w:r>
      <w:r w:rsidR="00714F05">
        <w:rPr>
          <w:rFonts w:ascii="Times New Roman" w:hAnsi="Times New Roman" w:cs="Times New Roman"/>
          <w:noProof/>
          <w:color w:val="000000" w:themeColor="text1"/>
          <w:sz w:val="24"/>
          <w:szCs w:val="24"/>
          <w:lang w:val="en-US"/>
        </w:rPr>
        <w:t xml:space="preserve"> that year</w:t>
      </w:r>
      <w:r>
        <w:rPr>
          <w:rFonts w:ascii="Times New Roman" w:hAnsi="Times New Roman" w:cs="Times New Roman"/>
          <w:noProof/>
          <w:color w:val="000000" w:themeColor="text1"/>
          <w:sz w:val="24"/>
          <w:szCs w:val="24"/>
          <w:lang w:val="en-US"/>
        </w:rPr>
        <w:t xml:space="preserve"> (mostly </w:t>
      </w:r>
      <w:r w:rsidR="002132CB">
        <w:rPr>
          <w:rFonts w:ascii="Times New Roman" w:hAnsi="Times New Roman" w:cs="Times New Roman"/>
          <w:noProof/>
          <w:color w:val="000000" w:themeColor="text1"/>
          <w:sz w:val="24"/>
          <w:szCs w:val="24"/>
          <w:lang w:val="en-US"/>
        </w:rPr>
        <w:t xml:space="preserve">on </w:t>
      </w:r>
      <w:r>
        <w:rPr>
          <w:rFonts w:ascii="Times New Roman" w:hAnsi="Times New Roman" w:cs="Times New Roman"/>
          <w:noProof/>
          <w:color w:val="000000" w:themeColor="text1"/>
          <w:sz w:val="24"/>
          <w:szCs w:val="24"/>
          <w:lang w:val="en-US"/>
        </w:rPr>
        <w:t>measures not assigned to particular fuels). On the other hand, Luxembourg and Austria spent less than 0.1% on fossil</w:t>
      </w:r>
      <w:r w:rsidR="00886D31">
        <w:rPr>
          <w:rFonts w:ascii="Times New Roman" w:hAnsi="Times New Roman" w:cs="Times New Roman"/>
          <w:noProof/>
          <w:color w:val="000000" w:themeColor="text1"/>
          <w:sz w:val="24"/>
          <w:szCs w:val="24"/>
          <w:lang w:val="en-US"/>
        </w:rPr>
        <w:t>-</w:t>
      </w:r>
      <w:r>
        <w:rPr>
          <w:rFonts w:ascii="Times New Roman" w:hAnsi="Times New Roman" w:cs="Times New Roman"/>
          <w:noProof/>
          <w:color w:val="000000" w:themeColor="text1"/>
          <w:sz w:val="24"/>
          <w:szCs w:val="24"/>
          <w:lang w:val="en-US"/>
        </w:rPr>
        <w:t>fuel</w:t>
      </w:r>
      <w:r w:rsidR="001A0174">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s</w:t>
      </w:r>
      <w:r w:rsidR="001A0174">
        <w:rPr>
          <w:rFonts w:ascii="Times New Roman" w:hAnsi="Times New Roman" w:cs="Times New Roman"/>
          <w:noProof/>
          <w:color w:val="000000" w:themeColor="text1"/>
          <w:sz w:val="24"/>
          <w:szCs w:val="24"/>
          <w:lang w:val="en-US"/>
        </w:rPr>
        <w:t>ubsidies</w:t>
      </w:r>
      <w:r w:rsidR="00714F05">
        <w:rPr>
          <w:rFonts w:ascii="Times New Roman" w:hAnsi="Times New Roman" w:cs="Times New Roman"/>
          <w:noProof/>
          <w:color w:val="000000" w:themeColor="text1"/>
          <w:sz w:val="24"/>
          <w:szCs w:val="24"/>
          <w:lang w:val="en-US"/>
        </w:rPr>
        <w:t xml:space="preserve"> in 2020</w:t>
      </w:r>
      <w:r>
        <w:rPr>
          <w:rFonts w:ascii="Times New Roman" w:hAnsi="Times New Roman" w:cs="Times New Roman"/>
          <w:noProof/>
          <w:color w:val="000000" w:themeColor="text1"/>
          <w:sz w:val="24"/>
          <w:szCs w:val="24"/>
          <w:lang w:val="en-US"/>
        </w:rPr>
        <w:t xml:space="preserve">, whereas the EU average was 0.3% of GDP. </w:t>
      </w:r>
      <w:r w:rsidR="00714F05">
        <w:rPr>
          <w:rFonts w:ascii="Times New Roman" w:hAnsi="Times New Roman" w:cs="Times New Roman"/>
          <w:noProof/>
          <w:color w:val="000000" w:themeColor="text1"/>
          <w:sz w:val="24"/>
          <w:szCs w:val="24"/>
          <w:lang w:val="en-US"/>
        </w:rPr>
        <w:t xml:space="preserve">After </w:t>
      </w:r>
      <w:r>
        <w:rPr>
          <w:rFonts w:ascii="Times New Roman" w:hAnsi="Times New Roman" w:cs="Times New Roman"/>
          <w:noProof/>
          <w:color w:val="000000" w:themeColor="text1"/>
          <w:sz w:val="24"/>
          <w:szCs w:val="24"/>
          <w:lang w:val="en-US"/>
        </w:rPr>
        <w:t>Cyprus, Belgium and Greece spent the most on oil</w:t>
      </w:r>
      <w:r w:rsidR="006E0199">
        <w:rPr>
          <w:rFonts w:ascii="Times New Roman" w:hAnsi="Times New Roman" w:cs="Times New Roman"/>
          <w:noProof/>
          <w:color w:val="000000" w:themeColor="text1"/>
          <w:sz w:val="24"/>
          <w:szCs w:val="24"/>
          <w:lang w:val="en-US"/>
        </w:rPr>
        <w:t>-</w:t>
      </w:r>
      <w:r>
        <w:rPr>
          <w:rFonts w:ascii="Times New Roman" w:hAnsi="Times New Roman" w:cs="Times New Roman"/>
          <w:noProof/>
          <w:color w:val="000000" w:themeColor="text1"/>
          <w:sz w:val="24"/>
          <w:szCs w:val="24"/>
          <w:lang w:val="en-US"/>
        </w:rPr>
        <w:t>product</w:t>
      </w:r>
      <w:r w:rsidR="001A0174">
        <w:rPr>
          <w:rFonts w:ascii="Times New Roman" w:hAnsi="Times New Roman" w:cs="Times New Roman"/>
          <w:noProof/>
          <w:color w:val="000000" w:themeColor="text1"/>
          <w:sz w:val="24"/>
          <w:szCs w:val="24"/>
          <w:lang w:val="en-US"/>
        </w:rPr>
        <w:t xml:space="preserve"> </w:t>
      </w:r>
      <w:r>
        <w:rPr>
          <w:rFonts w:ascii="Times New Roman" w:hAnsi="Times New Roman" w:cs="Times New Roman"/>
          <w:noProof/>
          <w:color w:val="000000" w:themeColor="text1"/>
          <w:sz w:val="24"/>
          <w:szCs w:val="24"/>
          <w:lang w:val="en-US"/>
        </w:rPr>
        <w:t>s</w:t>
      </w:r>
      <w:r w:rsidR="001A0174">
        <w:rPr>
          <w:rFonts w:ascii="Times New Roman" w:hAnsi="Times New Roman" w:cs="Times New Roman"/>
          <w:noProof/>
          <w:color w:val="000000" w:themeColor="text1"/>
          <w:sz w:val="24"/>
          <w:szCs w:val="24"/>
          <w:lang w:val="en-US"/>
        </w:rPr>
        <w:t>ubsidies</w:t>
      </w:r>
      <w:r>
        <w:rPr>
          <w:rFonts w:ascii="Times New Roman" w:hAnsi="Times New Roman" w:cs="Times New Roman"/>
          <w:noProof/>
          <w:color w:val="000000" w:themeColor="text1"/>
          <w:sz w:val="24"/>
          <w:szCs w:val="24"/>
          <w:lang w:val="en-US"/>
        </w:rPr>
        <w:t xml:space="preserve"> (0.7% and 0.5% of their GDP respectively), while Slovakia and Poland spent 0.3% of GDP on coal subsidies.</w:t>
      </w:r>
    </w:p>
    <w:p w14:paraId="0845B65B" w14:textId="01DCF566" w:rsidR="00082ED9" w:rsidRPr="0024646B" w:rsidRDefault="00082ED9" w:rsidP="00FD261A">
      <w:pPr>
        <w:pStyle w:val="ListParagraph"/>
        <w:spacing w:before="120" w:after="0"/>
        <w:ind w:left="0"/>
        <w:contextualSpacing w:val="0"/>
        <w:jc w:val="both"/>
        <w:rPr>
          <w:noProof/>
          <w:lang w:val="en-US"/>
        </w:rPr>
      </w:pPr>
      <w:r>
        <w:rPr>
          <w:rFonts w:ascii="Times New Roman" w:hAnsi="Times New Roman" w:cs="Times New Roman"/>
          <w:noProof/>
          <w:color w:val="000000" w:themeColor="text1"/>
          <w:sz w:val="24"/>
          <w:szCs w:val="24"/>
          <w:lang w:val="en-US"/>
        </w:rPr>
        <w:t>Compar</w:t>
      </w:r>
      <w:r w:rsidR="00930CC3">
        <w:rPr>
          <w:rFonts w:ascii="Times New Roman" w:hAnsi="Times New Roman" w:cs="Times New Roman"/>
          <w:noProof/>
          <w:color w:val="000000" w:themeColor="text1"/>
          <w:sz w:val="24"/>
          <w:szCs w:val="24"/>
          <w:lang w:val="en-US"/>
        </w:rPr>
        <w:t>ed</w:t>
      </w:r>
      <w:r>
        <w:rPr>
          <w:rFonts w:ascii="Times New Roman" w:hAnsi="Times New Roman" w:cs="Times New Roman"/>
          <w:noProof/>
          <w:color w:val="000000" w:themeColor="text1"/>
          <w:sz w:val="24"/>
          <w:szCs w:val="24"/>
          <w:lang w:val="en-US"/>
        </w:rPr>
        <w:t xml:space="preserve"> with 2015, </w:t>
      </w:r>
      <w:r w:rsidR="00930CC3">
        <w:rPr>
          <w:rFonts w:ascii="Times New Roman" w:hAnsi="Times New Roman" w:cs="Times New Roman"/>
          <w:noProof/>
          <w:color w:val="000000" w:themeColor="text1"/>
          <w:sz w:val="24"/>
          <w:szCs w:val="24"/>
          <w:lang w:val="en-US"/>
        </w:rPr>
        <w:t>the intensity of fossil-</w:t>
      </w:r>
      <w:r>
        <w:rPr>
          <w:rFonts w:ascii="Times New Roman" w:hAnsi="Times New Roman" w:cs="Times New Roman"/>
          <w:noProof/>
          <w:color w:val="000000" w:themeColor="text1"/>
          <w:sz w:val="24"/>
          <w:szCs w:val="24"/>
          <w:lang w:val="en-US"/>
        </w:rPr>
        <w:t>fuel subsid</w:t>
      </w:r>
      <w:r w:rsidR="00930CC3">
        <w:rPr>
          <w:rFonts w:ascii="Times New Roman" w:hAnsi="Times New Roman" w:cs="Times New Roman"/>
          <w:noProof/>
          <w:color w:val="000000" w:themeColor="text1"/>
          <w:sz w:val="24"/>
          <w:szCs w:val="24"/>
          <w:lang w:val="en-US"/>
        </w:rPr>
        <w:t>ies</w:t>
      </w:r>
      <w:r>
        <w:rPr>
          <w:rFonts w:ascii="Times New Roman" w:hAnsi="Times New Roman" w:cs="Times New Roman"/>
          <w:noProof/>
          <w:color w:val="000000" w:themeColor="text1"/>
          <w:sz w:val="24"/>
          <w:szCs w:val="24"/>
          <w:lang w:val="en-US"/>
        </w:rPr>
        <w:t xml:space="preserve"> (the amount spent on fossil</w:t>
      </w:r>
      <w:r w:rsidR="00930CC3">
        <w:rPr>
          <w:rFonts w:ascii="Times New Roman" w:hAnsi="Times New Roman" w:cs="Times New Roman"/>
          <w:noProof/>
          <w:color w:val="000000" w:themeColor="text1"/>
          <w:sz w:val="24"/>
          <w:szCs w:val="24"/>
          <w:lang w:val="en-US"/>
        </w:rPr>
        <w:t>-fuel</w:t>
      </w:r>
      <w:r>
        <w:rPr>
          <w:rFonts w:ascii="Times New Roman" w:hAnsi="Times New Roman" w:cs="Times New Roman"/>
          <w:noProof/>
          <w:color w:val="000000" w:themeColor="text1"/>
          <w:sz w:val="24"/>
          <w:szCs w:val="24"/>
          <w:lang w:val="en-US"/>
        </w:rPr>
        <w:t xml:space="preserve"> subsidies per</w:t>
      </w:r>
      <w:r w:rsidR="00930CC3">
        <w:rPr>
          <w:rFonts w:ascii="Times New Roman" w:hAnsi="Times New Roman" w:cs="Times New Roman"/>
          <w:noProof/>
          <w:color w:val="000000" w:themeColor="text1"/>
          <w:sz w:val="24"/>
          <w:szCs w:val="24"/>
          <w:lang w:val="en-US"/>
        </w:rPr>
        <w:t xml:space="preserve"> euro of</w:t>
      </w:r>
      <w:r>
        <w:rPr>
          <w:rFonts w:ascii="Times New Roman" w:hAnsi="Times New Roman" w:cs="Times New Roman"/>
          <w:noProof/>
          <w:color w:val="000000" w:themeColor="text1"/>
          <w:sz w:val="24"/>
          <w:szCs w:val="24"/>
          <w:lang w:val="en-US"/>
        </w:rPr>
        <w:t xml:space="preserve"> GDP) rose by 0.9 per cent in Cyprus, and by 0.4 per cent in Bulgaria</w:t>
      </w:r>
      <w:r w:rsidR="002132CB" w:rsidRPr="002132CB">
        <w:rPr>
          <w:rFonts w:ascii="Times New Roman" w:hAnsi="Times New Roman" w:cs="Times New Roman"/>
          <w:noProof/>
          <w:color w:val="000000" w:themeColor="text1"/>
          <w:sz w:val="24"/>
          <w:szCs w:val="24"/>
          <w:lang w:val="en-US"/>
        </w:rPr>
        <w:t xml:space="preserve"> </w:t>
      </w:r>
      <w:r w:rsidR="002132CB">
        <w:rPr>
          <w:rFonts w:ascii="Times New Roman" w:hAnsi="Times New Roman" w:cs="Times New Roman"/>
          <w:noProof/>
          <w:color w:val="000000" w:themeColor="text1"/>
          <w:sz w:val="24"/>
          <w:szCs w:val="24"/>
          <w:lang w:val="en-US"/>
        </w:rPr>
        <w:t>in 2020</w:t>
      </w:r>
      <w:r>
        <w:rPr>
          <w:rFonts w:ascii="Times New Roman" w:hAnsi="Times New Roman" w:cs="Times New Roman"/>
          <w:noProof/>
          <w:color w:val="000000" w:themeColor="text1"/>
          <w:sz w:val="24"/>
          <w:szCs w:val="24"/>
          <w:lang w:val="en-US"/>
        </w:rPr>
        <w:t>, whereas it decreased by 0.5 per cent in Latvia, and by more than 0.3 per cent in Lithuania and Ireland</w:t>
      </w:r>
      <w:r w:rsidR="00930CC3">
        <w:rPr>
          <w:rFonts w:ascii="Times New Roman" w:hAnsi="Times New Roman" w:cs="Times New Roman"/>
          <w:noProof/>
          <w:color w:val="000000" w:themeColor="text1"/>
          <w:sz w:val="24"/>
          <w:szCs w:val="24"/>
          <w:lang w:val="en-US"/>
        </w:rPr>
        <w:t>. A</w:t>
      </w:r>
      <w:r>
        <w:rPr>
          <w:rFonts w:ascii="Times New Roman" w:hAnsi="Times New Roman" w:cs="Times New Roman"/>
          <w:noProof/>
          <w:color w:val="000000" w:themeColor="text1"/>
          <w:sz w:val="24"/>
          <w:szCs w:val="24"/>
          <w:lang w:val="en-US"/>
        </w:rPr>
        <w:t>t EU level</w:t>
      </w:r>
      <w:r w:rsidR="00930CC3">
        <w:rPr>
          <w:rFonts w:ascii="Times New Roman" w:hAnsi="Times New Roman" w:cs="Times New Roman"/>
          <w:noProof/>
          <w:color w:val="000000" w:themeColor="text1"/>
          <w:sz w:val="24"/>
          <w:szCs w:val="24"/>
          <w:lang w:val="en-US"/>
        </w:rPr>
        <w:t>, this intensity of fossil-fuel subsidies</w:t>
      </w:r>
      <w:r>
        <w:rPr>
          <w:rFonts w:ascii="Times New Roman" w:hAnsi="Times New Roman" w:cs="Times New Roman"/>
          <w:noProof/>
          <w:color w:val="000000" w:themeColor="text1"/>
          <w:sz w:val="24"/>
          <w:szCs w:val="24"/>
          <w:lang w:val="en-US"/>
        </w:rPr>
        <w:t xml:space="preserve"> remained practically unchanged </w:t>
      </w:r>
      <w:r w:rsidR="00A97627">
        <w:rPr>
          <w:rFonts w:ascii="Times New Roman" w:hAnsi="Times New Roman" w:cs="Times New Roman"/>
          <w:noProof/>
          <w:color w:val="000000" w:themeColor="text1"/>
          <w:sz w:val="24"/>
          <w:szCs w:val="24"/>
          <w:lang w:val="en-US"/>
        </w:rPr>
        <w:t>between 2015 and 2020</w:t>
      </w:r>
      <w:r>
        <w:rPr>
          <w:rFonts w:ascii="Times New Roman" w:hAnsi="Times New Roman" w:cs="Times New Roman"/>
          <w:noProof/>
          <w:color w:val="000000" w:themeColor="text1"/>
          <w:sz w:val="24"/>
          <w:szCs w:val="24"/>
          <w:lang w:val="en-US"/>
        </w:rPr>
        <w:t>. In 2021</w:t>
      </w:r>
      <w:r w:rsidR="002132CB">
        <w:rPr>
          <w:rFonts w:ascii="Times New Roman" w:hAnsi="Times New Roman" w:cs="Times New Roman"/>
          <w:noProof/>
          <w:color w:val="000000" w:themeColor="text1"/>
          <w:sz w:val="24"/>
          <w:szCs w:val="24"/>
          <w:lang w:val="en-US"/>
        </w:rPr>
        <w:t>,</w:t>
      </w:r>
      <w:r>
        <w:rPr>
          <w:rFonts w:ascii="Times New Roman" w:hAnsi="Times New Roman" w:cs="Times New Roman"/>
          <w:noProof/>
          <w:color w:val="000000" w:themeColor="text1"/>
          <w:sz w:val="24"/>
          <w:szCs w:val="24"/>
          <w:lang w:val="en-US"/>
        </w:rPr>
        <w:t xml:space="preserve"> </w:t>
      </w:r>
      <w:r w:rsidR="00930CC3">
        <w:rPr>
          <w:rFonts w:ascii="Times New Roman" w:hAnsi="Times New Roman" w:cs="Times New Roman"/>
          <w:noProof/>
          <w:color w:val="000000" w:themeColor="text1"/>
          <w:sz w:val="24"/>
          <w:szCs w:val="24"/>
          <w:lang w:val="en-US"/>
        </w:rPr>
        <w:t xml:space="preserve">the intensity of </w:t>
      </w:r>
      <w:r>
        <w:rPr>
          <w:rFonts w:ascii="Times New Roman" w:hAnsi="Times New Roman" w:cs="Times New Roman"/>
          <w:noProof/>
          <w:color w:val="000000" w:themeColor="text1"/>
          <w:sz w:val="24"/>
          <w:szCs w:val="24"/>
          <w:lang w:val="en-US"/>
        </w:rPr>
        <w:t>fossil</w:t>
      </w:r>
      <w:r w:rsidR="00930CC3">
        <w:rPr>
          <w:rFonts w:ascii="Times New Roman" w:hAnsi="Times New Roman" w:cs="Times New Roman"/>
          <w:noProof/>
          <w:color w:val="000000" w:themeColor="text1"/>
          <w:sz w:val="24"/>
          <w:szCs w:val="24"/>
          <w:lang w:val="en-US"/>
        </w:rPr>
        <w:t xml:space="preserve">-fuel </w:t>
      </w:r>
      <w:r>
        <w:rPr>
          <w:rFonts w:ascii="Times New Roman" w:hAnsi="Times New Roman" w:cs="Times New Roman"/>
          <w:noProof/>
          <w:color w:val="000000" w:themeColor="text1"/>
          <w:sz w:val="24"/>
          <w:szCs w:val="24"/>
          <w:lang w:val="en-US"/>
        </w:rPr>
        <w:t>subsid</w:t>
      </w:r>
      <w:r w:rsidR="00930CC3">
        <w:rPr>
          <w:rFonts w:ascii="Times New Roman" w:hAnsi="Times New Roman" w:cs="Times New Roman"/>
          <w:noProof/>
          <w:color w:val="000000" w:themeColor="text1"/>
          <w:sz w:val="24"/>
          <w:szCs w:val="24"/>
          <w:lang w:val="en-US"/>
        </w:rPr>
        <w:t>ies</w:t>
      </w:r>
      <w:r>
        <w:rPr>
          <w:rFonts w:ascii="Times New Roman" w:hAnsi="Times New Roman" w:cs="Times New Roman"/>
          <w:noProof/>
          <w:color w:val="000000" w:themeColor="text1"/>
          <w:sz w:val="24"/>
          <w:szCs w:val="24"/>
          <w:lang w:val="en-US"/>
        </w:rPr>
        <w:t xml:space="preserve"> decreased slightly </w:t>
      </w:r>
      <w:r w:rsidR="00930CC3">
        <w:rPr>
          <w:rFonts w:ascii="Times New Roman" w:hAnsi="Times New Roman" w:cs="Times New Roman"/>
          <w:noProof/>
          <w:color w:val="000000" w:themeColor="text1"/>
          <w:sz w:val="24"/>
          <w:szCs w:val="24"/>
          <w:lang w:val="en-US"/>
        </w:rPr>
        <w:t xml:space="preserve">compared to 2020 </w:t>
      </w:r>
      <w:r>
        <w:rPr>
          <w:rFonts w:ascii="Times New Roman" w:hAnsi="Times New Roman" w:cs="Times New Roman"/>
          <w:noProof/>
          <w:color w:val="000000" w:themeColor="text1"/>
          <w:sz w:val="24"/>
          <w:szCs w:val="24"/>
          <w:lang w:val="en-US"/>
        </w:rPr>
        <w:t>in most Member States.</w:t>
      </w:r>
    </w:p>
    <w:p w14:paraId="2557C5CC" w14:textId="69B5F3CE" w:rsidR="0021742F" w:rsidRPr="0021742F" w:rsidRDefault="0021742F" w:rsidP="00FD261A">
      <w:pPr>
        <w:pStyle w:val="Caption"/>
        <w:keepNext/>
        <w:spacing w:before="120" w:after="120"/>
        <w:rPr>
          <w:rFonts w:ascii="Times New Roman" w:hAnsi="Times New Roman" w:cs="Times New Roman"/>
          <w:b/>
          <w:i w:val="0"/>
          <w:noProof/>
          <w:color w:val="000000" w:themeColor="text1"/>
          <w:sz w:val="20"/>
          <w:szCs w:val="20"/>
          <w:lang w:val="en-US"/>
        </w:rPr>
      </w:pPr>
      <w:r w:rsidRPr="0021742F">
        <w:rPr>
          <w:rFonts w:ascii="Times New Roman" w:hAnsi="Times New Roman" w:cs="Times New Roman"/>
          <w:b/>
          <w:i w:val="0"/>
          <w:noProof/>
          <w:color w:val="000000" w:themeColor="text1"/>
          <w:sz w:val="20"/>
          <w:szCs w:val="20"/>
          <w:lang w:val="en-US"/>
        </w:rPr>
        <w:t xml:space="preserve">Figure </w:t>
      </w:r>
      <w:r w:rsidRPr="0021742F">
        <w:rPr>
          <w:rFonts w:ascii="Times New Roman" w:hAnsi="Times New Roman" w:cs="Times New Roman"/>
          <w:b/>
          <w:i w:val="0"/>
          <w:noProof/>
          <w:color w:val="000000" w:themeColor="text1"/>
          <w:sz w:val="20"/>
          <w:szCs w:val="20"/>
        </w:rPr>
        <w:fldChar w:fldCharType="begin"/>
      </w:r>
      <w:r w:rsidRPr="0021742F">
        <w:rPr>
          <w:rFonts w:ascii="Times New Roman" w:hAnsi="Times New Roman" w:cs="Times New Roman"/>
          <w:b/>
          <w:i w:val="0"/>
          <w:noProof/>
          <w:color w:val="000000" w:themeColor="text1"/>
          <w:sz w:val="20"/>
          <w:szCs w:val="20"/>
          <w:lang w:val="en-US"/>
        </w:rPr>
        <w:instrText xml:space="preserve"> SEQ Figure \* ARABIC </w:instrText>
      </w:r>
      <w:r w:rsidRPr="0021742F">
        <w:rPr>
          <w:rFonts w:ascii="Times New Roman" w:hAnsi="Times New Roman" w:cs="Times New Roman"/>
          <w:b/>
          <w:i w:val="0"/>
          <w:noProof/>
          <w:color w:val="000000" w:themeColor="text1"/>
          <w:sz w:val="20"/>
          <w:szCs w:val="20"/>
        </w:rPr>
        <w:fldChar w:fldCharType="separate"/>
      </w:r>
      <w:r w:rsidR="008236A3">
        <w:rPr>
          <w:rFonts w:ascii="Times New Roman" w:hAnsi="Times New Roman" w:cs="Times New Roman"/>
          <w:b/>
          <w:i w:val="0"/>
          <w:noProof/>
          <w:color w:val="000000" w:themeColor="text1"/>
          <w:sz w:val="20"/>
          <w:szCs w:val="20"/>
          <w:lang w:val="en-US"/>
        </w:rPr>
        <w:t>7</w:t>
      </w:r>
      <w:r w:rsidRPr="0021742F">
        <w:rPr>
          <w:rFonts w:ascii="Times New Roman" w:hAnsi="Times New Roman" w:cs="Times New Roman"/>
          <w:b/>
          <w:i w:val="0"/>
          <w:noProof/>
          <w:color w:val="000000" w:themeColor="text1"/>
          <w:sz w:val="20"/>
          <w:szCs w:val="20"/>
        </w:rPr>
        <w:fldChar w:fldCharType="end"/>
      </w:r>
      <w:r w:rsidRPr="0021742F">
        <w:rPr>
          <w:rFonts w:ascii="Times New Roman" w:hAnsi="Times New Roman" w:cs="Times New Roman"/>
          <w:b/>
          <w:i w:val="0"/>
          <w:noProof/>
          <w:color w:val="000000" w:themeColor="text1"/>
          <w:sz w:val="20"/>
          <w:szCs w:val="20"/>
          <w:lang w:val="en-US"/>
        </w:rPr>
        <w:t xml:space="preserve"> </w:t>
      </w:r>
      <w:r>
        <w:rPr>
          <w:rFonts w:ascii="Times New Roman" w:hAnsi="Times New Roman" w:cs="Times New Roman"/>
          <w:b/>
          <w:i w:val="0"/>
          <w:noProof/>
          <w:color w:val="000000" w:themeColor="text1"/>
          <w:sz w:val="20"/>
          <w:szCs w:val="20"/>
          <w:lang w:val="en-US"/>
        </w:rPr>
        <w:t>–</w:t>
      </w:r>
      <w:r w:rsidRPr="0021742F">
        <w:rPr>
          <w:rFonts w:ascii="Times New Roman" w:hAnsi="Times New Roman" w:cs="Times New Roman"/>
          <w:b/>
          <w:i w:val="0"/>
          <w:noProof/>
          <w:color w:val="000000" w:themeColor="text1"/>
          <w:sz w:val="20"/>
          <w:szCs w:val="20"/>
          <w:lang w:val="en-US"/>
        </w:rPr>
        <w:t xml:space="preserve"> </w:t>
      </w:r>
      <w:r>
        <w:rPr>
          <w:rFonts w:ascii="Times New Roman" w:hAnsi="Times New Roman" w:cs="Times New Roman"/>
          <w:b/>
          <w:i w:val="0"/>
          <w:noProof/>
          <w:color w:val="000000" w:themeColor="text1"/>
          <w:sz w:val="20"/>
          <w:szCs w:val="20"/>
          <w:lang w:val="en-US"/>
        </w:rPr>
        <w:t>Fossil</w:t>
      </w:r>
      <w:r w:rsidR="0002354B">
        <w:rPr>
          <w:rFonts w:ascii="Times New Roman" w:hAnsi="Times New Roman" w:cs="Times New Roman"/>
          <w:b/>
          <w:i w:val="0"/>
          <w:noProof/>
          <w:color w:val="000000" w:themeColor="text1"/>
          <w:sz w:val="20"/>
          <w:szCs w:val="20"/>
          <w:lang w:val="en-US"/>
        </w:rPr>
        <w:t>-</w:t>
      </w:r>
      <w:r>
        <w:rPr>
          <w:rFonts w:ascii="Times New Roman" w:hAnsi="Times New Roman" w:cs="Times New Roman"/>
          <w:b/>
          <w:i w:val="0"/>
          <w:noProof/>
          <w:color w:val="000000" w:themeColor="text1"/>
          <w:sz w:val="20"/>
          <w:szCs w:val="20"/>
          <w:lang w:val="en-US"/>
        </w:rPr>
        <w:t>fuel subsidies in the EU Member States,</w:t>
      </w:r>
      <w:r w:rsidRPr="0021742F">
        <w:rPr>
          <w:rFonts w:ascii="Times New Roman" w:hAnsi="Times New Roman" w:cs="Times New Roman"/>
          <w:b/>
          <w:i w:val="0"/>
          <w:noProof/>
          <w:color w:val="000000" w:themeColor="text1"/>
          <w:sz w:val="20"/>
          <w:szCs w:val="20"/>
          <w:lang w:val="en-US"/>
        </w:rPr>
        <w:t xml:space="preserve"> as </w:t>
      </w:r>
      <w:r w:rsidR="0002354B">
        <w:rPr>
          <w:rFonts w:ascii="Times New Roman" w:hAnsi="Times New Roman" w:cs="Times New Roman"/>
          <w:b/>
          <w:i w:val="0"/>
          <w:noProof/>
          <w:color w:val="000000" w:themeColor="text1"/>
          <w:sz w:val="20"/>
          <w:szCs w:val="20"/>
          <w:lang w:val="en-US"/>
        </w:rPr>
        <w:t xml:space="preserve">a </w:t>
      </w:r>
      <w:r w:rsidRPr="0021742F">
        <w:rPr>
          <w:rFonts w:ascii="Times New Roman" w:hAnsi="Times New Roman" w:cs="Times New Roman"/>
          <w:b/>
          <w:i w:val="0"/>
          <w:noProof/>
          <w:color w:val="000000" w:themeColor="text1"/>
          <w:sz w:val="20"/>
          <w:szCs w:val="20"/>
          <w:lang w:val="en-US"/>
        </w:rPr>
        <w:t>percent</w:t>
      </w:r>
      <w:r w:rsidR="0002354B">
        <w:rPr>
          <w:rFonts w:ascii="Times New Roman" w:hAnsi="Times New Roman" w:cs="Times New Roman"/>
          <w:b/>
          <w:i w:val="0"/>
          <w:noProof/>
          <w:color w:val="000000" w:themeColor="text1"/>
          <w:sz w:val="20"/>
          <w:szCs w:val="20"/>
          <w:lang w:val="en-US"/>
        </w:rPr>
        <w:t>age</w:t>
      </w:r>
      <w:r w:rsidRPr="0021742F">
        <w:rPr>
          <w:rFonts w:ascii="Times New Roman" w:hAnsi="Times New Roman" w:cs="Times New Roman"/>
          <w:b/>
          <w:i w:val="0"/>
          <w:noProof/>
          <w:color w:val="000000" w:themeColor="text1"/>
          <w:sz w:val="20"/>
          <w:szCs w:val="20"/>
          <w:lang w:val="en-US"/>
        </w:rPr>
        <w:t xml:space="preserve"> of GDP and in billion euros in 20</w:t>
      </w:r>
      <w:r w:rsidR="008236A3">
        <w:rPr>
          <w:rFonts w:ascii="Times New Roman" w:hAnsi="Times New Roman" w:cs="Times New Roman"/>
          <w:b/>
          <w:i w:val="0"/>
          <w:noProof/>
          <w:color w:val="000000" w:themeColor="text1"/>
          <w:sz w:val="20"/>
          <w:szCs w:val="20"/>
          <w:lang w:val="en-US"/>
        </w:rPr>
        <w:t>20</w:t>
      </w:r>
      <w:r w:rsidR="00082ED9">
        <w:rPr>
          <w:rFonts w:ascii="Times New Roman" w:hAnsi="Times New Roman" w:cs="Times New Roman"/>
          <w:b/>
          <w:i w:val="0"/>
          <w:noProof/>
          <w:color w:val="000000" w:themeColor="text1"/>
          <w:sz w:val="20"/>
          <w:szCs w:val="20"/>
          <w:lang w:val="en-US"/>
        </w:rPr>
        <w:t>, compared with</w:t>
      </w:r>
      <w:r w:rsidR="006E0199">
        <w:rPr>
          <w:rFonts w:ascii="Times New Roman" w:hAnsi="Times New Roman" w:cs="Times New Roman"/>
          <w:b/>
          <w:i w:val="0"/>
          <w:noProof/>
          <w:color w:val="000000" w:themeColor="text1"/>
          <w:sz w:val="20"/>
          <w:szCs w:val="20"/>
          <w:lang w:val="en-US"/>
        </w:rPr>
        <w:t xml:space="preserve"> </w:t>
      </w:r>
      <w:r w:rsidR="00082ED9">
        <w:rPr>
          <w:rFonts w:ascii="Times New Roman" w:hAnsi="Times New Roman" w:cs="Times New Roman"/>
          <w:b/>
          <w:i w:val="0"/>
          <w:noProof/>
          <w:color w:val="000000" w:themeColor="text1"/>
          <w:sz w:val="20"/>
          <w:szCs w:val="20"/>
          <w:lang w:val="en-US"/>
        </w:rPr>
        <w:t>fossil</w:t>
      </w:r>
      <w:r w:rsidR="0002354B">
        <w:rPr>
          <w:rFonts w:ascii="Times New Roman" w:hAnsi="Times New Roman" w:cs="Times New Roman"/>
          <w:b/>
          <w:i w:val="0"/>
          <w:noProof/>
          <w:color w:val="000000" w:themeColor="text1"/>
          <w:sz w:val="20"/>
          <w:szCs w:val="20"/>
          <w:lang w:val="en-US"/>
        </w:rPr>
        <w:t>-fuel</w:t>
      </w:r>
      <w:r w:rsidR="00082ED9">
        <w:rPr>
          <w:rFonts w:ascii="Times New Roman" w:hAnsi="Times New Roman" w:cs="Times New Roman"/>
          <w:b/>
          <w:i w:val="0"/>
          <w:noProof/>
          <w:color w:val="000000" w:themeColor="text1"/>
          <w:sz w:val="20"/>
          <w:szCs w:val="20"/>
          <w:lang w:val="en-US"/>
        </w:rPr>
        <w:t xml:space="preserve"> subsid</w:t>
      </w:r>
      <w:r w:rsidR="0002354B">
        <w:rPr>
          <w:rFonts w:ascii="Times New Roman" w:hAnsi="Times New Roman" w:cs="Times New Roman"/>
          <w:b/>
          <w:i w:val="0"/>
          <w:noProof/>
          <w:color w:val="000000" w:themeColor="text1"/>
          <w:sz w:val="20"/>
          <w:szCs w:val="20"/>
          <w:lang w:val="en-US"/>
        </w:rPr>
        <w:t>ies</w:t>
      </w:r>
      <w:r w:rsidR="00FD261A">
        <w:rPr>
          <w:rFonts w:ascii="Times New Roman" w:hAnsi="Times New Roman" w:cs="Times New Roman"/>
          <w:b/>
          <w:i w:val="0"/>
          <w:noProof/>
          <w:color w:val="000000" w:themeColor="text1"/>
          <w:sz w:val="20"/>
          <w:szCs w:val="20"/>
          <w:lang w:val="en-US"/>
        </w:rPr>
        <w:t xml:space="preserve"> as per cent of the GDP</w:t>
      </w:r>
      <w:r w:rsidR="00082ED9">
        <w:rPr>
          <w:rFonts w:ascii="Times New Roman" w:hAnsi="Times New Roman" w:cs="Times New Roman"/>
          <w:b/>
          <w:i w:val="0"/>
          <w:noProof/>
          <w:color w:val="000000" w:themeColor="text1"/>
          <w:sz w:val="20"/>
          <w:szCs w:val="20"/>
          <w:lang w:val="en-US"/>
        </w:rPr>
        <w:t xml:space="preserve"> in 2015</w:t>
      </w:r>
    </w:p>
    <w:p w14:paraId="334BDE4E" w14:textId="1E243122" w:rsidR="0021742F" w:rsidRPr="00C777FE" w:rsidRDefault="00082ED9" w:rsidP="0021742F">
      <w:pPr>
        <w:pStyle w:val="ListParagraph"/>
        <w:spacing w:after="0"/>
        <w:ind w:left="0"/>
        <w:rPr>
          <w:rFonts w:ascii="Times New Roman" w:hAnsi="Times New Roman" w:cs="Times New Roman"/>
          <w:b/>
          <w:noProof/>
          <w:sz w:val="24"/>
          <w:szCs w:val="24"/>
          <w:lang w:val="hu-HU"/>
        </w:rPr>
      </w:pPr>
      <w:r w:rsidRPr="00082ED9">
        <w:rPr>
          <w:rFonts w:ascii="Times New Roman" w:hAnsi="Times New Roman" w:cs="Times New Roman"/>
          <w:b/>
          <w:noProof/>
          <w:sz w:val="24"/>
          <w:szCs w:val="24"/>
          <w:lang w:val="en-GB" w:eastAsia="en-GB"/>
        </w:rPr>
        <w:drawing>
          <wp:inline distT="0" distB="0" distL="0" distR="0" wp14:anchorId="7B1C9A59" wp14:editId="5A18DF15">
            <wp:extent cx="5025513" cy="1995778"/>
            <wp:effectExtent l="0" t="0" r="381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063401" cy="2010825"/>
                    </a:xfrm>
                    <a:prstGeom prst="rect">
                      <a:avLst/>
                    </a:prstGeom>
                  </pic:spPr>
                </pic:pic>
              </a:graphicData>
            </a:graphic>
          </wp:inline>
        </w:drawing>
      </w:r>
    </w:p>
    <w:p w14:paraId="009C1CD9" w14:textId="460C7F48" w:rsidR="0021742F" w:rsidRDefault="0021742F" w:rsidP="0021742F">
      <w:pPr>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008236A3" w:rsidRPr="008236A3">
        <w:rPr>
          <w:rFonts w:ascii="Times New Roman" w:hAnsi="Times New Roman" w:cs="Times New Roman"/>
          <w:noProof/>
          <w:sz w:val="18"/>
          <w:szCs w:val="18"/>
          <w:lang w:val="en-IE"/>
        </w:rPr>
        <w:t>Study on energy subsidies and other government interventions in the European Union – 2022 edition</w:t>
      </w:r>
    </w:p>
    <w:p w14:paraId="000B6164" w14:textId="10D87C28" w:rsidR="0021742F" w:rsidRPr="0021742F" w:rsidRDefault="008236A3" w:rsidP="00C07677">
      <w:pPr>
        <w:pStyle w:val="Heading1"/>
        <w:spacing w:after="240"/>
        <w:ind w:left="714" w:hanging="357"/>
        <w:rPr>
          <w:noProof/>
        </w:rPr>
      </w:pPr>
      <w:r>
        <w:rPr>
          <w:noProof/>
        </w:rPr>
        <w:t>Consistency of different energy subsidies with the energy taxonomy</w:t>
      </w:r>
    </w:p>
    <w:p w14:paraId="78AFFDB3" w14:textId="6728F39C" w:rsidR="008236A3" w:rsidRDefault="001056F9" w:rsidP="008236A3">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T</w:t>
      </w:r>
      <w:r w:rsidR="008236A3">
        <w:rPr>
          <w:rFonts w:ascii="Times New Roman" w:hAnsi="Times New Roman" w:cs="Times New Roman"/>
          <w:noProof/>
          <w:sz w:val="24"/>
          <w:szCs w:val="24"/>
          <w:lang w:val="en-IE"/>
        </w:rPr>
        <w:t>he EU taxonomy might have a</w:t>
      </w:r>
      <w:r w:rsidR="0002354B">
        <w:rPr>
          <w:rFonts w:ascii="Times New Roman" w:hAnsi="Times New Roman" w:cs="Times New Roman"/>
          <w:noProof/>
          <w:sz w:val="24"/>
          <w:szCs w:val="24"/>
          <w:lang w:val="en-IE"/>
        </w:rPr>
        <w:t>n</w:t>
      </w:r>
      <w:r w:rsidR="008236A3">
        <w:rPr>
          <w:rFonts w:ascii="Times New Roman" w:hAnsi="Times New Roman" w:cs="Times New Roman"/>
          <w:noProof/>
          <w:sz w:val="24"/>
          <w:szCs w:val="24"/>
          <w:lang w:val="en-IE"/>
        </w:rPr>
        <w:t xml:space="preserve"> </w:t>
      </w:r>
      <w:r w:rsidR="008236A3" w:rsidRPr="00017A76">
        <w:rPr>
          <w:rFonts w:ascii="Times New Roman" w:hAnsi="Times New Roman" w:cs="Times New Roman"/>
          <w:noProof/>
          <w:sz w:val="24"/>
          <w:szCs w:val="24"/>
          <w:lang w:val="en-IE"/>
        </w:rPr>
        <w:t>impact</w:t>
      </w:r>
      <w:r w:rsidR="008236A3">
        <w:rPr>
          <w:rFonts w:ascii="Times New Roman" w:hAnsi="Times New Roman" w:cs="Times New Roman"/>
          <w:noProof/>
          <w:sz w:val="24"/>
          <w:szCs w:val="24"/>
          <w:lang w:val="en-IE"/>
        </w:rPr>
        <w:t xml:space="preserve"> </w:t>
      </w:r>
      <w:r w:rsidRPr="00017A76">
        <w:rPr>
          <w:rFonts w:ascii="Times New Roman" w:hAnsi="Times New Roman" w:cs="Times New Roman"/>
          <w:noProof/>
          <w:sz w:val="24"/>
          <w:szCs w:val="24"/>
          <w:lang w:val="en-IE"/>
        </w:rPr>
        <w:t>on subsidies</w:t>
      </w:r>
      <w:r>
        <w:rPr>
          <w:rFonts w:ascii="Times New Roman" w:hAnsi="Times New Roman" w:cs="Times New Roman"/>
          <w:noProof/>
          <w:sz w:val="24"/>
          <w:szCs w:val="24"/>
          <w:lang w:val="en-IE"/>
        </w:rPr>
        <w:t xml:space="preserve"> </w:t>
      </w:r>
      <w:r w:rsidR="008236A3">
        <w:rPr>
          <w:rFonts w:ascii="Times New Roman" w:hAnsi="Times New Roman" w:cs="Times New Roman"/>
          <w:noProof/>
          <w:sz w:val="24"/>
          <w:szCs w:val="24"/>
          <w:lang w:val="en-IE"/>
        </w:rPr>
        <w:t>in the future,</w:t>
      </w:r>
      <w:r w:rsidR="008236A3" w:rsidRPr="00017A76">
        <w:rPr>
          <w:rFonts w:ascii="Times New Roman" w:hAnsi="Times New Roman" w:cs="Times New Roman"/>
          <w:noProof/>
          <w:sz w:val="24"/>
          <w:szCs w:val="24"/>
          <w:lang w:val="en-IE"/>
        </w:rPr>
        <w:t xml:space="preserve"> </w:t>
      </w:r>
      <w:r w:rsidR="008236A3">
        <w:rPr>
          <w:rFonts w:ascii="Times New Roman" w:hAnsi="Times New Roman" w:cs="Times New Roman"/>
          <w:noProof/>
          <w:sz w:val="24"/>
          <w:szCs w:val="24"/>
          <w:lang w:val="en-IE"/>
        </w:rPr>
        <w:t xml:space="preserve">providing tools to identify </w:t>
      </w:r>
      <w:r w:rsidR="008236A3" w:rsidRPr="00017A76">
        <w:rPr>
          <w:rFonts w:ascii="Times New Roman" w:hAnsi="Times New Roman" w:cs="Times New Roman"/>
          <w:noProof/>
          <w:sz w:val="24"/>
          <w:szCs w:val="24"/>
          <w:lang w:val="en-IE"/>
        </w:rPr>
        <w:t>sustainable activities</w:t>
      </w:r>
      <w:r w:rsidR="0002354B">
        <w:rPr>
          <w:rFonts w:ascii="Times New Roman" w:hAnsi="Times New Roman" w:cs="Times New Roman"/>
          <w:noProof/>
          <w:sz w:val="24"/>
          <w:szCs w:val="24"/>
          <w:lang w:val="en-IE"/>
        </w:rPr>
        <w:t>. It could</w:t>
      </w:r>
      <w:r w:rsidR="008236A3">
        <w:rPr>
          <w:rFonts w:ascii="Times New Roman" w:hAnsi="Times New Roman" w:cs="Times New Roman"/>
          <w:noProof/>
          <w:sz w:val="24"/>
          <w:szCs w:val="24"/>
          <w:lang w:val="en-IE"/>
        </w:rPr>
        <w:t xml:space="preserve"> facilitat</w:t>
      </w:r>
      <w:r w:rsidR="0002354B">
        <w:rPr>
          <w:rFonts w:ascii="Times New Roman" w:hAnsi="Times New Roman" w:cs="Times New Roman"/>
          <w:noProof/>
          <w:sz w:val="24"/>
          <w:szCs w:val="24"/>
          <w:lang w:val="en-IE"/>
        </w:rPr>
        <w:t>e</w:t>
      </w:r>
      <w:r w:rsidR="008236A3" w:rsidRPr="00017A76">
        <w:rPr>
          <w:rFonts w:ascii="Times New Roman" w:hAnsi="Times New Roman" w:cs="Times New Roman"/>
          <w:noProof/>
          <w:sz w:val="24"/>
          <w:szCs w:val="24"/>
          <w:lang w:val="en-IE"/>
        </w:rPr>
        <w:t xml:space="preserve"> </w:t>
      </w:r>
      <w:r w:rsidR="00D3165D">
        <w:rPr>
          <w:rFonts w:ascii="Times New Roman" w:hAnsi="Times New Roman" w:cs="Times New Roman"/>
          <w:noProof/>
          <w:sz w:val="24"/>
          <w:szCs w:val="24"/>
          <w:lang w:val="en-IE"/>
        </w:rPr>
        <w:t xml:space="preserve">EU and </w:t>
      </w:r>
      <w:r w:rsidR="008236A3" w:rsidRPr="00017A76">
        <w:rPr>
          <w:rFonts w:ascii="Times New Roman" w:hAnsi="Times New Roman" w:cs="Times New Roman"/>
          <w:noProof/>
          <w:sz w:val="24"/>
          <w:szCs w:val="24"/>
          <w:lang w:val="en-IE"/>
        </w:rPr>
        <w:t xml:space="preserve">national policies to target </w:t>
      </w:r>
      <w:r w:rsidR="00D3165D">
        <w:rPr>
          <w:rFonts w:ascii="Times New Roman" w:hAnsi="Times New Roman" w:cs="Times New Roman"/>
          <w:noProof/>
          <w:sz w:val="24"/>
          <w:szCs w:val="24"/>
          <w:lang w:val="en-IE"/>
        </w:rPr>
        <w:t>activities that contribute substantially to climate</w:t>
      </w:r>
      <w:r w:rsidR="0002354B">
        <w:rPr>
          <w:rFonts w:ascii="Times New Roman" w:hAnsi="Times New Roman" w:cs="Times New Roman"/>
          <w:noProof/>
          <w:sz w:val="24"/>
          <w:szCs w:val="24"/>
          <w:lang w:val="en-IE"/>
        </w:rPr>
        <w:t>-</w:t>
      </w:r>
      <w:r w:rsidR="00D3165D">
        <w:rPr>
          <w:rFonts w:ascii="Times New Roman" w:hAnsi="Times New Roman" w:cs="Times New Roman"/>
          <w:noProof/>
          <w:sz w:val="24"/>
          <w:szCs w:val="24"/>
          <w:lang w:val="en-IE"/>
        </w:rPr>
        <w:t>change mitigation and adaptation, without significantly harming other environmental objectives.</w:t>
      </w:r>
      <w:r w:rsidR="008236A3">
        <w:rPr>
          <w:rFonts w:ascii="Times New Roman" w:hAnsi="Times New Roman" w:cs="Times New Roman"/>
          <w:noProof/>
          <w:sz w:val="24"/>
          <w:szCs w:val="24"/>
          <w:lang w:val="en-IE"/>
        </w:rPr>
        <w:t xml:space="preserve"> </w:t>
      </w:r>
      <w:r w:rsidR="00D3165D">
        <w:rPr>
          <w:rFonts w:ascii="Times New Roman" w:hAnsi="Times New Roman" w:cs="Times New Roman"/>
          <w:noProof/>
          <w:sz w:val="24"/>
          <w:szCs w:val="24"/>
          <w:lang w:val="en-IE"/>
        </w:rPr>
        <w:t>T</w:t>
      </w:r>
      <w:r w:rsidR="008236A3">
        <w:rPr>
          <w:rFonts w:ascii="Times New Roman" w:hAnsi="Times New Roman" w:cs="Times New Roman"/>
          <w:noProof/>
          <w:sz w:val="24"/>
          <w:szCs w:val="24"/>
          <w:lang w:val="en-IE"/>
        </w:rPr>
        <w:t xml:space="preserve">he Commission study has </w:t>
      </w:r>
      <w:r w:rsidR="0002354B">
        <w:rPr>
          <w:rFonts w:ascii="Times New Roman" w:hAnsi="Times New Roman" w:cs="Times New Roman"/>
          <w:noProof/>
          <w:sz w:val="24"/>
          <w:szCs w:val="24"/>
          <w:lang w:val="en-IE"/>
        </w:rPr>
        <w:t xml:space="preserve">carried out </w:t>
      </w:r>
      <w:r w:rsidR="008236A3">
        <w:rPr>
          <w:rFonts w:ascii="Times New Roman" w:hAnsi="Times New Roman" w:cs="Times New Roman"/>
          <w:noProof/>
          <w:sz w:val="24"/>
          <w:szCs w:val="24"/>
          <w:lang w:val="en-IE"/>
        </w:rPr>
        <w:t>the first stocktaking exercise o</w:t>
      </w:r>
      <w:r w:rsidR="009C2B1F">
        <w:rPr>
          <w:rFonts w:ascii="Times New Roman" w:hAnsi="Times New Roman" w:cs="Times New Roman"/>
          <w:noProof/>
          <w:sz w:val="24"/>
          <w:szCs w:val="24"/>
          <w:lang w:val="en-IE"/>
        </w:rPr>
        <w:t>n</w:t>
      </w:r>
      <w:r w:rsidR="008236A3">
        <w:rPr>
          <w:rFonts w:ascii="Times New Roman" w:hAnsi="Times New Roman" w:cs="Times New Roman"/>
          <w:noProof/>
          <w:sz w:val="24"/>
          <w:szCs w:val="24"/>
          <w:lang w:val="en-IE"/>
        </w:rPr>
        <w:t xml:space="preserve"> how energy subsidies are consistent with underlying economic activities defined in the taxonomy</w:t>
      </w:r>
      <w:r w:rsidR="003E0B9D">
        <w:rPr>
          <w:rStyle w:val="FootnoteReference"/>
          <w:rFonts w:ascii="Times New Roman" w:hAnsi="Times New Roman" w:cs="Times New Roman"/>
          <w:noProof/>
          <w:sz w:val="24"/>
          <w:szCs w:val="24"/>
          <w:lang w:val="en-IE"/>
        </w:rPr>
        <w:footnoteReference w:id="29"/>
      </w:r>
      <w:r w:rsidR="008236A3">
        <w:rPr>
          <w:rFonts w:ascii="Times New Roman" w:hAnsi="Times New Roman" w:cs="Times New Roman"/>
          <w:noProof/>
          <w:sz w:val="24"/>
          <w:szCs w:val="24"/>
          <w:lang w:val="en-IE"/>
        </w:rPr>
        <w:t>.</w:t>
      </w:r>
    </w:p>
    <w:p w14:paraId="1EF9D885" w14:textId="0F90E14D" w:rsidR="0096517B" w:rsidRDefault="0002354B" w:rsidP="008236A3">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To </w:t>
      </w:r>
      <w:r w:rsidR="008236A3">
        <w:rPr>
          <w:rFonts w:ascii="Times New Roman" w:hAnsi="Times New Roman" w:cs="Times New Roman"/>
          <w:noProof/>
          <w:sz w:val="24"/>
          <w:szCs w:val="24"/>
          <w:lang w:val="en-IE"/>
        </w:rPr>
        <w:t xml:space="preserve">classify subsidies, </w:t>
      </w:r>
      <w:r w:rsidR="009C2B1F">
        <w:rPr>
          <w:rFonts w:ascii="Times New Roman" w:hAnsi="Times New Roman" w:cs="Times New Roman"/>
          <w:noProof/>
          <w:sz w:val="24"/>
          <w:szCs w:val="24"/>
          <w:lang w:val="en-IE"/>
        </w:rPr>
        <w:t xml:space="preserve">the Commission study </w:t>
      </w:r>
      <w:r>
        <w:rPr>
          <w:rFonts w:ascii="Times New Roman" w:hAnsi="Times New Roman" w:cs="Times New Roman"/>
          <w:noProof/>
          <w:sz w:val="24"/>
          <w:szCs w:val="24"/>
          <w:lang w:val="en-IE"/>
        </w:rPr>
        <w:t xml:space="preserve">set out </w:t>
      </w:r>
      <w:r w:rsidR="008236A3">
        <w:rPr>
          <w:rFonts w:ascii="Times New Roman" w:hAnsi="Times New Roman" w:cs="Times New Roman"/>
          <w:noProof/>
          <w:sz w:val="24"/>
          <w:szCs w:val="24"/>
          <w:lang w:val="en-IE"/>
        </w:rPr>
        <w:t>four different categories</w:t>
      </w:r>
      <w:r w:rsidR="00A97627">
        <w:rPr>
          <w:rStyle w:val="FootnoteReference"/>
          <w:rFonts w:ascii="Times New Roman" w:hAnsi="Times New Roman" w:cs="Times New Roman"/>
          <w:noProof/>
          <w:sz w:val="24"/>
          <w:szCs w:val="24"/>
          <w:lang w:val="en-IE"/>
        </w:rPr>
        <w:footnoteReference w:id="30"/>
      </w:r>
      <w:r>
        <w:rPr>
          <w:rFonts w:ascii="Times New Roman" w:hAnsi="Times New Roman" w:cs="Times New Roman"/>
          <w:noProof/>
          <w:sz w:val="24"/>
          <w:szCs w:val="24"/>
          <w:lang w:val="en-IE"/>
        </w:rPr>
        <w:t>. The first category is ‘</w:t>
      </w:r>
      <w:r w:rsidRPr="00C07677">
        <w:rPr>
          <w:rFonts w:ascii="Times New Roman" w:hAnsi="Times New Roman" w:cs="Times New Roman"/>
          <w:noProof/>
          <w:sz w:val="24"/>
          <w:szCs w:val="24"/>
          <w:lang w:val="en-IE"/>
        </w:rPr>
        <w:t>c</w:t>
      </w:r>
      <w:r w:rsidR="008236A3" w:rsidRPr="00C07677">
        <w:rPr>
          <w:rFonts w:ascii="Times New Roman" w:hAnsi="Times New Roman" w:cs="Times New Roman"/>
          <w:noProof/>
          <w:sz w:val="24"/>
          <w:szCs w:val="24"/>
          <w:lang w:val="en-IE"/>
        </w:rPr>
        <w:t>onsistent</w:t>
      </w:r>
      <w:r>
        <w:rPr>
          <w:rFonts w:ascii="Times New Roman" w:hAnsi="Times New Roman" w:cs="Times New Roman"/>
          <w:noProof/>
          <w:sz w:val="24"/>
          <w:szCs w:val="24"/>
          <w:lang w:val="en-IE"/>
        </w:rPr>
        <w:t>’ and can be applied to cases</w:t>
      </w:r>
      <w:r w:rsidR="008236A3" w:rsidRPr="008236A3">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 xml:space="preserve">where </w:t>
      </w:r>
      <w:r w:rsidR="008236A3" w:rsidRPr="008236A3">
        <w:rPr>
          <w:rFonts w:ascii="Times New Roman" w:hAnsi="Times New Roman" w:cs="Times New Roman"/>
          <w:noProof/>
          <w:sz w:val="24"/>
          <w:szCs w:val="24"/>
          <w:lang w:val="en-IE"/>
        </w:rPr>
        <w:t xml:space="preserve">subsidies benefit activities known as </w:t>
      </w:r>
      <w:r>
        <w:rPr>
          <w:rFonts w:ascii="Times New Roman" w:hAnsi="Times New Roman" w:cs="Times New Roman"/>
          <w:noProof/>
          <w:sz w:val="24"/>
          <w:szCs w:val="24"/>
          <w:lang w:val="en-IE"/>
        </w:rPr>
        <w:t>‘</w:t>
      </w:r>
      <w:r w:rsidR="008236A3" w:rsidRPr="008236A3">
        <w:rPr>
          <w:rFonts w:ascii="Times New Roman" w:hAnsi="Times New Roman" w:cs="Times New Roman"/>
          <w:noProof/>
          <w:sz w:val="24"/>
          <w:szCs w:val="24"/>
          <w:lang w:val="en-IE"/>
        </w:rPr>
        <w:t>taxonomy-eligible economic activities</w:t>
      </w:r>
      <w:r>
        <w:rPr>
          <w:rFonts w:ascii="Times New Roman" w:hAnsi="Times New Roman" w:cs="Times New Roman"/>
          <w:noProof/>
          <w:sz w:val="24"/>
          <w:szCs w:val="24"/>
          <w:lang w:val="en-IE"/>
        </w:rPr>
        <w:t>’</w:t>
      </w:r>
      <w:r w:rsidR="008236A3" w:rsidRPr="008236A3">
        <w:rPr>
          <w:rFonts w:ascii="Times New Roman" w:hAnsi="Times New Roman" w:cs="Times New Roman"/>
          <w:noProof/>
          <w:sz w:val="24"/>
          <w:szCs w:val="24"/>
          <w:lang w:val="en-IE"/>
        </w:rPr>
        <w:t>, such as renewables</w:t>
      </w:r>
      <w:r w:rsidR="00A97627">
        <w:rPr>
          <w:rFonts w:ascii="Times New Roman" w:hAnsi="Times New Roman" w:cs="Times New Roman"/>
          <w:noProof/>
          <w:sz w:val="24"/>
          <w:szCs w:val="24"/>
          <w:lang w:val="en-IE"/>
        </w:rPr>
        <w:t xml:space="preserve"> or</w:t>
      </w:r>
      <w:r w:rsidR="008236A3" w:rsidRPr="008236A3">
        <w:rPr>
          <w:rFonts w:ascii="Times New Roman" w:hAnsi="Times New Roman" w:cs="Times New Roman"/>
          <w:noProof/>
          <w:sz w:val="24"/>
          <w:szCs w:val="24"/>
          <w:lang w:val="en-IE"/>
        </w:rPr>
        <w:t xml:space="preserve"> energy ef</w:t>
      </w:r>
      <w:r w:rsidR="008236A3">
        <w:rPr>
          <w:rFonts w:ascii="Times New Roman" w:hAnsi="Times New Roman" w:cs="Times New Roman"/>
          <w:noProof/>
          <w:sz w:val="24"/>
          <w:szCs w:val="24"/>
          <w:lang w:val="en-IE"/>
        </w:rPr>
        <w:t>ficiency</w:t>
      </w:r>
      <w:r w:rsidR="008236A3" w:rsidRPr="008236A3">
        <w:rPr>
          <w:rFonts w:ascii="Times New Roman" w:hAnsi="Times New Roman" w:cs="Times New Roman"/>
          <w:noProof/>
          <w:sz w:val="24"/>
          <w:szCs w:val="24"/>
          <w:lang w:val="en-IE"/>
        </w:rPr>
        <w:t xml:space="preserve"> in general.</w:t>
      </w:r>
      <w:r w:rsidR="008236A3">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The second category is ‘</w:t>
      </w:r>
      <w:r w:rsidRPr="00C07677">
        <w:rPr>
          <w:rFonts w:ascii="Times New Roman" w:hAnsi="Times New Roman" w:cs="Times New Roman"/>
          <w:noProof/>
          <w:sz w:val="24"/>
          <w:szCs w:val="24"/>
          <w:lang w:val="en-IE"/>
        </w:rPr>
        <w:t>n</w:t>
      </w:r>
      <w:r w:rsidR="00771B75" w:rsidRPr="00C07677">
        <w:rPr>
          <w:rFonts w:ascii="Times New Roman" w:hAnsi="Times New Roman" w:cs="Times New Roman"/>
          <w:noProof/>
          <w:sz w:val="24"/>
          <w:szCs w:val="24"/>
          <w:lang w:val="en-IE"/>
        </w:rPr>
        <w:t xml:space="preserve">ot consistent </w:t>
      </w:r>
      <w:r w:rsidRPr="00C07677">
        <w:rPr>
          <w:rFonts w:ascii="Times New Roman" w:hAnsi="Times New Roman" w:cs="Times New Roman"/>
          <w:noProof/>
          <w:sz w:val="24"/>
          <w:szCs w:val="24"/>
          <w:lang w:val="en-IE"/>
        </w:rPr>
        <w:t>–</w:t>
      </w:r>
      <w:r w:rsidR="00771B75" w:rsidRPr="00C07677">
        <w:rPr>
          <w:rFonts w:ascii="Times New Roman" w:hAnsi="Times New Roman" w:cs="Times New Roman"/>
          <w:noProof/>
          <w:sz w:val="24"/>
          <w:szCs w:val="24"/>
          <w:lang w:val="en-IE"/>
        </w:rPr>
        <w:t xml:space="preserve"> t</w:t>
      </w:r>
      <w:r w:rsidR="008236A3" w:rsidRPr="00C07677">
        <w:rPr>
          <w:rFonts w:ascii="Times New Roman" w:hAnsi="Times New Roman" w:cs="Times New Roman"/>
          <w:noProof/>
          <w:sz w:val="24"/>
          <w:szCs w:val="24"/>
          <w:lang w:val="en-IE"/>
        </w:rPr>
        <w:t>ransitional</w:t>
      </w:r>
      <w:r>
        <w:rPr>
          <w:rFonts w:ascii="Times New Roman" w:hAnsi="Times New Roman" w:cs="Times New Roman"/>
          <w:noProof/>
          <w:sz w:val="24"/>
          <w:szCs w:val="24"/>
          <w:lang w:val="en-IE"/>
        </w:rPr>
        <w:t>’, and covers</w:t>
      </w:r>
      <w:r w:rsidR="008236A3" w:rsidRPr="008236A3">
        <w:rPr>
          <w:rFonts w:ascii="Times New Roman" w:hAnsi="Times New Roman" w:cs="Times New Roman"/>
          <w:noProof/>
          <w:sz w:val="24"/>
          <w:szCs w:val="24"/>
          <w:lang w:val="en-IE"/>
        </w:rPr>
        <w:t xml:space="preserve"> subsidies benefiting activities not eligible under the EU </w:t>
      </w:r>
      <w:r w:rsidR="007D1383">
        <w:rPr>
          <w:rFonts w:ascii="Times New Roman" w:hAnsi="Times New Roman" w:cs="Times New Roman"/>
          <w:noProof/>
          <w:sz w:val="24"/>
          <w:szCs w:val="24"/>
          <w:lang w:val="en-IE"/>
        </w:rPr>
        <w:t>t</w:t>
      </w:r>
      <w:r w:rsidR="008236A3" w:rsidRPr="008236A3">
        <w:rPr>
          <w:rFonts w:ascii="Times New Roman" w:hAnsi="Times New Roman" w:cs="Times New Roman"/>
          <w:noProof/>
          <w:sz w:val="24"/>
          <w:szCs w:val="24"/>
          <w:lang w:val="en-IE"/>
        </w:rPr>
        <w:t>axonomy</w:t>
      </w:r>
      <w:r w:rsidR="004762E2">
        <w:rPr>
          <w:rFonts w:ascii="Times New Roman" w:hAnsi="Times New Roman" w:cs="Times New Roman"/>
          <w:noProof/>
          <w:sz w:val="24"/>
          <w:szCs w:val="24"/>
          <w:lang w:val="en-IE"/>
        </w:rPr>
        <w:t>,</w:t>
      </w:r>
      <w:r w:rsidR="008236A3" w:rsidRPr="008236A3">
        <w:rPr>
          <w:rFonts w:ascii="Times New Roman" w:hAnsi="Times New Roman" w:cs="Times New Roman"/>
          <w:noProof/>
          <w:sz w:val="24"/>
          <w:szCs w:val="24"/>
          <w:lang w:val="en-IE"/>
        </w:rPr>
        <w:t xml:space="preserve"> but which </w:t>
      </w:r>
      <w:r w:rsidR="00A97627">
        <w:rPr>
          <w:rFonts w:ascii="Times New Roman" w:hAnsi="Times New Roman" w:cs="Times New Roman"/>
          <w:noProof/>
          <w:sz w:val="24"/>
          <w:szCs w:val="24"/>
          <w:lang w:val="en-IE"/>
        </w:rPr>
        <w:t>might also</w:t>
      </w:r>
      <w:r>
        <w:rPr>
          <w:rFonts w:ascii="Times New Roman" w:hAnsi="Times New Roman" w:cs="Times New Roman"/>
          <w:noProof/>
          <w:sz w:val="24"/>
          <w:szCs w:val="24"/>
          <w:lang w:val="en-IE"/>
        </w:rPr>
        <w:t xml:space="preserve"> </w:t>
      </w:r>
      <w:r w:rsidR="008236A3" w:rsidRPr="008236A3">
        <w:rPr>
          <w:rFonts w:ascii="Times New Roman" w:hAnsi="Times New Roman" w:cs="Times New Roman"/>
          <w:noProof/>
          <w:sz w:val="24"/>
          <w:szCs w:val="24"/>
          <w:lang w:val="en-IE"/>
        </w:rPr>
        <w:t>support the energy transition</w:t>
      </w:r>
      <w:r w:rsidR="006E0199">
        <w:rPr>
          <w:rFonts w:ascii="Times New Roman" w:hAnsi="Times New Roman" w:cs="Times New Roman"/>
          <w:noProof/>
          <w:sz w:val="24"/>
          <w:szCs w:val="24"/>
          <w:lang w:val="en-IE"/>
        </w:rPr>
        <w:t>,</w:t>
      </w:r>
      <w:r w:rsidR="008236A3" w:rsidRPr="008236A3">
        <w:rPr>
          <w:rFonts w:ascii="Times New Roman" w:hAnsi="Times New Roman" w:cs="Times New Roman"/>
          <w:noProof/>
          <w:sz w:val="24"/>
          <w:szCs w:val="24"/>
          <w:lang w:val="en-IE"/>
        </w:rPr>
        <w:t xml:space="preserve"> such as decommissioning of fossil</w:t>
      </w:r>
      <w:r>
        <w:rPr>
          <w:rFonts w:ascii="Times New Roman" w:hAnsi="Times New Roman" w:cs="Times New Roman"/>
          <w:noProof/>
          <w:sz w:val="24"/>
          <w:szCs w:val="24"/>
          <w:lang w:val="en-IE"/>
        </w:rPr>
        <w:t>-</w:t>
      </w:r>
      <w:r w:rsidR="008236A3" w:rsidRPr="008236A3">
        <w:rPr>
          <w:rFonts w:ascii="Times New Roman" w:hAnsi="Times New Roman" w:cs="Times New Roman"/>
          <w:noProof/>
          <w:sz w:val="24"/>
          <w:szCs w:val="24"/>
          <w:lang w:val="en-IE"/>
        </w:rPr>
        <w:t xml:space="preserve">fuel assets. </w:t>
      </w:r>
      <w:r>
        <w:rPr>
          <w:rFonts w:ascii="Times New Roman" w:hAnsi="Times New Roman" w:cs="Times New Roman"/>
          <w:noProof/>
          <w:sz w:val="24"/>
          <w:szCs w:val="24"/>
          <w:lang w:val="en-IE"/>
        </w:rPr>
        <w:t>The third category is ‘n</w:t>
      </w:r>
      <w:r w:rsidR="008236A3" w:rsidRPr="00C07677">
        <w:rPr>
          <w:rFonts w:ascii="Times New Roman" w:hAnsi="Times New Roman" w:cs="Times New Roman"/>
          <w:noProof/>
          <w:sz w:val="24"/>
          <w:szCs w:val="24"/>
          <w:lang w:val="en-IE"/>
        </w:rPr>
        <w:t>ot consistent</w:t>
      </w:r>
      <w:r>
        <w:rPr>
          <w:rFonts w:ascii="Times New Roman" w:hAnsi="Times New Roman" w:cs="Times New Roman"/>
          <w:noProof/>
          <w:sz w:val="24"/>
          <w:szCs w:val="24"/>
          <w:lang w:val="en-IE"/>
        </w:rPr>
        <w:t>’, and covers</w:t>
      </w:r>
      <w:r w:rsidR="008236A3" w:rsidRPr="008236A3">
        <w:rPr>
          <w:rFonts w:ascii="Times New Roman" w:hAnsi="Times New Roman" w:cs="Times New Roman"/>
          <w:noProof/>
          <w:sz w:val="24"/>
          <w:szCs w:val="24"/>
          <w:lang w:val="en-IE"/>
        </w:rPr>
        <w:t xml:space="preserve"> all subsidies supporting directly or indirectly the production or consumption of fossil fuels</w:t>
      </w:r>
      <w:r w:rsidR="008236A3">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The final category is ‘</w:t>
      </w:r>
      <w:r w:rsidRPr="00C07677">
        <w:rPr>
          <w:rFonts w:ascii="Times New Roman" w:hAnsi="Times New Roman" w:cs="Times New Roman"/>
          <w:noProof/>
          <w:sz w:val="24"/>
          <w:szCs w:val="24"/>
          <w:lang w:val="en-IE"/>
        </w:rPr>
        <w:t xml:space="preserve">not </w:t>
      </w:r>
      <w:r w:rsidR="008236A3" w:rsidRPr="00C07677">
        <w:rPr>
          <w:rFonts w:ascii="Times New Roman" w:hAnsi="Times New Roman" w:cs="Times New Roman"/>
          <w:noProof/>
          <w:sz w:val="24"/>
          <w:szCs w:val="24"/>
          <w:lang w:val="en-IE"/>
        </w:rPr>
        <w:t>applicable</w:t>
      </w:r>
      <w:r w:rsidRPr="00C07677">
        <w:rPr>
          <w:rFonts w:ascii="Times New Roman" w:hAnsi="Times New Roman" w:cs="Times New Roman"/>
          <w:noProof/>
          <w:sz w:val="24"/>
          <w:szCs w:val="24"/>
          <w:lang w:val="en-IE"/>
        </w:rPr>
        <w:t>’</w:t>
      </w:r>
      <w:r>
        <w:rPr>
          <w:rFonts w:ascii="Times New Roman" w:hAnsi="Times New Roman" w:cs="Times New Roman"/>
          <w:i/>
          <w:noProof/>
          <w:sz w:val="24"/>
          <w:szCs w:val="24"/>
          <w:lang w:val="en-IE"/>
        </w:rPr>
        <w:t xml:space="preserve"> </w:t>
      </w:r>
      <w:r w:rsidRPr="00C07677">
        <w:rPr>
          <w:rFonts w:ascii="Times New Roman" w:hAnsi="Times New Roman" w:cs="Times New Roman"/>
          <w:noProof/>
          <w:sz w:val="24"/>
          <w:szCs w:val="24"/>
          <w:lang w:val="en-IE"/>
        </w:rPr>
        <w:t>and covers</w:t>
      </w:r>
      <w:r w:rsidR="008236A3" w:rsidRPr="008236A3">
        <w:rPr>
          <w:rFonts w:ascii="Times New Roman" w:hAnsi="Times New Roman" w:cs="Times New Roman"/>
          <w:noProof/>
          <w:sz w:val="24"/>
          <w:szCs w:val="24"/>
          <w:lang w:val="en-IE"/>
        </w:rPr>
        <w:t xml:space="preserve"> subsidies that cannot be classified under previous categories s</w:t>
      </w:r>
      <w:r w:rsidR="008236A3">
        <w:rPr>
          <w:rFonts w:ascii="Times New Roman" w:hAnsi="Times New Roman" w:cs="Times New Roman"/>
          <w:noProof/>
          <w:sz w:val="24"/>
          <w:szCs w:val="24"/>
          <w:lang w:val="en-IE"/>
        </w:rPr>
        <w:t xml:space="preserve">uch as market mechanisms (e.g. </w:t>
      </w:r>
      <w:r w:rsidR="008236A3" w:rsidRPr="008236A3">
        <w:rPr>
          <w:rFonts w:ascii="Times New Roman" w:hAnsi="Times New Roman" w:cs="Times New Roman"/>
          <w:noProof/>
          <w:sz w:val="24"/>
          <w:szCs w:val="24"/>
          <w:lang w:val="en-IE"/>
        </w:rPr>
        <w:t>capacity market</w:t>
      </w:r>
      <w:r w:rsidR="008236A3">
        <w:rPr>
          <w:rFonts w:ascii="Times New Roman" w:hAnsi="Times New Roman" w:cs="Times New Roman"/>
          <w:noProof/>
          <w:sz w:val="24"/>
          <w:szCs w:val="24"/>
          <w:lang w:val="en-IE"/>
        </w:rPr>
        <w:t xml:space="preserve"> or security reserves).</w:t>
      </w:r>
    </w:p>
    <w:p w14:paraId="7A0E56BE" w14:textId="44BB8035" w:rsidR="00771B75" w:rsidRDefault="00771B75" w:rsidP="008236A3">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As </w:t>
      </w:r>
      <w:r w:rsidR="001056F9">
        <w:rPr>
          <w:rFonts w:ascii="Times New Roman" w:hAnsi="Times New Roman" w:cs="Times New Roman"/>
          <w:noProof/>
          <w:sz w:val="24"/>
          <w:szCs w:val="24"/>
          <w:lang w:val="en-IE"/>
        </w:rPr>
        <w:t xml:space="preserve">the </w:t>
      </w:r>
      <w:r w:rsidR="0002354B">
        <w:rPr>
          <w:rFonts w:ascii="Times New Roman" w:hAnsi="Times New Roman" w:cs="Times New Roman"/>
          <w:noProof/>
          <w:sz w:val="24"/>
          <w:szCs w:val="24"/>
          <w:lang w:val="en-IE"/>
        </w:rPr>
        <w:t xml:space="preserve">data from the </w:t>
      </w:r>
      <w:r>
        <w:rPr>
          <w:rFonts w:ascii="Times New Roman" w:hAnsi="Times New Roman" w:cs="Times New Roman"/>
          <w:noProof/>
          <w:sz w:val="24"/>
          <w:szCs w:val="24"/>
          <w:lang w:val="en-IE"/>
        </w:rPr>
        <w:t xml:space="preserve">Commission study show, the </w:t>
      </w:r>
      <w:r w:rsidR="006E0199">
        <w:rPr>
          <w:rFonts w:ascii="Times New Roman" w:hAnsi="Times New Roman" w:cs="Times New Roman"/>
          <w:noProof/>
          <w:sz w:val="24"/>
          <w:szCs w:val="24"/>
          <w:lang w:val="en-IE"/>
        </w:rPr>
        <w:t xml:space="preserve">vast </w:t>
      </w:r>
      <w:r>
        <w:rPr>
          <w:rFonts w:ascii="Times New Roman" w:hAnsi="Times New Roman" w:cs="Times New Roman"/>
          <w:noProof/>
          <w:sz w:val="24"/>
          <w:szCs w:val="24"/>
          <w:lang w:val="en-IE"/>
        </w:rPr>
        <w:t xml:space="preserve">majority </w:t>
      </w:r>
      <w:r w:rsidR="009C2B1F">
        <w:rPr>
          <w:rFonts w:ascii="Times New Roman" w:hAnsi="Times New Roman" w:cs="Times New Roman"/>
          <w:noProof/>
          <w:sz w:val="24"/>
          <w:szCs w:val="24"/>
          <w:lang w:val="en-IE"/>
        </w:rPr>
        <w:t xml:space="preserve">of subsidies on renewables </w:t>
      </w:r>
      <w:r>
        <w:rPr>
          <w:rFonts w:ascii="Times New Roman" w:hAnsi="Times New Roman" w:cs="Times New Roman"/>
          <w:noProof/>
          <w:sz w:val="24"/>
          <w:szCs w:val="24"/>
          <w:lang w:val="en-IE"/>
        </w:rPr>
        <w:t>(</w:t>
      </w:r>
      <w:r w:rsidR="0002354B">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79 billion out of </w:t>
      </w:r>
      <w:r w:rsidR="009C2B1F">
        <w:rPr>
          <w:rFonts w:ascii="Times New Roman" w:hAnsi="Times New Roman" w:cs="Times New Roman"/>
          <w:noProof/>
          <w:sz w:val="24"/>
          <w:szCs w:val="24"/>
          <w:lang w:val="en-IE"/>
        </w:rPr>
        <w:t xml:space="preserve">the total </w:t>
      </w:r>
      <w:r w:rsidR="0002354B">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81 billion in 2020) belongs to the </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consistent</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category (the remaining </w:t>
      </w:r>
      <w:r w:rsidR="0002354B">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2 billion of subsid</w:t>
      </w:r>
      <w:r w:rsidR="0002354B">
        <w:rPr>
          <w:rFonts w:ascii="Times New Roman" w:hAnsi="Times New Roman" w:cs="Times New Roman"/>
          <w:noProof/>
          <w:sz w:val="24"/>
          <w:szCs w:val="24"/>
          <w:lang w:val="en-IE"/>
        </w:rPr>
        <w:t>ies</w:t>
      </w:r>
      <w:r>
        <w:rPr>
          <w:rFonts w:ascii="Times New Roman" w:hAnsi="Times New Roman" w:cs="Times New Roman"/>
          <w:noProof/>
          <w:sz w:val="24"/>
          <w:szCs w:val="24"/>
          <w:lang w:val="en-IE"/>
        </w:rPr>
        <w:t xml:space="preserve"> is distributed among non-consistent and not applicable categories, covering mainly tax or surcharge reductions on renewable electricity </w:t>
      </w:r>
      <w:r w:rsidR="009C2B1F">
        <w:rPr>
          <w:rFonts w:ascii="Times New Roman" w:hAnsi="Times New Roman" w:cs="Times New Roman"/>
          <w:noProof/>
          <w:sz w:val="24"/>
          <w:szCs w:val="24"/>
          <w:lang w:val="en-IE"/>
        </w:rPr>
        <w:t>for</w:t>
      </w:r>
      <w:r>
        <w:rPr>
          <w:rFonts w:ascii="Times New Roman" w:hAnsi="Times New Roman" w:cs="Times New Roman"/>
          <w:noProof/>
          <w:sz w:val="24"/>
          <w:szCs w:val="24"/>
          <w:lang w:val="en-IE"/>
        </w:rPr>
        <w:t xml:space="preserve"> some industries). In contrast, most of the fossil</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fuel subsidies are classified under </w:t>
      </w:r>
      <w:r w:rsidR="0002354B">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‘not consistent’ category</w:t>
      </w:r>
      <w:r w:rsidR="0002354B">
        <w:rPr>
          <w:rFonts w:ascii="Times New Roman" w:hAnsi="Times New Roman" w:cs="Times New Roman"/>
          <w:noProof/>
          <w:sz w:val="24"/>
          <w:szCs w:val="24"/>
          <w:lang w:val="en-IE"/>
        </w:rPr>
        <w:t>. In the two other categories</w:t>
      </w:r>
      <w:r>
        <w:rPr>
          <w:rFonts w:ascii="Times New Roman" w:hAnsi="Times New Roman" w:cs="Times New Roman"/>
          <w:noProof/>
          <w:sz w:val="24"/>
          <w:szCs w:val="24"/>
          <w:lang w:val="en-IE"/>
        </w:rPr>
        <w:t xml:space="preserve">, </w:t>
      </w:r>
      <w:r w:rsidR="0002354B">
        <w:rPr>
          <w:rFonts w:ascii="Times New Roman" w:hAnsi="Times New Roman" w:cs="Times New Roman"/>
          <w:noProof/>
          <w:sz w:val="24"/>
          <w:szCs w:val="24"/>
          <w:lang w:val="en-IE"/>
        </w:rPr>
        <w:t>(‘</w:t>
      </w:r>
      <w:r w:rsidR="0002354B" w:rsidRPr="001F50D8">
        <w:rPr>
          <w:rFonts w:ascii="Times New Roman" w:hAnsi="Times New Roman" w:cs="Times New Roman"/>
          <w:noProof/>
          <w:sz w:val="24"/>
          <w:szCs w:val="24"/>
          <w:lang w:val="en-IE"/>
        </w:rPr>
        <w:t>not consistent – transitional</w:t>
      </w:r>
      <w:r w:rsidR="0002354B">
        <w:rPr>
          <w:rFonts w:ascii="Times New Roman" w:hAnsi="Times New Roman" w:cs="Times New Roman"/>
          <w:noProof/>
          <w:sz w:val="24"/>
          <w:szCs w:val="24"/>
          <w:lang w:val="en-IE"/>
        </w:rPr>
        <w:t>’ and ‘not applicable</w:t>
      </w:r>
      <w:r w:rsidR="00A131BE">
        <w:rPr>
          <w:rFonts w:ascii="Times New Roman" w:hAnsi="Times New Roman" w:cs="Times New Roman"/>
          <w:noProof/>
          <w:sz w:val="24"/>
          <w:szCs w:val="24"/>
          <w:lang w:val="en-IE"/>
        </w:rPr>
        <w:t>’</w:t>
      </w:r>
      <w:r w:rsidR="0002354B">
        <w:rPr>
          <w:rFonts w:ascii="Times New Roman" w:hAnsi="Times New Roman" w:cs="Times New Roman"/>
          <w:noProof/>
          <w:sz w:val="24"/>
          <w:szCs w:val="24"/>
          <w:lang w:val="en-IE"/>
        </w:rPr>
        <w:t xml:space="preserve">) </w:t>
      </w:r>
      <w:r>
        <w:rPr>
          <w:rFonts w:ascii="Times New Roman" w:hAnsi="Times New Roman" w:cs="Times New Roman"/>
          <w:noProof/>
          <w:sz w:val="24"/>
          <w:szCs w:val="24"/>
          <w:lang w:val="en-IE"/>
        </w:rPr>
        <w:t>we can find</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1056F9">
        <w:rPr>
          <w:rFonts w:ascii="Times New Roman" w:hAnsi="Times New Roman" w:cs="Times New Roman"/>
          <w:noProof/>
          <w:sz w:val="24"/>
          <w:szCs w:val="24"/>
          <w:lang w:val="en-IE"/>
        </w:rPr>
        <w:t>for example</w:t>
      </w:r>
      <w:r w:rsidR="0002354B">
        <w:rPr>
          <w:rFonts w:ascii="Times New Roman" w:hAnsi="Times New Roman" w:cs="Times New Roman"/>
          <w:noProof/>
          <w:sz w:val="24"/>
          <w:szCs w:val="24"/>
          <w:lang w:val="en-IE"/>
        </w:rPr>
        <w:t>, subsidies for</w:t>
      </w:r>
      <w:r>
        <w:rPr>
          <w:rFonts w:ascii="Times New Roman" w:hAnsi="Times New Roman" w:cs="Times New Roman"/>
          <w:noProof/>
          <w:sz w:val="24"/>
          <w:szCs w:val="24"/>
          <w:lang w:val="en-IE"/>
        </w:rPr>
        <w:t xml:space="preserve"> coal</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mine restructuring and benefits for </w:t>
      </w:r>
      <w:r w:rsidR="0002354B">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 xml:space="preserve">social transition of </w:t>
      </w:r>
      <w:r w:rsidR="0002354B">
        <w:rPr>
          <w:rFonts w:ascii="Times New Roman" w:hAnsi="Times New Roman" w:cs="Times New Roman"/>
          <w:noProof/>
          <w:sz w:val="24"/>
          <w:szCs w:val="24"/>
          <w:lang w:val="en-IE"/>
        </w:rPr>
        <w:t xml:space="preserve">people </w:t>
      </w:r>
      <w:r>
        <w:rPr>
          <w:rFonts w:ascii="Times New Roman" w:hAnsi="Times New Roman" w:cs="Times New Roman"/>
          <w:noProof/>
          <w:sz w:val="24"/>
          <w:szCs w:val="24"/>
          <w:lang w:val="en-IE"/>
        </w:rPr>
        <w:t>employed in the</w:t>
      </w:r>
      <w:r w:rsidR="001056F9">
        <w:rPr>
          <w:rFonts w:ascii="Times New Roman" w:hAnsi="Times New Roman" w:cs="Times New Roman"/>
          <w:noProof/>
          <w:sz w:val="24"/>
          <w:szCs w:val="24"/>
          <w:lang w:val="en-IE"/>
        </w:rPr>
        <w:t xml:space="preserve"> mining</w:t>
      </w:r>
      <w:r>
        <w:rPr>
          <w:rFonts w:ascii="Times New Roman" w:hAnsi="Times New Roman" w:cs="Times New Roman"/>
          <w:noProof/>
          <w:sz w:val="24"/>
          <w:szCs w:val="24"/>
          <w:lang w:val="en-IE"/>
        </w:rPr>
        <w:t xml:space="preserve"> sector</w:t>
      </w:r>
      <w:r w:rsidR="0002354B">
        <w:rPr>
          <w:rFonts w:ascii="Times New Roman" w:hAnsi="Times New Roman" w:cs="Times New Roman"/>
          <w:noProof/>
          <w:sz w:val="24"/>
          <w:szCs w:val="24"/>
          <w:lang w:val="en-IE"/>
        </w:rPr>
        <w:t>. These two other categories</w:t>
      </w:r>
      <w:r w:rsidR="001A0174">
        <w:rPr>
          <w:rFonts w:ascii="Times New Roman" w:hAnsi="Times New Roman" w:cs="Times New Roman"/>
          <w:noProof/>
          <w:sz w:val="24"/>
          <w:szCs w:val="24"/>
          <w:lang w:val="en-IE"/>
        </w:rPr>
        <w:t xml:space="preserve"> </w:t>
      </w:r>
      <w:r w:rsidR="0002354B">
        <w:rPr>
          <w:rFonts w:ascii="Times New Roman" w:hAnsi="Times New Roman" w:cs="Times New Roman"/>
          <w:noProof/>
          <w:sz w:val="24"/>
          <w:szCs w:val="24"/>
          <w:lang w:val="en-IE"/>
        </w:rPr>
        <w:t xml:space="preserve">accounted for EUR </w:t>
      </w:r>
      <w:r>
        <w:rPr>
          <w:rFonts w:ascii="Times New Roman" w:hAnsi="Times New Roman" w:cs="Times New Roman"/>
          <w:noProof/>
          <w:sz w:val="24"/>
          <w:szCs w:val="24"/>
          <w:lang w:val="en-IE"/>
        </w:rPr>
        <w:t xml:space="preserve">2.8 billion of the total </w:t>
      </w:r>
      <w:r w:rsidR="0002354B">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50 billion </w:t>
      </w:r>
      <w:r w:rsidR="0002354B">
        <w:rPr>
          <w:rFonts w:ascii="Times New Roman" w:hAnsi="Times New Roman" w:cs="Times New Roman"/>
          <w:noProof/>
          <w:sz w:val="24"/>
          <w:szCs w:val="24"/>
          <w:lang w:val="en-IE"/>
        </w:rPr>
        <w:t xml:space="preserve">in </w:t>
      </w:r>
      <w:r>
        <w:rPr>
          <w:rFonts w:ascii="Times New Roman" w:hAnsi="Times New Roman" w:cs="Times New Roman"/>
          <w:noProof/>
          <w:sz w:val="24"/>
          <w:szCs w:val="24"/>
          <w:lang w:val="en-IE"/>
        </w:rPr>
        <w:t>fossil</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fuel subsid</w:t>
      </w:r>
      <w:r w:rsidR="001A0174">
        <w:rPr>
          <w:rFonts w:ascii="Times New Roman" w:hAnsi="Times New Roman" w:cs="Times New Roman"/>
          <w:noProof/>
          <w:sz w:val="24"/>
          <w:szCs w:val="24"/>
          <w:lang w:val="en-IE"/>
        </w:rPr>
        <w:t>ies</w:t>
      </w:r>
      <w:r>
        <w:rPr>
          <w:rFonts w:ascii="Times New Roman" w:hAnsi="Times New Roman" w:cs="Times New Roman"/>
          <w:noProof/>
          <w:sz w:val="24"/>
          <w:szCs w:val="24"/>
          <w:lang w:val="en-IE"/>
        </w:rPr>
        <w:t xml:space="preserve"> in 2020. In the ‘All energies’ category, around 63% of the total amount of </w:t>
      </w:r>
      <w:r w:rsidR="0002354B">
        <w:rPr>
          <w:rFonts w:ascii="Times New Roman" w:hAnsi="Times New Roman" w:cs="Times New Roman"/>
          <w:noProof/>
          <w:sz w:val="24"/>
          <w:szCs w:val="24"/>
          <w:lang w:val="en-IE"/>
        </w:rPr>
        <w:t xml:space="preserve">EUR </w:t>
      </w:r>
      <w:r>
        <w:rPr>
          <w:rFonts w:ascii="Times New Roman" w:hAnsi="Times New Roman" w:cs="Times New Roman"/>
          <w:noProof/>
          <w:sz w:val="24"/>
          <w:szCs w:val="24"/>
          <w:lang w:val="en-IE"/>
        </w:rPr>
        <w:t xml:space="preserve">26 billion </w:t>
      </w:r>
      <w:r w:rsidR="0002354B">
        <w:rPr>
          <w:rFonts w:ascii="Times New Roman" w:hAnsi="Times New Roman" w:cs="Times New Roman"/>
          <w:noProof/>
          <w:sz w:val="24"/>
          <w:szCs w:val="24"/>
          <w:lang w:val="en-IE"/>
        </w:rPr>
        <w:t xml:space="preserve">in subsidies </w:t>
      </w:r>
      <w:r>
        <w:rPr>
          <w:rFonts w:ascii="Times New Roman" w:hAnsi="Times New Roman" w:cs="Times New Roman"/>
          <w:noProof/>
          <w:sz w:val="24"/>
          <w:szCs w:val="24"/>
          <w:lang w:val="en-IE"/>
        </w:rPr>
        <w:t xml:space="preserve">fell </w:t>
      </w:r>
      <w:r w:rsidR="009C2B1F">
        <w:rPr>
          <w:rFonts w:ascii="Times New Roman" w:hAnsi="Times New Roman" w:cs="Times New Roman"/>
          <w:noProof/>
          <w:sz w:val="24"/>
          <w:szCs w:val="24"/>
          <w:lang w:val="en-IE"/>
        </w:rPr>
        <w:t>under</w:t>
      </w:r>
      <w:r>
        <w:rPr>
          <w:rFonts w:ascii="Times New Roman" w:hAnsi="Times New Roman" w:cs="Times New Roman"/>
          <w:noProof/>
          <w:sz w:val="24"/>
          <w:szCs w:val="24"/>
          <w:lang w:val="en-IE"/>
        </w:rPr>
        <w:t xml:space="preserve"> the </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consistent</w:t>
      </w:r>
      <w:r w:rsidR="0002354B">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category</w:t>
      </w:r>
      <w:r w:rsidR="009C2B1F">
        <w:rPr>
          <w:rFonts w:ascii="Times New Roman" w:hAnsi="Times New Roman" w:cs="Times New Roman"/>
          <w:noProof/>
          <w:sz w:val="24"/>
          <w:szCs w:val="24"/>
          <w:lang w:val="en-IE"/>
        </w:rPr>
        <w:t xml:space="preserve"> in 2020</w:t>
      </w:r>
      <w:r>
        <w:rPr>
          <w:rFonts w:ascii="Times New Roman" w:hAnsi="Times New Roman" w:cs="Times New Roman"/>
          <w:noProof/>
          <w:sz w:val="24"/>
          <w:szCs w:val="24"/>
          <w:lang w:val="en-IE"/>
        </w:rPr>
        <w:t>, while other measures (e.g. tax reduction</w:t>
      </w:r>
      <w:r w:rsidR="0002354B">
        <w:rPr>
          <w:rFonts w:ascii="Times New Roman" w:hAnsi="Times New Roman" w:cs="Times New Roman"/>
          <w:noProof/>
          <w:sz w:val="24"/>
          <w:szCs w:val="24"/>
          <w:lang w:val="en-IE"/>
        </w:rPr>
        <w:t>s</w:t>
      </w:r>
      <w:r>
        <w:rPr>
          <w:rFonts w:ascii="Times New Roman" w:hAnsi="Times New Roman" w:cs="Times New Roman"/>
          <w:noProof/>
          <w:sz w:val="24"/>
          <w:szCs w:val="24"/>
          <w:lang w:val="en-IE"/>
        </w:rPr>
        <w:t xml:space="preserve"> on energy and grants for certain activities and investments</w:t>
      </w:r>
      <w:r w:rsidR="009C2B1F">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were in the other three </w:t>
      </w:r>
      <w:r w:rsidR="001A0174">
        <w:rPr>
          <w:rFonts w:ascii="Times New Roman" w:hAnsi="Times New Roman" w:cs="Times New Roman"/>
          <w:noProof/>
          <w:sz w:val="24"/>
          <w:szCs w:val="24"/>
          <w:lang w:val="en-IE"/>
        </w:rPr>
        <w:t>categories</w:t>
      </w:r>
      <w:r>
        <w:rPr>
          <w:rFonts w:ascii="Times New Roman" w:hAnsi="Times New Roman" w:cs="Times New Roman"/>
          <w:noProof/>
          <w:sz w:val="24"/>
          <w:szCs w:val="24"/>
          <w:lang w:val="en-IE"/>
        </w:rPr>
        <w:t xml:space="preserve">. For both electricity and nuclear generation, the vast majority </w:t>
      </w:r>
      <w:r w:rsidR="0002354B">
        <w:rPr>
          <w:rFonts w:ascii="Times New Roman" w:hAnsi="Times New Roman" w:cs="Times New Roman"/>
          <w:noProof/>
          <w:sz w:val="24"/>
          <w:szCs w:val="24"/>
          <w:lang w:val="en-IE"/>
        </w:rPr>
        <w:t xml:space="preserve">of subsidies </w:t>
      </w:r>
      <w:r>
        <w:rPr>
          <w:rFonts w:ascii="Times New Roman" w:hAnsi="Times New Roman" w:cs="Times New Roman"/>
          <w:noProof/>
          <w:sz w:val="24"/>
          <w:szCs w:val="24"/>
          <w:lang w:val="en-IE"/>
        </w:rPr>
        <w:t xml:space="preserve">(more than 80%) fell into the </w:t>
      </w:r>
      <w:r w:rsidR="001A0174">
        <w:rPr>
          <w:rFonts w:ascii="Times New Roman" w:hAnsi="Times New Roman" w:cs="Times New Roman"/>
          <w:noProof/>
          <w:sz w:val="24"/>
          <w:szCs w:val="24"/>
          <w:lang w:val="en-IE"/>
        </w:rPr>
        <w:t>‘not consistent-</w:t>
      </w:r>
      <w:r>
        <w:rPr>
          <w:rFonts w:ascii="Times New Roman" w:hAnsi="Times New Roman" w:cs="Times New Roman"/>
          <w:noProof/>
          <w:sz w:val="24"/>
          <w:szCs w:val="24"/>
          <w:lang w:val="en-IE"/>
        </w:rPr>
        <w:t>transitional</w:t>
      </w:r>
      <w:r w:rsidR="001A017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category in 2020.</w:t>
      </w:r>
    </w:p>
    <w:p w14:paraId="09116A14" w14:textId="52C5D4AA" w:rsidR="008236A3" w:rsidRPr="008236A3" w:rsidRDefault="008236A3" w:rsidP="008236A3">
      <w:pPr>
        <w:pStyle w:val="Caption"/>
        <w:keepNext/>
        <w:jc w:val="both"/>
        <w:rPr>
          <w:rFonts w:ascii="Times New Roman" w:hAnsi="Times New Roman" w:cs="Times New Roman"/>
          <w:b/>
          <w:i w:val="0"/>
          <w:noProof/>
          <w:color w:val="auto"/>
          <w:sz w:val="20"/>
          <w:szCs w:val="20"/>
          <w:lang w:val="en-US"/>
        </w:rPr>
      </w:pPr>
      <w:r w:rsidRPr="008236A3">
        <w:rPr>
          <w:rFonts w:ascii="Times New Roman" w:hAnsi="Times New Roman" w:cs="Times New Roman"/>
          <w:b/>
          <w:i w:val="0"/>
          <w:noProof/>
          <w:color w:val="auto"/>
          <w:sz w:val="20"/>
          <w:szCs w:val="20"/>
          <w:lang w:val="en-US"/>
        </w:rPr>
        <w:t xml:space="preserve">Figure </w:t>
      </w:r>
      <w:r w:rsidRPr="008236A3">
        <w:rPr>
          <w:rFonts w:ascii="Times New Roman" w:hAnsi="Times New Roman" w:cs="Times New Roman"/>
          <w:b/>
          <w:i w:val="0"/>
          <w:noProof/>
          <w:color w:val="auto"/>
          <w:sz w:val="20"/>
          <w:szCs w:val="20"/>
        </w:rPr>
        <w:fldChar w:fldCharType="begin"/>
      </w:r>
      <w:r w:rsidRPr="008236A3">
        <w:rPr>
          <w:rFonts w:ascii="Times New Roman" w:hAnsi="Times New Roman" w:cs="Times New Roman"/>
          <w:b/>
          <w:i w:val="0"/>
          <w:noProof/>
          <w:color w:val="auto"/>
          <w:sz w:val="20"/>
          <w:szCs w:val="20"/>
          <w:lang w:val="en-US"/>
        </w:rPr>
        <w:instrText xml:space="preserve"> SEQ Figure \* ARABIC </w:instrText>
      </w:r>
      <w:r w:rsidRPr="008236A3">
        <w:rPr>
          <w:rFonts w:ascii="Times New Roman" w:hAnsi="Times New Roman" w:cs="Times New Roman"/>
          <w:b/>
          <w:i w:val="0"/>
          <w:noProof/>
          <w:color w:val="auto"/>
          <w:sz w:val="20"/>
          <w:szCs w:val="20"/>
        </w:rPr>
        <w:fldChar w:fldCharType="separate"/>
      </w:r>
      <w:r w:rsidRPr="008236A3">
        <w:rPr>
          <w:rFonts w:ascii="Times New Roman" w:hAnsi="Times New Roman" w:cs="Times New Roman"/>
          <w:b/>
          <w:i w:val="0"/>
          <w:noProof/>
          <w:color w:val="auto"/>
          <w:sz w:val="20"/>
          <w:szCs w:val="20"/>
          <w:lang w:val="en-US"/>
        </w:rPr>
        <w:t>9</w:t>
      </w:r>
      <w:r w:rsidRPr="008236A3">
        <w:rPr>
          <w:rFonts w:ascii="Times New Roman" w:hAnsi="Times New Roman" w:cs="Times New Roman"/>
          <w:b/>
          <w:i w:val="0"/>
          <w:noProof/>
          <w:color w:val="auto"/>
          <w:sz w:val="20"/>
          <w:szCs w:val="20"/>
        </w:rPr>
        <w:fldChar w:fldCharType="end"/>
      </w:r>
      <w:r w:rsidRPr="008236A3">
        <w:rPr>
          <w:rFonts w:ascii="Times New Roman" w:hAnsi="Times New Roman" w:cs="Times New Roman"/>
          <w:b/>
          <w:i w:val="0"/>
          <w:noProof/>
          <w:color w:val="auto"/>
          <w:sz w:val="20"/>
          <w:szCs w:val="20"/>
          <w:lang w:val="en-US"/>
        </w:rPr>
        <w:t xml:space="preserve"> – Classification of subsidies relating to consistency with taxonomy classification in 2020</w:t>
      </w:r>
    </w:p>
    <w:p w14:paraId="07DD0CF5" w14:textId="5F68A702" w:rsidR="008236A3" w:rsidRPr="002F6368" w:rsidRDefault="008236A3" w:rsidP="008236A3">
      <w:pPr>
        <w:spacing w:before="120" w:after="0"/>
        <w:jc w:val="both"/>
        <w:rPr>
          <w:rFonts w:ascii="Times New Roman" w:hAnsi="Times New Roman" w:cs="Times New Roman"/>
          <w:noProof/>
          <w:sz w:val="24"/>
          <w:szCs w:val="24"/>
          <w:lang w:val="hu-HU"/>
        </w:rPr>
      </w:pPr>
      <w:r w:rsidRPr="008236A3">
        <w:rPr>
          <w:rFonts w:ascii="Times New Roman" w:hAnsi="Times New Roman" w:cs="Times New Roman"/>
          <w:noProof/>
          <w:sz w:val="24"/>
          <w:szCs w:val="24"/>
          <w:lang w:val="en-GB" w:eastAsia="en-GB"/>
        </w:rPr>
        <w:drawing>
          <wp:inline distT="0" distB="0" distL="0" distR="0" wp14:anchorId="4CDBD0AA" wp14:editId="339D94C6">
            <wp:extent cx="5358765" cy="2059387"/>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91561" cy="2071991"/>
                    </a:xfrm>
                    <a:prstGeom prst="rect">
                      <a:avLst/>
                    </a:prstGeom>
                  </pic:spPr>
                </pic:pic>
              </a:graphicData>
            </a:graphic>
          </wp:inline>
        </w:drawing>
      </w:r>
    </w:p>
    <w:p w14:paraId="207E7749" w14:textId="51D9E1AF" w:rsidR="008236A3" w:rsidRDefault="008236A3" w:rsidP="008236A3">
      <w:pPr>
        <w:rPr>
          <w:rFonts w:ascii="Times New Roman" w:hAnsi="Times New Roman" w:cs="Times New Roman"/>
          <w:noProof/>
          <w:sz w:val="18"/>
          <w:szCs w:val="18"/>
          <w:lang w:val="en-IE"/>
        </w:rPr>
      </w:pPr>
      <w:r w:rsidRPr="0021742F">
        <w:rPr>
          <w:rFonts w:ascii="Times New Roman" w:hAnsi="Times New Roman" w:cs="Times New Roman"/>
          <w:noProof/>
          <w:sz w:val="18"/>
          <w:szCs w:val="18"/>
          <w:lang w:val="en-IE"/>
        </w:rPr>
        <w:t xml:space="preserve">Source: </w:t>
      </w:r>
      <w:r w:rsidRPr="008236A3">
        <w:rPr>
          <w:rFonts w:ascii="Times New Roman" w:hAnsi="Times New Roman" w:cs="Times New Roman"/>
          <w:noProof/>
          <w:sz w:val="18"/>
          <w:szCs w:val="18"/>
          <w:lang w:val="en-IE"/>
        </w:rPr>
        <w:t>Study on energy subsidies and other government interventions in the European Union – 2022 edition</w:t>
      </w:r>
    </w:p>
    <w:p w14:paraId="714742C2" w14:textId="77777777" w:rsidR="00DD0BD7" w:rsidRPr="00AA21F9" w:rsidRDefault="0021742F" w:rsidP="00656B7F">
      <w:pPr>
        <w:pStyle w:val="Heading1"/>
        <w:rPr>
          <w:noProof/>
        </w:rPr>
      </w:pPr>
      <w:r w:rsidRPr="00AA21F9">
        <w:rPr>
          <w:noProof/>
        </w:rPr>
        <w:t>Conclusion</w:t>
      </w:r>
      <w:r w:rsidR="005B0B33" w:rsidRPr="00AA21F9">
        <w:rPr>
          <w:noProof/>
        </w:rPr>
        <w:t>s</w:t>
      </w:r>
    </w:p>
    <w:p w14:paraId="3E0CA7C6" w14:textId="5652D6AA" w:rsidR="00A92DA4" w:rsidRDefault="002F6368" w:rsidP="00825BA7">
      <w:pPr>
        <w:spacing w:before="24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Recent geopolitical developments and elevated energy prices have called for new policy initiatives </w:t>
      </w:r>
      <w:r w:rsidR="007E61C6">
        <w:rPr>
          <w:rFonts w:ascii="Times New Roman" w:hAnsi="Times New Roman" w:cs="Times New Roman"/>
          <w:noProof/>
          <w:sz w:val="24"/>
          <w:szCs w:val="24"/>
          <w:lang w:val="en-IE"/>
        </w:rPr>
        <w:t xml:space="preserve">in </w:t>
      </w:r>
      <w:r>
        <w:rPr>
          <w:rFonts w:ascii="Times New Roman" w:hAnsi="Times New Roman" w:cs="Times New Roman"/>
          <w:noProof/>
          <w:sz w:val="24"/>
          <w:szCs w:val="24"/>
          <w:lang w:val="en-IE"/>
        </w:rPr>
        <w:t>the European Union</w:t>
      </w:r>
      <w:r w:rsidR="006810C4">
        <w:rPr>
          <w:rFonts w:ascii="Times New Roman" w:hAnsi="Times New Roman" w:cs="Times New Roman"/>
          <w:noProof/>
          <w:sz w:val="24"/>
          <w:szCs w:val="24"/>
          <w:lang w:val="en-IE"/>
        </w:rPr>
        <w:t>. These new initiatives</w:t>
      </w:r>
      <w:r>
        <w:rPr>
          <w:rFonts w:ascii="Times New Roman" w:hAnsi="Times New Roman" w:cs="Times New Roman"/>
          <w:noProof/>
          <w:sz w:val="24"/>
          <w:szCs w:val="24"/>
          <w:lang w:val="en-IE"/>
        </w:rPr>
        <w:t xml:space="preserve"> </w:t>
      </w:r>
      <w:r w:rsidR="00A509EE">
        <w:rPr>
          <w:rFonts w:ascii="Times New Roman" w:hAnsi="Times New Roman" w:cs="Times New Roman"/>
          <w:noProof/>
          <w:sz w:val="24"/>
          <w:szCs w:val="24"/>
          <w:lang w:val="en-IE"/>
        </w:rPr>
        <w:t xml:space="preserve">are </w:t>
      </w:r>
      <w:r w:rsidR="00203A02">
        <w:rPr>
          <w:rFonts w:ascii="Times New Roman" w:hAnsi="Times New Roman" w:cs="Times New Roman"/>
          <w:noProof/>
          <w:sz w:val="24"/>
          <w:szCs w:val="24"/>
          <w:lang w:val="en-IE"/>
        </w:rPr>
        <w:t>exceptional in their nature</w:t>
      </w:r>
      <w:r w:rsidR="007D1383">
        <w:rPr>
          <w:rFonts w:ascii="Times New Roman" w:hAnsi="Times New Roman" w:cs="Times New Roman"/>
          <w:noProof/>
          <w:sz w:val="24"/>
          <w:szCs w:val="24"/>
          <w:lang w:val="en-IE"/>
        </w:rPr>
        <w:t>,</w:t>
      </w:r>
      <w:r w:rsidR="00A509EE">
        <w:rPr>
          <w:rFonts w:ascii="Times New Roman" w:hAnsi="Times New Roman" w:cs="Times New Roman"/>
          <w:noProof/>
          <w:sz w:val="24"/>
          <w:szCs w:val="24"/>
          <w:lang w:val="en-IE"/>
        </w:rPr>
        <w:t xml:space="preserve"> </w:t>
      </w:r>
      <w:r w:rsidR="00137802">
        <w:rPr>
          <w:rFonts w:ascii="Times New Roman" w:hAnsi="Times New Roman" w:cs="Times New Roman"/>
          <w:noProof/>
          <w:sz w:val="24"/>
          <w:szCs w:val="24"/>
          <w:lang w:val="en-IE"/>
        </w:rPr>
        <w:t>but</w:t>
      </w:r>
      <w:r w:rsidR="007D1383">
        <w:rPr>
          <w:rFonts w:ascii="Times New Roman" w:hAnsi="Times New Roman" w:cs="Times New Roman"/>
          <w:noProof/>
          <w:sz w:val="24"/>
          <w:szCs w:val="24"/>
          <w:lang w:val="en-IE"/>
        </w:rPr>
        <w:t xml:space="preserve"> </w:t>
      </w:r>
      <w:r w:rsidR="00A509EE">
        <w:rPr>
          <w:rFonts w:ascii="Times New Roman" w:hAnsi="Times New Roman" w:cs="Times New Roman"/>
          <w:noProof/>
          <w:sz w:val="24"/>
          <w:szCs w:val="24"/>
          <w:lang w:val="en-IE"/>
        </w:rPr>
        <w:t xml:space="preserve">could </w:t>
      </w:r>
      <w:r>
        <w:rPr>
          <w:rFonts w:ascii="Times New Roman" w:hAnsi="Times New Roman" w:cs="Times New Roman"/>
          <w:noProof/>
          <w:sz w:val="24"/>
          <w:szCs w:val="24"/>
          <w:lang w:val="en-IE"/>
        </w:rPr>
        <w:t xml:space="preserve">fundamentally </w:t>
      </w:r>
      <w:r w:rsidR="0074233A">
        <w:rPr>
          <w:rFonts w:ascii="Times New Roman" w:hAnsi="Times New Roman" w:cs="Times New Roman"/>
          <w:noProof/>
          <w:sz w:val="24"/>
          <w:szCs w:val="24"/>
          <w:lang w:val="en-IE"/>
        </w:rPr>
        <w:t xml:space="preserve">impact </w:t>
      </w:r>
      <w:r>
        <w:rPr>
          <w:rFonts w:ascii="Times New Roman" w:hAnsi="Times New Roman" w:cs="Times New Roman"/>
          <w:noProof/>
          <w:sz w:val="24"/>
          <w:szCs w:val="24"/>
          <w:lang w:val="en-IE"/>
        </w:rPr>
        <w:t>the energy market</w:t>
      </w:r>
      <w:r w:rsidR="00D06CBE">
        <w:rPr>
          <w:rFonts w:ascii="Times New Roman" w:hAnsi="Times New Roman" w:cs="Times New Roman"/>
          <w:noProof/>
          <w:sz w:val="24"/>
          <w:szCs w:val="24"/>
          <w:lang w:val="en-IE"/>
        </w:rPr>
        <w:t xml:space="preserve"> and </w:t>
      </w:r>
      <w:r w:rsidR="009349DD">
        <w:rPr>
          <w:rFonts w:ascii="Times New Roman" w:hAnsi="Times New Roman" w:cs="Times New Roman"/>
          <w:noProof/>
          <w:sz w:val="24"/>
          <w:szCs w:val="24"/>
          <w:lang w:val="en-IE"/>
        </w:rPr>
        <w:t xml:space="preserve">energy </w:t>
      </w:r>
      <w:r w:rsidR="00D06CBE">
        <w:rPr>
          <w:rFonts w:ascii="Times New Roman" w:hAnsi="Times New Roman" w:cs="Times New Roman"/>
          <w:noProof/>
          <w:sz w:val="24"/>
          <w:szCs w:val="24"/>
          <w:lang w:val="en-IE"/>
        </w:rPr>
        <w:t>infrastructure</w:t>
      </w:r>
      <w:r>
        <w:rPr>
          <w:rFonts w:ascii="Times New Roman" w:hAnsi="Times New Roman" w:cs="Times New Roman"/>
          <w:noProof/>
          <w:sz w:val="24"/>
          <w:szCs w:val="24"/>
          <w:lang w:val="en-IE"/>
        </w:rPr>
        <w:t xml:space="preserve">. Less </w:t>
      </w:r>
      <w:r w:rsidR="00D06CBE">
        <w:rPr>
          <w:rFonts w:ascii="Times New Roman" w:hAnsi="Times New Roman" w:cs="Times New Roman"/>
          <w:noProof/>
          <w:sz w:val="24"/>
          <w:szCs w:val="24"/>
          <w:lang w:val="en-IE"/>
        </w:rPr>
        <w:t xml:space="preserve">energy consumption and </w:t>
      </w:r>
      <w:r w:rsidR="00A97627">
        <w:rPr>
          <w:rFonts w:ascii="Times New Roman" w:hAnsi="Times New Roman" w:cs="Times New Roman"/>
          <w:noProof/>
          <w:sz w:val="24"/>
          <w:szCs w:val="24"/>
          <w:lang w:val="en-IE"/>
        </w:rPr>
        <w:t xml:space="preserve">continuously reducing </w:t>
      </w:r>
      <w:r>
        <w:rPr>
          <w:rFonts w:ascii="Times New Roman" w:hAnsi="Times New Roman" w:cs="Times New Roman"/>
          <w:noProof/>
          <w:sz w:val="24"/>
          <w:szCs w:val="24"/>
          <w:lang w:val="en-IE"/>
        </w:rPr>
        <w:t>reliance on fossil fuels in the residential</w:t>
      </w:r>
      <w:r w:rsidR="00137802">
        <w:rPr>
          <w:rFonts w:ascii="Times New Roman" w:hAnsi="Times New Roman" w:cs="Times New Roman"/>
          <w:noProof/>
          <w:sz w:val="24"/>
          <w:szCs w:val="24"/>
          <w:lang w:val="en-IE"/>
        </w:rPr>
        <w:t>, power, transport</w:t>
      </w:r>
      <w:r>
        <w:rPr>
          <w:rFonts w:ascii="Times New Roman" w:hAnsi="Times New Roman" w:cs="Times New Roman"/>
          <w:noProof/>
          <w:sz w:val="24"/>
          <w:szCs w:val="24"/>
          <w:lang w:val="en-IE"/>
        </w:rPr>
        <w:t xml:space="preserve"> and industrial sectors will help </w:t>
      </w:r>
      <w:r w:rsidR="006810C4">
        <w:rPr>
          <w:rFonts w:ascii="Times New Roman" w:hAnsi="Times New Roman" w:cs="Times New Roman"/>
          <w:noProof/>
          <w:sz w:val="24"/>
          <w:szCs w:val="24"/>
          <w:lang w:val="en-IE"/>
        </w:rPr>
        <w:t xml:space="preserve">to reduce </w:t>
      </w:r>
      <w:r>
        <w:rPr>
          <w:rFonts w:ascii="Times New Roman" w:hAnsi="Times New Roman" w:cs="Times New Roman"/>
          <w:noProof/>
          <w:sz w:val="24"/>
          <w:szCs w:val="24"/>
          <w:lang w:val="en-IE"/>
        </w:rPr>
        <w:t>imports</w:t>
      </w:r>
      <w:r w:rsidR="006810C4">
        <w:rPr>
          <w:rFonts w:ascii="Times New Roman" w:hAnsi="Times New Roman" w:cs="Times New Roman"/>
          <w:noProof/>
          <w:sz w:val="24"/>
          <w:szCs w:val="24"/>
          <w:lang w:val="en-IE"/>
        </w:rPr>
        <w:t xml:space="preserve"> of fossil</w:t>
      </w:r>
      <w:r w:rsidR="007D1383">
        <w:rPr>
          <w:rFonts w:ascii="Times New Roman" w:hAnsi="Times New Roman" w:cs="Times New Roman"/>
          <w:noProof/>
          <w:sz w:val="24"/>
          <w:szCs w:val="24"/>
          <w:lang w:val="en-IE"/>
        </w:rPr>
        <w:t xml:space="preserve"> fuels</w:t>
      </w:r>
      <w:r>
        <w:rPr>
          <w:rFonts w:ascii="Times New Roman" w:hAnsi="Times New Roman" w:cs="Times New Roman"/>
          <w:noProof/>
          <w:sz w:val="24"/>
          <w:szCs w:val="24"/>
          <w:lang w:val="en-IE"/>
        </w:rPr>
        <w:t xml:space="preserve">, speeding up </w:t>
      </w:r>
      <w:r w:rsidR="006810C4">
        <w:rPr>
          <w:rFonts w:ascii="Times New Roman" w:hAnsi="Times New Roman" w:cs="Times New Roman"/>
          <w:noProof/>
          <w:sz w:val="24"/>
          <w:szCs w:val="24"/>
          <w:lang w:val="en-IE"/>
        </w:rPr>
        <w:t>the clean-</w:t>
      </w:r>
      <w:r w:rsidR="002D0613">
        <w:rPr>
          <w:rFonts w:ascii="Times New Roman" w:hAnsi="Times New Roman" w:cs="Times New Roman"/>
          <w:noProof/>
          <w:sz w:val="24"/>
          <w:szCs w:val="24"/>
          <w:lang w:val="en-IE"/>
        </w:rPr>
        <w:t xml:space="preserve">energy </w:t>
      </w:r>
      <w:r>
        <w:rPr>
          <w:rFonts w:ascii="Times New Roman" w:hAnsi="Times New Roman" w:cs="Times New Roman"/>
          <w:noProof/>
          <w:sz w:val="24"/>
          <w:szCs w:val="24"/>
          <w:lang w:val="en-IE"/>
        </w:rPr>
        <w:t xml:space="preserve">transition and </w:t>
      </w:r>
      <w:r w:rsidR="006810C4">
        <w:rPr>
          <w:rFonts w:ascii="Times New Roman" w:hAnsi="Times New Roman" w:cs="Times New Roman"/>
          <w:noProof/>
          <w:sz w:val="24"/>
          <w:szCs w:val="24"/>
          <w:lang w:val="en-IE"/>
        </w:rPr>
        <w:t xml:space="preserve">increasing </w:t>
      </w:r>
      <w:r>
        <w:rPr>
          <w:rFonts w:ascii="Times New Roman" w:hAnsi="Times New Roman" w:cs="Times New Roman"/>
          <w:noProof/>
          <w:sz w:val="24"/>
          <w:szCs w:val="24"/>
          <w:lang w:val="en-IE"/>
        </w:rPr>
        <w:t>security of energy supply in the EU</w:t>
      </w:r>
      <w:r w:rsidR="006810C4">
        <w:rPr>
          <w:rFonts w:ascii="Times New Roman" w:hAnsi="Times New Roman" w:cs="Times New Roman"/>
          <w:noProof/>
          <w:sz w:val="24"/>
          <w:szCs w:val="24"/>
          <w:lang w:val="en-IE"/>
        </w:rPr>
        <w:t>. This implies</w:t>
      </w:r>
      <w:r w:rsidR="005C3757" w:rsidRPr="6566A185">
        <w:rPr>
          <w:rFonts w:ascii="Times New Roman" w:hAnsi="Times New Roman" w:cs="Times New Roman"/>
          <w:noProof/>
          <w:sz w:val="24"/>
          <w:szCs w:val="24"/>
          <w:lang w:val="en-IE"/>
        </w:rPr>
        <w:t xml:space="preserve"> a reduction </w:t>
      </w:r>
      <w:r w:rsidR="006810C4">
        <w:rPr>
          <w:rFonts w:ascii="Times New Roman" w:hAnsi="Times New Roman" w:cs="Times New Roman"/>
          <w:noProof/>
          <w:sz w:val="24"/>
          <w:szCs w:val="24"/>
          <w:lang w:val="en-IE"/>
        </w:rPr>
        <w:t>in</w:t>
      </w:r>
      <w:r w:rsidR="006810C4" w:rsidRPr="6566A185">
        <w:rPr>
          <w:rFonts w:ascii="Times New Roman" w:hAnsi="Times New Roman" w:cs="Times New Roman"/>
          <w:noProof/>
          <w:sz w:val="24"/>
          <w:szCs w:val="24"/>
          <w:lang w:val="en-IE"/>
        </w:rPr>
        <w:t xml:space="preserve"> </w:t>
      </w:r>
      <w:r w:rsidR="005C3757" w:rsidRPr="6566A185">
        <w:rPr>
          <w:rFonts w:ascii="Times New Roman" w:hAnsi="Times New Roman" w:cs="Times New Roman"/>
          <w:noProof/>
          <w:sz w:val="24"/>
          <w:szCs w:val="24"/>
          <w:lang w:val="en-IE"/>
        </w:rPr>
        <w:t>associated fossil</w:t>
      </w:r>
      <w:r w:rsidR="006810C4">
        <w:rPr>
          <w:rFonts w:ascii="Times New Roman" w:hAnsi="Times New Roman" w:cs="Times New Roman"/>
          <w:noProof/>
          <w:sz w:val="24"/>
          <w:szCs w:val="24"/>
          <w:lang w:val="en-IE"/>
        </w:rPr>
        <w:t>-</w:t>
      </w:r>
      <w:r w:rsidR="005C3757" w:rsidRPr="6566A185">
        <w:rPr>
          <w:rFonts w:ascii="Times New Roman" w:hAnsi="Times New Roman" w:cs="Times New Roman"/>
          <w:noProof/>
          <w:sz w:val="24"/>
          <w:szCs w:val="24"/>
          <w:lang w:val="en-IE"/>
        </w:rPr>
        <w:t>fuel subsidies</w:t>
      </w:r>
      <w:r w:rsidR="00F0043D">
        <w:rPr>
          <w:rFonts w:ascii="Times New Roman" w:hAnsi="Times New Roman" w:cs="Times New Roman"/>
          <w:noProof/>
          <w:sz w:val="24"/>
          <w:szCs w:val="24"/>
          <w:lang w:val="en-IE"/>
        </w:rPr>
        <w:t>,</w:t>
      </w:r>
      <w:r w:rsidR="00A97627">
        <w:rPr>
          <w:rFonts w:ascii="Times New Roman" w:hAnsi="Times New Roman" w:cs="Times New Roman"/>
          <w:noProof/>
          <w:sz w:val="24"/>
          <w:szCs w:val="24"/>
          <w:lang w:val="en-IE"/>
        </w:rPr>
        <w:t xml:space="preserve"> and redirecting resources to renewables and energy efficiency remains a tool to achieving these and the EU climate policy objectives</w:t>
      </w:r>
      <w:r>
        <w:rPr>
          <w:rFonts w:ascii="Times New Roman" w:hAnsi="Times New Roman" w:cs="Times New Roman"/>
          <w:noProof/>
          <w:sz w:val="24"/>
          <w:szCs w:val="24"/>
          <w:lang w:val="en-IE"/>
        </w:rPr>
        <w:t xml:space="preserve">. A significant mid-term decrease in gas consumption will </w:t>
      </w:r>
      <w:r w:rsidR="001C745A">
        <w:rPr>
          <w:rFonts w:ascii="Times New Roman" w:hAnsi="Times New Roman" w:cs="Times New Roman"/>
          <w:noProof/>
          <w:sz w:val="24"/>
          <w:szCs w:val="24"/>
          <w:lang w:val="en-IE"/>
        </w:rPr>
        <w:t xml:space="preserve">most likely </w:t>
      </w:r>
      <w:r>
        <w:rPr>
          <w:rFonts w:ascii="Times New Roman" w:hAnsi="Times New Roman" w:cs="Times New Roman"/>
          <w:noProof/>
          <w:sz w:val="24"/>
          <w:szCs w:val="24"/>
          <w:lang w:val="en-IE"/>
        </w:rPr>
        <w:t xml:space="preserve">entail </w:t>
      </w:r>
      <w:r w:rsidR="006810C4">
        <w:rPr>
          <w:rFonts w:ascii="Times New Roman" w:hAnsi="Times New Roman" w:cs="Times New Roman"/>
          <w:noProof/>
          <w:sz w:val="24"/>
          <w:szCs w:val="24"/>
          <w:lang w:val="en-IE"/>
        </w:rPr>
        <w:t xml:space="preserve">a </w:t>
      </w:r>
      <w:r>
        <w:rPr>
          <w:rFonts w:ascii="Times New Roman" w:hAnsi="Times New Roman" w:cs="Times New Roman"/>
          <w:noProof/>
          <w:sz w:val="24"/>
          <w:szCs w:val="24"/>
          <w:lang w:val="en-IE"/>
        </w:rPr>
        <w:t>decrease in gas subsidies</w:t>
      </w:r>
      <w:r w:rsidR="006810C4">
        <w:rPr>
          <w:rFonts w:ascii="Times New Roman" w:hAnsi="Times New Roman" w:cs="Times New Roman"/>
          <w:noProof/>
          <w:sz w:val="24"/>
          <w:szCs w:val="24"/>
          <w:lang w:val="en-IE"/>
        </w:rPr>
        <w:t xml:space="preserve">. </w:t>
      </w:r>
      <w:r w:rsidR="00F0043D">
        <w:rPr>
          <w:rFonts w:ascii="Times New Roman" w:hAnsi="Times New Roman" w:cs="Times New Roman"/>
          <w:noProof/>
          <w:sz w:val="24"/>
          <w:szCs w:val="24"/>
          <w:lang w:val="en-IE"/>
        </w:rPr>
        <w:t>The</w:t>
      </w:r>
      <w:r w:rsidR="001C745A">
        <w:rPr>
          <w:rFonts w:ascii="Times New Roman" w:hAnsi="Times New Roman" w:cs="Times New Roman"/>
          <w:noProof/>
          <w:sz w:val="24"/>
          <w:szCs w:val="24"/>
          <w:lang w:val="en-IE"/>
        </w:rPr>
        <w:t xml:space="preserve"> </w:t>
      </w:r>
      <w:r w:rsidR="006810C4">
        <w:rPr>
          <w:rFonts w:ascii="Times New Roman" w:hAnsi="Times New Roman" w:cs="Times New Roman"/>
          <w:noProof/>
          <w:sz w:val="24"/>
          <w:szCs w:val="24"/>
          <w:lang w:val="en-IE"/>
        </w:rPr>
        <w:t xml:space="preserve">current </w:t>
      </w:r>
      <w:r w:rsidR="001C745A">
        <w:rPr>
          <w:rFonts w:ascii="Times New Roman" w:hAnsi="Times New Roman" w:cs="Times New Roman"/>
          <w:noProof/>
          <w:sz w:val="24"/>
          <w:szCs w:val="24"/>
          <w:lang w:val="en-IE"/>
        </w:rPr>
        <w:t>high gas prices and the expected</w:t>
      </w:r>
      <w:r>
        <w:rPr>
          <w:rFonts w:ascii="Times New Roman" w:hAnsi="Times New Roman" w:cs="Times New Roman"/>
          <w:noProof/>
          <w:sz w:val="24"/>
          <w:szCs w:val="24"/>
          <w:lang w:val="en-IE"/>
        </w:rPr>
        <w:t xml:space="preserve"> </w:t>
      </w:r>
      <w:r w:rsidR="004810FE">
        <w:rPr>
          <w:rFonts w:ascii="Times New Roman" w:hAnsi="Times New Roman" w:cs="Times New Roman"/>
          <w:noProof/>
          <w:sz w:val="24"/>
          <w:szCs w:val="24"/>
          <w:lang w:val="en-IE"/>
        </w:rPr>
        <w:t>temporary increase in</w:t>
      </w:r>
      <w:r>
        <w:rPr>
          <w:rFonts w:ascii="Times New Roman" w:hAnsi="Times New Roman" w:cs="Times New Roman"/>
          <w:noProof/>
          <w:sz w:val="24"/>
          <w:szCs w:val="24"/>
          <w:lang w:val="en-IE"/>
        </w:rPr>
        <w:t xml:space="preserve"> coal-fired generation</w:t>
      </w:r>
      <w:r w:rsidR="004810FE">
        <w:rPr>
          <w:rFonts w:ascii="Times New Roman" w:hAnsi="Times New Roman" w:cs="Times New Roman"/>
          <w:noProof/>
          <w:sz w:val="24"/>
          <w:szCs w:val="24"/>
          <w:lang w:val="en-IE"/>
        </w:rPr>
        <w:t xml:space="preserve"> should not lead to substantially higher fossil</w:t>
      </w:r>
      <w:r w:rsidR="006810C4">
        <w:rPr>
          <w:rFonts w:ascii="Times New Roman" w:hAnsi="Times New Roman" w:cs="Times New Roman"/>
          <w:noProof/>
          <w:sz w:val="24"/>
          <w:szCs w:val="24"/>
          <w:lang w:val="en-IE"/>
        </w:rPr>
        <w:t>-</w:t>
      </w:r>
      <w:r w:rsidR="004810FE">
        <w:rPr>
          <w:rFonts w:ascii="Times New Roman" w:hAnsi="Times New Roman" w:cs="Times New Roman"/>
          <w:noProof/>
          <w:sz w:val="24"/>
          <w:szCs w:val="24"/>
          <w:lang w:val="en-IE"/>
        </w:rPr>
        <w:t>fuel subsidies</w:t>
      </w:r>
      <w:r>
        <w:rPr>
          <w:rFonts w:ascii="Times New Roman" w:hAnsi="Times New Roman" w:cs="Times New Roman"/>
          <w:noProof/>
          <w:sz w:val="24"/>
          <w:szCs w:val="24"/>
          <w:lang w:val="en-IE"/>
        </w:rPr>
        <w:t>.</w:t>
      </w:r>
      <w:r w:rsidR="00A92DA4">
        <w:rPr>
          <w:rFonts w:ascii="Times New Roman" w:hAnsi="Times New Roman" w:cs="Times New Roman"/>
          <w:noProof/>
          <w:sz w:val="24"/>
          <w:szCs w:val="24"/>
          <w:lang w:val="en-IE"/>
        </w:rPr>
        <w:t xml:space="preserve"> </w:t>
      </w:r>
      <w:r w:rsidR="00F0043D">
        <w:rPr>
          <w:rFonts w:ascii="Times New Roman" w:hAnsi="Times New Roman" w:cs="Times New Roman"/>
          <w:noProof/>
          <w:sz w:val="24"/>
          <w:szCs w:val="24"/>
          <w:lang w:val="en-IE"/>
        </w:rPr>
        <w:t xml:space="preserve">At the same time, in the forthcoming few years, policy considerations for affordability also need to be taken into account. </w:t>
      </w:r>
      <w:r w:rsidR="00A92DA4">
        <w:rPr>
          <w:rFonts w:ascii="Times New Roman" w:hAnsi="Times New Roman" w:cs="Times New Roman"/>
          <w:noProof/>
          <w:sz w:val="24"/>
          <w:szCs w:val="24"/>
          <w:lang w:val="en-IE"/>
        </w:rPr>
        <w:t>Coal</w:t>
      </w:r>
      <w:r w:rsidR="006810C4">
        <w:rPr>
          <w:rFonts w:ascii="Times New Roman" w:hAnsi="Times New Roman" w:cs="Times New Roman"/>
          <w:noProof/>
          <w:sz w:val="24"/>
          <w:szCs w:val="24"/>
          <w:lang w:val="en-IE"/>
        </w:rPr>
        <w:t>-</w:t>
      </w:r>
      <w:r w:rsidR="00A92DA4">
        <w:rPr>
          <w:rFonts w:ascii="Times New Roman" w:hAnsi="Times New Roman" w:cs="Times New Roman"/>
          <w:noProof/>
          <w:sz w:val="24"/>
          <w:szCs w:val="24"/>
          <w:lang w:val="en-IE"/>
        </w:rPr>
        <w:t xml:space="preserve"> and lignite</w:t>
      </w:r>
      <w:r w:rsidR="006810C4">
        <w:rPr>
          <w:rFonts w:ascii="Times New Roman" w:hAnsi="Times New Roman" w:cs="Times New Roman"/>
          <w:noProof/>
          <w:sz w:val="24"/>
          <w:szCs w:val="24"/>
          <w:lang w:val="en-IE"/>
        </w:rPr>
        <w:t>-</w:t>
      </w:r>
      <w:r w:rsidR="00A92DA4">
        <w:rPr>
          <w:rFonts w:ascii="Times New Roman" w:hAnsi="Times New Roman" w:cs="Times New Roman"/>
          <w:noProof/>
          <w:sz w:val="24"/>
          <w:szCs w:val="24"/>
          <w:lang w:val="en-IE"/>
        </w:rPr>
        <w:t xml:space="preserve">fired </w:t>
      </w:r>
      <w:r w:rsidR="006810C4">
        <w:rPr>
          <w:rFonts w:ascii="Times New Roman" w:hAnsi="Times New Roman" w:cs="Times New Roman"/>
          <w:noProof/>
          <w:sz w:val="24"/>
          <w:szCs w:val="24"/>
          <w:lang w:val="en-IE"/>
        </w:rPr>
        <w:t>electricity-</w:t>
      </w:r>
      <w:r w:rsidR="00A92DA4">
        <w:rPr>
          <w:rFonts w:ascii="Times New Roman" w:hAnsi="Times New Roman" w:cs="Times New Roman"/>
          <w:noProof/>
          <w:sz w:val="24"/>
          <w:szCs w:val="24"/>
          <w:lang w:val="en-IE"/>
        </w:rPr>
        <w:t>generation capacit</w:t>
      </w:r>
      <w:r w:rsidR="006810C4">
        <w:rPr>
          <w:rFonts w:ascii="Times New Roman" w:hAnsi="Times New Roman" w:cs="Times New Roman"/>
          <w:noProof/>
          <w:sz w:val="24"/>
          <w:szCs w:val="24"/>
          <w:lang w:val="en-IE"/>
        </w:rPr>
        <w:t>y –</w:t>
      </w:r>
      <w:r w:rsidR="00A92DA4">
        <w:rPr>
          <w:rFonts w:ascii="Times New Roman" w:hAnsi="Times New Roman" w:cs="Times New Roman"/>
          <w:noProof/>
          <w:sz w:val="24"/>
          <w:szCs w:val="24"/>
          <w:lang w:val="en-IE"/>
        </w:rPr>
        <w:t xml:space="preserve"> as well as some nuclear plants </w:t>
      </w:r>
      <w:r w:rsidR="006810C4">
        <w:rPr>
          <w:rFonts w:ascii="Times New Roman" w:hAnsi="Times New Roman" w:cs="Times New Roman"/>
          <w:noProof/>
          <w:sz w:val="24"/>
          <w:szCs w:val="24"/>
          <w:lang w:val="en-IE"/>
        </w:rPr>
        <w:t xml:space="preserve">– </w:t>
      </w:r>
      <w:r w:rsidR="00A92DA4">
        <w:rPr>
          <w:rFonts w:ascii="Times New Roman" w:hAnsi="Times New Roman" w:cs="Times New Roman"/>
          <w:noProof/>
          <w:sz w:val="24"/>
          <w:szCs w:val="24"/>
          <w:lang w:val="en-IE"/>
        </w:rPr>
        <w:t xml:space="preserve">are likely to </w:t>
      </w:r>
      <w:r w:rsidR="006810C4">
        <w:rPr>
          <w:rFonts w:ascii="Times New Roman" w:hAnsi="Times New Roman" w:cs="Times New Roman"/>
          <w:noProof/>
          <w:sz w:val="24"/>
          <w:szCs w:val="24"/>
          <w:lang w:val="en-IE"/>
        </w:rPr>
        <w:t>remain a part of</w:t>
      </w:r>
      <w:r w:rsidR="00A92DA4">
        <w:rPr>
          <w:rFonts w:ascii="Times New Roman" w:hAnsi="Times New Roman" w:cs="Times New Roman"/>
          <w:noProof/>
          <w:sz w:val="24"/>
          <w:szCs w:val="24"/>
          <w:lang w:val="en-IE"/>
        </w:rPr>
        <w:t xml:space="preserve"> electricity generation in some EU Member States</w:t>
      </w:r>
      <w:r w:rsidR="006810C4">
        <w:rPr>
          <w:rFonts w:ascii="Times New Roman" w:hAnsi="Times New Roman" w:cs="Times New Roman"/>
          <w:noProof/>
          <w:sz w:val="24"/>
          <w:szCs w:val="24"/>
          <w:lang w:val="en-IE"/>
        </w:rPr>
        <w:t xml:space="preserve"> for longer than was previously expected</w:t>
      </w:r>
      <w:r w:rsidR="00A92DA4">
        <w:rPr>
          <w:rFonts w:ascii="Times New Roman" w:hAnsi="Times New Roman" w:cs="Times New Roman"/>
          <w:noProof/>
          <w:sz w:val="24"/>
          <w:szCs w:val="24"/>
          <w:lang w:val="en-IE"/>
        </w:rPr>
        <w:t>.</w:t>
      </w:r>
    </w:p>
    <w:p w14:paraId="2AA305BD" w14:textId="406F7F49" w:rsidR="00825BA7" w:rsidRDefault="00A92DA4" w:rsidP="00976C5B">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In order to implement </w:t>
      </w:r>
      <w:r w:rsidR="00A509EE">
        <w:rPr>
          <w:rFonts w:ascii="Times New Roman" w:hAnsi="Times New Roman" w:cs="Times New Roman"/>
          <w:noProof/>
          <w:sz w:val="24"/>
          <w:szCs w:val="24"/>
          <w:lang w:val="en-IE"/>
        </w:rPr>
        <w:t xml:space="preserve">the </w:t>
      </w:r>
      <w:r w:rsidR="002D0613">
        <w:rPr>
          <w:rFonts w:ascii="Times New Roman" w:hAnsi="Times New Roman" w:cs="Times New Roman"/>
          <w:noProof/>
          <w:sz w:val="24"/>
          <w:szCs w:val="24"/>
          <w:lang w:val="en-IE"/>
        </w:rPr>
        <w:t>clean</w:t>
      </w:r>
      <w:r w:rsidR="006810C4">
        <w:rPr>
          <w:rFonts w:ascii="Times New Roman" w:hAnsi="Times New Roman" w:cs="Times New Roman"/>
          <w:noProof/>
          <w:sz w:val="24"/>
          <w:szCs w:val="24"/>
          <w:lang w:val="en-IE"/>
        </w:rPr>
        <w:t>-</w:t>
      </w:r>
      <w:r w:rsidR="002D0613">
        <w:rPr>
          <w:rFonts w:ascii="Times New Roman" w:hAnsi="Times New Roman" w:cs="Times New Roman"/>
          <w:noProof/>
          <w:sz w:val="24"/>
          <w:szCs w:val="24"/>
          <w:lang w:val="en-IE"/>
        </w:rPr>
        <w:t xml:space="preserve">energy </w:t>
      </w:r>
      <w:r>
        <w:rPr>
          <w:rFonts w:ascii="Times New Roman" w:hAnsi="Times New Roman" w:cs="Times New Roman"/>
          <w:noProof/>
          <w:sz w:val="24"/>
          <w:szCs w:val="24"/>
          <w:lang w:val="en-IE"/>
        </w:rPr>
        <w:t>transition</w:t>
      </w:r>
      <w:r w:rsidR="00A97627">
        <w:rPr>
          <w:rFonts w:ascii="Times New Roman" w:hAnsi="Times New Roman" w:cs="Times New Roman"/>
          <w:noProof/>
          <w:sz w:val="24"/>
          <w:szCs w:val="24"/>
          <w:lang w:val="en-IE"/>
        </w:rPr>
        <w:t>,</w:t>
      </w:r>
      <w:r w:rsidR="00A97627" w:rsidRPr="00A97627">
        <w:rPr>
          <w:rFonts w:ascii="Times New Roman" w:hAnsi="Times New Roman" w:cs="Times New Roman"/>
          <w:noProof/>
          <w:sz w:val="24"/>
          <w:szCs w:val="24"/>
          <w:lang w:val="en-IE"/>
        </w:rPr>
        <w:t xml:space="preserve"> </w:t>
      </w:r>
      <w:r w:rsidR="00A97627">
        <w:rPr>
          <w:rFonts w:ascii="Times New Roman" w:hAnsi="Times New Roman" w:cs="Times New Roman"/>
          <w:noProof/>
          <w:sz w:val="24"/>
          <w:szCs w:val="24"/>
          <w:lang w:val="en-IE"/>
        </w:rPr>
        <w:t>avoid lock-in and stranded assets in fossil-fuel technologies</w:t>
      </w:r>
      <w:r>
        <w:rPr>
          <w:rFonts w:ascii="Times New Roman" w:hAnsi="Times New Roman" w:cs="Times New Roman"/>
          <w:noProof/>
          <w:sz w:val="24"/>
          <w:szCs w:val="24"/>
          <w:lang w:val="en-IE"/>
        </w:rPr>
        <w:t xml:space="preserve"> and minimise </w:t>
      </w:r>
      <w:r w:rsidR="00D06CBE">
        <w:rPr>
          <w:rFonts w:ascii="Times New Roman" w:hAnsi="Times New Roman" w:cs="Times New Roman"/>
          <w:noProof/>
          <w:sz w:val="24"/>
          <w:szCs w:val="24"/>
          <w:lang w:val="en-IE"/>
        </w:rPr>
        <w:t xml:space="preserve">the </w:t>
      </w:r>
      <w:r>
        <w:rPr>
          <w:rFonts w:ascii="Times New Roman" w:hAnsi="Times New Roman" w:cs="Times New Roman"/>
          <w:noProof/>
          <w:sz w:val="24"/>
          <w:szCs w:val="24"/>
          <w:lang w:val="en-IE"/>
        </w:rPr>
        <w:t xml:space="preserve">use of fossil energy, </w:t>
      </w:r>
      <w:r w:rsidR="00947770">
        <w:rPr>
          <w:rFonts w:ascii="Times New Roman" w:hAnsi="Times New Roman" w:cs="Times New Roman"/>
          <w:noProof/>
          <w:sz w:val="24"/>
          <w:szCs w:val="24"/>
          <w:lang w:val="en-IE"/>
        </w:rPr>
        <w:t xml:space="preserve">further </w:t>
      </w:r>
      <w:r>
        <w:rPr>
          <w:rFonts w:ascii="Times New Roman" w:hAnsi="Times New Roman" w:cs="Times New Roman"/>
          <w:noProof/>
          <w:sz w:val="24"/>
          <w:szCs w:val="24"/>
          <w:lang w:val="en-IE"/>
        </w:rPr>
        <w:t>i</w:t>
      </w:r>
      <w:r w:rsidR="002F6368">
        <w:rPr>
          <w:rFonts w:ascii="Times New Roman" w:hAnsi="Times New Roman" w:cs="Times New Roman"/>
          <w:noProof/>
          <w:sz w:val="24"/>
          <w:szCs w:val="24"/>
          <w:lang w:val="en-IE"/>
        </w:rPr>
        <w:t>nvestments are needed in renewables and energy efficiency</w:t>
      </w:r>
      <w:r w:rsidR="006810C4">
        <w:rPr>
          <w:rFonts w:ascii="Times New Roman" w:hAnsi="Times New Roman" w:cs="Times New Roman"/>
          <w:noProof/>
          <w:sz w:val="24"/>
          <w:szCs w:val="24"/>
          <w:lang w:val="en-IE"/>
        </w:rPr>
        <w:t>. This</w:t>
      </w:r>
      <w:r w:rsidR="002F6368">
        <w:rPr>
          <w:rFonts w:ascii="Times New Roman" w:hAnsi="Times New Roman" w:cs="Times New Roman"/>
          <w:noProof/>
          <w:sz w:val="24"/>
          <w:szCs w:val="24"/>
          <w:lang w:val="en-IE"/>
        </w:rPr>
        <w:t xml:space="preserve"> will likely </w:t>
      </w:r>
      <w:r w:rsidR="00A97627">
        <w:rPr>
          <w:rFonts w:ascii="Times New Roman" w:hAnsi="Times New Roman" w:cs="Times New Roman"/>
          <w:noProof/>
          <w:sz w:val="24"/>
          <w:szCs w:val="24"/>
          <w:lang w:val="en-IE"/>
        </w:rPr>
        <w:t xml:space="preserve">require </w:t>
      </w:r>
      <w:r w:rsidR="002F6368">
        <w:rPr>
          <w:rFonts w:ascii="Times New Roman" w:hAnsi="Times New Roman" w:cs="Times New Roman"/>
          <w:noProof/>
          <w:sz w:val="24"/>
          <w:szCs w:val="24"/>
          <w:lang w:val="en-IE"/>
        </w:rPr>
        <w:t>shift</w:t>
      </w:r>
      <w:r w:rsidR="00A97627">
        <w:rPr>
          <w:rFonts w:ascii="Times New Roman" w:hAnsi="Times New Roman" w:cs="Times New Roman"/>
          <w:noProof/>
          <w:sz w:val="24"/>
          <w:szCs w:val="24"/>
          <w:lang w:val="en-IE"/>
        </w:rPr>
        <w:t>ing</w:t>
      </w:r>
      <w:r w:rsidR="002F6368">
        <w:rPr>
          <w:rFonts w:ascii="Times New Roman" w:hAnsi="Times New Roman" w:cs="Times New Roman"/>
          <w:noProof/>
          <w:sz w:val="24"/>
          <w:szCs w:val="24"/>
          <w:lang w:val="en-IE"/>
        </w:rPr>
        <w:t xml:space="preserve"> </w:t>
      </w:r>
      <w:r w:rsidR="00947770">
        <w:rPr>
          <w:rFonts w:ascii="Times New Roman" w:hAnsi="Times New Roman" w:cs="Times New Roman"/>
          <w:noProof/>
          <w:sz w:val="24"/>
          <w:szCs w:val="24"/>
          <w:lang w:val="en-IE"/>
        </w:rPr>
        <w:t xml:space="preserve">the focus of </w:t>
      </w:r>
      <w:r w:rsidR="002F6368">
        <w:rPr>
          <w:rFonts w:ascii="Times New Roman" w:hAnsi="Times New Roman" w:cs="Times New Roman"/>
          <w:noProof/>
          <w:sz w:val="24"/>
          <w:szCs w:val="24"/>
          <w:lang w:val="en-IE"/>
        </w:rPr>
        <w:t>energy subsid</w:t>
      </w:r>
      <w:r w:rsidR="00947770">
        <w:rPr>
          <w:rFonts w:ascii="Times New Roman" w:hAnsi="Times New Roman" w:cs="Times New Roman"/>
          <w:noProof/>
          <w:sz w:val="24"/>
          <w:szCs w:val="24"/>
          <w:lang w:val="en-IE"/>
        </w:rPr>
        <w:t>ies</w:t>
      </w:r>
      <w:r w:rsidR="006810C4">
        <w:rPr>
          <w:rFonts w:ascii="Times New Roman" w:hAnsi="Times New Roman" w:cs="Times New Roman"/>
          <w:noProof/>
          <w:sz w:val="24"/>
          <w:szCs w:val="24"/>
          <w:lang w:val="en-IE"/>
        </w:rPr>
        <w:t xml:space="preserve"> towards renewables and efficiency</w:t>
      </w:r>
      <w:r w:rsidR="00C236D9">
        <w:rPr>
          <w:rFonts w:ascii="Times New Roman" w:hAnsi="Times New Roman" w:cs="Times New Roman"/>
          <w:noProof/>
          <w:sz w:val="24"/>
          <w:szCs w:val="24"/>
          <w:lang w:val="en-IE"/>
        </w:rPr>
        <w:t>, including demand response</w:t>
      </w:r>
      <w:r w:rsidR="002F6368">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t>
      </w:r>
      <w:r w:rsidR="006810C4">
        <w:rPr>
          <w:rFonts w:ascii="Times New Roman" w:hAnsi="Times New Roman" w:cs="Times New Roman"/>
          <w:noProof/>
          <w:sz w:val="24"/>
          <w:szCs w:val="24"/>
          <w:lang w:val="en-IE"/>
        </w:rPr>
        <w:t xml:space="preserve">Newly </w:t>
      </w:r>
      <w:r w:rsidR="00D06CBE">
        <w:rPr>
          <w:rFonts w:ascii="Times New Roman" w:hAnsi="Times New Roman" w:cs="Times New Roman"/>
          <w:noProof/>
          <w:sz w:val="24"/>
          <w:szCs w:val="24"/>
          <w:lang w:val="en-IE"/>
        </w:rPr>
        <w:t xml:space="preserve">emerging </w:t>
      </w:r>
      <w:r>
        <w:rPr>
          <w:rFonts w:ascii="Times New Roman" w:hAnsi="Times New Roman" w:cs="Times New Roman"/>
          <w:noProof/>
          <w:sz w:val="24"/>
          <w:szCs w:val="24"/>
          <w:lang w:val="en-IE"/>
        </w:rPr>
        <w:t xml:space="preserve">technologies, such as </w:t>
      </w:r>
      <w:r w:rsidR="004762E2">
        <w:rPr>
          <w:rFonts w:ascii="Times New Roman" w:hAnsi="Times New Roman" w:cs="Times New Roman"/>
          <w:noProof/>
          <w:sz w:val="24"/>
          <w:szCs w:val="24"/>
          <w:lang w:val="en-IE"/>
        </w:rPr>
        <w:t xml:space="preserve">renewable </w:t>
      </w:r>
      <w:r>
        <w:rPr>
          <w:rFonts w:ascii="Times New Roman" w:hAnsi="Times New Roman" w:cs="Times New Roman"/>
          <w:noProof/>
          <w:sz w:val="24"/>
          <w:szCs w:val="24"/>
          <w:lang w:val="en-IE"/>
        </w:rPr>
        <w:t>hydrogen</w:t>
      </w:r>
      <w:r w:rsidR="006810C4">
        <w:rPr>
          <w:rFonts w:ascii="Times New Roman" w:hAnsi="Times New Roman" w:cs="Times New Roman"/>
          <w:noProof/>
          <w:sz w:val="24"/>
          <w:szCs w:val="24"/>
          <w:lang w:val="en-IE"/>
        </w:rPr>
        <w:t>,</w:t>
      </w:r>
      <w:r>
        <w:rPr>
          <w:rFonts w:ascii="Times New Roman" w:hAnsi="Times New Roman" w:cs="Times New Roman"/>
          <w:noProof/>
          <w:sz w:val="24"/>
          <w:szCs w:val="24"/>
          <w:lang w:val="en-IE"/>
        </w:rPr>
        <w:t xml:space="preserve"> will </w:t>
      </w:r>
      <w:r w:rsidR="006810C4">
        <w:rPr>
          <w:rFonts w:ascii="Times New Roman" w:hAnsi="Times New Roman" w:cs="Times New Roman"/>
          <w:noProof/>
          <w:sz w:val="24"/>
          <w:szCs w:val="24"/>
          <w:lang w:val="en-IE"/>
        </w:rPr>
        <w:t xml:space="preserve">become </w:t>
      </w:r>
      <w:r>
        <w:rPr>
          <w:rFonts w:ascii="Times New Roman" w:hAnsi="Times New Roman" w:cs="Times New Roman"/>
          <w:noProof/>
          <w:sz w:val="24"/>
          <w:szCs w:val="24"/>
          <w:lang w:val="en-IE"/>
        </w:rPr>
        <w:t>increasing</w:t>
      </w:r>
      <w:r w:rsidR="006810C4">
        <w:rPr>
          <w:rFonts w:ascii="Times New Roman" w:hAnsi="Times New Roman" w:cs="Times New Roman"/>
          <w:noProof/>
          <w:sz w:val="24"/>
          <w:szCs w:val="24"/>
          <w:lang w:val="en-IE"/>
        </w:rPr>
        <w:t>ly significant</w:t>
      </w:r>
      <w:r w:rsidR="007E61C6">
        <w:rPr>
          <w:rFonts w:ascii="Times New Roman" w:hAnsi="Times New Roman" w:cs="Times New Roman"/>
          <w:noProof/>
          <w:sz w:val="24"/>
          <w:szCs w:val="24"/>
          <w:lang w:val="en-IE"/>
        </w:rPr>
        <w:t>, implying higher subsidies</w:t>
      </w:r>
      <w:r>
        <w:rPr>
          <w:rFonts w:ascii="Times New Roman" w:hAnsi="Times New Roman" w:cs="Times New Roman"/>
          <w:noProof/>
          <w:sz w:val="24"/>
          <w:szCs w:val="24"/>
          <w:lang w:val="en-IE"/>
        </w:rPr>
        <w:t xml:space="preserve">. Energy efficiency will play </w:t>
      </w:r>
      <w:r w:rsidR="006810C4">
        <w:rPr>
          <w:rFonts w:ascii="Times New Roman" w:hAnsi="Times New Roman" w:cs="Times New Roman"/>
          <w:noProof/>
          <w:sz w:val="24"/>
          <w:szCs w:val="24"/>
          <w:lang w:val="en-IE"/>
        </w:rPr>
        <w:t xml:space="preserve">a </w:t>
      </w:r>
      <w:r>
        <w:rPr>
          <w:rFonts w:ascii="Times New Roman" w:hAnsi="Times New Roman" w:cs="Times New Roman"/>
          <w:noProof/>
          <w:sz w:val="24"/>
          <w:szCs w:val="24"/>
          <w:lang w:val="en-IE"/>
        </w:rPr>
        <w:t xml:space="preserve">key </w:t>
      </w:r>
      <w:r w:rsidR="006810C4">
        <w:rPr>
          <w:rFonts w:ascii="Times New Roman" w:hAnsi="Times New Roman" w:cs="Times New Roman"/>
          <w:noProof/>
          <w:sz w:val="24"/>
          <w:szCs w:val="24"/>
          <w:lang w:val="en-IE"/>
        </w:rPr>
        <w:t>role</w:t>
      </w:r>
      <w:r>
        <w:rPr>
          <w:rFonts w:ascii="Times New Roman" w:hAnsi="Times New Roman" w:cs="Times New Roman"/>
          <w:noProof/>
          <w:sz w:val="24"/>
          <w:szCs w:val="24"/>
          <w:lang w:val="en-IE"/>
        </w:rPr>
        <w:t xml:space="preserve"> in implementing </w:t>
      </w:r>
      <w:r w:rsidR="007E61C6">
        <w:rPr>
          <w:rFonts w:ascii="Times New Roman" w:hAnsi="Times New Roman" w:cs="Times New Roman"/>
          <w:noProof/>
          <w:sz w:val="24"/>
          <w:szCs w:val="24"/>
          <w:lang w:val="en-IE"/>
        </w:rPr>
        <w:t xml:space="preserve">the objectives of </w:t>
      </w:r>
      <w:r>
        <w:rPr>
          <w:rFonts w:ascii="Times New Roman" w:hAnsi="Times New Roman" w:cs="Times New Roman"/>
          <w:noProof/>
          <w:sz w:val="24"/>
          <w:szCs w:val="24"/>
          <w:lang w:val="en-IE"/>
        </w:rPr>
        <w:t>R</w:t>
      </w:r>
      <w:r w:rsidR="004762E2">
        <w:rPr>
          <w:rFonts w:ascii="Times New Roman" w:hAnsi="Times New Roman" w:cs="Times New Roman"/>
          <w:noProof/>
          <w:sz w:val="24"/>
          <w:szCs w:val="24"/>
          <w:lang w:val="en-IE"/>
        </w:rPr>
        <w:t>EP</w:t>
      </w:r>
      <w:r>
        <w:rPr>
          <w:rFonts w:ascii="Times New Roman" w:hAnsi="Times New Roman" w:cs="Times New Roman"/>
          <w:noProof/>
          <w:sz w:val="24"/>
          <w:szCs w:val="24"/>
          <w:lang w:val="en-IE"/>
        </w:rPr>
        <w:t>owerEU</w:t>
      </w:r>
      <w:r w:rsidR="00D06CBE">
        <w:rPr>
          <w:rFonts w:ascii="Times New Roman" w:hAnsi="Times New Roman" w:cs="Times New Roman"/>
          <w:noProof/>
          <w:sz w:val="24"/>
          <w:szCs w:val="24"/>
          <w:lang w:val="en-IE"/>
        </w:rPr>
        <w:t xml:space="preserve"> and </w:t>
      </w:r>
      <w:r w:rsidR="006810C4">
        <w:rPr>
          <w:rFonts w:ascii="Times New Roman" w:hAnsi="Times New Roman" w:cs="Times New Roman"/>
          <w:noProof/>
          <w:sz w:val="24"/>
          <w:szCs w:val="24"/>
          <w:lang w:val="en-IE"/>
        </w:rPr>
        <w:t>the ‘</w:t>
      </w:r>
      <w:r w:rsidR="00D06CBE">
        <w:rPr>
          <w:rFonts w:ascii="Times New Roman" w:hAnsi="Times New Roman" w:cs="Times New Roman"/>
          <w:noProof/>
          <w:sz w:val="24"/>
          <w:szCs w:val="24"/>
          <w:lang w:val="en-IE"/>
        </w:rPr>
        <w:t>Save gas for a safe winter</w:t>
      </w:r>
      <w:r w:rsidR="006810C4">
        <w:rPr>
          <w:rFonts w:ascii="Times New Roman" w:hAnsi="Times New Roman" w:cs="Times New Roman"/>
          <w:noProof/>
          <w:sz w:val="24"/>
          <w:szCs w:val="24"/>
          <w:lang w:val="en-IE"/>
        </w:rPr>
        <w:t xml:space="preserve">’ </w:t>
      </w:r>
      <w:r w:rsidR="00DF5924">
        <w:rPr>
          <w:rFonts w:ascii="Times New Roman" w:hAnsi="Times New Roman" w:cs="Times New Roman"/>
          <w:noProof/>
          <w:sz w:val="24"/>
          <w:szCs w:val="24"/>
          <w:lang w:val="en-IE"/>
        </w:rPr>
        <w:t>plan.</w:t>
      </w:r>
      <w:r w:rsidR="006810C4">
        <w:rPr>
          <w:rFonts w:ascii="Times New Roman" w:hAnsi="Times New Roman" w:cs="Times New Roman"/>
          <w:noProof/>
          <w:sz w:val="24"/>
          <w:szCs w:val="24"/>
          <w:lang w:val="en-IE"/>
        </w:rPr>
        <w:t xml:space="preserve"> T</w:t>
      </w:r>
      <w:r w:rsidR="00A13383">
        <w:rPr>
          <w:rFonts w:ascii="Times New Roman" w:hAnsi="Times New Roman" w:cs="Times New Roman"/>
          <w:noProof/>
          <w:sz w:val="24"/>
          <w:szCs w:val="24"/>
          <w:lang w:val="en-IE"/>
        </w:rPr>
        <w:t xml:space="preserve">he </w:t>
      </w:r>
      <w:r>
        <w:rPr>
          <w:rFonts w:ascii="Times New Roman" w:hAnsi="Times New Roman" w:cs="Times New Roman"/>
          <w:noProof/>
          <w:sz w:val="24"/>
          <w:szCs w:val="24"/>
          <w:lang w:val="en-IE"/>
        </w:rPr>
        <w:t>necess</w:t>
      </w:r>
      <w:r w:rsidR="006810C4">
        <w:rPr>
          <w:rFonts w:ascii="Times New Roman" w:hAnsi="Times New Roman" w:cs="Times New Roman"/>
          <w:noProof/>
          <w:sz w:val="24"/>
          <w:szCs w:val="24"/>
          <w:lang w:val="en-IE"/>
        </w:rPr>
        <w:t>ary</w:t>
      </w:r>
      <w:r>
        <w:rPr>
          <w:rFonts w:ascii="Times New Roman" w:hAnsi="Times New Roman" w:cs="Times New Roman"/>
          <w:noProof/>
          <w:sz w:val="24"/>
          <w:szCs w:val="24"/>
          <w:lang w:val="en-IE"/>
        </w:rPr>
        <w:t xml:space="preserve"> investments</w:t>
      </w:r>
      <w:r w:rsidR="006810C4">
        <w:rPr>
          <w:rFonts w:ascii="Times New Roman" w:hAnsi="Times New Roman" w:cs="Times New Roman"/>
          <w:noProof/>
          <w:sz w:val="24"/>
          <w:szCs w:val="24"/>
          <w:lang w:val="en-IE"/>
        </w:rPr>
        <w:t xml:space="preserve"> for these programmes</w:t>
      </w:r>
      <w:r>
        <w:rPr>
          <w:rFonts w:ascii="Times New Roman" w:hAnsi="Times New Roman" w:cs="Times New Roman"/>
          <w:noProof/>
          <w:sz w:val="24"/>
          <w:szCs w:val="24"/>
          <w:lang w:val="en-IE"/>
        </w:rPr>
        <w:t xml:space="preserve"> </w:t>
      </w:r>
      <w:r w:rsidR="007E61C6">
        <w:rPr>
          <w:rFonts w:ascii="Times New Roman" w:hAnsi="Times New Roman" w:cs="Times New Roman"/>
          <w:noProof/>
          <w:sz w:val="24"/>
          <w:szCs w:val="24"/>
          <w:lang w:val="en-IE"/>
        </w:rPr>
        <w:t xml:space="preserve">may </w:t>
      </w:r>
      <w:r>
        <w:rPr>
          <w:rFonts w:ascii="Times New Roman" w:hAnsi="Times New Roman" w:cs="Times New Roman"/>
          <w:noProof/>
          <w:sz w:val="24"/>
          <w:szCs w:val="24"/>
          <w:lang w:val="en-IE"/>
        </w:rPr>
        <w:t xml:space="preserve">imply </w:t>
      </w:r>
      <w:r w:rsidR="006810C4">
        <w:rPr>
          <w:rFonts w:ascii="Times New Roman" w:hAnsi="Times New Roman" w:cs="Times New Roman"/>
          <w:noProof/>
          <w:sz w:val="24"/>
          <w:szCs w:val="24"/>
          <w:lang w:val="en-IE"/>
        </w:rPr>
        <w:t xml:space="preserve">greater </w:t>
      </w:r>
      <w:r>
        <w:rPr>
          <w:rFonts w:ascii="Times New Roman" w:hAnsi="Times New Roman" w:cs="Times New Roman"/>
          <w:noProof/>
          <w:sz w:val="24"/>
          <w:szCs w:val="24"/>
          <w:lang w:val="en-IE"/>
        </w:rPr>
        <w:t>financial support</w:t>
      </w:r>
      <w:r w:rsidR="006810C4">
        <w:rPr>
          <w:rFonts w:ascii="Times New Roman" w:hAnsi="Times New Roman" w:cs="Times New Roman"/>
          <w:noProof/>
          <w:sz w:val="24"/>
          <w:szCs w:val="24"/>
          <w:lang w:val="en-IE"/>
        </w:rPr>
        <w:t xml:space="preserve"> for energy efficiency in the form of increased subsidies</w:t>
      </w:r>
      <w:r>
        <w:rPr>
          <w:rFonts w:ascii="Times New Roman" w:hAnsi="Times New Roman" w:cs="Times New Roman"/>
          <w:noProof/>
          <w:sz w:val="24"/>
          <w:szCs w:val="24"/>
          <w:lang w:val="en-IE"/>
        </w:rPr>
        <w:t xml:space="preserve">. </w:t>
      </w:r>
    </w:p>
    <w:p w14:paraId="089786B5" w14:textId="1D6624C2" w:rsidR="00B5738D" w:rsidRDefault="00A92DA4" w:rsidP="00976C5B">
      <w:pPr>
        <w:spacing w:before="120" w:after="120"/>
        <w:jc w:val="both"/>
        <w:rPr>
          <w:rFonts w:ascii="Times New Roman" w:hAnsi="Times New Roman" w:cs="Times New Roman"/>
          <w:noProof/>
          <w:sz w:val="24"/>
          <w:szCs w:val="24"/>
          <w:lang w:val="en-IE"/>
        </w:rPr>
      </w:pPr>
      <w:r>
        <w:rPr>
          <w:rFonts w:ascii="Times New Roman" w:hAnsi="Times New Roman" w:cs="Times New Roman"/>
          <w:noProof/>
          <w:sz w:val="24"/>
          <w:szCs w:val="24"/>
          <w:lang w:val="en-IE"/>
        </w:rPr>
        <w:t xml:space="preserve">At the same time, EU Member States have taken a number of measures </w:t>
      </w:r>
      <w:r w:rsidR="00947770">
        <w:rPr>
          <w:rFonts w:ascii="Times New Roman" w:hAnsi="Times New Roman" w:cs="Times New Roman"/>
          <w:noProof/>
          <w:sz w:val="24"/>
          <w:szCs w:val="24"/>
          <w:lang w:val="en-IE"/>
        </w:rPr>
        <w:t xml:space="preserve">to reduce </w:t>
      </w:r>
      <w:r>
        <w:rPr>
          <w:rFonts w:ascii="Times New Roman" w:hAnsi="Times New Roman" w:cs="Times New Roman"/>
          <w:noProof/>
          <w:sz w:val="24"/>
          <w:szCs w:val="24"/>
          <w:lang w:val="en-IE"/>
        </w:rPr>
        <w:t xml:space="preserve">the impact of high </w:t>
      </w:r>
      <w:r w:rsidR="0074233A">
        <w:rPr>
          <w:rFonts w:ascii="Times New Roman" w:hAnsi="Times New Roman" w:cs="Times New Roman"/>
          <w:noProof/>
          <w:sz w:val="24"/>
          <w:szCs w:val="24"/>
          <w:lang w:val="en-IE"/>
        </w:rPr>
        <w:t xml:space="preserve">retail </w:t>
      </w:r>
      <w:r w:rsidR="006810C4">
        <w:rPr>
          <w:rFonts w:ascii="Times New Roman" w:hAnsi="Times New Roman" w:cs="Times New Roman"/>
          <w:noProof/>
          <w:sz w:val="24"/>
          <w:szCs w:val="24"/>
          <w:lang w:val="en-IE"/>
        </w:rPr>
        <w:t xml:space="preserve">prices for </w:t>
      </w:r>
      <w:r>
        <w:rPr>
          <w:rFonts w:ascii="Times New Roman" w:hAnsi="Times New Roman" w:cs="Times New Roman"/>
          <w:noProof/>
          <w:sz w:val="24"/>
          <w:szCs w:val="24"/>
          <w:lang w:val="en-IE"/>
        </w:rPr>
        <w:t>energy</w:t>
      </w:r>
      <w:r w:rsidR="006810C4">
        <w:rPr>
          <w:rFonts w:ascii="Times New Roman" w:hAnsi="Times New Roman" w:cs="Times New Roman"/>
          <w:noProof/>
          <w:sz w:val="24"/>
          <w:szCs w:val="24"/>
          <w:lang w:val="en-IE"/>
        </w:rPr>
        <w:t>. These measures</w:t>
      </w:r>
      <w:r>
        <w:rPr>
          <w:rFonts w:ascii="Times New Roman" w:hAnsi="Times New Roman" w:cs="Times New Roman"/>
          <w:noProof/>
          <w:sz w:val="24"/>
          <w:szCs w:val="24"/>
          <w:lang w:val="en-IE"/>
        </w:rPr>
        <w:t xml:space="preserve"> are likely to be translated in</w:t>
      </w:r>
      <w:r w:rsidR="006810C4">
        <w:rPr>
          <w:rFonts w:ascii="Times New Roman" w:hAnsi="Times New Roman" w:cs="Times New Roman"/>
          <w:noProof/>
          <w:sz w:val="24"/>
          <w:szCs w:val="24"/>
          <w:lang w:val="en-IE"/>
        </w:rPr>
        <w:t>to</w:t>
      </w:r>
      <w:r>
        <w:rPr>
          <w:rFonts w:ascii="Times New Roman" w:hAnsi="Times New Roman" w:cs="Times New Roman"/>
          <w:noProof/>
          <w:sz w:val="24"/>
          <w:szCs w:val="24"/>
          <w:lang w:val="en-IE"/>
        </w:rPr>
        <w:t xml:space="preserve"> higher energy</w:t>
      </w:r>
      <w:r w:rsidR="006810C4">
        <w:rPr>
          <w:rFonts w:ascii="Times New Roman" w:hAnsi="Times New Roman" w:cs="Times New Roman"/>
          <w:noProof/>
          <w:sz w:val="24"/>
          <w:szCs w:val="24"/>
          <w:lang w:val="en-IE"/>
        </w:rPr>
        <w:t>-</w:t>
      </w:r>
      <w:r>
        <w:rPr>
          <w:rFonts w:ascii="Times New Roman" w:hAnsi="Times New Roman" w:cs="Times New Roman"/>
          <w:noProof/>
          <w:sz w:val="24"/>
          <w:szCs w:val="24"/>
          <w:lang w:val="en-IE"/>
        </w:rPr>
        <w:t>demand subsidies</w:t>
      </w:r>
      <w:r w:rsidR="0074233A">
        <w:rPr>
          <w:rFonts w:ascii="Times New Roman" w:hAnsi="Times New Roman" w:cs="Times New Roman"/>
          <w:noProof/>
          <w:sz w:val="24"/>
          <w:szCs w:val="24"/>
          <w:lang w:val="en-IE"/>
        </w:rPr>
        <w:t xml:space="preserve"> for households and businesses</w:t>
      </w:r>
      <w:r>
        <w:rPr>
          <w:rFonts w:ascii="Times New Roman" w:hAnsi="Times New Roman" w:cs="Times New Roman"/>
          <w:noProof/>
          <w:sz w:val="24"/>
          <w:szCs w:val="24"/>
          <w:lang w:val="en-IE"/>
        </w:rPr>
        <w:t xml:space="preserve">, at least </w:t>
      </w:r>
      <w:r w:rsidR="006810C4">
        <w:rPr>
          <w:rFonts w:ascii="Times New Roman" w:hAnsi="Times New Roman" w:cs="Times New Roman"/>
          <w:noProof/>
          <w:sz w:val="24"/>
          <w:szCs w:val="24"/>
          <w:lang w:val="en-IE"/>
        </w:rPr>
        <w:t>i</w:t>
      </w:r>
      <w:r>
        <w:rPr>
          <w:rFonts w:ascii="Times New Roman" w:hAnsi="Times New Roman" w:cs="Times New Roman"/>
          <w:noProof/>
          <w:sz w:val="24"/>
          <w:szCs w:val="24"/>
          <w:lang w:val="en-IE"/>
        </w:rPr>
        <w:t>n the short</w:t>
      </w:r>
      <w:r w:rsidR="004762E2">
        <w:rPr>
          <w:rFonts w:ascii="Times New Roman" w:hAnsi="Times New Roman" w:cs="Times New Roman"/>
          <w:noProof/>
          <w:sz w:val="24"/>
          <w:szCs w:val="24"/>
          <w:lang w:val="en-IE"/>
        </w:rPr>
        <w:t xml:space="preserve"> and medium</w:t>
      </w:r>
      <w:r>
        <w:rPr>
          <w:rFonts w:ascii="Times New Roman" w:hAnsi="Times New Roman" w:cs="Times New Roman"/>
          <w:noProof/>
          <w:sz w:val="24"/>
          <w:szCs w:val="24"/>
          <w:lang w:val="en-IE"/>
        </w:rPr>
        <w:t xml:space="preserve"> </w:t>
      </w:r>
      <w:r w:rsidR="006810C4">
        <w:rPr>
          <w:rFonts w:ascii="Times New Roman" w:hAnsi="Times New Roman" w:cs="Times New Roman"/>
          <w:noProof/>
          <w:sz w:val="24"/>
          <w:szCs w:val="24"/>
          <w:lang w:val="en-IE"/>
        </w:rPr>
        <w:t>term</w:t>
      </w:r>
      <w:r>
        <w:rPr>
          <w:rFonts w:ascii="Times New Roman" w:hAnsi="Times New Roman" w:cs="Times New Roman"/>
          <w:noProof/>
          <w:sz w:val="24"/>
          <w:szCs w:val="24"/>
          <w:lang w:val="en-IE"/>
        </w:rPr>
        <w:t>.</w:t>
      </w:r>
    </w:p>
    <w:p w14:paraId="6F7CFBCC" w14:textId="38C8B662" w:rsidR="00C0747D" w:rsidRPr="00DB3E6E" w:rsidRDefault="00976C5B" w:rsidP="00C236D9">
      <w:pPr>
        <w:spacing w:before="120" w:after="120"/>
        <w:jc w:val="both"/>
        <w:rPr>
          <w:noProof/>
          <w:lang w:val="en-IE"/>
        </w:rPr>
      </w:pPr>
      <w:r w:rsidRPr="00976C5B">
        <w:rPr>
          <w:rFonts w:ascii="Times New Roman" w:hAnsi="Times New Roman" w:cs="Times New Roman"/>
          <w:noProof/>
          <w:sz w:val="24"/>
          <w:szCs w:val="24"/>
          <w:lang w:val="en-IE"/>
        </w:rPr>
        <w:t xml:space="preserve">The detailed results </w:t>
      </w:r>
      <w:r w:rsidR="005C3757">
        <w:rPr>
          <w:rFonts w:ascii="Times New Roman" w:hAnsi="Times New Roman" w:cs="Times New Roman"/>
          <w:noProof/>
          <w:sz w:val="24"/>
          <w:szCs w:val="24"/>
          <w:lang w:val="en-IE"/>
        </w:rPr>
        <w:t xml:space="preserve">of </w:t>
      </w:r>
      <w:r w:rsidR="00FB5011">
        <w:rPr>
          <w:rFonts w:ascii="Times New Roman" w:hAnsi="Times New Roman" w:cs="Times New Roman"/>
          <w:noProof/>
          <w:sz w:val="24"/>
          <w:szCs w:val="24"/>
          <w:lang w:val="en-IE"/>
        </w:rPr>
        <w:t>the</w:t>
      </w:r>
      <w:r w:rsidRPr="00976C5B">
        <w:rPr>
          <w:rFonts w:ascii="Times New Roman" w:hAnsi="Times New Roman" w:cs="Times New Roman"/>
          <w:noProof/>
          <w:sz w:val="24"/>
          <w:szCs w:val="24"/>
          <w:lang w:val="en-IE"/>
        </w:rPr>
        <w:t xml:space="preserve"> </w:t>
      </w:r>
      <w:r w:rsidR="00FB5011">
        <w:rPr>
          <w:rFonts w:ascii="Times New Roman" w:hAnsi="Times New Roman" w:cs="Times New Roman"/>
          <w:noProof/>
          <w:sz w:val="24"/>
          <w:szCs w:val="24"/>
          <w:lang w:val="en-IE"/>
        </w:rPr>
        <w:t xml:space="preserve">Commission </w:t>
      </w:r>
      <w:r w:rsidRPr="00976C5B">
        <w:rPr>
          <w:rFonts w:ascii="Times New Roman" w:hAnsi="Times New Roman" w:cs="Times New Roman"/>
          <w:noProof/>
          <w:sz w:val="24"/>
          <w:szCs w:val="24"/>
          <w:lang w:val="en-IE"/>
        </w:rPr>
        <w:t>study</w:t>
      </w:r>
      <w:r w:rsidR="00FB5011">
        <w:rPr>
          <w:rFonts w:ascii="Times New Roman" w:hAnsi="Times New Roman" w:cs="Times New Roman"/>
          <w:noProof/>
          <w:sz w:val="24"/>
          <w:szCs w:val="24"/>
          <w:lang w:val="en-IE"/>
        </w:rPr>
        <w:t xml:space="preserve"> </w:t>
      </w:r>
      <w:r w:rsidR="00FB5011" w:rsidRPr="00976C5B">
        <w:rPr>
          <w:rFonts w:ascii="Times New Roman" w:hAnsi="Times New Roman" w:cs="Times New Roman"/>
          <w:noProof/>
          <w:sz w:val="24"/>
          <w:szCs w:val="24"/>
          <w:lang w:val="en-IE"/>
        </w:rPr>
        <w:t xml:space="preserve">on subsidies </w:t>
      </w:r>
      <w:r w:rsidR="00FB5011">
        <w:rPr>
          <w:rFonts w:ascii="Times New Roman" w:hAnsi="Times New Roman" w:cs="Times New Roman"/>
          <w:noProof/>
          <w:sz w:val="24"/>
          <w:szCs w:val="24"/>
          <w:lang w:val="en-IE"/>
        </w:rPr>
        <w:t>will be published</w:t>
      </w:r>
      <w:r w:rsidR="002F6368">
        <w:rPr>
          <w:rFonts w:ascii="Times New Roman" w:hAnsi="Times New Roman" w:cs="Times New Roman"/>
          <w:noProof/>
          <w:sz w:val="24"/>
          <w:szCs w:val="24"/>
          <w:lang w:val="en-IE"/>
        </w:rPr>
        <w:t xml:space="preserve"> </w:t>
      </w:r>
      <w:r w:rsidR="00A13383">
        <w:rPr>
          <w:rFonts w:ascii="Times New Roman" w:hAnsi="Times New Roman" w:cs="Times New Roman"/>
          <w:noProof/>
          <w:sz w:val="24"/>
          <w:szCs w:val="24"/>
          <w:lang w:val="en-IE"/>
        </w:rPr>
        <w:t xml:space="preserve">jointly </w:t>
      </w:r>
      <w:r w:rsidR="002F6368">
        <w:rPr>
          <w:rFonts w:ascii="Times New Roman" w:hAnsi="Times New Roman" w:cs="Times New Roman"/>
          <w:noProof/>
          <w:sz w:val="24"/>
          <w:szCs w:val="24"/>
          <w:lang w:val="en-IE"/>
        </w:rPr>
        <w:t>with this report</w:t>
      </w:r>
      <w:r w:rsidRPr="00976C5B">
        <w:rPr>
          <w:rFonts w:ascii="Times New Roman" w:hAnsi="Times New Roman" w:cs="Times New Roman"/>
          <w:noProof/>
          <w:sz w:val="24"/>
          <w:szCs w:val="24"/>
          <w:lang w:val="en-IE"/>
        </w:rPr>
        <w:t xml:space="preserve"> to provide a comprehensive picture of the situation</w:t>
      </w:r>
      <w:r>
        <w:rPr>
          <w:rFonts w:ascii="Times New Roman" w:hAnsi="Times New Roman" w:cs="Times New Roman"/>
          <w:noProof/>
          <w:sz w:val="24"/>
          <w:szCs w:val="24"/>
          <w:lang w:val="en-IE"/>
        </w:rPr>
        <w:t>.</w:t>
      </w:r>
    </w:p>
    <w:sectPr w:rsidR="00C0747D" w:rsidRPr="00DB3E6E" w:rsidSect="0070434C">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D1C5B" w14:textId="77777777" w:rsidR="00723E99" w:rsidRDefault="00723E99" w:rsidP="0021742F">
      <w:pPr>
        <w:spacing w:after="0" w:line="240" w:lineRule="auto"/>
      </w:pPr>
      <w:r>
        <w:separator/>
      </w:r>
    </w:p>
  </w:endnote>
  <w:endnote w:type="continuationSeparator" w:id="0">
    <w:p w14:paraId="168A0148" w14:textId="77777777" w:rsidR="00723E99" w:rsidRDefault="00723E99" w:rsidP="0021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8EB51" w14:textId="77777777" w:rsidR="00EE2F85" w:rsidRPr="00EE2F85" w:rsidRDefault="00EE2F85" w:rsidP="00EE2F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8ED411" w14:textId="66C546BE" w:rsidR="006B6D56" w:rsidRPr="00EE2F85" w:rsidRDefault="00EE2F85" w:rsidP="00EE2F85">
    <w:pPr>
      <w:pStyle w:val="FooterCoverPage"/>
      <w:rPr>
        <w:rFonts w:ascii="Arial" w:hAnsi="Arial" w:cs="Arial"/>
        <w:b/>
        <w:sz w:val="48"/>
      </w:rPr>
    </w:pPr>
    <w:r w:rsidRPr="00EE2F85">
      <w:rPr>
        <w:rFonts w:ascii="Arial" w:hAnsi="Arial" w:cs="Arial"/>
        <w:b/>
        <w:sz w:val="48"/>
      </w:rPr>
      <w:t>EN</w:t>
    </w:r>
    <w:r w:rsidRPr="00EE2F85">
      <w:rPr>
        <w:rFonts w:ascii="Arial" w:hAnsi="Arial" w:cs="Arial"/>
        <w:b/>
        <w:sz w:val="48"/>
      </w:rPr>
      <w:tab/>
    </w:r>
    <w:r w:rsidRPr="00EE2F85">
      <w:rPr>
        <w:rFonts w:ascii="Arial" w:hAnsi="Arial" w:cs="Arial"/>
        <w:b/>
        <w:sz w:val="48"/>
      </w:rPr>
      <w:tab/>
    </w:r>
    <w:r w:rsidRPr="00EE2F85">
      <w:tab/>
    </w:r>
    <w:r w:rsidRPr="00EE2F85">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471F5" w14:textId="77777777" w:rsidR="00EE2F85" w:rsidRPr="00EE2F85" w:rsidRDefault="00EE2F85" w:rsidP="00EE2F8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B51DE" w14:textId="77777777" w:rsidR="006E0199" w:rsidRDefault="006E019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2663143"/>
      <w:docPartObj>
        <w:docPartGallery w:val="Page Numbers (Bottom of Page)"/>
        <w:docPartUnique/>
      </w:docPartObj>
    </w:sdtPr>
    <w:sdtEndPr>
      <w:rPr>
        <w:noProof/>
      </w:rPr>
    </w:sdtEndPr>
    <w:sdtContent>
      <w:p w14:paraId="71ED8ABC" w14:textId="7D3BDBE3" w:rsidR="006E0199" w:rsidRDefault="006E0199">
        <w:pPr>
          <w:pStyle w:val="Footer"/>
          <w:jc w:val="center"/>
        </w:pPr>
        <w:r>
          <w:fldChar w:fldCharType="begin"/>
        </w:r>
        <w:r>
          <w:instrText xml:space="preserve"> PAGE   \* MERGEFORMAT </w:instrText>
        </w:r>
        <w:r>
          <w:fldChar w:fldCharType="separate"/>
        </w:r>
        <w:r w:rsidR="00EE2F85">
          <w:rPr>
            <w:noProof/>
          </w:rPr>
          <w:t>1</w:t>
        </w:r>
        <w:r>
          <w:rPr>
            <w:noProof/>
          </w:rPr>
          <w:fldChar w:fldCharType="end"/>
        </w:r>
      </w:p>
    </w:sdtContent>
  </w:sdt>
  <w:p w14:paraId="40F04DAD" w14:textId="77777777" w:rsidR="006E0199" w:rsidRDefault="006E019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A4326" w14:textId="77777777" w:rsidR="006E0199" w:rsidRDefault="006E0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5DB556" w14:textId="77777777" w:rsidR="00723E99" w:rsidRDefault="00723E99" w:rsidP="0021742F">
      <w:pPr>
        <w:spacing w:after="0" w:line="240" w:lineRule="auto"/>
      </w:pPr>
      <w:r>
        <w:separator/>
      </w:r>
    </w:p>
  </w:footnote>
  <w:footnote w:type="continuationSeparator" w:id="0">
    <w:p w14:paraId="625ECED5" w14:textId="77777777" w:rsidR="00723E99" w:rsidRDefault="00723E99" w:rsidP="0021742F">
      <w:pPr>
        <w:spacing w:after="0" w:line="240" w:lineRule="auto"/>
      </w:pPr>
      <w:r>
        <w:continuationSeparator/>
      </w:r>
    </w:p>
  </w:footnote>
  <w:footnote w:id="1">
    <w:p w14:paraId="29DABE11" w14:textId="037754A8" w:rsidR="006E0199" w:rsidRPr="0049482C" w:rsidRDefault="006E0199" w:rsidP="002F6368">
      <w:pPr>
        <w:pStyle w:val="FootnoteText"/>
        <w:spacing w:after="0"/>
        <w:rPr>
          <w:sz w:val="16"/>
          <w:szCs w:val="16"/>
        </w:rPr>
      </w:pPr>
      <w:r w:rsidRPr="0049482C">
        <w:rPr>
          <w:rStyle w:val="FootnoteReference"/>
          <w:sz w:val="16"/>
          <w:szCs w:val="16"/>
        </w:rPr>
        <w:footnoteRef/>
      </w:r>
      <w:r w:rsidRPr="0049482C">
        <w:rPr>
          <w:sz w:val="16"/>
          <w:szCs w:val="16"/>
        </w:rPr>
        <w:t xml:space="preserve"> Article 35, point n of the Regulation on the Governance of the Energy Union (2018/1999/EU)</w:t>
      </w:r>
      <w:r>
        <w:rPr>
          <w:sz w:val="16"/>
          <w:szCs w:val="16"/>
        </w:rPr>
        <w:t>, hereinafter: the Governance Regulation.</w:t>
      </w:r>
    </w:p>
  </w:footnote>
  <w:footnote w:id="2">
    <w:p w14:paraId="33B694E9" w14:textId="607D40F5" w:rsidR="006E0199" w:rsidRPr="002F6368" w:rsidRDefault="006E0199" w:rsidP="00C67E23">
      <w:pPr>
        <w:pStyle w:val="FootnoteText"/>
        <w:spacing w:after="0"/>
        <w:ind w:left="0" w:firstLine="0"/>
        <w:jc w:val="left"/>
        <w:rPr>
          <w:sz w:val="16"/>
          <w:szCs w:val="16"/>
          <w:lang w:val="en-US"/>
        </w:rPr>
      </w:pPr>
      <w:r w:rsidRPr="002F6368">
        <w:rPr>
          <w:rStyle w:val="FootnoteReference"/>
          <w:sz w:val="16"/>
          <w:szCs w:val="16"/>
        </w:rPr>
        <w:footnoteRef/>
      </w:r>
      <w:r w:rsidRPr="002F6368">
        <w:rPr>
          <w:sz w:val="16"/>
          <w:szCs w:val="16"/>
          <w:lang w:val="en-US"/>
        </w:rPr>
        <w:t xml:space="preserve"> </w:t>
      </w:r>
      <w:hyperlink r:id="rId1" w:history="1">
        <w:r w:rsidRPr="002F6368">
          <w:rPr>
            <w:rStyle w:val="Hyperlink"/>
            <w:sz w:val="16"/>
            <w:szCs w:val="16"/>
            <w:lang w:val="en-US"/>
          </w:rPr>
          <w:t>https://ec.europa.eu/energy/sites/default/files/annex_to_the_state_of_the_energy_union_report_on_energy_subsidies_in_the_eu.pdf</w:t>
        </w:r>
      </w:hyperlink>
      <w:r>
        <w:rPr>
          <w:rStyle w:val="Hyperlink"/>
          <w:sz w:val="16"/>
          <w:szCs w:val="16"/>
          <w:lang w:val="en-US"/>
        </w:rPr>
        <w:t>,</w:t>
      </w:r>
      <w:r w:rsidRPr="002F6368">
        <w:rPr>
          <w:sz w:val="16"/>
          <w:szCs w:val="16"/>
          <w:lang w:val="en-US"/>
        </w:rPr>
        <w:t xml:space="preserve"> </w:t>
      </w:r>
      <w:r>
        <w:rPr>
          <w:sz w:val="16"/>
          <w:szCs w:val="16"/>
          <w:lang w:val="en-US"/>
        </w:rPr>
        <w:t>h</w:t>
      </w:r>
      <w:r w:rsidRPr="002F6368">
        <w:rPr>
          <w:sz w:val="16"/>
          <w:szCs w:val="16"/>
          <w:lang w:val="en-US"/>
        </w:rPr>
        <w:t xml:space="preserve">ereinafter: previous </w:t>
      </w:r>
      <w:r>
        <w:rPr>
          <w:sz w:val="16"/>
          <w:szCs w:val="16"/>
          <w:lang w:val="en-US"/>
        </w:rPr>
        <w:t>Commission studies on subsidies (2020 and 2021).</w:t>
      </w:r>
    </w:p>
  </w:footnote>
  <w:footnote w:id="3">
    <w:p w14:paraId="305DA13B" w14:textId="682F1EC6" w:rsidR="006E0199" w:rsidRPr="002F6368" w:rsidRDefault="006E0199" w:rsidP="002F6368">
      <w:pPr>
        <w:pStyle w:val="FootnoteText"/>
        <w:spacing w:after="0"/>
        <w:rPr>
          <w:sz w:val="16"/>
          <w:szCs w:val="16"/>
        </w:rPr>
      </w:pPr>
      <w:r w:rsidRPr="002F6368">
        <w:rPr>
          <w:rStyle w:val="FootnoteReference"/>
          <w:sz w:val="16"/>
          <w:szCs w:val="16"/>
        </w:rPr>
        <w:footnoteRef/>
      </w:r>
      <w:r w:rsidRPr="002F6368">
        <w:rPr>
          <w:sz w:val="16"/>
          <w:szCs w:val="16"/>
        </w:rPr>
        <w:t xml:space="preserve"> </w:t>
      </w:r>
      <w:hyperlink r:id="rId2" w:history="1">
        <w:r w:rsidRPr="00D351E2">
          <w:rPr>
            <w:rStyle w:val="Hyperlink"/>
            <w:sz w:val="16"/>
            <w:szCs w:val="16"/>
          </w:rPr>
          <w:t>https://unfccc.int/sites/default/files/resource/cma2021_10_add1_adv.pdf</w:t>
        </w:r>
      </w:hyperlink>
      <w:r>
        <w:rPr>
          <w:rStyle w:val="Hyperlink"/>
          <w:sz w:val="16"/>
          <w:szCs w:val="16"/>
        </w:rPr>
        <w:t>.</w:t>
      </w:r>
      <w:r>
        <w:rPr>
          <w:sz w:val="16"/>
          <w:szCs w:val="16"/>
        </w:rPr>
        <w:t xml:space="preserve"> </w:t>
      </w:r>
    </w:p>
  </w:footnote>
  <w:footnote w:id="4">
    <w:p w14:paraId="0B61D902" w14:textId="1CF2F5FE" w:rsidR="003E0B9D" w:rsidRPr="00FD261A" w:rsidRDefault="003E0B9D" w:rsidP="00FD261A">
      <w:pPr>
        <w:pStyle w:val="FootnoteText"/>
        <w:spacing w:after="0"/>
        <w:ind w:left="0" w:firstLine="0"/>
        <w:rPr>
          <w:sz w:val="16"/>
          <w:szCs w:val="16"/>
        </w:rPr>
      </w:pPr>
      <w:r w:rsidRPr="00FD261A">
        <w:rPr>
          <w:rStyle w:val="FootnoteReference"/>
          <w:sz w:val="16"/>
          <w:szCs w:val="16"/>
        </w:rPr>
        <w:footnoteRef/>
      </w:r>
      <w:r w:rsidRPr="00FD261A">
        <w:rPr>
          <w:sz w:val="16"/>
          <w:szCs w:val="16"/>
        </w:rPr>
        <w:t xml:space="preserve"> Furthermore,</w:t>
      </w:r>
      <w:r>
        <w:rPr>
          <w:sz w:val="16"/>
          <w:szCs w:val="16"/>
        </w:rPr>
        <w:t xml:space="preserve"> </w:t>
      </w:r>
      <w:r w:rsidRPr="003E0B9D">
        <w:rPr>
          <w:sz w:val="16"/>
          <w:szCs w:val="16"/>
        </w:rPr>
        <w:t>Council Recommendation on ensuring a fair transition towards climate neutrality (2022/C 243/04)</w:t>
      </w:r>
      <w:r>
        <w:rPr>
          <w:sz w:val="16"/>
          <w:szCs w:val="16"/>
        </w:rPr>
        <w:t xml:space="preserve"> stresses that ‘t</w:t>
      </w:r>
      <w:r w:rsidRPr="003E0B9D">
        <w:rPr>
          <w:sz w:val="16"/>
          <w:szCs w:val="16"/>
        </w:rPr>
        <w:t>he composition of tax-benefit systems and social protection systems should be examined against the specific needs stemming from the green transition, reflecting also the ‘polluter pays principle’ and the need that accompanying policies do not introduce subsidies to fossil fuels consumption, do not lock in consumers to a specific technology, do not decrease incentives for building renovations and thermal energy system substitutions and do not decrease incentives within general energy efficiency measures.</w:t>
      </w:r>
      <w:r>
        <w:rPr>
          <w:sz w:val="16"/>
          <w:szCs w:val="16"/>
        </w:rPr>
        <w:t>’</w:t>
      </w:r>
    </w:p>
  </w:footnote>
  <w:footnote w:id="5">
    <w:p w14:paraId="25B44E7C" w14:textId="0A27DF02" w:rsidR="006E0199" w:rsidRPr="0024646B" w:rsidRDefault="006E0199" w:rsidP="002F6368">
      <w:pPr>
        <w:pStyle w:val="FootnoteText"/>
        <w:spacing w:after="0"/>
        <w:rPr>
          <w:sz w:val="16"/>
          <w:szCs w:val="16"/>
          <w:lang w:val="en-IE"/>
        </w:rPr>
      </w:pPr>
      <w:r w:rsidRPr="0024646B">
        <w:rPr>
          <w:rStyle w:val="FootnoteReference"/>
          <w:sz w:val="16"/>
          <w:szCs w:val="16"/>
        </w:rPr>
        <w:footnoteRef/>
      </w:r>
      <w:r w:rsidRPr="0024646B">
        <w:rPr>
          <w:sz w:val="16"/>
          <w:szCs w:val="16"/>
        </w:rPr>
        <w:t xml:space="preserve"> </w:t>
      </w:r>
      <w:hyperlink r:id="rId3" w:history="1">
        <w:r w:rsidRPr="001F54C1">
          <w:rPr>
            <w:rStyle w:val="Hyperlink"/>
            <w:sz w:val="16"/>
            <w:szCs w:val="16"/>
          </w:rPr>
          <w:t>https://ec.europa.eu/commission/presscorner/detail/en/IP_22_3131</w:t>
        </w:r>
      </w:hyperlink>
      <w:r>
        <w:rPr>
          <w:rStyle w:val="Hyperlink"/>
          <w:sz w:val="16"/>
          <w:szCs w:val="16"/>
        </w:rPr>
        <w:t>.</w:t>
      </w:r>
    </w:p>
  </w:footnote>
  <w:footnote w:id="6">
    <w:p w14:paraId="62604113" w14:textId="0A42B6CA" w:rsidR="006E0199" w:rsidRPr="002F6368" w:rsidRDefault="006E0199" w:rsidP="002F6368">
      <w:pPr>
        <w:pStyle w:val="FootnoteText"/>
        <w:spacing w:after="0"/>
        <w:rPr>
          <w:sz w:val="16"/>
          <w:szCs w:val="16"/>
        </w:rPr>
      </w:pPr>
      <w:r w:rsidRPr="002F6368">
        <w:rPr>
          <w:rStyle w:val="FootnoteReference"/>
          <w:sz w:val="16"/>
          <w:szCs w:val="16"/>
        </w:rPr>
        <w:footnoteRef/>
      </w:r>
      <w:r w:rsidRPr="002F6368">
        <w:rPr>
          <w:sz w:val="16"/>
          <w:szCs w:val="16"/>
        </w:rPr>
        <w:t xml:space="preserve"> </w:t>
      </w:r>
      <w:hyperlink r:id="rId4" w:history="1">
        <w:r w:rsidRPr="00D351E2">
          <w:rPr>
            <w:rStyle w:val="Hyperlink"/>
            <w:sz w:val="16"/>
            <w:szCs w:val="16"/>
          </w:rPr>
          <w:t>https://eur-lex.europa.eu/legal-content/EN/TXT/PDF/?uri=CELEX:32021R2139&amp;from=EN</w:t>
        </w:r>
      </w:hyperlink>
      <w:r>
        <w:rPr>
          <w:rStyle w:val="Hyperlink"/>
          <w:sz w:val="16"/>
          <w:szCs w:val="16"/>
        </w:rPr>
        <w:t>.</w:t>
      </w:r>
      <w:r>
        <w:rPr>
          <w:sz w:val="16"/>
          <w:szCs w:val="16"/>
        </w:rPr>
        <w:t xml:space="preserve"> </w:t>
      </w:r>
    </w:p>
  </w:footnote>
  <w:footnote w:id="7">
    <w:p w14:paraId="623D379B" w14:textId="36EB532F" w:rsidR="006E0199" w:rsidRPr="00A5427A" w:rsidRDefault="006E0199" w:rsidP="00A5427A">
      <w:pPr>
        <w:pStyle w:val="FootnoteText"/>
        <w:spacing w:after="0"/>
        <w:rPr>
          <w:sz w:val="16"/>
          <w:szCs w:val="16"/>
        </w:rPr>
      </w:pPr>
      <w:r w:rsidRPr="00A5427A">
        <w:rPr>
          <w:rStyle w:val="FootnoteReference"/>
          <w:sz w:val="16"/>
          <w:szCs w:val="16"/>
        </w:rPr>
        <w:footnoteRef/>
      </w:r>
      <w:r w:rsidRPr="00A5427A">
        <w:rPr>
          <w:sz w:val="16"/>
          <w:szCs w:val="16"/>
        </w:rPr>
        <w:t xml:space="preserve"> https://eur-lex.europa.eu/legal-content/EN/TXT/PDF/?uri=CELEX:32022R1214&amp;from=EN</w:t>
      </w:r>
      <w:r>
        <w:rPr>
          <w:sz w:val="16"/>
          <w:szCs w:val="16"/>
        </w:rPr>
        <w:t>.</w:t>
      </w:r>
    </w:p>
  </w:footnote>
  <w:footnote w:id="8">
    <w:p w14:paraId="4EE03F4B" w14:textId="25F2C693" w:rsidR="006E0199" w:rsidRPr="00DB5D8D" w:rsidRDefault="006E0199" w:rsidP="00D23AE9">
      <w:pPr>
        <w:pStyle w:val="FootnoteText"/>
        <w:spacing w:after="0"/>
        <w:rPr>
          <w:sz w:val="16"/>
          <w:szCs w:val="16"/>
          <w:lang w:val="en-IE"/>
        </w:rPr>
      </w:pPr>
      <w:r w:rsidRPr="00DB5D8D">
        <w:rPr>
          <w:rStyle w:val="FootnoteReference"/>
          <w:sz w:val="16"/>
          <w:szCs w:val="16"/>
        </w:rPr>
        <w:footnoteRef/>
      </w:r>
      <w:r w:rsidRPr="00DB5D8D">
        <w:rPr>
          <w:sz w:val="16"/>
          <w:szCs w:val="16"/>
        </w:rPr>
        <w:t xml:space="preserve"> Study on energy subsidies and other government interventions in the EU</w:t>
      </w:r>
      <w:r>
        <w:rPr>
          <w:sz w:val="16"/>
          <w:szCs w:val="16"/>
        </w:rPr>
        <w:t xml:space="preserve"> – 2022 edition, hereinafter ‘the Commission study’ </w:t>
      </w:r>
      <w:hyperlink r:id="rId5" w:history="1">
        <w:r w:rsidR="00F0043D" w:rsidRPr="00D77C0D">
          <w:rPr>
            <w:rStyle w:val="Hyperlink"/>
            <w:sz w:val="16"/>
            <w:szCs w:val="16"/>
          </w:rPr>
          <w:t>https://op.europa.eu/en/publication-detail/-/publication/34a55767-55a1-11ed-92ed-01aa75ed71a1</w:t>
        </w:r>
      </w:hyperlink>
      <w:r w:rsidR="00F0043D">
        <w:rPr>
          <w:sz w:val="16"/>
          <w:szCs w:val="16"/>
        </w:rPr>
        <w:t xml:space="preserve"> </w:t>
      </w:r>
    </w:p>
  </w:footnote>
  <w:footnote w:id="9">
    <w:p w14:paraId="6D102441" w14:textId="37FA639F" w:rsidR="006E0199" w:rsidRPr="009130C0" w:rsidRDefault="006E0199" w:rsidP="00FD261A">
      <w:pPr>
        <w:pStyle w:val="FootnoteText"/>
        <w:spacing w:after="0"/>
        <w:ind w:left="142" w:hanging="142"/>
        <w:rPr>
          <w:sz w:val="16"/>
          <w:szCs w:val="16"/>
        </w:rPr>
      </w:pPr>
      <w:r>
        <w:rPr>
          <w:sz w:val="16"/>
          <w:szCs w:val="16"/>
        </w:rPr>
        <w:t xml:space="preserve"> </w:t>
      </w:r>
      <w:r w:rsidRPr="009130C0">
        <w:rPr>
          <w:rStyle w:val="FootnoteReference"/>
          <w:sz w:val="16"/>
          <w:szCs w:val="16"/>
        </w:rPr>
        <w:footnoteRef/>
      </w:r>
      <w:r>
        <w:rPr>
          <w:sz w:val="16"/>
          <w:szCs w:val="16"/>
        </w:rPr>
        <w:t xml:space="preserve"> </w:t>
      </w:r>
      <w:r w:rsidRPr="009130C0">
        <w:rPr>
          <w:sz w:val="16"/>
          <w:szCs w:val="16"/>
        </w:rPr>
        <w:t>Due to</w:t>
      </w:r>
      <w:r>
        <w:rPr>
          <w:sz w:val="16"/>
          <w:szCs w:val="16"/>
        </w:rPr>
        <w:t xml:space="preserve"> both</w:t>
      </w:r>
      <w:r w:rsidRPr="009130C0">
        <w:rPr>
          <w:sz w:val="16"/>
          <w:szCs w:val="16"/>
        </w:rPr>
        <w:t xml:space="preserve"> re-assessment of the subsidy inventory for the earlier years, and the change in the monetary basis (‘expressed in 202</w:t>
      </w:r>
      <w:r>
        <w:rPr>
          <w:sz w:val="16"/>
          <w:szCs w:val="16"/>
        </w:rPr>
        <w:t>1</w:t>
      </w:r>
      <w:r w:rsidRPr="009130C0">
        <w:rPr>
          <w:sz w:val="16"/>
          <w:szCs w:val="16"/>
        </w:rPr>
        <w:t xml:space="preserve"> euros’ in the current report) total amounts on the charts of this report may differ from the last energy</w:t>
      </w:r>
      <w:r>
        <w:rPr>
          <w:sz w:val="16"/>
          <w:szCs w:val="16"/>
        </w:rPr>
        <w:t>-</w:t>
      </w:r>
      <w:r w:rsidRPr="009130C0">
        <w:rPr>
          <w:sz w:val="16"/>
          <w:szCs w:val="16"/>
        </w:rPr>
        <w:t>subsidy report published in 202</w:t>
      </w:r>
      <w:r>
        <w:rPr>
          <w:sz w:val="16"/>
          <w:szCs w:val="16"/>
        </w:rPr>
        <w:t>1 or earlier</w:t>
      </w:r>
      <w:r w:rsidRPr="009130C0">
        <w:rPr>
          <w:sz w:val="16"/>
          <w:szCs w:val="16"/>
        </w:rPr>
        <w:t>.</w:t>
      </w:r>
    </w:p>
  </w:footnote>
  <w:footnote w:id="10">
    <w:p w14:paraId="12ED55D9" w14:textId="21FE4CE7" w:rsidR="006E0199" w:rsidRPr="009130C0" w:rsidRDefault="006E0199" w:rsidP="00D23AE9">
      <w:pPr>
        <w:pStyle w:val="FootnoteText"/>
        <w:spacing w:after="0"/>
        <w:ind w:left="142" w:hanging="142"/>
        <w:rPr>
          <w:sz w:val="16"/>
          <w:szCs w:val="16"/>
          <w:lang w:val="en-IE"/>
        </w:rPr>
      </w:pPr>
      <w:r w:rsidRPr="009130C0">
        <w:rPr>
          <w:rStyle w:val="FootnoteReference"/>
          <w:sz w:val="16"/>
          <w:szCs w:val="16"/>
        </w:rPr>
        <w:footnoteRef/>
      </w:r>
      <w:r w:rsidRPr="009130C0">
        <w:rPr>
          <w:sz w:val="16"/>
          <w:szCs w:val="16"/>
        </w:rPr>
        <w:t xml:space="preserve"> </w:t>
      </w:r>
      <w:r>
        <w:rPr>
          <w:sz w:val="16"/>
          <w:szCs w:val="16"/>
        </w:rPr>
        <w:t>For</w:t>
      </w:r>
      <w:r w:rsidRPr="009130C0">
        <w:rPr>
          <w:sz w:val="16"/>
          <w:szCs w:val="16"/>
        </w:rPr>
        <w:t xml:space="preserve"> some subsidy items, if 202</w:t>
      </w:r>
      <w:r>
        <w:rPr>
          <w:sz w:val="16"/>
          <w:szCs w:val="16"/>
        </w:rPr>
        <w:t>1 values</w:t>
      </w:r>
      <w:r w:rsidRPr="009130C0">
        <w:rPr>
          <w:sz w:val="16"/>
          <w:szCs w:val="16"/>
        </w:rPr>
        <w:t xml:space="preserve"> were not available, 20</w:t>
      </w:r>
      <w:r>
        <w:rPr>
          <w:sz w:val="16"/>
          <w:szCs w:val="16"/>
        </w:rPr>
        <w:t>20</w:t>
      </w:r>
      <w:r w:rsidRPr="009130C0">
        <w:rPr>
          <w:sz w:val="16"/>
          <w:szCs w:val="16"/>
        </w:rPr>
        <w:t xml:space="preserve"> values were taken as </w:t>
      </w:r>
      <w:r>
        <w:rPr>
          <w:sz w:val="16"/>
          <w:szCs w:val="16"/>
        </w:rPr>
        <w:t xml:space="preserve">an </w:t>
      </w:r>
      <w:r w:rsidRPr="009130C0">
        <w:rPr>
          <w:sz w:val="16"/>
          <w:szCs w:val="16"/>
        </w:rPr>
        <w:t>estimate for 202</w:t>
      </w:r>
      <w:r>
        <w:rPr>
          <w:sz w:val="16"/>
          <w:szCs w:val="16"/>
        </w:rPr>
        <w:t>1</w:t>
      </w:r>
      <w:r w:rsidRPr="009130C0">
        <w:rPr>
          <w:sz w:val="16"/>
          <w:szCs w:val="16"/>
        </w:rPr>
        <w:t>. In most cases</w:t>
      </w:r>
      <w:r>
        <w:rPr>
          <w:sz w:val="16"/>
          <w:szCs w:val="16"/>
        </w:rPr>
        <w:t>,</w:t>
      </w:r>
      <w:r w:rsidRPr="009130C0">
        <w:rPr>
          <w:sz w:val="16"/>
          <w:szCs w:val="16"/>
        </w:rPr>
        <w:t xml:space="preserve"> 202</w:t>
      </w:r>
      <w:r>
        <w:rPr>
          <w:sz w:val="16"/>
          <w:szCs w:val="16"/>
        </w:rPr>
        <w:t>1</w:t>
      </w:r>
      <w:r w:rsidRPr="009130C0">
        <w:rPr>
          <w:sz w:val="16"/>
          <w:szCs w:val="16"/>
        </w:rPr>
        <w:t xml:space="preserve"> data are referred to in th</w:t>
      </w:r>
      <w:r>
        <w:rPr>
          <w:sz w:val="16"/>
          <w:szCs w:val="16"/>
        </w:rPr>
        <w:t>is report. However, if only 2020</w:t>
      </w:r>
      <w:r w:rsidRPr="009130C0">
        <w:rPr>
          <w:sz w:val="16"/>
          <w:szCs w:val="16"/>
        </w:rPr>
        <w:t xml:space="preserve"> data are robust enough for the analysis, they are taken as </w:t>
      </w:r>
      <w:r>
        <w:rPr>
          <w:sz w:val="16"/>
          <w:szCs w:val="16"/>
        </w:rPr>
        <w:t xml:space="preserve">being </w:t>
      </w:r>
      <w:r w:rsidRPr="009130C0">
        <w:rPr>
          <w:sz w:val="16"/>
          <w:szCs w:val="16"/>
        </w:rPr>
        <w:t xml:space="preserve">the latest </w:t>
      </w:r>
      <w:r>
        <w:rPr>
          <w:sz w:val="16"/>
          <w:szCs w:val="16"/>
        </w:rPr>
        <w:t xml:space="preserve">dataset </w:t>
      </w:r>
      <w:r w:rsidRPr="009130C0">
        <w:rPr>
          <w:sz w:val="16"/>
          <w:szCs w:val="16"/>
        </w:rPr>
        <w:t>available.</w:t>
      </w:r>
    </w:p>
  </w:footnote>
  <w:footnote w:id="11">
    <w:p w14:paraId="515D7037" w14:textId="77777777" w:rsidR="004F1DDE" w:rsidRPr="00E01772" w:rsidRDefault="004F1DDE" w:rsidP="00D23AE9">
      <w:pPr>
        <w:pStyle w:val="FootnoteText"/>
        <w:spacing w:after="0"/>
        <w:ind w:left="0" w:firstLine="0"/>
        <w:rPr>
          <w:sz w:val="16"/>
          <w:szCs w:val="16"/>
        </w:rPr>
      </w:pPr>
      <w:r>
        <w:rPr>
          <w:rStyle w:val="FootnoteReference"/>
        </w:rPr>
        <w:footnoteRef/>
      </w:r>
      <w:r>
        <w:t xml:space="preserve"> </w:t>
      </w:r>
      <w:r>
        <w:rPr>
          <w:sz w:val="16"/>
          <w:szCs w:val="16"/>
        </w:rPr>
        <w:t>Subsidies related to e</w:t>
      </w:r>
      <w:r w:rsidRPr="00E01772">
        <w:rPr>
          <w:sz w:val="16"/>
          <w:szCs w:val="16"/>
        </w:rPr>
        <w:t xml:space="preserve">nergy demand </w:t>
      </w:r>
      <w:r>
        <w:rPr>
          <w:sz w:val="16"/>
          <w:szCs w:val="16"/>
        </w:rPr>
        <w:t>incentivise energy consumption in various economic sectors, for example via: (i) tax reductions or refunds on energy consumption; (ii) regulated prices in certain sectors; and (iii) direct payments aiming at alleviating consumer burdens stemming from energy costs. Some energy-demand subsidies have social implications, going beyond purely economic considerations. In times of high energy prices, especially vulnerable consumers should be taken into consideration in policy decisions on subsidies.</w:t>
      </w:r>
    </w:p>
    <w:p w14:paraId="3D03C708" w14:textId="31105EFF" w:rsidR="004F1DDE" w:rsidRPr="004F1DDE" w:rsidRDefault="004F1DDE" w:rsidP="00116930">
      <w:pPr>
        <w:pStyle w:val="FootnoteText"/>
      </w:pPr>
    </w:p>
  </w:footnote>
  <w:footnote w:id="12">
    <w:p w14:paraId="200C5B3C" w14:textId="77777777" w:rsidR="00116930" w:rsidRPr="00064A9B" w:rsidRDefault="00116930" w:rsidP="00116930">
      <w:pPr>
        <w:pStyle w:val="FootnoteText"/>
        <w:spacing w:after="0"/>
        <w:rPr>
          <w:sz w:val="16"/>
          <w:szCs w:val="16"/>
        </w:rPr>
      </w:pPr>
      <w:r w:rsidRPr="00064A9B">
        <w:rPr>
          <w:rStyle w:val="FootnoteReference"/>
          <w:sz w:val="16"/>
          <w:szCs w:val="16"/>
        </w:rPr>
        <w:footnoteRef/>
      </w:r>
      <w:r w:rsidRPr="00064A9B">
        <w:rPr>
          <w:sz w:val="16"/>
          <w:szCs w:val="16"/>
        </w:rPr>
        <w:t xml:space="preserve"> For more </w:t>
      </w:r>
      <w:r>
        <w:rPr>
          <w:sz w:val="16"/>
          <w:szCs w:val="16"/>
        </w:rPr>
        <w:t xml:space="preserve">information on concepts, definitions, purposes, sectors, instruments, fuel types, etc. see Annex 5 of the Commission study. </w:t>
      </w:r>
    </w:p>
  </w:footnote>
  <w:footnote w:id="13">
    <w:p w14:paraId="126730E9" w14:textId="2EC8590C" w:rsidR="006E0199" w:rsidRPr="00A17405" w:rsidRDefault="006E0199" w:rsidP="00EE3E19">
      <w:pPr>
        <w:pStyle w:val="FootnoteText"/>
        <w:spacing w:after="0"/>
        <w:ind w:left="0" w:firstLine="0"/>
        <w:jc w:val="left"/>
        <w:rPr>
          <w:sz w:val="16"/>
          <w:szCs w:val="16"/>
        </w:rPr>
      </w:pPr>
      <w:r w:rsidRPr="00A17405">
        <w:rPr>
          <w:rStyle w:val="FootnoteReference"/>
          <w:sz w:val="16"/>
          <w:szCs w:val="16"/>
        </w:rPr>
        <w:footnoteRef/>
      </w:r>
      <w:r>
        <w:rPr>
          <w:sz w:val="16"/>
          <w:szCs w:val="16"/>
          <w:lang w:val="en-IE"/>
        </w:rPr>
        <w:t xml:space="preserve"> </w:t>
      </w:r>
      <w:r w:rsidRPr="009130C0">
        <w:rPr>
          <w:sz w:val="16"/>
          <w:szCs w:val="16"/>
          <w:lang w:val="en-IE"/>
        </w:rPr>
        <w:t>World Trade Organi</w:t>
      </w:r>
      <w:r>
        <w:rPr>
          <w:sz w:val="16"/>
          <w:szCs w:val="16"/>
          <w:lang w:val="en-IE"/>
        </w:rPr>
        <w:t>z</w:t>
      </w:r>
      <w:r w:rsidRPr="009130C0">
        <w:rPr>
          <w:sz w:val="16"/>
          <w:szCs w:val="16"/>
          <w:lang w:val="en-IE"/>
        </w:rPr>
        <w:t>ation (WTO) Agreement on Subsidies and Countervailing Measures</w:t>
      </w:r>
      <w:r>
        <w:rPr>
          <w:sz w:val="16"/>
          <w:szCs w:val="16"/>
          <w:lang w:val="en-IE"/>
        </w:rPr>
        <w:t>.</w:t>
      </w:r>
      <w:r>
        <w:t xml:space="preserve"> </w:t>
      </w:r>
      <w:hyperlink r:id="rId6" w:history="1">
        <w:r w:rsidRPr="0073613F">
          <w:rPr>
            <w:rStyle w:val="Hyperlink"/>
            <w:sz w:val="16"/>
            <w:szCs w:val="16"/>
          </w:rPr>
          <w:t>https://www.wto.org/english/tratop_e/scm_e/scm_e.htm</w:t>
        </w:r>
      </w:hyperlink>
      <w:r>
        <w:rPr>
          <w:rStyle w:val="Hyperlink"/>
          <w:sz w:val="16"/>
          <w:szCs w:val="16"/>
        </w:rPr>
        <w:t>.</w:t>
      </w:r>
      <w:r w:rsidRPr="00A17405">
        <w:rPr>
          <w:sz w:val="16"/>
          <w:szCs w:val="16"/>
        </w:rPr>
        <w:t xml:space="preserve"> </w:t>
      </w:r>
    </w:p>
  </w:footnote>
  <w:footnote w:id="14">
    <w:p w14:paraId="02A9D413" w14:textId="570CFE45" w:rsidR="006E0199" w:rsidRPr="004F6765" w:rsidRDefault="006E0199" w:rsidP="00EE3E19">
      <w:pPr>
        <w:pStyle w:val="FootnoteText"/>
        <w:spacing w:after="0"/>
        <w:rPr>
          <w:sz w:val="16"/>
          <w:szCs w:val="16"/>
        </w:rPr>
      </w:pPr>
      <w:r w:rsidRPr="004F6765">
        <w:rPr>
          <w:rStyle w:val="FootnoteReference"/>
          <w:sz w:val="16"/>
          <w:szCs w:val="16"/>
        </w:rPr>
        <w:footnoteRef/>
      </w:r>
      <w:r w:rsidRPr="004F6765">
        <w:rPr>
          <w:sz w:val="16"/>
          <w:szCs w:val="16"/>
        </w:rPr>
        <w:t xml:space="preserve"> See more on energy</w:t>
      </w:r>
      <w:r>
        <w:rPr>
          <w:sz w:val="16"/>
          <w:szCs w:val="16"/>
        </w:rPr>
        <w:t>-</w:t>
      </w:r>
      <w:r w:rsidRPr="004F6765">
        <w:rPr>
          <w:sz w:val="16"/>
          <w:szCs w:val="16"/>
        </w:rPr>
        <w:t>subsidy methodology in the Commission study</w:t>
      </w:r>
      <w:r>
        <w:rPr>
          <w:sz w:val="16"/>
          <w:szCs w:val="16"/>
        </w:rPr>
        <w:t>.</w:t>
      </w:r>
    </w:p>
  </w:footnote>
  <w:footnote w:id="15">
    <w:p w14:paraId="236029E1" w14:textId="42960624" w:rsidR="006E0199" w:rsidRPr="00A17405" w:rsidRDefault="006E0199" w:rsidP="00EE3E19">
      <w:pPr>
        <w:pStyle w:val="FootnoteText"/>
        <w:spacing w:after="0"/>
        <w:ind w:left="0" w:firstLine="0"/>
        <w:rPr>
          <w:lang w:val="en-IE"/>
        </w:rPr>
      </w:pPr>
      <w:r w:rsidRPr="00A17405">
        <w:rPr>
          <w:rStyle w:val="FootnoteReference"/>
          <w:sz w:val="16"/>
          <w:szCs w:val="16"/>
        </w:rPr>
        <w:footnoteRef/>
      </w:r>
      <w:r w:rsidRPr="00A17405">
        <w:rPr>
          <w:sz w:val="16"/>
          <w:szCs w:val="16"/>
        </w:rPr>
        <w:t xml:space="preserve"> In the current report</w:t>
      </w:r>
      <w:r>
        <w:rPr>
          <w:sz w:val="16"/>
          <w:szCs w:val="16"/>
        </w:rPr>
        <w:t xml:space="preserve"> also</w:t>
      </w:r>
      <w:r w:rsidRPr="00A17405">
        <w:rPr>
          <w:sz w:val="16"/>
          <w:szCs w:val="16"/>
        </w:rPr>
        <w:t xml:space="preserve"> including subsidies for fishing</w:t>
      </w:r>
      <w:r>
        <w:rPr>
          <w:sz w:val="16"/>
          <w:szCs w:val="16"/>
        </w:rPr>
        <w:t>.</w:t>
      </w:r>
    </w:p>
  </w:footnote>
  <w:footnote w:id="16">
    <w:p w14:paraId="32DE354D" w14:textId="2286F833" w:rsidR="006E0199" w:rsidRPr="00E01772" w:rsidRDefault="006E0199" w:rsidP="00EE3E19">
      <w:pPr>
        <w:pStyle w:val="FootnoteText"/>
        <w:spacing w:after="0"/>
        <w:ind w:left="0" w:firstLine="0"/>
        <w:rPr>
          <w:sz w:val="16"/>
          <w:szCs w:val="16"/>
        </w:rPr>
      </w:pPr>
      <w:r w:rsidRPr="00E01772">
        <w:rPr>
          <w:rStyle w:val="FootnoteReference"/>
          <w:sz w:val="16"/>
          <w:szCs w:val="16"/>
        </w:rPr>
        <w:footnoteRef/>
      </w:r>
      <w:r w:rsidRPr="00E01772">
        <w:rPr>
          <w:sz w:val="16"/>
          <w:szCs w:val="16"/>
        </w:rPr>
        <w:t xml:space="preserve"> </w:t>
      </w:r>
      <w:r>
        <w:rPr>
          <w:sz w:val="16"/>
          <w:szCs w:val="16"/>
        </w:rPr>
        <w:t>Subsidies related to e</w:t>
      </w:r>
      <w:r w:rsidRPr="00E01772">
        <w:rPr>
          <w:sz w:val="16"/>
          <w:szCs w:val="16"/>
        </w:rPr>
        <w:t xml:space="preserve">nergy demand </w:t>
      </w:r>
      <w:r>
        <w:rPr>
          <w:sz w:val="16"/>
          <w:szCs w:val="16"/>
        </w:rPr>
        <w:t>incentivise energy consumption in various economic sectors, for example via: (i) tax reductions or refunds on energy consumption; (ii) regulated prices in certain sectors; and (iii) direct payments aiming at alleviating consumer burdens stemming from energy costs. Some energy-demand subsidies have social implications, going beyond purely economic considerations. In times of high energy prices, especially vulnerable consumers should be taken into consideration in policy decisions on subsidies.</w:t>
      </w:r>
    </w:p>
  </w:footnote>
  <w:footnote w:id="17">
    <w:p w14:paraId="41EA5028" w14:textId="2A6EE3C0" w:rsidR="006E0199" w:rsidRPr="00E82685" w:rsidRDefault="006E0199" w:rsidP="00FD261A">
      <w:pPr>
        <w:pStyle w:val="FootnoteText"/>
        <w:spacing w:after="0"/>
        <w:ind w:left="0" w:firstLine="0"/>
        <w:rPr>
          <w:sz w:val="16"/>
          <w:szCs w:val="16"/>
        </w:rPr>
      </w:pPr>
      <w:r w:rsidRPr="00E82685">
        <w:rPr>
          <w:rStyle w:val="FootnoteReference"/>
          <w:sz w:val="16"/>
          <w:szCs w:val="16"/>
        </w:rPr>
        <w:footnoteRef/>
      </w:r>
      <w:r w:rsidRPr="00E82685">
        <w:rPr>
          <w:sz w:val="16"/>
          <w:szCs w:val="16"/>
        </w:rPr>
        <w:t xml:space="preserve"> T</w:t>
      </w:r>
      <w:r>
        <w:rPr>
          <w:sz w:val="16"/>
          <w:szCs w:val="16"/>
        </w:rPr>
        <w:t>hese measures were principally linked to European Regional Development Fund (ERDF) programmes in the 2014-2020 period, aiming at shifting to low-carbon developments in all economic sectors. As of 2021, preliminary data showed that these ERDF measures had ended, bringing down the overall subsidy amount.</w:t>
      </w:r>
    </w:p>
  </w:footnote>
  <w:footnote w:id="18">
    <w:p w14:paraId="3721EBC1" w14:textId="567AC115" w:rsidR="006E0199" w:rsidRPr="00064A9B" w:rsidRDefault="006E0199" w:rsidP="00FD261A">
      <w:pPr>
        <w:pStyle w:val="FootnoteText"/>
        <w:spacing w:after="0"/>
        <w:ind w:left="0" w:firstLine="0"/>
        <w:rPr>
          <w:sz w:val="16"/>
          <w:szCs w:val="16"/>
        </w:rPr>
      </w:pPr>
      <w:r w:rsidRPr="00064A9B">
        <w:rPr>
          <w:rStyle w:val="FootnoteReference"/>
          <w:sz w:val="16"/>
          <w:szCs w:val="16"/>
        </w:rPr>
        <w:footnoteRef/>
      </w:r>
      <w:r w:rsidRPr="00064A9B">
        <w:rPr>
          <w:sz w:val="16"/>
          <w:szCs w:val="16"/>
        </w:rPr>
        <w:t xml:space="preserve"> </w:t>
      </w:r>
      <w:r>
        <w:rPr>
          <w:sz w:val="16"/>
          <w:szCs w:val="16"/>
        </w:rPr>
        <w:t>Overall, most fossil-fuel subsidies still aim at incentivising consumption and/or energy production from such fuels, whereas the share of subsidies aiming at reducing reliance on fossil fuels is minimal.</w:t>
      </w:r>
    </w:p>
  </w:footnote>
  <w:footnote w:id="19">
    <w:p w14:paraId="29838764" w14:textId="026F11D9" w:rsidR="006E0199" w:rsidRPr="00064A9B" w:rsidRDefault="006E0199" w:rsidP="00523E3F">
      <w:pPr>
        <w:pStyle w:val="FootnoteText"/>
        <w:spacing w:after="0"/>
        <w:rPr>
          <w:sz w:val="16"/>
          <w:szCs w:val="16"/>
        </w:rPr>
      </w:pPr>
      <w:r w:rsidRPr="00064A9B">
        <w:rPr>
          <w:rStyle w:val="FootnoteReference"/>
          <w:sz w:val="16"/>
          <w:szCs w:val="16"/>
        </w:rPr>
        <w:footnoteRef/>
      </w:r>
      <w:r w:rsidRPr="00064A9B">
        <w:rPr>
          <w:sz w:val="16"/>
          <w:szCs w:val="16"/>
        </w:rPr>
        <w:t xml:space="preserve"> </w:t>
      </w:r>
      <w:r>
        <w:rPr>
          <w:sz w:val="16"/>
          <w:szCs w:val="16"/>
        </w:rPr>
        <w:t xml:space="preserve">Subsidy </w:t>
      </w:r>
      <w:r w:rsidRPr="00064A9B">
        <w:rPr>
          <w:sz w:val="16"/>
          <w:szCs w:val="16"/>
        </w:rPr>
        <w:t xml:space="preserve">amounts </w:t>
      </w:r>
      <w:r>
        <w:rPr>
          <w:sz w:val="16"/>
          <w:szCs w:val="16"/>
        </w:rPr>
        <w:t>for</w:t>
      </w:r>
      <w:r w:rsidRPr="00064A9B">
        <w:rPr>
          <w:sz w:val="16"/>
          <w:szCs w:val="16"/>
        </w:rPr>
        <w:t xml:space="preserve"> electricity</w:t>
      </w:r>
      <w:r>
        <w:rPr>
          <w:sz w:val="16"/>
          <w:szCs w:val="16"/>
        </w:rPr>
        <w:t xml:space="preserve"> use</w:t>
      </w:r>
      <w:r w:rsidRPr="00064A9B">
        <w:rPr>
          <w:sz w:val="16"/>
          <w:szCs w:val="16"/>
        </w:rPr>
        <w:t xml:space="preserve"> have been re-allocated to their energy</w:t>
      </w:r>
      <w:r>
        <w:rPr>
          <w:sz w:val="16"/>
          <w:szCs w:val="16"/>
        </w:rPr>
        <w:t xml:space="preserve">-generation </w:t>
      </w:r>
      <w:r w:rsidRPr="00064A9B">
        <w:rPr>
          <w:sz w:val="16"/>
          <w:szCs w:val="16"/>
        </w:rPr>
        <w:t>source</w:t>
      </w:r>
      <w:r>
        <w:rPr>
          <w:sz w:val="16"/>
          <w:szCs w:val="16"/>
        </w:rPr>
        <w:t>s (e.g. fossil fuels, nuclear, renewables)</w:t>
      </w:r>
      <w:r w:rsidRPr="00064A9B">
        <w:rPr>
          <w:sz w:val="16"/>
          <w:szCs w:val="16"/>
        </w:rPr>
        <w:t xml:space="preserve"> based on the national energy balances</w:t>
      </w:r>
      <w:r>
        <w:rPr>
          <w:sz w:val="16"/>
          <w:szCs w:val="16"/>
        </w:rPr>
        <w:t>.</w:t>
      </w:r>
    </w:p>
  </w:footnote>
  <w:footnote w:id="20">
    <w:p w14:paraId="0C50D8CC" w14:textId="77A188AE" w:rsidR="00523E3F" w:rsidRPr="00523E3F" w:rsidRDefault="00523E3F" w:rsidP="00523E3F">
      <w:pPr>
        <w:pStyle w:val="FootnoteText"/>
        <w:spacing w:after="0"/>
        <w:rPr>
          <w:sz w:val="16"/>
          <w:szCs w:val="16"/>
        </w:rPr>
      </w:pPr>
      <w:r w:rsidRPr="00523E3F">
        <w:rPr>
          <w:rStyle w:val="FootnoteReference"/>
          <w:sz w:val="16"/>
          <w:szCs w:val="16"/>
        </w:rPr>
        <w:footnoteRef/>
      </w:r>
      <w:r w:rsidRPr="00523E3F">
        <w:rPr>
          <w:sz w:val="16"/>
          <w:szCs w:val="16"/>
        </w:rPr>
        <w:t xml:space="preserve"> Stranded assets are assets that have suffered from unanticipated or premature write-downs, devaluations or conversion to liabilities</w:t>
      </w:r>
    </w:p>
  </w:footnote>
  <w:footnote w:id="21">
    <w:p w14:paraId="05B60C10" w14:textId="0802C78B" w:rsidR="00523E3F" w:rsidRPr="00523E3F" w:rsidRDefault="00523E3F">
      <w:pPr>
        <w:pStyle w:val="FootnoteText"/>
      </w:pPr>
      <w:r>
        <w:rPr>
          <w:rStyle w:val="FootnoteReference"/>
        </w:rPr>
        <w:footnoteRef/>
      </w:r>
      <w:r>
        <w:t xml:space="preserve"> </w:t>
      </w:r>
      <w:r w:rsidRPr="00064A9B">
        <w:rPr>
          <w:sz w:val="16"/>
          <w:szCs w:val="16"/>
        </w:rPr>
        <w:t xml:space="preserve">For more </w:t>
      </w:r>
      <w:r>
        <w:rPr>
          <w:sz w:val="16"/>
          <w:szCs w:val="16"/>
        </w:rPr>
        <w:t>information on definitions, purposes, sectors, instruments, fuel types, etc. see Annex 5 of the Commission study.</w:t>
      </w:r>
    </w:p>
  </w:footnote>
  <w:footnote w:id="22">
    <w:p w14:paraId="15E56FD6" w14:textId="6E93379F" w:rsidR="005275B4" w:rsidRPr="005275B4" w:rsidRDefault="005275B4" w:rsidP="005275B4">
      <w:pPr>
        <w:pStyle w:val="FootnoteText"/>
        <w:spacing w:after="0"/>
        <w:rPr>
          <w:sz w:val="16"/>
          <w:szCs w:val="16"/>
        </w:rPr>
      </w:pPr>
      <w:r w:rsidRPr="005275B4">
        <w:rPr>
          <w:rStyle w:val="FootnoteReference"/>
          <w:sz w:val="16"/>
          <w:szCs w:val="16"/>
        </w:rPr>
        <w:footnoteRef/>
      </w:r>
      <w:r w:rsidRPr="005275B4">
        <w:rPr>
          <w:sz w:val="16"/>
          <w:szCs w:val="16"/>
        </w:rPr>
        <w:t xml:space="preserve"> More information on the concepts and the role of different instruments can be found in the Commission study</w:t>
      </w:r>
    </w:p>
  </w:footnote>
  <w:footnote w:id="23">
    <w:p w14:paraId="48CED271" w14:textId="6880B481" w:rsidR="006E0199" w:rsidRPr="00AB2348" w:rsidRDefault="006E0199">
      <w:pPr>
        <w:pStyle w:val="FootnoteText"/>
        <w:rPr>
          <w:sz w:val="16"/>
          <w:szCs w:val="16"/>
        </w:rPr>
      </w:pPr>
      <w:r w:rsidRPr="00AB2348">
        <w:rPr>
          <w:rStyle w:val="FootnoteReference"/>
          <w:sz w:val="16"/>
          <w:szCs w:val="16"/>
        </w:rPr>
        <w:footnoteRef/>
      </w:r>
      <w:r w:rsidRPr="00AB2348">
        <w:rPr>
          <w:sz w:val="16"/>
          <w:szCs w:val="16"/>
        </w:rPr>
        <w:t xml:space="preserve"> The nat</w:t>
      </w:r>
      <w:r>
        <w:rPr>
          <w:sz w:val="16"/>
          <w:szCs w:val="16"/>
        </w:rPr>
        <w:t>ional recovery and resilience plans were prepared and adopted in 2021. Their impact will probably be felt only in the coming years. Beyond energy-efficiency spending, the RRPs allocate significant sums for other purposes, such as renewable energy.</w:t>
      </w:r>
    </w:p>
  </w:footnote>
  <w:footnote w:id="24">
    <w:p w14:paraId="18FD77FA" w14:textId="541DD109" w:rsidR="006E0199" w:rsidRPr="00040807" w:rsidRDefault="006E0199" w:rsidP="00F30504">
      <w:pPr>
        <w:pStyle w:val="FootnoteText"/>
        <w:spacing w:after="0"/>
        <w:ind w:left="0" w:firstLine="0"/>
        <w:rPr>
          <w:sz w:val="16"/>
          <w:szCs w:val="16"/>
        </w:rPr>
      </w:pPr>
      <w:r w:rsidRPr="00040807">
        <w:rPr>
          <w:rStyle w:val="FootnoteReference"/>
          <w:sz w:val="16"/>
          <w:szCs w:val="16"/>
        </w:rPr>
        <w:footnoteRef/>
      </w:r>
      <w:r w:rsidRPr="00040807">
        <w:rPr>
          <w:sz w:val="16"/>
          <w:szCs w:val="16"/>
        </w:rPr>
        <w:t xml:space="preserve"> Mainly in the form of reduced VAT. Special forms of </w:t>
      </w:r>
      <w:r>
        <w:rPr>
          <w:sz w:val="16"/>
          <w:szCs w:val="16"/>
        </w:rPr>
        <w:t>financial support to vulnerable households needs to be made with care, as it goes beyond considerations strictly related to the energy market.</w:t>
      </w:r>
      <w:r w:rsidR="003E0B9D">
        <w:rPr>
          <w:sz w:val="16"/>
          <w:szCs w:val="16"/>
        </w:rPr>
        <w:t xml:space="preserve"> However, in the current subsidy report and the underlying study data are only provided for the household sector as whole, deeper socio-economic breakdown (e.g. income level, age, household composition, etc.) is not available</w:t>
      </w:r>
    </w:p>
  </w:footnote>
  <w:footnote w:id="25">
    <w:p w14:paraId="297DE073" w14:textId="49EDB6D3" w:rsidR="006E0199" w:rsidRPr="00064A9B" w:rsidRDefault="006E0199" w:rsidP="00064A9B">
      <w:pPr>
        <w:pStyle w:val="FootnoteText"/>
        <w:spacing w:after="0"/>
        <w:rPr>
          <w:sz w:val="16"/>
          <w:szCs w:val="16"/>
        </w:rPr>
      </w:pPr>
      <w:r w:rsidRPr="00064A9B">
        <w:rPr>
          <w:rStyle w:val="FootnoteReference"/>
          <w:sz w:val="16"/>
          <w:szCs w:val="16"/>
        </w:rPr>
        <w:footnoteRef/>
      </w:r>
      <w:r w:rsidRPr="00064A9B">
        <w:rPr>
          <w:sz w:val="16"/>
          <w:szCs w:val="16"/>
        </w:rPr>
        <w:t xml:space="preserve"> </w:t>
      </w:r>
      <w:r>
        <w:rPr>
          <w:sz w:val="16"/>
          <w:szCs w:val="16"/>
        </w:rPr>
        <w:t>Breakdown of d</w:t>
      </w:r>
      <w:r w:rsidRPr="00064A9B">
        <w:rPr>
          <w:sz w:val="16"/>
          <w:szCs w:val="16"/>
        </w:rPr>
        <w:t>ata</w:t>
      </w:r>
      <w:r>
        <w:rPr>
          <w:sz w:val="16"/>
          <w:szCs w:val="16"/>
        </w:rPr>
        <w:t xml:space="preserve"> on different hydrogen-generation technologies and sources (e.g. renewables or fossil) is not available.</w:t>
      </w:r>
    </w:p>
  </w:footnote>
  <w:footnote w:id="26">
    <w:p w14:paraId="7B507342" w14:textId="60D4748C" w:rsidR="006E0199" w:rsidRPr="00997D52" w:rsidRDefault="006E0199" w:rsidP="005C3757">
      <w:pPr>
        <w:pStyle w:val="FootnoteText"/>
        <w:spacing w:after="0"/>
        <w:ind w:left="0" w:firstLine="0"/>
        <w:rPr>
          <w:sz w:val="16"/>
          <w:szCs w:val="16"/>
          <w:lang w:val="en-IE"/>
        </w:rPr>
      </w:pPr>
      <w:r w:rsidRPr="00997D52">
        <w:rPr>
          <w:rStyle w:val="FootnoteReference"/>
          <w:sz w:val="16"/>
          <w:szCs w:val="16"/>
        </w:rPr>
        <w:footnoteRef/>
      </w:r>
      <w:r w:rsidRPr="00997D52">
        <w:rPr>
          <w:sz w:val="16"/>
          <w:szCs w:val="16"/>
        </w:rPr>
        <w:t xml:space="preserve"> </w:t>
      </w:r>
      <w:r>
        <w:rPr>
          <w:sz w:val="16"/>
          <w:szCs w:val="16"/>
          <w:lang w:val="en-IE"/>
        </w:rPr>
        <w:t>To follow a consistent methodology across Member States, energy carriers, sectors and subsidy instruments, some items considered as a subsidy in other sources were not counted in the total numbers in the Commission study. For example, many Member States apply different excise rates for petrol and diesel, so subsidies on these products might be significant. Similarly, extra-EU international aviation and maritime transport are not covered. As capital infusions or purchases by the government are not included in the scope of the Commission study, some financial support given to enterprises consuming fossil fuels (e.g. financial rescue packages for airline companies) are also not included among fossil-fuel subsidies.</w:t>
      </w:r>
      <w:r w:rsidRPr="005C3757">
        <w:rPr>
          <w:sz w:val="16"/>
          <w:szCs w:val="16"/>
          <w:lang w:val="en-IE"/>
        </w:rPr>
        <w:t xml:space="preserve"> </w:t>
      </w:r>
      <w:r>
        <w:rPr>
          <w:sz w:val="16"/>
          <w:szCs w:val="16"/>
          <w:lang w:val="en-IE"/>
        </w:rPr>
        <w:t>The database also does not contain information on abated and unabated fossil-fuel generation technologies.</w:t>
      </w:r>
    </w:p>
    <w:p w14:paraId="18963F2E" w14:textId="27ABC52F" w:rsidR="006E0199" w:rsidRPr="00997D52" w:rsidRDefault="006E0199" w:rsidP="00F30504">
      <w:pPr>
        <w:pStyle w:val="FootnoteText"/>
        <w:spacing w:after="0"/>
        <w:ind w:left="0" w:firstLine="0"/>
        <w:rPr>
          <w:sz w:val="16"/>
          <w:szCs w:val="16"/>
          <w:lang w:val="en-IE"/>
        </w:rPr>
      </w:pPr>
    </w:p>
  </w:footnote>
  <w:footnote w:id="27">
    <w:p w14:paraId="3CD24959" w14:textId="100D9E78" w:rsidR="00A97627" w:rsidRPr="00FD261A" w:rsidRDefault="00A97627" w:rsidP="00FD261A">
      <w:pPr>
        <w:pStyle w:val="FootnoteText"/>
        <w:spacing w:after="0"/>
        <w:ind w:left="0" w:firstLine="0"/>
        <w:rPr>
          <w:sz w:val="16"/>
          <w:szCs w:val="16"/>
        </w:rPr>
      </w:pPr>
      <w:r w:rsidRPr="00FD261A">
        <w:rPr>
          <w:rStyle w:val="FootnoteReference"/>
          <w:sz w:val="16"/>
          <w:szCs w:val="16"/>
        </w:rPr>
        <w:footnoteRef/>
      </w:r>
      <w:r w:rsidRPr="00FD261A">
        <w:rPr>
          <w:sz w:val="16"/>
          <w:szCs w:val="16"/>
        </w:rPr>
        <w:t xml:space="preserve"> </w:t>
      </w:r>
      <w:r>
        <w:rPr>
          <w:sz w:val="16"/>
          <w:szCs w:val="16"/>
        </w:rPr>
        <w:t xml:space="preserve"> On the top of these initiatives, other important legislative acts, having impact on gas consumption and subsidies, have been adopted by the EU, such as the Gas demand reduction regulation, Gas storage regulation, etc.</w:t>
      </w:r>
    </w:p>
  </w:footnote>
  <w:footnote w:id="28">
    <w:p w14:paraId="1A459368" w14:textId="0E9278F9" w:rsidR="006E0199" w:rsidRPr="00064A9B" w:rsidRDefault="006E0199" w:rsidP="00FD261A">
      <w:pPr>
        <w:pStyle w:val="FootnoteText"/>
        <w:ind w:left="0" w:firstLine="0"/>
        <w:rPr>
          <w:sz w:val="16"/>
          <w:szCs w:val="16"/>
          <w:lang w:val="en-IE"/>
        </w:rPr>
      </w:pPr>
      <w:r w:rsidRPr="00064A9B">
        <w:rPr>
          <w:rStyle w:val="FootnoteReference"/>
          <w:sz w:val="16"/>
          <w:szCs w:val="16"/>
        </w:rPr>
        <w:footnoteRef/>
      </w:r>
      <w:r w:rsidRPr="00064A9B">
        <w:rPr>
          <w:sz w:val="16"/>
          <w:szCs w:val="16"/>
        </w:rPr>
        <w:t xml:space="preserve"> </w:t>
      </w:r>
      <w:r w:rsidRPr="00064A9B">
        <w:rPr>
          <w:sz w:val="16"/>
          <w:szCs w:val="16"/>
          <w:lang w:val="en-IE"/>
        </w:rPr>
        <w:t>Subsidies on gas</w:t>
      </w:r>
      <w:r>
        <w:rPr>
          <w:sz w:val="16"/>
          <w:szCs w:val="16"/>
          <w:lang w:val="en-IE"/>
        </w:rPr>
        <w:t xml:space="preserve"> only refer to subsidies for the production and consumption of gas and energy from gas. They do not include support to potential infrastructure developments, such as upgrading the European gas grid to enable better gas flows, building new LNG regasification terminals, or expanding existing terminals, etc.</w:t>
      </w:r>
    </w:p>
  </w:footnote>
  <w:footnote w:id="29">
    <w:p w14:paraId="291689D4" w14:textId="754A6332" w:rsidR="003E0B9D" w:rsidRPr="00FD261A" w:rsidRDefault="003E0B9D" w:rsidP="00FD261A">
      <w:pPr>
        <w:pStyle w:val="FootnoteText"/>
        <w:spacing w:after="0"/>
        <w:ind w:left="142" w:hanging="142"/>
        <w:rPr>
          <w:sz w:val="16"/>
          <w:szCs w:val="16"/>
        </w:rPr>
      </w:pPr>
      <w:r w:rsidRPr="00FD261A">
        <w:rPr>
          <w:rStyle w:val="FootnoteReference"/>
          <w:sz w:val="16"/>
          <w:szCs w:val="16"/>
        </w:rPr>
        <w:footnoteRef/>
      </w:r>
      <w:r w:rsidRPr="00FD261A">
        <w:rPr>
          <w:sz w:val="16"/>
          <w:szCs w:val="16"/>
        </w:rPr>
        <w:t xml:space="preserve"> </w:t>
      </w:r>
      <w:r>
        <w:rPr>
          <w:sz w:val="16"/>
          <w:szCs w:val="16"/>
        </w:rPr>
        <w:t>It</w:t>
      </w:r>
      <w:r w:rsidRPr="00852D61">
        <w:rPr>
          <w:sz w:val="16"/>
          <w:szCs w:val="16"/>
        </w:rPr>
        <w:t xml:space="preserve"> is important to keep in mind </w:t>
      </w:r>
      <w:r>
        <w:rPr>
          <w:sz w:val="16"/>
          <w:szCs w:val="16"/>
        </w:rPr>
        <w:t>that a</w:t>
      </w:r>
      <w:r w:rsidRPr="00FD261A">
        <w:rPr>
          <w:sz w:val="16"/>
          <w:szCs w:val="16"/>
        </w:rPr>
        <w:t xml:space="preserve">t the time of </w:t>
      </w:r>
      <w:r>
        <w:rPr>
          <w:sz w:val="16"/>
          <w:szCs w:val="16"/>
        </w:rPr>
        <w:t xml:space="preserve">the drafting of </w:t>
      </w:r>
      <w:r w:rsidRPr="00FD261A">
        <w:rPr>
          <w:sz w:val="16"/>
          <w:szCs w:val="16"/>
        </w:rPr>
        <w:t>the Commission study, that the Complementary Climate De</w:t>
      </w:r>
      <w:r w:rsidRPr="003E0B9D">
        <w:rPr>
          <w:sz w:val="16"/>
          <w:szCs w:val="16"/>
        </w:rPr>
        <w:t>legated Act</w:t>
      </w:r>
      <w:r w:rsidRPr="00FD261A">
        <w:rPr>
          <w:sz w:val="16"/>
          <w:szCs w:val="16"/>
        </w:rPr>
        <w:t>, addressing nuclear and gas energy activities, has already been proposed by the European Commission, but the adoption process by the co-legislators, has not been finished, and as the Delegated act did not yet enter into force</w:t>
      </w:r>
    </w:p>
  </w:footnote>
  <w:footnote w:id="30">
    <w:p w14:paraId="6E84A6A6" w14:textId="124A8667" w:rsidR="00A97627" w:rsidRPr="00FD261A" w:rsidRDefault="00A97627" w:rsidP="003E0B9D">
      <w:pPr>
        <w:pStyle w:val="FootnoteText"/>
        <w:rPr>
          <w:sz w:val="16"/>
          <w:szCs w:val="16"/>
          <w:lang w:val="en-IE"/>
        </w:rPr>
      </w:pPr>
      <w:r w:rsidRPr="00FD261A">
        <w:rPr>
          <w:rStyle w:val="FootnoteReference"/>
          <w:sz w:val="16"/>
          <w:szCs w:val="16"/>
        </w:rPr>
        <w:footnoteRef/>
      </w:r>
      <w:r w:rsidRPr="00FD261A">
        <w:rPr>
          <w:sz w:val="16"/>
          <w:szCs w:val="16"/>
        </w:rPr>
        <w:t xml:space="preserve"> </w:t>
      </w:r>
      <w:r w:rsidRPr="00FD261A">
        <w:rPr>
          <w:sz w:val="16"/>
          <w:szCs w:val="16"/>
          <w:lang w:val="en-IE"/>
        </w:rPr>
        <w:t xml:space="preserve">The detailed </w:t>
      </w:r>
      <w:r>
        <w:rPr>
          <w:sz w:val="16"/>
          <w:szCs w:val="16"/>
          <w:lang w:val="en-IE"/>
        </w:rPr>
        <w:t>description of each classification can be found in Chapter 5.1.2 on EU taxonomy classification of the Commission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972D" w14:textId="77777777" w:rsidR="00EE2F85" w:rsidRPr="00EE2F85" w:rsidRDefault="00EE2F85" w:rsidP="00EE2F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6D474" w14:textId="77777777" w:rsidR="00EE2F85" w:rsidRPr="00EE2F85" w:rsidRDefault="00EE2F85" w:rsidP="00EE2F8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EFED" w14:textId="77777777" w:rsidR="00EE2F85" w:rsidRPr="00EE2F85" w:rsidRDefault="00EE2F85" w:rsidP="00EE2F8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FB344" w14:textId="77777777" w:rsidR="006E0199" w:rsidRDefault="006E019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60EA9" w14:textId="77777777" w:rsidR="006E0199" w:rsidRDefault="006E019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402673" w14:textId="77777777" w:rsidR="006E0199" w:rsidRDefault="006E0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475E0"/>
    <w:multiLevelType w:val="hybridMultilevel"/>
    <w:tmpl w:val="FE98D2CA"/>
    <w:lvl w:ilvl="0" w:tplc="A63CC28C">
      <w:start w:val="16"/>
      <w:numFmt w:val="bullet"/>
      <w:lvlText w:val="-"/>
      <w:lvlJc w:val="left"/>
      <w:pPr>
        <w:ind w:left="720" w:hanging="360"/>
      </w:pPr>
      <w:rPr>
        <w:rFonts w:ascii="Calibri" w:eastAsiaTheme="minorHAns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49CD6F19"/>
    <w:multiLevelType w:val="hybridMultilevel"/>
    <w:tmpl w:val="F2461488"/>
    <w:lvl w:ilvl="0" w:tplc="F2123BC0">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80071A"/>
    <w:multiLevelType w:val="multilevel"/>
    <w:tmpl w:val="29C4D1A4"/>
    <w:lvl w:ilvl="0">
      <w:start w:val="1"/>
      <w:numFmt w:val="decimal"/>
      <w:lvlText w:val="%1."/>
      <w:lvlJc w:val="left"/>
      <w:pPr>
        <w:ind w:left="720" w:hanging="360"/>
      </w:pPr>
      <w:rPr>
        <w:rFonts w:hint="default"/>
      </w:rPr>
    </w:lvl>
    <w:lvl w:ilvl="1">
      <w:start w:val="2"/>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nl-BE" w:vendorID="64" w:dllVersion="6" w:nlCheck="1" w:checkStyle="0"/>
  <w:activeWritingStyle w:appName="MSWord" w:lang="de-DE" w:vendorID="64" w:dllVersion="6" w:nlCheck="1" w:checkStyle="0"/>
  <w:activeWritingStyle w:appName="MSWord" w:lang="en-IE" w:vendorID="64" w:dllVersion="0" w:nlCheck="1" w:checkStyle="0"/>
  <w:activeWritingStyle w:appName="MSWord" w:lang="en-US" w:vendorID="64" w:dllVersion="0" w:nlCheck="1" w:checkStyle="0"/>
  <w:activeWritingStyle w:appName="MSWord" w:lang="en-GB" w:vendorID="64" w:dllVersion="0" w:nlCheck="1" w:checkStyle="0"/>
  <w:activeWritingStyle w:appName="MSWord" w:lang="fr-B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4BDED6C1-B97B-4C41-B47D-47236C950154"/>
    <w:docVar w:name="LW_COVERPAGE_TYPE" w:val="1"/>
    <w:docVar w:name="LW_CROSSREFERENCE" w:val="&lt;UNUSED&gt;"/>
    <w:docVar w:name="LW_DocType" w:val="NORMAL"/>
    <w:docVar w:name="LW_EMISSION" w:val="15.11.2022"/>
    <w:docVar w:name="LW_EMISSION_ISODATE" w:val="2022-11-15"/>
    <w:docVar w:name="LW_EMISSION_LOCATION" w:val="BRX"/>
    <w:docVar w:name="LW_EMISSION_PREFIX" w:val="Brussels, "/>
    <w:docVar w:name="LW_EMISSION_SUFFIX" w:val=" "/>
    <w:docVar w:name="LW_ID_DOCTYPE_NONLW" w:val="CP-006"/>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2) 64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2022 Report on Energy Subsidies in the EU"/>
    <w:docVar w:name="LW_TYPE.DOC.CP" w:val="REPORT FROM THE COMMISSION TO THE EUROPEAN PARLIAMENT AND THE COUNCIL"/>
    <w:docVar w:name="LwApiVersions" w:val="LW4CoDe 1.23.2.0; LW 8.0, Build 20211117"/>
  </w:docVars>
  <w:rsids>
    <w:rsidRoot w:val="00720216"/>
    <w:rsid w:val="000027B0"/>
    <w:rsid w:val="00005BD4"/>
    <w:rsid w:val="00010703"/>
    <w:rsid w:val="000169D0"/>
    <w:rsid w:val="00017A76"/>
    <w:rsid w:val="00020123"/>
    <w:rsid w:val="000232D0"/>
    <w:rsid w:val="000234EA"/>
    <w:rsid w:val="0002354B"/>
    <w:rsid w:val="00026DE1"/>
    <w:rsid w:val="00040807"/>
    <w:rsid w:val="00045B1A"/>
    <w:rsid w:val="0005020C"/>
    <w:rsid w:val="0005519A"/>
    <w:rsid w:val="00064A9B"/>
    <w:rsid w:val="00066337"/>
    <w:rsid w:val="00080DDE"/>
    <w:rsid w:val="00082ED9"/>
    <w:rsid w:val="00084BF8"/>
    <w:rsid w:val="000902D5"/>
    <w:rsid w:val="00091BBC"/>
    <w:rsid w:val="00095093"/>
    <w:rsid w:val="000A141C"/>
    <w:rsid w:val="000A5707"/>
    <w:rsid w:val="000A6166"/>
    <w:rsid w:val="000D1760"/>
    <w:rsid w:val="000D5A8F"/>
    <w:rsid w:val="001009E0"/>
    <w:rsid w:val="001032F1"/>
    <w:rsid w:val="001056F9"/>
    <w:rsid w:val="00114377"/>
    <w:rsid w:val="00116930"/>
    <w:rsid w:val="00123BFA"/>
    <w:rsid w:val="00137802"/>
    <w:rsid w:val="00143514"/>
    <w:rsid w:val="0015240C"/>
    <w:rsid w:val="00155CE6"/>
    <w:rsid w:val="00157615"/>
    <w:rsid w:val="00162D4A"/>
    <w:rsid w:val="001754AE"/>
    <w:rsid w:val="00182DC7"/>
    <w:rsid w:val="001A0174"/>
    <w:rsid w:val="001A6735"/>
    <w:rsid w:val="001B5303"/>
    <w:rsid w:val="001C745A"/>
    <w:rsid w:val="001E7357"/>
    <w:rsid w:val="001F1CBA"/>
    <w:rsid w:val="001F2563"/>
    <w:rsid w:val="001F2859"/>
    <w:rsid w:val="00203A02"/>
    <w:rsid w:val="002132CB"/>
    <w:rsid w:val="0021742F"/>
    <w:rsid w:val="00231676"/>
    <w:rsid w:val="002322C4"/>
    <w:rsid w:val="00232A02"/>
    <w:rsid w:val="0023377C"/>
    <w:rsid w:val="002408C7"/>
    <w:rsid w:val="00242670"/>
    <w:rsid w:val="00243062"/>
    <w:rsid w:val="0024646B"/>
    <w:rsid w:val="002464D6"/>
    <w:rsid w:val="0025698C"/>
    <w:rsid w:val="00260A7E"/>
    <w:rsid w:val="0026585A"/>
    <w:rsid w:val="002659BA"/>
    <w:rsid w:val="0027130F"/>
    <w:rsid w:val="00285BBC"/>
    <w:rsid w:val="00297489"/>
    <w:rsid w:val="002A56B2"/>
    <w:rsid w:val="002B0722"/>
    <w:rsid w:val="002D0613"/>
    <w:rsid w:val="002E5D29"/>
    <w:rsid w:val="002F5927"/>
    <w:rsid w:val="002F6368"/>
    <w:rsid w:val="00301DED"/>
    <w:rsid w:val="00305781"/>
    <w:rsid w:val="003346A0"/>
    <w:rsid w:val="0033572B"/>
    <w:rsid w:val="00335ED8"/>
    <w:rsid w:val="00361B25"/>
    <w:rsid w:val="00365660"/>
    <w:rsid w:val="003658F8"/>
    <w:rsid w:val="00371027"/>
    <w:rsid w:val="00373FE5"/>
    <w:rsid w:val="003965CD"/>
    <w:rsid w:val="003B361B"/>
    <w:rsid w:val="003C13CF"/>
    <w:rsid w:val="003E0B9D"/>
    <w:rsid w:val="003E1C45"/>
    <w:rsid w:val="003E3119"/>
    <w:rsid w:val="003E5DA4"/>
    <w:rsid w:val="003E6F7A"/>
    <w:rsid w:val="003E7172"/>
    <w:rsid w:val="003E7B78"/>
    <w:rsid w:val="003F0B9C"/>
    <w:rsid w:val="00415FB9"/>
    <w:rsid w:val="004165F8"/>
    <w:rsid w:val="00416BD8"/>
    <w:rsid w:val="004224FC"/>
    <w:rsid w:val="00423032"/>
    <w:rsid w:val="004564AC"/>
    <w:rsid w:val="004710ED"/>
    <w:rsid w:val="004762E2"/>
    <w:rsid w:val="004810FE"/>
    <w:rsid w:val="00482E9F"/>
    <w:rsid w:val="0049482C"/>
    <w:rsid w:val="004A18BB"/>
    <w:rsid w:val="004A213A"/>
    <w:rsid w:val="004A2CD9"/>
    <w:rsid w:val="004B12A2"/>
    <w:rsid w:val="004C0C86"/>
    <w:rsid w:val="004D4FD7"/>
    <w:rsid w:val="004F1DDE"/>
    <w:rsid w:val="004F4044"/>
    <w:rsid w:val="004F6765"/>
    <w:rsid w:val="00501167"/>
    <w:rsid w:val="00511100"/>
    <w:rsid w:val="00523E3F"/>
    <w:rsid w:val="005275B4"/>
    <w:rsid w:val="00531F6C"/>
    <w:rsid w:val="00586DAB"/>
    <w:rsid w:val="005904C7"/>
    <w:rsid w:val="0059223B"/>
    <w:rsid w:val="005944BB"/>
    <w:rsid w:val="00596F22"/>
    <w:rsid w:val="005A0EF6"/>
    <w:rsid w:val="005A3F7B"/>
    <w:rsid w:val="005B0B33"/>
    <w:rsid w:val="005B2054"/>
    <w:rsid w:val="005B48FF"/>
    <w:rsid w:val="005B6470"/>
    <w:rsid w:val="005B7F37"/>
    <w:rsid w:val="005C3757"/>
    <w:rsid w:val="005D2867"/>
    <w:rsid w:val="005E174C"/>
    <w:rsid w:val="005E28F3"/>
    <w:rsid w:val="00604FB0"/>
    <w:rsid w:val="006100EC"/>
    <w:rsid w:val="00612B96"/>
    <w:rsid w:val="00612DE6"/>
    <w:rsid w:val="00614681"/>
    <w:rsid w:val="00615905"/>
    <w:rsid w:val="00615D63"/>
    <w:rsid w:val="006200AA"/>
    <w:rsid w:val="00621339"/>
    <w:rsid w:val="00623283"/>
    <w:rsid w:val="006375BE"/>
    <w:rsid w:val="0064059A"/>
    <w:rsid w:val="006466FD"/>
    <w:rsid w:val="00656B7F"/>
    <w:rsid w:val="00662B6B"/>
    <w:rsid w:val="00676F10"/>
    <w:rsid w:val="006810C4"/>
    <w:rsid w:val="00696A1D"/>
    <w:rsid w:val="006B2BCC"/>
    <w:rsid w:val="006B6D56"/>
    <w:rsid w:val="006C0D06"/>
    <w:rsid w:val="006C37C5"/>
    <w:rsid w:val="006D0CC6"/>
    <w:rsid w:val="006D1917"/>
    <w:rsid w:val="006E0199"/>
    <w:rsid w:val="006E6EF5"/>
    <w:rsid w:val="006F2F1D"/>
    <w:rsid w:val="006F6EF0"/>
    <w:rsid w:val="0070434C"/>
    <w:rsid w:val="00714F05"/>
    <w:rsid w:val="00720216"/>
    <w:rsid w:val="00723E99"/>
    <w:rsid w:val="007270D0"/>
    <w:rsid w:val="007373E5"/>
    <w:rsid w:val="0074233A"/>
    <w:rsid w:val="007447A6"/>
    <w:rsid w:val="00771B75"/>
    <w:rsid w:val="007804D8"/>
    <w:rsid w:val="00786B1B"/>
    <w:rsid w:val="007905C0"/>
    <w:rsid w:val="00791241"/>
    <w:rsid w:val="00794A47"/>
    <w:rsid w:val="007A271D"/>
    <w:rsid w:val="007A3364"/>
    <w:rsid w:val="007A6EF8"/>
    <w:rsid w:val="007C2BC2"/>
    <w:rsid w:val="007D1383"/>
    <w:rsid w:val="007D74FA"/>
    <w:rsid w:val="007E61C6"/>
    <w:rsid w:val="007F0F90"/>
    <w:rsid w:val="0080288F"/>
    <w:rsid w:val="00805314"/>
    <w:rsid w:val="00811DD3"/>
    <w:rsid w:val="008134FA"/>
    <w:rsid w:val="008163BF"/>
    <w:rsid w:val="00817CE9"/>
    <w:rsid w:val="008236A3"/>
    <w:rsid w:val="00825BA7"/>
    <w:rsid w:val="0083330D"/>
    <w:rsid w:val="00886D31"/>
    <w:rsid w:val="008A68BA"/>
    <w:rsid w:val="008B4E47"/>
    <w:rsid w:val="008B4F72"/>
    <w:rsid w:val="008B53B0"/>
    <w:rsid w:val="008D32FC"/>
    <w:rsid w:val="008D45F8"/>
    <w:rsid w:val="008D4C1B"/>
    <w:rsid w:val="008E248D"/>
    <w:rsid w:val="008F5B2B"/>
    <w:rsid w:val="00906A72"/>
    <w:rsid w:val="00907A73"/>
    <w:rsid w:val="009130C0"/>
    <w:rsid w:val="00930CC3"/>
    <w:rsid w:val="009349DD"/>
    <w:rsid w:val="00946865"/>
    <w:rsid w:val="00947770"/>
    <w:rsid w:val="00953668"/>
    <w:rsid w:val="0096517B"/>
    <w:rsid w:val="00967C3D"/>
    <w:rsid w:val="00971EE4"/>
    <w:rsid w:val="009723DF"/>
    <w:rsid w:val="00976C5B"/>
    <w:rsid w:val="00977631"/>
    <w:rsid w:val="00983703"/>
    <w:rsid w:val="0099715B"/>
    <w:rsid w:val="00997D52"/>
    <w:rsid w:val="009A104B"/>
    <w:rsid w:val="009A2D34"/>
    <w:rsid w:val="009A6B53"/>
    <w:rsid w:val="009B70E4"/>
    <w:rsid w:val="009C1A5E"/>
    <w:rsid w:val="009C223D"/>
    <w:rsid w:val="009C2B1F"/>
    <w:rsid w:val="009E3573"/>
    <w:rsid w:val="009E392E"/>
    <w:rsid w:val="009F04AA"/>
    <w:rsid w:val="009F4A38"/>
    <w:rsid w:val="009F5A81"/>
    <w:rsid w:val="00A131BE"/>
    <w:rsid w:val="00A13383"/>
    <w:rsid w:val="00A17405"/>
    <w:rsid w:val="00A223F9"/>
    <w:rsid w:val="00A45464"/>
    <w:rsid w:val="00A45EF9"/>
    <w:rsid w:val="00A509EE"/>
    <w:rsid w:val="00A5427A"/>
    <w:rsid w:val="00A6548F"/>
    <w:rsid w:val="00A86786"/>
    <w:rsid w:val="00A86D11"/>
    <w:rsid w:val="00A92DA4"/>
    <w:rsid w:val="00A97627"/>
    <w:rsid w:val="00AA21F9"/>
    <w:rsid w:val="00AA44D1"/>
    <w:rsid w:val="00AB2348"/>
    <w:rsid w:val="00AC7FCE"/>
    <w:rsid w:val="00AD3A18"/>
    <w:rsid w:val="00AD4973"/>
    <w:rsid w:val="00AE53A9"/>
    <w:rsid w:val="00AE7881"/>
    <w:rsid w:val="00B04B2B"/>
    <w:rsid w:val="00B202A8"/>
    <w:rsid w:val="00B26224"/>
    <w:rsid w:val="00B336D1"/>
    <w:rsid w:val="00B36258"/>
    <w:rsid w:val="00B40897"/>
    <w:rsid w:val="00B513B1"/>
    <w:rsid w:val="00B55AF7"/>
    <w:rsid w:val="00B5738D"/>
    <w:rsid w:val="00B72327"/>
    <w:rsid w:val="00BB2757"/>
    <w:rsid w:val="00BB2782"/>
    <w:rsid w:val="00BB540F"/>
    <w:rsid w:val="00BB7900"/>
    <w:rsid w:val="00BC52D5"/>
    <w:rsid w:val="00BE1832"/>
    <w:rsid w:val="00BE7E25"/>
    <w:rsid w:val="00C03088"/>
    <w:rsid w:val="00C0747D"/>
    <w:rsid w:val="00C07677"/>
    <w:rsid w:val="00C12745"/>
    <w:rsid w:val="00C13C11"/>
    <w:rsid w:val="00C20A2B"/>
    <w:rsid w:val="00C20FD1"/>
    <w:rsid w:val="00C236D9"/>
    <w:rsid w:val="00C33871"/>
    <w:rsid w:val="00C51C34"/>
    <w:rsid w:val="00C52951"/>
    <w:rsid w:val="00C63FEC"/>
    <w:rsid w:val="00C675C9"/>
    <w:rsid w:val="00C67E23"/>
    <w:rsid w:val="00C71067"/>
    <w:rsid w:val="00C777FE"/>
    <w:rsid w:val="00C800F0"/>
    <w:rsid w:val="00CA4032"/>
    <w:rsid w:val="00CC1D3F"/>
    <w:rsid w:val="00CE5479"/>
    <w:rsid w:val="00CF7856"/>
    <w:rsid w:val="00D05E56"/>
    <w:rsid w:val="00D06CBE"/>
    <w:rsid w:val="00D20391"/>
    <w:rsid w:val="00D22E1C"/>
    <w:rsid w:val="00D23AE9"/>
    <w:rsid w:val="00D3165D"/>
    <w:rsid w:val="00D317FA"/>
    <w:rsid w:val="00D46AF8"/>
    <w:rsid w:val="00D5203D"/>
    <w:rsid w:val="00D555FE"/>
    <w:rsid w:val="00D70F1E"/>
    <w:rsid w:val="00D75A00"/>
    <w:rsid w:val="00D77877"/>
    <w:rsid w:val="00D81B4B"/>
    <w:rsid w:val="00D93D42"/>
    <w:rsid w:val="00D9755C"/>
    <w:rsid w:val="00DA2594"/>
    <w:rsid w:val="00DB03C6"/>
    <w:rsid w:val="00DB3E6E"/>
    <w:rsid w:val="00DB5D8D"/>
    <w:rsid w:val="00DC3EC8"/>
    <w:rsid w:val="00DD0BD7"/>
    <w:rsid w:val="00DE7F7A"/>
    <w:rsid w:val="00DF01C3"/>
    <w:rsid w:val="00DF5924"/>
    <w:rsid w:val="00E01772"/>
    <w:rsid w:val="00E25366"/>
    <w:rsid w:val="00E428DC"/>
    <w:rsid w:val="00E45E9F"/>
    <w:rsid w:val="00E52A01"/>
    <w:rsid w:val="00E60E7F"/>
    <w:rsid w:val="00E7665C"/>
    <w:rsid w:val="00E82685"/>
    <w:rsid w:val="00E87665"/>
    <w:rsid w:val="00EA24E0"/>
    <w:rsid w:val="00EB22D1"/>
    <w:rsid w:val="00EB52BE"/>
    <w:rsid w:val="00EB61F6"/>
    <w:rsid w:val="00EB7255"/>
    <w:rsid w:val="00EE06FB"/>
    <w:rsid w:val="00EE2F85"/>
    <w:rsid w:val="00EE3E19"/>
    <w:rsid w:val="00EE71AB"/>
    <w:rsid w:val="00F0043D"/>
    <w:rsid w:val="00F040FB"/>
    <w:rsid w:val="00F20CEC"/>
    <w:rsid w:val="00F27070"/>
    <w:rsid w:val="00F3030D"/>
    <w:rsid w:val="00F30504"/>
    <w:rsid w:val="00F323A6"/>
    <w:rsid w:val="00F44876"/>
    <w:rsid w:val="00F56BBE"/>
    <w:rsid w:val="00F6690E"/>
    <w:rsid w:val="00F67353"/>
    <w:rsid w:val="00F83FE2"/>
    <w:rsid w:val="00F86FBE"/>
    <w:rsid w:val="00FA31F4"/>
    <w:rsid w:val="00FB4B44"/>
    <w:rsid w:val="00FB5011"/>
    <w:rsid w:val="00FC1EED"/>
    <w:rsid w:val="00FC24DF"/>
    <w:rsid w:val="00FC6A30"/>
    <w:rsid w:val="00FC76D6"/>
    <w:rsid w:val="00FD261A"/>
    <w:rsid w:val="00FE245C"/>
    <w:rsid w:val="00FE6717"/>
    <w:rsid w:val="00FF4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09D8169"/>
  <w15:chartTrackingRefBased/>
  <w15:docId w15:val="{E0ECF14B-C95C-4F3A-A2DE-5C2F2CB25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216"/>
    <w:rPr>
      <w:lang w:val="fr-BE"/>
    </w:rPr>
  </w:style>
  <w:style w:type="paragraph" w:styleId="Heading1">
    <w:name w:val="heading 1"/>
    <w:basedOn w:val="Normal"/>
    <w:next w:val="Normal"/>
    <w:link w:val="Heading1Char"/>
    <w:uiPriority w:val="9"/>
    <w:qFormat/>
    <w:rsid w:val="00656B7F"/>
    <w:pPr>
      <w:numPr>
        <w:numId w:val="3"/>
      </w:numPr>
      <w:spacing w:before="240" w:after="0"/>
      <w:jc w:val="both"/>
      <w:outlineLvl w:val="0"/>
    </w:pPr>
    <w:rPr>
      <w:rFonts w:ascii="Times New Roman" w:hAnsi="Times New Roman" w:cs="Times New Roman"/>
      <w:b/>
      <w:sz w:val="24"/>
      <w:szCs w:val="24"/>
      <w:lang w:val="en-US"/>
    </w:rPr>
  </w:style>
  <w:style w:type="paragraph" w:styleId="Heading2">
    <w:name w:val="heading 2"/>
    <w:basedOn w:val="ListParagraph"/>
    <w:next w:val="Normal"/>
    <w:link w:val="Heading2Char"/>
    <w:uiPriority w:val="9"/>
    <w:unhideWhenUsed/>
    <w:qFormat/>
    <w:rsid w:val="00656B7F"/>
    <w:pPr>
      <w:numPr>
        <w:ilvl w:val="1"/>
        <w:numId w:val="1"/>
      </w:numPr>
      <w:spacing w:before="360"/>
      <w:ind w:left="714" w:hanging="357"/>
      <w:contextualSpacing w:val="0"/>
      <w:outlineLvl w:val="1"/>
    </w:pPr>
    <w:rPr>
      <w:rFonts w:ascii="Times New Roman" w:hAnsi="Times New Roman" w:cs="Times New Roman"/>
      <w:b/>
      <w:sz w:val="24"/>
      <w:szCs w:val="24"/>
      <w:lang w:val="en-I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A2B"/>
    <w:pPr>
      <w:ind w:left="720"/>
      <w:contextualSpacing/>
    </w:pPr>
  </w:style>
  <w:style w:type="paragraph" w:styleId="Caption">
    <w:name w:val="caption"/>
    <w:basedOn w:val="Normal"/>
    <w:next w:val="Normal"/>
    <w:uiPriority w:val="35"/>
    <w:unhideWhenUsed/>
    <w:qFormat/>
    <w:rsid w:val="0021742F"/>
    <w:pPr>
      <w:spacing w:after="200" w:line="240" w:lineRule="auto"/>
    </w:pPr>
    <w:rPr>
      <w:i/>
      <w:iCs/>
      <w:color w:val="44546A" w:themeColor="text2"/>
      <w:sz w:val="18"/>
      <w:szCs w:val="18"/>
    </w:rPr>
  </w:style>
  <w:style w:type="paragraph" w:styleId="Header">
    <w:name w:val="header"/>
    <w:basedOn w:val="Normal"/>
    <w:link w:val="HeaderChar"/>
    <w:uiPriority w:val="99"/>
    <w:unhideWhenUsed/>
    <w:rsid w:val="002174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742F"/>
    <w:rPr>
      <w:lang w:val="fr-BE"/>
    </w:rPr>
  </w:style>
  <w:style w:type="paragraph" w:styleId="Footer">
    <w:name w:val="footer"/>
    <w:basedOn w:val="Normal"/>
    <w:link w:val="FooterChar"/>
    <w:uiPriority w:val="99"/>
    <w:unhideWhenUsed/>
    <w:rsid w:val="0021742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742F"/>
    <w:rPr>
      <w:lang w:val="fr-BE"/>
    </w:rPr>
  </w:style>
  <w:style w:type="paragraph" w:styleId="FootnoteText">
    <w:name w:val="footnote text"/>
    <w:aliases w:val="Schriftart: 9 pt,Schriftart: 10 pt,Schriftart: 8 pt,WB-Fußnotentext,fn,Footnotes,Footnote ak,Fußnotentextf,Fußnotentextr,stile 1,Footnote1,Footnote2,Footnote3,Footnote4,Footnote5,Footnote6,Footnote7,Footnote8,Footnote9,Footnote10"/>
    <w:basedOn w:val="Normal"/>
    <w:link w:val="FootnoteTextChar"/>
    <w:uiPriority w:val="99"/>
    <w:qFormat/>
    <w:rsid w:val="0049482C"/>
    <w:pPr>
      <w:spacing w:after="240" w:line="240" w:lineRule="auto"/>
      <w:ind w:left="357" w:hanging="357"/>
      <w:jc w:val="both"/>
    </w:pPr>
    <w:rPr>
      <w:rFonts w:ascii="Times New Roman" w:eastAsia="Times New Roman" w:hAnsi="Times New Roman" w:cs="Times New Roman"/>
      <w:sz w:val="20"/>
      <w:szCs w:val="20"/>
      <w:lang w:val="en-GB"/>
    </w:rPr>
  </w:style>
  <w:style w:type="character" w:customStyle="1" w:styleId="FootnoteTextChar">
    <w:name w:val="Footnote Text Char"/>
    <w:aliases w:val="Schriftart: 9 pt Char,Schriftart: 10 pt Char,Schriftart: 8 pt Char,WB-Fußnotentext Char,fn Char,Footnotes Char,Footnote ak Char,Fußnotentextf Char,Fußnotentextr Char,stile 1 Char,Footnote1 Char,Footnote2 Char,Footnote3 Char"/>
    <w:basedOn w:val="DefaultParagraphFont"/>
    <w:link w:val="FootnoteText"/>
    <w:uiPriority w:val="99"/>
    <w:qFormat/>
    <w:rsid w:val="0049482C"/>
    <w:rPr>
      <w:rFonts w:ascii="Times New Roman" w:eastAsia="Times New Roman" w:hAnsi="Times New Roman" w:cs="Times New Roman"/>
      <w:sz w:val="20"/>
      <w:szCs w:val="20"/>
    </w:rPr>
  </w:style>
  <w:style w:type="character" w:styleId="FootnoteReference">
    <w:name w:val="footnote reference"/>
    <w:aliases w:val="Footnote symbol,Footnote,Voetnootverwijzing,Footnote number,fr,o,Footnotemark,FR,Footnotemark1,Footnotemark2,FR1,Footnotemark3,FR2,Footnotemark4,FR3,Footnotemark5,FR4,Footnotemark6,Footnotemark7,Footnotemark8,FR5,Footnotemark11,F,SUPE"/>
    <w:link w:val="CharCharChar"/>
    <w:uiPriority w:val="99"/>
    <w:qFormat/>
    <w:rsid w:val="0049482C"/>
    <w:rPr>
      <w:vertAlign w:val="superscript"/>
    </w:rPr>
  </w:style>
  <w:style w:type="paragraph" w:customStyle="1" w:styleId="CharCharChar">
    <w:name w:val="Char Char Char"/>
    <w:basedOn w:val="Normal"/>
    <w:link w:val="FootnoteReference"/>
    <w:uiPriority w:val="99"/>
    <w:rsid w:val="0049482C"/>
    <w:pPr>
      <w:spacing w:line="240" w:lineRule="exact"/>
    </w:pPr>
    <w:rPr>
      <w:vertAlign w:val="superscript"/>
      <w:lang w:val="en-GB"/>
    </w:rPr>
  </w:style>
  <w:style w:type="character" w:styleId="Hyperlink">
    <w:name w:val="Hyperlink"/>
    <w:basedOn w:val="DefaultParagraphFont"/>
    <w:uiPriority w:val="99"/>
    <w:unhideWhenUsed/>
    <w:rsid w:val="0049482C"/>
    <w:rPr>
      <w:color w:val="0563C1" w:themeColor="hyperlink"/>
      <w:u w:val="single"/>
    </w:rPr>
  </w:style>
  <w:style w:type="paragraph" w:styleId="BalloonText">
    <w:name w:val="Balloon Text"/>
    <w:basedOn w:val="Normal"/>
    <w:link w:val="BalloonTextChar"/>
    <w:uiPriority w:val="99"/>
    <w:semiHidden/>
    <w:unhideWhenUsed/>
    <w:rsid w:val="000169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69D0"/>
    <w:rPr>
      <w:rFonts w:ascii="Segoe UI" w:hAnsi="Segoe UI" w:cs="Segoe UI"/>
      <w:sz w:val="18"/>
      <w:szCs w:val="18"/>
      <w:lang w:val="fr-BE"/>
    </w:rPr>
  </w:style>
  <w:style w:type="character" w:styleId="CommentReference">
    <w:name w:val="annotation reference"/>
    <w:basedOn w:val="DefaultParagraphFont"/>
    <w:uiPriority w:val="99"/>
    <w:semiHidden/>
    <w:unhideWhenUsed/>
    <w:rsid w:val="000169D0"/>
    <w:rPr>
      <w:sz w:val="16"/>
      <w:szCs w:val="16"/>
    </w:rPr>
  </w:style>
  <w:style w:type="paragraph" w:styleId="CommentText">
    <w:name w:val="annotation text"/>
    <w:basedOn w:val="Normal"/>
    <w:link w:val="CommentTextChar"/>
    <w:uiPriority w:val="99"/>
    <w:unhideWhenUsed/>
    <w:rsid w:val="000169D0"/>
    <w:pPr>
      <w:spacing w:line="240" w:lineRule="auto"/>
    </w:pPr>
    <w:rPr>
      <w:sz w:val="20"/>
      <w:szCs w:val="20"/>
    </w:rPr>
  </w:style>
  <w:style w:type="character" w:customStyle="1" w:styleId="CommentTextChar">
    <w:name w:val="Comment Text Char"/>
    <w:basedOn w:val="DefaultParagraphFont"/>
    <w:link w:val="CommentText"/>
    <w:uiPriority w:val="99"/>
    <w:rsid w:val="000169D0"/>
    <w:rPr>
      <w:sz w:val="20"/>
      <w:szCs w:val="20"/>
      <w:lang w:val="fr-BE"/>
    </w:rPr>
  </w:style>
  <w:style w:type="paragraph" w:styleId="CommentSubject">
    <w:name w:val="annotation subject"/>
    <w:basedOn w:val="CommentText"/>
    <w:next w:val="CommentText"/>
    <w:link w:val="CommentSubjectChar"/>
    <w:uiPriority w:val="99"/>
    <w:semiHidden/>
    <w:unhideWhenUsed/>
    <w:rsid w:val="000169D0"/>
    <w:rPr>
      <w:b/>
      <w:bCs/>
    </w:rPr>
  </w:style>
  <w:style w:type="character" w:customStyle="1" w:styleId="CommentSubjectChar">
    <w:name w:val="Comment Subject Char"/>
    <w:basedOn w:val="CommentTextChar"/>
    <w:link w:val="CommentSubject"/>
    <w:uiPriority w:val="99"/>
    <w:semiHidden/>
    <w:rsid w:val="000169D0"/>
    <w:rPr>
      <w:b/>
      <w:bCs/>
      <w:sz w:val="20"/>
      <w:szCs w:val="20"/>
      <w:lang w:val="fr-BE"/>
    </w:rPr>
  </w:style>
  <w:style w:type="character" w:styleId="FollowedHyperlink">
    <w:name w:val="FollowedHyperlink"/>
    <w:basedOn w:val="DefaultParagraphFont"/>
    <w:uiPriority w:val="99"/>
    <w:semiHidden/>
    <w:unhideWhenUsed/>
    <w:rsid w:val="008B4E47"/>
    <w:rPr>
      <w:color w:val="954F72" w:themeColor="followedHyperlink"/>
      <w:u w:val="single"/>
    </w:rPr>
  </w:style>
  <w:style w:type="paragraph" w:styleId="Revision">
    <w:name w:val="Revision"/>
    <w:hidden/>
    <w:uiPriority w:val="99"/>
    <w:semiHidden/>
    <w:rsid w:val="00B40897"/>
    <w:pPr>
      <w:spacing w:after="0" w:line="240" w:lineRule="auto"/>
    </w:pPr>
    <w:rPr>
      <w:lang w:val="fr-BE"/>
    </w:rPr>
  </w:style>
  <w:style w:type="character" w:customStyle="1" w:styleId="Marker">
    <w:name w:val="Marker"/>
    <w:basedOn w:val="DefaultParagraphFont"/>
    <w:rsid w:val="0070434C"/>
    <w:rPr>
      <w:color w:val="0000FF"/>
      <w:shd w:val="clear" w:color="auto" w:fill="auto"/>
    </w:rPr>
  </w:style>
  <w:style w:type="paragraph" w:customStyle="1" w:styleId="Pagedecouverture">
    <w:name w:val="Page de couverture"/>
    <w:basedOn w:val="Normal"/>
    <w:next w:val="Normal"/>
    <w:rsid w:val="0070434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70434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70434C"/>
    <w:rPr>
      <w:rFonts w:ascii="Times New Roman" w:hAnsi="Times New Roman" w:cs="Times New Roman"/>
      <w:sz w:val="24"/>
      <w:lang w:val="fr-BE"/>
    </w:rPr>
  </w:style>
  <w:style w:type="paragraph" w:customStyle="1" w:styleId="FooterSensitivity">
    <w:name w:val="Footer Sensitivity"/>
    <w:basedOn w:val="Normal"/>
    <w:link w:val="FooterSensitivityChar"/>
    <w:rsid w:val="0070434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70434C"/>
    <w:rPr>
      <w:rFonts w:ascii="Times New Roman" w:hAnsi="Times New Roman" w:cs="Times New Roman"/>
      <w:b/>
      <w:sz w:val="32"/>
      <w:lang w:val="fr-BE"/>
    </w:rPr>
  </w:style>
  <w:style w:type="paragraph" w:customStyle="1" w:styleId="HeaderCoverPage">
    <w:name w:val="Header Cover Page"/>
    <w:basedOn w:val="Normal"/>
    <w:link w:val="HeaderCoverPageChar"/>
    <w:rsid w:val="0070434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70434C"/>
    <w:rPr>
      <w:rFonts w:ascii="Times New Roman" w:hAnsi="Times New Roman" w:cs="Times New Roman"/>
      <w:sz w:val="24"/>
      <w:lang w:val="fr-BE"/>
    </w:rPr>
  </w:style>
  <w:style w:type="paragraph" w:customStyle="1" w:styleId="HeaderSensitivity">
    <w:name w:val="Header Sensitivity"/>
    <w:basedOn w:val="Normal"/>
    <w:link w:val="HeaderSensitivityChar"/>
    <w:rsid w:val="0070434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70434C"/>
    <w:rPr>
      <w:rFonts w:ascii="Times New Roman" w:hAnsi="Times New Roman" w:cs="Times New Roman"/>
      <w:b/>
      <w:sz w:val="32"/>
      <w:lang w:val="fr-BE"/>
    </w:rPr>
  </w:style>
  <w:style w:type="paragraph" w:customStyle="1" w:styleId="HeaderSensitivityRight">
    <w:name w:val="Header Sensitivity Right"/>
    <w:basedOn w:val="Normal"/>
    <w:link w:val="HeaderSensitivityRightChar"/>
    <w:rsid w:val="0070434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70434C"/>
    <w:rPr>
      <w:rFonts w:ascii="Times New Roman" w:hAnsi="Times New Roman" w:cs="Times New Roman"/>
      <w:sz w:val="28"/>
      <w:lang w:val="fr-BE"/>
    </w:rPr>
  </w:style>
  <w:style w:type="character" w:customStyle="1" w:styleId="Heading2Char">
    <w:name w:val="Heading 2 Char"/>
    <w:basedOn w:val="DefaultParagraphFont"/>
    <w:link w:val="Heading2"/>
    <w:uiPriority w:val="9"/>
    <w:rsid w:val="00656B7F"/>
    <w:rPr>
      <w:rFonts w:ascii="Times New Roman" w:hAnsi="Times New Roman" w:cs="Times New Roman"/>
      <w:b/>
      <w:sz w:val="24"/>
      <w:szCs w:val="24"/>
      <w:lang w:val="en-IE"/>
    </w:rPr>
  </w:style>
  <w:style w:type="character" w:customStyle="1" w:styleId="Heading1Char">
    <w:name w:val="Heading 1 Char"/>
    <w:basedOn w:val="DefaultParagraphFont"/>
    <w:link w:val="Heading1"/>
    <w:uiPriority w:val="9"/>
    <w:rsid w:val="00656B7F"/>
    <w:rPr>
      <w:rFonts w:ascii="Times New Roman"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7421">
      <w:bodyDiv w:val="1"/>
      <w:marLeft w:val="0"/>
      <w:marRight w:val="0"/>
      <w:marTop w:val="0"/>
      <w:marBottom w:val="0"/>
      <w:divBdr>
        <w:top w:val="none" w:sz="0" w:space="0" w:color="auto"/>
        <w:left w:val="none" w:sz="0" w:space="0" w:color="auto"/>
        <w:bottom w:val="none" w:sz="0" w:space="0" w:color="auto"/>
        <w:right w:val="none" w:sz="0" w:space="0" w:color="auto"/>
      </w:divBdr>
    </w:div>
    <w:div w:id="741562585">
      <w:bodyDiv w:val="1"/>
      <w:marLeft w:val="0"/>
      <w:marRight w:val="0"/>
      <w:marTop w:val="0"/>
      <w:marBottom w:val="0"/>
      <w:divBdr>
        <w:top w:val="none" w:sz="0" w:space="0" w:color="auto"/>
        <w:left w:val="none" w:sz="0" w:space="0" w:color="auto"/>
        <w:bottom w:val="none" w:sz="0" w:space="0" w:color="auto"/>
        <w:right w:val="none" w:sz="0" w:space="0" w:color="auto"/>
      </w:divBdr>
    </w:div>
    <w:div w:id="1882210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8.png"/><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image" Target="media/image3.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eader" Target="header4.xml"/><Relationship Id="rId30" Type="http://schemas.openxmlformats.org/officeDocument/2006/relationships/footer" Target="footer5.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commission/presscorner/detail/en/IP_22_3131" TargetMode="External"/><Relationship Id="rId2" Type="http://schemas.openxmlformats.org/officeDocument/2006/relationships/hyperlink" Target="https://unfccc.int/sites/default/files/resource/cma2021_10_add1_adv.pdf" TargetMode="External"/><Relationship Id="rId1" Type="http://schemas.openxmlformats.org/officeDocument/2006/relationships/hyperlink" Target="https://ec.europa.eu/energy/sites/default/files/annex_to_the_state_of_the_energy_union_report_on_energy_subsidies_in_the_eu.pdf" TargetMode="External"/><Relationship Id="rId6" Type="http://schemas.openxmlformats.org/officeDocument/2006/relationships/hyperlink" Target="https://www.wto.org/english/tratop_e/scm_e/scm_e.htm" TargetMode="External"/><Relationship Id="rId5" Type="http://schemas.openxmlformats.org/officeDocument/2006/relationships/hyperlink" Target="https://op.europa.eu/en/publication-detail/-/publication/34a55767-55a1-11ed-92ed-01aa75ed71a1" TargetMode="External"/><Relationship Id="rId4" Type="http://schemas.openxmlformats.org/officeDocument/2006/relationships/hyperlink" Target="https://eur-lex.europa.eu/legal-content/EN/TXT/PDF/?uri=CELEX:32021R2139&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D48F1434A9434C98DA00CC7DA69B89" ma:contentTypeVersion="6" ma:contentTypeDescription="Create a new document." ma:contentTypeScope="" ma:versionID="0ecfa022e708995d77d6e294d7a62c32">
  <xsd:schema xmlns:xsd="http://www.w3.org/2001/XMLSchema" xmlns:xs="http://www.w3.org/2001/XMLSchema" xmlns:p="http://schemas.microsoft.com/office/2006/metadata/properties" xmlns:ns2="590d3f1b-a5be-4600-95ba-480499bda195" xmlns:ns3="f2983581-87cd-4b3a-a77a-777bbb751c49" targetNamespace="http://schemas.microsoft.com/office/2006/metadata/properties" ma:root="true" ma:fieldsID="a359290286bd2bc37f9e93da6ed0819a" ns2:_="" ns3:_="">
    <xsd:import namespace="590d3f1b-a5be-4600-95ba-480499bda195"/>
    <xsd:import namespace="f2983581-87cd-4b3a-a77a-777bbb751c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d3f1b-a5be-4600-95ba-480499bda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2983581-87cd-4b3a-a77a-777bbb751c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0E094-E930-4C13-8EBF-453A647C1C8B}">
  <ds:schemaRefs>
    <ds:schemaRef ds:uri="http://schemas.microsoft.com/sharepoint/v3/contenttype/forms"/>
  </ds:schemaRefs>
</ds:datastoreItem>
</file>

<file path=customXml/itemProps2.xml><?xml version="1.0" encoding="utf-8"?>
<ds:datastoreItem xmlns:ds="http://schemas.openxmlformats.org/officeDocument/2006/customXml" ds:itemID="{E13E09AE-93AD-42BA-8C76-F2914DE47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d3f1b-a5be-4600-95ba-480499bda195"/>
    <ds:schemaRef ds:uri="f2983581-87cd-4b3a-a77a-777bbb751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1C6558-9873-4B63-8779-EA5F0549F22A}">
  <ds:schemaRefs>
    <ds:schemaRef ds:uri="590d3f1b-a5be-4600-95ba-480499bda195"/>
    <ds:schemaRef ds:uri="http://schemas.microsoft.com/office/2006/documentManagement/types"/>
    <ds:schemaRef ds:uri="http://purl.org/dc/terms/"/>
    <ds:schemaRef ds:uri="http://purl.org/dc/dcmitype/"/>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f2983581-87cd-4b3a-a77a-777bbb751c49"/>
    <ds:schemaRef ds:uri="http://www.w3.org/XML/1998/namespace"/>
  </ds:schemaRefs>
</ds:datastoreItem>
</file>

<file path=customXml/itemProps4.xml><?xml version="1.0" encoding="utf-8"?>
<ds:datastoreItem xmlns:ds="http://schemas.openxmlformats.org/officeDocument/2006/customXml" ds:itemID="{43051918-DB6A-461B-B629-A3CF5E75E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5614</Words>
  <Characters>30771</Characters>
  <Application>Microsoft Office Word</Application>
  <DocSecurity>0</DocSecurity>
  <Lines>445</Lines>
  <Paragraphs>94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27</cp:revision>
  <dcterms:created xsi:type="dcterms:W3CDTF">2022-11-08T07:48:00Z</dcterms:created>
  <dcterms:modified xsi:type="dcterms:W3CDTF">2022-11-15T09:27:00Z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27f4bb7e-b2f0-40c2-852c-6353e8eefaeb</vt:lpwstr>
  </property>
  <property fmtid="{D5CDD505-2E9C-101B-9397-08002B2CF9AE}" pid="3" name="Level of sensitivity">
    <vt:lpwstr>Standard treatment</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CP-006</vt:lpwstr>
  </property>
  <property fmtid="{D5CDD505-2E9C-101B-9397-08002B2CF9AE}" pid="8" name="Last edited using">
    <vt:lpwstr>LW 8.1, Build 20220902</vt:lpwstr>
  </property>
  <property fmtid="{D5CDD505-2E9C-101B-9397-08002B2CF9AE}" pid="9" name="Created using">
    <vt:lpwstr>LW 7.0.1, Build 20200226</vt:lpwstr>
  </property>
  <property fmtid="{D5CDD505-2E9C-101B-9397-08002B2CF9AE}" pid="10" name="ContentTypeId">
    <vt:lpwstr>0x010100DAD48F1434A9434C98DA00CC7DA69B89</vt:lpwstr>
  </property>
  <property fmtid="{D5CDD505-2E9C-101B-9397-08002B2CF9AE}" pid="11" name="IsMyDocuments">
    <vt:bool>true</vt:bool>
  </property>
  <property fmtid="{D5CDD505-2E9C-101B-9397-08002B2CF9AE}" pid="12" name="MSIP_Label_6bd9ddd1-4d20-43f6-abfa-fc3c07406f94_Enabled">
    <vt:lpwstr>true</vt:lpwstr>
  </property>
  <property fmtid="{D5CDD505-2E9C-101B-9397-08002B2CF9AE}" pid="13" name="MSIP_Label_6bd9ddd1-4d20-43f6-abfa-fc3c07406f94_SetDate">
    <vt:lpwstr>2022-09-02T18:25:05Z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8de379e4-b05f-45b4-89b9-08d261115afa</vt:lpwstr>
  </property>
  <property fmtid="{D5CDD505-2E9C-101B-9397-08002B2CF9AE}" pid="18" name="MSIP_Label_6bd9ddd1-4d20-43f6-abfa-fc3c07406f94_ContentBits">
    <vt:lpwstr>0</vt:lpwstr>
  </property>
</Properties>
</file>