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22438" w14:textId="36EAC314" w:rsidR="00A51F28" w:rsidRPr="0014596D" w:rsidRDefault="00011783" w:rsidP="00011783">
      <w:pPr>
        <w:pStyle w:val="Pagedecouverture"/>
        <w:rPr>
          <w:noProof/>
        </w:rPr>
      </w:pPr>
      <w:bookmarkStart w:id="0" w:name="LW_BM_COVERPAGE"/>
      <w:r>
        <w:rPr>
          <w:noProof/>
        </w:rPr>
        <w:pict w14:anchorId="0EDB3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00929EA-6D26-4B17-B2F3-BE7E3A796485" style="width:455.25pt;height:336.75pt">
            <v:imagedata r:id="rId11" o:title=""/>
          </v:shape>
        </w:pict>
      </w:r>
    </w:p>
    <w:bookmarkEnd w:id="0"/>
    <w:p w14:paraId="14346CC9" w14:textId="77777777" w:rsidR="00A51F28" w:rsidRPr="0014596D" w:rsidRDefault="00A51F28" w:rsidP="00B67C89">
      <w:pPr>
        <w:spacing w:line="276" w:lineRule="auto"/>
        <w:jc w:val="both"/>
        <w:rPr>
          <w:rFonts w:ascii="Times New Roman" w:hAnsi="Times New Roman"/>
          <w:noProof/>
        </w:rPr>
        <w:sectPr w:rsidR="00A51F28" w:rsidRPr="0014596D" w:rsidSect="00011783">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3A3E18D6" w14:textId="77777777" w:rsidR="00305FA4" w:rsidRPr="0014596D" w:rsidRDefault="00305FA4" w:rsidP="00605EC6">
      <w:pPr>
        <w:numPr>
          <w:ilvl w:val="0"/>
          <w:numId w:val="1"/>
        </w:numPr>
        <w:spacing w:before="240" w:line="276" w:lineRule="auto"/>
        <w:ind w:left="720"/>
        <w:contextualSpacing/>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Úvod</w:t>
      </w:r>
    </w:p>
    <w:p w14:paraId="7B4B9DF5" w14:textId="77777777" w:rsidR="00305FA4" w:rsidRPr="0014596D" w:rsidRDefault="00305FA4" w:rsidP="00605EC6">
      <w:pPr>
        <w:widowControl w:val="0"/>
        <w:spacing w:before="240" w:line="276" w:lineRule="auto"/>
        <w:jc w:val="both"/>
        <w:rPr>
          <w:rFonts w:ascii="Times New Roman" w:eastAsia="Calibri" w:hAnsi="Times New Roman" w:cs="Times New Roman"/>
          <w:noProof/>
          <w:sz w:val="24"/>
          <w:szCs w:val="24"/>
        </w:rPr>
      </w:pPr>
      <w:r>
        <w:rPr>
          <w:rFonts w:ascii="Times New Roman" w:hAnsi="Times New Roman"/>
          <w:noProof/>
          <w:sz w:val="24"/>
        </w:rPr>
        <w:t>Schengenský prostor bez kontrol na vnitřních hranicích (dále jen „schengenský prostor“) patří k nejsymboličtějším úspěchům evropské integrace a k nejhmatatelnějším projevům evropského způsobu života, který podporuje hospodářství a spojuje Evropany napříč vnitřními hranicemi.</w:t>
      </w:r>
    </w:p>
    <w:p w14:paraId="1EF7C681" w14:textId="77777777" w:rsidR="003F7795" w:rsidRPr="0014596D" w:rsidRDefault="00305FA4" w:rsidP="00605EC6">
      <w:pPr>
        <w:widowControl w:val="0"/>
        <w:spacing w:before="120" w:after="0" w:line="276" w:lineRule="auto"/>
        <w:jc w:val="both"/>
        <w:rPr>
          <w:rFonts w:ascii="Times New Roman" w:eastAsia="Calibri" w:hAnsi="Times New Roman" w:cs="Times New Roman"/>
          <w:noProof/>
          <w:sz w:val="24"/>
          <w:szCs w:val="24"/>
        </w:rPr>
      </w:pPr>
      <w:r>
        <w:rPr>
          <w:rFonts w:ascii="Times New Roman" w:hAnsi="Times New Roman"/>
          <w:noProof/>
          <w:sz w:val="24"/>
        </w:rPr>
        <w:t>To, co začalo v roce 1985 jako mezivládní projekt pěti členských států – Francie, Německa, Belgie, Nizozemska a Lucemburska –, se během sedmi fází rozšiřování postupně rozrostlo a dnes se z tohoto projektu stal největší prostor volného pohybu na světě. Přínosy zrušení vnitřních hranic jsou dnes stejně přesvědčivé jako v roce 1985. Schengen je realitou pro miliony: každý den překračuje vnitřní hranice přibližně 3,5 milionu lidí za účelem práce, studia nebo návštěvy rodiny a přátel. Schengen posílil naši kolektivní bezpečnost a umožnil orgánům členských států úzce spolupracovat. Kromě toho je schengenský prostor koncipován jako základ Evropské unie a jejího jednotného trhu jako celku. V současné náročné geopolitické a hospodářské situaci je plně funkční a dokončený schengenský prostor zásadní pro stabilitu, odolnost a oživení.</w:t>
      </w:r>
    </w:p>
    <w:p w14:paraId="2286F824" w14:textId="48068C15" w:rsidR="00305FA4" w:rsidRPr="0014596D" w:rsidRDefault="00570A22" w:rsidP="00605EC6">
      <w:pPr>
        <w:widowControl w:val="0"/>
        <w:spacing w:before="120" w:after="0" w:line="276" w:lineRule="auto"/>
        <w:jc w:val="both"/>
        <w:rPr>
          <w:rFonts w:ascii="Times New Roman" w:eastAsia="Calibri" w:hAnsi="Times New Roman" w:cs="Times New Roman"/>
          <w:noProof/>
          <w:sz w:val="24"/>
          <w:szCs w:val="24"/>
        </w:rPr>
      </w:pPr>
      <w:r>
        <w:rPr>
          <w:rFonts w:ascii="Times New Roman" w:hAnsi="Times New Roman"/>
          <w:noProof/>
          <w:sz w:val="24"/>
        </w:rPr>
        <w:t xml:space="preserve">Schengenský prostor v současnosti zahrnuje 26 zemí a rozkládá se na ploše 4 milionů kilometrů čtverečních s téměř 420 miliony obyvatel. Schengenského prostoru se účastní 22 členských států EU. Kromě jednoho mají všechny ostatní členské státy povinnost a právo přistoupit k schengenskému prostoru, jakmile splní dané podmínky. Čtyři ze zbývajících pěti členských států, konkrétně Bulharsko, Chorvatsko, Kypr a Rumunsko, jsou již schengenským </w:t>
      </w:r>
      <w:r>
        <w:rPr>
          <w:rFonts w:ascii="Times New Roman" w:hAnsi="Times New Roman"/>
          <w:i/>
          <w:noProof/>
          <w:sz w:val="24"/>
        </w:rPr>
        <w:t>acquis</w:t>
      </w:r>
      <w:r>
        <w:rPr>
          <w:rFonts w:ascii="Times New Roman" w:hAnsi="Times New Roman"/>
          <w:noProof/>
          <w:sz w:val="24"/>
        </w:rPr>
        <w:t xml:space="preserve"> částečně vázány, avšak kontroly na vnitřních hranicích s těmito členskými státy dosud nebyly zrušeny. Některých důležitých částí schengenské struktury (s výjimkou </w:t>
      </w:r>
      <w:r>
        <w:rPr>
          <w:rFonts w:ascii="Times New Roman" w:hAnsi="Times New Roman"/>
          <w:i/>
          <w:noProof/>
          <w:sz w:val="24"/>
        </w:rPr>
        <w:t>acquis</w:t>
      </w:r>
      <w:r>
        <w:rPr>
          <w:rFonts w:ascii="Times New Roman" w:hAnsi="Times New Roman"/>
          <w:noProof/>
          <w:sz w:val="24"/>
        </w:rPr>
        <w:t xml:space="preserve"> týkajícího se vnějších hranic a zrušení kontrol na vnitřních hranicích) se účastní Irsko. Čtyři země, které nejsou členy EU – Island, Lichtenštejnsko, Norsko a Švýcarsko, podepsaly s Unií dohody o přidružení k uplatňování schengenského </w:t>
      </w:r>
      <w:r>
        <w:rPr>
          <w:rFonts w:ascii="Times New Roman" w:hAnsi="Times New Roman"/>
          <w:i/>
          <w:noProof/>
          <w:sz w:val="24"/>
        </w:rPr>
        <w:t>acquis</w:t>
      </w:r>
      <w:r>
        <w:rPr>
          <w:rFonts w:ascii="Times New Roman" w:hAnsi="Times New Roman"/>
          <w:noProof/>
          <w:sz w:val="24"/>
        </w:rPr>
        <w:t xml:space="preserve">, a jsou tudíž také součástí schengenského prostoru. Jakmile Bulharsko, Rumunsko a Chorvatsko začnou plně uplatňovat schengenské </w:t>
      </w:r>
      <w:r>
        <w:rPr>
          <w:rFonts w:ascii="Times New Roman" w:hAnsi="Times New Roman"/>
          <w:i/>
          <w:noProof/>
          <w:sz w:val="24"/>
        </w:rPr>
        <w:t>acquis</w:t>
      </w:r>
      <w:r>
        <w:rPr>
          <w:rFonts w:ascii="Times New Roman" w:hAnsi="Times New Roman"/>
          <w:noProof/>
          <w:sz w:val="24"/>
        </w:rPr>
        <w:t>, schengenský prostor se rozroste na 4,5 milionu kilometrů čtverečních se 450 miliony obyvatel.</w:t>
      </w:r>
    </w:p>
    <w:p w14:paraId="2EEA362D" w14:textId="77777777" w:rsidR="00146332" w:rsidRPr="0014596D" w:rsidRDefault="00305FA4" w:rsidP="00605EC6">
      <w:pPr>
        <w:widowControl w:val="0"/>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Schengenské </w:t>
      </w:r>
      <w:r>
        <w:rPr>
          <w:rFonts w:ascii="Times New Roman" w:hAnsi="Times New Roman"/>
          <w:i/>
          <w:noProof/>
          <w:sz w:val="24"/>
        </w:rPr>
        <w:t>acquis</w:t>
      </w:r>
      <w:r>
        <w:rPr>
          <w:rFonts w:ascii="Times New Roman" w:hAnsi="Times New Roman"/>
          <w:noProof/>
          <w:sz w:val="24"/>
        </w:rPr>
        <w:t xml:space="preserve"> je nedílnou součástí právního rámce EU, s nímž jsou spojeny významné závazky a povinnosti, které musí každý nový členský stát jako kandidát na přijetí převzít v plném rozsahu</w:t>
      </w:r>
      <w:r>
        <w:rPr>
          <w:rStyle w:val="FootnoteReference"/>
          <w:rFonts w:ascii="Times New Roman" w:hAnsi="Times New Roman" w:cs="Times New Roman"/>
          <w:noProof/>
          <w:sz w:val="24"/>
          <w:szCs w:val="24"/>
        </w:rPr>
        <w:footnoteReference w:id="2"/>
      </w:r>
      <w:r>
        <w:rPr>
          <w:rFonts w:ascii="Times New Roman" w:hAnsi="Times New Roman"/>
          <w:noProof/>
          <w:sz w:val="24"/>
        </w:rPr>
        <w:t>. Zejména musí být tyto státy připraveny a schopny účinně spravovat vnější hranice jménem všech ostatních států schengenského prostoru a vydávat jednotná schengenská víza. Musí být schopny účinně spolupracovat s donucovacími orgány v jiných státech a připojit se k příslušným informačním systémům, například k Schengenskému informačnímu systému, a využívat je s cílem zachovat vysokou úroveň bezpečnosti i poté, co se přestanou provádět kontroly na vnitřních hranicích. A konečně musí zajistit, aby při těchto činnostech byla dodržována základní práva a požadavky na ochranu údajů.</w:t>
      </w:r>
    </w:p>
    <w:p w14:paraId="6A2D1F8E" w14:textId="77777777" w:rsidR="00BD04C0" w:rsidRPr="0014596D" w:rsidRDefault="0032700F" w:rsidP="00605EC6">
      <w:pPr>
        <w:widowControl w:val="0"/>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Kromě splnění těchto požadavků závisí plné uplatňování schengenského </w:t>
      </w:r>
      <w:r>
        <w:rPr>
          <w:rFonts w:ascii="Times New Roman" w:hAnsi="Times New Roman"/>
          <w:i/>
          <w:noProof/>
          <w:sz w:val="24"/>
        </w:rPr>
        <w:t>acquis</w:t>
      </w:r>
      <w:r>
        <w:rPr>
          <w:rFonts w:ascii="Times New Roman" w:hAnsi="Times New Roman"/>
          <w:noProof/>
          <w:sz w:val="24"/>
        </w:rPr>
        <w:t xml:space="preserve"> na jednomyslném souhlasu všech ostatních členských států, které uplatňují schengenské </w:t>
      </w:r>
      <w:r>
        <w:rPr>
          <w:rFonts w:ascii="Times New Roman" w:hAnsi="Times New Roman"/>
          <w:i/>
          <w:noProof/>
          <w:sz w:val="24"/>
        </w:rPr>
        <w:t xml:space="preserve">acquis </w:t>
      </w:r>
      <w:r>
        <w:rPr>
          <w:rFonts w:ascii="Times New Roman" w:hAnsi="Times New Roman"/>
          <w:noProof/>
          <w:sz w:val="24"/>
        </w:rPr>
        <w:t xml:space="preserve">v plném rozsahu. V tomto ohledu bylo dosaženo významného pokroku a v nedávné době byly podniknuty důležité politické kroky s cílem podpořit plné uplatňování schengenského </w:t>
      </w:r>
      <w:r>
        <w:rPr>
          <w:rFonts w:ascii="Times New Roman" w:hAnsi="Times New Roman"/>
          <w:i/>
          <w:noProof/>
          <w:sz w:val="24"/>
        </w:rPr>
        <w:t>acquis</w:t>
      </w:r>
      <w:r>
        <w:rPr>
          <w:rFonts w:ascii="Times New Roman" w:hAnsi="Times New Roman"/>
          <w:noProof/>
          <w:sz w:val="24"/>
        </w:rPr>
        <w:t xml:space="preserve"> v Bulharsku, Rumunsku a Chorvatsku. Evropský parlament se o plné uplatňování důrazně zasazuje a jde o klíčovou prioritu českého předsednictví v Radě Evropské unie.</w:t>
      </w:r>
    </w:p>
    <w:p w14:paraId="3245F331" w14:textId="6613A141" w:rsidR="00BC772C" w:rsidRPr="0014596D" w:rsidRDefault="00607A97" w:rsidP="00605EC6">
      <w:pPr>
        <w:spacing w:before="120" w:after="160" w:line="276" w:lineRule="auto"/>
        <w:jc w:val="both"/>
        <w:rPr>
          <w:rFonts w:ascii="Times New Roman" w:eastAsia="Calibri" w:hAnsi="Times New Roman" w:cs="Times New Roman"/>
          <w:noProof/>
          <w:sz w:val="24"/>
          <w:szCs w:val="24"/>
        </w:rPr>
      </w:pPr>
      <w:r>
        <w:rPr>
          <w:rFonts w:ascii="Times New Roman" w:hAnsi="Times New Roman"/>
          <w:noProof/>
          <w:sz w:val="24"/>
        </w:rPr>
        <w:t>Proces schengenského hodnocení, jehož cílem je posoudit připravenost na přistoupení k schengenskému prostoru, navíc probíhá i na Kypru</w:t>
      </w:r>
      <w:r>
        <w:rPr>
          <w:rStyle w:val="FootnoteReference"/>
          <w:rFonts w:ascii="Times New Roman" w:eastAsia="Calibri" w:hAnsi="Times New Roman" w:cs="Times New Roman"/>
          <w:noProof/>
          <w:sz w:val="24"/>
          <w:szCs w:val="24"/>
        </w:rPr>
        <w:footnoteReference w:id="3"/>
      </w:r>
      <w:r>
        <w:rPr>
          <w:rFonts w:ascii="Times New Roman" w:hAnsi="Times New Roman"/>
          <w:noProof/>
          <w:sz w:val="24"/>
        </w:rPr>
        <w:t>. Schengenský informační systém na Kypru bude brzy uveden do provozu a tento proces bude ověřen ve zvláštním schengenském hodnocení v roce 2023.</w:t>
      </w:r>
    </w:p>
    <w:p w14:paraId="6020882A" w14:textId="1A1E1607" w:rsidR="00BD04C0" w:rsidRPr="0014596D" w:rsidRDefault="00305FA4" w:rsidP="00605EC6">
      <w:pPr>
        <w:widowControl w:val="0"/>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Toto sdělení hodnotí výrazné úspěchy Bulharska, Rumunska a Chorvatska, které přijaly všechna opatření nezbytná k zajištění toho, aby byly splněny podmínky nutné pro uplatňování všech příslušných částí schengenského </w:t>
      </w:r>
      <w:r>
        <w:rPr>
          <w:rFonts w:ascii="Times New Roman" w:hAnsi="Times New Roman"/>
          <w:i/>
          <w:noProof/>
          <w:sz w:val="24"/>
        </w:rPr>
        <w:t>acquis</w:t>
      </w:r>
      <w:r>
        <w:rPr>
          <w:rFonts w:ascii="Times New Roman" w:hAnsi="Times New Roman"/>
          <w:noProof/>
          <w:sz w:val="24"/>
        </w:rPr>
        <w:t>, jak je stanoveno v jejich příslušných aktech o přistoupení z let 2005 a 2011. Vyzývá Radu, aby neprodleně přijala nezbytná rozhodnutí a umožnila těmto třem zemím, které dosud nejsou plně součástí prostoru bez kontrol na vnitřních hranicích, aby se k tomuto prostoru připojily.</w:t>
      </w:r>
    </w:p>
    <w:p w14:paraId="5B149D94" w14:textId="442EF15F" w:rsidR="00305FA4" w:rsidRPr="0014596D" w:rsidRDefault="00DB2DE4" w:rsidP="00605EC6">
      <w:pPr>
        <w:widowControl w:val="0"/>
        <w:spacing w:before="120" w:after="0" w:line="276" w:lineRule="auto"/>
        <w:jc w:val="both"/>
        <w:rPr>
          <w:rFonts w:ascii="Times New Roman" w:eastAsia="Calibri" w:hAnsi="Times New Roman" w:cs="Times New Roman"/>
          <w:noProof/>
          <w:sz w:val="24"/>
          <w:szCs w:val="24"/>
        </w:rPr>
      </w:pPr>
      <w:r>
        <w:rPr>
          <w:rFonts w:ascii="Times New Roman" w:hAnsi="Times New Roman"/>
          <w:noProof/>
          <w:sz w:val="24"/>
        </w:rPr>
        <w:t xml:space="preserve">Unie je na toto historické rozhodnutí bezpochyby připravena. Společné úsilí vynaložené v posledních letech Schengen posílilo a zvýšilo jeho odolnost. Nedávno zavedený cyklus správy Schengenu poskytuje všechny nástroje potřebné k pravidelnému vyhodnocování stavu Schengenu na cestě od administrativního rámce ke společné politické správě a odpovědnosti. Schengenská rada a schengenské fórum zprostředkovávají transparentní a konstruktivní dialog mezi orgány EU a členskými státy. Nový a posílený schengenský hodnotící a monitorovací mechanismus, který se bude vztahovat na Bulharsko, Rumunsko a Chorvatsko bezprostředně po přijetí rozhodnutí o plném uplatňování schengenského </w:t>
      </w:r>
      <w:r>
        <w:rPr>
          <w:rFonts w:ascii="Times New Roman" w:hAnsi="Times New Roman"/>
          <w:i/>
          <w:noProof/>
          <w:sz w:val="24"/>
        </w:rPr>
        <w:t>acquis</w:t>
      </w:r>
      <w:r>
        <w:rPr>
          <w:rFonts w:ascii="Times New Roman" w:hAnsi="Times New Roman"/>
          <w:noProof/>
          <w:sz w:val="24"/>
        </w:rPr>
        <w:t>, zajistí včasné zjištění případných nedostatků a nápravná opatření.</w:t>
      </w:r>
    </w:p>
    <w:p w14:paraId="575A2880" w14:textId="38D0A086" w:rsidR="007F3DB0" w:rsidRPr="0014596D" w:rsidRDefault="00FF4B58" w:rsidP="00DD6CFE">
      <w:pPr>
        <w:widowControl w:val="0"/>
        <w:spacing w:before="120" w:after="240" w:line="276" w:lineRule="auto"/>
        <w:jc w:val="both"/>
        <w:rPr>
          <w:rFonts w:ascii="Times New Roman" w:hAnsi="Times New Roman" w:cs="Times New Roman"/>
          <w:noProof/>
          <w:sz w:val="24"/>
          <w:szCs w:val="24"/>
        </w:rPr>
      </w:pPr>
      <w:r>
        <w:rPr>
          <w:rFonts w:ascii="Times New Roman" w:hAnsi="Times New Roman"/>
          <w:noProof/>
          <w:sz w:val="24"/>
        </w:rPr>
        <w:t>Toto osmé rozšíření schengenského prostoru by tak potvrdilo a posílilo vzájemnou důvěru a jednotu mezi členskými státy, na nichž je Schengen založen, a zároveň by přispělo k trvalému přizpůsobování a rozvoji tohoto zásadního projektu.</w:t>
      </w:r>
    </w:p>
    <w:p w14:paraId="0C4CCA74" w14:textId="77777777" w:rsidR="00305FA4" w:rsidRPr="0014596D" w:rsidRDefault="00305FA4" w:rsidP="00DD6CFE">
      <w:pPr>
        <w:keepNext/>
        <w:numPr>
          <w:ilvl w:val="0"/>
          <w:numId w:val="1"/>
        </w:numPr>
        <w:spacing w:before="240" w:after="240" w:line="276" w:lineRule="auto"/>
        <w:ind w:left="720"/>
        <w:jc w:val="both"/>
        <w:rPr>
          <w:rFonts w:ascii="Times New Roman" w:hAnsi="Times New Roman" w:cs="Times New Roman"/>
          <w:b/>
          <w:noProof/>
          <w:sz w:val="24"/>
          <w:szCs w:val="24"/>
        </w:rPr>
      </w:pPr>
      <w:r>
        <w:rPr>
          <w:rFonts w:ascii="Times New Roman" w:hAnsi="Times New Roman"/>
          <w:b/>
          <w:noProof/>
          <w:sz w:val="24"/>
        </w:rPr>
        <w:t>Výrazné úspěchy Bulharska, Rumunska a Chorvatska</w:t>
      </w:r>
    </w:p>
    <w:p w14:paraId="78FF71B2" w14:textId="77777777" w:rsidR="00305FA4" w:rsidRPr="0014596D" w:rsidRDefault="00305FA4" w:rsidP="00605EC6">
      <w:pPr>
        <w:widowControl w:val="0"/>
        <w:spacing w:before="240" w:line="276" w:lineRule="auto"/>
        <w:jc w:val="both"/>
        <w:rPr>
          <w:rFonts w:ascii="Times New Roman" w:eastAsia="Calibri" w:hAnsi="Times New Roman" w:cs="Times New Roman"/>
          <w:noProof/>
          <w:sz w:val="24"/>
          <w:szCs w:val="24"/>
        </w:rPr>
      </w:pPr>
      <w:r>
        <w:rPr>
          <w:rFonts w:ascii="Times New Roman" w:hAnsi="Times New Roman"/>
          <w:noProof/>
          <w:sz w:val="24"/>
        </w:rPr>
        <w:t>Komise zastává od roku 2011 trvale názor, že Bulharsko a Rumunsko jsou připraveny stát se součástí schengenského prostoru bez kontrol na vnitřních hranicích. Totéž platí od roku 2019 pro Chorvatsko. Komise naléhavě vyzvala Radu</w:t>
      </w:r>
      <w:r>
        <w:rPr>
          <w:rStyle w:val="FootnoteReference"/>
          <w:rFonts w:ascii="Times New Roman" w:eastAsia="Calibri" w:hAnsi="Times New Roman" w:cs="Times New Roman"/>
          <w:noProof/>
          <w:sz w:val="24"/>
          <w:szCs w:val="24"/>
        </w:rPr>
        <w:footnoteReference w:id="4"/>
      </w:r>
      <w:r>
        <w:rPr>
          <w:rFonts w:ascii="Times New Roman" w:hAnsi="Times New Roman"/>
          <w:noProof/>
          <w:sz w:val="24"/>
        </w:rPr>
        <w:t>, aby přijala rozhodnutí umožňující Bulharsku, Rumunsku a Chorvatsku připojit se k prostoru bez vnitřních kontrol. Stejný závazek opakovaně vyjádřil i Evropský parlament</w:t>
      </w:r>
      <w:r>
        <w:rPr>
          <w:rFonts w:ascii="Times New Roman" w:eastAsia="Calibri" w:hAnsi="Times New Roman" w:cs="Times New Roman"/>
          <w:noProof/>
          <w:sz w:val="24"/>
          <w:szCs w:val="24"/>
          <w:vertAlign w:val="superscript"/>
        </w:rPr>
        <w:footnoteReference w:id="5"/>
      </w:r>
      <w:r>
        <w:rPr>
          <w:rFonts w:ascii="Times New Roman" w:hAnsi="Times New Roman"/>
          <w:noProof/>
          <w:sz w:val="24"/>
        </w:rPr>
        <w:t>.</w:t>
      </w:r>
    </w:p>
    <w:p w14:paraId="7AB9A449" w14:textId="64301ADF" w:rsidR="00EF6770" w:rsidRPr="0014596D" w:rsidRDefault="00EF6770" w:rsidP="00605EC6">
      <w:pPr>
        <w:widowControl w:val="0"/>
        <w:spacing w:before="120" w:line="276" w:lineRule="auto"/>
        <w:jc w:val="both"/>
        <w:rPr>
          <w:rFonts w:ascii="Times New Roman" w:eastAsia="Calibri" w:hAnsi="Times New Roman" w:cs="Times New Roman"/>
          <w:noProof/>
          <w:sz w:val="24"/>
          <w:szCs w:val="24"/>
        </w:rPr>
      </w:pPr>
      <w:r>
        <w:rPr>
          <w:rFonts w:ascii="Times New Roman" w:hAnsi="Times New Roman"/>
          <w:noProof/>
          <w:sz w:val="24"/>
        </w:rPr>
        <w:t xml:space="preserve">Tyto členské státy po léta významně přispívaly k dobrému fungování schengenského prostoru, a to i v době migrační krize, pandemických omezení i nedávno, když čelily bezprecedentním důsledkům války na Ukrajině. Po úspěšném dokončení všech schengenských hodnocení existuje oprávněné očekávání, že Bulharsko, Rumunsko a Chorvatsko se plně připojí k schengenskému prostoru bez kontrol na vnitřních hranicích. Nedávná dobrovolná vyšetřovací mise do Bulharska a Rumunska, jakož i poslední návštěva Chorvatska a její výsledky týkající se sledování situace v oblasti základních práv na vnějších hranicích rozhodným způsobem potvrzují, že tyto země nadále účinně plní přísné schengenské standardy a prokázaly příkladné výsledky provádění. Ačkoli tyto členské státy aktivně provádějí většinu schengenského </w:t>
      </w:r>
      <w:r>
        <w:rPr>
          <w:rFonts w:ascii="Times New Roman" w:hAnsi="Times New Roman"/>
          <w:i/>
          <w:noProof/>
          <w:sz w:val="24"/>
        </w:rPr>
        <w:t>acquis</w:t>
      </w:r>
      <w:r>
        <w:rPr>
          <w:rStyle w:val="FootnoteReference"/>
          <w:rFonts w:ascii="Times New Roman" w:eastAsia="Calibri" w:hAnsi="Times New Roman" w:cs="Times New Roman"/>
          <w:i/>
          <w:noProof/>
          <w:sz w:val="24"/>
          <w:szCs w:val="24"/>
        </w:rPr>
        <w:footnoteReference w:id="6"/>
      </w:r>
      <w:r>
        <w:rPr>
          <w:rFonts w:ascii="Times New Roman" w:hAnsi="Times New Roman"/>
          <w:noProof/>
          <w:sz w:val="24"/>
        </w:rPr>
        <w:t>, nevyužívají všech výhod, které přináší členství v schengenském prostoru bez kontrol na vnitřních hranicích.</w:t>
      </w:r>
    </w:p>
    <w:p w14:paraId="3EE070A4" w14:textId="77777777" w:rsidR="002E484E" w:rsidRPr="0014596D" w:rsidRDefault="00305FA4" w:rsidP="00605EC6">
      <w:pPr>
        <w:spacing w:before="120" w:line="276" w:lineRule="auto"/>
        <w:jc w:val="both"/>
        <w:rPr>
          <w:rFonts w:ascii="Times New Roman" w:eastAsia="Calibri" w:hAnsi="Times New Roman" w:cs="Times New Roman"/>
          <w:noProof/>
          <w:sz w:val="24"/>
          <w:szCs w:val="24"/>
        </w:rPr>
      </w:pPr>
      <w:r>
        <w:rPr>
          <w:rFonts w:ascii="Times New Roman" w:hAnsi="Times New Roman"/>
          <w:b/>
          <w:noProof/>
          <w:sz w:val="24"/>
        </w:rPr>
        <w:t>Bulharsko</w:t>
      </w:r>
      <w:r>
        <w:rPr>
          <w:rFonts w:ascii="Times New Roman" w:hAnsi="Times New Roman"/>
          <w:noProof/>
          <w:sz w:val="24"/>
        </w:rPr>
        <w:t xml:space="preserve">, </w:t>
      </w:r>
      <w:r>
        <w:rPr>
          <w:rFonts w:ascii="Times New Roman" w:hAnsi="Times New Roman"/>
          <w:b/>
          <w:noProof/>
          <w:sz w:val="24"/>
        </w:rPr>
        <w:t>Rumunsko</w:t>
      </w:r>
      <w:r>
        <w:rPr>
          <w:rFonts w:ascii="Times New Roman" w:hAnsi="Times New Roman"/>
          <w:noProof/>
          <w:sz w:val="24"/>
        </w:rPr>
        <w:t xml:space="preserve"> a </w:t>
      </w:r>
      <w:r>
        <w:rPr>
          <w:rFonts w:ascii="Times New Roman" w:hAnsi="Times New Roman"/>
          <w:b/>
          <w:noProof/>
          <w:sz w:val="24"/>
        </w:rPr>
        <w:t xml:space="preserve">Chorvatsko </w:t>
      </w:r>
      <w:r>
        <w:rPr>
          <w:rFonts w:ascii="Times New Roman" w:hAnsi="Times New Roman"/>
          <w:noProof/>
          <w:sz w:val="24"/>
        </w:rPr>
        <w:t>mají strategickou zeměpisnou polohu a hrají klíčovou úlohu při ochraně našich společných vnějších hranic, přičemž účinně přispívají k vysoké úrovni bezpečnosti a prosperity, jak ukázaly nedávné krize. Mají zavedeny všechny nezbytné nástroje, struktury a postupy pro účinné řízení překračování vnějších hranic, jakož i možných bezpečnostních hrozeb na těchto hranicích, což přispívá k řešení závažné trestné činnosti s přeshraničním rozměrem. Tyto země rovněž prokázaly vysokou míru odhodlání zajistit účinnou reakci na migrační tlak a související výzvy a rozvinuly pevnou spolupráci se svými blízkými sousedy. Kromě toho v souladu s novým nařízením o schengenském hodnotícím mechanismu</w:t>
      </w:r>
      <w:r>
        <w:rPr>
          <w:rStyle w:val="FootnoteReference"/>
          <w:rFonts w:ascii="Times New Roman" w:eastAsia="Calibri" w:hAnsi="Times New Roman" w:cs="Times New Roman"/>
          <w:noProof/>
          <w:sz w:val="24"/>
          <w:szCs w:val="24"/>
        </w:rPr>
        <w:footnoteReference w:id="7"/>
      </w:r>
      <w:r>
        <w:rPr>
          <w:rFonts w:ascii="Times New Roman" w:hAnsi="Times New Roman"/>
          <w:noProof/>
          <w:sz w:val="24"/>
        </w:rPr>
        <w:t xml:space="preserve"> budou členské státy, pro které bylo přijato rozhodnutí Rady o uplatňování schengenského </w:t>
      </w:r>
      <w:r>
        <w:rPr>
          <w:rFonts w:ascii="Times New Roman" w:hAnsi="Times New Roman"/>
          <w:i/>
          <w:noProof/>
          <w:sz w:val="24"/>
        </w:rPr>
        <w:t>acquis</w:t>
      </w:r>
      <w:r>
        <w:rPr>
          <w:rFonts w:ascii="Times New Roman" w:hAnsi="Times New Roman"/>
          <w:noProof/>
          <w:sz w:val="24"/>
        </w:rPr>
        <w:t xml:space="preserve"> v plném rozsahu, hodnoceny nejpozději do jednoho roku ode dne uplatňování schengenského </w:t>
      </w:r>
      <w:r>
        <w:rPr>
          <w:rFonts w:ascii="Times New Roman" w:hAnsi="Times New Roman"/>
          <w:i/>
          <w:noProof/>
          <w:sz w:val="24"/>
        </w:rPr>
        <w:t>acquis</w:t>
      </w:r>
      <w:r>
        <w:rPr>
          <w:rFonts w:ascii="Times New Roman" w:hAnsi="Times New Roman"/>
          <w:noProof/>
          <w:sz w:val="24"/>
        </w:rPr>
        <w:t xml:space="preserve"> v plném rozsahu v daných členských státech</w:t>
      </w:r>
      <w:r>
        <w:rPr>
          <w:rFonts w:ascii="Times New Roman" w:eastAsia="Calibri" w:hAnsi="Times New Roman" w:cs="Times New Roman"/>
          <w:iCs/>
          <w:noProof/>
          <w:sz w:val="24"/>
          <w:szCs w:val="24"/>
          <w:vertAlign w:val="superscript"/>
        </w:rPr>
        <w:footnoteReference w:id="8"/>
      </w:r>
      <w:r>
        <w:rPr>
          <w:rFonts w:ascii="Times New Roman" w:hAnsi="Times New Roman"/>
          <w:noProof/>
          <w:sz w:val="24"/>
        </w:rPr>
        <w:t>. To se bude po přijetí příslušných rozhodnutí týkat Bulharska, Rumunska a Chorvatska.</w:t>
      </w:r>
    </w:p>
    <w:p w14:paraId="031DCEC4" w14:textId="33FE7AE5" w:rsidR="00305FA4" w:rsidRPr="0014596D" w:rsidRDefault="005F071A" w:rsidP="00605EC6">
      <w:pPr>
        <w:spacing w:before="120" w:after="160" w:line="276" w:lineRule="auto"/>
        <w:jc w:val="both"/>
        <w:rPr>
          <w:rFonts w:ascii="Times New Roman" w:eastAsia="Calibri" w:hAnsi="Times New Roman" w:cs="Times New Roman"/>
          <w:noProof/>
          <w:sz w:val="24"/>
          <w:szCs w:val="24"/>
        </w:rPr>
      </w:pPr>
      <w:r>
        <w:rPr>
          <w:rFonts w:ascii="Times New Roman" w:hAnsi="Times New Roman"/>
          <w:noProof/>
          <w:sz w:val="24"/>
        </w:rPr>
        <w:t>V souladu s čl. 4 odst. 2 aktu o přistoupení z roku 2005</w:t>
      </w:r>
      <w:r>
        <w:rPr>
          <w:rFonts w:ascii="Times New Roman" w:eastAsia="Calibri" w:hAnsi="Times New Roman" w:cs="Times New Roman"/>
          <w:noProof/>
          <w:sz w:val="24"/>
          <w:szCs w:val="24"/>
          <w:vertAlign w:val="superscript"/>
        </w:rPr>
        <w:footnoteReference w:id="9"/>
      </w:r>
      <w:r>
        <w:rPr>
          <w:rFonts w:ascii="Times New Roman" w:hAnsi="Times New Roman"/>
          <w:noProof/>
          <w:sz w:val="24"/>
        </w:rPr>
        <w:t xml:space="preserve"> Bulharsko a Rumunsko v roce 2011 úspěšně dokončily své příslušné procesy schengenského hodnocení. Proces byl zahájen v roce 2009 a v souladu s platnými postupy byly důkladně posouzeny všechny příslušné části </w:t>
      </w:r>
      <w:r>
        <w:rPr>
          <w:rFonts w:ascii="Times New Roman" w:hAnsi="Times New Roman"/>
          <w:i/>
          <w:noProof/>
          <w:sz w:val="24"/>
        </w:rPr>
        <w:t>acquis</w:t>
      </w:r>
      <w:r>
        <w:rPr>
          <w:rFonts w:ascii="Times New Roman" w:hAnsi="Times New Roman"/>
          <w:noProof/>
          <w:sz w:val="24"/>
        </w:rPr>
        <w:t>. Rada uznala dokončení procesu hodnocení ve dvou samostatných závěrech Rady ze dne 9. června 2011</w:t>
      </w:r>
      <w:r>
        <w:rPr>
          <w:rFonts w:ascii="Times New Roman" w:eastAsia="Calibri" w:hAnsi="Times New Roman" w:cs="Times New Roman"/>
          <w:noProof/>
          <w:sz w:val="24"/>
          <w:szCs w:val="24"/>
          <w:vertAlign w:val="superscript"/>
        </w:rPr>
        <w:footnoteReference w:id="10"/>
      </w:r>
      <w:r>
        <w:rPr>
          <w:rFonts w:ascii="Times New Roman" w:hAnsi="Times New Roman"/>
          <w:noProof/>
          <w:sz w:val="24"/>
        </w:rPr>
        <w:t xml:space="preserve">. K návrhu rozhodnutí Rady o plném uplatňování ustanovení schengenského </w:t>
      </w:r>
      <w:r>
        <w:rPr>
          <w:rFonts w:ascii="Times New Roman" w:hAnsi="Times New Roman"/>
          <w:i/>
          <w:noProof/>
          <w:sz w:val="24"/>
        </w:rPr>
        <w:t>acquis</w:t>
      </w:r>
      <w:r>
        <w:rPr>
          <w:rFonts w:ascii="Times New Roman" w:hAnsi="Times New Roman"/>
          <w:noProof/>
          <w:sz w:val="24"/>
        </w:rPr>
        <w:t xml:space="preserve"> v Bulharsku a Rumunsku vydal Evropský parlament dne 8. června 2011 kladné stanovisko</w:t>
      </w:r>
      <w:r>
        <w:rPr>
          <w:rFonts w:ascii="Times New Roman" w:eastAsia="Calibri" w:hAnsi="Times New Roman" w:cs="Times New Roman"/>
          <w:noProof/>
          <w:sz w:val="24"/>
          <w:szCs w:val="24"/>
          <w:vertAlign w:val="superscript"/>
        </w:rPr>
        <w:footnoteReference w:id="11"/>
      </w:r>
      <w:r>
        <w:rPr>
          <w:rFonts w:ascii="Times New Roman" w:hAnsi="Times New Roman"/>
          <w:noProof/>
          <w:sz w:val="24"/>
        </w:rPr>
        <w:t xml:space="preserve">. Navzdory pozitivnímu výsledku a dokončení procesu schengenského hodnocení nebylo po více než jedenáct let přijato žádné rozhodnutí Rady týkající se plného uplatňování schengenského </w:t>
      </w:r>
      <w:r>
        <w:rPr>
          <w:rFonts w:ascii="Times New Roman" w:hAnsi="Times New Roman"/>
          <w:i/>
          <w:noProof/>
          <w:sz w:val="24"/>
        </w:rPr>
        <w:t>acquis</w:t>
      </w:r>
      <w:r>
        <w:rPr>
          <w:rFonts w:ascii="Times New Roman" w:hAnsi="Times New Roman"/>
          <w:noProof/>
          <w:sz w:val="24"/>
        </w:rPr>
        <w:t xml:space="preserve"> v Bulharsku a Rumunsku a zrušení kontrol na jejich vnitřních hranicích.</w:t>
      </w:r>
    </w:p>
    <w:p w14:paraId="2991F20C" w14:textId="7A2C4152" w:rsidR="00305FA4" w:rsidRPr="0014596D" w:rsidRDefault="00D55918" w:rsidP="00605EC6">
      <w:pPr>
        <w:spacing w:before="120" w:after="160" w:line="276" w:lineRule="auto"/>
        <w:jc w:val="both"/>
        <w:rPr>
          <w:rFonts w:ascii="Times New Roman" w:eastAsia="Calibri" w:hAnsi="Times New Roman" w:cs="Times New Roman"/>
          <w:noProof/>
          <w:sz w:val="24"/>
          <w:szCs w:val="24"/>
        </w:rPr>
      </w:pPr>
      <w:r>
        <w:rPr>
          <w:rFonts w:ascii="Times New Roman" w:hAnsi="Times New Roman"/>
          <w:noProof/>
          <w:sz w:val="24"/>
        </w:rPr>
        <w:t xml:space="preserve">Vzhledem k tomu, že procesy hodnocení Bulharska a Rumunska byly ukončeny v roce 2011 a že nařízení o schengenském hodnotícím a monitorovacím mechanismu neumožňuje obnovení formálního hodnocení Bulharska a Rumunska, vydaly dne 2. března 2022 obě země v zájmu posílení vzájemné důvěry a jako uznání rozvoje schengenského </w:t>
      </w:r>
      <w:r>
        <w:rPr>
          <w:rFonts w:ascii="Times New Roman" w:hAnsi="Times New Roman"/>
          <w:i/>
          <w:noProof/>
          <w:sz w:val="24"/>
        </w:rPr>
        <w:t>acquis</w:t>
      </w:r>
      <w:r>
        <w:rPr>
          <w:rFonts w:ascii="Times New Roman" w:hAnsi="Times New Roman"/>
          <w:noProof/>
          <w:sz w:val="24"/>
        </w:rPr>
        <w:t xml:space="preserve"> v uplynulém období společné prohlášení, v němž vyzvaly tým odborníků koordinovaný Komisí, aby na dobrovolné bázi „</w:t>
      </w:r>
      <w:r>
        <w:rPr>
          <w:rFonts w:ascii="Times New Roman" w:hAnsi="Times New Roman"/>
          <w:i/>
          <w:noProof/>
          <w:sz w:val="24"/>
        </w:rPr>
        <w:t>zajistil mimo jiné uplatňování nejnovějšího vývoje schengenského acquis od doby hodnocení se zaměřením na správu vnějších hranic a policejní spolupráci“</w:t>
      </w:r>
      <w:r>
        <w:rPr>
          <w:rFonts w:ascii="Times New Roman" w:hAnsi="Times New Roman"/>
          <w:noProof/>
          <w:sz w:val="24"/>
        </w:rPr>
        <w:t>.</w:t>
      </w:r>
    </w:p>
    <w:p w14:paraId="5EFF7CB8" w14:textId="5B4BD830" w:rsidR="00305FA4" w:rsidRPr="0014596D" w:rsidRDefault="00305FA4" w:rsidP="00605EC6">
      <w:pPr>
        <w:spacing w:before="120" w:after="200" w:line="276" w:lineRule="auto"/>
        <w:jc w:val="both"/>
        <w:rPr>
          <w:rFonts w:ascii="Times New Roman" w:eastAsia="Calibri" w:hAnsi="Times New Roman" w:cs="Times New Roman"/>
          <w:noProof/>
          <w:sz w:val="24"/>
          <w:szCs w:val="24"/>
        </w:rPr>
      </w:pPr>
      <w:r>
        <w:rPr>
          <w:rFonts w:ascii="Times New Roman" w:hAnsi="Times New Roman"/>
          <w:noProof/>
          <w:sz w:val="24"/>
        </w:rPr>
        <w:t xml:space="preserve">Po dohodě s Bulharskem a Rumunskem, které prokázaly vysokou míru flexibility a odhodlání, a na základě žádostí členských států byl rozsah mise výrazně rozšířen, aby zahrnoval všechny příslušné prvky schengenského </w:t>
      </w:r>
      <w:r>
        <w:rPr>
          <w:rFonts w:ascii="Times New Roman" w:hAnsi="Times New Roman"/>
          <w:i/>
          <w:noProof/>
          <w:sz w:val="24"/>
        </w:rPr>
        <w:t>acquis</w:t>
      </w:r>
      <w:r>
        <w:rPr>
          <w:rFonts w:ascii="Times New Roman" w:hAnsi="Times New Roman"/>
          <w:noProof/>
          <w:sz w:val="24"/>
        </w:rPr>
        <w:t xml:space="preserve">, včetně nejnovějšího vývoje od roku 2011, se zaměřením na vnější hranice a policejní spolupráci. Zkoumáno bylo také navracení, Schengenský informační systém, Vízový informační systém a vývoj vízové politiky. Mise zohlednila dodržování základních práv, včetně ochrany údajů a fungování orgánů, které uplatňují příslušné části schengenského </w:t>
      </w:r>
      <w:r>
        <w:rPr>
          <w:rFonts w:ascii="Times New Roman" w:hAnsi="Times New Roman"/>
          <w:i/>
          <w:noProof/>
          <w:sz w:val="24"/>
        </w:rPr>
        <w:t>acquis</w:t>
      </w:r>
      <w:r>
        <w:rPr>
          <w:rFonts w:ascii="Times New Roman" w:hAnsi="Times New Roman"/>
          <w:noProof/>
          <w:sz w:val="24"/>
        </w:rPr>
        <w:t>. Návštěvy se uskutečnily v Rumunsku (9. až 11. října) a Bulharsku (12. až 14. října 2022). Na misi se podílela většina členských států a tým se skládal ze 17 odborníků z členských států. Kromě pěti odborníků Komise se vyšetřovací mise zúčastnili také pozorovatelé z Evropské agentury pro pohraniční a pobřežní stráž („Frontex“), Europolu a Agentury Evropské unie pro základní práva.</w:t>
      </w:r>
    </w:p>
    <w:p w14:paraId="0A607ED5" w14:textId="77777777" w:rsidR="00013FE8" w:rsidRPr="0014596D" w:rsidRDefault="00305FA4" w:rsidP="00605EC6">
      <w:pPr>
        <w:spacing w:before="120" w:after="160" w:line="276" w:lineRule="auto"/>
        <w:jc w:val="both"/>
        <w:rPr>
          <w:rFonts w:ascii="Times New Roman" w:eastAsia="Calibri" w:hAnsi="Times New Roman" w:cs="Times New Roman"/>
          <w:noProof/>
          <w:sz w:val="24"/>
          <w:szCs w:val="24"/>
        </w:rPr>
      </w:pPr>
      <w:r>
        <w:rPr>
          <w:rFonts w:ascii="Times New Roman" w:hAnsi="Times New Roman"/>
          <w:noProof/>
          <w:sz w:val="24"/>
        </w:rPr>
        <w:t xml:space="preserve">Dobrovolná vyšetřovací mise potvrdila závěry ukončených procesů hodnocení z roku 2011 a prokázala, že Bulharsko a Rumunsko nejenže pokračují v provádění nového </w:t>
      </w:r>
      <w:r>
        <w:rPr>
          <w:rFonts w:ascii="Times New Roman" w:hAnsi="Times New Roman"/>
          <w:i/>
          <w:noProof/>
          <w:sz w:val="24"/>
        </w:rPr>
        <w:t>acquis</w:t>
      </w:r>
      <w:r>
        <w:rPr>
          <w:rFonts w:ascii="Times New Roman" w:hAnsi="Times New Roman"/>
          <w:noProof/>
          <w:sz w:val="24"/>
        </w:rPr>
        <w:t xml:space="preserve"> a nástrojů, ale také výrazně posílily celkové uplatňování schengenského </w:t>
      </w:r>
      <w:r>
        <w:rPr>
          <w:rFonts w:ascii="Times New Roman" w:hAnsi="Times New Roman"/>
          <w:i/>
          <w:noProof/>
          <w:sz w:val="24"/>
        </w:rPr>
        <w:t>acquis</w:t>
      </w:r>
      <w:r>
        <w:rPr>
          <w:rFonts w:ascii="Times New Roman" w:hAnsi="Times New Roman"/>
          <w:noProof/>
          <w:sz w:val="24"/>
        </w:rPr>
        <w:t xml:space="preserve">, a to komplexním způsobem ve všech jeho dimenzích. </w:t>
      </w:r>
    </w:p>
    <w:p w14:paraId="32EE58A4" w14:textId="7F0977E4" w:rsidR="002542ED" w:rsidRPr="0014596D" w:rsidRDefault="00013FE8" w:rsidP="00605EC6">
      <w:pPr>
        <w:spacing w:before="120" w:after="160" w:line="276" w:lineRule="auto"/>
        <w:jc w:val="both"/>
        <w:rPr>
          <w:rFonts w:ascii="Times New Roman" w:eastAsia="Calibri" w:hAnsi="Times New Roman" w:cs="Times New Roman"/>
          <w:noProof/>
          <w:sz w:val="24"/>
          <w:szCs w:val="24"/>
        </w:rPr>
      </w:pPr>
      <w:r>
        <w:rPr>
          <w:rFonts w:ascii="Times New Roman" w:hAnsi="Times New Roman"/>
          <w:b/>
          <w:noProof/>
          <w:sz w:val="24"/>
        </w:rPr>
        <w:t>Bulharsko</w:t>
      </w:r>
      <w:r>
        <w:rPr>
          <w:rFonts w:ascii="Times New Roman" w:hAnsi="Times New Roman"/>
          <w:noProof/>
          <w:sz w:val="24"/>
        </w:rPr>
        <w:t xml:space="preserve">, které sousedí s Tureckem, hraje při ochraně vnějších hranic EU a udržování vysoké úrovně vnitřní bezpečnosti klíčovou roli. Za tímto účelem Bulharsko zavedlo silnou správu hranic, která zajišťuje kvalitní ostrahu hranic a systematické hraniční kontroly. Jak je uvedeno ve vyšetřovací zprávě, Bulharsko se vybízí, aby dále zlepšovalo vnitrostátní situační obraz plným zavedením společného modelu integrované analýzy rizik. Navzdory existujícím vnějším problémům zaujímá Bulharsko důsledný přístup k navracení státních příslušníků třetích zemí bez oprávnění k pobytu a k prevenci neoprávněného druhotného pohybu. Prioritou je boj proti přeshraniční trestné činnosti, přičemž jsou zavedeny aktivní nástroje mezinárodní policejní spolupráce, mimo jiné prostřednictvím Europolu a ve spolupráci s ním, jakož i operativní dohody, které Bulharsko uzavřelo se sousedními zeměmi a které umožňují přeshraniční sledování a pronásledování. Schengenský informační systém je dobře zaveden. Pokud jde o fungování orgánů, bulharská vnitrostátní strategie předcházení a boje proti korupci je prováděna na všech úrovních a posílena preventivními opatřeními a důkladnými disciplinárními postupy. Bulharsko rovněž prokázalo, že má zavedeny nezbytné struktury k zajištění dodržování základních práv, zaručuje přístup k mezinárodní ochraně, dodržuje zásadu nenavracení a splňuje požadavky na ochranu údajů, pokud jde o používání Schengenského informačního systému a policejní spolupráci. </w:t>
      </w:r>
    </w:p>
    <w:p w14:paraId="7CCB6C4F" w14:textId="03789198" w:rsidR="002542ED" w:rsidRPr="0014596D" w:rsidRDefault="002542ED" w:rsidP="00605EC6">
      <w:pPr>
        <w:spacing w:before="120" w:after="160" w:line="276" w:lineRule="auto"/>
        <w:jc w:val="both"/>
        <w:rPr>
          <w:rFonts w:ascii="Times New Roman" w:eastAsia="Calibri" w:hAnsi="Times New Roman" w:cs="Times New Roman"/>
          <w:noProof/>
          <w:sz w:val="24"/>
          <w:szCs w:val="24"/>
        </w:rPr>
      </w:pPr>
      <w:r>
        <w:rPr>
          <w:rFonts w:ascii="Times New Roman" w:hAnsi="Times New Roman"/>
          <w:b/>
          <w:noProof/>
          <w:sz w:val="24"/>
        </w:rPr>
        <w:t>Rumunsko</w:t>
      </w:r>
      <w:r>
        <w:rPr>
          <w:rFonts w:ascii="Times New Roman" w:hAnsi="Times New Roman"/>
          <w:noProof/>
          <w:sz w:val="24"/>
        </w:rPr>
        <w:t>, které sousedí se Srbskem, Ukrajinou a Moldavskem, hraje při přispívání k dobrému fungování schengenského prostoru velmi důležitou roli. Existuje kvalitní a silná správa hranic, včetně ostrahy hranic a systematických hraničních kontrol, a dobře funguje mezinárodní policejní spolupráce se sousedními zeměmi, stejně jako velmi aktivní spolupráce s agenturou Frontex. Celostní přístup k řízení migrace je zajištěn opatřeními prováděnými i ve třetích zemích. Jako prioritní opatření v boji proti nelegální migraci a neoprávněnému druhotnému pohybu se provádí navracení, což vede k ucelenému přístupu k navracení a zpětnému přebírání osob. Rumunsko má národní pohotovostní a operační plán pro mimořádné situace, který úspěšně aktivovalo v reakci na ukrajinskou krizi. Rumunsko se dále zapojuje do účinné a aktivní mezinárodní policejní spolupráce, zejména s Europolem. Boj proti nelegální migraci a obchodování s lidmi jsou dvě priority, v nichž je Rumunsko obzvláště aktivní. Schengenský informační systém je dobře zaveden a nyní je třeba pokračovat v úsilí o zajištění nezbytné automatizace pracovního postupu u žádostí SIRENE. Rumunsko má vnitrostátní protikorupční strategii, přičemž na všech úrovních rumunského prosazování práva byla zavedena protikorupční opatření. Pokud jde o dodržování základních práv, disponuje Rumunsko účinnými strukturami k zaručení přístupu k mezinárodní ochraně a k zajištění dodržování zásady nenavracení, jakož i nezbytnými strukturami k dodržování požadavků na ochranu údajů, pokud jde o používání Schengenského informačního systému a policejní spolupráci.</w:t>
      </w:r>
    </w:p>
    <w:p w14:paraId="2306FFA6" w14:textId="77777777" w:rsidR="002E484E" w:rsidRPr="0014596D" w:rsidRDefault="00305FA4" w:rsidP="00605EC6">
      <w:pPr>
        <w:spacing w:before="120" w:after="160" w:line="276" w:lineRule="auto"/>
        <w:jc w:val="both"/>
        <w:rPr>
          <w:rFonts w:ascii="Times New Roman" w:eastAsia="Calibri" w:hAnsi="Times New Roman" w:cs="Times New Roman"/>
          <w:noProof/>
          <w:sz w:val="24"/>
          <w:szCs w:val="24"/>
        </w:rPr>
      </w:pPr>
      <w:r>
        <w:rPr>
          <w:rFonts w:ascii="Times New Roman" w:hAnsi="Times New Roman"/>
          <w:noProof/>
          <w:sz w:val="24"/>
        </w:rPr>
        <w:t>Tým odborníků provádějící hodnocení na místě předložil zprávu o misi</w:t>
      </w:r>
      <w:r>
        <w:rPr>
          <w:rFonts w:ascii="Times New Roman" w:eastAsia="Calibri" w:hAnsi="Times New Roman" w:cs="Times New Roman"/>
          <w:noProof/>
          <w:sz w:val="24"/>
          <w:szCs w:val="24"/>
          <w:vertAlign w:val="superscript"/>
        </w:rPr>
        <w:footnoteReference w:id="12"/>
      </w:r>
      <w:r>
        <w:rPr>
          <w:rFonts w:ascii="Times New Roman" w:hAnsi="Times New Roman"/>
          <w:noProof/>
          <w:sz w:val="24"/>
        </w:rPr>
        <w:t xml:space="preserve"> na zasedání Pracovní skupiny Rady pro schengenské záležitosti dne 26. října 2022 a dospěl k závěru, že nezjistil žádné problémy, pokud jde o uplatňování nejnovějšího vývoje schengenského </w:t>
      </w:r>
      <w:r>
        <w:rPr>
          <w:rFonts w:ascii="Times New Roman" w:hAnsi="Times New Roman"/>
          <w:i/>
          <w:noProof/>
          <w:sz w:val="24"/>
        </w:rPr>
        <w:t>acquis</w:t>
      </w:r>
      <w:r>
        <w:rPr>
          <w:rFonts w:ascii="Times New Roman" w:hAnsi="Times New Roman"/>
          <w:noProof/>
          <w:sz w:val="24"/>
        </w:rPr>
        <w:t xml:space="preserve"> ze strany Bulharska a Rumunska, a že oba členské státy nadále splňují podmínky nezbytné k plnému uplatňování všech příslušných částí schengenského </w:t>
      </w:r>
      <w:r>
        <w:rPr>
          <w:rFonts w:ascii="Times New Roman" w:hAnsi="Times New Roman"/>
          <w:i/>
          <w:noProof/>
          <w:sz w:val="24"/>
        </w:rPr>
        <w:t>acquis</w:t>
      </w:r>
      <w:r>
        <w:rPr>
          <w:rFonts w:ascii="Times New Roman" w:hAnsi="Times New Roman"/>
          <w:noProof/>
          <w:sz w:val="24"/>
        </w:rPr>
        <w:t xml:space="preserve">. Bulharsko i Rumunsko jsou od okamžiku přistoupení připraveny plně provádět vízový kodex a vydávat schengenská víza. Komise vítá rozhodnutí Bulharska a Rumunska přesunout po zrušení kontrol na vnitřních hranicích potřebný personál ze sektoru pohraniční policie na vnější hranice, aby bylo možné čelit případnému nárůstu nelegální migrace. </w:t>
      </w:r>
    </w:p>
    <w:p w14:paraId="2AF537F5" w14:textId="0ED2CFD8" w:rsidR="00BC772C" w:rsidRDefault="00305FA4" w:rsidP="00605EC6">
      <w:pPr>
        <w:spacing w:before="120" w:after="160" w:line="276" w:lineRule="auto"/>
        <w:jc w:val="both"/>
        <w:rPr>
          <w:rFonts w:ascii="Times New Roman" w:eastAsia="Calibri" w:hAnsi="Times New Roman" w:cs="Times New Roman"/>
          <w:noProof/>
          <w:sz w:val="24"/>
          <w:szCs w:val="24"/>
        </w:rPr>
      </w:pPr>
      <w:r>
        <w:rPr>
          <w:rFonts w:ascii="Times New Roman" w:hAnsi="Times New Roman"/>
          <w:b/>
          <w:noProof/>
          <w:sz w:val="24"/>
        </w:rPr>
        <w:t>Chorvatsko</w:t>
      </w:r>
      <w:r>
        <w:rPr>
          <w:rFonts w:ascii="Times New Roman" w:hAnsi="Times New Roman"/>
          <w:noProof/>
          <w:sz w:val="24"/>
        </w:rPr>
        <w:t xml:space="preserve">, které sousedí se Srbskem, Bosnou a Hercegovinou a Černou Horou, hraje stejně zásadní úlohu při ochraně vnějších hranic EU a zajišťování dobrého fungování schengenského prostoru. V návaznosti na „prohlášení o připravenosti“ Chorvatska zahájit proces schengenského hodnocení za účelem přijetí rozhodnutí Rady o plném uplatňování schengenského </w:t>
      </w:r>
      <w:r>
        <w:rPr>
          <w:rFonts w:ascii="Times New Roman" w:hAnsi="Times New Roman"/>
          <w:i/>
          <w:noProof/>
          <w:sz w:val="24"/>
        </w:rPr>
        <w:t>acquis</w:t>
      </w:r>
      <w:r>
        <w:rPr>
          <w:rFonts w:ascii="Times New Roman" w:hAnsi="Times New Roman"/>
          <w:noProof/>
          <w:sz w:val="24"/>
        </w:rPr>
        <w:t xml:space="preserve"> se proces hodnocení uskutečnil v období 2016–2020. </w:t>
      </w:r>
    </w:p>
    <w:p w14:paraId="6B93CBAE" w14:textId="6693CB02" w:rsidR="00EA7FD1" w:rsidRPr="0014596D" w:rsidRDefault="00A70E13" w:rsidP="00605EC6">
      <w:pPr>
        <w:spacing w:before="120" w:after="0" w:line="276" w:lineRule="auto"/>
        <w:jc w:val="both"/>
        <w:rPr>
          <w:rFonts w:ascii="Times New Roman" w:eastAsia="Calibri" w:hAnsi="Times New Roman" w:cs="Times New Roman"/>
          <w:noProof/>
          <w:sz w:val="24"/>
          <w:szCs w:val="24"/>
        </w:rPr>
      </w:pPr>
      <w:r>
        <w:rPr>
          <w:rFonts w:ascii="Times New Roman" w:hAnsi="Times New Roman"/>
          <w:noProof/>
          <w:sz w:val="24"/>
        </w:rPr>
        <w:t xml:space="preserve">Dne 22. října 2019 přijala Komise sdělení, v němž dospěla k závěru, že Chorvatsko přijalo opatření nezbytná k zajištění toho, aby byly splněny podmínky pro uplatňování všech příslušných částí schengenského </w:t>
      </w:r>
      <w:r>
        <w:rPr>
          <w:rFonts w:ascii="Times New Roman" w:hAnsi="Times New Roman"/>
          <w:i/>
          <w:noProof/>
          <w:sz w:val="24"/>
        </w:rPr>
        <w:t>acquis</w:t>
      </w:r>
      <w:r>
        <w:rPr>
          <w:rFonts w:ascii="Times New Roman" w:hAnsi="Times New Roman"/>
          <w:noProof/>
          <w:sz w:val="24"/>
        </w:rPr>
        <w:t>, a potvrdila, že Chorvatsko nadále plní závazky spojené se schengenským acquis, které přijalo v rámci přístupových jednání</w:t>
      </w:r>
      <w:r>
        <w:rPr>
          <w:rFonts w:ascii="Times New Roman" w:eastAsia="Calibri" w:hAnsi="Times New Roman" w:cs="Times New Roman"/>
          <w:noProof/>
          <w:sz w:val="24"/>
          <w:szCs w:val="24"/>
          <w:vertAlign w:val="superscript"/>
        </w:rPr>
        <w:footnoteReference w:id="13"/>
      </w:r>
      <w:r>
        <w:rPr>
          <w:rFonts w:ascii="Times New Roman" w:hAnsi="Times New Roman"/>
          <w:noProof/>
          <w:sz w:val="24"/>
        </w:rPr>
        <w:t>. Bylo rovněž zmíněno, že je třeba, aby Chorvatsko i nadále důsledně pracovalo na provádění všech probíhajících opatření, zejména v oblasti správy vnějších hranic s cílem zajistit, že tyto podmínky budou i nadále plněny.</w:t>
      </w:r>
    </w:p>
    <w:p w14:paraId="693618EF" w14:textId="4CBC36EC" w:rsidR="00305FA4" w:rsidRPr="0014596D" w:rsidRDefault="00305FA4" w:rsidP="00605EC6">
      <w:pPr>
        <w:spacing w:before="120" w:after="160" w:line="276" w:lineRule="auto"/>
        <w:jc w:val="both"/>
        <w:rPr>
          <w:rFonts w:ascii="Times New Roman" w:eastAsia="Calibri" w:hAnsi="Times New Roman" w:cs="Times New Roman"/>
          <w:noProof/>
          <w:sz w:val="24"/>
          <w:szCs w:val="24"/>
        </w:rPr>
      </w:pPr>
      <w:r>
        <w:rPr>
          <w:rFonts w:ascii="Times New Roman" w:hAnsi="Times New Roman"/>
          <w:noProof/>
          <w:sz w:val="24"/>
        </w:rPr>
        <w:t xml:space="preserve">Za účelem monitorování a ověření provádění těchto opatření v oblasti správy vnějších hranic uspořádala Komise ve dnech 23. až 27. listopadu 2020 cílenou ověřovací návštěvu Chorvatska. Návštěva dospěla k závěru, že Chorvatsko již většinu opatření provedlo. Na základě výsledků této návštěvy a poslední zprávy o pokroku Chorvatska při provádění akčního plánu pro vnější hranice Komise dne 2. února 2021 akční plán uzavřela. </w:t>
      </w:r>
    </w:p>
    <w:p w14:paraId="5B677C83" w14:textId="0F340632" w:rsidR="00305FA4" w:rsidRPr="0014596D" w:rsidRDefault="00305FA4" w:rsidP="00605EC6">
      <w:pPr>
        <w:spacing w:before="120" w:after="160" w:line="276" w:lineRule="auto"/>
        <w:jc w:val="both"/>
        <w:rPr>
          <w:rFonts w:ascii="Times New Roman" w:eastAsia="Calibri" w:hAnsi="Times New Roman" w:cs="Times New Roman"/>
          <w:noProof/>
          <w:sz w:val="24"/>
          <w:szCs w:val="24"/>
        </w:rPr>
      </w:pPr>
      <w:r>
        <w:rPr>
          <w:rFonts w:ascii="Times New Roman" w:hAnsi="Times New Roman"/>
          <w:noProof/>
          <w:sz w:val="24"/>
        </w:rPr>
        <w:t xml:space="preserve">Rada pro spravedlnost a vnitřní věci na svém zasedání v prosinci 2021 potvrdila závěr Komise uvedený ve sdělení ze dne 22. října 2019, že Chorvatsko splnilo nezbytné podmínky pro uplatňování všech částí schengenského </w:t>
      </w:r>
      <w:r>
        <w:rPr>
          <w:rFonts w:ascii="Times New Roman" w:hAnsi="Times New Roman"/>
          <w:i/>
          <w:noProof/>
          <w:sz w:val="24"/>
        </w:rPr>
        <w:t>acquis</w:t>
      </w:r>
      <w:r>
        <w:rPr>
          <w:rFonts w:ascii="Times New Roman" w:eastAsia="Calibri" w:hAnsi="Times New Roman" w:cs="Times New Roman"/>
          <w:noProof/>
          <w:sz w:val="24"/>
          <w:szCs w:val="24"/>
          <w:vertAlign w:val="superscript"/>
        </w:rPr>
        <w:footnoteReference w:id="14"/>
      </w:r>
      <w:r>
        <w:rPr>
          <w:rFonts w:ascii="Times New Roman" w:hAnsi="Times New Roman"/>
          <w:noProof/>
          <w:sz w:val="24"/>
        </w:rPr>
        <w:t xml:space="preserve">. Rada dále vyzvala Chorvatsko, aby pokračovalo v důsledné práci na provádění schengenského </w:t>
      </w:r>
      <w:r>
        <w:rPr>
          <w:rFonts w:ascii="Times New Roman" w:hAnsi="Times New Roman"/>
          <w:i/>
          <w:noProof/>
          <w:sz w:val="24"/>
        </w:rPr>
        <w:t xml:space="preserve">acquis </w:t>
      </w:r>
      <w:r>
        <w:rPr>
          <w:rFonts w:ascii="Times New Roman" w:hAnsi="Times New Roman"/>
          <w:noProof/>
          <w:sz w:val="24"/>
        </w:rPr>
        <w:t xml:space="preserve">a závazků s tím spojených. Dne 29. června 2022 Rada konzultovala s Evropským parlamentem návrh rozhodnutí o plném uplatňování schengenského </w:t>
      </w:r>
      <w:r>
        <w:rPr>
          <w:rFonts w:ascii="Times New Roman" w:hAnsi="Times New Roman"/>
          <w:i/>
          <w:noProof/>
          <w:sz w:val="24"/>
        </w:rPr>
        <w:t>acquis</w:t>
      </w:r>
      <w:r>
        <w:rPr>
          <w:rFonts w:ascii="Times New Roman" w:hAnsi="Times New Roman"/>
          <w:noProof/>
          <w:sz w:val="24"/>
        </w:rPr>
        <w:t xml:space="preserve"> v Chorvatské republice. Dne 10. listopadu 2022 obdržel návrh rozhodnutí Rady kladné stanovisko od Evropského parlamentu. </w:t>
      </w:r>
    </w:p>
    <w:p w14:paraId="2C20A447" w14:textId="487C380E" w:rsidR="00305FA4" w:rsidRPr="0014596D" w:rsidRDefault="002949A9" w:rsidP="00605EC6">
      <w:pPr>
        <w:spacing w:before="120" w:after="160" w:line="276" w:lineRule="auto"/>
        <w:jc w:val="both"/>
        <w:rPr>
          <w:rFonts w:ascii="Times New Roman" w:eastAsia="Calibri" w:hAnsi="Times New Roman" w:cs="Times New Roman"/>
          <w:noProof/>
          <w:sz w:val="24"/>
          <w:szCs w:val="24"/>
        </w:rPr>
      </w:pPr>
      <w:r>
        <w:rPr>
          <w:rFonts w:ascii="Times New Roman" w:hAnsi="Times New Roman"/>
          <w:noProof/>
          <w:sz w:val="24"/>
        </w:rPr>
        <w:t>Chorvatsko vyvinulo značné úsilí, aby zajistilo, že kontroly na vnějších hranicích budou v souladu se závazky v oblasti základních práv, a zavázalo se k „nulové toleranci“ jakéhokoli násilí. Komise kladně hodnotí, že Chorvatsko je prvním členským státem, který v červnu 2021 zřídil nezávislý monitorovací mechanismus</w:t>
      </w:r>
      <w:r>
        <w:rPr>
          <w:rStyle w:val="FootnoteReference"/>
          <w:rFonts w:ascii="Times New Roman" w:eastAsia="Calibri" w:hAnsi="Times New Roman" w:cs="Times New Roman"/>
          <w:noProof/>
          <w:sz w:val="24"/>
          <w:szCs w:val="24"/>
        </w:rPr>
        <w:footnoteReference w:id="15"/>
      </w:r>
      <w:r>
        <w:rPr>
          <w:rFonts w:ascii="Times New Roman" w:hAnsi="Times New Roman"/>
          <w:noProof/>
          <w:sz w:val="24"/>
        </w:rPr>
        <w:t>, jak je navrženo v paktu o migraci a azylu</w:t>
      </w:r>
      <w:r>
        <w:rPr>
          <w:rStyle w:val="FootnoteReference"/>
          <w:rFonts w:ascii="Times New Roman" w:eastAsia="Calibri" w:hAnsi="Times New Roman" w:cs="Times New Roman"/>
          <w:noProof/>
          <w:sz w:val="24"/>
          <w:szCs w:val="24"/>
        </w:rPr>
        <w:footnoteReference w:id="16"/>
      </w:r>
      <w:r>
        <w:rPr>
          <w:rFonts w:ascii="Times New Roman" w:hAnsi="Times New Roman"/>
          <w:noProof/>
          <w:sz w:val="24"/>
        </w:rPr>
        <w:t xml:space="preserve">. Jedná se o jedinečné fórum, které umožňuje nezávisle sledovat postupy pohraniční stráže a policie a řešit případná obvinění z porušování základních práv na hranicích, zvyšovat povědomí o platných právních předpisech a zárukách základních práv, mimo jiné prostřednictvím školení příslušníků pohraniční stráže a policie, a zajistit zlepšení vnitřních postupů. Tento mechanismus přímo zapojuje příslušné chorvatské zúčastněné strany a je řízen nezávislým poradním výborem, který se skládá mimo jiné ze dvou ombudsmanů, včetně jednoho pro děti, zástupců Evropské komise, Agentury Evropské unie pro základní práva a mezivládních organizací. </w:t>
      </w:r>
    </w:p>
    <w:p w14:paraId="7B4B06D7" w14:textId="0C934658" w:rsidR="00BF5F1C" w:rsidRPr="0014596D" w:rsidRDefault="00305FA4" w:rsidP="00605EC6">
      <w:pPr>
        <w:spacing w:before="120" w:after="160" w:line="276" w:lineRule="auto"/>
        <w:jc w:val="both"/>
        <w:rPr>
          <w:rFonts w:ascii="Times New Roman" w:eastAsia="Calibri" w:hAnsi="Times New Roman" w:cs="Times New Roman"/>
          <w:noProof/>
          <w:sz w:val="24"/>
          <w:szCs w:val="24"/>
        </w:rPr>
      </w:pPr>
      <w:r>
        <w:rPr>
          <w:rFonts w:ascii="Times New Roman" w:hAnsi="Times New Roman"/>
          <w:noProof/>
          <w:sz w:val="24"/>
        </w:rPr>
        <w:t>Po jednom roce fungování mechanismu</w:t>
      </w:r>
      <w:r>
        <w:rPr>
          <w:noProof/>
        </w:rPr>
        <w:t xml:space="preserve"> </w:t>
      </w:r>
      <w:r>
        <w:rPr>
          <w:rFonts w:ascii="Times New Roman" w:hAnsi="Times New Roman"/>
          <w:noProof/>
          <w:sz w:val="24"/>
        </w:rPr>
        <w:t xml:space="preserve">byla v červenci 2022 přijata závěrečná zpráva koordinačního výboru nezávislého monitorovacího mechanismu. Na tomto základě poradní výbor ocenil dne 27. října 2022 činnost nezávislého monitorovacího mechanismu, zejména zahájení odborného a plodného dialogu s chorvatskými orgány, který navázal na závěry mechanismu, a provedení dvaceti pozorovatelských misí na místě. Rovněž přijal doporučení pro další možná zlepšení týkající se širšího mandátu, včetně neohlášených pozorování, zejména na zelené hranici, přístupu k informacím od ministerstva vnitra a potřeby zajistit pokračování v provádění nezávislého monitorovacího mechanismu. </w:t>
      </w:r>
    </w:p>
    <w:p w14:paraId="08525826" w14:textId="1CCA709F" w:rsidR="008C4388" w:rsidRPr="0014596D" w:rsidRDefault="00305FA4" w:rsidP="00605EC6">
      <w:pPr>
        <w:spacing w:before="120" w:after="160" w:line="276" w:lineRule="auto"/>
        <w:jc w:val="both"/>
        <w:rPr>
          <w:rFonts w:ascii="Times New Roman" w:eastAsia="Calibri" w:hAnsi="Times New Roman" w:cs="Times New Roman"/>
          <w:noProof/>
          <w:sz w:val="24"/>
          <w:szCs w:val="24"/>
        </w:rPr>
      </w:pPr>
      <w:r>
        <w:rPr>
          <w:rFonts w:ascii="Times New Roman" w:hAnsi="Times New Roman"/>
          <w:noProof/>
          <w:sz w:val="24"/>
        </w:rPr>
        <w:t xml:space="preserve">Komise vítá závazek chorvatské vlády zachovat nezávislý monitorovací mechanismus a pokračovat v jeho provádění, přičemž kladně hodnotí skutečnost, že doporučení poradního výboru jsou plně zohledněna v nové dohodě o prodloužení platnosti nezávislého monitorovacího mechanismu, která byla podepsána dne 4. listopadu 2022. Nová dohoda zejména stanoví, že mechanismus se zřizuje na automaticky prodlužovaná období 18 měsíců, čímž se zajistí, že jeho plánované cíle budou trvalým a udržitelným způsobem plněny, a stanoví možnost provádět neohlášená pozorování, a to kdykoli a na jakémkoli místě, včetně zelené hranice. Tato dohoda rovněž stanoví, že mechanismus bude moci požadovat zahájení úředního vyšetřování ze strany příslušných státních </w:t>
      </w:r>
      <w:bookmarkStart w:id="2" w:name="_Hlk118800344"/>
      <w:r>
        <w:rPr>
          <w:rFonts w:ascii="Times New Roman" w:hAnsi="Times New Roman"/>
          <w:noProof/>
          <w:sz w:val="24"/>
        </w:rPr>
        <w:t>orgánů</w:t>
      </w:r>
      <w:bookmarkEnd w:id="2"/>
      <w:r>
        <w:rPr>
          <w:rFonts w:ascii="Times New Roman" w:hAnsi="Times New Roman"/>
          <w:noProof/>
          <w:sz w:val="24"/>
        </w:rPr>
        <w:t>, pokud dojde ke zjištění nesrovnalostí a možnému porušení základních práv. Kromě toho dohoda obsahuje zvláštní mechanismy k zajištění větší účinnosti a transparentnosti, včetně usnadnění komunikace se zainteresovanou veřejností. Dohoda klade větší důraz na průběžné sledování dodržování základních práv, neboť upřesňuje, že mechanismus sleduje dodržování základních práv za všech okolností, přičemž zvláštní pozornost věnuje právu na účinný přístup k azylovému řízení a mezinárodní ochraně, dodržování zásady nenavracení, zákazu kolektivního vyhoštění, jakož i zákazu mučení či jiných forem špatného zacházení.</w:t>
      </w:r>
      <w:r>
        <w:rPr>
          <w:noProof/>
        </w:rPr>
        <w:t xml:space="preserve"> </w:t>
      </w:r>
    </w:p>
    <w:p w14:paraId="5A0C6EF6" w14:textId="77777777" w:rsidR="008C4388" w:rsidRPr="0014596D" w:rsidRDefault="00305FA4" w:rsidP="00605EC6">
      <w:pPr>
        <w:keepNext/>
        <w:numPr>
          <w:ilvl w:val="0"/>
          <w:numId w:val="1"/>
        </w:numPr>
        <w:spacing w:before="240" w:line="276" w:lineRule="auto"/>
        <w:ind w:left="720"/>
        <w:jc w:val="both"/>
        <w:rPr>
          <w:rFonts w:ascii="Times New Roman" w:hAnsi="Times New Roman" w:cs="Times New Roman"/>
          <w:b/>
          <w:noProof/>
          <w:sz w:val="24"/>
          <w:szCs w:val="24"/>
        </w:rPr>
      </w:pPr>
      <w:r>
        <w:rPr>
          <w:rFonts w:ascii="Times New Roman" w:hAnsi="Times New Roman"/>
          <w:b/>
          <w:noProof/>
          <w:sz w:val="24"/>
        </w:rPr>
        <w:t>Výrazné úspěchy při posilování a upevňování Schengenu</w:t>
      </w:r>
    </w:p>
    <w:p w14:paraId="2A09C64F" w14:textId="77777777" w:rsidR="00305FA4" w:rsidRPr="0014596D" w:rsidRDefault="00022612" w:rsidP="00605EC6">
      <w:pPr>
        <w:spacing w:before="240" w:line="276" w:lineRule="auto"/>
        <w:jc w:val="both"/>
        <w:rPr>
          <w:rFonts w:ascii="Times New Roman" w:hAnsi="Times New Roman" w:cs="Times New Roman"/>
          <w:noProof/>
          <w:sz w:val="24"/>
          <w:szCs w:val="24"/>
        </w:rPr>
      </w:pPr>
      <w:r>
        <w:rPr>
          <w:rFonts w:ascii="Times New Roman" w:hAnsi="Times New Roman"/>
          <w:noProof/>
          <w:sz w:val="24"/>
        </w:rPr>
        <w:t xml:space="preserve">Výrazné úspěchy Bulharska, Rumunska a Chorvatska odpovídají výrazným úspěchům, jichž bylo postupně dosaženo v schengenském prostoru jako celku. Schengenský prostor se neustále vyvíjí a přizpůsobuje novým výzvám a prioritám. Náš schengenský prostor je dnes silný a je připraven na toto nové rozšíření, které přispěje k dalšímu zvýšení jeho odolnosti, zejména tváří v tvář novým geopolitickým výzvám. Během uplynulých 37 let byl postupně vypracován komplexní právní rámec a společné operační nástroje, které mají za cíl lépe chránit prostor bez kontrol na vnitřních hranicích. </w:t>
      </w:r>
    </w:p>
    <w:p w14:paraId="5409909A" w14:textId="77777777" w:rsidR="00305FA4" w:rsidRPr="0014596D" w:rsidRDefault="00485CD8" w:rsidP="00605EC6">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Nedávno zavedený </w:t>
      </w:r>
      <w:r>
        <w:rPr>
          <w:rFonts w:ascii="Times New Roman" w:hAnsi="Times New Roman"/>
          <w:b/>
          <w:noProof/>
          <w:sz w:val="24"/>
        </w:rPr>
        <w:t>systém správy</w:t>
      </w:r>
      <w:r>
        <w:rPr>
          <w:rFonts w:ascii="Times New Roman" w:hAnsi="Times New Roman"/>
          <w:noProof/>
          <w:sz w:val="24"/>
        </w:rPr>
        <w:t xml:space="preserve"> </w:t>
      </w:r>
      <w:r>
        <w:rPr>
          <w:rFonts w:ascii="Times New Roman" w:hAnsi="Times New Roman"/>
          <w:b/>
          <w:noProof/>
          <w:sz w:val="24"/>
        </w:rPr>
        <w:t>Schengenu</w:t>
      </w:r>
      <w:r>
        <w:rPr>
          <w:rFonts w:ascii="Times New Roman" w:hAnsi="Times New Roman"/>
          <w:noProof/>
          <w:sz w:val="24"/>
        </w:rPr>
        <w:t xml:space="preserve"> zaručuje větší a společnou odpovědnost podporující provádění strukturálních reforem. Schengenský cyklus, jak jej navrhla Komise, stanoví struktury pro koordinovaný přístup ke společným výzvám a intenzivnější politický dialog.</w:t>
      </w:r>
    </w:p>
    <w:p w14:paraId="0DFD3DDD" w14:textId="607F5FD4" w:rsidR="005C545E" w:rsidRPr="0014596D" w:rsidRDefault="005C545E" w:rsidP="00605EC6">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Schengenská architektura se neustále obnovuje. Právní rámec je neustále posilován a již dnes poskytuje pevný základ pro účinnou správu vnějších hranic a zároveň zaručuje, že kontroly na vnitřních hranicích budou nadále krajním opatřením. Připravovaná revize </w:t>
      </w:r>
      <w:r>
        <w:rPr>
          <w:rFonts w:ascii="Times New Roman" w:hAnsi="Times New Roman"/>
          <w:b/>
          <w:noProof/>
          <w:sz w:val="24"/>
        </w:rPr>
        <w:t>Schengenského hraničního kodexu</w:t>
      </w:r>
      <w:r>
        <w:rPr>
          <w:rFonts w:ascii="Times New Roman" w:hAnsi="Times New Roman" w:cs="Times New Roman"/>
          <w:noProof/>
          <w:sz w:val="24"/>
          <w:szCs w:val="24"/>
          <w:vertAlign w:val="superscript"/>
        </w:rPr>
        <w:footnoteReference w:id="17"/>
      </w:r>
      <w:r>
        <w:rPr>
          <w:rFonts w:ascii="Times New Roman" w:hAnsi="Times New Roman"/>
          <w:noProof/>
          <w:sz w:val="24"/>
        </w:rPr>
        <w:t xml:space="preserve"> tato pravidla dále posílí, přičemž zaručí větší spolupráci mezi členskými státy a plnou koordinaci na úrovni Unie. Navíc u členských států vzrůstá povědomí a odhodlání, pokud jde o potřebu řešit udržitelným způsobem problém dlouhodobých kontrol na vnitřních hranicích. </w:t>
      </w:r>
    </w:p>
    <w:p w14:paraId="473AF990" w14:textId="7D7FEE28" w:rsidR="00305FA4" w:rsidRPr="0014596D" w:rsidRDefault="005C545E" w:rsidP="00605EC6">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V uplynulých letech EU intenzivně pracovala na zavedení jednoho z technologicky nejvyspělejších systémů správy hranic na světě, jehož přínosy jsou již dnes patrné v praxi. Zahájení provozu modernizovaného Schengenského informačního systému na začátku roku 2023 a Systému vstupu/výstupu v květnu 2023 přinese další zabezpečení naší správy vnějších hranic a schengenského prostoru. Očekává se, že do konce roku 2023 bude zavedena </w:t>
      </w:r>
      <w:r>
        <w:rPr>
          <w:rFonts w:ascii="Times New Roman" w:hAnsi="Times New Roman"/>
          <w:b/>
          <w:noProof/>
          <w:sz w:val="24"/>
        </w:rPr>
        <w:t>celá nová architektura IT</w:t>
      </w:r>
      <w:r>
        <w:rPr>
          <w:rFonts w:ascii="Times New Roman" w:hAnsi="Times New Roman"/>
          <w:noProof/>
          <w:sz w:val="24"/>
        </w:rPr>
        <w:t xml:space="preserve">, včetně Evropského systému pro cestovní informace a povolení (ETIAS), a následná interoperabilita propojí evropské systémy pro hranice, migraci a bezpečnost. Po tomto zavedení budou mít všechny relevantní a příslušné vnitrostátní orgány k dispozici úplné, spolehlivé a přesné informace, které potřebují, a to při plném respektování požadavků na ochranu údajů. </w:t>
      </w:r>
    </w:p>
    <w:p w14:paraId="3C84DE95" w14:textId="118C33B1" w:rsidR="00305FA4" w:rsidRPr="0014596D" w:rsidRDefault="00305FA4" w:rsidP="00605EC6">
      <w:pPr>
        <w:spacing w:before="120" w:line="276" w:lineRule="auto"/>
        <w:jc w:val="both"/>
        <w:rPr>
          <w:rFonts w:ascii="Times New Roman" w:hAnsi="Times New Roman" w:cs="Times New Roman"/>
          <w:noProof/>
          <w:sz w:val="24"/>
          <w:szCs w:val="24"/>
        </w:rPr>
      </w:pPr>
      <w:r>
        <w:rPr>
          <w:rFonts w:ascii="Times New Roman" w:hAnsi="Times New Roman"/>
          <w:b/>
          <w:noProof/>
          <w:sz w:val="24"/>
        </w:rPr>
        <w:t>Vízový kodex</w:t>
      </w:r>
      <w:r>
        <w:rPr>
          <w:rFonts w:ascii="Times New Roman" w:hAnsi="Times New Roman"/>
          <w:noProof/>
          <w:sz w:val="24"/>
        </w:rPr>
        <w:t>, který vstoupil v platnost v letech 2010–2011, byl v roce 2020 revidován, čímž se zrychlily a zpřehlednily postupy pro cestující a zároveň se rozšířily nástroje, které jsou k dispozici v reakci na problémy spojené s nelegální migrací. Nová možnost využívat pákový efekt víz vůči třetím zemím, s nimiž je spolupráce v oblasti zpětného přebírání osob nedostatečná, již přinesla pozitivní výsledky</w:t>
      </w:r>
      <w:r>
        <w:rPr>
          <w:rStyle w:val="FootnoteReference"/>
          <w:rFonts w:ascii="Times New Roman" w:hAnsi="Times New Roman" w:cs="Times New Roman"/>
          <w:noProof/>
          <w:sz w:val="24"/>
          <w:szCs w:val="24"/>
        </w:rPr>
        <w:footnoteReference w:id="18"/>
      </w:r>
      <w:r>
        <w:rPr>
          <w:rFonts w:ascii="Times New Roman" w:hAnsi="Times New Roman"/>
          <w:noProof/>
          <w:sz w:val="24"/>
        </w:rPr>
        <w:t>. Vízový informační systém, který byl nedávno reformován a rozšířen o nové funkce (např. integrace dlouhodobých víz a povolení k pobytu), účinně podporuje orgány členských států a umožňuje lepší kontrolu žadatelů o víza s cílem určit osoby, které mohou představovat bezpečnostní hrozbu nebo u nichž hrozí riziko zneužití imigračních pravidel. Kromě toho Unie pokračovala v úsilí o zatraktivnění Schengenu a přidala na seznam zemí, jejichž státní příslušníci mohou cestovat do EU bez víz, nové třetí země a uzavřela dohody o zjednodušení vízového režimu s dalšími zeměmi. Připravovaná digitalizace postupu udělování víz</w:t>
      </w:r>
      <w:r>
        <w:rPr>
          <w:rFonts w:ascii="Times New Roman" w:hAnsi="Times New Roman" w:cs="Times New Roman"/>
          <w:noProof/>
          <w:sz w:val="24"/>
          <w:szCs w:val="24"/>
          <w:vertAlign w:val="superscript"/>
        </w:rPr>
        <w:footnoteReference w:id="19"/>
      </w:r>
      <w:r>
        <w:rPr>
          <w:rFonts w:ascii="Times New Roman" w:hAnsi="Times New Roman"/>
          <w:noProof/>
          <w:sz w:val="24"/>
        </w:rPr>
        <w:t xml:space="preserve"> převede současný způsob podávání žádostí o víza založený na listinných dokladech na digitální postup, který bude rychlejší a bezpečnější. Jednotná on-line platforma vtiskne postupu udělování víz tvář EU a vytvoří jedinečné vstupní místo pro žadatele o víza po celém světě, čímž zvýší atraktivitu EU jako cestovního cíle.</w:t>
      </w:r>
    </w:p>
    <w:p w14:paraId="505BC8BA" w14:textId="77777777" w:rsidR="00305FA4" w:rsidRPr="0014596D" w:rsidRDefault="00FC0269" w:rsidP="00605EC6">
      <w:pPr>
        <w:spacing w:before="120" w:line="276" w:lineRule="auto"/>
        <w:jc w:val="both"/>
        <w:rPr>
          <w:rFonts w:ascii="Times New Roman" w:hAnsi="Times New Roman" w:cs="Times New Roman"/>
          <w:noProof/>
          <w:sz w:val="24"/>
          <w:szCs w:val="24"/>
        </w:rPr>
      </w:pPr>
      <w:r>
        <w:rPr>
          <w:rFonts w:ascii="Times New Roman" w:hAnsi="Times New Roman"/>
          <w:noProof/>
          <w:sz w:val="24"/>
        </w:rPr>
        <w:t>Důkladná správa vnějších hranic je klíčová ke kompenzaci zrušení kontrol na vnitřních hranicích při zajištění vzájemné důvěry. Unie a členské státy aktivně pracují na dosažení plně účinné a integrované evropské správy hranic v praxi</w:t>
      </w:r>
      <w:r>
        <w:rPr>
          <w:rStyle w:val="FootnoteReference"/>
          <w:rFonts w:ascii="Times New Roman" w:hAnsi="Times New Roman" w:cs="Times New Roman"/>
          <w:noProof/>
          <w:sz w:val="24"/>
          <w:szCs w:val="24"/>
        </w:rPr>
        <w:footnoteReference w:id="20"/>
      </w:r>
      <w:r>
        <w:rPr>
          <w:rFonts w:ascii="Times New Roman" w:hAnsi="Times New Roman"/>
          <w:noProof/>
          <w:sz w:val="24"/>
        </w:rPr>
        <w:t>, včetně opatření na zefektivnění navracení státních příslušníků třetích zemí bez práva k pobytu</w:t>
      </w:r>
      <w:r>
        <w:rPr>
          <w:rStyle w:val="FootnoteReference"/>
          <w:rFonts w:ascii="Times New Roman" w:hAnsi="Times New Roman" w:cs="Times New Roman"/>
          <w:noProof/>
          <w:sz w:val="24"/>
          <w:szCs w:val="24"/>
        </w:rPr>
        <w:footnoteReference w:id="21"/>
      </w:r>
      <w:r>
        <w:rPr>
          <w:rFonts w:ascii="Times New Roman" w:hAnsi="Times New Roman"/>
          <w:noProof/>
          <w:sz w:val="24"/>
        </w:rPr>
        <w:t xml:space="preserve">. Kromě toho zřízení </w:t>
      </w:r>
      <w:r>
        <w:rPr>
          <w:rFonts w:ascii="Times New Roman" w:hAnsi="Times New Roman"/>
          <w:b/>
          <w:noProof/>
          <w:sz w:val="24"/>
        </w:rPr>
        <w:t>Evropské pohraniční a pobřežní stráže</w:t>
      </w:r>
      <w:r>
        <w:rPr>
          <w:rFonts w:ascii="Times New Roman" w:hAnsi="Times New Roman"/>
          <w:noProof/>
          <w:sz w:val="24"/>
        </w:rPr>
        <w:t xml:space="preserve"> a každodenní provádění jejího posíleného mandátu</w:t>
      </w:r>
      <w:r>
        <w:rPr>
          <w:rStyle w:val="FootnoteReference"/>
          <w:rFonts w:ascii="Times New Roman" w:hAnsi="Times New Roman" w:cs="Times New Roman"/>
          <w:noProof/>
          <w:sz w:val="24"/>
          <w:szCs w:val="24"/>
        </w:rPr>
        <w:footnoteReference w:id="22"/>
      </w:r>
      <w:r>
        <w:rPr>
          <w:rFonts w:ascii="Times New Roman" w:hAnsi="Times New Roman"/>
          <w:noProof/>
          <w:sz w:val="24"/>
        </w:rPr>
        <w:t xml:space="preserve"> patřilo k zásadním rozhodnutím, která Unie přijala za účelem úplného splnění požadavků Schengenu. Bezpečnost a fungování schengenského prostoru jsou podporovány také účinným prováděním celního kodexu Unie v úzké spolupráci s orgány Evropské pohraniční a pobřežní stráže. Tato spolupráce zaručuje, že kontrola zboží je dobře integrována do týchž bezpečnostních procesů.</w:t>
      </w:r>
    </w:p>
    <w:p w14:paraId="6C307629" w14:textId="77777777" w:rsidR="00754149" w:rsidRPr="0014596D" w:rsidRDefault="00305FA4" w:rsidP="00605EC6">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Silnější Schengen také přispívá k lepšímu </w:t>
      </w:r>
      <w:r>
        <w:rPr>
          <w:rFonts w:ascii="Times New Roman" w:hAnsi="Times New Roman"/>
          <w:b/>
          <w:noProof/>
          <w:sz w:val="24"/>
        </w:rPr>
        <w:t>řešení</w:t>
      </w:r>
      <w:r>
        <w:rPr>
          <w:rFonts w:ascii="Times New Roman" w:hAnsi="Times New Roman"/>
          <w:noProof/>
          <w:sz w:val="24"/>
        </w:rPr>
        <w:t xml:space="preserve"> problémů </w:t>
      </w:r>
      <w:r>
        <w:rPr>
          <w:rFonts w:ascii="Times New Roman" w:hAnsi="Times New Roman"/>
          <w:b/>
          <w:noProof/>
          <w:sz w:val="24"/>
        </w:rPr>
        <w:t>vnitřní bezpečnosti</w:t>
      </w:r>
      <w:r>
        <w:rPr>
          <w:rFonts w:ascii="Times New Roman" w:hAnsi="Times New Roman"/>
          <w:noProof/>
          <w:sz w:val="24"/>
        </w:rPr>
        <w:t>. Zrušení hraničních kontrol umožnilo členským státům cíleněji využívat policejní zdroje k boji proti trestné činnosti a vnitřnímu terorismu. Donucovací orgány členských států</w:t>
      </w:r>
      <w:r>
        <w:rPr>
          <w:rFonts w:ascii="Times New Roman" w:hAnsi="Times New Roman" w:cs="Times New Roman"/>
          <w:noProof/>
          <w:sz w:val="24"/>
          <w:szCs w:val="24"/>
          <w:vertAlign w:val="superscript"/>
        </w:rPr>
        <w:footnoteReference w:id="23"/>
      </w:r>
      <w:r>
        <w:rPr>
          <w:rFonts w:ascii="Times New Roman" w:hAnsi="Times New Roman"/>
          <w:noProof/>
          <w:sz w:val="24"/>
        </w:rPr>
        <w:t xml:space="preserve"> si mohou účinněji vyměňovat informace díky častějšímu využívání nástrojů a prostředků EU.</w:t>
      </w:r>
      <w:r>
        <w:rPr>
          <w:rFonts w:ascii="Times New Roman" w:hAnsi="Times New Roman"/>
          <w:b/>
          <w:noProof/>
          <w:sz w:val="24"/>
        </w:rPr>
        <w:t xml:space="preserve"> </w:t>
      </w:r>
      <w:r>
        <w:rPr>
          <w:rFonts w:ascii="Times New Roman" w:hAnsi="Times New Roman"/>
          <w:noProof/>
          <w:sz w:val="24"/>
        </w:rPr>
        <w:t>To vede k lepší koordinaci vyšetřovacích akcí. Na základě legislativních návrhů, které Komise předložila v prosinci 2021, pokračují Evropský parlament a Rada v legislativní práci na dalším posílení výměny informací. Komise vyzývá Evropský parlament a Radu, aby urychleně dosáhly dohody o návrhu směrnice o výměně informací mezi donucovacími orgány členských států</w:t>
      </w:r>
      <w:r>
        <w:rPr>
          <w:rFonts w:ascii="Times New Roman" w:hAnsi="Times New Roman" w:cs="Times New Roman"/>
          <w:noProof/>
          <w:sz w:val="24"/>
          <w:szCs w:val="24"/>
          <w:vertAlign w:val="superscript"/>
        </w:rPr>
        <w:footnoteReference w:id="24"/>
      </w:r>
      <w:r>
        <w:rPr>
          <w:rFonts w:ascii="Times New Roman" w:hAnsi="Times New Roman"/>
          <w:noProof/>
          <w:sz w:val="24"/>
        </w:rPr>
        <w:t>. Kromě toho Komise do konce roku předloží legislativní návrh nařízení o shromažďování a předávání předběžných informací o cestujících (API) za účelem boje proti závažné trestné činnosti a terorismu, a to i na vybraných letech uvnitř EU.</w:t>
      </w:r>
    </w:p>
    <w:p w14:paraId="1A3206FF" w14:textId="77777777" w:rsidR="00305FA4" w:rsidRPr="0014596D" w:rsidRDefault="00692E80" w:rsidP="00605EC6">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Jelikož opatření na vnitrostátní úrovni sama o sobě nestačí k řešení těchto nadnárodních bezpečnostních výzev, donucovací orgány členských států v boji proti závažné trestné činnosti a terorismu stále více využívají podporu a odborné znalosti, které nabízí Agentura EU pro spolupráci v oblasti prosazování práva (Europol). Nedávný vstup posíleného mandátu </w:t>
      </w:r>
      <w:r>
        <w:rPr>
          <w:rFonts w:ascii="Times New Roman" w:hAnsi="Times New Roman"/>
          <w:b/>
          <w:noProof/>
          <w:sz w:val="24"/>
        </w:rPr>
        <w:t>Europolu</w:t>
      </w:r>
      <w:r>
        <w:rPr>
          <w:rFonts w:ascii="Times New Roman" w:hAnsi="Times New Roman"/>
          <w:noProof/>
          <w:sz w:val="24"/>
        </w:rPr>
        <w:t xml:space="preserve"> v platnost dále posiluje prostředky, které má agentura k dispozici na podporu členských států při vyšetřování přeshraniční závažné trestné činnosti a terorismu, například při zpracování dat velkého objemu, spolupráci se soukromými subjekty nebo práci na inovacích a umělé inteligenci na podporu vymáhání práva</w:t>
      </w:r>
      <w:r>
        <w:rPr>
          <w:rFonts w:ascii="Times New Roman" w:hAnsi="Times New Roman" w:cs="Times New Roman"/>
          <w:noProof/>
          <w:sz w:val="24"/>
          <w:szCs w:val="24"/>
          <w:vertAlign w:val="superscript"/>
        </w:rPr>
        <w:footnoteReference w:id="25"/>
      </w:r>
      <w:r>
        <w:rPr>
          <w:rFonts w:ascii="Times New Roman" w:hAnsi="Times New Roman"/>
          <w:noProof/>
          <w:sz w:val="24"/>
        </w:rPr>
        <w:t>. Europol rovněž posílil svou podporu členským státům v boji proti terorismu prostřednictvím svého Evropského centra pro boj proti terorismu. Členské státy se také aktivně zapojují do evropské multidisciplinární platformy pro boj proti hrozbám vyplývajícím z trestné činnosti (EMPACT), která představuje celkový rámec pro spolupráci v boji proti organizované a závažné trestné činnosti mající dopad na EU</w:t>
      </w:r>
      <w:r>
        <w:rPr>
          <w:rStyle w:val="FootnoteReference"/>
          <w:rFonts w:ascii="Times New Roman" w:hAnsi="Times New Roman" w:cs="Times New Roman"/>
          <w:noProof/>
          <w:sz w:val="24"/>
          <w:szCs w:val="24"/>
        </w:rPr>
        <w:footnoteReference w:id="26"/>
      </w:r>
      <w:r>
        <w:rPr>
          <w:rFonts w:ascii="Times New Roman" w:hAnsi="Times New Roman"/>
          <w:noProof/>
          <w:sz w:val="24"/>
        </w:rPr>
        <w:t>, a to za zvýšené finanční podpory ze strany Unie.</w:t>
      </w:r>
    </w:p>
    <w:p w14:paraId="0C43211B" w14:textId="77777777" w:rsidR="009C6959" w:rsidRPr="0014596D" w:rsidRDefault="00305FA4" w:rsidP="00605EC6">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Členské státy posílí svou </w:t>
      </w:r>
      <w:r>
        <w:rPr>
          <w:rFonts w:ascii="Times New Roman" w:hAnsi="Times New Roman"/>
          <w:b/>
          <w:noProof/>
          <w:sz w:val="24"/>
        </w:rPr>
        <w:t>operativní spolupráci</w:t>
      </w:r>
      <w:r>
        <w:rPr>
          <w:rFonts w:ascii="Times New Roman" w:hAnsi="Times New Roman"/>
          <w:noProof/>
          <w:sz w:val="24"/>
        </w:rPr>
        <w:t xml:space="preserve"> provedením doporučení Rady ze dne 9. června 2022 o operativní spolupráci v oblasti prosazování práva, přičemž k potírání přeshraniční trestné činnosti využívají přeshraniční pronásledování a sledování, společné operace nebo společné hlídky</w:t>
      </w:r>
      <w:r>
        <w:rPr>
          <w:rFonts w:ascii="Times New Roman" w:hAnsi="Times New Roman" w:cs="Times New Roman"/>
          <w:noProof/>
          <w:sz w:val="24"/>
          <w:szCs w:val="24"/>
          <w:vertAlign w:val="superscript"/>
        </w:rPr>
        <w:footnoteReference w:id="27"/>
      </w:r>
      <w:r>
        <w:rPr>
          <w:rFonts w:ascii="Times New Roman" w:hAnsi="Times New Roman"/>
          <w:noProof/>
          <w:sz w:val="24"/>
        </w:rPr>
        <w:t>. Komise podporuje členské státy při provádění opatření uvedených v doporučení, a to i prostřednictvím finančních prostředků z Fondu pro vnitřní bezpečnost. Členské státy rovněž spolupracují prostřednictvím společných policejních kontrol, které provádějí v příhraničních oblastech v souladu s doporučením Komise o přiměřených policejních kontrolách a policejní spolupráci v schengenském prostoru</w:t>
      </w:r>
      <w:r>
        <w:rPr>
          <w:rStyle w:val="FootnoteReference"/>
          <w:rFonts w:ascii="Times New Roman" w:hAnsi="Times New Roman" w:cs="Times New Roman"/>
          <w:noProof/>
          <w:sz w:val="24"/>
          <w:szCs w:val="24"/>
        </w:rPr>
        <w:footnoteReference w:id="28"/>
      </w:r>
      <w:r>
        <w:rPr>
          <w:noProof/>
        </w:rPr>
        <w:t>.</w:t>
      </w:r>
    </w:p>
    <w:p w14:paraId="0659D2B1" w14:textId="77777777" w:rsidR="00305FA4" w:rsidRPr="0014596D" w:rsidRDefault="00CC660B" w:rsidP="00605EC6">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Silný a dobře fungující schengenský prostor vyžaduje nejen řádné provádění schengenského </w:t>
      </w:r>
      <w:r>
        <w:rPr>
          <w:rFonts w:ascii="Times New Roman" w:hAnsi="Times New Roman"/>
          <w:i/>
          <w:noProof/>
          <w:sz w:val="24"/>
        </w:rPr>
        <w:t>acquis</w:t>
      </w:r>
      <w:r>
        <w:rPr>
          <w:rFonts w:ascii="Times New Roman" w:hAnsi="Times New Roman"/>
          <w:noProof/>
          <w:sz w:val="24"/>
        </w:rPr>
        <w:t xml:space="preserve">, ale také úzkou spolupráci mezi členskými státy na dalších doplňkových opatřeních, včetně opatření v oblasti migrace a azylu. Za účelem zajištění </w:t>
      </w:r>
      <w:r>
        <w:rPr>
          <w:rFonts w:ascii="Times New Roman" w:hAnsi="Times New Roman"/>
          <w:b/>
          <w:noProof/>
          <w:sz w:val="24"/>
        </w:rPr>
        <w:t>účinného zvládání výzev spojených s migrací</w:t>
      </w:r>
      <w:r>
        <w:rPr>
          <w:rFonts w:ascii="Times New Roman" w:hAnsi="Times New Roman"/>
          <w:noProof/>
          <w:sz w:val="24"/>
        </w:rPr>
        <w:t xml:space="preserve"> bylo a bude vykonáno mnoho práce. V návaznosti na prohlášení o dobrovolném mechanismu solidarity, které bylo schváleno v červnu, Komise usnadňuje členským státům práci při hledání společných řešení problému neoprávněného druhotného pohybu. Zejména v návaznosti na jednání kontaktního výboru o nařízení Dublin III, které se konalo dne 24. června 2022, se dohodly členské státy, Komise a Agentura Evropské unie pro otázky azylu (dále jen „EUAA“), že budou pracovat na plánu, který by umožnil zlepšit a zajistit provádění přemístění podle uvedeného nařízení ve všech členských státech. Spolupráce na základě opatření společně stanovených v tomto plánu pomůže přinést hmatatelná zlepšení dublinského systému, což je pro další budování důvěry zásadní.</w:t>
      </w:r>
    </w:p>
    <w:p w14:paraId="3EF48786" w14:textId="77777777" w:rsidR="00E87C83" w:rsidRPr="0014596D" w:rsidRDefault="00282ACD" w:rsidP="00605EC6">
      <w:pPr>
        <w:spacing w:before="120" w:line="276" w:lineRule="auto"/>
        <w:jc w:val="both"/>
        <w:rPr>
          <w:rFonts w:ascii="Times New Roman" w:hAnsi="Times New Roman" w:cs="Times New Roman"/>
          <w:noProof/>
          <w:sz w:val="24"/>
          <w:szCs w:val="24"/>
        </w:rPr>
      </w:pPr>
      <w:r>
        <w:rPr>
          <w:rFonts w:ascii="Times New Roman" w:hAnsi="Times New Roman"/>
          <w:noProof/>
          <w:sz w:val="24"/>
        </w:rPr>
        <w:t>Rozhodný pokrok v přijímání paktu je zároveň zásadní vzhledem k tomu, že obsahuje řešení, která mají přispět k účinnému řízení migrace, užší spolupráci a sdílení odpovědnosti mezi členskými státy, a posílit tak vzájemnou důvěru a v důsledku toho podpořit silný schengenský prostor.</w:t>
      </w:r>
    </w:p>
    <w:p w14:paraId="45FFF480" w14:textId="77777777" w:rsidR="00305FA4" w:rsidRPr="0014596D" w:rsidRDefault="009E7C9D" w:rsidP="00605EC6">
      <w:pPr>
        <w:keepNext/>
        <w:numPr>
          <w:ilvl w:val="0"/>
          <w:numId w:val="1"/>
        </w:numPr>
        <w:spacing w:before="240" w:line="276" w:lineRule="auto"/>
        <w:ind w:left="720"/>
        <w:jc w:val="both"/>
        <w:rPr>
          <w:rFonts w:ascii="Times New Roman" w:hAnsi="Times New Roman" w:cs="Times New Roman"/>
          <w:b/>
          <w:noProof/>
          <w:sz w:val="24"/>
          <w:szCs w:val="24"/>
        </w:rPr>
      </w:pPr>
      <w:r>
        <w:rPr>
          <w:rFonts w:ascii="Times New Roman" w:hAnsi="Times New Roman"/>
          <w:b/>
          <w:noProof/>
          <w:sz w:val="24"/>
        </w:rPr>
        <w:t>Dosažení plného potenciálu Schengenu</w:t>
      </w:r>
    </w:p>
    <w:p w14:paraId="07539DA8" w14:textId="5A381098" w:rsidR="00754149" w:rsidRPr="0014596D" w:rsidRDefault="00754149" w:rsidP="00605EC6">
      <w:pPr>
        <w:spacing w:before="240" w:line="276" w:lineRule="auto"/>
        <w:jc w:val="both"/>
        <w:rPr>
          <w:rFonts w:ascii="Times New Roman" w:hAnsi="Times New Roman" w:cs="Times New Roman"/>
          <w:noProof/>
          <w:sz w:val="24"/>
          <w:szCs w:val="24"/>
        </w:rPr>
      </w:pPr>
      <w:r>
        <w:rPr>
          <w:rFonts w:ascii="Times New Roman" w:hAnsi="Times New Roman"/>
          <w:noProof/>
          <w:sz w:val="24"/>
        </w:rPr>
        <w:t>Přistoupení Bulharska, Rumunska a Chorvatska k Schengenu je odpovědí na evropský slib i na legitimní očekávání, že po ověření a splnění všech dohodnutých podmínek bude následovat členství. Schengen se těší obrovské podpoře evropského obyvatelstva</w:t>
      </w:r>
      <w:r>
        <w:rPr>
          <w:rStyle w:val="FootnoteReference"/>
          <w:rFonts w:ascii="Times New Roman" w:eastAsia="Calibri" w:hAnsi="Times New Roman" w:cs="Times New Roman"/>
          <w:noProof/>
          <w:sz w:val="24"/>
          <w:szCs w:val="24"/>
        </w:rPr>
        <w:footnoteReference w:id="29"/>
      </w:r>
      <w:r>
        <w:rPr>
          <w:rFonts w:ascii="Times New Roman" w:hAnsi="Times New Roman"/>
          <w:noProof/>
          <w:sz w:val="24"/>
        </w:rPr>
        <w:t xml:space="preserve"> a je třeba zabránit jakýmkoli dalším prodlevám v tom, aby bulharští, rumunští a chorvatští občané mohli využívat svá práva. Evropský parlament, předsednictví Rady a Evropská komise projevily pevné odhodlání pro tuto novou vlnu přistoupení k schengenskému prostoru bez kontrol na vnitřních hranicích a poskytly tomuto procesu plnou a trvalou politickou a technickou podporu.</w:t>
      </w:r>
    </w:p>
    <w:p w14:paraId="2DD3F0A0" w14:textId="48F7BEBF" w:rsidR="000D79D8" w:rsidRPr="0014596D" w:rsidRDefault="00305FA4" w:rsidP="00605EC6">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Bulharsko, Rumunsko a Chorvatsko jsou připraveny plně provádět schengenské </w:t>
      </w:r>
      <w:r>
        <w:rPr>
          <w:rFonts w:ascii="Times New Roman" w:hAnsi="Times New Roman"/>
          <w:i/>
          <w:noProof/>
          <w:sz w:val="24"/>
        </w:rPr>
        <w:t>acquis</w:t>
      </w:r>
      <w:r>
        <w:rPr>
          <w:rFonts w:ascii="Times New Roman" w:hAnsi="Times New Roman"/>
          <w:noProof/>
          <w:sz w:val="24"/>
        </w:rPr>
        <w:t xml:space="preserve"> a vstoupit do schengenského prostoru. Jejich přistoupení má zásadní význam pro zachování a posílení vzájemné důvěry v schengenský prostor. Jejich přistoupení navíc přispěje k odstranění překážek uvnitř jednotného trhu, zejména pokud jde o usnadnění dopravních toků, jakož i k podpoře konkurenceschopnosti a růstového potenciálu EU. Zahrnutí vysoce kvalifikovaných a specializovaných pracovníků z Bulharska, Rumunska a Chorvatska, jejich nejmodernější infrastruktury a know-how do společného souboru nástrojů pro správu schengenského prostoru posílí správu hranic a bezpečnost v celé EU. Tito noví členové Schengenu pak budou moci plně využívat všechny dostupné nástroje, například nástroje spojené s Vízovým informačním systémem a interoperabilitou rozsáhlých informačních systémů. To rovněž povede k silnějšímu a řádnějšímu řízení migrace, zejména ve vztahu ke třetím zemím v evropském sousedství, na našich vnějších hranicích a mezi členskými státy.</w:t>
      </w:r>
    </w:p>
    <w:p w14:paraId="36C3059D" w14:textId="2EEACA3C" w:rsidR="00305FA4" w:rsidRPr="0014596D" w:rsidRDefault="00305FA4" w:rsidP="00605EC6">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Rozšířený schengenský prostor posílí EU jako unii, a to jak uvnitř, tak na celosvětové scéně. Unie bude </w:t>
      </w:r>
      <w:r>
        <w:rPr>
          <w:rFonts w:ascii="Times New Roman" w:hAnsi="Times New Roman"/>
          <w:b/>
          <w:noProof/>
          <w:sz w:val="24"/>
        </w:rPr>
        <w:t>silnější</w:t>
      </w:r>
      <w:r>
        <w:rPr>
          <w:rFonts w:ascii="Times New Roman" w:hAnsi="Times New Roman"/>
          <w:noProof/>
          <w:sz w:val="24"/>
        </w:rPr>
        <w:t xml:space="preserve"> – díky posílené ochraně našich společných vnějších hranic a účinné policejní spolupráci – </w:t>
      </w:r>
      <w:r>
        <w:rPr>
          <w:rFonts w:ascii="Times New Roman" w:hAnsi="Times New Roman"/>
          <w:b/>
          <w:noProof/>
          <w:sz w:val="24"/>
        </w:rPr>
        <w:t>více prosperující</w:t>
      </w:r>
      <w:r>
        <w:rPr>
          <w:rFonts w:ascii="Times New Roman" w:hAnsi="Times New Roman"/>
          <w:noProof/>
          <w:sz w:val="24"/>
        </w:rPr>
        <w:t xml:space="preserve"> – díky odstranění časových ztrát na hranicích a usnadnění osobních a obchodních kontaktů – a </w:t>
      </w:r>
      <w:r>
        <w:rPr>
          <w:rFonts w:ascii="Times New Roman" w:hAnsi="Times New Roman"/>
          <w:b/>
          <w:noProof/>
          <w:sz w:val="24"/>
        </w:rPr>
        <w:t>atraktivnější</w:t>
      </w:r>
      <w:r>
        <w:rPr>
          <w:rFonts w:ascii="Times New Roman" w:hAnsi="Times New Roman"/>
          <w:noProof/>
          <w:sz w:val="24"/>
        </w:rPr>
        <w:t xml:space="preserve"> – díky výraznému rozšíření největšího společného prostoru na světě bez kontrol na vnitřních hranicích.</w:t>
      </w:r>
    </w:p>
    <w:p w14:paraId="72BB298E" w14:textId="77777777" w:rsidR="00A51F28" w:rsidRPr="00EC04CE" w:rsidRDefault="00305FA4" w:rsidP="00605EC6">
      <w:pPr>
        <w:spacing w:before="120" w:line="276" w:lineRule="auto"/>
        <w:jc w:val="both"/>
        <w:rPr>
          <w:rFonts w:ascii="Times New Roman" w:hAnsi="Times New Roman" w:cs="Times New Roman"/>
          <w:noProof/>
          <w:sz w:val="24"/>
          <w:szCs w:val="24"/>
        </w:rPr>
      </w:pPr>
      <w:r>
        <w:rPr>
          <w:rFonts w:ascii="Times New Roman" w:hAnsi="Times New Roman"/>
          <w:noProof/>
          <w:sz w:val="24"/>
        </w:rPr>
        <w:t>Schengenská rada má nyní v prosinci možnost přijmout historické rozhodnutí. Komise vyzývá všechny členské státy, aby plně podpořily české předsednictví v posledních krocích při uskutečňování tohoto cíle v souladu s akty o přistoupení Bulharska a Rumunska z roku 2005 a Chorvatska z roku 2011.</w:t>
      </w:r>
    </w:p>
    <w:sectPr w:rsidR="00A51F28" w:rsidRPr="00EC04CE" w:rsidSect="00B31741">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83591" w14:textId="77777777" w:rsidR="00305D9E" w:rsidRDefault="00305D9E">
      <w:pPr>
        <w:spacing w:after="0" w:line="240" w:lineRule="auto"/>
      </w:pPr>
      <w:r>
        <w:separator/>
      </w:r>
    </w:p>
  </w:endnote>
  <w:endnote w:type="continuationSeparator" w:id="0">
    <w:p w14:paraId="2829031C" w14:textId="77777777" w:rsidR="00305D9E" w:rsidRDefault="00305D9E">
      <w:pPr>
        <w:spacing w:after="0" w:line="240" w:lineRule="auto"/>
      </w:pPr>
      <w:r>
        <w:continuationSeparator/>
      </w:r>
    </w:p>
  </w:endnote>
  <w:endnote w:type="continuationNotice" w:id="1">
    <w:p w14:paraId="02ADB012" w14:textId="77777777" w:rsidR="00305D9E" w:rsidRDefault="00305D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EBE10" w14:textId="77777777" w:rsidR="00011783" w:rsidRPr="00011783" w:rsidRDefault="00011783" w:rsidP="00011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F8521" w14:textId="138B17CB" w:rsidR="00ED7D55" w:rsidRPr="00011783" w:rsidRDefault="00011783" w:rsidP="00011783">
    <w:pPr>
      <w:pStyle w:val="FooterCoverPage"/>
      <w:rPr>
        <w:rFonts w:ascii="Arial" w:hAnsi="Arial" w:cs="Arial"/>
        <w:b/>
        <w:sz w:val="48"/>
      </w:rPr>
    </w:pPr>
    <w:r w:rsidRPr="00011783">
      <w:rPr>
        <w:rFonts w:ascii="Arial" w:hAnsi="Arial" w:cs="Arial"/>
        <w:b/>
        <w:sz w:val="48"/>
      </w:rPr>
      <w:t>CS</w:t>
    </w:r>
    <w:r w:rsidRPr="00011783">
      <w:rPr>
        <w:rFonts w:ascii="Arial" w:hAnsi="Arial" w:cs="Arial"/>
        <w:b/>
        <w:sz w:val="48"/>
      </w:rPr>
      <w:tab/>
    </w:r>
    <w:r w:rsidRPr="00011783">
      <w:rPr>
        <w:rFonts w:ascii="Arial" w:hAnsi="Arial" w:cs="Arial"/>
        <w:b/>
        <w:sz w:val="48"/>
      </w:rPr>
      <w:tab/>
    </w:r>
    <w:r w:rsidRPr="00011783">
      <w:tab/>
    </w:r>
    <w:r w:rsidRPr="00011783">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1186" w14:textId="77777777" w:rsidR="00011783" w:rsidRPr="00011783" w:rsidRDefault="00011783" w:rsidP="0001178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4F481" w14:textId="77777777" w:rsidR="00615841" w:rsidRDefault="006158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983F0" w14:textId="4717BE85" w:rsidR="00615841" w:rsidRPr="00FB6DE0" w:rsidRDefault="00615841" w:rsidP="00B31741">
    <w:pPr>
      <w:pStyle w:val="Footer"/>
      <w:rPr>
        <w:rFonts w:ascii="Times New Roman" w:hAnsi="Times New Roman" w:cs="Times New Roman"/>
        <w:b/>
        <w:sz w:val="48"/>
      </w:rPr>
    </w:pPr>
    <w:r>
      <w:tab/>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11783">
      <w:rPr>
        <w:rFonts w:ascii="Times New Roman" w:hAnsi="Times New Roman" w:cs="Times New Roman"/>
        <w:noProof/>
      </w:rPr>
      <w:t>1</w:t>
    </w:r>
    <w:r>
      <w:rPr>
        <w:rFonts w:ascii="Times New Roman" w:hAnsi="Times New Roman" w:cs="Times New Roman"/>
      </w:rPr>
      <w:fldChar w:fldCharType="end"/>
    </w:r>
    <w:r>
      <w:tab/>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A0747" w14:textId="77777777" w:rsidR="00615841" w:rsidRPr="001F4926" w:rsidRDefault="00615841" w:rsidP="00B31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764E5" w14:textId="77777777" w:rsidR="00305D9E" w:rsidRDefault="00305D9E">
      <w:pPr>
        <w:spacing w:after="0" w:line="240" w:lineRule="auto"/>
      </w:pPr>
      <w:r>
        <w:separator/>
      </w:r>
    </w:p>
  </w:footnote>
  <w:footnote w:type="continuationSeparator" w:id="0">
    <w:p w14:paraId="767FAD35" w14:textId="77777777" w:rsidR="00305D9E" w:rsidRDefault="00305D9E">
      <w:pPr>
        <w:spacing w:after="0" w:line="240" w:lineRule="auto"/>
      </w:pPr>
      <w:r>
        <w:continuationSeparator/>
      </w:r>
    </w:p>
  </w:footnote>
  <w:footnote w:type="continuationNotice" w:id="1">
    <w:p w14:paraId="6EE4CBE6" w14:textId="77777777" w:rsidR="00305D9E" w:rsidRDefault="00305D9E">
      <w:pPr>
        <w:spacing w:after="0" w:line="240" w:lineRule="auto"/>
      </w:pPr>
    </w:p>
  </w:footnote>
  <w:footnote w:id="2">
    <w:p w14:paraId="66A4C43E" w14:textId="77777777" w:rsidR="00615841" w:rsidRPr="0014596D" w:rsidRDefault="00615841" w:rsidP="00605EC6">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Článek 7 protokolu č. 19 připojeného ke Smlouvě o Evropské unii a Smlouvě o fungování Evropské unie.</w:t>
      </w:r>
    </w:p>
  </w:footnote>
  <w:footnote w:id="3">
    <w:p w14:paraId="205EA93A" w14:textId="77777777" w:rsidR="00607A97" w:rsidRPr="0014596D" w:rsidRDefault="00607A97" w:rsidP="00607A97">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 souladu s čl. 3 odst. 1 a 2 aktu o přistoupení z roku 2003 se některá ustanovení schengenského </w:t>
      </w:r>
      <w:r>
        <w:rPr>
          <w:rFonts w:ascii="Times New Roman" w:hAnsi="Times New Roman"/>
          <w:i/>
        </w:rPr>
        <w:t>acquis</w:t>
      </w:r>
      <w:r>
        <w:rPr>
          <w:rFonts w:ascii="Times New Roman" w:hAnsi="Times New Roman"/>
        </w:rPr>
        <w:t xml:space="preserve"> na Kypru uplatňují již ode dne přistoupení. Dne 28. května 2019 Kypr vyjádřil svou ochotu a závazek uplatňovat všechny části schengenského </w:t>
      </w:r>
      <w:r>
        <w:rPr>
          <w:rFonts w:ascii="Times New Roman" w:hAnsi="Times New Roman"/>
          <w:i/>
        </w:rPr>
        <w:t>acquis</w:t>
      </w:r>
      <w:r>
        <w:rPr>
          <w:rFonts w:ascii="Times New Roman" w:hAnsi="Times New Roman"/>
        </w:rPr>
        <w:t xml:space="preserve"> a podrobit se schengenskému hodnocení v rozsahu, v jakém je to možné s ohledem na zvláštní okolnosti týkající se Kypru, které byly uznány v protokolu č. 10 k aktu o přistoupení z roku 2003.</w:t>
      </w:r>
    </w:p>
  </w:footnote>
  <w:footnote w:id="4">
    <w:p w14:paraId="5A097ECD" w14:textId="60B0E059" w:rsidR="00615841" w:rsidRPr="0014596D" w:rsidRDefault="00615841" w:rsidP="0062112F">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Viz například zpráva o stavu Schengenu 2022.</w:t>
      </w:r>
    </w:p>
  </w:footnote>
  <w:footnote w:id="5">
    <w:p w14:paraId="3952571D" w14:textId="13EE2A60" w:rsidR="00615841" w:rsidRPr="0014596D" w:rsidRDefault="00615841" w:rsidP="0062112F">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Viz usnesení Evropského parlamentu 2018/2092(INI) ze dne 11. prosince 2018 a poslední usnesení 2022/2852 (RSP) ze dne 18. října 2022 a hlasování Evropského parlamentu ze dne 10. listopadu 2022 ve prospěch přistoupení Chorvatska k Schengenu.</w:t>
      </w:r>
    </w:p>
  </w:footnote>
  <w:footnote w:id="6">
    <w:p w14:paraId="26E4C8CE" w14:textId="03B6424F" w:rsidR="00615841" w:rsidRPr="0014596D" w:rsidRDefault="00615841" w:rsidP="0062112F">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V souladu s čl. 4 odst. 1 a 2 aktu o přistoupení z roku 2005 nejsou pro Bulharsko a Rumunsko dosud použitelná ta ustanovení schengenského </w:t>
      </w:r>
      <w:r>
        <w:rPr>
          <w:rFonts w:ascii="Times New Roman" w:hAnsi="Times New Roman"/>
          <w:i/>
        </w:rPr>
        <w:t>acquis,</w:t>
      </w:r>
      <w:r>
        <w:rPr>
          <w:rFonts w:ascii="Times New Roman" w:hAnsi="Times New Roman"/>
        </w:rPr>
        <w:t xml:space="preserve"> jak bylo začleněno do rámce Evropské unie, ani aktů na ně navazujících nebo s ním jinak souvisejících, která nejsou součástí Protokolu č. 17 k Ústavě o začlenění schengenském </w:t>
      </w:r>
      <w:r>
        <w:rPr>
          <w:rFonts w:ascii="Times New Roman" w:hAnsi="Times New Roman"/>
          <w:i/>
        </w:rPr>
        <w:t>acquis</w:t>
      </w:r>
      <w:r>
        <w:rPr>
          <w:rFonts w:ascii="Times New Roman" w:hAnsi="Times New Roman"/>
        </w:rPr>
        <w:t xml:space="preserve"> nebo s ním jinak souvisejí a která jsou uvedena v příloze II aktu o přistoupení z roku 2005. Nicméně od dokončení hodnocení v roce 2011 se Bulharsko a Rumunsko na vývoji schengenského </w:t>
      </w:r>
      <w:r>
        <w:rPr>
          <w:rFonts w:ascii="Times New Roman" w:hAnsi="Times New Roman"/>
          <w:i/>
        </w:rPr>
        <w:t>acquis</w:t>
      </w:r>
      <w:r>
        <w:rPr>
          <w:rFonts w:ascii="Times New Roman" w:hAnsi="Times New Roman"/>
        </w:rPr>
        <w:t xml:space="preserve"> aktivně podílely.</w:t>
      </w:r>
    </w:p>
  </w:footnote>
  <w:footnote w:id="7">
    <w:p w14:paraId="31F85570" w14:textId="0AA1B3F6" w:rsidR="00274821" w:rsidRPr="0014596D" w:rsidRDefault="00274821" w:rsidP="001A10FF">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Nařízení Rady (EU) 2022/922 ze dne 9. června 2022 o vytvoření a fungování hodnotícího a monitorovacího mechanismu k ověření uplatňování schengenského </w:t>
      </w:r>
      <w:r>
        <w:rPr>
          <w:rFonts w:ascii="Times New Roman" w:hAnsi="Times New Roman"/>
          <w:i/>
          <w:iCs/>
        </w:rPr>
        <w:t>acquis</w:t>
      </w:r>
      <w:r>
        <w:rPr>
          <w:rFonts w:ascii="Times New Roman" w:hAnsi="Times New Roman"/>
        </w:rPr>
        <w:t xml:space="preserve"> a o zrušení nařízení (EU) č. 1053/2013 (Úř. věst. L 160, 15.6.2022, s. 1).</w:t>
      </w:r>
    </w:p>
  </w:footnote>
  <w:footnote w:id="8">
    <w:p w14:paraId="1EF271EC" w14:textId="51FBC459" w:rsidR="00615841" w:rsidRPr="0014596D" w:rsidRDefault="00615841" w:rsidP="000C7E31">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Ustanovení čl. 23 odst. 6 nařízení Rady (EU) 2022/922 ze dne 9. června 2022 o vytvoření a fungování hodnotícího a monitorovacího mechanismu k ověření uplatňování schengenského </w:t>
      </w:r>
      <w:r>
        <w:rPr>
          <w:rFonts w:ascii="Times New Roman" w:hAnsi="Times New Roman"/>
          <w:i/>
          <w:iCs/>
        </w:rPr>
        <w:t>acquis</w:t>
      </w:r>
      <w:r>
        <w:rPr>
          <w:rFonts w:ascii="Times New Roman" w:hAnsi="Times New Roman"/>
        </w:rPr>
        <w:t xml:space="preserve"> a o zrušení nařízení (EU) č. 1053/2013.</w:t>
      </w:r>
    </w:p>
  </w:footnote>
  <w:footnote w:id="9">
    <w:p w14:paraId="376E4891" w14:textId="7D85E90F" w:rsidR="005F071A" w:rsidRPr="0014596D" w:rsidRDefault="005F071A" w:rsidP="005F071A">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Na základě čl. 4 odst. 2 aktu o přistoupení z roku 2005 a v návaznosti na prohlášení Bulharska a Rumunska o připravenosti zahájit proces schengenského hodnocení z let 2007 a 2008 (Rumunsko: dokument Rady 10611/07 ze dne 8. června 2007; Bulharsko: dokument Rady 6145/08 ze dne 25. ledna 2008).</w:t>
      </w:r>
    </w:p>
  </w:footnote>
  <w:footnote w:id="10">
    <w:p w14:paraId="3DF74D33" w14:textId="0BA626DC" w:rsidR="00615841" w:rsidRPr="0014596D" w:rsidRDefault="00615841" w:rsidP="0062112F">
      <w:pPr>
        <w:pStyle w:val="FootnoteText"/>
        <w:keepLines/>
        <w:tabs>
          <w:tab w:val="left" w:pos="1320"/>
        </w:tab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Závěry Rady o dokončení postupu hodnocení stupně připravenosti Rumunska provádět veškerá ustanovení schengenského </w:t>
      </w:r>
      <w:r>
        <w:rPr>
          <w:rFonts w:ascii="Times New Roman" w:hAnsi="Times New Roman"/>
          <w:i/>
        </w:rPr>
        <w:t>acquis</w:t>
      </w:r>
      <w:r>
        <w:rPr>
          <w:rFonts w:ascii="Times New Roman" w:hAnsi="Times New Roman"/>
        </w:rPr>
        <w:t xml:space="preserve"> (dokument Rady 9166/11 ze dne 9. června) a závěry Rady o dokončení hodnocení stavu připravenosti Bulharska provádět všechna ustanovení schengenského </w:t>
      </w:r>
      <w:r>
        <w:rPr>
          <w:rFonts w:ascii="Times New Roman" w:hAnsi="Times New Roman"/>
          <w:i/>
        </w:rPr>
        <w:t>acquis</w:t>
      </w:r>
      <w:r>
        <w:rPr>
          <w:rFonts w:ascii="Times New Roman" w:hAnsi="Times New Roman"/>
        </w:rPr>
        <w:t xml:space="preserve"> (dokument Rady 9167/11 ze dne 9. června 2011).</w:t>
      </w:r>
    </w:p>
  </w:footnote>
  <w:footnote w:id="11">
    <w:p w14:paraId="535971F8" w14:textId="0C5F6032" w:rsidR="00615841" w:rsidRPr="0014596D" w:rsidRDefault="00615841" w:rsidP="003C3035">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Legislativní usnesení Evropského parlamentu ze dne 8. června 2011 o návrhu rozhodnutí Rady o plném uplatňování ustanovení schengenského </w:t>
      </w:r>
      <w:r>
        <w:rPr>
          <w:rFonts w:ascii="Times New Roman" w:hAnsi="Times New Roman"/>
          <w:i/>
        </w:rPr>
        <w:t>acquis</w:t>
      </w:r>
      <w:r>
        <w:rPr>
          <w:rFonts w:ascii="Times New Roman" w:hAnsi="Times New Roman"/>
        </w:rPr>
        <w:t xml:space="preserve"> v Bulharské republice a Rumunsku (14142/2010 – C7-0369/2010 – 2010/0820 (NLE)).</w:t>
      </w:r>
    </w:p>
  </w:footnote>
  <w:footnote w:id="12">
    <w:p w14:paraId="3587E38D" w14:textId="51F44D25" w:rsidR="00615841" w:rsidRPr="0014596D" w:rsidRDefault="00615841" w:rsidP="0062112F">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hyperlink r:id="rId1" w:history="1">
        <w:r>
          <w:rPr>
            <w:rStyle w:val="Hyperlink"/>
            <w:rFonts w:ascii="Times New Roman" w:hAnsi="Times New Roman"/>
          </w:rPr>
          <w:t>https://home-affairs.ec.europa.eu/bulgaria-and-romania-fact-finding-mission-report_en</w:t>
        </w:r>
      </w:hyperlink>
    </w:p>
  </w:footnote>
  <w:footnote w:id="13">
    <w:p w14:paraId="393171D6" w14:textId="0D983B8A" w:rsidR="00615841" w:rsidRPr="0014596D" w:rsidRDefault="00615841" w:rsidP="0062112F">
      <w:pPr>
        <w:pStyle w:val="FootnoteText"/>
        <w:keepLines/>
        <w:tabs>
          <w:tab w:val="left" w:pos="600"/>
        </w:tab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Sdělení Komise Evropskému parlamentu a Radě o ověření plného uplatňování schengenského </w:t>
      </w:r>
      <w:r>
        <w:rPr>
          <w:rFonts w:ascii="Times New Roman" w:hAnsi="Times New Roman"/>
          <w:i/>
        </w:rPr>
        <w:t>acquis</w:t>
      </w:r>
      <w:r>
        <w:rPr>
          <w:rFonts w:ascii="Times New Roman" w:hAnsi="Times New Roman"/>
        </w:rPr>
        <w:t xml:space="preserve"> Chorvatskem (COM(2019) 497 final ze dne 22. října 2019).</w:t>
      </w:r>
    </w:p>
  </w:footnote>
  <w:footnote w:id="14">
    <w:p w14:paraId="38E901E0" w14:textId="49301D6B" w:rsidR="00615841" w:rsidRPr="0014596D" w:rsidRDefault="00615841" w:rsidP="0062112F">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Závěry Rady o splnění nezbytných podmínek pro plné uplatňování schengenského </w:t>
      </w:r>
      <w:r>
        <w:rPr>
          <w:rFonts w:ascii="Times New Roman" w:hAnsi="Times New Roman"/>
          <w:i/>
        </w:rPr>
        <w:t>acquis</w:t>
      </w:r>
      <w:r>
        <w:rPr>
          <w:rFonts w:ascii="Times New Roman" w:hAnsi="Times New Roman"/>
        </w:rPr>
        <w:t xml:space="preserve"> v Chorvatsku (dokument Rady 14883/21 ze dne 9. prosince 2021). </w:t>
      </w:r>
    </w:p>
  </w:footnote>
  <w:footnote w:id="15">
    <w:p w14:paraId="5DF9ADC3" w14:textId="17D15DAC" w:rsidR="00615841" w:rsidRPr="0014596D" w:rsidRDefault="00615841" w:rsidP="0062112F">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Mechanismus vstoupil v platnost 8. června 2021 na základě dohody mezi chorvatskými orgány a chorvatskými zúčastněnými stranami.</w:t>
      </w:r>
    </w:p>
  </w:footnote>
  <w:footnote w:id="16">
    <w:p w14:paraId="4E8C054E" w14:textId="5A8BEF73" w:rsidR="00615841" w:rsidRPr="0014596D" w:rsidRDefault="00615841" w:rsidP="0062112F">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Návrh nařízení Evropského parlamentu a Rady, kterým se zavádí prověřování státních příslušníků třetích zemí na vnějších hranicích a mění nařízení (ES) č. 767/2008, (EU) 2017/2226, (EU) 2018/1240 a (EU) 2019/817, COM(2020) 612 final.</w:t>
      </w:r>
    </w:p>
  </w:footnote>
  <w:footnote w:id="17">
    <w:p w14:paraId="6CB457A7" w14:textId="2AF50FC6" w:rsidR="00615841" w:rsidRPr="0014596D" w:rsidRDefault="00615841" w:rsidP="0062112F">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Návrh nařízení Evropského parlamentu a Rady, kterým se mění nařízení (EU) 2016/399, kterým se stanoví kodex Unie o pravidlech upravujících přeshraniční pohyb osob (COM(2021) 891 final ze dne 14. prosince 2021).</w:t>
      </w:r>
    </w:p>
  </w:footnote>
  <w:footnote w:id="18">
    <w:p w14:paraId="5D938519" w14:textId="24405AE9" w:rsidR="00615841" w:rsidRPr="0014596D" w:rsidRDefault="00615841" w:rsidP="0062112F">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 červenci 2021 navrhla Komise zavést vízová omezení pro tři země: Bangladéš, Gambii a Irák. V říjnu přijala Rada na návrh Komise vízová opatření vůči Gambii. Vzhledem k následnému zlepšení spolupráce s Bangladéšem se Rada v listopadu rozhodla, že nebude jednat na základě návrhu Komise. V případě Iráku nebyla na základě jednání, která trvala do prosince, přijata žádná opatření, neboť vzhledem ke konstruktivní spolupráci Iráku v souvislosti s vývojem na hranicích EU a Běloruska na to nebyla vhodná doba.</w:t>
      </w:r>
    </w:p>
  </w:footnote>
  <w:footnote w:id="19">
    <w:p w14:paraId="7F65EB6B" w14:textId="4DF2166C" w:rsidR="00615841" w:rsidRPr="0014596D" w:rsidRDefault="00615841" w:rsidP="0062112F">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Návrh nařízení Evropského parlamentu a Rady, kterým se mění nařízení Evropského parlamentu a Rady (ES) č. 767/2008, (ES) č. 810/2009 a (EU) 2017/2226, nařízení Rady (ES) č. 1683/95, (ES) č. 333/2002, (ES) č. 693/2003 a (ES) č. 694/2003 a Úmluva k provedení Schengenské dohody, pokud jde o digitalizaci postupu udělování víz (COM(2022) 658 final ze dne 27. dubna 2022).</w:t>
      </w:r>
    </w:p>
  </w:footnote>
  <w:footnote w:id="20">
    <w:p w14:paraId="040551D3" w14:textId="068380E5" w:rsidR="00615841" w:rsidRPr="0014596D" w:rsidRDefault="00615841" w:rsidP="0062112F">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Dne 24. května 2022 předložila Komise politický dokument, v němž rozvíjí víceletou strategickou politiku pro evropskou integrovanou správu hranic v souladu s čl. 8 odst. 4 nařízení Evropského parlamentu a Rady (EU) 2019/1896 ze dne 13. listopadu 2019 o Evropské pohraniční a pobřežní stráži. Po vyjádření Rady a Evropského parlamentu přijme Komise sdělení, kterým se stanoví víceletá strategická politika, jež bude řídit provádění evropské integrované správy hranic v rámci pětiletého politického cyklu. </w:t>
      </w:r>
    </w:p>
  </w:footnote>
  <w:footnote w:id="21">
    <w:p w14:paraId="5B20B922" w14:textId="77777777" w:rsidR="00615841" w:rsidRPr="0014596D" w:rsidRDefault="00615841" w:rsidP="0062112F">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Koordinátor pro navracení, který byl jmenován v červnu loňského roku, řídí síť na vysoké úrovni zahrnující zástupce členských států a agentury Frontex s cílem odstranit překážky bránící navracení osob, posílit vnitrostátní kapacity a zvýšit soudržnost opatření EU.</w:t>
      </w:r>
    </w:p>
  </w:footnote>
  <w:footnote w:id="22">
    <w:p w14:paraId="116B3102" w14:textId="7B1D437F" w:rsidR="00615841" w:rsidRPr="0014596D" w:rsidRDefault="00615841" w:rsidP="0062112F">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 rámci nového mandátu agentura například výrazně posílila svou podporu členským státům ve všech fázích procesu navracení, včetně dobrovolného návratu a opětovného začlenění, a stala se tak operativní složkou EU pro navracení. V roce 2021 se s pomocí agentury vrátilo více než 17 000 lidí.</w:t>
      </w:r>
    </w:p>
  </w:footnote>
  <w:footnote w:id="23">
    <w:p w14:paraId="5843E388" w14:textId="7BCED76C" w:rsidR="00615841" w:rsidRPr="0014596D" w:rsidRDefault="00615841" w:rsidP="0062112F">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Příslušné orgány ve smyslu čl. 87 odst. 1 SFEU.</w:t>
      </w:r>
    </w:p>
  </w:footnote>
  <w:footnote w:id="24">
    <w:p w14:paraId="3F7CAF06" w14:textId="1868CE55" w:rsidR="00615841" w:rsidRPr="0014596D" w:rsidRDefault="00615841" w:rsidP="0062112F">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Návrh směrnice Evropského parlamentu a Rady o výměně informací mezi donucovacími orgány členských států a o zrušení rámcového rozhodnutí Rady 2006/960/SVV (COM(2021) 782 final ze dne 8. prosince 2021).</w:t>
      </w:r>
    </w:p>
  </w:footnote>
  <w:footnote w:id="25">
    <w:p w14:paraId="2D53521F" w14:textId="7091EC1F" w:rsidR="00615841" w:rsidRPr="0014596D" w:rsidRDefault="00615841" w:rsidP="0062112F">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Nařízení Evropského parlamentu a Rady (EU) 2022/991 ze dne 8. června 2022, kterým se mění nařízení (EU) 2016/794, pokud jde o spolupráci Europolu se soukromými subjekty, zpracování osobních údajů Europolem pro usnadnění trestního vyšetřování a úlohu Europolu v oblasti výzkumu a inovací.</w:t>
      </w:r>
    </w:p>
  </w:footnote>
  <w:footnote w:id="26">
    <w:p w14:paraId="70823A0A" w14:textId="77777777" w:rsidR="00615841" w:rsidRPr="0014596D" w:rsidRDefault="00615841" w:rsidP="0062112F">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Například během koordinovaných dnů společné akce platformy EMPACT ve dnech 26. až 29. října se donucovací orgány společně zaměřily na obchod s palnými zbraněmi, obchod s drogami, převaděčství migrantů a obchodování s lidmi. Tyto operativní činnosti, do nichž bylo zapojeno 28 zemí Evropy, podporovaly také Eurojust, Frontex, INTERPOL, SELEC a další mezinárodní organizace. Dny společné akce platformy EMPACT byly naplánovány na základě přístupu založeného na zpravodajských informacích, kdy spolupracovalo téměř 16 000 policistů, a jejich výsledkem bylo mimo jiné 382 zatčení podezřelých osob, 2 476 odhalených nelegálních vstupů a 130 zahájených nových vyšetřování. </w:t>
      </w:r>
      <w:hyperlink r:id="rId2" w:history="1">
        <w:r>
          <w:rPr>
            <w:rStyle w:val="Hyperlink"/>
            <w:rFonts w:ascii="Times New Roman" w:hAnsi="Times New Roman"/>
          </w:rPr>
          <w:t>https://www.europol.europa.eu/media-press/newsroom/news/382-arrests-during-joint-actions-against-traffickers-using-balkan-route?mtm_campaign=newsletter</w:t>
        </w:r>
      </w:hyperlink>
    </w:p>
  </w:footnote>
  <w:footnote w:id="27">
    <w:p w14:paraId="4EF9761C" w14:textId="62322F79" w:rsidR="00615841" w:rsidRPr="0014596D" w:rsidRDefault="00615841" w:rsidP="0062112F">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Doporučení Rady (EU) 2022/915 ze dne 9. června 2022 o operativní spolupráci v oblasti prosazování práva.</w:t>
      </w:r>
    </w:p>
  </w:footnote>
  <w:footnote w:id="28">
    <w:p w14:paraId="53350057" w14:textId="54845721" w:rsidR="00615841" w:rsidRPr="0014596D" w:rsidRDefault="00615841" w:rsidP="0062112F">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Doporučení Komise (EU) 2017/820 ze dne 12. května 2017 o přiměřených policejních kontrolách a policejní spolupráci v schengenském prostoru.</w:t>
      </w:r>
    </w:p>
  </w:footnote>
  <w:footnote w:id="29">
    <w:p w14:paraId="335AE039" w14:textId="77777777" w:rsidR="00615841" w:rsidRPr="00F547A3" w:rsidRDefault="00615841" w:rsidP="0062112F">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Eurobarometr, zima 2021/2022.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4024E" w14:textId="77777777" w:rsidR="00011783" w:rsidRPr="00011783" w:rsidRDefault="00011783" w:rsidP="00011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A537C" w14:textId="77777777" w:rsidR="00011783" w:rsidRPr="00011783" w:rsidRDefault="00011783" w:rsidP="0001178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13E0" w14:textId="77777777" w:rsidR="00011783" w:rsidRPr="00011783" w:rsidRDefault="00011783" w:rsidP="0001178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AB4BC" w14:textId="77777777" w:rsidR="00615841" w:rsidRDefault="006158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CCE57" w14:textId="77777777" w:rsidR="00615841" w:rsidRDefault="006158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5F1CD" w14:textId="77777777" w:rsidR="00615841" w:rsidRDefault="0061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656"/>
    <w:multiLevelType w:val="hybridMultilevel"/>
    <w:tmpl w:val="C05AC53E"/>
    <w:lvl w:ilvl="0" w:tplc="B8F4E69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B6ECD"/>
    <w:multiLevelType w:val="hybridMultilevel"/>
    <w:tmpl w:val="CD1663CA"/>
    <w:lvl w:ilvl="0" w:tplc="21808ADC">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63932AE"/>
    <w:multiLevelType w:val="hybridMultilevel"/>
    <w:tmpl w:val="E026CD56"/>
    <w:lvl w:ilvl="0" w:tplc="9AB00000">
      <w:start w:val="1"/>
      <w:numFmt w:val="bullet"/>
      <w:lvlText w:val="-"/>
      <w:lvlJc w:val="left"/>
      <w:pPr>
        <w:ind w:left="1440" w:hanging="360"/>
      </w:pPr>
      <w:rPr>
        <w:rFonts w:ascii="Calibri" w:eastAsiaTheme="minorHAnsi" w:hAnsi="Calibri" w:cs="Calibri" w:hint="default"/>
      </w:rPr>
    </w:lvl>
    <w:lvl w:ilvl="1" w:tplc="1809000D">
      <w:start w:val="1"/>
      <w:numFmt w:val="bullet"/>
      <w:lvlText w:val=""/>
      <w:lvlJc w:val="left"/>
      <w:pPr>
        <w:ind w:left="2160" w:hanging="360"/>
      </w:pPr>
      <w:rPr>
        <w:rFonts w:ascii="Wingdings" w:hAnsi="Wingdings"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CDA1A3B"/>
    <w:multiLevelType w:val="hybridMultilevel"/>
    <w:tmpl w:val="328A4598"/>
    <w:numStyleLink w:val="ImportedStyle1"/>
  </w:abstractNum>
  <w:abstractNum w:abstractNumId="4" w15:restartNumberingAfterBreak="0">
    <w:nsid w:val="23C047F1"/>
    <w:multiLevelType w:val="hybridMultilevel"/>
    <w:tmpl w:val="328A4598"/>
    <w:styleLink w:val="ImportedStyle1"/>
    <w:lvl w:ilvl="0" w:tplc="6644D348">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B875EC">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720F54">
      <w:start w:val="1"/>
      <w:numFmt w:val="lowerRoman"/>
      <w:lvlText w:val="%3."/>
      <w:lvlJc w:val="left"/>
      <w:pPr>
        <w:ind w:left="2160"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2A79E2">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589480">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F6E73C">
      <w:start w:val="1"/>
      <w:numFmt w:val="lowerRoman"/>
      <w:lvlText w:val="%6."/>
      <w:lvlJc w:val="left"/>
      <w:pPr>
        <w:ind w:left="4320"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6606BA">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281A14">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7ECB8C">
      <w:start w:val="1"/>
      <w:numFmt w:val="lowerRoman"/>
      <w:lvlText w:val="%9."/>
      <w:lvlJc w:val="left"/>
      <w:pPr>
        <w:ind w:left="6480"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3E41EE4"/>
    <w:multiLevelType w:val="hybridMultilevel"/>
    <w:tmpl w:val="8D1861B6"/>
    <w:lvl w:ilvl="0" w:tplc="D6B8EB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32C34"/>
    <w:multiLevelType w:val="hybridMultilevel"/>
    <w:tmpl w:val="DF125042"/>
    <w:lvl w:ilvl="0" w:tplc="731C9AB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51B1E14"/>
    <w:multiLevelType w:val="hybridMultilevel"/>
    <w:tmpl w:val="9D5EB040"/>
    <w:lvl w:ilvl="0" w:tplc="593E0F4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2F322D"/>
    <w:multiLevelType w:val="hybridMultilevel"/>
    <w:tmpl w:val="3222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E7100"/>
    <w:multiLevelType w:val="hybridMultilevel"/>
    <w:tmpl w:val="77F0992E"/>
    <w:lvl w:ilvl="0" w:tplc="E9645500">
      <w:start w:val="1"/>
      <w:numFmt w:val="low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401B1C74"/>
    <w:multiLevelType w:val="hybridMultilevel"/>
    <w:tmpl w:val="32D2229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425752E5"/>
    <w:multiLevelType w:val="hybridMultilevel"/>
    <w:tmpl w:val="DED40420"/>
    <w:lvl w:ilvl="0" w:tplc="92CACC1C">
      <w:start w:val="1"/>
      <w:numFmt w:val="decimal"/>
      <w:lvlText w:val="%1."/>
      <w:lvlJc w:val="left"/>
      <w:pPr>
        <w:ind w:left="1440" w:hanging="360"/>
      </w:pPr>
      <w:rPr>
        <w:rFonts w:hint="default"/>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4D2840CC"/>
    <w:multiLevelType w:val="hybridMultilevel"/>
    <w:tmpl w:val="7C1EEAE2"/>
    <w:lvl w:ilvl="0" w:tplc="6E66D4EC">
      <w:start w:val="1"/>
      <w:numFmt w:val="bullet"/>
      <w:lvlText w:val="-"/>
      <w:lvlJc w:val="left"/>
      <w:pPr>
        <w:ind w:left="644" w:hanging="360"/>
      </w:pPr>
      <w:rPr>
        <w:rFonts w:ascii="Calibri" w:eastAsiaTheme="minorHAnsi" w:hAnsi="Calibri" w:cs="Calibri" w:hint="default"/>
      </w:rPr>
    </w:lvl>
    <w:lvl w:ilvl="1" w:tplc="18090001">
      <w:start w:val="1"/>
      <w:numFmt w:val="bullet"/>
      <w:lvlText w:val=""/>
      <w:lvlJc w:val="left"/>
      <w:pPr>
        <w:ind w:left="1069" w:hanging="360"/>
      </w:pPr>
      <w:rPr>
        <w:rFonts w:ascii="Symbol" w:hAnsi="Symbol" w:hint="default"/>
      </w:rPr>
    </w:lvl>
    <w:lvl w:ilvl="2" w:tplc="18090005">
      <w:start w:val="1"/>
      <w:numFmt w:val="bullet"/>
      <w:lvlText w:val=""/>
      <w:lvlJc w:val="left"/>
      <w:pPr>
        <w:ind w:left="1494"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C016AF6"/>
    <w:multiLevelType w:val="hybridMultilevel"/>
    <w:tmpl w:val="591269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8682554"/>
    <w:multiLevelType w:val="hybridMultilevel"/>
    <w:tmpl w:val="46F2275E"/>
    <w:lvl w:ilvl="0" w:tplc="9AB00000">
      <w:start w:val="1"/>
      <w:numFmt w:val="bullet"/>
      <w:lvlText w:val="-"/>
      <w:lvlJc w:val="left"/>
      <w:pPr>
        <w:ind w:left="1440" w:hanging="360"/>
      </w:pPr>
      <w:rPr>
        <w:rFonts w:ascii="Calibri" w:eastAsiaTheme="minorHAnsi" w:hAnsi="Calibri" w:cs="Calibri"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73C65569"/>
    <w:multiLevelType w:val="hybridMultilevel"/>
    <w:tmpl w:val="A9E2F63C"/>
    <w:lvl w:ilvl="0" w:tplc="E5102242">
      <w:start w:val="1"/>
      <w:numFmt w:val="upperRoman"/>
      <w:lvlText w:val="%1."/>
      <w:lvlJc w:val="left"/>
      <w:pPr>
        <w:ind w:left="2988"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BCE722A"/>
    <w:multiLevelType w:val="multilevel"/>
    <w:tmpl w:val="1174F5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2"/>
  </w:num>
  <w:num w:numId="4">
    <w:abstractNumId w:val="1"/>
  </w:num>
  <w:num w:numId="5">
    <w:abstractNumId w:val="4"/>
  </w:num>
  <w:num w:numId="6">
    <w:abstractNumId w:val="3"/>
  </w:num>
  <w:num w:numId="7">
    <w:abstractNumId w:val="9"/>
  </w:num>
  <w:num w:numId="8">
    <w:abstractNumId w:val="11"/>
  </w:num>
  <w:num w:numId="9">
    <w:abstractNumId w:val="7"/>
  </w:num>
  <w:num w:numId="10">
    <w:abstractNumId w:val="6"/>
  </w:num>
  <w:num w:numId="11">
    <w:abstractNumId w:val="5"/>
  </w:num>
  <w:num w:numId="12">
    <w:abstractNumId w:val="8"/>
  </w:num>
  <w:num w:numId="13">
    <w:abstractNumId w:val="13"/>
  </w:num>
  <w:num w:numId="14">
    <w:abstractNumId w:val="16"/>
  </w:num>
  <w:num w:numId="15">
    <w:abstractNumId w:val="0"/>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00929EA-6D26-4B17-B2F3-BE7E3A796485"/>
    <w:docVar w:name="LW_COVERPAGE_TYPE" w:val="1"/>
    <w:docVar w:name="LW_CROSSREFERENCE" w:val="&lt;UNUSED&gt;"/>
    <w:docVar w:name="LW_DocType" w:val="NORMAL"/>
    <w:docVar w:name="LW_EMISSION" w:val="16.11.2022"/>
    <w:docVar w:name="LW_EMISSION_ISODATE" w:val="2022-11-16"/>
    <w:docVar w:name="LW_EMISSION_LOCATION" w:val="BRX"/>
    <w:docVar w:name="LW_EMISSION_PREFIX" w:val="V Bruselu dne "/>
    <w:docVar w:name="LW_EMISSION_SUFFIX" w:val=" "/>
    <w:docVar w:name="LW_ID_DOCTYPE_NONLW" w:val="CP-012"/>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22) 6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ílení schengenského prostoru prostřednictvím plné účasti Bulharska, Rumunska a Chorvatska v prostoru bez kontrol na vnitřních hranicích&lt;FMT:Font=Calibri&gt;_x000d__x000d__x000d__x000d_&lt;/FMT&gt;_x000d__x000d__x000b_&lt;FMT:Font=Calibri&gt;_x000d__x000d__x000d__x000d__x000d__x000d_&lt;/FMT&gt;_x000d__x000d__x000b_"/>
    <w:docVar w:name="LW_TYPE.DOC.CP" w:val="SDĚLENÍ KOMISE EVROPSKÉMU PARLAMENTU A RADĚ"/>
    <w:docVar w:name="LW_TYPE.DOC.CP.USERTEXT" w:val="&lt;EMPTY&gt;"/>
    <w:docVar w:name="LwApiVersions" w:val="LW4CoDe 1.23.2.0; LW 8.0, Build 20211117"/>
  </w:docVars>
  <w:rsids>
    <w:rsidRoot w:val="00A51F28"/>
    <w:rsid w:val="000025DF"/>
    <w:rsid w:val="00011783"/>
    <w:rsid w:val="00012414"/>
    <w:rsid w:val="00013FE8"/>
    <w:rsid w:val="00014A5A"/>
    <w:rsid w:val="000162CA"/>
    <w:rsid w:val="00021B18"/>
    <w:rsid w:val="00022612"/>
    <w:rsid w:val="00026B49"/>
    <w:rsid w:val="00036B17"/>
    <w:rsid w:val="00043F3D"/>
    <w:rsid w:val="00045BD1"/>
    <w:rsid w:val="000562B4"/>
    <w:rsid w:val="00057010"/>
    <w:rsid w:val="0006770D"/>
    <w:rsid w:val="00071FD2"/>
    <w:rsid w:val="00074601"/>
    <w:rsid w:val="0007500F"/>
    <w:rsid w:val="00075A4B"/>
    <w:rsid w:val="00076A9D"/>
    <w:rsid w:val="00076F2F"/>
    <w:rsid w:val="0008416B"/>
    <w:rsid w:val="000962FF"/>
    <w:rsid w:val="00096DE8"/>
    <w:rsid w:val="000A6531"/>
    <w:rsid w:val="000B28F0"/>
    <w:rsid w:val="000B34D8"/>
    <w:rsid w:val="000B38E1"/>
    <w:rsid w:val="000B3C18"/>
    <w:rsid w:val="000C5BAA"/>
    <w:rsid w:val="000C7E31"/>
    <w:rsid w:val="000D79D8"/>
    <w:rsid w:val="000E1B06"/>
    <w:rsid w:val="000E3433"/>
    <w:rsid w:val="000E6C35"/>
    <w:rsid w:val="000F22AC"/>
    <w:rsid w:val="001062EB"/>
    <w:rsid w:val="00121416"/>
    <w:rsid w:val="0012513D"/>
    <w:rsid w:val="00125F0F"/>
    <w:rsid w:val="00126B0E"/>
    <w:rsid w:val="001329DF"/>
    <w:rsid w:val="00136981"/>
    <w:rsid w:val="00141F05"/>
    <w:rsid w:val="0014596D"/>
    <w:rsid w:val="00146332"/>
    <w:rsid w:val="001510A3"/>
    <w:rsid w:val="00152E8B"/>
    <w:rsid w:val="001533E9"/>
    <w:rsid w:val="00153E72"/>
    <w:rsid w:val="001702B4"/>
    <w:rsid w:val="001711A7"/>
    <w:rsid w:val="00174DE7"/>
    <w:rsid w:val="00175E01"/>
    <w:rsid w:val="00176551"/>
    <w:rsid w:val="00185C33"/>
    <w:rsid w:val="00187651"/>
    <w:rsid w:val="00193DC0"/>
    <w:rsid w:val="00196A8F"/>
    <w:rsid w:val="00196D68"/>
    <w:rsid w:val="00196F06"/>
    <w:rsid w:val="00197504"/>
    <w:rsid w:val="001A10FF"/>
    <w:rsid w:val="001A2A21"/>
    <w:rsid w:val="001B1EED"/>
    <w:rsid w:val="001B7A2E"/>
    <w:rsid w:val="001C17D0"/>
    <w:rsid w:val="001C462D"/>
    <w:rsid w:val="001C49C1"/>
    <w:rsid w:val="001C6898"/>
    <w:rsid w:val="001E041A"/>
    <w:rsid w:val="001F0312"/>
    <w:rsid w:val="001F46F3"/>
    <w:rsid w:val="00201D14"/>
    <w:rsid w:val="00210C6B"/>
    <w:rsid w:val="0021221A"/>
    <w:rsid w:val="0021494C"/>
    <w:rsid w:val="00220AFF"/>
    <w:rsid w:val="00221636"/>
    <w:rsid w:val="00222F9F"/>
    <w:rsid w:val="00225BB7"/>
    <w:rsid w:val="00227B15"/>
    <w:rsid w:val="00230AD0"/>
    <w:rsid w:val="00233639"/>
    <w:rsid w:val="00237C61"/>
    <w:rsid w:val="00240458"/>
    <w:rsid w:val="00241B4E"/>
    <w:rsid w:val="002532D1"/>
    <w:rsid w:val="00253944"/>
    <w:rsid w:val="002542ED"/>
    <w:rsid w:val="0026361B"/>
    <w:rsid w:val="0026460F"/>
    <w:rsid w:val="00271D6D"/>
    <w:rsid w:val="00274821"/>
    <w:rsid w:val="00275310"/>
    <w:rsid w:val="00275320"/>
    <w:rsid w:val="00282ACD"/>
    <w:rsid w:val="00285917"/>
    <w:rsid w:val="00287CCF"/>
    <w:rsid w:val="002900BD"/>
    <w:rsid w:val="002949A9"/>
    <w:rsid w:val="002A13E9"/>
    <w:rsid w:val="002B6582"/>
    <w:rsid w:val="002B665B"/>
    <w:rsid w:val="002B7B52"/>
    <w:rsid w:val="002C1513"/>
    <w:rsid w:val="002C438C"/>
    <w:rsid w:val="002D7AD9"/>
    <w:rsid w:val="002E377F"/>
    <w:rsid w:val="002E484E"/>
    <w:rsid w:val="002E668C"/>
    <w:rsid w:val="002E6BC5"/>
    <w:rsid w:val="002F150C"/>
    <w:rsid w:val="002F1EBA"/>
    <w:rsid w:val="002F3F76"/>
    <w:rsid w:val="002F485E"/>
    <w:rsid w:val="002F5F4E"/>
    <w:rsid w:val="00301EAA"/>
    <w:rsid w:val="00302CAC"/>
    <w:rsid w:val="00305D9E"/>
    <w:rsid w:val="00305FA4"/>
    <w:rsid w:val="00306469"/>
    <w:rsid w:val="003106DF"/>
    <w:rsid w:val="00312AF5"/>
    <w:rsid w:val="003142CD"/>
    <w:rsid w:val="00316E7E"/>
    <w:rsid w:val="003170DB"/>
    <w:rsid w:val="00322DA0"/>
    <w:rsid w:val="003230A2"/>
    <w:rsid w:val="0032700F"/>
    <w:rsid w:val="003356DD"/>
    <w:rsid w:val="00347151"/>
    <w:rsid w:val="00347FCA"/>
    <w:rsid w:val="003543FD"/>
    <w:rsid w:val="00360AB5"/>
    <w:rsid w:val="00370739"/>
    <w:rsid w:val="00373BE6"/>
    <w:rsid w:val="003741CB"/>
    <w:rsid w:val="003743D2"/>
    <w:rsid w:val="00377233"/>
    <w:rsid w:val="003847CD"/>
    <w:rsid w:val="0038484A"/>
    <w:rsid w:val="00384C7A"/>
    <w:rsid w:val="003861F2"/>
    <w:rsid w:val="0039087D"/>
    <w:rsid w:val="0039625D"/>
    <w:rsid w:val="00397257"/>
    <w:rsid w:val="003B3889"/>
    <w:rsid w:val="003C3035"/>
    <w:rsid w:val="003D05F7"/>
    <w:rsid w:val="003D2664"/>
    <w:rsid w:val="003D5863"/>
    <w:rsid w:val="003E1285"/>
    <w:rsid w:val="003E597C"/>
    <w:rsid w:val="003F7795"/>
    <w:rsid w:val="004027EA"/>
    <w:rsid w:val="0040529A"/>
    <w:rsid w:val="0041032C"/>
    <w:rsid w:val="00410E20"/>
    <w:rsid w:val="00411874"/>
    <w:rsid w:val="0041299E"/>
    <w:rsid w:val="004151A0"/>
    <w:rsid w:val="00420E24"/>
    <w:rsid w:val="0042243E"/>
    <w:rsid w:val="0042713C"/>
    <w:rsid w:val="00432B88"/>
    <w:rsid w:val="0043386F"/>
    <w:rsid w:val="00433CB5"/>
    <w:rsid w:val="004369E9"/>
    <w:rsid w:val="004414B4"/>
    <w:rsid w:val="00460167"/>
    <w:rsid w:val="0046448E"/>
    <w:rsid w:val="004673EA"/>
    <w:rsid w:val="00473C80"/>
    <w:rsid w:val="00475748"/>
    <w:rsid w:val="00481178"/>
    <w:rsid w:val="00481E78"/>
    <w:rsid w:val="00483929"/>
    <w:rsid w:val="00485B96"/>
    <w:rsid w:val="00485CD8"/>
    <w:rsid w:val="00491F55"/>
    <w:rsid w:val="004A0640"/>
    <w:rsid w:val="004B06A4"/>
    <w:rsid w:val="004B5E32"/>
    <w:rsid w:val="004B79F0"/>
    <w:rsid w:val="004C4757"/>
    <w:rsid w:val="004C5DB2"/>
    <w:rsid w:val="004C63A9"/>
    <w:rsid w:val="004D12EA"/>
    <w:rsid w:val="004D1D1D"/>
    <w:rsid w:val="004D77F9"/>
    <w:rsid w:val="004F488E"/>
    <w:rsid w:val="00501491"/>
    <w:rsid w:val="0050584D"/>
    <w:rsid w:val="00505FDB"/>
    <w:rsid w:val="00507F6B"/>
    <w:rsid w:val="00512E40"/>
    <w:rsid w:val="00515249"/>
    <w:rsid w:val="005152C2"/>
    <w:rsid w:val="00521239"/>
    <w:rsid w:val="00527BE6"/>
    <w:rsid w:val="00541643"/>
    <w:rsid w:val="005445EA"/>
    <w:rsid w:val="0054514C"/>
    <w:rsid w:val="00545F54"/>
    <w:rsid w:val="005465A7"/>
    <w:rsid w:val="00554B2E"/>
    <w:rsid w:val="005560E9"/>
    <w:rsid w:val="005615EE"/>
    <w:rsid w:val="0056470B"/>
    <w:rsid w:val="00565685"/>
    <w:rsid w:val="00566A86"/>
    <w:rsid w:val="00570A22"/>
    <w:rsid w:val="005736F4"/>
    <w:rsid w:val="005751D8"/>
    <w:rsid w:val="00575C27"/>
    <w:rsid w:val="0058260E"/>
    <w:rsid w:val="005834E8"/>
    <w:rsid w:val="00590EBC"/>
    <w:rsid w:val="00591172"/>
    <w:rsid w:val="005A045A"/>
    <w:rsid w:val="005A703C"/>
    <w:rsid w:val="005C0573"/>
    <w:rsid w:val="005C1EE3"/>
    <w:rsid w:val="005C41C7"/>
    <w:rsid w:val="005C4E3A"/>
    <w:rsid w:val="005C545E"/>
    <w:rsid w:val="005D1636"/>
    <w:rsid w:val="005D530C"/>
    <w:rsid w:val="005D64B5"/>
    <w:rsid w:val="005D7433"/>
    <w:rsid w:val="005E123C"/>
    <w:rsid w:val="005E1FD8"/>
    <w:rsid w:val="005E4EA7"/>
    <w:rsid w:val="005F071A"/>
    <w:rsid w:val="005F2876"/>
    <w:rsid w:val="006003BD"/>
    <w:rsid w:val="00602BE7"/>
    <w:rsid w:val="00605EC6"/>
    <w:rsid w:val="0060717F"/>
    <w:rsid w:val="00607A97"/>
    <w:rsid w:val="0061324B"/>
    <w:rsid w:val="00615841"/>
    <w:rsid w:val="0062112F"/>
    <w:rsid w:val="00622C3B"/>
    <w:rsid w:val="006270B8"/>
    <w:rsid w:val="00630C7A"/>
    <w:rsid w:val="00636FF5"/>
    <w:rsid w:val="00641CD2"/>
    <w:rsid w:val="006422A7"/>
    <w:rsid w:val="00645265"/>
    <w:rsid w:val="00646D77"/>
    <w:rsid w:val="00653435"/>
    <w:rsid w:val="00654A1A"/>
    <w:rsid w:val="0065545C"/>
    <w:rsid w:val="0065710C"/>
    <w:rsid w:val="00661A8D"/>
    <w:rsid w:val="00667985"/>
    <w:rsid w:val="00671469"/>
    <w:rsid w:val="0067383A"/>
    <w:rsid w:val="0067393B"/>
    <w:rsid w:val="00675131"/>
    <w:rsid w:val="006779E7"/>
    <w:rsid w:val="00681119"/>
    <w:rsid w:val="00684537"/>
    <w:rsid w:val="0068584F"/>
    <w:rsid w:val="00685BA3"/>
    <w:rsid w:val="006910B6"/>
    <w:rsid w:val="00692E80"/>
    <w:rsid w:val="006934FF"/>
    <w:rsid w:val="00693597"/>
    <w:rsid w:val="006A2EA4"/>
    <w:rsid w:val="006A3390"/>
    <w:rsid w:val="006A5315"/>
    <w:rsid w:val="006A58B9"/>
    <w:rsid w:val="006C3D21"/>
    <w:rsid w:val="006C47EC"/>
    <w:rsid w:val="006D3506"/>
    <w:rsid w:val="006D59EF"/>
    <w:rsid w:val="006D5F13"/>
    <w:rsid w:val="006F3D25"/>
    <w:rsid w:val="006F5255"/>
    <w:rsid w:val="0070609F"/>
    <w:rsid w:val="00707F49"/>
    <w:rsid w:val="00714D7F"/>
    <w:rsid w:val="00715134"/>
    <w:rsid w:val="00717B38"/>
    <w:rsid w:val="00720D3E"/>
    <w:rsid w:val="00721ABA"/>
    <w:rsid w:val="00724460"/>
    <w:rsid w:val="0073351D"/>
    <w:rsid w:val="007356BD"/>
    <w:rsid w:val="007406BA"/>
    <w:rsid w:val="00741295"/>
    <w:rsid w:val="007468E5"/>
    <w:rsid w:val="00754149"/>
    <w:rsid w:val="00757C7F"/>
    <w:rsid w:val="00762D77"/>
    <w:rsid w:val="00763E84"/>
    <w:rsid w:val="00770855"/>
    <w:rsid w:val="00770AED"/>
    <w:rsid w:val="00772395"/>
    <w:rsid w:val="00775B44"/>
    <w:rsid w:val="0077699F"/>
    <w:rsid w:val="007802BE"/>
    <w:rsid w:val="00781608"/>
    <w:rsid w:val="00783EF5"/>
    <w:rsid w:val="00787138"/>
    <w:rsid w:val="007927E6"/>
    <w:rsid w:val="007A4147"/>
    <w:rsid w:val="007B63C1"/>
    <w:rsid w:val="007E1976"/>
    <w:rsid w:val="007F058A"/>
    <w:rsid w:val="007F2F4D"/>
    <w:rsid w:val="007F3DB0"/>
    <w:rsid w:val="00801880"/>
    <w:rsid w:val="008121D8"/>
    <w:rsid w:val="00812BDF"/>
    <w:rsid w:val="00815D06"/>
    <w:rsid w:val="00817710"/>
    <w:rsid w:val="00822EB5"/>
    <w:rsid w:val="00823328"/>
    <w:rsid w:val="0082549E"/>
    <w:rsid w:val="008321E9"/>
    <w:rsid w:val="00841C31"/>
    <w:rsid w:val="00860AB5"/>
    <w:rsid w:val="008628D5"/>
    <w:rsid w:val="0086444D"/>
    <w:rsid w:val="0086701A"/>
    <w:rsid w:val="00867EC3"/>
    <w:rsid w:val="00871332"/>
    <w:rsid w:val="00872EA9"/>
    <w:rsid w:val="00872F68"/>
    <w:rsid w:val="00875A5D"/>
    <w:rsid w:val="00876AA6"/>
    <w:rsid w:val="00880F7D"/>
    <w:rsid w:val="00890630"/>
    <w:rsid w:val="00893A19"/>
    <w:rsid w:val="0089475D"/>
    <w:rsid w:val="008A27D4"/>
    <w:rsid w:val="008A288C"/>
    <w:rsid w:val="008A3710"/>
    <w:rsid w:val="008A3E64"/>
    <w:rsid w:val="008A7EB4"/>
    <w:rsid w:val="008B5D38"/>
    <w:rsid w:val="008C0F78"/>
    <w:rsid w:val="008C1235"/>
    <w:rsid w:val="008C180E"/>
    <w:rsid w:val="008C4388"/>
    <w:rsid w:val="008D7003"/>
    <w:rsid w:val="00903DD2"/>
    <w:rsid w:val="0091283E"/>
    <w:rsid w:val="00914707"/>
    <w:rsid w:val="009147E3"/>
    <w:rsid w:val="0092231B"/>
    <w:rsid w:val="00925B9C"/>
    <w:rsid w:val="00935E4E"/>
    <w:rsid w:val="0094132A"/>
    <w:rsid w:val="00943BB8"/>
    <w:rsid w:val="0097318E"/>
    <w:rsid w:val="009740CC"/>
    <w:rsid w:val="00975F37"/>
    <w:rsid w:val="009768B9"/>
    <w:rsid w:val="00980A4C"/>
    <w:rsid w:val="00981B9F"/>
    <w:rsid w:val="00991695"/>
    <w:rsid w:val="009A101E"/>
    <w:rsid w:val="009A15B0"/>
    <w:rsid w:val="009A361F"/>
    <w:rsid w:val="009B33B3"/>
    <w:rsid w:val="009B52B7"/>
    <w:rsid w:val="009C14FE"/>
    <w:rsid w:val="009C1F65"/>
    <w:rsid w:val="009C35FA"/>
    <w:rsid w:val="009C65D0"/>
    <w:rsid w:val="009C6959"/>
    <w:rsid w:val="009C7267"/>
    <w:rsid w:val="009C7487"/>
    <w:rsid w:val="009D53BA"/>
    <w:rsid w:val="009D7A14"/>
    <w:rsid w:val="009D7FF5"/>
    <w:rsid w:val="009E02B9"/>
    <w:rsid w:val="009E48C1"/>
    <w:rsid w:val="009E6A35"/>
    <w:rsid w:val="009E7C9D"/>
    <w:rsid w:val="009F49FA"/>
    <w:rsid w:val="009F6CF1"/>
    <w:rsid w:val="00A00D88"/>
    <w:rsid w:val="00A0358A"/>
    <w:rsid w:val="00A04A39"/>
    <w:rsid w:val="00A1235D"/>
    <w:rsid w:val="00A27EE5"/>
    <w:rsid w:val="00A40AA6"/>
    <w:rsid w:val="00A511E3"/>
    <w:rsid w:val="00A51F28"/>
    <w:rsid w:val="00A56C52"/>
    <w:rsid w:val="00A6012B"/>
    <w:rsid w:val="00A70E13"/>
    <w:rsid w:val="00A72A00"/>
    <w:rsid w:val="00A922E8"/>
    <w:rsid w:val="00A942E2"/>
    <w:rsid w:val="00A9731C"/>
    <w:rsid w:val="00AA1EFB"/>
    <w:rsid w:val="00AA7248"/>
    <w:rsid w:val="00AA7C35"/>
    <w:rsid w:val="00AB69CF"/>
    <w:rsid w:val="00AB7EDE"/>
    <w:rsid w:val="00AC2FC7"/>
    <w:rsid w:val="00AC78F2"/>
    <w:rsid w:val="00AD388E"/>
    <w:rsid w:val="00AD67CE"/>
    <w:rsid w:val="00AD7827"/>
    <w:rsid w:val="00AE19A6"/>
    <w:rsid w:val="00AE3F59"/>
    <w:rsid w:val="00B10788"/>
    <w:rsid w:val="00B12405"/>
    <w:rsid w:val="00B14A79"/>
    <w:rsid w:val="00B21418"/>
    <w:rsid w:val="00B24ECF"/>
    <w:rsid w:val="00B30E27"/>
    <w:rsid w:val="00B31741"/>
    <w:rsid w:val="00B3762F"/>
    <w:rsid w:val="00B4031C"/>
    <w:rsid w:val="00B447E9"/>
    <w:rsid w:val="00B44E2E"/>
    <w:rsid w:val="00B467F8"/>
    <w:rsid w:val="00B500A1"/>
    <w:rsid w:val="00B50351"/>
    <w:rsid w:val="00B5161A"/>
    <w:rsid w:val="00B550D1"/>
    <w:rsid w:val="00B5676D"/>
    <w:rsid w:val="00B56C9C"/>
    <w:rsid w:val="00B65D2B"/>
    <w:rsid w:val="00B67C89"/>
    <w:rsid w:val="00B775B7"/>
    <w:rsid w:val="00B82F9E"/>
    <w:rsid w:val="00B86C79"/>
    <w:rsid w:val="00B92696"/>
    <w:rsid w:val="00B942D0"/>
    <w:rsid w:val="00B95CFA"/>
    <w:rsid w:val="00B9656E"/>
    <w:rsid w:val="00BA377A"/>
    <w:rsid w:val="00BB2E2D"/>
    <w:rsid w:val="00BC0B6C"/>
    <w:rsid w:val="00BC10E7"/>
    <w:rsid w:val="00BC4853"/>
    <w:rsid w:val="00BC772C"/>
    <w:rsid w:val="00BD04C0"/>
    <w:rsid w:val="00BE3673"/>
    <w:rsid w:val="00BF5F1C"/>
    <w:rsid w:val="00BF6B75"/>
    <w:rsid w:val="00C01874"/>
    <w:rsid w:val="00C05444"/>
    <w:rsid w:val="00C058A6"/>
    <w:rsid w:val="00C14B90"/>
    <w:rsid w:val="00C1671D"/>
    <w:rsid w:val="00C1775B"/>
    <w:rsid w:val="00C21C03"/>
    <w:rsid w:val="00C239DD"/>
    <w:rsid w:val="00C2661B"/>
    <w:rsid w:val="00C309AD"/>
    <w:rsid w:val="00C32ABD"/>
    <w:rsid w:val="00C33826"/>
    <w:rsid w:val="00C41255"/>
    <w:rsid w:val="00C4199A"/>
    <w:rsid w:val="00C432F3"/>
    <w:rsid w:val="00C4703D"/>
    <w:rsid w:val="00C47899"/>
    <w:rsid w:val="00C50438"/>
    <w:rsid w:val="00C67B32"/>
    <w:rsid w:val="00C67EB4"/>
    <w:rsid w:val="00C71C15"/>
    <w:rsid w:val="00C73A39"/>
    <w:rsid w:val="00C73DFD"/>
    <w:rsid w:val="00C74106"/>
    <w:rsid w:val="00C7435C"/>
    <w:rsid w:val="00C860C3"/>
    <w:rsid w:val="00C86DDB"/>
    <w:rsid w:val="00C86F8F"/>
    <w:rsid w:val="00C87ADA"/>
    <w:rsid w:val="00C90879"/>
    <w:rsid w:val="00C974EC"/>
    <w:rsid w:val="00CA0537"/>
    <w:rsid w:val="00CA4A02"/>
    <w:rsid w:val="00CA58E7"/>
    <w:rsid w:val="00CB0F41"/>
    <w:rsid w:val="00CB16C1"/>
    <w:rsid w:val="00CC048E"/>
    <w:rsid w:val="00CC0C46"/>
    <w:rsid w:val="00CC660B"/>
    <w:rsid w:val="00CC7296"/>
    <w:rsid w:val="00CD11EA"/>
    <w:rsid w:val="00CD7186"/>
    <w:rsid w:val="00CD789F"/>
    <w:rsid w:val="00CD7D73"/>
    <w:rsid w:val="00CE0590"/>
    <w:rsid w:val="00CE1056"/>
    <w:rsid w:val="00CE2281"/>
    <w:rsid w:val="00CE5AB3"/>
    <w:rsid w:val="00CE5C3F"/>
    <w:rsid w:val="00CE782F"/>
    <w:rsid w:val="00CF17D1"/>
    <w:rsid w:val="00D0035D"/>
    <w:rsid w:val="00D01C31"/>
    <w:rsid w:val="00D05557"/>
    <w:rsid w:val="00D10F88"/>
    <w:rsid w:val="00D12C8F"/>
    <w:rsid w:val="00D145FC"/>
    <w:rsid w:val="00D219DC"/>
    <w:rsid w:val="00D220FA"/>
    <w:rsid w:val="00D23750"/>
    <w:rsid w:val="00D45110"/>
    <w:rsid w:val="00D52E5E"/>
    <w:rsid w:val="00D53F19"/>
    <w:rsid w:val="00D55918"/>
    <w:rsid w:val="00D6185E"/>
    <w:rsid w:val="00D61A67"/>
    <w:rsid w:val="00D74CC1"/>
    <w:rsid w:val="00D74F15"/>
    <w:rsid w:val="00D76407"/>
    <w:rsid w:val="00D80764"/>
    <w:rsid w:val="00D83C1B"/>
    <w:rsid w:val="00D85B7B"/>
    <w:rsid w:val="00D94229"/>
    <w:rsid w:val="00D9457F"/>
    <w:rsid w:val="00DA2E68"/>
    <w:rsid w:val="00DA4108"/>
    <w:rsid w:val="00DB2DE4"/>
    <w:rsid w:val="00DC66DC"/>
    <w:rsid w:val="00DD5D03"/>
    <w:rsid w:val="00DD6CFE"/>
    <w:rsid w:val="00DE11A4"/>
    <w:rsid w:val="00DE1BA2"/>
    <w:rsid w:val="00DE3AAB"/>
    <w:rsid w:val="00DF1933"/>
    <w:rsid w:val="00DF2B31"/>
    <w:rsid w:val="00E03805"/>
    <w:rsid w:val="00E13F1D"/>
    <w:rsid w:val="00E16A96"/>
    <w:rsid w:val="00E46688"/>
    <w:rsid w:val="00E46DE3"/>
    <w:rsid w:val="00E5086E"/>
    <w:rsid w:val="00E52CD4"/>
    <w:rsid w:val="00E61BD3"/>
    <w:rsid w:val="00E665FE"/>
    <w:rsid w:val="00E67193"/>
    <w:rsid w:val="00E76950"/>
    <w:rsid w:val="00E87C83"/>
    <w:rsid w:val="00EA4E78"/>
    <w:rsid w:val="00EA7FD1"/>
    <w:rsid w:val="00EB0A10"/>
    <w:rsid w:val="00EB26DB"/>
    <w:rsid w:val="00EB36A9"/>
    <w:rsid w:val="00EB5C2B"/>
    <w:rsid w:val="00EB78D6"/>
    <w:rsid w:val="00EC04CE"/>
    <w:rsid w:val="00EC1123"/>
    <w:rsid w:val="00ED00FB"/>
    <w:rsid w:val="00ED3099"/>
    <w:rsid w:val="00ED7D55"/>
    <w:rsid w:val="00EE2AF6"/>
    <w:rsid w:val="00EE384B"/>
    <w:rsid w:val="00EE5F44"/>
    <w:rsid w:val="00EF0173"/>
    <w:rsid w:val="00EF1400"/>
    <w:rsid w:val="00EF5835"/>
    <w:rsid w:val="00EF6770"/>
    <w:rsid w:val="00F008B0"/>
    <w:rsid w:val="00F054E7"/>
    <w:rsid w:val="00F1795B"/>
    <w:rsid w:val="00F17E02"/>
    <w:rsid w:val="00F2253C"/>
    <w:rsid w:val="00F250A1"/>
    <w:rsid w:val="00F2562E"/>
    <w:rsid w:val="00F305A0"/>
    <w:rsid w:val="00F30C0C"/>
    <w:rsid w:val="00F405A2"/>
    <w:rsid w:val="00F45CED"/>
    <w:rsid w:val="00F4692F"/>
    <w:rsid w:val="00F47508"/>
    <w:rsid w:val="00F539E8"/>
    <w:rsid w:val="00F547A3"/>
    <w:rsid w:val="00F5686B"/>
    <w:rsid w:val="00F60DB0"/>
    <w:rsid w:val="00F63C0D"/>
    <w:rsid w:val="00F6464A"/>
    <w:rsid w:val="00F651B7"/>
    <w:rsid w:val="00F65260"/>
    <w:rsid w:val="00F65561"/>
    <w:rsid w:val="00F662F7"/>
    <w:rsid w:val="00F71338"/>
    <w:rsid w:val="00F72630"/>
    <w:rsid w:val="00F728C4"/>
    <w:rsid w:val="00F736FC"/>
    <w:rsid w:val="00F77EED"/>
    <w:rsid w:val="00F85CED"/>
    <w:rsid w:val="00F86686"/>
    <w:rsid w:val="00F87FF0"/>
    <w:rsid w:val="00F90D37"/>
    <w:rsid w:val="00F9314B"/>
    <w:rsid w:val="00F95C95"/>
    <w:rsid w:val="00F979CE"/>
    <w:rsid w:val="00FA0DD6"/>
    <w:rsid w:val="00FA20C9"/>
    <w:rsid w:val="00FA20FF"/>
    <w:rsid w:val="00FA4C4F"/>
    <w:rsid w:val="00FA4DB0"/>
    <w:rsid w:val="00FA66C5"/>
    <w:rsid w:val="00FB52B8"/>
    <w:rsid w:val="00FB6DE0"/>
    <w:rsid w:val="00FC0042"/>
    <w:rsid w:val="00FC0269"/>
    <w:rsid w:val="00FD545A"/>
    <w:rsid w:val="00FD750B"/>
    <w:rsid w:val="00FE3C50"/>
    <w:rsid w:val="00FE435C"/>
    <w:rsid w:val="00FE51B6"/>
    <w:rsid w:val="00FF4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9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cs-CZ"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BVI fnr"/>
    <w:basedOn w:val="DefaultParagraphFont"/>
    <w:uiPriority w:val="99"/>
    <w:unhideWhenUsed/>
    <w:rPr>
      <w:vertAlign w:val="superscript"/>
    </w:rPr>
  </w:style>
  <w:style w:type="paragraph" w:customStyle="1" w:styleId="SecurityMarking">
    <w:name w:val="SecurityMarking"/>
    <w:basedOn w:val="Normal"/>
    <w:rsid w:val="008D7003"/>
    <w:pPr>
      <w:spacing w:after="0" w:line="276" w:lineRule="auto"/>
      <w:ind w:left="5103"/>
    </w:pPr>
    <w:rPr>
      <w:rFonts w:ascii="Times New Roman" w:eastAsiaTheme="minorHAnsi" w:hAnsi="Times New Roman" w:cs="Times New Roman"/>
      <w:sz w:val="28"/>
      <w:szCs w:val="22"/>
    </w:rPr>
  </w:style>
  <w:style w:type="paragraph" w:customStyle="1" w:styleId="DateMarking">
    <w:name w:val="DateMarking"/>
    <w:basedOn w:val="Normal"/>
    <w:rsid w:val="008D7003"/>
    <w:pPr>
      <w:spacing w:after="0" w:line="276" w:lineRule="auto"/>
      <w:ind w:left="5103"/>
    </w:pPr>
    <w:rPr>
      <w:rFonts w:ascii="Times New Roman" w:eastAsiaTheme="minorHAnsi" w:hAnsi="Times New Roman" w:cs="Times New Roman"/>
      <w:i/>
      <w:sz w:val="28"/>
      <w:szCs w:val="22"/>
    </w:rPr>
  </w:style>
  <w:style w:type="paragraph" w:customStyle="1" w:styleId="ReleasableTo">
    <w:name w:val="ReleasableTo"/>
    <w:basedOn w:val="Normal"/>
    <w:rsid w:val="008D7003"/>
    <w:pPr>
      <w:spacing w:after="0" w:line="276" w:lineRule="auto"/>
      <w:ind w:left="5103"/>
    </w:pPr>
    <w:rPr>
      <w:rFonts w:ascii="Times New Roman" w:eastAsiaTheme="minorHAnsi" w:hAnsi="Times New Roman" w:cs="Times New Roman"/>
      <w:i/>
      <w:sz w:val="28"/>
      <w:szCs w:val="22"/>
    </w:rPr>
  </w:style>
  <w:style w:type="paragraph" w:customStyle="1" w:styleId="HeaderSensitivityRight">
    <w:name w:val="Header Sensitivity Right"/>
    <w:basedOn w:val="Normal"/>
    <w:rsid w:val="008D7003"/>
    <w:pPr>
      <w:spacing w:line="240" w:lineRule="auto"/>
      <w:jc w:val="right"/>
    </w:pPr>
    <w:rPr>
      <w:rFonts w:ascii="Times New Roman" w:hAnsi="Times New Roman" w:cs="Times New Roman"/>
      <w:sz w:val="28"/>
    </w:rPr>
  </w:style>
  <w:style w:type="character" w:styleId="Hyperlink">
    <w:name w:val="Hyperlink"/>
    <w:rPr>
      <w:u w:val="single"/>
    </w:rPr>
  </w:style>
  <w:style w:type="numbering" w:customStyle="1" w:styleId="ImportedStyle1">
    <w:name w:val="Imported Style 1"/>
    <w:pPr>
      <w:numPr>
        <w:numId w:val="5"/>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60"/>
      <w:ind w:left="720" w:right="72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spacing w:val="5"/>
      <w:u w:val="single"/>
    </w:rPr>
  </w:style>
  <w:style w:type="character" w:styleId="BookTitle">
    <w:name w:val="Book Title"/>
    <w:basedOn w:val="DefaultParagraphFont"/>
    <w:uiPriority w:val="33"/>
    <w:qFormat/>
    <w:rPr>
      <w:b/>
      <w:bCs/>
      <w:smallCaps/>
    </w:rPr>
  </w:style>
  <w:style w:type="paragraph" w:styleId="TOCHeading">
    <w:name w:val="TOC Heading"/>
    <w:basedOn w:val="Heading1"/>
    <w:next w:val="Normal"/>
    <w:uiPriority w:val="39"/>
    <w:semiHidden/>
    <w:unhideWhenUsed/>
    <w:qFormat/>
    <w:pPr>
      <w:outlineLvl w:val="9"/>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1">
    <w:name w:val="Body text|1_"/>
    <w:basedOn w:val="DefaultParagraphFont"/>
    <w:link w:val="Bodytext10"/>
    <w:rsid w:val="003E597C"/>
  </w:style>
  <w:style w:type="paragraph" w:customStyle="1" w:styleId="Bodytext10">
    <w:name w:val="Body text|1"/>
    <w:basedOn w:val="Normal"/>
    <w:link w:val="Bodytext1"/>
    <w:rsid w:val="003E597C"/>
    <w:pPr>
      <w:widowControl w:val="0"/>
      <w:spacing w:after="100" w:line="240" w:lineRule="auto"/>
    </w:pPr>
  </w:style>
  <w:style w:type="character" w:customStyle="1" w:styleId="UnresolvedMention1">
    <w:name w:val="Unresolved Mention1"/>
    <w:basedOn w:val="DefaultParagraphFont"/>
    <w:uiPriority w:val="99"/>
    <w:semiHidden/>
    <w:unhideWhenUsed/>
    <w:rsid w:val="006F3D25"/>
    <w:rPr>
      <w:color w:val="605E5C"/>
      <w:shd w:val="clear" w:color="auto" w:fill="E1DFDD"/>
    </w:rPr>
  </w:style>
  <w:style w:type="paragraph" w:customStyle="1" w:styleId="Disclaimer">
    <w:name w:val="Disclaimer"/>
    <w:basedOn w:val="Normal"/>
    <w:rsid w:val="008D700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line="240" w:lineRule="auto"/>
      <w:jc w:val="both"/>
    </w:pPr>
    <w:rPr>
      <w:rFonts w:ascii="Times New Roman" w:eastAsiaTheme="minorHAnsi" w:hAnsi="Times New Roman" w:cs="Times New Roman"/>
      <w:sz w:val="24"/>
      <w:szCs w:val="22"/>
    </w:rPr>
  </w:style>
  <w:style w:type="character" w:customStyle="1" w:styleId="UnresolvedMention2">
    <w:name w:val="Unresolved Mention2"/>
    <w:basedOn w:val="DefaultParagraphFont"/>
    <w:uiPriority w:val="99"/>
    <w:semiHidden/>
    <w:unhideWhenUsed/>
    <w:rsid w:val="007E1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4309">
      <w:bodyDiv w:val="1"/>
      <w:marLeft w:val="0"/>
      <w:marRight w:val="0"/>
      <w:marTop w:val="0"/>
      <w:marBottom w:val="0"/>
      <w:divBdr>
        <w:top w:val="none" w:sz="0" w:space="0" w:color="auto"/>
        <w:left w:val="none" w:sz="0" w:space="0" w:color="auto"/>
        <w:bottom w:val="none" w:sz="0" w:space="0" w:color="auto"/>
        <w:right w:val="none" w:sz="0" w:space="0" w:color="auto"/>
      </w:divBdr>
    </w:div>
    <w:div w:id="192616676">
      <w:bodyDiv w:val="1"/>
      <w:marLeft w:val="0"/>
      <w:marRight w:val="0"/>
      <w:marTop w:val="0"/>
      <w:marBottom w:val="0"/>
      <w:divBdr>
        <w:top w:val="none" w:sz="0" w:space="0" w:color="auto"/>
        <w:left w:val="none" w:sz="0" w:space="0" w:color="auto"/>
        <w:bottom w:val="none" w:sz="0" w:space="0" w:color="auto"/>
        <w:right w:val="none" w:sz="0" w:space="0" w:color="auto"/>
      </w:divBdr>
    </w:div>
    <w:div w:id="242179948">
      <w:bodyDiv w:val="1"/>
      <w:marLeft w:val="0"/>
      <w:marRight w:val="0"/>
      <w:marTop w:val="0"/>
      <w:marBottom w:val="0"/>
      <w:divBdr>
        <w:top w:val="none" w:sz="0" w:space="0" w:color="auto"/>
        <w:left w:val="none" w:sz="0" w:space="0" w:color="auto"/>
        <w:bottom w:val="none" w:sz="0" w:space="0" w:color="auto"/>
        <w:right w:val="none" w:sz="0" w:space="0" w:color="auto"/>
      </w:divBdr>
    </w:div>
    <w:div w:id="269244967">
      <w:bodyDiv w:val="1"/>
      <w:marLeft w:val="0"/>
      <w:marRight w:val="0"/>
      <w:marTop w:val="0"/>
      <w:marBottom w:val="0"/>
      <w:divBdr>
        <w:top w:val="none" w:sz="0" w:space="0" w:color="auto"/>
        <w:left w:val="none" w:sz="0" w:space="0" w:color="auto"/>
        <w:bottom w:val="none" w:sz="0" w:space="0" w:color="auto"/>
        <w:right w:val="none" w:sz="0" w:space="0" w:color="auto"/>
      </w:divBdr>
    </w:div>
    <w:div w:id="368532611">
      <w:bodyDiv w:val="1"/>
      <w:marLeft w:val="0"/>
      <w:marRight w:val="0"/>
      <w:marTop w:val="0"/>
      <w:marBottom w:val="0"/>
      <w:divBdr>
        <w:top w:val="none" w:sz="0" w:space="0" w:color="auto"/>
        <w:left w:val="none" w:sz="0" w:space="0" w:color="auto"/>
        <w:bottom w:val="none" w:sz="0" w:space="0" w:color="auto"/>
        <w:right w:val="none" w:sz="0" w:space="0" w:color="auto"/>
      </w:divBdr>
    </w:div>
    <w:div w:id="445396129">
      <w:bodyDiv w:val="1"/>
      <w:marLeft w:val="0"/>
      <w:marRight w:val="0"/>
      <w:marTop w:val="0"/>
      <w:marBottom w:val="0"/>
      <w:divBdr>
        <w:top w:val="none" w:sz="0" w:space="0" w:color="auto"/>
        <w:left w:val="none" w:sz="0" w:space="0" w:color="auto"/>
        <w:bottom w:val="none" w:sz="0" w:space="0" w:color="auto"/>
        <w:right w:val="none" w:sz="0" w:space="0" w:color="auto"/>
      </w:divBdr>
    </w:div>
    <w:div w:id="472677889">
      <w:bodyDiv w:val="1"/>
      <w:marLeft w:val="0"/>
      <w:marRight w:val="0"/>
      <w:marTop w:val="0"/>
      <w:marBottom w:val="0"/>
      <w:divBdr>
        <w:top w:val="none" w:sz="0" w:space="0" w:color="auto"/>
        <w:left w:val="none" w:sz="0" w:space="0" w:color="auto"/>
        <w:bottom w:val="none" w:sz="0" w:space="0" w:color="auto"/>
        <w:right w:val="none" w:sz="0" w:space="0" w:color="auto"/>
      </w:divBdr>
    </w:div>
    <w:div w:id="691304975">
      <w:bodyDiv w:val="1"/>
      <w:marLeft w:val="0"/>
      <w:marRight w:val="0"/>
      <w:marTop w:val="0"/>
      <w:marBottom w:val="0"/>
      <w:divBdr>
        <w:top w:val="none" w:sz="0" w:space="0" w:color="auto"/>
        <w:left w:val="none" w:sz="0" w:space="0" w:color="auto"/>
        <w:bottom w:val="none" w:sz="0" w:space="0" w:color="auto"/>
        <w:right w:val="none" w:sz="0" w:space="0" w:color="auto"/>
      </w:divBdr>
    </w:div>
    <w:div w:id="954479870">
      <w:bodyDiv w:val="1"/>
      <w:marLeft w:val="0"/>
      <w:marRight w:val="0"/>
      <w:marTop w:val="0"/>
      <w:marBottom w:val="0"/>
      <w:divBdr>
        <w:top w:val="none" w:sz="0" w:space="0" w:color="auto"/>
        <w:left w:val="none" w:sz="0" w:space="0" w:color="auto"/>
        <w:bottom w:val="none" w:sz="0" w:space="0" w:color="auto"/>
        <w:right w:val="none" w:sz="0" w:space="0" w:color="auto"/>
      </w:divBdr>
    </w:div>
    <w:div w:id="980888022">
      <w:bodyDiv w:val="1"/>
      <w:marLeft w:val="0"/>
      <w:marRight w:val="0"/>
      <w:marTop w:val="0"/>
      <w:marBottom w:val="0"/>
      <w:divBdr>
        <w:top w:val="none" w:sz="0" w:space="0" w:color="auto"/>
        <w:left w:val="none" w:sz="0" w:space="0" w:color="auto"/>
        <w:bottom w:val="none" w:sz="0" w:space="0" w:color="auto"/>
        <w:right w:val="none" w:sz="0" w:space="0" w:color="auto"/>
      </w:divBdr>
    </w:div>
    <w:div w:id="1021132105">
      <w:bodyDiv w:val="1"/>
      <w:marLeft w:val="0"/>
      <w:marRight w:val="0"/>
      <w:marTop w:val="0"/>
      <w:marBottom w:val="0"/>
      <w:divBdr>
        <w:top w:val="none" w:sz="0" w:space="0" w:color="auto"/>
        <w:left w:val="none" w:sz="0" w:space="0" w:color="auto"/>
        <w:bottom w:val="none" w:sz="0" w:space="0" w:color="auto"/>
        <w:right w:val="none" w:sz="0" w:space="0" w:color="auto"/>
      </w:divBdr>
    </w:div>
    <w:div w:id="1054544757">
      <w:bodyDiv w:val="1"/>
      <w:marLeft w:val="0"/>
      <w:marRight w:val="0"/>
      <w:marTop w:val="0"/>
      <w:marBottom w:val="0"/>
      <w:divBdr>
        <w:top w:val="none" w:sz="0" w:space="0" w:color="auto"/>
        <w:left w:val="none" w:sz="0" w:space="0" w:color="auto"/>
        <w:bottom w:val="none" w:sz="0" w:space="0" w:color="auto"/>
        <w:right w:val="none" w:sz="0" w:space="0" w:color="auto"/>
      </w:divBdr>
    </w:div>
    <w:div w:id="1101756075">
      <w:bodyDiv w:val="1"/>
      <w:marLeft w:val="0"/>
      <w:marRight w:val="0"/>
      <w:marTop w:val="0"/>
      <w:marBottom w:val="0"/>
      <w:divBdr>
        <w:top w:val="none" w:sz="0" w:space="0" w:color="auto"/>
        <w:left w:val="none" w:sz="0" w:space="0" w:color="auto"/>
        <w:bottom w:val="none" w:sz="0" w:space="0" w:color="auto"/>
        <w:right w:val="none" w:sz="0" w:space="0" w:color="auto"/>
      </w:divBdr>
    </w:div>
    <w:div w:id="1459371014">
      <w:bodyDiv w:val="1"/>
      <w:marLeft w:val="0"/>
      <w:marRight w:val="0"/>
      <w:marTop w:val="0"/>
      <w:marBottom w:val="0"/>
      <w:divBdr>
        <w:top w:val="none" w:sz="0" w:space="0" w:color="auto"/>
        <w:left w:val="none" w:sz="0" w:space="0" w:color="auto"/>
        <w:bottom w:val="none" w:sz="0" w:space="0" w:color="auto"/>
        <w:right w:val="none" w:sz="0" w:space="0" w:color="auto"/>
      </w:divBdr>
    </w:div>
    <w:div w:id="1629317556">
      <w:bodyDiv w:val="1"/>
      <w:marLeft w:val="0"/>
      <w:marRight w:val="0"/>
      <w:marTop w:val="0"/>
      <w:marBottom w:val="0"/>
      <w:divBdr>
        <w:top w:val="none" w:sz="0" w:space="0" w:color="auto"/>
        <w:left w:val="none" w:sz="0" w:space="0" w:color="auto"/>
        <w:bottom w:val="none" w:sz="0" w:space="0" w:color="auto"/>
        <w:right w:val="none" w:sz="0" w:space="0" w:color="auto"/>
      </w:divBdr>
    </w:div>
    <w:div w:id="1779787953">
      <w:bodyDiv w:val="1"/>
      <w:marLeft w:val="0"/>
      <w:marRight w:val="0"/>
      <w:marTop w:val="0"/>
      <w:marBottom w:val="0"/>
      <w:divBdr>
        <w:top w:val="none" w:sz="0" w:space="0" w:color="auto"/>
        <w:left w:val="none" w:sz="0" w:space="0" w:color="auto"/>
        <w:bottom w:val="none" w:sz="0" w:space="0" w:color="auto"/>
        <w:right w:val="none" w:sz="0" w:space="0" w:color="auto"/>
      </w:divBdr>
    </w:div>
    <w:div w:id="1851404281">
      <w:bodyDiv w:val="1"/>
      <w:marLeft w:val="0"/>
      <w:marRight w:val="0"/>
      <w:marTop w:val="0"/>
      <w:marBottom w:val="0"/>
      <w:divBdr>
        <w:top w:val="none" w:sz="0" w:space="0" w:color="auto"/>
        <w:left w:val="none" w:sz="0" w:space="0" w:color="auto"/>
        <w:bottom w:val="none" w:sz="0" w:space="0" w:color="auto"/>
        <w:right w:val="none" w:sz="0" w:space="0" w:color="auto"/>
      </w:divBdr>
    </w:div>
    <w:div w:id="1859729260">
      <w:bodyDiv w:val="1"/>
      <w:marLeft w:val="0"/>
      <w:marRight w:val="0"/>
      <w:marTop w:val="0"/>
      <w:marBottom w:val="0"/>
      <w:divBdr>
        <w:top w:val="none" w:sz="0" w:space="0" w:color="auto"/>
        <w:left w:val="none" w:sz="0" w:space="0" w:color="auto"/>
        <w:bottom w:val="none" w:sz="0" w:space="0" w:color="auto"/>
        <w:right w:val="none" w:sz="0" w:space="0" w:color="auto"/>
      </w:divBdr>
    </w:div>
    <w:div w:id="1925071744">
      <w:bodyDiv w:val="1"/>
      <w:marLeft w:val="0"/>
      <w:marRight w:val="0"/>
      <w:marTop w:val="0"/>
      <w:marBottom w:val="0"/>
      <w:divBdr>
        <w:top w:val="none" w:sz="0" w:space="0" w:color="auto"/>
        <w:left w:val="none" w:sz="0" w:space="0" w:color="auto"/>
        <w:bottom w:val="none" w:sz="0" w:space="0" w:color="auto"/>
        <w:right w:val="none" w:sz="0" w:space="0" w:color="auto"/>
      </w:divBdr>
    </w:div>
    <w:div w:id="194525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www.europol.europa.eu/media-press/newsroom/news/382-arrests-during-joint-actions-against-traffickers-using-balkan-route?mtm_campaign=newsletter" TargetMode="External"/><Relationship Id="rId1" Type="http://schemas.openxmlformats.org/officeDocument/2006/relationships/hyperlink" Target="https://home-affairs.ec.europa.eu/bulgaria-and-romania-fact-finding-mission-repor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17730c43-1c7a-490c-8af6-e0e078c4a587">EN</EC_Collab_DocumentLanguage>
    <EC_Collab_Status xmlns="17730c43-1c7a-490c-8af6-e0e078c4a587">Not Started</EC_Collab_Status>
    <Sort_x0020_order_x0020_no xmlns="17730c43-1c7a-490c-8af6-e0e078c4a587" xsi:nil="true"/>
    <_Status xmlns="http://schemas.microsoft.com/sharepoint/v3/fields">Not Started</_Status>
    <EC_Collab_Reference xmlns="17730c43-1c7a-490c-8af6-e0e078c4a5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EF9D13EB5B09F479C3B8323D523042B" ma:contentTypeVersion="3" ma:contentTypeDescription="Create a new document in this library." ma:contentTypeScope="" ma:versionID="7894ad8daead64fa987f84de761d8f1f">
  <xsd:schema xmlns:xsd="http://www.w3.org/2001/XMLSchema" xmlns:xs="http://www.w3.org/2001/XMLSchema" xmlns:p="http://schemas.microsoft.com/office/2006/metadata/properties" xmlns:ns2="http://schemas.microsoft.com/sharepoint/v3/fields" xmlns:ns3="17730c43-1c7a-490c-8af6-e0e078c4a587" xmlns:ns4="5844f193-b267-46d7-afe9-1f837dd55ee2" targetNamespace="http://schemas.microsoft.com/office/2006/metadata/properties" ma:root="true" ma:fieldsID="234d4add1c35cf14fdb9ed3443d065cb" ns2:_="" ns3:_="" ns4:_="">
    <xsd:import namespace="http://schemas.microsoft.com/sharepoint/v3/fields"/>
    <xsd:import namespace="17730c43-1c7a-490c-8af6-e0e078c4a587"/>
    <xsd:import namespace="5844f193-b267-46d7-afe9-1f837dd55ee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ort_x0020_order_x0020_no"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730c43-1c7a-490c-8af6-e0e078c4a58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ort_x0020_order_x0020_no" ma:index="16" nillable="true" ma:displayName="Sort order no" ma:decimals="2" ma:internalName="Sort_x0020_order_x0020_no">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44f193-b267-46d7-afe9-1f837dd55e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3FEA353-93DC-4CBA-8289-4C480B85D2CD}">
  <ds:schemaRefs>
    <ds:schemaRef ds:uri="http://schemas.microsoft.com/sharepoint/v3/contenttype/forms"/>
  </ds:schemaRefs>
</ds:datastoreItem>
</file>

<file path=customXml/itemProps2.xml><?xml version="1.0" encoding="utf-8"?>
<ds:datastoreItem xmlns:ds="http://schemas.openxmlformats.org/officeDocument/2006/customXml" ds:itemID="{CEF1D116-A96E-45AD-B761-86FC7EF3BC6F}">
  <ds:schemaRefs>
    <ds:schemaRef ds:uri="http://schemas.microsoft.com/office/2006/metadata/properties"/>
    <ds:schemaRef ds:uri="http://schemas.microsoft.com/office/infopath/2007/PartnerControls"/>
    <ds:schemaRef ds:uri="17730c43-1c7a-490c-8af6-e0e078c4a587"/>
    <ds:schemaRef ds:uri="http://schemas.microsoft.com/sharepoint/v3/fields"/>
  </ds:schemaRefs>
</ds:datastoreItem>
</file>

<file path=customXml/itemProps3.xml><?xml version="1.0" encoding="utf-8"?>
<ds:datastoreItem xmlns:ds="http://schemas.openxmlformats.org/officeDocument/2006/customXml" ds:itemID="{2A694145-6E69-4BFE-A405-FB2F21329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730c43-1c7a-490c-8af6-e0e078c4a587"/>
    <ds:schemaRef ds:uri="5844f193-b267-46d7-afe9-1f837dd55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6A2AE1-6D48-44A5-9292-A4CB7A0A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4170</Words>
  <Characters>25902</Characters>
  <Application>Microsoft Office Word</Application>
  <DocSecurity>0</DocSecurity>
  <Lines>364</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2022-11-14T18:08:00Z</dcterms:created>
  <dcterms:modified xsi:type="dcterms:W3CDTF">2022-11-17T17:27:00Z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2022-11-05T08:47:53Z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f53a3b37-64dd-46d9-9b5d-dddba7baa08c</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8.1, Build 20220902</vt:lpwstr>
  </property>
  <property fmtid="{D5CDD505-2E9C-101B-9397-08002B2CF9AE}" pid="11" name="Part">
    <vt:lpwstr>1</vt:lpwstr>
  </property>
  <property fmtid="{D5CDD505-2E9C-101B-9397-08002B2CF9AE}" pid="12" name="Total parts">
    <vt:lpwstr>1</vt:lpwstr>
  </property>
  <property fmtid="{D5CDD505-2E9C-101B-9397-08002B2CF9AE}" pid="13" name="DocStatus">
    <vt:lpwstr>Green</vt:lpwstr>
  </property>
  <property fmtid="{D5CDD505-2E9C-101B-9397-08002B2CF9AE}" pid="14" name="CPTemplateID">
    <vt:lpwstr>CP-012</vt:lpwstr>
  </property>
  <property fmtid="{D5CDD505-2E9C-101B-9397-08002B2CF9AE}" pid="15" name="ContentTypeId">
    <vt:lpwstr>0x010100258AA79CEB83498886A3A08681123250006EF9D13EB5B09F479C3B8323D523042B</vt:lpwstr>
  </property>
</Properties>
</file>