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53" w:rsidRPr="00D80B3F" w:rsidRDefault="00340052" w:rsidP="0034005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6BDBC4E7-6D78-4F36-BB90-45F44FBCC143" style="width:455.25pt;height:378.75pt">
            <v:imagedata r:id="rId11" o:title=""/>
          </v:shape>
        </w:pict>
      </w:r>
    </w:p>
    <w:bookmarkEnd w:id="0"/>
    <w:p w:rsidR="00C95153" w:rsidRPr="00D80B3F" w:rsidRDefault="00C95153" w:rsidP="00C95153">
      <w:pPr>
        <w:rPr>
          <w:noProof/>
        </w:rPr>
        <w:sectPr w:rsidR="00C95153" w:rsidRPr="00D80B3F" w:rsidSect="0034005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heme="minorBidi"/>
          <w:b w:val="0"/>
          <w:smallCaps w:val="0"/>
          <w:noProof/>
          <w:szCs w:val="22"/>
        </w:rPr>
        <w:id w:val="-1080751373"/>
        <w:docPartObj>
          <w:docPartGallery w:val="Table of Contents"/>
          <w:docPartUnique/>
        </w:docPartObj>
      </w:sdtPr>
      <w:sdtEndPr>
        <w:rPr>
          <w:bCs/>
        </w:rPr>
      </w:sdtEndPr>
      <w:sdtContent>
        <w:p w:rsidR="002944C8" w:rsidRPr="00D80B3F" w:rsidRDefault="002944C8" w:rsidP="002944C8">
          <w:pPr>
            <w:pStyle w:val="TOCHeading"/>
            <w:numPr>
              <w:ilvl w:val="0"/>
              <w:numId w:val="0"/>
            </w:numPr>
            <w:ind w:left="360" w:hanging="360"/>
            <w:jc w:val="center"/>
            <w:rPr>
              <w:rFonts w:hint="eastAsia"/>
              <w:smallCaps w:val="0"/>
              <w:noProof/>
            </w:rPr>
          </w:pPr>
          <w:r>
            <w:rPr>
              <w:smallCaps w:val="0"/>
              <w:noProof/>
            </w:rPr>
            <w:t>Índice</w:t>
          </w:r>
        </w:p>
        <w:p w:rsidR="00560DBA" w:rsidRDefault="002944C8">
          <w:pPr>
            <w:pStyle w:val="TOC1"/>
            <w:tabs>
              <w:tab w:val="left" w:pos="440"/>
            </w:tabs>
            <w:rPr>
              <w:rFonts w:asciiTheme="minorHAnsi" w:eastAsiaTheme="minorEastAsia" w:hAnsiTheme="minorHAnsi"/>
              <w:caps w:val="0"/>
              <w:noProof/>
              <w:sz w:val="22"/>
              <w:lang w:eastAsia="pt-PT"/>
            </w:rPr>
          </w:pPr>
          <w:r>
            <w:rPr>
              <w:caps w:val="0"/>
              <w:noProof/>
            </w:rPr>
            <w:fldChar w:fldCharType="begin"/>
          </w:r>
          <w:r>
            <w:rPr>
              <w:caps w:val="0"/>
              <w:noProof/>
            </w:rPr>
            <w:instrText xml:space="preserve"> TOC \o "1-3" \h \z \u </w:instrText>
          </w:r>
          <w:r>
            <w:rPr>
              <w:caps w:val="0"/>
              <w:noProof/>
            </w:rPr>
            <w:fldChar w:fldCharType="separate"/>
          </w:r>
          <w:hyperlink w:anchor="_Toc119413030" w:history="1">
            <w:r w:rsidR="00560DBA" w:rsidRPr="000D2DF9">
              <w:rPr>
                <w:rStyle w:val="Hyperlink"/>
                <w:noProof/>
              </w:rPr>
              <w:t>1.</w:t>
            </w:r>
            <w:r w:rsidR="00560DBA">
              <w:rPr>
                <w:rFonts w:asciiTheme="minorHAnsi" w:eastAsiaTheme="minorEastAsia" w:hAnsiTheme="minorHAnsi"/>
                <w:caps w:val="0"/>
                <w:noProof/>
                <w:sz w:val="22"/>
                <w:lang w:eastAsia="pt-PT"/>
              </w:rPr>
              <w:tab/>
            </w:r>
            <w:r w:rsidR="00560DBA" w:rsidRPr="000D2DF9">
              <w:rPr>
                <w:rStyle w:val="Hyperlink"/>
                <w:noProof/>
              </w:rPr>
              <w:t>Enquadramento</w:t>
            </w:r>
            <w:r w:rsidR="00560DBA">
              <w:rPr>
                <w:noProof/>
                <w:webHidden/>
              </w:rPr>
              <w:tab/>
            </w:r>
            <w:r w:rsidR="00560DBA">
              <w:rPr>
                <w:noProof/>
                <w:webHidden/>
              </w:rPr>
              <w:fldChar w:fldCharType="begin"/>
            </w:r>
            <w:r w:rsidR="00560DBA">
              <w:rPr>
                <w:noProof/>
                <w:webHidden/>
              </w:rPr>
              <w:instrText xml:space="preserve"> PAGEREF _Toc119413030 \h </w:instrText>
            </w:r>
            <w:r w:rsidR="00560DBA">
              <w:rPr>
                <w:noProof/>
                <w:webHidden/>
              </w:rPr>
            </w:r>
            <w:r w:rsidR="00560DBA">
              <w:rPr>
                <w:noProof/>
                <w:webHidden/>
              </w:rPr>
              <w:fldChar w:fldCharType="separate"/>
            </w:r>
            <w:r w:rsidR="00560DBA">
              <w:rPr>
                <w:noProof/>
                <w:webHidden/>
              </w:rPr>
              <w:t>2</w:t>
            </w:r>
            <w:r w:rsidR="00560DBA">
              <w:rPr>
                <w:noProof/>
                <w:webHidden/>
              </w:rPr>
              <w:fldChar w:fldCharType="end"/>
            </w:r>
          </w:hyperlink>
        </w:p>
        <w:p w:rsidR="00560DBA" w:rsidRDefault="00340052">
          <w:pPr>
            <w:pStyle w:val="TOC1"/>
            <w:tabs>
              <w:tab w:val="left" w:pos="440"/>
            </w:tabs>
            <w:rPr>
              <w:rFonts w:asciiTheme="minorHAnsi" w:eastAsiaTheme="minorEastAsia" w:hAnsiTheme="minorHAnsi"/>
              <w:caps w:val="0"/>
              <w:noProof/>
              <w:sz w:val="22"/>
              <w:lang w:eastAsia="pt-PT"/>
            </w:rPr>
          </w:pPr>
          <w:hyperlink w:anchor="_Toc119413031" w:history="1">
            <w:r w:rsidR="00560DBA" w:rsidRPr="000D2DF9">
              <w:rPr>
                <w:rStyle w:val="Hyperlink"/>
                <w:noProof/>
              </w:rPr>
              <w:t>2.</w:t>
            </w:r>
            <w:r w:rsidR="00560DBA">
              <w:rPr>
                <w:rFonts w:asciiTheme="minorHAnsi" w:eastAsiaTheme="minorEastAsia" w:hAnsiTheme="minorHAnsi"/>
                <w:caps w:val="0"/>
                <w:noProof/>
                <w:sz w:val="22"/>
                <w:lang w:eastAsia="pt-PT"/>
              </w:rPr>
              <w:tab/>
            </w:r>
            <w:r w:rsidR="00560DBA" w:rsidRPr="000D2DF9">
              <w:rPr>
                <w:rStyle w:val="Hyperlink"/>
                <w:noProof/>
              </w:rPr>
              <w:t>Promover a digitalização interoperável do setor público</w:t>
            </w:r>
            <w:r w:rsidR="00560DBA">
              <w:rPr>
                <w:noProof/>
                <w:webHidden/>
              </w:rPr>
              <w:tab/>
            </w:r>
            <w:r w:rsidR="00560DBA">
              <w:rPr>
                <w:noProof/>
                <w:webHidden/>
              </w:rPr>
              <w:fldChar w:fldCharType="begin"/>
            </w:r>
            <w:r w:rsidR="00560DBA">
              <w:rPr>
                <w:noProof/>
                <w:webHidden/>
              </w:rPr>
              <w:instrText xml:space="preserve"> PAGEREF _Toc119413031 \h </w:instrText>
            </w:r>
            <w:r w:rsidR="00560DBA">
              <w:rPr>
                <w:noProof/>
                <w:webHidden/>
              </w:rPr>
            </w:r>
            <w:r w:rsidR="00560DBA">
              <w:rPr>
                <w:noProof/>
                <w:webHidden/>
              </w:rPr>
              <w:fldChar w:fldCharType="separate"/>
            </w:r>
            <w:r w:rsidR="00560DBA">
              <w:rPr>
                <w:noProof/>
                <w:webHidden/>
              </w:rPr>
              <w:t>3</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32" w:history="1">
            <w:r w:rsidR="00560DBA" w:rsidRPr="000D2DF9">
              <w:rPr>
                <w:rStyle w:val="Hyperlink"/>
                <w:noProof/>
              </w:rPr>
              <w:t>2.1</w:t>
            </w:r>
            <w:r w:rsidR="00560DBA">
              <w:rPr>
                <w:rFonts w:asciiTheme="minorHAnsi" w:eastAsiaTheme="minorEastAsia" w:hAnsiTheme="minorHAnsi"/>
                <w:noProof/>
                <w:sz w:val="22"/>
                <w:lang w:eastAsia="pt-PT"/>
              </w:rPr>
              <w:tab/>
            </w:r>
            <w:r w:rsidR="00560DBA" w:rsidRPr="000D2DF9">
              <w:rPr>
                <w:rStyle w:val="Hyperlink"/>
                <w:noProof/>
              </w:rPr>
              <w:t>O que é a interoperabilidade...</w:t>
            </w:r>
            <w:r w:rsidR="00560DBA">
              <w:rPr>
                <w:noProof/>
                <w:webHidden/>
              </w:rPr>
              <w:tab/>
            </w:r>
            <w:r w:rsidR="00560DBA">
              <w:rPr>
                <w:noProof/>
                <w:webHidden/>
              </w:rPr>
              <w:fldChar w:fldCharType="begin"/>
            </w:r>
            <w:r w:rsidR="00560DBA">
              <w:rPr>
                <w:noProof/>
                <w:webHidden/>
              </w:rPr>
              <w:instrText xml:space="preserve"> PAGEREF _Toc119413032 \h </w:instrText>
            </w:r>
            <w:r w:rsidR="00560DBA">
              <w:rPr>
                <w:noProof/>
                <w:webHidden/>
              </w:rPr>
            </w:r>
            <w:r w:rsidR="00560DBA">
              <w:rPr>
                <w:noProof/>
                <w:webHidden/>
              </w:rPr>
              <w:fldChar w:fldCharType="separate"/>
            </w:r>
            <w:r w:rsidR="00560DBA">
              <w:rPr>
                <w:noProof/>
                <w:webHidden/>
              </w:rPr>
              <w:t>3</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33" w:history="1">
            <w:r w:rsidR="00560DBA" w:rsidRPr="000D2DF9">
              <w:rPr>
                <w:rStyle w:val="Hyperlink"/>
                <w:noProof/>
              </w:rPr>
              <w:t>2.2</w:t>
            </w:r>
            <w:r w:rsidR="00560DBA">
              <w:rPr>
                <w:rFonts w:asciiTheme="minorHAnsi" w:eastAsiaTheme="minorEastAsia" w:hAnsiTheme="minorHAnsi"/>
                <w:noProof/>
                <w:sz w:val="22"/>
                <w:lang w:eastAsia="pt-PT"/>
              </w:rPr>
              <w:tab/>
            </w:r>
            <w:r w:rsidR="00560DBA" w:rsidRPr="000D2DF9">
              <w:rPr>
                <w:rStyle w:val="Hyperlink"/>
                <w:noProof/>
              </w:rPr>
              <w:t>... e por que razão é importante para a UE melhorar a interoperabilidade?</w:t>
            </w:r>
            <w:r w:rsidR="00560DBA">
              <w:rPr>
                <w:noProof/>
                <w:webHidden/>
              </w:rPr>
              <w:tab/>
            </w:r>
            <w:r w:rsidR="00560DBA">
              <w:rPr>
                <w:noProof/>
                <w:webHidden/>
              </w:rPr>
              <w:fldChar w:fldCharType="begin"/>
            </w:r>
            <w:r w:rsidR="00560DBA">
              <w:rPr>
                <w:noProof/>
                <w:webHidden/>
              </w:rPr>
              <w:instrText xml:space="preserve"> PAGEREF _Toc119413033 \h </w:instrText>
            </w:r>
            <w:r w:rsidR="00560DBA">
              <w:rPr>
                <w:noProof/>
                <w:webHidden/>
              </w:rPr>
            </w:r>
            <w:r w:rsidR="00560DBA">
              <w:rPr>
                <w:noProof/>
                <w:webHidden/>
              </w:rPr>
              <w:fldChar w:fldCharType="separate"/>
            </w:r>
            <w:r w:rsidR="00560DBA">
              <w:rPr>
                <w:noProof/>
                <w:webHidden/>
              </w:rPr>
              <w:t>4</w:t>
            </w:r>
            <w:r w:rsidR="00560DBA">
              <w:rPr>
                <w:noProof/>
                <w:webHidden/>
              </w:rPr>
              <w:fldChar w:fldCharType="end"/>
            </w:r>
          </w:hyperlink>
        </w:p>
        <w:p w:rsidR="00560DBA" w:rsidRDefault="00340052">
          <w:pPr>
            <w:pStyle w:val="TOC1"/>
            <w:tabs>
              <w:tab w:val="left" w:pos="440"/>
            </w:tabs>
            <w:rPr>
              <w:rFonts w:asciiTheme="minorHAnsi" w:eastAsiaTheme="minorEastAsia" w:hAnsiTheme="minorHAnsi"/>
              <w:caps w:val="0"/>
              <w:noProof/>
              <w:sz w:val="22"/>
              <w:lang w:eastAsia="pt-PT"/>
            </w:rPr>
          </w:pPr>
          <w:hyperlink w:anchor="_Toc119413034" w:history="1">
            <w:r w:rsidR="00560DBA" w:rsidRPr="000D2DF9">
              <w:rPr>
                <w:rStyle w:val="Hyperlink"/>
                <w:noProof/>
              </w:rPr>
              <w:t>3.</w:t>
            </w:r>
            <w:r w:rsidR="00560DBA">
              <w:rPr>
                <w:rFonts w:asciiTheme="minorHAnsi" w:eastAsiaTheme="minorEastAsia" w:hAnsiTheme="minorHAnsi"/>
                <w:caps w:val="0"/>
                <w:noProof/>
                <w:sz w:val="22"/>
                <w:lang w:eastAsia="pt-PT"/>
              </w:rPr>
              <w:tab/>
            </w:r>
            <w:r w:rsidR="00560DBA" w:rsidRPr="000D2DF9">
              <w:rPr>
                <w:rStyle w:val="Hyperlink"/>
                <w:noProof/>
              </w:rPr>
              <w:t>Mudar a velocidade da cooperação da UE em matéria de interoperabilidade</w:t>
            </w:r>
            <w:r w:rsidR="00560DBA">
              <w:rPr>
                <w:noProof/>
                <w:webHidden/>
              </w:rPr>
              <w:tab/>
            </w:r>
            <w:r w:rsidR="00560DBA">
              <w:rPr>
                <w:noProof/>
                <w:webHidden/>
              </w:rPr>
              <w:fldChar w:fldCharType="begin"/>
            </w:r>
            <w:r w:rsidR="00560DBA">
              <w:rPr>
                <w:noProof/>
                <w:webHidden/>
              </w:rPr>
              <w:instrText xml:space="preserve"> PAGEREF _Toc119413034 \h </w:instrText>
            </w:r>
            <w:r w:rsidR="00560DBA">
              <w:rPr>
                <w:noProof/>
                <w:webHidden/>
              </w:rPr>
            </w:r>
            <w:r w:rsidR="00560DBA">
              <w:rPr>
                <w:noProof/>
                <w:webHidden/>
              </w:rPr>
              <w:fldChar w:fldCharType="separate"/>
            </w:r>
            <w:r w:rsidR="00560DBA">
              <w:rPr>
                <w:noProof/>
                <w:webHidden/>
              </w:rPr>
              <w:t>6</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35" w:history="1">
            <w:r w:rsidR="00560DBA" w:rsidRPr="000D2DF9">
              <w:rPr>
                <w:rStyle w:val="Hyperlink"/>
                <w:noProof/>
              </w:rPr>
              <w:t>3.1</w:t>
            </w:r>
            <w:r w:rsidR="00560DBA">
              <w:rPr>
                <w:rFonts w:asciiTheme="minorHAnsi" w:eastAsiaTheme="minorEastAsia" w:hAnsiTheme="minorHAnsi"/>
                <w:noProof/>
                <w:sz w:val="22"/>
                <w:lang w:eastAsia="pt-PT"/>
              </w:rPr>
              <w:tab/>
            </w:r>
            <w:r w:rsidR="00560DBA" w:rsidRPr="000D2DF9">
              <w:rPr>
                <w:rStyle w:val="Hyperlink"/>
                <w:noProof/>
              </w:rPr>
              <w:t>Construir uma governação partilhada da interoperabilidade</w:t>
            </w:r>
            <w:r w:rsidR="00560DBA">
              <w:rPr>
                <w:noProof/>
                <w:webHidden/>
              </w:rPr>
              <w:tab/>
            </w:r>
            <w:r w:rsidR="00560DBA">
              <w:rPr>
                <w:noProof/>
                <w:webHidden/>
              </w:rPr>
              <w:fldChar w:fldCharType="begin"/>
            </w:r>
            <w:r w:rsidR="00560DBA">
              <w:rPr>
                <w:noProof/>
                <w:webHidden/>
              </w:rPr>
              <w:instrText xml:space="preserve"> PAGEREF _Toc119413035 \h </w:instrText>
            </w:r>
            <w:r w:rsidR="00560DBA">
              <w:rPr>
                <w:noProof/>
                <w:webHidden/>
              </w:rPr>
            </w:r>
            <w:r w:rsidR="00560DBA">
              <w:rPr>
                <w:noProof/>
                <w:webHidden/>
              </w:rPr>
              <w:fldChar w:fldCharType="separate"/>
            </w:r>
            <w:r w:rsidR="00560DBA">
              <w:rPr>
                <w:noProof/>
                <w:webHidden/>
              </w:rPr>
              <w:t>6</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36" w:history="1">
            <w:r w:rsidR="00560DBA" w:rsidRPr="000D2DF9">
              <w:rPr>
                <w:rStyle w:val="Hyperlink"/>
                <w:noProof/>
              </w:rPr>
              <w:t>3.2</w:t>
            </w:r>
            <w:r w:rsidR="00560DBA">
              <w:rPr>
                <w:rFonts w:asciiTheme="minorHAnsi" w:eastAsiaTheme="minorEastAsia" w:hAnsiTheme="minorHAnsi"/>
                <w:noProof/>
                <w:sz w:val="22"/>
                <w:lang w:eastAsia="pt-PT"/>
              </w:rPr>
              <w:tab/>
            </w:r>
            <w:r w:rsidR="00560DBA" w:rsidRPr="000D2DF9">
              <w:rPr>
                <w:rStyle w:val="Hyperlink"/>
                <w:noProof/>
              </w:rPr>
              <w:t>Envolver todos os níveis da administração pública</w:t>
            </w:r>
            <w:r w:rsidR="00560DBA">
              <w:rPr>
                <w:noProof/>
                <w:webHidden/>
              </w:rPr>
              <w:tab/>
            </w:r>
            <w:r w:rsidR="00560DBA">
              <w:rPr>
                <w:noProof/>
                <w:webHidden/>
              </w:rPr>
              <w:fldChar w:fldCharType="begin"/>
            </w:r>
            <w:r w:rsidR="00560DBA">
              <w:rPr>
                <w:noProof/>
                <w:webHidden/>
              </w:rPr>
              <w:instrText xml:space="preserve"> PAGEREF _Toc119413036 \h </w:instrText>
            </w:r>
            <w:r w:rsidR="00560DBA">
              <w:rPr>
                <w:noProof/>
                <w:webHidden/>
              </w:rPr>
            </w:r>
            <w:r w:rsidR="00560DBA">
              <w:rPr>
                <w:noProof/>
                <w:webHidden/>
              </w:rPr>
              <w:fldChar w:fldCharType="separate"/>
            </w:r>
            <w:r w:rsidR="00560DBA">
              <w:rPr>
                <w:noProof/>
                <w:webHidden/>
              </w:rPr>
              <w:t>7</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37" w:history="1">
            <w:r w:rsidR="00560DBA" w:rsidRPr="000D2DF9">
              <w:rPr>
                <w:rStyle w:val="Hyperlink"/>
                <w:noProof/>
              </w:rPr>
              <w:t>3.3</w:t>
            </w:r>
            <w:r w:rsidR="00560DBA">
              <w:rPr>
                <w:rFonts w:asciiTheme="minorHAnsi" w:eastAsiaTheme="minorEastAsia" w:hAnsiTheme="minorHAnsi"/>
                <w:noProof/>
                <w:sz w:val="22"/>
                <w:lang w:eastAsia="pt-PT"/>
              </w:rPr>
              <w:tab/>
            </w:r>
            <w:r w:rsidR="00560DBA" w:rsidRPr="000D2DF9">
              <w:rPr>
                <w:rStyle w:val="Hyperlink"/>
                <w:noProof/>
              </w:rPr>
              <w:t>Promover a inovação e a cooperação «GovTech»</w:t>
            </w:r>
            <w:r w:rsidR="00560DBA">
              <w:rPr>
                <w:noProof/>
                <w:webHidden/>
              </w:rPr>
              <w:tab/>
            </w:r>
            <w:r w:rsidR="00560DBA">
              <w:rPr>
                <w:noProof/>
                <w:webHidden/>
              </w:rPr>
              <w:fldChar w:fldCharType="begin"/>
            </w:r>
            <w:r w:rsidR="00560DBA">
              <w:rPr>
                <w:noProof/>
                <w:webHidden/>
              </w:rPr>
              <w:instrText xml:space="preserve"> PAGEREF _Toc119413037 \h </w:instrText>
            </w:r>
            <w:r w:rsidR="00560DBA">
              <w:rPr>
                <w:noProof/>
                <w:webHidden/>
              </w:rPr>
            </w:r>
            <w:r w:rsidR="00560DBA">
              <w:rPr>
                <w:noProof/>
                <w:webHidden/>
              </w:rPr>
              <w:fldChar w:fldCharType="separate"/>
            </w:r>
            <w:r w:rsidR="00560DBA">
              <w:rPr>
                <w:noProof/>
                <w:webHidden/>
              </w:rPr>
              <w:t>8</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38" w:history="1">
            <w:r w:rsidR="00560DBA" w:rsidRPr="000D2DF9">
              <w:rPr>
                <w:rStyle w:val="Hyperlink"/>
                <w:noProof/>
              </w:rPr>
              <w:t>3.4</w:t>
            </w:r>
            <w:r w:rsidR="00560DBA">
              <w:rPr>
                <w:rFonts w:asciiTheme="minorHAnsi" w:eastAsiaTheme="minorEastAsia" w:hAnsiTheme="minorHAnsi"/>
                <w:noProof/>
                <w:sz w:val="22"/>
                <w:lang w:eastAsia="pt-PT"/>
              </w:rPr>
              <w:tab/>
            </w:r>
            <w:r w:rsidR="00560DBA" w:rsidRPr="000D2DF9">
              <w:rPr>
                <w:rStyle w:val="Hyperlink"/>
                <w:noProof/>
              </w:rPr>
              <w:t>Monitorizar o impacto</w:t>
            </w:r>
            <w:r w:rsidR="00560DBA">
              <w:rPr>
                <w:noProof/>
                <w:webHidden/>
              </w:rPr>
              <w:tab/>
            </w:r>
            <w:r w:rsidR="00560DBA">
              <w:rPr>
                <w:noProof/>
                <w:webHidden/>
              </w:rPr>
              <w:fldChar w:fldCharType="begin"/>
            </w:r>
            <w:r w:rsidR="00560DBA">
              <w:rPr>
                <w:noProof/>
                <w:webHidden/>
              </w:rPr>
              <w:instrText xml:space="preserve"> PAGEREF _Toc119413038 \h </w:instrText>
            </w:r>
            <w:r w:rsidR="00560DBA">
              <w:rPr>
                <w:noProof/>
                <w:webHidden/>
              </w:rPr>
            </w:r>
            <w:r w:rsidR="00560DBA">
              <w:rPr>
                <w:noProof/>
                <w:webHidden/>
              </w:rPr>
              <w:fldChar w:fldCharType="separate"/>
            </w:r>
            <w:r w:rsidR="00560DBA">
              <w:rPr>
                <w:noProof/>
                <w:webHidden/>
              </w:rPr>
              <w:t>9</w:t>
            </w:r>
            <w:r w:rsidR="00560DBA">
              <w:rPr>
                <w:noProof/>
                <w:webHidden/>
              </w:rPr>
              <w:fldChar w:fldCharType="end"/>
            </w:r>
          </w:hyperlink>
        </w:p>
        <w:p w:rsidR="00560DBA" w:rsidRDefault="00340052">
          <w:pPr>
            <w:pStyle w:val="TOC1"/>
            <w:tabs>
              <w:tab w:val="left" w:pos="440"/>
            </w:tabs>
            <w:rPr>
              <w:rFonts w:asciiTheme="minorHAnsi" w:eastAsiaTheme="minorEastAsia" w:hAnsiTheme="minorHAnsi"/>
              <w:caps w:val="0"/>
              <w:noProof/>
              <w:sz w:val="22"/>
              <w:lang w:eastAsia="pt-PT"/>
            </w:rPr>
          </w:pPr>
          <w:hyperlink w:anchor="_Toc119413039" w:history="1">
            <w:r w:rsidR="00560DBA" w:rsidRPr="000D2DF9">
              <w:rPr>
                <w:rStyle w:val="Hyperlink"/>
                <w:noProof/>
              </w:rPr>
              <w:t>4.</w:t>
            </w:r>
            <w:r w:rsidR="00560DBA">
              <w:rPr>
                <w:rFonts w:asciiTheme="minorHAnsi" w:eastAsiaTheme="minorEastAsia" w:hAnsiTheme="minorHAnsi"/>
                <w:caps w:val="0"/>
                <w:noProof/>
                <w:sz w:val="22"/>
                <w:lang w:eastAsia="pt-PT"/>
              </w:rPr>
              <w:tab/>
            </w:r>
            <w:r w:rsidR="00560DBA" w:rsidRPr="000D2DF9">
              <w:rPr>
                <w:rStyle w:val="Hyperlink"/>
                <w:noProof/>
              </w:rPr>
              <w:t>Tornar as políticas da UE interoperáveis desde a conceção e preparadas para o digital</w:t>
            </w:r>
            <w:r w:rsidR="00560DBA">
              <w:rPr>
                <w:noProof/>
                <w:webHidden/>
              </w:rPr>
              <w:tab/>
            </w:r>
            <w:r w:rsidR="00560DBA">
              <w:rPr>
                <w:noProof/>
                <w:webHidden/>
              </w:rPr>
              <w:fldChar w:fldCharType="begin"/>
            </w:r>
            <w:r w:rsidR="00560DBA">
              <w:rPr>
                <w:noProof/>
                <w:webHidden/>
              </w:rPr>
              <w:instrText xml:space="preserve"> PAGEREF _Toc119413039 \h </w:instrText>
            </w:r>
            <w:r w:rsidR="00560DBA">
              <w:rPr>
                <w:noProof/>
                <w:webHidden/>
              </w:rPr>
            </w:r>
            <w:r w:rsidR="00560DBA">
              <w:rPr>
                <w:noProof/>
                <w:webHidden/>
              </w:rPr>
              <w:fldChar w:fldCharType="separate"/>
            </w:r>
            <w:r w:rsidR="00560DBA">
              <w:rPr>
                <w:noProof/>
                <w:webHidden/>
              </w:rPr>
              <w:t>10</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40" w:history="1">
            <w:r w:rsidR="00560DBA" w:rsidRPr="000D2DF9">
              <w:rPr>
                <w:rStyle w:val="Hyperlink"/>
                <w:noProof/>
              </w:rPr>
              <w:t>4.1</w:t>
            </w:r>
            <w:r w:rsidR="00560DBA">
              <w:rPr>
                <w:rFonts w:asciiTheme="minorHAnsi" w:eastAsiaTheme="minorEastAsia" w:hAnsiTheme="minorHAnsi"/>
                <w:noProof/>
                <w:sz w:val="22"/>
                <w:lang w:eastAsia="pt-PT"/>
              </w:rPr>
              <w:tab/>
            </w:r>
            <w:r w:rsidR="00560DBA" w:rsidRPr="000D2DF9">
              <w:rPr>
                <w:rStyle w:val="Hyperlink"/>
                <w:noProof/>
              </w:rPr>
              <w:t>Conceção das políticas da UE na era digital</w:t>
            </w:r>
            <w:r w:rsidR="00560DBA">
              <w:rPr>
                <w:noProof/>
                <w:webHidden/>
              </w:rPr>
              <w:tab/>
            </w:r>
            <w:r w:rsidR="00560DBA">
              <w:rPr>
                <w:noProof/>
                <w:webHidden/>
              </w:rPr>
              <w:fldChar w:fldCharType="begin"/>
            </w:r>
            <w:r w:rsidR="00560DBA">
              <w:rPr>
                <w:noProof/>
                <w:webHidden/>
              </w:rPr>
              <w:instrText xml:space="preserve"> PAGEREF _Toc119413040 \h </w:instrText>
            </w:r>
            <w:r w:rsidR="00560DBA">
              <w:rPr>
                <w:noProof/>
                <w:webHidden/>
              </w:rPr>
            </w:r>
            <w:r w:rsidR="00560DBA">
              <w:rPr>
                <w:noProof/>
                <w:webHidden/>
              </w:rPr>
              <w:fldChar w:fldCharType="separate"/>
            </w:r>
            <w:r w:rsidR="00560DBA">
              <w:rPr>
                <w:noProof/>
                <w:webHidden/>
              </w:rPr>
              <w:t>10</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41" w:history="1">
            <w:r w:rsidR="00560DBA" w:rsidRPr="000D2DF9">
              <w:rPr>
                <w:rStyle w:val="Hyperlink"/>
                <w:noProof/>
              </w:rPr>
              <w:t>4.2</w:t>
            </w:r>
            <w:r w:rsidR="00560DBA">
              <w:rPr>
                <w:rFonts w:asciiTheme="minorHAnsi" w:eastAsiaTheme="minorEastAsia" w:hAnsiTheme="minorHAnsi"/>
                <w:noProof/>
                <w:sz w:val="22"/>
                <w:lang w:eastAsia="pt-PT"/>
              </w:rPr>
              <w:tab/>
            </w:r>
            <w:r w:rsidR="00560DBA" w:rsidRPr="000D2DF9">
              <w:rPr>
                <w:rStyle w:val="Hyperlink"/>
                <w:noProof/>
              </w:rPr>
              <w:t>Concentrar o financiamento da interoperabilidade</w:t>
            </w:r>
            <w:r w:rsidR="00560DBA">
              <w:rPr>
                <w:noProof/>
                <w:webHidden/>
              </w:rPr>
              <w:tab/>
            </w:r>
            <w:r w:rsidR="00560DBA">
              <w:rPr>
                <w:noProof/>
                <w:webHidden/>
              </w:rPr>
              <w:fldChar w:fldCharType="begin"/>
            </w:r>
            <w:r w:rsidR="00560DBA">
              <w:rPr>
                <w:noProof/>
                <w:webHidden/>
              </w:rPr>
              <w:instrText xml:space="preserve"> PAGEREF _Toc119413041 \h </w:instrText>
            </w:r>
            <w:r w:rsidR="00560DBA">
              <w:rPr>
                <w:noProof/>
                <w:webHidden/>
              </w:rPr>
            </w:r>
            <w:r w:rsidR="00560DBA">
              <w:rPr>
                <w:noProof/>
                <w:webHidden/>
              </w:rPr>
              <w:fldChar w:fldCharType="separate"/>
            </w:r>
            <w:r w:rsidR="00560DBA">
              <w:rPr>
                <w:noProof/>
                <w:webHidden/>
              </w:rPr>
              <w:t>12</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42" w:history="1">
            <w:r w:rsidR="00560DBA" w:rsidRPr="000D2DF9">
              <w:rPr>
                <w:rStyle w:val="Hyperlink"/>
                <w:noProof/>
              </w:rPr>
              <w:t>4.3</w:t>
            </w:r>
            <w:r w:rsidR="00560DBA">
              <w:rPr>
                <w:rFonts w:asciiTheme="minorHAnsi" w:eastAsiaTheme="minorEastAsia" w:hAnsiTheme="minorHAnsi"/>
                <w:noProof/>
                <w:sz w:val="22"/>
                <w:lang w:eastAsia="pt-PT"/>
              </w:rPr>
              <w:tab/>
            </w:r>
            <w:r w:rsidR="00560DBA" w:rsidRPr="000D2DF9">
              <w:rPr>
                <w:rStyle w:val="Hyperlink"/>
                <w:noProof/>
              </w:rPr>
              <w:t>Integrar a interoperabilidade nas políticas da UE em matéria de dados e inovação</w:t>
            </w:r>
            <w:r w:rsidR="00560DBA">
              <w:rPr>
                <w:noProof/>
                <w:webHidden/>
              </w:rPr>
              <w:tab/>
            </w:r>
            <w:r w:rsidR="00560DBA">
              <w:rPr>
                <w:noProof/>
                <w:webHidden/>
              </w:rPr>
              <w:fldChar w:fldCharType="begin"/>
            </w:r>
            <w:r w:rsidR="00560DBA">
              <w:rPr>
                <w:noProof/>
                <w:webHidden/>
              </w:rPr>
              <w:instrText xml:space="preserve"> PAGEREF _Toc119413042 \h </w:instrText>
            </w:r>
            <w:r w:rsidR="00560DBA">
              <w:rPr>
                <w:noProof/>
                <w:webHidden/>
              </w:rPr>
            </w:r>
            <w:r w:rsidR="00560DBA">
              <w:rPr>
                <w:noProof/>
                <w:webHidden/>
              </w:rPr>
              <w:fldChar w:fldCharType="separate"/>
            </w:r>
            <w:r w:rsidR="00560DBA">
              <w:rPr>
                <w:noProof/>
                <w:webHidden/>
              </w:rPr>
              <w:t>13</w:t>
            </w:r>
            <w:r w:rsidR="00560DBA">
              <w:rPr>
                <w:noProof/>
                <w:webHidden/>
              </w:rPr>
              <w:fldChar w:fldCharType="end"/>
            </w:r>
          </w:hyperlink>
        </w:p>
        <w:p w:rsidR="00560DBA" w:rsidRDefault="00340052">
          <w:pPr>
            <w:pStyle w:val="TOC2"/>
            <w:tabs>
              <w:tab w:val="left" w:pos="880"/>
              <w:tab w:val="right" w:leader="dot" w:pos="9062"/>
            </w:tabs>
            <w:rPr>
              <w:rFonts w:asciiTheme="minorHAnsi" w:eastAsiaTheme="minorEastAsia" w:hAnsiTheme="minorHAnsi"/>
              <w:noProof/>
              <w:sz w:val="22"/>
              <w:lang w:eastAsia="pt-PT"/>
            </w:rPr>
          </w:pPr>
          <w:hyperlink w:anchor="_Toc119413043" w:history="1">
            <w:r w:rsidR="00560DBA" w:rsidRPr="000D2DF9">
              <w:rPr>
                <w:rStyle w:val="Hyperlink"/>
                <w:noProof/>
              </w:rPr>
              <w:t>4.4</w:t>
            </w:r>
            <w:r w:rsidR="00560DBA">
              <w:rPr>
                <w:rFonts w:asciiTheme="minorHAnsi" w:eastAsiaTheme="minorEastAsia" w:hAnsiTheme="minorHAnsi"/>
                <w:noProof/>
                <w:sz w:val="22"/>
                <w:lang w:eastAsia="pt-PT"/>
              </w:rPr>
              <w:tab/>
            </w:r>
            <w:r w:rsidR="00560DBA" w:rsidRPr="000D2DF9">
              <w:rPr>
                <w:rStyle w:val="Hyperlink"/>
                <w:noProof/>
              </w:rPr>
              <w:t>Desenvolver a cooperação internacional em matéria de interoperabilidade do setor público</w:t>
            </w:r>
            <w:r w:rsidR="00560DBA">
              <w:rPr>
                <w:noProof/>
                <w:webHidden/>
              </w:rPr>
              <w:tab/>
            </w:r>
            <w:r w:rsidR="00560DBA">
              <w:rPr>
                <w:noProof/>
                <w:webHidden/>
              </w:rPr>
              <w:fldChar w:fldCharType="begin"/>
            </w:r>
            <w:r w:rsidR="00560DBA">
              <w:rPr>
                <w:noProof/>
                <w:webHidden/>
              </w:rPr>
              <w:instrText xml:space="preserve"> PAGEREF _Toc119413043 \h </w:instrText>
            </w:r>
            <w:r w:rsidR="00560DBA">
              <w:rPr>
                <w:noProof/>
                <w:webHidden/>
              </w:rPr>
            </w:r>
            <w:r w:rsidR="00560DBA">
              <w:rPr>
                <w:noProof/>
                <w:webHidden/>
              </w:rPr>
              <w:fldChar w:fldCharType="separate"/>
            </w:r>
            <w:r w:rsidR="00560DBA">
              <w:rPr>
                <w:noProof/>
                <w:webHidden/>
              </w:rPr>
              <w:t>14</w:t>
            </w:r>
            <w:r w:rsidR="00560DBA">
              <w:rPr>
                <w:noProof/>
                <w:webHidden/>
              </w:rPr>
              <w:fldChar w:fldCharType="end"/>
            </w:r>
          </w:hyperlink>
        </w:p>
        <w:p w:rsidR="002944C8" w:rsidRPr="00D80B3F" w:rsidRDefault="002944C8" w:rsidP="000D6027">
          <w:pPr>
            <w:pStyle w:val="TOC2"/>
            <w:tabs>
              <w:tab w:val="left" w:pos="880"/>
              <w:tab w:val="right" w:leader="dot" w:pos="9062"/>
            </w:tabs>
            <w:rPr>
              <w:noProof/>
            </w:rPr>
          </w:pPr>
          <w:r>
            <w:rPr>
              <w:caps/>
              <w:noProof/>
            </w:rPr>
            <w:fldChar w:fldCharType="end"/>
          </w:r>
        </w:p>
      </w:sdtContent>
    </w:sdt>
    <w:p w:rsidR="003C26E6" w:rsidRPr="00D80B3F" w:rsidRDefault="003C26E6" w:rsidP="00C76B85">
      <w:pPr>
        <w:spacing w:before="120" w:after="120" w:line="240" w:lineRule="auto"/>
        <w:jc w:val="both"/>
        <w:rPr>
          <w:rFonts w:ascii="Times New Roman" w:hAnsi="Times New Roman" w:cs="Times New Roman"/>
          <w:noProof/>
          <w:sz w:val="24"/>
          <w:szCs w:val="24"/>
        </w:rPr>
      </w:pPr>
      <w:r>
        <w:rPr>
          <w:noProof/>
        </w:rPr>
        <w:br w:type="page"/>
      </w:r>
    </w:p>
    <w:p w:rsidR="00A41116" w:rsidRPr="00D80B3F" w:rsidRDefault="00A41116" w:rsidP="009D43AB">
      <w:pPr>
        <w:pStyle w:val="Heading1"/>
        <w:rPr>
          <w:rFonts w:hint="eastAsia"/>
          <w:noProof/>
        </w:rPr>
      </w:pPr>
      <w:bookmarkStart w:id="2" w:name="_Toc119413030"/>
      <w:r>
        <w:rPr>
          <w:noProof/>
        </w:rPr>
        <w:t>Enquadramento</w:t>
      </w:r>
      <w:bookmarkEnd w:id="2"/>
    </w:p>
    <w:p w:rsidR="006860B4" w:rsidRPr="00D80B3F" w:rsidRDefault="00546B19"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Os serviços públicos digitais interoperáveis são essenciais para a digitalização bem-sucedida do mercado único da União Europeia. A indústria e a sociedade têm muito a ganhar com a garantia de que a transformação digital do setor público europeu seja inclusiva, justa e aberta, sustentável, baseada em valores e interoperável. A transformação digital do setor público cria fatores impulsionadores e de atração muito significativos</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para a digitalização da indústria e da sociedade europeias. O peso e o potencial do setor público para uma «via europeia» de transformação digital baseada em valores foram reconhecidos pelos governos da UE</w:t>
      </w:r>
      <w:r>
        <w:rPr>
          <w:rStyle w:val="FootnoteReference"/>
          <w:rFonts w:ascii="Times New Roman" w:hAnsi="Times New Roman" w:cs="Times New Roman"/>
          <w:noProof/>
          <w:sz w:val="24"/>
          <w:szCs w:val="24"/>
        </w:rPr>
        <w:footnoteReference w:id="3"/>
      </w:r>
      <w:r>
        <w:rPr>
          <w:rFonts w:ascii="Times New Roman" w:hAnsi="Times New Roman"/>
          <w:noProof/>
          <w:sz w:val="24"/>
        </w:rPr>
        <w:t xml:space="preserve"> e pelas comunidades locais e regionais</w:t>
      </w:r>
      <w:r>
        <w:rPr>
          <w:rFonts w:ascii="Times New Roman" w:hAnsi="Times New Roman" w:cs="Times New Roman"/>
          <w:noProof/>
          <w:sz w:val="24"/>
          <w:szCs w:val="24"/>
          <w:vertAlign w:val="superscript"/>
        </w:rPr>
        <w:footnoteReference w:id="4"/>
      </w:r>
      <w:r>
        <w:rPr>
          <w:rFonts w:ascii="Times New Roman" w:hAnsi="Times New Roman"/>
          <w:noProof/>
          <w:sz w:val="24"/>
        </w:rPr>
        <w:t>, e confirmados pelas Orientações para a Digitalização da UE, que identificam o setor público como uma das quatro vertentes fundamentais que assinalam a trajetória digital da UE</w:t>
      </w:r>
      <w:r>
        <w:rPr>
          <w:rStyle w:val="FootnoteReference"/>
          <w:rFonts w:ascii="Times New Roman" w:hAnsi="Times New Roman" w:cs="Times New Roman"/>
          <w:noProof/>
          <w:sz w:val="24"/>
          <w:szCs w:val="24"/>
        </w:rPr>
        <w:footnoteReference w:id="5"/>
      </w:r>
      <w:r>
        <w:rPr>
          <w:rFonts w:ascii="Times New Roman" w:hAnsi="Times New Roman"/>
          <w:noProof/>
          <w:sz w:val="24"/>
        </w:rPr>
        <w:t>. As administrações públicas digitais também surgiram como pontos centrais específicos dos planos nacionais de recuperação e resiliência, com um investimento combinado previsto de 47 mil milhões de EUR</w:t>
      </w:r>
      <w:r>
        <w:rPr>
          <w:rStyle w:val="FootnoteReference"/>
          <w:rFonts w:ascii="Times New Roman" w:hAnsi="Times New Roman" w:cs="Times New Roman"/>
          <w:noProof/>
          <w:sz w:val="24"/>
          <w:szCs w:val="24"/>
        </w:rPr>
        <w:footnoteReference w:id="6"/>
      </w:r>
      <w:r>
        <w:rPr>
          <w:rFonts w:ascii="Times New Roman" w:hAnsi="Times New Roman"/>
          <w:noProof/>
          <w:sz w:val="24"/>
        </w:rPr>
        <w:t>.</w:t>
      </w:r>
    </w:p>
    <w:p w:rsidR="0081754C" w:rsidRPr="00D80B3F" w:rsidRDefault="00CB0023"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maior ênfase na interoperabilidade do setor público apoia o esforço de recuperação e a resiliência da Europa, ligando eficazmente as administrações e as políticas públicas, as pessoas e as empresas, de modo a assegurar ofertas de serviços e fluxos de dados sem descontinuidades. Tal inclui a adaptação das políticas da UE à era digital, bem como a garantia de uma aplicação eficaz das políticas por meios digitais e da interoperabilidade desde a fase de conceção das políticas, numa estreita parceria entre os decisores políticos e os peritos em TIC. Inclui também a criação de um círculo virtuoso de cooperação em matéria de inovação para conceber e prestar serviços públicos digitais.</w:t>
      </w:r>
    </w:p>
    <w:p w:rsidR="005F2840" w:rsidRPr="00D80B3F" w:rsidRDefault="0937B597"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presente comunicação acompanha a proposta de «Regulamento Europa Interoperável»</w:t>
      </w:r>
      <w:r>
        <w:rPr>
          <w:rStyle w:val="FootnoteReference"/>
          <w:rFonts w:ascii="Times New Roman" w:hAnsi="Times New Roman" w:cs="Times New Roman"/>
          <w:noProof/>
          <w:sz w:val="24"/>
          <w:szCs w:val="24"/>
        </w:rPr>
        <w:footnoteReference w:id="7"/>
      </w:r>
      <w:r>
        <w:rPr>
          <w:rFonts w:ascii="Times New Roman" w:hAnsi="Times New Roman"/>
          <w:noProof/>
          <w:sz w:val="24"/>
        </w:rPr>
        <w:t>, que visa estabelecer uma governação comum da interoperabilidade e facilitar a criação conjunta de um ecossistema de soluções de interoperabilidade em toda a UE. O desenvolvimento conjunto de soluções, bem como a partilha e reutilização de instrumentos comprovados, constitui uma abordagem rápida e eficaz em termos de custos para a conceção de serviços públicos digitais. O reforço da cooperação em matéria de interoperabilidade é essencial para explorar plenamente o potencial de transformação do setor público, evitando a fragmentação e melhorando a conectividade e a partilha de dados. Ao fazê-lo, o quadro estratégico proposto contribuirá para salvaguardar a soberania digital da Europa e potenciar a subsidiariedade digital. O reforço da política de interoperabilidade dos governos da UE cumpre as prioridades da Comissão e a agenda política digital, tornando o setor público europeu adequado à era digital</w:t>
      </w:r>
      <w:r>
        <w:rPr>
          <w:rStyle w:val="FootnoteReference"/>
          <w:rFonts w:ascii="Times New Roman" w:hAnsi="Times New Roman" w:cs="Times New Roman"/>
          <w:noProof/>
          <w:sz w:val="24"/>
          <w:szCs w:val="24"/>
        </w:rPr>
        <w:footnoteReference w:id="8"/>
      </w:r>
      <w:r>
        <w:rPr>
          <w:rFonts w:ascii="Times New Roman" w:hAnsi="Times New Roman"/>
          <w:noProof/>
          <w:sz w:val="24"/>
        </w:rPr>
        <w:t>.</w:t>
      </w:r>
    </w:p>
    <w:p w:rsidR="00E67C35" w:rsidRPr="00D80B3F" w:rsidDel="008917B1" w:rsidRDefault="00C305DD" w:rsidP="00DA4ABC">
      <w:pPr>
        <w:pStyle w:val="Heading1"/>
        <w:rPr>
          <w:rFonts w:hint="eastAsia"/>
          <w:noProof/>
        </w:rPr>
      </w:pPr>
      <w:bookmarkStart w:id="3" w:name="_Toc119413031"/>
      <w:r>
        <w:rPr>
          <w:noProof/>
        </w:rPr>
        <w:t>Promover a digitalização interoperável do setor público</w:t>
      </w:r>
      <w:bookmarkEnd w:id="3"/>
    </w:p>
    <w:p w:rsidR="00E6118F" w:rsidRPr="00D80B3F" w:rsidRDefault="006262EA" w:rsidP="00DA4ABC">
      <w:pPr>
        <w:pStyle w:val="Heading2"/>
        <w:rPr>
          <w:noProof/>
        </w:rPr>
      </w:pPr>
      <w:bookmarkStart w:id="4" w:name="_Toc119413032"/>
      <w:r>
        <w:rPr>
          <w:noProof/>
        </w:rPr>
        <w:t>O que é a interoperabilidade...</w:t>
      </w:r>
      <w:bookmarkEnd w:id="4"/>
    </w:p>
    <w:p w:rsidR="00135EC2" w:rsidRPr="00D80B3F" w:rsidRDefault="7D1CEF2D"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interoperabilidade do setor público é o que permite que as administrações cooperem e façam os serviços públicos funcionar além-fronteiras, entre setores e para além dos limites organizacionais. Tal beneficia as pessoas e as empresas que dependem destes serviços conectados</w:t>
      </w:r>
      <w:r>
        <w:rPr>
          <w:rStyle w:val="FootnoteReference"/>
          <w:rFonts w:ascii="Times New Roman" w:hAnsi="Times New Roman" w:cs="Times New Roman"/>
          <w:noProof/>
          <w:sz w:val="24"/>
          <w:szCs w:val="24"/>
        </w:rPr>
        <w:footnoteReference w:id="9"/>
      </w:r>
      <w:r>
        <w:rPr>
          <w:rFonts w:ascii="Times New Roman" w:hAnsi="Times New Roman"/>
          <w:noProof/>
          <w:sz w:val="24"/>
        </w:rPr>
        <w:t>. Beneficia também as próprias comunidades e administrações, que dependem de dados fiáveis de diferentes fontes públicas ou privadas para as suas decisões e que têm de cumprir objetivos estratégicos frequentemente interligados que ultrapassam fronteiras e setores</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A interoperabilidade tem um papel a desempenhar </w:t>
      </w:r>
      <w:r>
        <w:rPr>
          <w:rFonts w:ascii="Times New Roman" w:hAnsi="Times New Roman"/>
          <w:i/>
          <w:noProof/>
          <w:sz w:val="24"/>
        </w:rPr>
        <w:t>dentro</w:t>
      </w:r>
      <w:r>
        <w:rPr>
          <w:rFonts w:ascii="Times New Roman" w:hAnsi="Times New Roman"/>
          <w:noProof/>
          <w:sz w:val="24"/>
        </w:rPr>
        <w:t xml:space="preserve"> e </w:t>
      </w:r>
      <w:r>
        <w:rPr>
          <w:rFonts w:ascii="Times New Roman" w:hAnsi="Times New Roman"/>
          <w:i/>
          <w:noProof/>
          <w:sz w:val="24"/>
        </w:rPr>
        <w:t xml:space="preserve">entre </w:t>
      </w:r>
      <w:r>
        <w:rPr>
          <w:rFonts w:ascii="Times New Roman" w:hAnsi="Times New Roman"/>
          <w:noProof/>
          <w:sz w:val="24"/>
        </w:rPr>
        <w:t>organizações e setores políticos, em especial os que possuem uma forte ligação ao setor público, como a justiça e os assuntos internos, a fiscalidade e as alfândegas, os transportes, o ambiente e a agricultura, ou a saúde, bem como a regulamentação das empresas e da indústria. A interoperabilidade é um tema estabelecido nas políticas digitais e de dados da UE.</w:t>
      </w:r>
    </w:p>
    <w:p w:rsidR="00E61EFA" w:rsidRPr="00D80B3F" w:rsidRDefault="7A04A555" w:rsidP="00C76B85">
      <w:pPr>
        <w:spacing w:before="120" w:after="120" w:line="240" w:lineRule="auto"/>
        <w:jc w:val="both"/>
        <w:rPr>
          <w:rFonts w:ascii="Times New Roman" w:hAnsi="Times New Roman" w:cs="Times New Roman"/>
          <w:b/>
          <w:bCs/>
          <w:noProof/>
          <w:sz w:val="24"/>
          <w:szCs w:val="24"/>
        </w:rPr>
      </w:pPr>
      <w:r>
        <w:rPr>
          <w:rFonts w:ascii="Times New Roman" w:hAnsi="Times New Roman"/>
          <w:noProof/>
          <w:sz w:val="24"/>
        </w:rPr>
        <w:t>Os serviços públicos são prestados e utilizados a diferentes níveis, sobretudo a nível local, mas também a nível regional, nacional e europeu. Raramente funcionam de forma isolada, uma vez que o acesso aos registos estabelecidos a diferentes níveis ou em diferentes setores é necessário para o intercâmbio de dados e a prestação do serviço requerido aos utilizadores finais. Muitos destes dados estão localizados fora do contexto de um determinado domínio de intervenção, de uma administração pública específica e, cada vez mais, além fronteiras. Isto significa que os serviços públicos em toda a Europa representam uma «rede de redes» emergente de intervenientes essencialmente soberanos a todos os níveis da administração pública, cada um com o seu próprio quadro jurídico e os seus próprios mandatos, mas todos interligados. Por analogia com as redes transeuropeias de transportes e de energia estabelecidas</w:t>
      </w:r>
      <w:r>
        <w:rPr>
          <w:rStyle w:val="FootnoteReference"/>
          <w:rFonts w:ascii="Times New Roman" w:hAnsi="Times New Roman" w:cs="Times New Roman"/>
          <w:noProof/>
          <w:sz w:val="24"/>
          <w:szCs w:val="24"/>
        </w:rPr>
        <w:footnoteReference w:id="11"/>
      </w:r>
      <w:r>
        <w:rPr>
          <w:rFonts w:ascii="Times New Roman" w:hAnsi="Times New Roman"/>
          <w:noProof/>
          <w:sz w:val="24"/>
        </w:rPr>
        <w:t>, os serviços públicos formam a sua própria rede transeuropeia, assente na interoperabilidade.</w:t>
      </w:r>
    </w:p>
    <w:p w:rsidR="00157FCA" w:rsidRPr="00D80B3F" w:rsidRDefault="00B45677"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 interoperabilidade é, por vezes, considerada uma questão puramente técnica. No entanto, considerar os aspetos técnicos por si só não é suficiente para ligar eficazmente as administrações, os fluxos de dados e os serviços. É necessário assegurar a capacidade de ligação </w:t>
      </w:r>
      <w:r>
        <w:rPr>
          <w:rFonts w:ascii="Times New Roman" w:hAnsi="Times New Roman"/>
          <w:i/>
          <w:noProof/>
          <w:sz w:val="24"/>
        </w:rPr>
        <w:t>técnica</w:t>
      </w:r>
      <w:r>
        <w:rPr>
          <w:rFonts w:ascii="Times New Roman" w:hAnsi="Times New Roman"/>
          <w:noProof/>
          <w:sz w:val="24"/>
        </w:rPr>
        <w:t xml:space="preserve"> e a compreensão </w:t>
      </w:r>
      <w:r>
        <w:rPr>
          <w:rFonts w:ascii="Times New Roman" w:hAnsi="Times New Roman"/>
          <w:i/>
          <w:noProof/>
          <w:sz w:val="24"/>
        </w:rPr>
        <w:t>semântica</w:t>
      </w:r>
      <w:r>
        <w:rPr>
          <w:rFonts w:ascii="Times New Roman" w:hAnsi="Times New Roman"/>
          <w:noProof/>
          <w:sz w:val="24"/>
        </w:rPr>
        <w:t xml:space="preserve"> para o intercâmbio e o tratamento dos dados em causa, bem como estabelecer o contexto </w:t>
      </w:r>
      <w:r>
        <w:rPr>
          <w:rFonts w:ascii="Times New Roman" w:hAnsi="Times New Roman"/>
          <w:i/>
          <w:noProof/>
          <w:sz w:val="24"/>
        </w:rPr>
        <w:t>organizacional</w:t>
      </w:r>
      <w:r>
        <w:rPr>
          <w:rFonts w:ascii="Times New Roman" w:hAnsi="Times New Roman"/>
          <w:noProof/>
          <w:sz w:val="24"/>
        </w:rPr>
        <w:t xml:space="preserve"> e </w:t>
      </w:r>
      <w:r>
        <w:rPr>
          <w:rFonts w:ascii="Times New Roman" w:hAnsi="Times New Roman"/>
          <w:i/>
          <w:noProof/>
          <w:sz w:val="24"/>
        </w:rPr>
        <w:t>jurídico</w:t>
      </w:r>
      <w:r>
        <w:rPr>
          <w:rFonts w:ascii="Times New Roman" w:hAnsi="Times New Roman"/>
          <w:noProof/>
          <w:sz w:val="24"/>
        </w:rPr>
        <w:t xml:space="preserve"> necessário, por exemplo em relação aos direitos de acesso, intercâmbio ou reutilização de dados. Para assegurar a coordenação e a coerência, a interoperabilidade exige igualmente uma abordagem de </w:t>
      </w:r>
      <w:r>
        <w:rPr>
          <w:rFonts w:ascii="Times New Roman" w:hAnsi="Times New Roman"/>
          <w:i/>
          <w:noProof/>
          <w:sz w:val="24"/>
        </w:rPr>
        <w:t>governação integrada</w:t>
      </w:r>
      <w:r>
        <w:rPr>
          <w:rFonts w:ascii="Times New Roman" w:hAnsi="Times New Roman"/>
          <w:noProof/>
          <w:sz w:val="24"/>
        </w:rPr>
        <w:t>. Estas condições básicas – ou «níveis» – de interoperabilidade são definidas no Quadro Europeu de Interoperabilidade (QEI), um modelo conceptual desenvolvido por profissionais do setor público digital de toda a Europa em 2004 e atualizado duas vezes desde então</w:t>
      </w:r>
      <w:r>
        <w:rPr>
          <w:rStyle w:val="FootnoteReference"/>
          <w:rFonts w:ascii="Times New Roman" w:hAnsi="Times New Roman" w:cs="Times New Roman"/>
          <w:noProof/>
          <w:sz w:val="24"/>
          <w:szCs w:val="24"/>
        </w:rPr>
        <w:footnoteReference w:id="12"/>
      </w:r>
      <w:r>
        <w:rPr>
          <w:rFonts w:ascii="Times New Roman" w:hAnsi="Times New Roman"/>
          <w:noProof/>
          <w:sz w:val="24"/>
        </w:rPr>
        <w:t>. Durante este período, em sintonia com um mundo cada vez mais conectado, a interoperabilidade tornou-se um aspeto essencial da transformação digital das administrações e dos serviços.</w:t>
      </w:r>
    </w:p>
    <w:p w:rsidR="00C6344E" w:rsidRPr="00D80B3F" w:rsidRDefault="00CF1810"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O QEI é atualmente </w:t>
      </w:r>
      <w:r>
        <w:rPr>
          <w:rFonts w:ascii="Times New Roman" w:hAnsi="Times New Roman"/>
          <w:i/>
          <w:noProof/>
          <w:sz w:val="24"/>
        </w:rPr>
        <w:t>o</w:t>
      </w:r>
      <w:r>
        <w:rPr>
          <w:rFonts w:ascii="Times New Roman" w:hAnsi="Times New Roman"/>
          <w:noProof/>
          <w:sz w:val="24"/>
        </w:rPr>
        <w:t xml:space="preserve"> quadro estratégico comummente aceite para a interoperabilidade dentro e fora da UE</w:t>
      </w:r>
      <w:r>
        <w:rPr>
          <w:rStyle w:val="FootnoteReference"/>
          <w:rFonts w:ascii="Times New Roman" w:hAnsi="Times New Roman" w:cs="Times New Roman"/>
          <w:noProof/>
          <w:sz w:val="24"/>
          <w:szCs w:val="24"/>
        </w:rPr>
        <w:footnoteReference w:id="13"/>
      </w:r>
      <w:r>
        <w:rPr>
          <w:rFonts w:ascii="Times New Roman" w:hAnsi="Times New Roman"/>
          <w:noProof/>
          <w:sz w:val="24"/>
        </w:rPr>
        <w:t>. Dada a sua missão específica de servir a causa pública comum, esta base de interoperabilidade tem de ser transparente, inclusiva, justa e segura, e firmemente baseada nos valores da UE. A interoperabilidade é o que permite que os intervenientes do setor público se liguem, cooperem e troquem dados, salvaguardando simultaneamente a soberania e a subsidiariedade</w:t>
      </w:r>
      <w:r>
        <w:rPr>
          <w:rStyle w:val="FootnoteReference"/>
          <w:rFonts w:ascii="Times New Roman" w:hAnsi="Times New Roman" w:cs="Times New Roman"/>
          <w:noProof/>
          <w:sz w:val="24"/>
          <w:szCs w:val="24"/>
        </w:rPr>
        <w:footnoteReference w:id="14"/>
      </w:r>
      <w:r>
        <w:rPr>
          <w:rFonts w:ascii="Times New Roman" w:hAnsi="Times New Roman"/>
          <w:noProof/>
          <w:sz w:val="24"/>
        </w:rPr>
        <w:t>.</w:t>
      </w:r>
    </w:p>
    <w:p w:rsidR="006B280A" w:rsidRPr="00D80B3F" w:rsidRDefault="00DE7ED7" w:rsidP="00DA4ABC">
      <w:pPr>
        <w:pStyle w:val="Heading2"/>
        <w:rPr>
          <w:noProof/>
        </w:rPr>
      </w:pPr>
      <w:bookmarkStart w:id="5" w:name="_Toc119413033"/>
      <w:r>
        <w:rPr>
          <w:noProof/>
        </w:rPr>
        <w:t>... e por que razão é importante para a UE melhorar a interoperabilidade?</w:t>
      </w:r>
      <w:bookmarkEnd w:id="5"/>
    </w:p>
    <w:p w:rsidR="001C7DFF" w:rsidRPr="00D80B3F" w:rsidRDefault="000C6C12" w:rsidP="00C76B85">
      <w:pPr>
        <w:spacing w:before="120" w:after="120" w:line="240" w:lineRule="auto"/>
        <w:jc w:val="both"/>
        <w:rPr>
          <w:rFonts w:ascii="Times New Roman" w:eastAsia="Times New Roman" w:hAnsi="Times New Roman" w:cs="Times New Roman"/>
          <w:noProof/>
          <w:color w:val="242424"/>
          <w:sz w:val="24"/>
          <w:szCs w:val="24"/>
        </w:rPr>
      </w:pPr>
      <w:r>
        <w:rPr>
          <w:rFonts w:ascii="Times New Roman" w:hAnsi="Times New Roman"/>
          <w:noProof/>
          <w:color w:val="242424"/>
          <w:sz w:val="24"/>
        </w:rPr>
        <w:t>A melhoria do desempenho do setor público graças à plena implementação da interoperabilidade a todos os níveis da administração poderá conduzir a um aumento estimado de 0,4 % do PIB da UE. As pessoas poderiam poupar até 24 milhões de horas por ano, ou 543 milhões de EUR. As empresas poderiam poupar 30 mil milhões de horas ou 568 mil milhões de EUR por ano</w:t>
      </w:r>
      <w:r>
        <w:rPr>
          <w:rStyle w:val="FootnoteReference"/>
          <w:rFonts w:ascii="Times New Roman" w:eastAsia="Times New Roman" w:hAnsi="Times New Roman" w:cs="Times New Roman"/>
          <w:noProof/>
          <w:color w:val="242424"/>
          <w:sz w:val="24"/>
          <w:szCs w:val="24"/>
        </w:rPr>
        <w:footnoteReference w:id="15"/>
      </w:r>
      <w:r>
        <w:rPr>
          <w:rFonts w:ascii="Times New Roman" w:hAnsi="Times New Roman"/>
          <w:noProof/>
          <w:color w:val="242424"/>
          <w:sz w:val="24"/>
        </w:rPr>
        <w:t xml:space="preserve">. As poupanças de custos anuais estimadas atribuídas à interoperabilidade transfronteiras variam entre 5,5 e 6,3 milhões de EUR para os cidadãos e entre 5,7 e 19,2 mil milhões de EUR para as empresas. </w:t>
      </w:r>
    </w:p>
    <w:p w:rsidR="00F24ADB" w:rsidRPr="00D80B3F" w:rsidRDefault="00F24ADB"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Um conjunto de estudos de casos mostra igualmente que a interoperabilidade tem um efeito positivo noutros valores públicos, para além dos ganhos de eficiência</w:t>
      </w:r>
      <w:r>
        <w:rPr>
          <w:rStyle w:val="FootnoteReference"/>
          <w:rFonts w:ascii="Times New Roman" w:hAnsi="Times New Roman" w:cs="Times New Roman"/>
          <w:noProof/>
          <w:sz w:val="24"/>
          <w:szCs w:val="24"/>
        </w:rPr>
        <w:footnoteReference w:id="16"/>
      </w:r>
      <w:r>
        <w:rPr>
          <w:rFonts w:ascii="Times New Roman" w:hAnsi="Times New Roman"/>
          <w:noProof/>
          <w:sz w:val="24"/>
        </w:rPr>
        <w:t>. Por exemplo, serviços públicos pró-ativos ou o apoio semântico multilingue melhoram o acesso aos serviços públicos e a inclusão dos mesmos, aumentando a confiança do público</w:t>
      </w:r>
      <w:r>
        <w:rPr>
          <w:rStyle w:val="FootnoteReference"/>
          <w:rFonts w:ascii="Times New Roman" w:hAnsi="Times New Roman" w:cs="Times New Roman"/>
          <w:noProof/>
          <w:sz w:val="24"/>
          <w:szCs w:val="24"/>
        </w:rPr>
        <w:footnoteReference w:id="17"/>
      </w:r>
      <w:r>
        <w:rPr>
          <w:rFonts w:ascii="Times New Roman" w:hAnsi="Times New Roman"/>
          <w:noProof/>
          <w:sz w:val="24"/>
        </w:rPr>
        <w:t>.</w:t>
      </w:r>
    </w:p>
    <w:p w:rsidR="000C6C12" w:rsidRPr="00D80B3F" w:rsidRDefault="3D9DBA1A" w:rsidP="00C76B85">
      <w:pPr>
        <w:spacing w:before="120" w:after="120" w:line="240" w:lineRule="auto"/>
        <w:jc w:val="both"/>
        <w:rPr>
          <w:rFonts w:ascii="Times New Roman" w:eastAsia="Times New Roman" w:hAnsi="Times New Roman" w:cs="Times New Roman"/>
          <w:noProof/>
          <w:color w:val="242424"/>
          <w:sz w:val="24"/>
          <w:szCs w:val="24"/>
        </w:rPr>
      </w:pPr>
      <w:r>
        <w:rPr>
          <w:rFonts w:ascii="Times New Roman" w:hAnsi="Times New Roman"/>
          <w:noProof/>
          <w:sz w:val="24"/>
        </w:rPr>
        <w:t>A interoperabilidade é vital em tempos de crise, como demonstrou a COVID-19. A interoperabilidade foi necessária não só para a criação de certificados digitais COVID-19 acessíveis em toda a UE, mas também para a partilha em tempo real de dados sobre camas disponíveis em cuidados intensivos nos hospitais</w:t>
      </w:r>
      <w:r>
        <w:rPr>
          <w:rStyle w:val="FootnoteReference"/>
          <w:rFonts w:ascii="Times New Roman" w:eastAsia="Times New Roman" w:hAnsi="Times New Roman" w:cs="Times New Roman"/>
          <w:noProof/>
          <w:sz w:val="24"/>
          <w:szCs w:val="24"/>
          <w:lang w:eastAsia="fr-BE"/>
        </w:rPr>
        <w:footnoteReference w:id="18"/>
      </w:r>
      <w:r>
        <w:rPr>
          <w:rFonts w:ascii="Times New Roman" w:hAnsi="Times New Roman"/>
          <w:noProof/>
          <w:sz w:val="24"/>
        </w:rPr>
        <w:t>.</w:t>
      </w:r>
      <w:r>
        <w:rPr>
          <w:rFonts w:ascii="Times New Roman" w:hAnsi="Times New Roman"/>
          <w:noProof/>
          <w:color w:val="242424"/>
          <w:sz w:val="24"/>
        </w:rPr>
        <w:t xml:space="preserve"> A interoperabilidade ajuda o Estado a ser mais ágil e a garantir o acesso a informações em tempo real em todos os setores e níveis administrativos; ajuda a avaliar o desempenho das políticas e dá incentivos para inovar constantemente, partilhar esforços e colmatar lacunas em todos os domínios de intervenção.</w:t>
      </w:r>
    </w:p>
    <w:p w:rsidR="00347EAD" w:rsidRPr="00D80B3F" w:rsidRDefault="00B02ED1"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No entanto, o atual quadro estratégico de cooperação não vinculativa em matéria de interoperabilidade não é adequado para tirar o máximo partido destes ganhos estimados. Embora os peritos em administração pública digital e em dados tenham desenvolvido – com um empenho notável – um vasto acervo comum da UE</w:t>
      </w:r>
      <w:r>
        <w:rPr>
          <w:rStyle w:val="FootnoteReference"/>
          <w:rFonts w:ascii="Times New Roman" w:hAnsi="Times New Roman" w:cs="Times New Roman"/>
          <w:noProof/>
          <w:sz w:val="24"/>
          <w:szCs w:val="24"/>
        </w:rPr>
        <w:footnoteReference w:id="19"/>
      </w:r>
      <w:r>
        <w:rPr>
          <w:rFonts w:ascii="Times New Roman" w:hAnsi="Times New Roman"/>
          <w:noProof/>
          <w:sz w:val="24"/>
        </w:rPr>
        <w:t xml:space="preserve"> sobre a interoperabilidade de práticas de cooperação, conceitos, soluções reutilizáveis, especificações e ferramentas abertas que apoiam os esforços nacionais de reforma</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e as políticas da UE estabelecidas</w:t>
      </w:r>
      <w:r>
        <w:rPr>
          <w:rStyle w:val="FootnoteReference"/>
          <w:rFonts w:ascii="Times New Roman" w:hAnsi="Times New Roman" w:cs="Times New Roman"/>
          <w:noProof/>
          <w:sz w:val="24"/>
          <w:szCs w:val="24"/>
        </w:rPr>
        <w:footnoteReference w:id="21"/>
      </w:r>
      <w:r>
        <w:rPr>
          <w:rFonts w:ascii="Times New Roman" w:hAnsi="Times New Roman"/>
          <w:noProof/>
          <w:sz w:val="24"/>
        </w:rPr>
        <w:t>, as avaliações recentes revelaram grandes limitações desta abordagem inteiramente voluntária à cooperação.</w:t>
      </w:r>
    </w:p>
    <w:p w:rsidR="00B67BAD" w:rsidRPr="00D80B3F" w:rsidRDefault="000C6C12" w:rsidP="00C76B85">
      <w:pPr>
        <w:spacing w:before="120" w:after="120" w:line="240" w:lineRule="auto"/>
        <w:jc w:val="both"/>
        <w:rPr>
          <w:rFonts w:ascii="Times New Roman" w:hAnsi="Times New Roman" w:cs="Times New Roman"/>
          <w:b/>
          <w:bCs/>
          <w:noProof/>
          <w:sz w:val="24"/>
          <w:szCs w:val="24"/>
        </w:rPr>
      </w:pPr>
      <w:r>
        <w:rPr>
          <w:rFonts w:ascii="Times New Roman" w:hAnsi="Times New Roman"/>
          <w:noProof/>
          <w:sz w:val="24"/>
        </w:rPr>
        <w:t>Os aspetos digitais, incluindo os aspetos relativos ao acesso e à partilha de dados, são muitas vezes abordados demasiado tarde no processo de elaboração de políticas. As considerações relativas à interoperabilidade não são «integradas» nos serviços públicos. Tal implica riscos e custos de execução elevados, oportunidades perdidas e, no pior dos casos, um enfraquecimento das políticas de grande escala dependentes da digitalização</w:t>
      </w:r>
      <w:r>
        <w:rPr>
          <w:rStyle w:val="FootnoteReference"/>
          <w:rFonts w:ascii="Times New Roman" w:hAnsi="Times New Roman" w:cs="Times New Roman"/>
          <w:noProof/>
          <w:sz w:val="24"/>
          <w:szCs w:val="24"/>
        </w:rPr>
        <w:footnoteReference w:id="22"/>
      </w:r>
      <w:r>
        <w:rPr>
          <w:rFonts w:ascii="Times New Roman" w:hAnsi="Times New Roman"/>
          <w:noProof/>
          <w:sz w:val="24"/>
        </w:rPr>
        <w:t>. As administrações públicas só podem ser interoperáveis se as avaliações e as escolhas adequadas forem feitas num estágio precoce da fase de conceção das políticas. A ausência de medidas para melhorar a interoperabilidade poderá levar a UE a perder a oportunidade de diminuir consideravelmente os encargos administrativos. Tal reduziria a resiliência das administrações públicas, limitaria a sua capacidade para inovar e, na pior das hipóteses, torná-las-ia incapazes de agir em tempos de crise</w:t>
      </w:r>
      <w:r>
        <w:rPr>
          <w:rStyle w:val="FootnoteReference"/>
          <w:rFonts w:ascii="Times New Roman" w:hAnsi="Times New Roman" w:cs="Times New Roman"/>
          <w:noProof/>
          <w:sz w:val="24"/>
          <w:szCs w:val="24"/>
        </w:rPr>
        <w:footnoteReference w:id="23"/>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A cooperação transfronteiriça das administrações públicas deve tornar-se tão natural e fluida como os comboios que atravessam as fronteiras ou os fluxos de energia entre redes nacionais. A resposta à COVID-19 só veio salientar a importância de uma interação estável do setor público digital a nível transfronteiriço e transetorial.</w:t>
      </w:r>
    </w:p>
    <w:p w:rsidR="00092FB7" w:rsidRPr="00D80B3F" w:rsidRDefault="00900D6E"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Neste contexto, e perante a dinâmica crescente da transformação digital, os ministros da UE responsáveis pela transformação do setor público e os diretores dos sistemas de informação dos Estados-Membros têm vindo a manifestar-se cada vez mais acerca da necessidade de reforçar a cooperação europeia em matéria de interoperabilidade. Apelam a uma estrutura organizacional estável, à generalização da aplicação do QEI, à designação de especificações e soluções comummente aceites, abertas e prontas para reutilização. Apelam igualmente a uma abordagem de «interoperabilidade desde a conceção» e a uma melhor coordenação da experimentação e da inovação no setor público, incluindo a cooperação com o setor privado (abordagem «GovTech</w:t>
      </w:r>
      <w:r>
        <w:rPr>
          <w:rStyle w:val="FootnoteReference"/>
          <w:rFonts w:ascii="Times New Roman" w:hAnsi="Times New Roman" w:cs="Times New Roman"/>
          <w:noProof/>
          <w:sz w:val="24"/>
          <w:szCs w:val="24"/>
        </w:rPr>
        <w:footnoteReference w:id="24"/>
      </w:r>
      <w:r>
        <w:rPr>
          <w:rFonts w:ascii="Times New Roman" w:hAnsi="Times New Roman"/>
          <w:noProof/>
          <w:sz w:val="24"/>
        </w:rPr>
        <w:t>»). A proposta da Comissão para reforçar a política de interoperabilidade do setor público da UE responde a estas necessidades.</w:t>
      </w:r>
    </w:p>
    <w:p w:rsidR="00467CCC" w:rsidRPr="00D80B3F" w:rsidRDefault="00467CCC" w:rsidP="00DA4ABC">
      <w:pPr>
        <w:pStyle w:val="Heading1"/>
        <w:rPr>
          <w:rFonts w:hint="eastAsia"/>
          <w:noProof/>
        </w:rPr>
      </w:pPr>
      <w:bookmarkStart w:id="6" w:name="_Toc119413034"/>
      <w:r>
        <w:rPr>
          <w:noProof/>
        </w:rPr>
        <w:t>Mudar a velocidade da cooperação da UE em matéria de interoperabilidade</w:t>
      </w:r>
      <w:bookmarkEnd w:id="6"/>
    </w:p>
    <w:p w:rsidR="00A2054D" w:rsidRPr="00D80B3F" w:rsidRDefault="00307471" w:rsidP="00DA4ABC">
      <w:pPr>
        <w:pStyle w:val="Heading2"/>
        <w:rPr>
          <w:noProof/>
        </w:rPr>
      </w:pPr>
      <w:bookmarkStart w:id="7" w:name="_Toc119413035"/>
      <w:r>
        <w:rPr>
          <w:noProof/>
        </w:rPr>
        <w:t>Construir uma governação partilhada da interoperabilidade</w:t>
      </w:r>
      <w:bookmarkEnd w:id="7"/>
    </w:p>
    <w:p w:rsidR="00AD5CE3" w:rsidRPr="00D80B3F" w:rsidRDefault="0FC8764E"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proposta de Regulamento Europa Interoperável centra-se na criação de um quadro de cooperação estruturado, transparente e inclusivo, que preveja a capacidade de adaptação e inovação de que o setor público necessita num contexto técnico, social e político dinâmico. A interoperabilidade não pode ser alcançada do topo para a base por uma única entidade, nem pode ser alcançada da base para o topo por intervenientes individuais: exige uma cooperação eficaz entre os decisores políticos e os responsáveis pela execução de políticas em todos os níveis da administração pública e em todos os setores. Exige igualmente um quadro de governação aberto, mas estável e integrado, que garanta a subsidiariedade através do estabelecimento de uma copropriedade efetiva, seja sustentável no futuro, uma vez que algo concebido para ser interoperável se torna obsoleto menos rapidamente, e concretize o potencial de transformação do setor público, salvaguardando os valores públicos. A proposta de Regulamento Europa Interoperável procura proporcionar este quadro de cooperação. Prevê a criação de um Comité Europa Interoperável para orientar o esforço comum de interoperabilidade, reunindo as autoridades centrais dos Estados-Membros responsáveis pela transformação digital e as instituições da UE. Prevê igualmente uma Comunidade Europa Interoperável aberta de peritos, profissionais e partes interessadas, a fim de garantir a transparência e a ligação às práticas no terreno.</w:t>
      </w:r>
    </w:p>
    <w:p w:rsidR="00A2054D" w:rsidRPr="00D80B3F" w:rsidRDefault="00855041"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interoperabilidade é um alvo em movimento devido ao ritmo acelerado do desenvolvimento tecnológico e às necessidades políticas em constante evolução. Exige uma estrutura jurídica específica, favorável à inovação e aberta, que evite bloqueios regulamentares e tecnológicos. Outras opções, como a consagração das tecnologias atualmente utilizadas na legislação, poderiam comprometer a inovação futura e limitar a capacidade de adaptação das administrações à evolução das necessidades e às novas tecnologias. A elaboração de políticas e a regulamentação em matéria de interoperabilidade devem, por si só, ser inovadoras e preparadas para o digital</w:t>
      </w:r>
      <w:r>
        <w:rPr>
          <w:rStyle w:val="FootnoteReference"/>
          <w:rFonts w:ascii="Times New Roman" w:hAnsi="Times New Roman" w:cs="Times New Roman"/>
          <w:noProof/>
          <w:sz w:val="24"/>
          <w:szCs w:val="24"/>
        </w:rPr>
        <w:footnoteReference w:id="25"/>
      </w:r>
      <w:r>
        <w:rPr>
          <w:rFonts w:ascii="Times New Roman" w:hAnsi="Times New Roman"/>
          <w:noProof/>
          <w:sz w:val="24"/>
        </w:rPr>
        <w:t>. A proposta de Regulamento Europa Interoperável visa proporcionar esse quadro de inovação integrado para o setor público.</w:t>
      </w:r>
    </w:p>
    <w:p w:rsidR="00833C6E" w:rsidRPr="00D80B3F" w:rsidRDefault="473CF7A2"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O QEI é o instrumento de referência para a implementação da interoperabilidade do setor público. A fim de assegurar a sua pertinência, é necessário revê-lo e atualizá-lo regularmente. Necessita igualmente de um maior desenvolvimento de recomendações de execução e de apoio</w:t>
      </w:r>
      <w:r>
        <w:rPr>
          <w:rStyle w:val="FootnoteReference"/>
          <w:rFonts w:ascii="Times New Roman" w:hAnsi="Times New Roman" w:cs="Times New Roman"/>
          <w:noProof/>
          <w:sz w:val="24"/>
          <w:szCs w:val="24"/>
        </w:rPr>
        <w:footnoteReference w:id="26"/>
      </w:r>
      <w:r>
        <w:rPr>
          <w:rFonts w:ascii="Times New Roman" w:hAnsi="Times New Roman"/>
          <w:noProof/>
          <w:sz w:val="24"/>
        </w:rPr>
        <w:t>, por exemplo, para apoiar os futuros espaços de dados setoriais da UE</w:t>
      </w:r>
      <w:r>
        <w:rPr>
          <w:rStyle w:val="FootnoteReference"/>
          <w:rFonts w:ascii="Times New Roman" w:hAnsi="Times New Roman" w:cs="Times New Roman"/>
          <w:noProof/>
          <w:sz w:val="24"/>
          <w:szCs w:val="24"/>
        </w:rPr>
        <w:footnoteReference w:id="27"/>
      </w:r>
      <w:r>
        <w:rPr>
          <w:rFonts w:ascii="Times New Roman" w:hAnsi="Times New Roman"/>
          <w:noProof/>
          <w:sz w:val="24"/>
        </w:rPr>
        <w:t>, em estreita coordenação com o Comité Europeu da Inovação de Dados e os requisitos do futuro Regulamento Dados</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A proposta de Regulamento Europa Interoperável prevê essa atualização regular, em consonância com uma regulamentação favorável à inovação e preparada para o digital. </w:t>
      </w:r>
    </w:p>
    <w:p w:rsidR="00CB4D95" w:rsidRPr="00D80B3F" w:rsidRDefault="00A53F05" w:rsidP="00DA4ABC">
      <w:pPr>
        <w:pStyle w:val="Heading2"/>
        <w:rPr>
          <w:noProof/>
        </w:rPr>
      </w:pPr>
      <w:bookmarkStart w:id="8" w:name="_Toc119413036"/>
      <w:r>
        <w:rPr>
          <w:noProof/>
        </w:rPr>
        <w:t>Envolver todos os níveis da administração pública</w:t>
      </w:r>
      <w:bookmarkEnd w:id="8"/>
    </w:p>
    <w:p w:rsidR="00CB4D95" w:rsidRPr="00D80B3F" w:rsidRDefault="00CB4D95"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Uma governação da interoperabilidade da UE reforçada, sob o controlo comum dos Estados-Membros e da UE, proporciona um quadro estratégico e de apoio indispensável à consecução dos objetivos de reforma do setor público da UE</w:t>
      </w:r>
      <w:r>
        <w:rPr>
          <w:rStyle w:val="FootnoteReference"/>
          <w:rFonts w:ascii="Times New Roman" w:hAnsi="Times New Roman" w:cs="Times New Roman"/>
          <w:noProof/>
          <w:sz w:val="24"/>
          <w:szCs w:val="24"/>
        </w:rPr>
        <w:footnoteReference w:id="29"/>
      </w:r>
      <w:r>
        <w:rPr>
          <w:rFonts w:ascii="Times New Roman" w:hAnsi="Times New Roman"/>
          <w:noProof/>
          <w:sz w:val="24"/>
        </w:rPr>
        <w:t>. Este esforço deve ser coletivo, abrangendo todos os níveis da administração pública, a fim de manter e atualizar o rico acervo sobre a interoperabilidade de conceitos, orientações, especificações e ativos reutilizáveis.</w:t>
      </w:r>
    </w:p>
    <w:p w:rsidR="00CB4D95" w:rsidRPr="00D80B3F" w:rsidRDefault="00CB4D95"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participação e a representação adequadas das comunidades regionais e locais são um pré-requisito, não só porque estas constituem o «primeiro e último quilómetro» da prestação de serviços públicos, mas também para poder tirar partido da considerável capacidade de inovação das cidades e das regiões</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Neste contexto, a inovação público-privada e a cooperação no domínio dos serviços desempenham um papel importante. Movimentos como </w:t>
      </w:r>
      <w:r>
        <w:rPr>
          <w:rFonts w:ascii="Times New Roman" w:hAnsi="Times New Roman"/>
          <w:i/>
          <w:noProof/>
          <w:sz w:val="24"/>
        </w:rPr>
        <w:t>Living-in-EU</w:t>
      </w:r>
      <w:r>
        <w:rPr>
          <w:rFonts w:ascii="Times New Roman" w:hAnsi="Times New Roman"/>
          <w:noProof/>
          <w:sz w:val="24"/>
        </w:rPr>
        <w:t xml:space="preserve"> (Viver na UE), bem como a cooperação alargada no quadro de projetos como a rede </w:t>
      </w:r>
      <w:r>
        <w:rPr>
          <w:rFonts w:ascii="Times New Roman" w:hAnsi="Times New Roman"/>
          <w:i/>
          <w:noProof/>
          <w:sz w:val="24"/>
        </w:rPr>
        <w:t>Open and Agile Smart Cities</w:t>
      </w:r>
      <w:r>
        <w:rPr>
          <w:rFonts w:ascii="Times New Roman" w:hAnsi="Times New Roman"/>
          <w:noProof/>
          <w:sz w:val="24"/>
        </w:rPr>
        <w:t xml:space="preserve"> (Cidades Inteligentes Abertas e Ágeis)</w:t>
      </w:r>
      <w:r>
        <w:rPr>
          <w:rStyle w:val="FootnoteReference"/>
          <w:rFonts w:ascii="Times New Roman" w:hAnsi="Times New Roman" w:cs="Times New Roman"/>
          <w:noProof/>
          <w:sz w:val="24"/>
          <w:szCs w:val="24"/>
        </w:rPr>
        <w:footnoteReference w:id="31"/>
      </w:r>
      <w:r>
        <w:rPr>
          <w:rFonts w:ascii="Times New Roman" w:hAnsi="Times New Roman"/>
          <w:noProof/>
          <w:sz w:val="24"/>
        </w:rPr>
        <w:t>, mostram que existe uma forte procura de cooperação em torno da interoperabilidade e uma forte vontade de participar aos níveis regional e local. A variedade e os conhecimentos especializados das soluções de interoperabilidade desenvolvidas a nível local constituem um ativo importante e devem contribuir sistematicamente para catálogos de recursos de interoperabilidade reconhecidos e correntemente disponíveis. É por esta razão que a futura governação da interoperabilidade da UE proposta deve incluir representantes dos órgãos de poder local e regional das zonas rurais e urbanas e de grupos sociais no futuro Comité Europa Interoperável e que peritos de todos os níveis da administração pública são ativamente incentivados a contribuir para os trabalhos da futura Comunidade Europa Interoperável.</w:t>
      </w:r>
    </w:p>
    <w:p w:rsidR="00CB4D95" w:rsidRPr="00D80B3F" w:rsidRDefault="0065740C"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Para atender especificamente às condições locais e regionais, a Comissão, em estreita cooperação com as partes interessadas públicas e privadas, desenvolveu </w:t>
      </w:r>
      <w:bookmarkStart w:id="9" w:name="_Hlk108448799"/>
      <w:r>
        <w:rPr>
          <w:rFonts w:ascii="Times New Roman" w:hAnsi="Times New Roman"/>
          <w:noProof/>
          <w:sz w:val="24"/>
        </w:rPr>
        <w:t>um «Quadro Europeu de Interoperabilidade para as Cidades e Comunidades Inteligentes» (EIF4SCC)</w:t>
      </w:r>
      <w:bookmarkEnd w:id="9"/>
      <w:r>
        <w:rPr>
          <w:rFonts w:ascii="Times New Roman" w:hAnsi="Times New Roman"/>
          <w:noProof/>
          <w:sz w:val="24"/>
        </w:rPr>
        <w:t xml:space="preserve"> plenamente alinhado com o QEI. Na sequência de um amplo debate e consulta públicos, esta especialização do QEI é apresentada no documento de trabalho dos serviços da Comissão que acompanha a presente comunicação</w:t>
      </w:r>
      <w:r>
        <w:rPr>
          <w:rStyle w:val="FootnoteReference"/>
          <w:rFonts w:ascii="Times New Roman" w:hAnsi="Times New Roman" w:cs="Times New Roman"/>
          <w:noProof/>
          <w:sz w:val="24"/>
          <w:szCs w:val="24"/>
        </w:rPr>
        <w:footnoteReference w:id="32"/>
      </w:r>
      <w:r>
        <w:rPr>
          <w:rFonts w:ascii="Times New Roman" w:hAnsi="Times New Roman"/>
          <w:noProof/>
          <w:sz w:val="24"/>
        </w:rPr>
        <w:t>. A Comissão incentiva peritos e profissionais de outros domínios de intervenção a seguirem este exemplo de adaptação do QEI a casos de utilização específicos e/ou setoriais. A futura governação da interoperabilidade terá a tarefa de avaliar o alinhamento dos quadros de interoperabilidade especializados com o QEI. Por exemplo, no passado, foi desenvolvida uma especialização do QEI para fins de saúde digital</w:t>
      </w:r>
      <w:r>
        <w:rPr>
          <w:rStyle w:val="FootnoteReference"/>
          <w:rFonts w:ascii="Times New Roman" w:hAnsi="Times New Roman" w:cs="Times New Roman"/>
          <w:noProof/>
          <w:sz w:val="24"/>
          <w:szCs w:val="24"/>
        </w:rPr>
        <w:footnoteReference w:id="33"/>
      </w:r>
      <w:r>
        <w:rPr>
          <w:rFonts w:ascii="Times New Roman" w:hAnsi="Times New Roman"/>
          <w:noProof/>
          <w:sz w:val="24"/>
        </w:rPr>
        <w:t>. Tradicionalmente, a interoperabilidade desempenha também um papel importante na política ambiental</w:t>
      </w:r>
      <w:r>
        <w:rPr>
          <w:rStyle w:val="FootnoteReference"/>
          <w:rFonts w:ascii="Times New Roman" w:hAnsi="Times New Roman" w:cs="Times New Roman"/>
          <w:noProof/>
          <w:sz w:val="24"/>
          <w:szCs w:val="24"/>
        </w:rPr>
        <w:footnoteReference w:id="34"/>
      </w:r>
      <w:r>
        <w:rPr>
          <w:rFonts w:ascii="Times New Roman" w:hAnsi="Times New Roman"/>
          <w:noProof/>
          <w:sz w:val="24"/>
        </w:rPr>
        <w:t>, na justiça e nos assuntos internos</w:t>
      </w:r>
      <w:r>
        <w:rPr>
          <w:rStyle w:val="FootnoteReference"/>
          <w:rFonts w:ascii="Times New Roman" w:hAnsi="Times New Roman" w:cs="Times New Roman"/>
          <w:noProof/>
          <w:sz w:val="24"/>
          <w:szCs w:val="24"/>
        </w:rPr>
        <w:footnoteReference w:id="35"/>
      </w:r>
      <w:r>
        <w:rPr>
          <w:rFonts w:ascii="Times New Roman" w:hAnsi="Times New Roman"/>
          <w:noProof/>
          <w:sz w:val="24"/>
        </w:rPr>
        <w:t xml:space="preserve"> ou nos transportes</w:t>
      </w:r>
      <w:r>
        <w:rPr>
          <w:rStyle w:val="FootnoteReference"/>
          <w:rFonts w:ascii="Times New Roman" w:hAnsi="Times New Roman" w:cs="Times New Roman"/>
          <w:noProof/>
          <w:sz w:val="24"/>
          <w:szCs w:val="24"/>
        </w:rPr>
        <w:footnoteReference w:id="36"/>
      </w:r>
      <w:r>
        <w:rPr>
          <w:rFonts w:ascii="Times New Roman" w:hAnsi="Times New Roman"/>
          <w:noProof/>
          <w:sz w:val="24"/>
        </w:rPr>
        <w:t>.</w:t>
      </w:r>
    </w:p>
    <w:p w:rsidR="00542452" w:rsidRPr="00D80B3F" w:rsidRDefault="00A00F2D" w:rsidP="00DA4ABC">
      <w:pPr>
        <w:pStyle w:val="Heading2"/>
        <w:rPr>
          <w:noProof/>
        </w:rPr>
      </w:pPr>
      <w:bookmarkStart w:id="10" w:name="_Toc119413037"/>
      <w:r>
        <w:rPr>
          <w:noProof/>
        </w:rPr>
        <w:t>Promover a inovação e a cooperação «GovTech»</w:t>
      </w:r>
      <w:bookmarkEnd w:id="10"/>
    </w:p>
    <w:p w:rsidR="00C675D2" w:rsidRPr="00D80B3F" w:rsidRDefault="3323E610"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Evitar ficar para trás na integração tecnológica é um desafio constante para o setor público. Embora frequentemente criticadas pela aversão ao risco tecnológico, as autoridades públicas, no seu papel único de servir a causa comum, têm de demonstrar um especial dever de diligência no que diz respeito à adoção de tecnologias e à sua utilização lícita, justa e fiável. No entanto, as novas tecnologias têm potencial para tornar os serviços públicos mais acessíveis, mais inclusivos e mais eficientes do que nunca. Garantir uma inovação digital contínua para o setor público é tão difícil quanto importante.</w:t>
      </w:r>
    </w:p>
    <w:p w:rsidR="002B1EAE" w:rsidRPr="00D80B3F" w:rsidRDefault="00D7544A"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Em toda a Europa, existem já várias centenas de atividades de ensaio e experimentação de tecnologias digitais no setor público; é essencial conhecer os benefícios e os riscos destas tecnologias. A Comissão está a criar um Observatório dos Serviços Públicos Inovadores</w:t>
      </w:r>
      <w:r>
        <w:rPr>
          <w:rStyle w:val="FootnoteReference"/>
          <w:rFonts w:ascii="Times New Roman" w:hAnsi="Times New Roman" w:cs="Times New Roman"/>
          <w:noProof/>
          <w:sz w:val="24"/>
          <w:szCs w:val="24"/>
        </w:rPr>
        <w:footnoteReference w:id="37"/>
      </w:r>
      <w:r>
        <w:rPr>
          <w:rFonts w:ascii="Times New Roman" w:hAnsi="Times New Roman"/>
          <w:noProof/>
          <w:sz w:val="24"/>
        </w:rPr>
        <w:t xml:space="preserve"> para analisar tendências e identificar boas e más práticas, contribuir para a adoção de tecnologias emergentes e assegurar a interoperabilidade desde a conceção. O observatório avaliará a forma como tecnologias como a inteligência artificial estão a transformar os processos do setor público e as estruturas de governação. Tal ajudará a UE, bem como as autoridades nacionais e locais, a tomar decisões informadas sobre a implementação de tecnologias emergentes.</w:t>
      </w:r>
    </w:p>
    <w:p w:rsidR="00EB7C50" w:rsidRPr="00D80B3F" w:rsidRDefault="70BAA94B"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Abundam na Europa ecossistemas regionais prósperos de pequenas empresas tecnológicas inovadoras e empresas em fase de arranque</w:t>
      </w:r>
      <w:r>
        <w:rPr>
          <w:rStyle w:val="FootnoteReference"/>
          <w:rFonts w:ascii="Times New Roman" w:hAnsi="Times New Roman" w:cs="Times New Roman"/>
          <w:noProof/>
          <w:sz w:val="24"/>
          <w:szCs w:val="24"/>
        </w:rPr>
        <w:footnoteReference w:id="38"/>
      </w:r>
      <w:r>
        <w:rPr>
          <w:rFonts w:ascii="Times New Roman" w:hAnsi="Times New Roman"/>
          <w:noProof/>
          <w:sz w:val="24"/>
        </w:rPr>
        <w:t>, apoiadas, entre outros, por uma rede de polos de inovação digital</w:t>
      </w:r>
      <w:r>
        <w:rPr>
          <w:rStyle w:val="FootnoteReference"/>
          <w:rFonts w:ascii="Times New Roman" w:hAnsi="Times New Roman" w:cs="Times New Roman"/>
          <w:noProof/>
          <w:sz w:val="24"/>
          <w:szCs w:val="24"/>
        </w:rPr>
        <w:footnoteReference w:id="39"/>
      </w:r>
      <w:r>
        <w:rPr>
          <w:rFonts w:ascii="Times New Roman" w:hAnsi="Times New Roman"/>
          <w:noProof/>
          <w:sz w:val="24"/>
        </w:rPr>
        <w:t xml:space="preserve"> e pelo Conselho Europeu da Inovação</w:t>
      </w:r>
      <w:r>
        <w:rPr>
          <w:rStyle w:val="FootnoteReference"/>
          <w:rFonts w:ascii="Times New Roman" w:hAnsi="Times New Roman" w:cs="Times New Roman"/>
          <w:noProof/>
          <w:sz w:val="24"/>
          <w:szCs w:val="24"/>
        </w:rPr>
        <w:footnoteReference w:id="40"/>
      </w:r>
      <w:r>
        <w:rPr>
          <w:rFonts w:ascii="Times New Roman" w:hAnsi="Times New Roman"/>
          <w:noProof/>
          <w:sz w:val="24"/>
        </w:rPr>
        <w:t>. Os recursos de interoperabilidade livremente disponíveis, reutilizáveis e reconhecidos são ativos importantes para que as pequenas empresas inovadoras e as iniciativas da sociedade civil possam colaborar com o setor público.</w:t>
      </w:r>
    </w:p>
    <w:p w:rsidR="00EB7C50" w:rsidRPr="00D80B3F" w:rsidRDefault="70BAA94B"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cooperação público-privada «GovTech» ou «CivicTech»</w:t>
      </w:r>
      <w:r>
        <w:rPr>
          <w:rStyle w:val="FootnoteReference"/>
          <w:rFonts w:ascii="Times New Roman" w:hAnsi="Times New Roman" w:cs="Times New Roman"/>
          <w:noProof/>
          <w:sz w:val="24"/>
          <w:szCs w:val="24"/>
        </w:rPr>
        <w:footnoteReference w:id="41"/>
      </w:r>
      <w:r>
        <w:rPr>
          <w:rFonts w:ascii="Times New Roman" w:hAnsi="Times New Roman"/>
          <w:noProof/>
          <w:sz w:val="24"/>
        </w:rPr>
        <w:t xml:space="preserve"> estimula a inovação no setor público, apoia a soberania tecnológica da Europa e abre vias para a contratação pública. Obter acesso a contratos públicos é uma preocupação central para as empresas de menor dimensão, pois permite-lhes expandir-se e obter reconhecimento e rendimentos de exploração estáveis</w:t>
      </w:r>
      <w:r>
        <w:rPr>
          <w:rStyle w:val="FootnoteReference"/>
          <w:rFonts w:ascii="Times New Roman" w:hAnsi="Times New Roman" w:cs="Times New Roman"/>
          <w:noProof/>
          <w:sz w:val="24"/>
          <w:szCs w:val="24"/>
        </w:rPr>
        <w:footnoteReference w:id="42"/>
      </w:r>
      <w:r>
        <w:rPr>
          <w:rFonts w:ascii="Times New Roman" w:hAnsi="Times New Roman"/>
          <w:noProof/>
          <w:sz w:val="24"/>
        </w:rPr>
        <w:t>. Apoiar a GovTech é uma vertente específica do Programa Europa Digital e da proposta de Regulamento Europa Interoperável, plenamente alinhada com o quadro de apoio à inovação da UE. A indústria terá uma ligação com o futuro Comité Europa Interoperável através do Comité Económico e Social Europeu e é convidada a aderir à futura Comunidade Europa Interoperável.</w:t>
      </w:r>
    </w:p>
    <w:p w:rsidR="002C0BF1" w:rsidRPr="00D80B3F" w:rsidRDefault="002C0BF1" w:rsidP="00DA4ABC">
      <w:pPr>
        <w:pStyle w:val="Heading2"/>
        <w:rPr>
          <w:noProof/>
        </w:rPr>
      </w:pPr>
      <w:bookmarkStart w:id="11" w:name="_Toc119413038"/>
      <w:r>
        <w:rPr>
          <w:noProof/>
        </w:rPr>
        <w:t>Monitorizar o impacto</w:t>
      </w:r>
      <w:bookmarkEnd w:id="11"/>
    </w:p>
    <w:p w:rsidR="002C0BF1" w:rsidRPr="00D80B3F" w:rsidRDefault="002C0BF1"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avaliação de impacto de uma futura política de interoperabilidade expôs as dificuldades de recolha de dados e de estimativa dos custos e benefícios da interoperabilidade como uma atividade que não é, por si só, o objetivo final, mas sim um importante instrumento de apoio à digitalização do setor público. No entanto, é útil medir a maturidade da interoperabilidade, a fim de orientar os investimentos e avaliar os progressos realizados. Existe uma multiplicidade de instrumentos de comunicação de informações e monitorização para a administração pública digital, dependendo do utilizador, setor ou incidência geográfica</w:t>
      </w:r>
      <w:r>
        <w:rPr>
          <w:rStyle w:val="FootnoteReference"/>
          <w:rFonts w:ascii="Times New Roman" w:hAnsi="Times New Roman" w:cs="Times New Roman"/>
          <w:noProof/>
          <w:sz w:val="24"/>
          <w:szCs w:val="24"/>
        </w:rPr>
        <w:footnoteReference w:id="43"/>
      </w:r>
      <w:r>
        <w:rPr>
          <w:rFonts w:ascii="Times New Roman" w:hAnsi="Times New Roman"/>
          <w:noProof/>
          <w:sz w:val="24"/>
        </w:rPr>
        <w:t>. Estes instrumentos nem sempre estão alinhados ou suficientemente interligados e os resultados raramente são apresentados num formato legível por máquina de fácil utilização. Podem também impor encargos consideráveis às administrações, como salientou o grupo de peritos da Comissão sobre a interoperabilidade dos serviços públicos</w:t>
      </w:r>
      <w:r>
        <w:rPr>
          <w:rStyle w:val="FootnoteReference"/>
          <w:rFonts w:ascii="Times New Roman" w:hAnsi="Times New Roman" w:cs="Times New Roman"/>
          <w:noProof/>
          <w:sz w:val="24"/>
          <w:szCs w:val="24"/>
        </w:rPr>
        <w:footnoteReference w:id="44"/>
      </w:r>
      <w:r>
        <w:rPr>
          <w:rFonts w:ascii="Times New Roman" w:hAnsi="Times New Roman"/>
          <w:noProof/>
          <w:sz w:val="24"/>
        </w:rPr>
        <w:t>.</w:t>
      </w:r>
    </w:p>
    <w:p w:rsidR="002C0BF1" w:rsidRDefault="073E5829"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Por estas razões, é importante desenvolver instrumentos de comunicação de informações e monitorização transparentes e reutilizáveis, preparados para o digital, a fim de ajudar a alcançar as metas da Década Digital. Os formatos de monitorização existentes devem ser integrados numa lógica de «declaração única», reutilizando, sempre que possível, dados e inquéritos e disponibilizando abertamente os resultados em formatos legíveis por máquina. Este é, por si só, um aspeto da elaboração de políticas preparadas para o digital, com ferramentas e conceitos reutilizáveis, integrados e transferíveis, em benefício dos profissionais e dos decisores políticos.</w:t>
      </w:r>
    </w:p>
    <w:p w:rsidR="00A3718A" w:rsidRPr="00A3718A" w:rsidRDefault="00A3718A" w:rsidP="00A3718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 proposta de Regulamento Europa Interoperável da Comissão:</w:t>
      </w:r>
    </w:p>
    <w:p w:rsidR="00A3718A" w:rsidRPr="00A3718A" w:rsidRDefault="00A3718A" w:rsidP="00A3718A">
      <w:pPr>
        <w:pStyle w:val="ListParagraph"/>
        <w:numPr>
          <w:ilvl w:val="0"/>
          <w:numId w:val="2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estabelece uma cooperação estruturada da UE em matéria de interoperabilidade e a copropriedade com os Estados-Membros do acervo da UE sobre interoperabilidade, através da criação do Comité Europa Interoperável, composto por profissionais da administração pública digital que representam os Estados-Membros; cria a Comunidade Europa Interoperável como um fórum aberto de profissionais e partes interessadas que prestam aconselhamento sobre a interoperabilidade e a inovação no setor público,</w:t>
      </w:r>
    </w:p>
    <w:p w:rsidR="00A3718A" w:rsidRPr="00A3718A" w:rsidRDefault="00A3718A" w:rsidP="00A3718A">
      <w:pPr>
        <w:pStyle w:val="ListParagraph"/>
        <w:numPr>
          <w:ilvl w:val="0"/>
          <w:numId w:val="2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encarrega o Comité Europa Interoperável de desenvolver o QEI e de assegurar a sua evolução futura,</w:t>
      </w:r>
    </w:p>
    <w:p w:rsidR="00A3718A" w:rsidRPr="00A3718A" w:rsidRDefault="00A3718A" w:rsidP="00A3718A">
      <w:pPr>
        <w:pStyle w:val="ListParagraph"/>
        <w:numPr>
          <w:ilvl w:val="0"/>
          <w:numId w:val="2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introduz, de forma proporcionada, uma avaliação obrigatória da interoperabilidade para qualquer alteração ou introdução de um sistema de informação ou componente de sistema de relevância transfronteiriça que permita a prestação ou gestão eletrónica de serviços públicos,</w:t>
      </w:r>
    </w:p>
    <w:p w:rsidR="00A3718A" w:rsidRPr="00A3718A" w:rsidRDefault="00A3718A" w:rsidP="00A3718A">
      <w:pPr>
        <w:pStyle w:val="ListParagraph"/>
        <w:numPr>
          <w:ilvl w:val="0"/>
          <w:numId w:val="2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introduz catálogos de ativos de interoperabilidade reconhecidos que podem ser reutilizados pelas administrações e na elaboração de políticas, tais como ferramentas, especificações ou soluções digitais, e</w:t>
      </w:r>
    </w:p>
    <w:p w:rsidR="00A3718A" w:rsidRPr="00A3718A" w:rsidRDefault="00A3718A" w:rsidP="00BC0AB5">
      <w:pPr>
        <w:pStyle w:val="ListParagraph"/>
        <w:numPr>
          <w:ilvl w:val="0"/>
          <w:numId w:val="21"/>
        </w:numPr>
        <w:pBdr>
          <w:top w:val="single" w:sz="4" w:space="1" w:color="auto"/>
          <w:left w:val="single" w:sz="4" w:space="4" w:color="auto"/>
          <w:bottom w:val="single" w:sz="4" w:space="1" w:color="auto"/>
          <w:right w:val="single" w:sz="4" w:space="4" w:color="auto"/>
        </w:pBdr>
        <w:spacing w:before="120" w:after="360" w:line="240" w:lineRule="auto"/>
        <w:ind w:left="357" w:hanging="357"/>
        <w:jc w:val="both"/>
        <w:rPr>
          <w:rFonts w:ascii="Times New Roman" w:hAnsi="Times New Roman" w:cs="Times New Roman"/>
          <w:noProof/>
          <w:sz w:val="24"/>
          <w:szCs w:val="24"/>
        </w:rPr>
      </w:pPr>
      <w:r>
        <w:rPr>
          <w:rFonts w:ascii="Times New Roman" w:hAnsi="Times New Roman"/>
          <w:noProof/>
          <w:sz w:val="24"/>
        </w:rPr>
        <w:t>reforça o apoio à interoperabilidade para as políticas da UE preparadas para o digital e para os projetos comuns de inovação GovTech.</w:t>
      </w:r>
    </w:p>
    <w:p w:rsidR="00A3718A" w:rsidRPr="00A3718A" w:rsidRDefault="00A3718A" w:rsidP="00A3718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 Comissão:</w:t>
      </w:r>
    </w:p>
    <w:p w:rsidR="00A3718A" w:rsidRPr="00A3718A" w:rsidRDefault="00A3718A" w:rsidP="00A3718A">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adotará um QEI renovado, com base numa proposta do futuro Comité Europa Interoperável. O novo QEI centrar-se-á em recomendações de execução concretas, nomeadamente para os espaços de dados da UE, em estreita coordenação com o Comité Europeu da Inovação de Dados,</w:t>
      </w:r>
    </w:p>
    <w:p w:rsidR="00A3718A" w:rsidRPr="00A3718A" w:rsidRDefault="00A3718A" w:rsidP="00A3718A">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apoiará o desenvolvimento de especializações setoriais em matéria de interoperabilidade alinhadas com o QEI, como o QEI para as cidades e comunidades inteligentes (EIF4SCC) publicado juntamente com a presente comunicação,</w:t>
      </w:r>
    </w:p>
    <w:p w:rsidR="00A3718A" w:rsidRDefault="00A3718A" w:rsidP="007E7325">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assegurará uma estreita interação das suas atividades de cooperação e apoio GovTech com os instrumentos de inovação da UE, como os Polos de Inovação Digital, o Conselho Europeu da Inovação e os Ecossistemas Europeus de Inovação (CEI e EEI) e o Instituto Europeu de Inovação e Tecnologia (EIT), e</w:t>
      </w:r>
    </w:p>
    <w:p w:rsidR="00A3718A" w:rsidRPr="00A3718A" w:rsidRDefault="00A3718A" w:rsidP="007E7325">
      <w:pPr>
        <w:pStyle w:val="ListParagraph"/>
        <w:numPr>
          <w:ilvl w:val="0"/>
          <w:numId w:val="2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assegurará que a comunicação de informações e a monitorização da interoperabilidade estejam plenamente alinhadas e, se necessário, integradas nas vias pertinentes de monitorização das políticas da UE (especialmente o Índice de Digitalidade da Economia e da Sociedade - IDES, o processo da Década Digital, e o acompanhamento da Declaração de Berlim e dos planos nacionais de recuperação e resiliência).</w:t>
      </w:r>
    </w:p>
    <w:p w:rsidR="007F4254" w:rsidRPr="00D80B3F" w:rsidRDefault="002C1692" w:rsidP="00DA4ABC">
      <w:pPr>
        <w:pStyle w:val="Heading1"/>
        <w:rPr>
          <w:rFonts w:hint="eastAsia"/>
          <w:noProof/>
        </w:rPr>
      </w:pPr>
      <w:bookmarkStart w:id="12" w:name="_Toc119413039"/>
      <w:r>
        <w:rPr>
          <w:noProof/>
        </w:rPr>
        <w:t>Tornar as políticas da UE interoperáveis desde a conceção e preparadas para o digital</w:t>
      </w:r>
      <w:bookmarkEnd w:id="12"/>
    </w:p>
    <w:p w:rsidR="00454ED6" w:rsidRPr="00D80B3F" w:rsidRDefault="00752057" w:rsidP="00DA4ABC">
      <w:pPr>
        <w:pStyle w:val="Heading2"/>
        <w:rPr>
          <w:noProof/>
        </w:rPr>
      </w:pPr>
      <w:bookmarkStart w:id="13" w:name="_Toc119413040"/>
      <w:r>
        <w:rPr>
          <w:noProof/>
        </w:rPr>
        <w:t>Conceção das políticas da UE na era digital</w:t>
      </w:r>
      <w:bookmarkEnd w:id="13"/>
    </w:p>
    <w:p w:rsidR="00CB4BC2" w:rsidRPr="00D80B3F" w:rsidRDefault="00BC4958" w:rsidP="00C76B85">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Os aspetos digitais, em geral, e a interoperabilidade, em particular, têm sido tradicionalmente delegados em peritos técnicos e abordados apenas a jusante, em fases avançadas do processo de elaboração de políticas ou mesmo após a sua conclusão. Esta situação acarreta elevados riscos e custos de execução das políticas devido a obstáculos e limitações involuntárias. Para ultrapassar esta situação, é necessário adotar uma abordagem sistémica da interoperabilidade desde a conceção na elaboração de políticas.</w:t>
      </w:r>
    </w:p>
    <w:p w:rsidR="00CA108D" w:rsidRPr="00D80B3F" w:rsidRDefault="406DB032"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O ciclo de elaboração e execução das políticas é cada vez mais digital e baseado em dados, desde a prospetiva e avaliação de impacto</w:t>
      </w:r>
      <w:r>
        <w:rPr>
          <w:rStyle w:val="FootnoteReference"/>
          <w:rFonts w:ascii="Times New Roman" w:eastAsiaTheme="minorEastAsia" w:hAnsi="Times New Roman" w:cs="Times New Roman"/>
          <w:noProof/>
          <w:sz w:val="24"/>
          <w:szCs w:val="24"/>
        </w:rPr>
        <w:footnoteReference w:id="45"/>
      </w:r>
      <w:r>
        <w:rPr>
          <w:rFonts w:ascii="Times New Roman" w:hAnsi="Times New Roman"/>
          <w:noProof/>
          <w:sz w:val="24"/>
        </w:rPr>
        <w:t xml:space="preserve"> até à recolha e monitorização de dados</w:t>
      </w:r>
      <w:r>
        <w:rPr>
          <w:rStyle w:val="FootnoteReference"/>
          <w:rFonts w:ascii="Times New Roman" w:eastAsiaTheme="minorEastAsia" w:hAnsi="Times New Roman" w:cs="Times New Roman"/>
          <w:noProof/>
          <w:sz w:val="24"/>
          <w:szCs w:val="24"/>
        </w:rPr>
        <w:footnoteReference w:id="46"/>
      </w:r>
      <w:r>
        <w:rPr>
          <w:rFonts w:ascii="Times New Roman" w:hAnsi="Times New Roman"/>
          <w:noProof/>
          <w:sz w:val="24"/>
        </w:rPr>
        <w:t>e aos serviços e ferramentas</w:t>
      </w:r>
      <w:r>
        <w:rPr>
          <w:rStyle w:val="FootnoteReference"/>
          <w:rFonts w:ascii="Times New Roman" w:eastAsiaTheme="minorEastAsia" w:hAnsi="Times New Roman" w:cs="Times New Roman"/>
          <w:noProof/>
          <w:sz w:val="24"/>
          <w:szCs w:val="24"/>
        </w:rPr>
        <w:footnoteReference w:id="47"/>
      </w:r>
      <w:r>
        <w:rPr>
          <w:rFonts w:ascii="Times New Roman" w:hAnsi="Times New Roman"/>
          <w:noProof/>
          <w:sz w:val="24"/>
        </w:rPr>
        <w:t>. As políticas da UE incluem cada vez mais aspetos digitais</w:t>
      </w:r>
      <w:r>
        <w:rPr>
          <w:rStyle w:val="FootnoteReference"/>
          <w:rFonts w:ascii="Times New Roman" w:eastAsiaTheme="minorEastAsia" w:hAnsi="Times New Roman" w:cs="Times New Roman"/>
          <w:noProof/>
          <w:sz w:val="24"/>
          <w:szCs w:val="24"/>
        </w:rPr>
        <w:footnoteReference w:id="48"/>
      </w:r>
      <w:r>
        <w:rPr>
          <w:rFonts w:ascii="Times New Roman" w:hAnsi="Times New Roman"/>
          <w:noProof/>
          <w:sz w:val="24"/>
        </w:rPr>
        <w:t>. Tendo em conta a estreita interligação entre objetivos estratégicos, conjuntos de dados e soluções digitais, a elaboração e a execução das políticas da UE só podem ser eficazes e eficientes se forem apoiadas por uma parceria entre decisores políticos e peritos em TIC. Esta parceria deve ter início o mais cedo possível no processo de formulação e desenvolvimento das políticas.</w:t>
      </w:r>
    </w:p>
    <w:p w:rsidR="00581723" w:rsidRPr="00D80B3F" w:rsidRDefault="4BE1821C"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própria Estratégia Digital</w:t>
      </w:r>
      <w:r>
        <w:rPr>
          <w:rStyle w:val="FootnoteReference"/>
          <w:rFonts w:ascii="Times New Roman" w:hAnsi="Times New Roman" w:cs="Times New Roman"/>
          <w:noProof/>
          <w:sz w:val="24"/>
          <w:szCs w:val="24"/>
          <w:lang w:eastAsia="fr-BE"/>
        </w:rPr>
        <w:footnoteReference w:id="49"/>
      </w:r>
      <w:r>
        <w:rPr>
          <w:rFonts w:ascii="Times New Roman" w:hAnsi="Times New Roman"/>
          <w:noProof/>
          <w:sz w:val="24"/>
        </w:rPr>
        <w:t xml:space="preserve"> e o Programa Legislar Melhor</w:t>
      </w:r>
      <w:r>
        <w:rPr>
          <w:rFonts w:ascii="Times New Roman" w:hAnsi="Times New Roman"/>
          <w:noProof/>
          <w:sz w:val="24"/>
          <w:vertAlign w:val="superscript"/>
        </w:rPr>
        <w:t xml:space="preserve"> </w:t>
      </w:r>
      <w:r>
        <w:rPr>
          <w:rFonts w:ascii="Times New Roman" w:hAnsi="Times New Roman" w:cs="Times New Roman"/>
          <w:noProof/>
          <w:sz w:val="24"/>
          <w:szCs w:val="24"/>
          <w:vertAlign w:val="superscript"/>
          <w:lang w:eastAsia="fr-BE"/>
        </w:rPr>
        <w:footnoteReference w:id="50"/>
      </w:r>
      <w:r>
        <w:rPr>
          <w:rFonts w:ascii="Times New Roman" w:hAnsi="Times New Roman"/>
          <w:noProof/>
          <w:sz w:val="24"/>
        </w:rPr>
        <w:t xml:space="preserve"> da Comissão incorporam firmemente o pensamento digital no ciclo político da UE, promovendo o princípio do «digital por defeito»</w:t>
      </w:r>
      <w:r>
        <w:rPr>
          <w:rFonts w:ascii="Times New Roman" w:hAnsi="Times New Roman"/>
          <w:noProof/>
          <w:sz w:val="24"/>
          <w:vertAlign w:val="superscript"/>
        </w:rPr>
        <w:t xml:space="preserve"> </w:t>
      </w:r>
      <w:r>
        <w:rPr>
          <w:rFonts w:ascii="Times New Roman" w:hAnsi="Times New Roman"/>
          <w:noProof/>
          <w:sz w:val="24"/>
        </w:rPr>
        <w:t>no desenvolvimento de políticas. Os aspetos digitais e de interoperabilidade devem ser tidos em conta em todas as fases: conceção das políticas, consultas das partes interessadas, avaliações de impacto, execução, acompanhamento e avaliação das políticas.</w:t>
      </w:r>
    </w:p>
    <w:p w:rsidR="00581723" w:rsidRPr="00D80B3F" w:rsidRDefault="69B47B81"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O objetivo dos «controlos digitais», enquanto componente específica, embora em evolução, do conjunto de ferramentas para legislar melhor da Comissão</w:t>
      </w:r>
      <w:r>
        <w:rPr>
          <w:rStyle w:val="FootnoteReference"/>
          <w:rFonts w:ascii="Times New Roman" w:hAnsi="Times New Roman" w:cs="Times New Roman"/>
          <w:noProof/>
          <w:sz w:val="24"/>
          <w:szCs w:val="24"/>
          <w:lang w:eastAsia="fr-BE"/>
        </w:rPr>
        <w:footnoteReference w:id="51"/>
      </w:r>
      <w:r>
        <w:rPr>
          <w:rFonts w:ascii="Times New Roman" w:hAnsi="Times New Roman"/>
          <w:noProof/>
          <w:sz w:val="24"/>
        </w:rPr>
        <w:t>, é ajudar os decisores políticos a identificar e abordar os aspetos digitais pertinentes de uma política numa fase precoce. Os controlos devem ser acompanhados de aconselhamento estrutural especializado, por exemplo, sobre a arquitetura do sistema, as tecnologias de dados e de computação em nuvem e a privacidade e cibersegurança. A reutilização de dados provenientes de fontes fidedignas, a reutilização das soluções existentes e a adoção de tecnologias inovadoras tornarão a execução mais simples e mais eficiente em termos de recursos, abrindo simultaneamente caminho à utilização de análises de dados, fluxos de dados seguros e protegidos, inteligência artificial e tecnologias emergentes. Esta prática demonstrou o seu potencial de simplificação e de redução dos encargos administrativos</w:t>
      </w:r>
      <w:r>
        <w:rPr>
          <w:rStyle w:val="FootnoteReference"/>
          <w:rFonts w:ascii="Times New Roman" w:hAnsi="Times New Roman" w:cs="Times New Roman"/>
          <w:noProof/>
          <w:sz w:val="24"/>
          <w:szCs w:val="24"/>
          <w:lang w:eastAsia="fr-BE"/>
        </w:rPr>
        <w:footnoteReference w:id="52"/>
      </w:r>
      <w:r>
        <w:rPr>
          <w:rFonts w:ascii="Times New Roman" w:hAnsi="Times New Roman"/>
          <w:noProof/>
          <w:sz w:val="24"/>
        </w:rPr>
        <w:t>.</w:t>
      </w:r>
    </w:p>
    <w:p w:rsidR="003F5844" w:rsidRPr="00D80B3F" w:rsidRDefault="00DA6D2C" w:rsidP="00C76B85">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No caso das propostas legislativas, será dada maior ênfase à interoperabilidade, avaliando sistematicamente a conformidade com o QEI (e, se for caso disso, qualquer uma das suas especializações) e determinando as possibilidades de reutilização de sistemas, conceitos e componentes interoperáveis. Tal permite à Comissão e aos Estados-Membros estruturar práticas de recolha e monitorização de dados e impedir o desenvolvimento de sistemas duplicados e contraditórios, a vinculação a um fornecedor e práticas insustentáveis no domínio das TIC. A cooperação estruturada das administrações públicas de todos os países da UE, proposta ao abrigo do Regulamento Europa Interoperável, proporcionará aconselhamento sobre as políticas da UE com um impacto elevado na infraestrutura digital dos Estados-Membros e permitirá a execução atempada das políticas da UE.</w:t>
      </w:r>
    </w:p>
    <w:p w:rsidR="00581723" w:rsidRPr="00D80B3F" w:rsidRDefault="006620E0"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elaboração de políticas preparadas para o digital e fundadas na interoperabilidade desde a conceção apoiarão a emergência de serviços digitais verdadeiramente transeuropeus para as pessoas, as empresas e as políticas públicas, relevantes para o mercado único digital. Aumentará a confiança transfronteiras, tal como demonstrado, por exemplo, pelos certificados digitais COVID-19 da UE, pela identidade digital segura</w:t>
      </w:r>
      <w:r>
        <w:rPr>
          <w:rStyle w:val="FootnoteReference"/>
          <w:rFonts w:ascii="Times New Roman" w:hAnsi="Times New Roman" w:cs="Times New Roman"/>
          <w:noProof/>
          <w:sz w:val="24"/>
          <w:szCs w:val="24"/>
          <w:lang w:eastAsia="fr-BE"/>
        </w:rPr>
        <w:footnoteReference w:id="53"/>
      </w:r>
      <w:r>
        <w:rPr>
          <w:rFonts w:ascii="Times New Roman" w:hAnsi="Times New Roman"/>
          <w:noProof/>
          <w:sz w:val="24"/>
        </w:rPr>
        <w:t>, pelo Sistema de Informação do Mercado Interno (IMI)</w:t>
      </w:r>
      <w:r>
        <w:rPr>
          <w:rStyle w:val="FootnoteReference"/>
          <w:rFonts w:ascii="Times New Roman" w:hAnsi="Times New Roman" w:cs="Times New Roman"/>
          <w:noProof/>
          <w:sz w:val="24"/>
          <w:szCs w:val="24"/>
          <w:lang w:eastAsia="fr-BE"/>
        </w:rPr>
        <w:footnoteReference w:id="54"/>
      </w:r>
      <w:r>
        <w:rPr>
          <w:rFonts w:ascii="Times New Roman" w:hAnsi="Times New Roman"/>
          <w:noProof/>
          <w:sz w:val="24"/>
        </w:rPr>
        <w:t xml:space="preserve"> e por um número crescente de serviços transfronteiriços possibilitados pela plataforma digital única</w:t>
      </w:r>
      <w:r>
        <w:rPr>
          <w:rStyle w:val="FootnoteReference"/>
          <w:rFonts w:ascii="Times New Roman" w:hAnsi="Times New Roman" w:cs="Times New Roman"/>
          <w:noProof/>
          <w:sz w:val="24"/>
          <w:szCs w:val="24"/>
          <w:lang w:eastAsia="fr-BE"/>
        </w:rPr>
        <w:footnoteReference w:id="55"/>
      </w:r>
      <w:r>
        <w:rPr>
          <w:rFonts w:ascii="Times New Roman" w:hAnsi="Times New Roman"/>
          <w:noProof/>
          <w:sz w:val="24"/>
        </w:rPr>
        <w:t>.</w:t>
      </w:r>
    </w:p>
    <w:p w:rsidR="00EC15EA" w:rsidRPr="00D80B3F" w:rsidRDefault="000935A0"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Embora a Comissão se tenha comprometido a elaborar políticas preparadas para o digital e assegure a sua aplicação a iniciativas políticas e propostas legislativas, este é apenas o início. Para tornar a legislação da UE plenamente preparada para o digital e interoperável desde a conceção, é importante procurar e, eventualmente, assegurar um entendimento partilhado entre os colegisladores, no pleno respeito das funções de cada instituição. A governação comum da interoperabilidade da UE ao abrigo da proposta de Regulamento Europa Interoperável é um instrumento essencial para apoiar a emergência deste entendimento comum.</w:t>
      </w:r>
    </w:p>
    <w:p w:rsidR="00C55951" w:rsidRPr="00D80B3F" w:rsidRDefault="00174154" w:rsidP="00DA4ABC">
      <w:pPr>
        <w:pStyle w:val="Heading2"/>
        <w:rPr>
          <w:noProof/>
        </w:rPr>
      </w:pPr>
      <w:bookmarkStart w:id="14" w:name="_Toc119413041"/>
      <w:r>
        <w:rPr>
          <w:noProof/>
        </w:rPr>
        <w:t>Concentrar o financiamento da interoperabilidade</w:t>
      </w:r>
      <w:bookmarkEnd w:id="14"/>
    </w:p>
    <w:p w:rsidR="00A453A7" w:rsidRPr="00D80B3F" w:rsidRDefault="00C55951"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Os programas da UE proporcionam financiamento específico para a investigação, o desenvolvimento e a manutenção dos recursos de interoperabilidade do setor público da UE, tais como instrumentos de avaliação da interoperabilidade, vocabulários semânticos, GovTech ou módulos reutilizáveis para o intercâmbio de dados e a identidade eletrónica</w:t>
      </w:r>
      <w:r>
        <w:rPr>
          <w:rStyle w:val="FootnoteReference"/>
          <w:rFonts w:ascii="Times New Roman" w:hAnsi="Times New Roman" w:cs="Times New Roman"/>
          <w:noProof/>
          <w:sz w:val="24"/>
          <w:szCs w:val="24"/>
        </w:rPr>
        <w:footnoteReference w:id="56"/>
      </w:r>
      <w:r>
        <w:rPr>
          <w:rFonts w:ascii="Times New Roman" w:hAnsi="Times New Roman"/>
          <w:noProof/>
          <w:sz w:val="24"/>
        </w:rPr>
        <w:t>. É importante que os profissionais de TI e os políticos dos Estados-Membros – os utilizadores finais destes recursos e os responsáveis pela execução das políticas – aconselhem sobre as prioridades do financiamento da UE em matéria de interoperabilidade. O futuro Comité Europa Interoperável será incumbido de prestar aconselhamento sobre quaisquer medidas de execução de políticas ou de apoio à inovação consideradas necessárias, tal como previsto na proposta de Regulamento Europa Interoperável.</w:t>
      </w:r>
    </w:p>
    <w:p w:rsidR="00C55951" w:rsidRPr="00D80B3F" w:rsidRDefault="00C55951"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O financiamento da UE para a interoperabilidade também apoia a execução de políticas da UE pertinentes para a administração pública digital, como a plataforma digital única, a carteira de identificação eletrónica da UE ou os gémeos digitais locais</w:t>
      </w:r>
      <w:r>
        <w:rPr>
          <w:rStyle w:val="FootnoteReference"/>
          <w:rFonts w:ascii="Times New Roman" w:hAnsi="Times New Roman" w:cs="Times New Roman"/>
          <w:noProof/>
          <w:sz w:val="24"/>
          <w:szCs w:val="24"/>
        </w:rPr>
        <w:footnoteReference w:id="57"/>
      </w:r>
      <w:r>
        <w:rPr>
          <w:rFonts w:ascii="Times New Roman" w:hAnsi="Times New Roman"/>
          <w:noProof/>
          <w:sz w:val="24"/>
        </w:rPr>
        <w:t>. Através dos Fundos Estruturais</w:t>
      </w:r>
      <w:r>
        <w:rPr>
          <w:rStyle w:val="FootnoteReference"/>
          <w:rFonts w:ascii="Times New Roman" w:hAnsi="Times New Roman" w:cs="Times New Roman"/>
          <w:noProof/>
          <w:sz w:val="24"/>
          <w:szCs w:val="24"/>
        </w:rPr>
        <w:footnoteReference w:id="58"/>
      </w:r>
      <w:r>
        <w:rPr>
          <w:rFonts w:ascii="Times New Roman" w:hAnsi="Times New Roman"/>
          <w:noProof/>
          <w:sz w:val="24"/>
        </w:rPr>
        <w:t>, do Mecanismo de Recuperação e Resiliência</w:t>
      </w:r>
      <w:r>
        <w:rPr>
          <w:rStyle w:val="FootnoteReference"/>
          <w:rFonts w:ascii="Times New Roman" w:hAnsi="Times New Roman" w:cs="Times New Roman"/>
          <w:noProof/>
          <w:sz w:val="24"/>
          <w:szCs w:val="24"/>
        </w:rPr>
        <w:footnoteReference w:id="59"/>
      </w:r>
      <w:r>
        <w:rPr>
          <w:rFonts w:ascii="Times New Roman" w:hAnsi="Times New Roman"/>
          <w:noProof/>
          <w:sz w:val="24"/>
        </w:rPr>
        <w:t>, do Mecanismo Interligar a Europa</w:t>
      </w:r>
      <w:r>
        <w:rPr>
          <w:rStyle w:val="FootnoteReference"/>
          <w:rFonts w:ascii="Times New Roman" w:hAnsi="Times New Roman" w:cs="Times New Roman"/>
          <w:noProof/>
          <w:sz w:val="24"/>
          <w:szCs w:val="24"/>
        </w:rPr>
        <w:footnoteReference w:id="60"/>
      </w:r>
      <w:r>
        <w:rPr>
          <w:rFonts w:ascii="Times New Roman" w:hAnsi="Times New Roman"/>
          <w:noProof/>
          <w:sz w:val="24"/>
        </w:rPr>
        <w:t xml:space="preserve"> e do Instrumento de Assistência Técnica (IAT)</w:t>
      </w:r>
      <w:r>
        <w:rPr>
          <w:rStyle w:val="FootnoteReference"/>
          <w:rFonts w:ascii="Times New Roman" w:hAnsi="Times New Roman" w:cs="Times New Roman"/>
          <w:noProof/>
          <w:sz w:val="24"/>
          <w:szCs w:val="24"/>
        </w:rPr>
        <w:footnoteReference w:id="61"/>
      </w:r>
      <w:r>
        <w:rPr>
          <w:rFonts w:ascii="Times New Roman" w:hAnsi="Times New Roman"/>
          <w:noProof/>
          <w:sz w:val="24"/>
        </w:rPr>
        <w:t>, a UE apoia os investimentos na modernização do setor público dos Estados-Membros. A rede da administração pública da UE está a desenvolver uma ambiciosa agenda de modernização</w:t>
      </w:r>
      <w:r>
        <w:rPr>
          <w:rStyle w:val="FootnoteReference"/>
          <w:rFonts w:ascii="Times New Roman" w:hAnsi="Times New Roman" w:cs="Times New Roman"/>
          <w:noProof/>
          <w:sz w:val="24"/>
          <w:szCs w:val="24"/>
        </w:rPr>
        <w:footnoteReference w:id="62"/>
      </w:r>
      <w:r>
        <w:rPr>
          <w:rFonts w:ascii="Times New Roman" w:hAnsi="Times New Roman"/>
          <w:noProof/>
          <w:sz w:val="24"/>
        </w:rPr>
        <w:t>. A proposta relativa à Década Digital e o IAT preveem projetos plurinacionais de apoio à transformação digital, incluindo o Consórcio para uma Infraestrutura Europeia Digital (EDIC)</w:t>
      </w:r>
      <w:r>
        <w:rPr>
          <w:rStyle w:val="FootnoteReference"/>
          <w:rFonts w:ascii="Times New Roman" w:hAnsi="Times New Roman" w:cs="Times New Roman"/>
          <w:noProof/>
          <w:sz w:val="24"/>
          <w:szCs w:val="24"/>
        </w:rPr>
        <w:footnoteReference w:id="63"/>
      </w:r>
      <w:r>
        <w:rPr>
          <w:rFonts w:ascii="Times New Roman" w:hAnsi="Times New Roman"/>
          <w:noProof/>
          <w:sz w:val="24"/>
        </w:rPr>
        <w:t>. Essas vertentes de apoio à modernização e às reformas deverão assegurar a coordenação na fase inicial e ter em conta as necessidades de interoperabilidade, por exemplo através do intercâmbio regular e do aconselhamento dos profissionais sobre a futura Comunidade Europa Interoperável.</w:t>
      </w:r>
    </w:p>
    <w:p w:rsidR="00F93572" w:rsidRPr="00D80B3F" w:rsidRDefault="00F93572" w:rsidP="00DA4ABC">
      <w:pPr>
        <w:pStyle w:val="Heading2"/>
        <w:rPr>
          <w:noProof/>
        </w:rPr>
      </w:pPr>
      <w:bookmarkStart w:id="15" w:name="_Toc119413042"/>
      <w:r>
        <w:rPr>
          <w:noProof/>
        </w:rPr>
        <w:t>Integrar a interoperabilidade nas políticas da UE em matéria de dados e inovação</w:t>
      </w:r>
      <w:bookmarkEnd w:id="15"/>
    </w:p>
    <w:p w:rsidR="00F93572" w:rsidRPr="00D80B3F" w:rsidRDefault="00F93572"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política de interoperabilidade é um complemento necessário do panorama emergente da política digital e de dados da UE. Tem por base e completa a legislação em matéria de disponibilidade e intercâmbio de dados, do ponto de vista do setor público</w:t>
      </w:r>
      <w:r>
        <w:rPr>
          <w:rStyle w:val="FootnoteReference"/>
          <w:rFonts w:ascii="Times New Roman" w:hAnsi="Times New Roman" w:cs="Times New Roman"/>
          <w:noProof/>
          <w:sz w:val="24"/>
          <w:szCs w:val="24"/>
        </w:rPr>
        <w:footnoteReference w:id="64"/>
      </w:r>
      <w:r>
        <w:rPr>
          <w:rFonts w:ascii="Times New Roman" w:hAnsi="Times New Roman"/>
          <w:noProof/>
          <w:sz w:val="24"/>
        </w:rPr>
        <w:t>. Apoia ferramentas centrais comuns, como o «data.europa.eu», o portal oficial dos dados europeus</w:t>
      </w:r>
      <w:r>
        <w:rPr>
          <w:rStyle w:val="FootnoteReference"/>
          <w:rFonts w:ascii="Times New Roman" w:hAnsi="Times New Roman" w:cs="Times New Roman"/>
          <w:noProof/>
          <w:sz w:val="24"/>
          <w:szCs w:val="24"/>
        </w:rPr>
        <w:footnoteReference w:id="65"/>
      </w:r>
      <w:r>
        <w:rPr>
          <w:rFonts w:ascii="Times New Roman" w:hAnsi="Times New Roman"/>
          <w:noProof/>
          <w:sz w:val="24"/>
        </w:rPr>
        <w:t>. Pode disponibilizar os conhecimentos semânticos necessários para a construção de espaços de dados e para a política da UE em matéria de computação em nuvem. Por conseguinte, e para que a política de interoperabilidade reforçada da UE seja plenamente eficaz, importa garantir uma estreita interação com as estruturas políticas digitais operacionais e regulamentares pertinentes, em especial com o Comité Europeu da Inovação de Dados</w:t>
      </w:r>
      <w:r>
        <w:rPr>
          <w:rStyle w:val="FootnoteReference"/>
          <w:rFonts w:ascii="Times New Roman" w:hAnsi="Times New Roman" w:cs="Times New Roman"/>
          <w:noProof/>
          <w:sz w:val="24"/>
          <w:szCs w:val="24"/>
        </w:rPr>
        <w:footnoteReference w:id="66"/>
      </w:r>
      <w:r>
        <w:rPr>
          <w:rFonts w:ascii="Times New Roman" w:hAnsi="Times New Roman"/>
          <w:noProof/>
          <w:sz w:val="24"/>
        </w:rPr>
        <w:t>. As Orientações para a Digitalização até 2030, o quadro de referência para a política digital da UE, reconhecem a administração pública digital como um dos seus principais vetores e a política de interoperabilidade reforçada da UE foi concebida para apoiar o processo concomitante da Década Digital</w:t>
      </w:r>
      <w:r>
        <w:rPr>
          <w:rStyle w:val="FootnoteReference"/>
          <w:rFonts w:ascii="Times New Roman" w:hAnsi="Times New Roman" w:cs="Times New Roman"/>
          <w:noProof/>
          <w:sz w:val="24"/>
          <w:szCs w:val="24"/>
        </w:rPr>
        <w:footnoteReference w:id="67"/>
      </w:r>
      <w:r>
        <w:rPr>
          <w:rFonts w:ascii="Times New Roman" w:hAnsi="Times New Roman"/>
          <w:noProof/>
          <w:sz w:val="24"/>
        </w:rPr>
        <w:t>.</w:t>
      </w:r>
    </w:p>
    <w:p w:rsidR="00F93572" w:rsidRPr="00D80B3F" w:rsidRDefault="718BCA48"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Por defeito, os ativos de interoperabilidade da UE estão disponíveis sob a forma de especificações abertas ou </w:t>
      </w:r>
      <w:r>
        <w:rPr>
          <w:rFonts w:ascii="Times New Roman" w:hAnsi="Times New Roman"/>
          <w:i/>
          <w:noProof/>
          <w:sz w:val="24"/>
        </w:rPr>
        <w:t>software</w:t>
      </w:r>
      <w:r>
        <w:rPr>
          <w:rFonts w:ascii="Times New Roman" w:hAnsi="Times New Roman"/>
          <w:noProof/>
          <w:sz w:val="24"/>
        </w:rPr>
        <w:t xml:space="preserve"> de código aberto</w:t>
      </w:r>
      <w:r>
        <w:rPr>
          <w:rStyle w:val="FootnoteReference"/>
          <w:rFonts w:ascii="Times New Roman" w:hAnsi="Times New Roman" w:cs="Times New Roman"/>
          <w:noProof/>
          <w:sz w:val="24"/>
          <w:szCs w:val="24"/>
        </w:rPr>
        <w:footnoteReference w:id="68"/>
      </w:r>
      <w:r>
        <w:rPr>
          <w:rFonts w:ascii="Times New Roman" w:hAnsi="Times New Roman"/>
          <w:noProof/>
          <w:sz w:val="24"/>
        </w:rPr>
        <w:t>. Têm de ser abertos para serem facilmente reutilizáveis pelas administrações públicas de todos os níveis, que criam sistemas e serviços interoperáveis, e pelos parceiros do setor privado e da indústria que trabalham com estas administrações. Embora o código aberto não seja a única abordagem para criar interoperabilidade, os projetos financiados pela UE para serviços públicos devem, por defeito, ser de código aberto. É por esta razão que a proposta de Regulamento Europa Interoperável prevê o acesso a soluções reutilizáveis, incluindo códigos, sempre que adequado e possível. A própria Comissão disponibiliza o código como código aberto e contribui para projetos de código aberto</w:t>
      </w:r>
      <w:r>
        <w:rPr>
          <w:rStyle w:val="FootnoteReference"/>
          <w:rFonts w:ascii="Times New Roman" w:hAnsi="Times New Roman" w:cs="Times New Roman"/>
          <w:noProof/>
          <w:sz w:val="24"/>
          <w:szCs w:val="24"/>
        </w:rPr>
        <w:footnoteReference w:id="69"/>
      </w:r>
      <w:r>
        <w:rPr>
          <w:rFonts w:ascii="Times New Roman" w:hAnsi="Times New Roman"/>
          <w:noProof/>
          <w:sz w:val="24"/>
        </w:rPr>
        <w:t>. Está disponível uma licença pública europeia (EUPL) específica em todas as línguas oficiais da UE, com um assistente de licenciamento que presta apoio jurídico em linha</w:t>
      </w:r>
      <w:r>
        <w:rPr>
          <w:rStyle w:val="FootnoteReference"/>
          <w:rFonts w:ascii="Times New Roman" w:hAnsi="Times New Roman" w:cs="Times New Roman"/>
          <w:noProof/>
          <w:sz w:val="24"/>
          <w:szCs w:val="24"/>
        </w:rPr>
        <w:footnoteReference w:id="70"/>
      </w:r>
      <w:r>
        <w:rPr>
          <w:rFonts w:ascii="Times New Roman" w:hAnsi="Times New Roman"/>
          <w:noProof/>
          <w:sz w:val="24"/>
        </w:rPr>
        <w:t>. Com a criação de Gabinetes de Programas de Código Aberto (OSPO) ou de organismos similares em todas as administrações dos Estados-Membros, o Comité Europa Interoperável e a Comunidade Europa Interoperável apoiarão o intercâmbio de boas práticas e ajudarão a identificar soluções reutilizáveis e necessidades em matéria de desenvolvimento</w:t>
      </w:r>
      <w:r>
        <w:rPr>
          <w:rStyle w:val="FootnoteReference"/>
          <w:rFonts w:ascii="Times New Roman" w:hAnsi="Times New Roman" w:cs="Times New Roman"/>
          <w:noProof/>
          <w:sz w:val="24"/>
          <w:szCs w:val="24"/>
        </w:rPr>
        <w:footnoteReference w:id="71"/>
      </w:r>
      <w:r>
        <w:rPr>
          <w:rFonts w:ascii="Times New Roman" w:hAnsi="Times New Roman"/>
          <w:noProof/>
          <w:sz w:val="24"/>
        </w:rPr>
        <w:t>.</w:t>
      </w:r>
    </w:p>
    <w:p w:rsidR="002A7A9F" w:rsidRPr="00D80B3F" w:rsidRDefault="00A73382"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estreita interação com fóruns e atividades de normalização</w:t>
      </w:r>
      <w:r>
        <w:rPr>
          <w:rStyle w:val="FootnoteReference"/>
          <w:rFonts w:ascii="Times New Roman" w:hAnsi="Times New Roman" w:cs="Times New Roman"/>
          <w:noProof/>
          <w:sz w:val="24"/>
          <w:szCs w:val="24"/>
        </w:rPr>
        <w:footnoteReference w:id="72"/>
      </w:r>
      <w:r>
        <w:rPr>
          <w:rFonts w:ascii="Times New Roman" w:hAnsi="Times New Roman"/>
          <w:noProof/>
          <w:sz w:val="24"/>
        </w:rPr>
        <w:t xml:space="preserve"> é particularmente importante para a evolução do acervo europeu sobre interoperabilidade e para assegurar uma transformação digital aberta, inclusiva e baseada em valores. Uma vez que a UE está a implementar o seu quadro estratégico de normalização renovado</w:t>
      </w:r>
      <w:r>
        <w:rPr>
          <w:rStyle w:val="FootnoteReference"/>
          <w:rFonts w:ascii="Times New Roman" w:hAnsi="Times New Roman" w:cs="Times New Roman"/>
          <w:noProof/>
          <w:sz w:val="24"/>
          <w:szCs w:val="24"/>
        </w:rPr>
        <w:footnoteReference w:id="73"/>
      </w:r>
      <w:r>
        <w:rPr>
          <w:rFonts w:ascii="Times New Roman" w:hAnsi="Times New Roman"/>
          <w:noProof/>
          <w:sz w:val="24"/>
        </w:rPr>
        <w:t>, as considerações relacionadas com a interoperabilidade do setor público serão sistematicamente abordadas pelo futuro Comité Europa Interoperável. Tal inclui contribuir para os «domínios urgentes» de normalização no setor público e apoiar o papel da UE no desenvolvimento de normas para os serviços públicos.</w:t>
      </w:r>
    </w:p>
    <w:p w:rsidR="0048608E" w:rsidRPr="00D80B3F" w:rsidRDefault="00372909"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Agenda para a Inovação recentemente publicada pela Comissão</w:t>
      </w:r>
      <w:r>
        <w:rPr>
          <w:rStyle w:val="FootnoteReference"/>
          <w:rFonts w:ascii="Times New Roman" w:hAnsi="Times New Roman" w:cs="Times New Roman"/>
          <w:noProof/>
          <w:sz w:val="24"/>
          <w:szCs w:val="24"/>
        </w:rPr>
        <w:footnoteReference w:id="74"/>
      </w:r>
      <w:r>
        <w:rPr>
          <w:rFonts w:ascii="Times New Roman" w:hAnsi="Times New Roman"/>
          <w:noProof/>
          <w:sz w:val="24"/>
        </w:rPr>
        <w:t xml:space="preserve"> sublinha o papel benéfico do setor público, não só enquanto regulador, mas também enquanto entidade adjudicante e parceiro de experimentação, no reforço da capacidade de inovação da UE. A Agenda salienta o potencial da interoperabilidade e incentiva a exploração da experimentação do setor público em ambientes controlados (ambientes de testagem) e a cooperação GovTech.</w:t>
      </w:r>
    </w:p>
    <w:p w:rsidR="00934F8B" w:rsidRPr="00D80B3F" w:rsidRDefault="00934F8B" w:rsidP="00DA4ABC">
      <w:pPr>
        <w:pStyle w:val="Heading2"/>
        <w:rPr>
          <w:noProof/>
        </w:rPr>
      </w:pPr>
      <w:bookmarkStart w:id="16" w:name="_Toc119413043"/>
      <w:r>
        <w:rPr>
          <w:noProof/>
        </w:rPr>
        <w:t>Desenvolver a cooperação internacional em matéria de interoperabilidade do setor público</w:t>
      </w:r>
      <w:bookmarkEnd w:id="16"/>
    </w:p>
    <w:p w:rsidR="00574767" w:rsidRPr="00D80B3F" w:rsidRDefault="00934F8B"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A política de interoperabilidade da UE está tradicionalmente aberta à cooperação com parceiros internacionais, em especial com os países vizinhos da UE, e com organizações internacionais. Pela sua própria natureza, a interoperabilidade não tem fronteiras e os recursos de interoperabilidade da UE estão disponíveis abertamente para reutilização em todo o mundo. Este é, em especial, o caso do QEI, referenciado a nível internacional</w:t>
      </w:r>
      <w:r>
        <w:rPr>
          <w:rStyle w:val="FootnoteReference"/>
          <w:rFonts w:ascii="Times New Roman" w:hAnsi="Times New Roman" w:cs="Times New Roman"/>
          <w:noProof/>
          <w:sz w:val="24"/>
          <w:szCs w:val="24"/>
        </w:rPr>
        <w:footnoteReference w:id="75"/>
      </w:r>
      <w:r>
        <w:rPr>
          <w:rFonts w:ascii="Times New Roman" w:hAnsi="Times New Roman"/>
          <w:noProof/>
          <w:sz w:val="24"/>
        </w:rPr>
        <w:t>. A fim de continuar a desenvolver a cooperação internacional baseada em valores no domínio da administração pública digital, é importante manter e desenvolver a cooperação existente em matéria de interoperabilidade com organizações internacionais como a OCDE, a ONU e o Banco Mundial, bem como com parceiros mundiais que partilham as mesmas ideias</w:t>
      </w:r>
      <w:r>
        <w:rPr>
          <w:rStyle w:val="FootnoteReference"/>
          <w:rFonts w:ascii="Times New Roman" w:hAnsi="Times New Roman" w:cs="Times New Roman"/>
          <w:noProof/>
          <w:sz w:val="24"/>
          <w:szCs w:val="24"/>
        </w:rPr>
        <w:footnoteReference w:id="76"/>
      </w:r>
      <w:r>
        <w:rPr>
          <w:rFonts w:ascii="Times New Roman" w:hAnsi="Times New Roman"/>
          <w:noProof/>
          <w:sz w:val="24"/>
        </w:rPr>
        <w:t>.</w:t>
      </w:r>
    </w:p>
    <w:p w:rsidR="00934F8B" w:rsidRDefault="00934F8B" w:rsidP="00C76B85">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 particular importância é o aprofundamento da cooperação existente com os países vizinhos da UE; o Montenegro, a Macedónia do Norte e a Ucrânia são parceiros de longa data no desenvolvimento da cooperação da UE em matéria de interoperabilidade e outros países manifestaram um forte interesse em aderir a este esforço comum. A transformação digital da administração é uma das grandes prioridades dos parceiros no contexto do alargamento e da vizinhança e a Comissão incentiva a consecução de elevados níveis de interoperabilidade, em conformidade com as normas da UE. O aprofundamento da cooperação apoia a integração da pré-adesão e da parceria económica e deve, por conseguinte, ser uma componente estrutural dos instrumentos da política de vizinhança da UE</w:t>
      </w:r>
      <w:r>
        <w:rPr>
          <w:rStyle w:val="FootnoteReference"/>
          <w:rFonts w:ascii="Times New Roman" w:hAnsi="Times New Roman" w:cs="Times New Roman"/>
          <w:noProof/>
          <w:sz w:val="24"/>
          <w:szCs w:val="24"/>
        </w:rPr>
        <w:footnoteReference w:id="77"/>
      </w:r>
      <w:r>
        <w:rPr>
          <w:rFonts w:ascii="Times New Roman" w:hAnsi="Times New Roman"/>
          <w:noProof/>
          <w:sz w:val="24"/>
        </w:rPr>
        <w:t>. O desenvolvimento da cooperação internacional não é uma via de sentido único. Permitirá à UE aprender com os seus parceiros e graças aos conhecimentos por eles transmitidos, bem como beneficiar das suas soluções, competências especializadas e experiência, frequentemente muito avançadas.</w:t>
      </w:r>
    </w:p>
    <w:p w:rsidR="00A3718A" w:rsidRPr="00A3718A" w:rsidRDefault="00A3718A" w:rsidP="00BC0AB5">
      <w:p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 Comissão:</w:t>
      </w:r>
    </w:p>
    <w:p w:rsidR="00A3718A" w:rsidRPr="00A3718A" w:rsidRDefault="00A3718A"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integrará os aspetos digitais nas diferentes fases de definição, desenvolvimento, adoção e execução das políticas, tal como estabelecido na sua Estratégia Digital,</w:t>
      </w:r>
    </w:p>
    <w:p w:rsidR="00A3718A" w:rsidRPr="00A3718A" w:rsidRDefault="00A3718A"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assegurará que o QEI seja aplicado na sua prática operacional e de elaboração de políticas e procurará obter informações atempadas dos Estados-Membros sobre os potenciais desafios de execução das propostas políticas com aspetos digitais e interoperáveis significativos,</w:t>
      </w:r>
    </w:p>
    <w:p w:rsidR="00A3718A" w:rsidRPr="00A3718A" w:rsidRDefault="00A3718A"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insta os colegisladores a aprovarem princípios de elaboração de políticas preparados para o digital e a garantirem que seja prestada atenção suficiente aos aspetos digitais nas diferentes fases do ciclo de políticas da UE,</w:t>
      </w:r>
    </w:p>
    <w:p w:rsidR="00A3718A" w:rsidRPr="00A3718A" w:rsidRDefault="00A3718A"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assegurará que os recursos comuns de interoperabilidade (ferramentas, especificações, soluções) sejam reutilizados e referenciados nos instrumentos de financiamento, em especial para a transformação do setor público (incluindo no IAT, nos fundos estruturais, no apoio aos países vizinhos e em fase de pré-adesão e no MRR),</w:t>
      </w:r>
    </w:p>
    <w:p w:rsidR="00A3718A" w:rsidRPr="00A3718A" w:rsidRDefault="00A3718A"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assegurará uma ligação estreita entre a governação da interoperabilidade e os atuais mecanismos de dados, normalização e governação setorial, em especial o Comité Europeu da Inovação de Dados e as iniciativas de modernização do setor público,</w:t>
      </w:r>
    </w:p>
    <w:p w:rsidR="00A3718A" w:rsidRDefault="00A3718A"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assegurará que o futuro Comité Europa Interoperável participe na conceção de atividades de interoperabilidade financiadas ao abrigo da secção dedicada à interoperabilidade do Programa Europa Digital, e</w:t>
      </w:r>
    </w:p>
    <w:p w:rsidR="00A3718A" w:rsidRPr="00A3718A" w:rsidRDefault="00FD3691" w:rsidP="00BC0AB5">
      <w:pPr>
        <w:pStyle w:val="ListParagraph"/>
        <w:numPr>
          <w:ilvl w:val="0"/>
          <w:numId w:val="19"/>
        </w:numPr>
        <w:pBdr>
          <w:top w:val="single" w:sz="4" w:space="1" w:color="auto"/>
          <w:left w:val="single" w:sz="4" w:space="4" w:color="auto"/>
          <w:bottom w:val="single" w:sz="4" w:space="6"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noProof/>
          <w:sz w:val="24"/>
        </w:rPr>
        <w:t>aprofundará a cooperação internacional em matéria de interoperabilidade, nomeadamente no âmbito da sua política de vizinhança e com organizações internacionais.</w:t>
      </w:r>
    </w:p>
    <w:sectPr w:rsidR="00A3718A" w:rsidRPr="00A3718A" w:rsidSect="00C76B85">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10" w:footer="71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3674" w16cex:dateUtc="2022-07-06T14:27:00Z"/>
  <w16cex:commentExtensible w16cex:durableId="26AF14F3" w16cex:dateUtc="2022-08-23T06:57:00Z"/>
  <w16cex:commentExtensible w16cex:durableId="267038B7" w16cex:dateUtc="2022-07-06T14:37:00Z"/>
  <w16cex:commentExtensible w16cex:durableId="2670379D" w16cex:dateUtc="2022-07-06T14:32:00Z"/>
  <w16cex:commentExtensible w16cex:durableId="26AF328A" w16cex:dateUtc="2022-08-23T09:03:00Z"/>
  <w16cex:commentExtensible w16cex:durableId="26AF3F05" w16cex:dateUtc="2022-08-23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B7C1E" w16cid:durableId="26703674"/>
  <w16cid:commentId w16cid:paraId="4E3C9619" w16cid:durableId="26AF14F3"/>
  <w16cid:commentId w16cid:paraId="4FA414A5" w16cid:durableId="267038B7"/>
  <w16cid:commentId w16cid:paraId="57B2E24A" w16cid:durableId="2670379D"/>
  <w16cid:commentId w16cid:paraId="14C88E22" w16cid:durableId="26AF328A"/>
  <w16cid:commentId w16cid:paraId="53629B27" w16cid:durableId="26AF3F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25" w:rsidRDefault="007E7325" w:rsidP="00CB2493">
      <w:pPr>
        <w:spacing w:after="0" w:line="240" w:lineRule="auto"/>
      </w:pPr>
      <w:r>
        <w:separator/>
      </w:r>
    </w:p>
  </w:endnote>
  <w:endnote w:type="continuationSeparator" w:id="0">
    <w:p w:rsidR="007E7325" w:rsidRDefault="007E7325" w:rsidP="00CB2493">
      <w:pPr>
        <w:spacing w:after="0" w:line="240" w:lineRule="auto"/>
      </w:pPr>
      <w:r>
        <w:continuationSeparator/>
      </w:r>
    </w:p>
  </w:endnote>
  <w:endnote w:type="continuationNotice" w:id="1">
    <w:p w:rsidR="007E7325" w:rsidRDefault="007E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52" w:rsidRPr="00340052" w:rsidRDefault="00340052" w:rsidP="00340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427" w:rsidRPr="00340052" w:rsidRDefault="00340052" w:rsidP="00340052">
    <w:pPr>
      <w:pStyle w:val="FooterCoverPage"/>
      <w:rPr>
        <w:rFonts w:ascii="Arial" w:hAnsi="Arial" w:cs="Arial"/>
        <w:b/>
        <w:sz w:val="48"/>
      </w:rPr>
    </w:pPr>
    <w:r w:rsidRPr="00340052">
      <w:rPr>
        <w:rFonts w:ascii="Arial" w:hAnsi="Arial" w:cs="Arial"/>
        <w:b/>
        <w:sz w:val="48"/>
      </w:rPr>
      <w:t>PT</w:t>
    </w:r>
    <w:r w:rsidRPr="00340052">
      <w:rPr>
        <w:rFonts w:ascii="Arial" w:hAnsi="Arial" w:cs="Arial"/>
        <w:b/>
        <w:sz w:val="48"/>
      </w:rPr>
      <w:tab/>
    </w:r>
    <w:r w:rsidRPr="00340052">
      <w:rPr>
        <w:rFonts w:ascii="Arial" w:hAnsi="Arial" w:cs="Arial"/>
        <w:b/>
        <w:sz w:val="48"/>
      </w:rPr>
      <w:tab/>
    </w:r>
    <w:r w:rsidRPr="00340052">
      <w:tab/>
    </w:r>
    <w:r w:rsidRPr="00340052">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52" w:rsidRPr="00340052" w:rsidRDefault="00340052" w:rsidP="0034005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25" w:rsidRDefault="007E73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01135034"/>
      <w:docPartObj>
        <w:docPartGallery w:val="Page Numbers (Bottom of Page)"/>
        <w:docPartUnique/>
      </w:docPartObj>
    </w:sdtPr>
    <w:sdtEndPr>
      <w:rPr>
        <w:noProof/>
      </w:rPr>
    </w:sdtEndPr>
    <w:sdtContent>
      <w:p w:rsidR="007E7325" w:rsidRPr="00C76B85" w:rsidRDefault="007E7325" w:rsidP="00C76B85">
        <w:pPr>
          <w:pStyle w:val="Footer"/>
          <w:spacing w:before="360"/>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40052">
          <w:rPr>
            <w:rFonts w:ascii="Times New Roman" w:hAnsi="Times New Roman" w:cs="Times New Roman"/>
            <w:noProof/>
            <w:sz w:val="24"/>
          </w:rPr>
          <w:t>1</w:t>
        </w:r>
        <w:r>
          <w:rPr>
            <w:rFonts w:ascii="Times New Roman" w:hAnsi="Times New Roman" w:cs="Times New Roman"/>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25" w:rsidRDefault="007E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25" w:rsidRDefault="007E7325" w:rsidP="00CB2493">
      <w:pPr>
        <w:spacing w:after="0" w:line="240" w:lineRule="auto"/>
      </w:pPr>
      <w:r>
        <w:separator/>
      </w:r>
    </w:p>
  </w:footnote>
  <w:footnote w:type="continuationSeparator" w:id="0">
    <w:p w:rsidR="007E7325" w:rsidRDefault="007E7325" w:rsidP="00CB2493">
      <w:pPr>
        <w:spacing w:after="0" w:line="240" w:lineRule="auto"/>
      </w:pPr>
      <w:r>
        <w:continuationSeparator/>
      </w:r>
    </w:p>
  </w:footnote>
  <w:footnote w:type="continuationNotice" w:id="1">
    <w:p w:rsidR="007E7325" w:rsidRDefault="007E7325">
      <w:pPr>
        <w:spacing w:after="0" w:line="240" w:lineRule="auto"/>
      </w:pPr>
    </w:p>
  </w:footnote>
  <w:footnote w:id="2">
    <w:p w:rsidR="007E7325" w:rsidRPr="008D5E65" w:rsidRDefault="007E7325" w:rsidP="00C92A87">
      <w:pPr>
        <w:pStyle w:val="FootnoteText"/>
        <w:ind w:left="720" w:hanging="720"/>
      </w:pPr>
      <w:r>
        <w:rPr>
          <w:rStyle w:val="FootnoteReference"/>
        </w:rPr>
        <w:footnoteRef/>
      </w:r>
      <w:r>
        <w:t xml:space="preserve"> </w:t>
      </w:r>
      <w:r>
        <w:tab/>
        <w:t xml:space="preserve">O setor público representava 53,1 % do PIB em 2020, </w:t>
      </w:r>
      <w:hyperlink w:anchor="Government_revenue_and_expenditure" w:history="1">
        <w:r>
          <w:rPr>
            <w:rStyle w:val="Hyperlink"/>
          </w:rPr>
          <w:t>https://ec.europa.eu/eurostat/statistics-explained/index.php?title=Government_finance_statistics#Government_revenue_and_expenditure</w:t>
        </w:r>
      </w:hyperlink>
      <w:r>
        <w:t>.</w:t>
      </w:r>
    </w:p>
  </w:footnote>
  <w:footnote w:id="3">
    <w:p w:rsidR="007E7325" w:rsidRPr="008D5E65" w:rsidRDefault="007E7325" w:rsidP="00C92A87">
      <w:pPr>
        <w:pStyle w:val="FootnoteText"/>
        <w:ind w:left="720" w:hanging="720"/>
      </w:pPr>
      <w:r>
        <w:rPr>
          <w:rStyle w:val="FootnoteReference"/>
        </w:rPr>
        <w:footnoteRef/>
      </w:r>
      <w:r>
        <w:t xml:space="preserve"> </w:t>
      </w:r>
      <w:r>
        <w:tab/>
        <w:t>Nomeadamente nas declarações ministeriais adotadas em Taline em 2017 (</w:t>
      </w:r>
      <w:hyperlink r:id="rId1" w:history="1">
        <w:r>
          <w:rPr>
            <w:rStyle w:val="Hyperlink"/>
          </w:rPr>
          <w:t>https://digital-strategy.ec.europa.eu/en/news/ministerial-declaration-egovernment-tallinn-declaration</w:t>
        </w:r>
      </w:hyperlink>
      <w:r>
        <w:t>), em Berlim em 2020 (</w:t>
      </w:r>
      <w:hyperlink r:id="rId2" w:history="1">
        <w:r>
          <w:rPr>
            <w:rStyle w:val="Hyperlink"/>
          </w:rPr>
          <w:t>https://ec.europa.eu/isa2/sites/isa/files/cdr_20201207_eu2020_berlin_declaration_on_digital_society_and_value-based_digital_government_.pdf</w:t>
        </w:r>
      </w:hyperlink>
      <w:r>
        <w:t>), em Lisboa em 2021 (</w:t>
      </w:r>
      <w:hyperlink r:id="rId3" w:history="1">
        <w:r>
          <w:rPr>
            <w:rStyle w:val="Hyperlink"/>
          </w:rPr>
          <w:t>https://www.lisbondeclaration.eu/</w:t>
        </w:r>
      </w:hyperlink>
      <w:r>
        <w:t>) e em Estrasburgo em 2022 (</w:t>
      </w:r>
      <w:hyperlink r:id="rId4" w:history="1">
        <w:r>
          <w:rPr>
            <w:rStyle w:val="Hyperlink"/>
          </w:rPr>
          <w:t>https://www.eupan.eu/2022/04/presidence-francaise-2022-french-presidency-2022/</w:t>
        </w:r>
      </w:hyperlink>
      <w:r>
        <w:t>).</w:t>
      </w:r>
    </w:p>
  </w:footnote>
  <w:footnote w:id="4">
    <w:p w:rsidR="007E7325" w:rsidRPr="008D5E65" w:rsidRDefault="007E7325" w:rsidP="00C92A87">
      <w:pPr>
        <w:spacing w:after="0" w:line="240" w:lineRule="auto"/>
        <w:ind w:left="720" w:hanging="720"/>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r>
        <w:rPr>
          <w:rFonts w:ascii="Times New Roman" w:hAnsi="Times New Roman"/>
          <w:sz w:val="20"/>
        </w:rPr>
        <w:t xml:space="preserve">Exemplificado pela cooperação </w:t>
      </w:r>
      <w:r>
        <w:rPr>
          <w:rFonts w:ascii="Times New Roman" w:hAnsi="Times New Roman"/>
          <w:i/>
          <w:sz w:val="20"/>
        </w:rPr>
        <w:t>Living-in-EU</w:t>
      </w:r>
      <w:r>
        <w:rPr>
          <w:rFonts w:ascii="Times New Roman" w:hAnsi="Times New Roman"/>
          <w:sz w:val="20"/>
        </w:rPr>
        <w:t xml:space="preserve">, </w:t>
      </w:r>
      <w:hyperlink r:id="rId5" w:history="1">
        <w:r>
          <w:rPr>
            <w:rStyle w:val="Hyperlink"/>
            <w:rFonts w:ascii="Times New Roman" w:hAnsi="Times New Roman"/>
            <w:sz w:val="20"/>
          </w:rPr>
          <w:t>https://living-in.eu/</w:t>
        </w:r>
      </w:hyperlink>
      <w:r>
        <w:t>.</w:t>
      </w:r>
    </w:p>
  </w:footnote>
  <w:footnote w:id="5">
    <w:p w:rsidR="007E7325" w:rsidRPr="008D5E65" w:rsidRDefault="007E7325" w:rsidP="00C92A87">
      <w:pPr>
        <w:pStyle w:val="FootnoteText"/>
        <w:ind w:left="720" w:hanging="720"/>
      </w:pPr>
      <w:r>
        <w:rPr>
          <w:rStyle w:val="FootnoteReference"/>
        </w:rPr>
        <w:footnoteRef/>
      </w:r>
      <w:r>
        <w:t xml:space="preserve"> </w:t>
      </w:r>
      <w:r>
        <w:tab/>
        <w:t xml:space="preserve">A via europeia para a Década Digital, COM(2021) 118 final, </w:t>
      </w:r>
      <w:hyperlink r:id="rId6" w:history="1">
        <w:r>
          <w:rPr>
            <w:rStyle w:val="Hyperlink"/>
          </w:rPr>
          <w:t>https://ec.europa.eu/info/strategy/priorities-2019-2024/europe-fit-digital-age/europes-digital-decade-digital-targets-2030_pt</w:t>
        </w:r>
      </w:hyperlink>
      <w:r>
        <w:t>.</w:t>
      </w:r>
    </w:p>
  </w:footnote>
  <w:footnote w:id="6">
    <w:p w:rsidR="007E7325" w:rsidRPr="008D5E65" w:rsidRDefault="007E7325" w:rsidP="00C92A87">
      <w:pPr>
        <w:pStyle w:val="FootnoteText"/>
        <w:ind w:left="720" w:hanging="720"/>
      </w:pPr>
      <w:r>
        <w:rPr>
          <w:rStyle w:val="FootnoteReference"/>
        </w:rPr>
        <w:footnoteRef/>
      </w:r>
      <w:r>
        <w:t xml:space="preserve"> </w:t>
      </w:r>
      <w:r>
        <w:tab/>
        <w:t xml:space="preserve">Com base em </w:t>
      </w:r>
      <w:hyperlink r:id="rId7" w:history="1">
        <w:r>
          <w:rPr>
            <w:rStyle w:val="Hyperlink"/>
          </w:rPr>
          <w:t>https://ec.europa.eu/info/files/recovery-and-resilience-facility-annual-report_pt</w:t>
        </w:r>
      </w:hyperlink>
      <w:r>
        <w:rPr>
          <w:rStyle w:val="Hyperlink"/>
        </w:rPr>
        <w:t>, página 25</w:t>
      </w:r>
      <w:r>
        <w:t>.</w:t>
      </w:r>
    </w:p>
  </w:footnote>
  <w:footnote w:id="7">
    <w:p w:rsidR="007E7325" w:rsidRPr="008D5E65" w:rsidRDefault="007E7325" w:rsidP="00C92A87">
      <w:pPr>
        <w:pStyle w:val="FootnoteText"/>
        <w:ind w:left="720" w:hanging="720"/>
      </w:pPr>
      <w:r>
        <w:rPr>
          <w:rStyle w:val="FootnoteReference"/>
        </w:rPr>
        <w:footnoteRef/>
      </w:r>
      <w:r>
        <w:t xml:space="preserve"> </w:t>
      </w:r>
      <w:r>
        <w:tab/>
        <w:t>Proposta de REGULAMENTO DO PARLAMENTO EUROPEU E DO CONSELHO que estabelece medidas para um elevado nível de interoperabilidade do setor público em toda a União (Regulamento Europa Interoperável), COM(2022) 720 final.</w:t>
      </w:r>
    </w:p>
  </w:footnote>
  <w:footnote w:id="8">
    <w:p w:rsidR="007E7325" w:rsidRPr="008D5E65" w:rsidRDefault="007E7325" w:rsidP="00C92A87">
      <w:pPr>
        <w:pStyle w:val="FootnoteText"/>
        <w:ind w:left="720" w:hanging="720"/>
      </w:pPr>
      <w:r>
        <w:rPr>
          <w:rStyle w:val="FootnoteReference"/>
        </w:rPr>
        <w:footnoteRef/>
      </w:r>
      <w:r>
        <w:t xml:space="preserve"> </w:t>
      </w:r>
      <w:r>
        <w:tab/>
      </w:r>
      <w:hyperlink r:id="rId8" w:history="1">
        <w:r>
          <w:rPr>
            <w:rStyle w:val="Hyperlink"/>
          </w:rPr>
          <w:t>https://ec.europa.eu/info/strategy/priorities-2019-2024/europe-fit-digital-age/shaping-europe-digital-future_pt</w:t>
        </w:r>
      </w:hyperlink>
      <w:r>
        <w:t>.</w:t>
      </w:r>
    </w:p>
  </w:footnote>
  <w:footnote w:id="9">
    <w:p w:rsidR="007E7325" w:rsidRPr="008D5E65" w:rsidRDefault="007E7325" w:rsidP="00C92A87">
      <w:pPr>
        <w:pStyle w:val="FootnoteText"/>
        <w:ind w:left="720" w:hanging="720"/>
      </w:pPr>
      <w:r>
        <w:rPr>
          <w:rStyle w:val="FootnoteReference"/>
        </w:rPr>
        <w:footnoteRef/>
      </w:r>
      <w:r>
        <w:t xml:space="preserve"> </w:t>
      </w:r>
      <w:r>
        <w:tab/>
        <w:t xml:space="preserve">Por exemplo, </w:t>
      </w:r>
      <w:hyperlink r:id="rId9" w:history="1">
        <w:r>
          <w:rPr>
            <w:rStyle w:val="Hyperlink"/>
          </w:rPr>
          <w:t>https://nordicsmartgovernment.org/</w:t>
        </w:r>
      </w:hyperlink>
      <w:r>
        <w:t>, uma iniciativa de cinco países nórdicos para criar serviços públicos interoperáveis transfronteiras e transetoriais.</w:t>
      </w:r>
    </w:p>
  </w:footnote>
  <w:footnote w:id="10">
    <w:p w:rsidR="007E7325" w:rsidRPr="008D5E65" w:rsidRDefault="007E7325" w:rsidP="00C92A87">
      <w:pPr>
        <w:pStyle w:val="FootnoteText"/>
        <w:ind w:left="720" w:hanging="720"/>
      </w:pPr>
      <w:r>
        <w:rPr>
          <w:rStyle w:val="FootnoteReference"/>
        </w:rPr>
        <w:footnoteRef/>
      </w:r>
      <w:r>
        <w:t xml:space="preserve"> </w:t>
      </w:r>
      <w:r>
        <w:tab/>
        <w:t xml:space="preserve">O caso das cidades inteligentes, em que as questões de energia, ambiente, transportes, água, resíduos e digitais têm de ser consideradas em conjunto, constitui um exemplo destas políticas multifacetadas, </w:t>
      </w:r>
      <w:hyperlink r:id="rId10" w:history="1">
        <w:r>
          <w:rPr>
            <w:rStyle w:val="Hyperlink"/>
          </w:rPr>
          <w:t>https://ec.europa.eu/info/eu-regional-and-urban-development/topics/cities-and-urban-development/city-initiatives/smart-cities_en</w:t>
        </w:r>
      </w:hyperlink>
      <w:r>
        <w:t>.</w:t>
      </w:r>
    </w:p>
  </w:footnote>
  <w:footnote w:id="11">
    <w:p w:rsidR="007E7325" w:rsidRPr="008D5E65" w:rsidRDefault="007E7325" w:rsidP="00C92A87">
      <w:pPr>
        <w:pStyle w:val="FootnoteText"/>
        <w:ind w:left="720" w:hanging="720"/>
      </w:pPr>
      <w:r>
        <w:rPr>
          <w:rStyle w:val="FootnoteReference"/>
        </w:rPr>
        <w:footnoteRef/>
      </w:r>
      <w:r>
        <w:t xml:space="preserve"> </w:t>
      </w:r>
      <w:r>
        <w:tab/>
        <w:t>Os artigos 170.º a 172.º do Tratado sobre o Funcionamento da União Europeia (TFUE) estabelecem a competência da UE para criar e desenvolver redes transeuropeias e fomentar a interconexão e a interoperabilidade das redes nacionais. Tal implica cada vez mais a combinação de «hardware» e «software» e a ligação de sistemas «soberanos» numa rede comum de redes digitais, de energia e de transportes.</w:t>
      </w:r>
    </w:p>
  </w:footnote>
  <w:footnote w:id="12">
    <w:p w:rsidR="007E7325" w:rsidRPr="008D5E65" w:rsidRDefault="007E7325" w:rsidP="00C92A87">
      <w:pPr>
        <w:pStyle w:val="FootnoteText"/>
        <w:ind w:left="720" w:hanging="720"/>
      </w:pPr>
      <w:r>
        <w:rPr>
          <w:rStyle w:val="FootnoteReference"/>
        </w:rPr>
        <w:footnoteRef/>
      </w:r>
      <w:r>
        <w:t xml:space="preserve"> </w:t>
      </w:r>
      <w:r>
        <w:tab/>
      </w:r>
      <w:hyperlink r:id="rId11" w:history="1">
        <w:r>
          <w:rPr>
            <w:rStyle w:val="Hyperlink"/>
          </w:rPr>
          <w:t>https://joinup.ec.europa.eu/collection/nifo-national-interoperability-framework-observatory/european-interoperability-framework</w:t>
        </w:r>
      </w:hyperlink>
      <w:r>
        <w:t>.</w:t>
      </w:r>
    </w:p>
  </w:footnote>
  <w:footnote w:id="13">
    <w:p w:rsidR="007E7325" w:rsidRPr="008D5E65" w:rsidRDefault="007E7325" w:rsidP="00C92A87">
      <w:pPr>
        <w:pStyle w:val="FootnoteText"/>
        <w:ind w:left="720" w:hanging="720"/>
      </w:pPr>
      <w:r>
        <w:rPr>
          <w:rStyle w:val="FootnoteReference"/>
        </w:rPr>
        <w:footnoteRef/>
      </w:r>
      <w:r>
        <w:t xml:space="preserve"> </w:t>
      </w:r>
      <w:r>
        <w:tab/>
      </w:r>
      <w:hyperlink r:id="rId12" w:history="1">
        <w:r>
          <w:rPr>
            <w:rStyle w:val="Hyperlink"/>
          </w:rPr>
          <w:t>https://joinup.ec.europa.eu/collection/nifo-national-interoperability-framework-observatory/national-interoperability-initiatives</w:t>
        </w:r>
      </w:hyperlink>
      <w:r>
        <w:t xml:space="preserve">. </w:t>
      </w:r>
    </w:p>
  </w:footnote>
  <w:footnote w:id="14">
    <w:p w:rsidR="007E7325" w:rsidRPr="008D5E65" w:rsidRDefault="007E7325" w:rsidP="00C92A87">
      <w:pPr>
        <w:pStyle w:val="FootnoteText"/>
        <w:ind w:left="720" w:hanging="720"/>
      </w:pPr>
      <w:r>
        <w:rPr>
          <w:rStyle w:val="FootnoteReference"/>
        </w:rPr>
        <w:footnoteRef/>
      </w:r>
      <w:r>
        <w:t xml:space="preserve"> </w:t>
      </w:r>
      <w:r>
        <w:tab/>
        <w:t>Tal como sublinhado na Declaração de Berlim acima referida.</w:t>
      </w:r>
    </w:p>
  </w:footnote>
  <w:footnote w:id="15">
    <w:p w:rsidR="007E7325" w:rsidRPr="008D5E65" w:rsidRDefault="007E7325" w:rsidP="00C92A87">
      <w:pPr>
        <w:pStyle w:val="FootnoteText"/>
        <w:ind w:left="720" w:hanging="720"/>
      </w:pPr>
      <w:r>
        <w:rPr>
          <w:rStyle w:val="FootnoteReference"/>
        </w:rPr>
        <w:footnoteRef/>
      </w:r>
      <w:r>
        <w:t xml:space="preserve"> </w:t>
      </w:r>
      <w:r>
        <w:tab/>
        <w:t xml:space="preserve">Estudo do Centro Comum de Investigação da Comissão, </w:t>
      </w:r>
      <w:hyperlink r:id="rId13" w:history="1">
        <w:r>
          <w:rPr>
            <w:rStyle w:val="Hyperlink"/>
          </w:rPr>
          <w:t>https://publications.jrc.ec.europa.eu/repository/handle/JRC127330</w:t>
        </w:r>
      </w:hyperlink>
      <w:r>
        <w:t>.</w:t>
      </w:r>
    </w:p>
  </w:footnote>
  <w:footnote w:id="16">
    <w:p w:rsidR="007E7325" w:rsidRPr="008D5E65" w:rsidRDefault="007E7325" w:rsidP="00C92A87">
      <w:pPr>
        <w:pStyle w:val="FootnoteText"/>
        <w:ind w:left="720" w:hanging="720"/>
        <w:rPr>
          <w:highlight w:val="yellow"/>
        </w:rPr>
      </w:pPr>
      <w:r>
        <w:rPr>
          <w:rStyle w:val="FootnoteReference"/>
        </w:rPr>
        <w:footnoteRef/>
      </w:r>
      <w:r>
        <w:t xml:space="preserve"> </w:t>
      </w:r>
      <w:r>
        <w:tab/>
        <w:t xml:space="preserve">O projeto DIGI4FED é um exemplo disso: </w:t>
      </w:r>
      <w:hyperlink r:id="rId14" w:history="1">
        <w:r>
          <w:rPr>
            <w:rStyle w:val="Hyperlink"/>
          </w:rPr>
          <w:t>https://www.uantwerpen.be/en/research-groups/govtrust/research/projects/digi4fed/</w:t>
        </w:r>
      </w:hyperlink>
      <w:r>
        <w:t>.</w:t>
      </w:r>
    </w:p>
  </w:footnote>
  <w:footnote w:id="17">
    <w:p w:rsidR="007E7325" w:rsidRPr="008D5E65" w:rsidRDefault="007E7325" w:rsidP="00C92A87">
      <w:pPr>
        <w:pStyle w:val="FootnoteText"/>
        <w:ind w:left="720" w:hanging="720"/>
      </w:pPr>
      <w:r>
        <w:rPr>
          <w:rStyle w:val="FootnoteReference"/>
        </w:rPr>
        <w:footnoteRef/>
      </w:r>
      <w:r>
        <w:t xml:space="preserve"> </w:t>
      </w:r>
      <w:r>
        <w:tab/>
        <w:t>Por exemplo, a Tarifa Social de Energia Automática em Portugal, que ganhou um prémio das Nações Unidas (</w:t>
      </w:r>
      <w:hyperlink r:id="rId15" w:history="1">
        <w:r>
          <w:rPr>
            <w:rStyle w:val="Hyperlink"/>
          </w:rPr>
          <w:t>https://eportugal.gov.pt/pt/noticias/tarifa-social-de-energia-automatica-premiada-pela-onu</w:t>
        </w:r>
      </w:hyperlink>
      <w:r>
        <w:t>), ou as ferramentas eTranslation utilizadas para o portal da Conferência sobre o Futuro da Europa, à disposição das administrações públicas (</w:t>
      </w:r>
      <w:hyperlink r:id="rId16" w:history="1">
        <w:r>
          <w:rPr>
            <w:rStyle w:val="Hyperlink"/>
          </w:rPr>
          <w:t>https://ec.europa.eu/info/resources-partners/machine-translation-public-administrations-etranslation_en</w:t>
        </w:r>
      </w:hyperlink>
      <w:r>
        <w:t>).</w:t>
      </w:r>
    </w:p>
  </w:footnote>
  <w:footnote w:id="18">
    <w:p w:rsidR="007E7325" w:rsidRPr="008D5E65" w:rsidRDefault="007E7325" w:rsidP="00C92A87">
      <w:pPr>
        <w:pStyle w:val="FootnoteText"/>
        <w:ind w:left="720" w:hanging="720"/>
        <w:rPr>
          <w:highlight w:val="yellow"/>
        </w:rPr>
      </w:pPr>
      <w:r>
        <w:rPr>
          <w:rStyle w:val="FootnoteReference"/>
        </w:rPr>
        <w:footnoteRef/>
      </w:r>
      <w:r>
        <w:t xml:space="preserve"> </w:t>
      </w:r>
      <w:r>
        <w:tab/>
        <w:t xml:space="preserve">Ver </w:t>
      </w:r>
      <w:hyperlink r:id="rId17" w:history="1">
        <w:r>
          <w:rPr>
            <w:rStyle w:val="Hyperlink"/>
          </w:rPr>
          <w:t>https://www.sciencedirect.com/science/article/pii/S2468042722000033</w:t>
        </w:r>
      </w:hyperlink>
      <w:r>
        <w:t>.</w:t>
      </w:r>
    </w:p>
  </w:footnote>
  <w:footnote w:id="19">
    <w:p w:rsidR="007E7325" w:rsidRPr="008D5E65" w:rsidRDefault="007E7325" w:rsidP="00C92A87">
      <w:pPr>
        <w:pStyle w:val="NormalWeb"/>
        <w:spacing w:before="0" w:beforeAutospacing="0" w:after="0" w:afterAutospacing="0"/>
        <w:ind w:left="720" w:hanging="720"/>
        <w:rPr>
          <w:sz w:val="20"/>
          <w:szCs w:val="20"/>
        </w:rPr>
      </w:pPr>
      <w:r>
        <w:rPr>
          <w:rStyle w:val="FootnoteReference"/>
          <w:sz w:val="20"/>
          <w:szCs w:val="20"/>
          <w:lang w:val="en-GB"/>
        </w:rPr>
        <w:footnoteRef/>
      </w:r>
      <w:r>
        <w:rPr>
          <w:sz w:val="20"/>
        </w:rPr>
        <w:t xml:space="preserve"> </w:t>
      </w:r>
      <w:r>
        <w:tab/>
      </w:r>
      <w:r>
        <w:rPr>
          <w:sz w:val="20"/>
        </w:rPr>
        <w:t xml:space="preserve">Incluindo os ativos desenvolvidos em cooperação com os países da UE e com o apoio financeiro dos antigos programas ISA² e MIE-Telecomunicações, ver </w:t>
      </w:r>
      <w:hyperlink r:id="rId18" w:history="1">
        <w:r>
          <w:rPr>
            <w:rStyle w:val="Hyperlink"/>
            <w:sz w:val="20"/>
          </w:rPr>
          <w:t>https://joinup.ec.europa.eu/</w:t>
        </w:r>
      </w:hyperlink>
      <w:r>
        <w:t>.</w:t>
      </w:r>
    </w:p>
  </w:footnote>
  <w:footnote w:id="20">
    <w:p w:rsidR="007E7325" w:rsidRPr="008D5E65" w:rsidRDefault="007E7325" w:rsidP="00C92A87">
      <w:pPr>
        <w:pStyle w:val="FootnoteText"/>
        <w:ind w:left="720" w:hanging="720"/>
      </w:pPr>
      <w:r>
        <w:rPr>
          <w:rStyle w:val="FootnoteReference"/>
        </w:rPr>
        <w:footnoteRef/>
      </w:r>
      <w:r>
        <w:t xml:space="preserve"> </w:t>
      </w:r>
      <w:r>
        <w:tab/>
        <w:t xml:space="preserve">Como a legislação e a prática nacionais espanholas em matéria de interoperabilidade, ver </w:t>
      </w:r>
      <w:hyperlink r:id="rId19" w:history="1">
        <w:r>
          <w:rPr>
            <w:rStyle w:val="Hyperlink"/>
          </w:rPr>
          <w:t>https://www.boe.es/buscar/act.php?id=BOE-A-2010-1331</w:t>
        </w:r>
      </w:hyperlink>
      <w:r>
        <w:t xml:space="preserve"> e </w:t>
      </w:r>
      <w:hyperlink r:id="rId20" w:history="1">
        <w:r>
          <w:rPr>
            <w:rStyle w:val="Hyperlink"/>
          </w:rPr>
          <w:t>https://www.boe.es/biblioteca_juridica/index.php?tipo=C</w:t>
        </w:r>
      </w:hyperlink>
      <w:r>
        <w:t>.</w:t>
      </w:r>
    </w:p>
  </w:footnote>
  <w:footnote w:id="21">
    <w:p w:rsidR="007E7325" w:rsidRPr="008D5E65" w:rsidRDefault="007E7325" w:rsidP="00C92A87">
      <w:pPr>
        <w:pStyle w:val="FootnoteText"/>
        <w:ind w:left="720" w:hanging="720"/>
      </w:pPr>
      <w:r>
        <w:rPr>
          <w:rStyle w:val="FootnoteReference"/>
        </w:rPr>
        <w:footnoteRef/>
      </w:r>
      <w:r>
        <w:t xml:space="preserve"> </w:t>
      </w:r>
      <w:r>
        <w:tab/>
        <w:t>Algumas políticas importantes da UE começaram e/ou foram apoiadas por projetos de interoperabilidade, por exemplo, o Regulamento eIDAS (</w:t>
      </w:r>
      <w:hyperlink r:id="rId21" w:history="1">
        <w:r>
          <w:rPr>
            <w:rStyle w:val="Hyperlink"/>
          </w:rPr>
          <w:t>https://digital-strategy.ec.europa.eu/en/policies/eidas-regulation</w:t>
        </w:r>
      </w:hyperlink>
      <w:r>
        <w:t>) ou a Infraestrutura Europeia de Cadeia de Blocos no Setor dos Serviços (</w:t>
      </w:r>
      <w:hyperlink r:id="rId22" w:history="1">
        <w:r>
          <w:rPr>
            <w:rStyle w:val="Hyperlink"/>
          </w:rPr>
          <w:t>https://ec.europa.eu/cefdigital/wiki/display/CEFDIGITAL/ebsi</w:t>
        </w:r>
      </w:hyperlink>
      <w:r>
        <w:t>).</w:t>
      </w:r>
    </w:p>
  </w:footnote>
  <w:footnote w:id="22">
    <w:p w:rsidR="007E7325" w:rsidRPr="008D5E65" w:rsidRDefault="007E7325" w:rsidP="00C92A87">
      <w:pPr>
        <w:pStyle w:val="FootnoteText"/>
        <w:ind w:left="720" w:hanging="720"/>
      </w:pPr>
      <w:r>
        <w:rPr>
          <w:rStyle w:val="FootnoteReference"/>
        </w:rPr>
        <w:footnoteRef/>
      </w:r>
      <w:r>
        <w:t xml:space="preserve"> </w:t>
      </w:r>
      <w:r>
        <w:tab/>
        <w:t>A abordagem dos aspetos digitais e da interoperabilidade numa fase precoce da conceção das políticas oferece benefícios específicos, tal como salientado nas orientações sobre a avaliação de impacto das TIC elaboradas pela Comissão em 2018 (</w:t>
      </w:r>
      <w:hyperlink r:id="rId23" w:history="1">
        <w:r>
          <w:rPr>
            <w:rStyle w:val="Hyperlink"/>
          </w:rPr>
          <w:t>https://ec.europa.eu/isa2/sites/isa/files/ict_impact_assessment_guidelines.pdf</w:t>
        </w:r>
      </w:hyperlink>
      <w:r>
        <w:t>) e especificadas nas recomendações dos membros do grupo de peritos da Comissão sobre a interoperabilidade dos serviços públicos (</w:t>
      </w:r>
      <w:hyperlink r:id="rId24" w:history="1">
        <w:r>
          <w:rPr>
            <w:rStyle w:val="Hyperlink"/>
          </w:rPr>
          <w:t>https://joinup.ec.europa.eu/collection/interoperable-europe/news/official-expert-recommendations-new-interoperability-policy</w:t>
        </w:r>
      </w:hyperlink>
      <w:r>
        <w:t>).</w:t>
      </w:r>
    </w:p>
  </w:footnote>
  <w:footnote w:id="23">
    <w:p w:rsidR="007E7325" w:rsidRPr="008D5E65" w:rsidRDefault="007E7325" w:rsidP="00C92A87">
      <w:pPr>
        <w:pStyle w:val="FootnoteText"/>
        <w:ind w:left="720" w:hanging="720"/>
      </w:pPr>
      <w:r>
        <w:rPr>
          <w:rStyle w:val="FootnoteReference"/>
        </w:rPr>
        <w:footnoteRef/>
      </w:r>
      <w:r>
        <w:t xml:space="preserve"> </w:t>
      </w:r>
      <w:r>
        <w:tab/>
        <w:t xml:space="preserve">Por exemplo, a falta de coerência dos dados prejudicou a capacidade de a UE responder colaborativamente numa fase precoce da crise da COVID-19, tal como constatado por Renda, A., e Castro, R. (2020), em </w:t>
      </w:r>
      <w:r>
        <w:rPr>
          <w:i/>
        </w:rPr>
        <w:t>Towards stronger EU governance of health threats after the COVID-19 pandemic</w:t>
      </w:r>
      <w:r>
        <w:t>, European Journal of Risk Regulation, 11 (2), p. 273.</w:t>
      </w:r>
    </w:p>
  </w:footnote>
  <w:footnote w:id="24">
    <w:p w:rsidR="007E7325" w:rsidRPr="007E7325" w:rsidRDefault="007E7325" w:rsidP="00C92A87">
      <w:pPr>
        <w:pStyle w:val="FootnoteText"/>
        <w:ind w:left="720" w:hanging="720"/>
        <w:rPr>
          <w:lang w:val="en-US"/>
        </w:rPr>
      </w:pPr>
      <w:r>
        <w:rPr>
          <w:rStyle w:val="FootnoteReference"/>
        </w:rPr>
        <w:footnoteRef/>
      </w:r>
      <w:r w:rsidRPr="007E7325">
        <w:rPr>
          <w:lang w:val="en-US"/>
        </w:rPr>
        <w:t xml:space="preserve"> </w:t>
      </w:r>
      <w:r w:rsidRPr="007E7325">
        <w:rPr>
          <w:lang w:val="en-US"/>
        </w:rPr>
        <w:tab/>
        <w:t xml:space="preserve">Ver </w:t>
      </w:r>
      <w:r w:rsidRPr="007E7325">
        <w:rPr>
          <w:i/>
          <w:lang w:val="en-US"/>
        </w:rPr>
        <w:t>GovTech Practices in the EU</w:t>
      </w:r>
      <w:r w:rsidRPr="007E7325">
        <w:rPr>
          <w:lang w:val="en-US"/>
        </w:rPr>
        <w:t xml:space="preserve"> (</w:t>
      </w:r>
      <w:hyperlink r:id="rId25" w:history="1">
        <w:r w:rsidRPr="007E7325">
          <w:rPr>
            <w:rStyle w:val="Hyperlink"/>
            <w:lang w:val="en-US"/>
          </w:rPr>
          <w:t>https://publications.jrc.ec.europa.eu/repository/handle/JRC128247</w:t>
        </w:r>
      </w:hyperlink>
      <w:r w:rsidRPr="007E7325">
        <w:rPr>
          <w:lang w:val="en-US"/>
        </w:rPr>
        <w:t xml:space="preserve">) ou </w:t>
      </w:r>
      <w:r w:rsidRPr="007E7325">
        <w:rPr>
          <w:i/>
          <w:lang w:val="en-US"/>
        </w:rPr>
        <w:t>Exploring Digital Government Transformation in the EU - Understanding public sector innovation in a data-driven society</w:t>
      </w:r>
      <w:r w:rsidRPr="007E7325">
        <w:rPr>
          <w:lang w:val="en-US"/>
        </w:rPr>
        <w:t xml:space="preserve"> (</w:t>
      </w:r>
      <w:hyperlink r:id="rId26" w:history="1">
        <w:r w:rsidRPr="007E7325">
          <w:rPr>
            <w:rStyle w:val="Hyperlink"/>
            <w:lang w:val="en-US"/>
          </w:rPr>
          <w:t>https://publications.jrc.ec.europa.eu/repository/handle/JRC121548</w:t>
        </w:r>
      </w:hyperlink>
      <w:r w:rsidRPr="007E7325">
        <w:rPr>
          <w:lang w:val="en-US"/>
        </w:rPr>
        <w:t>).</w:t>
      </w:r>
    </w:p>
  </w:footnote>
  <w:footnote w:id="25">
    <w:p w:rsidR="007E7325" w:rsidRPr="008D5E65" w:rsidRDefault="007E7325" w:rsidP="00C92A87">
      <w:pPr>
        <w:pStyle w:val="FootnoteText"/>
        <w:ind w:left="720" w:hanging="720"/>
      </w:pPr>
      <w:r>
        <w:rPr>
          <w:rStyle w:val="FootnoteReference"/>
        </w:rPr>
        <w:footnoteRef/>
      </w:r>
      <w:r>
        <w:t xml:space="preserve"> </w:t>
      </w:r>
      <w:r>
        <w:tab/>
        <w:t>Uma política (ou um ato jurídico) está preparada para o digital se permitir uma execução de políticas harmoniosa e digital por defeito e for conducente à transformação digital graças à melhor utilização possível das tecnologias e dos dados (</w:t>
      </w:r>
      <w:hyperlink r:id="rId27" w:history="1">
        <w:r>
          <w:rPr>
            <w:rStyle w:val="Hyperlink"/>
          </w:rPr>
          <w:t>https://joinup.ec.europa.eu/collection/better-legislation-smoother-implementation/digital-ready-policymaking</w:t>
        </w:r>
      </w:hyperlink>
      <w:r>
        <w:t>). Ver também a ferramenta 28 da Comissão Europeia para legislar melhor sobre a elaboração de políticas preparadas para o digital (</w:t>
      </w:r>
      <w:hyperlink r:id="rId28" w:history="1">
        <w:r>
          <w:rPr>
            <w:rStyle w:val="Hyperlink"/>
          </w:rPr>
          <w:t>https://ec.europa.eu/info/files/chapter-3-identifying-impacts-evaluations-fitness-checks-and-impact-assessments_en</w:t>
        </w:r>
      </w:hyperlink>
      <w:r>
        <w:t>).</w:t>
      </w:r>
    </w:p>
  </w:footnote>
  <w:footnote w:id="26">
    <w:p w:rsidR="007E7325" w:rsidRPr="008D5E65" w:rsidRDefault="007E7325" w:rsidP="00C92A87">
      <w:pPr>
        <w:pStyle w:val="FootnoteText"/>
        <w:ind w:left="720" w:hanging="720"/>
      </w:pPr>
      <w:r>
        <w:rPr>
          <w:rStyle w:val="FootnoteReference"/>
        </w:rPr>
        <w:footnoteRef/>
      </w:r>
      <w:r>
        <w:t xml:space="preserve"> </w:t>
      </w:r>
      <w:r>
        <w:tab/>
      </w:r>
      <w:hyperlink r:id="rId29" w:history="1">
        <w:r>
          <w:rPr>
            <w:rStyle w:val="Hyperlink"/>
          </w:rPr>
          <w:t>https://joinup.ec.europa.eu/collection/national-interoperability-framework-observatory/eif-toolbox</w:t>
        </w:r>
      </w:hyperlink>
      <w:r>
        <w:t>.</w:t>
      </w:r>
    </w:p>
  </w:footnote>
  <w:footnote w:id="27">
    <w:p w:rsidR="007E7325" w:rsidRPr="008D5E65" w:rsidRDefault="007E7325" w:rsidP="00C92A87">
      <w:pPr>
        <w:pStyle w:val="FootnoteText"/>
        <w:ind w:left="709" w:hanging="709"/>
      </w:pPr>
      <w:r>
        <w:rPr>
          <w:rStyle w:val="FootnoteReference"/>
        </w:rPr>
        <w:footnoteRef/>
      </w:r>
      <w:r>
        <w:t xml:space="preserve"> </w:t>
      </w:r>
      <w:r>
        <w:tab/>
        <w:t xml:space="preserve">A Comissão já adotou a primeira proposta relativa a um espaço de dados setorial, a proposta de regulamento relativo ao Espaço Europeu de Dados de Saúde, </w:t>
      </w:r>
      <w:hyperlink r:id="rId30" w:history="1">
        <w:r>
          <w:rPr>
            <w:rStyle w:val="Hyperlink"/>
          </w:rPr>
          <w:t>https://ec.europa.eu/commission/presscorner/detail/pt/ip_22_2711</w:t>
        </w:r>
      </w:hyperlink>
      <w:r>
        <w:t>.</w:t>
      </w:r>
    </w:p>
  </w:footnote>
  <w:footnote w:id="28">
    <w:p w:rsidR="007E7325" w:rsidRPr="008D5E65" w:rsidRDefault="007E7325" w:rsidP="00C92A87">
      <w:pPr>
        <w:pStyle w:val="FootnoteText"/>
      </w:pPr>
      <w:r>
        <w:rPr>
          <w:rStyle w:val="FootnoteReference"/>
        </w:rPr>
        <w:footnoteRef/>
      </w:r>
      <w:r>
        <w:t xml:space="preserve"> </w:t>
      </w:r>
      <w:r>
        <w:tab/>
      </w:r>
      <w:hyperlink r:id="rId31" w:history="1">
        <w:r>
          <w:rPr>
            <w:rStyle w:val="Hyperlink"/>
          </w:rPr>
          <w:t>https://ec.europa.eu/commission/presscorner/detail/pt/ip_22_1113</w:t>
        </w:r>
      </w:hyperlink>
      <w:r>
        <w:t>.</w:t>
      </w:r>
    </w:p>
  </w:footnote>
  <w:footnote w:id="29">
    <w:p w:rsidR="007E7325" w:rsidRPr="008D5E65" w:rsidRDefault="007E7325" w:rsidP="00C92A87">
      <w:pPr>
        <w:spacing w:after="0" w:line="240" w:lineRule="auto"/>
        <w:ind w:left="720" w:hanging="720"/>
        <w:rPr>
          <w:rFonts w:ascii="Times New Roman" w:hAnsi="Times New Roman" w:cs="Times New Roman"/>
          <w:sz w:val="20"/>
          <w:szCs w:val="20"/>
        </w:rPr>
      </w:pPr>
      <w:r>
        <w:rPr>
          <w:rStyle w:val="FootnoteReference"/>
          <w:rFonts w:ascii="Times New Roman" w:eastAsia="Times New Roman" w:hAnsi="Times New Roman" w:cs="Times New Roman"/>
          <w:sz w:val="20"/>
          <w:szCs w:val="20"/>
          <w:lang w:eastAsia="en-GB"/>
        </w:rPr>
        <w:footnoteRef/>
      </w:r>
      <w:r>
        <w:rPr>
          <w:rFonts w:ascii="Times New Roman" w:hAnsi="Times New Roman"/>
          <w:sz w:val="20"/>
        </w:rPr>
        <w:t xml:space="preserve"> </w:t>
      </w:r>
      <w:r>
        <w:tab/>
      </w:r>
      <w:r>
        <w:rPr>
          <w:rFonts w:ascii="Times New Roman" w:hAnsi="Times New Roman"/>
          <w:sz w:val="20"/>
        </w:rPr>
        <w:t>Rede das Administrações Públicas Europeias (</w:t>
      </w:r>
      <w:hyperlink r:id="rId32" w:history="1">
        <w:r>
          <w:rPr>
            <w:rStyle w:val="Hyperlink"/>
            <w:rFonts w:ascii="Times New Roman" w:hAnsi="Times New Roman"/>
            <w:sz w:val="20"/>
          </w:rPr>
          <w:t>https://www.eupan.eu/</w:t>
        </w:r>
      </w:hyperlink>
      <w:r>
        <w:rPr>
          <w:rFonts w:ascii="Times New Roman" w:hAnsi="Times New Roman"/>
          <w:sz w:val="20"/>
        </w:rPr>
        <w:t>) ou o Grupo de Peritos da Comissão sobre Administração Pública e Governação (</w:t>
      </w:r>
      <w:hyperlink r:id="rId33" w:history="1">
        <w:r>
          <w:rPr>
            <w:rStyle w:val="Hyperlink"/>
            <w:rFonts w:ascii="Times New Roman" w:hAnsi="Times New Roman"/>
            <w:sz w:val="20"/>
          </w:rPr>
          <w:t>https://ec.europa.eu/reform-support/public-administration-and-governance-policy-making/expert-group-public-administration-and-governance_en</w:t>
        </w:r>
      </w:hyperlink>
      <w:r>
        <w:rPr>
          <w:rFonts w:ascii="Times New Roman" w:hAnsi="Times New Roman"/>
          <w:sz w:val="20"/>
        </w:rPr>
        <w:t>).</w:t>
      </w:r>
    </w:p>
  </w:footnote>
  <w:footnote w:id="30">
    <w:p w:rsidR="007E7325" w:rsidRPr="008D5E65" w:rsidRDefault="007E7325" w:rsidP="00C92A87">
      <w:pPr>
        <w:pStyle w:val="FootnoteText"/>
        <w:ind w:left="720" w:hanging="720"/>
      </w:pPr>
      <w:r>
        <w:rPr>
          <w:rStyle w:val="FootnoteReference"/>
        </w:rPr>
        <w:footnoteRef/>
      </w:r>
      <w:r>
        <w:t xml:space="preserve"> </w:t>
      </w:r>
      <w:r>
        <w:tab/>
        <w:t>Mercado das Cidades Inteligentes (</w:t>
      </w:r>
      <w:hyperlink r:id="rId34" w:history="1">
        <w:r>
          <w:rPr>
            <w:rStyle w:val="Hyperlink"/>
          </w:rPr>
          <w:t>https://smart-cities-marketplace.ec.europa.eu/projects-and-sites</w:t>
        </w:r>
      </w:hyperlink>
      <w:r>
        <w:t>). São exemplos de atividades locais: a IA para a deteção de paragens cardíacas (</w:t>
      </w:r>
      <w:hyperlink r:id="rId35" w:history="1">
        <w:r>
          <w:rPr>
            <w:rStyle w:val="Hyperlink"/>
          </w:rPr>
          <w:t>https://cordis.europa.eu/article/id/421437-artificial-intelligence-detects-cardiac-arrest-in-emergency-calls</w:t>
        </w:r>
      </w:hyperlink>
      <w:r>
        <w:rPr>
          <w:color w:val="1F497D"/>
        </w:rPr>
        <w:t>)</w:t>
      </w:r>
      <w:r>
        <w:t xml:space="preserve">; a gestão da capacidade em espaços públicos (Fuengirola </w:t>
      </w:r>
      <w:hyperlink r:id="rId36" w:history="1">
        <w:r>
          <w:rPr>
            <w:rStyle w:val="Hyperlink"/>
          </w:rPr>
          <w:t>https://www.themayor.eu/en/a/view/fuengirola-digitized-its-beach-control-and-got-an-award-for-it-8098</w:t>
        </w:r>
      </w:hyperlink>
      <w:r>
        <w:rPr>
          <w:color w:val="1F497D"/>
        </w:rPr>
        <w:t>)</w:t>
      </w:r>
      <w:r>
        <w:t xml:space="preserve">; a IA para gémeos digitais locais (DUET </w:t>
      </w:r>
      <w:hyperlink r:id="rId37" w:history="1">
        <w:r>
          <w:rPr>
            <w:rStyle w:val="Hyperlink"/>
          </w:rPr>
          <w:t>https://www.digitalurbantwins.com/</w:t>
        </w:r>
      </w:hyperlink>
      <w:r>
        <w:t>, LEAD (</w:t>
      </w:r>
      <w:hyperlink r:id="rId38" w:history="1">
        <w:r>
          <w:rPr>
            <w:rStyle w:val="Hyperlink"/>
          </w:rPr>
          <w:t>https://www.leadproject.eu/</w:t>
        </w:r>
      </w:hyperlink>
      <w:r>
        <w:t>), SPHERE (</w:t>
      </w:r>
      <w:hyperlink r:id="rId39" w:history="1">
        <w:r>
          <w:rPr>
            <w:rStyle w:val="Hyperlink"/>
          </w:rPr>
          <w:t>https://sphere-project.eu/</w:t>
        </w:r>
      </w:hyperlink>
      <w:r>
        <w:t>).</w:t>
      </w:r>
    </w:p>
  </w:footnote>
  <w:footnote w:id="31">
    <w:p w:rsidR="007E7325" w:rsidRPr="008D5E65" w:rsidRDefault="007E7325" w:rsidP="00C92A87">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tab/>
      </w:r>
      <w:hyperlink r:id="rId40" w:history="1">
        <w:r>
          <w:rPr>
            <w:rStyle w:val="Hyperlink"/>
            <w:rFonts w:ascii="Times New Roman" w:hAnsi="Times New Roman"/>
            <w:sz w:val="20"/>
          </w:rPr>
          <w:t>https://oascities.org/minimal-interoperability-mechanisms/</w:t>
        </w:r>
      </w:hyperlink>
      <w:r>
        <w:t>.</w:t>
      </w:r>
    </w:p>
  </w:footnote>
  <w:footnote w:id="32">
    <w:p w:rsidR="007E7325" w:rsidRPr="008D5E65" w:rsidRDefault="007E7325" w:rsidP="00C92A87">
      <w:pPr>
        <w:pStyle w:val="FootnoteText"/>
      </w:pPr>
      <w:r>
        <w:rPr>
          <w:rStyle w:val="FootnoteReference"/>
        </w:rPr>
        <w:footnoteRef/>
      </w:r>
      <w:r>
        <w:t xml:space="preserve"> </w:t>
      </w:r>
      <w:r>
        <w:tab/>
        <w:t>SWD(2022) 710 final.</w:t>
      </w:r>
    </w:p>
  </w:footnote>
  <w:footnote w:id="33">
    <w:p w:rsidR="007E7325" w:rsidRPr="008D5E65" w:rsidRDefault="007E7325" w:rsidP="00C92A87">
      <w:pPr>
        <w:pStyle w:val="FootnoteText"/>
        <w:ind w:left="720" w:hanging="720"/>
      </w:pPr>
      <w:r>
        <w:rPr>
          <w:rStyle w:val="FootnoteReference"/>
        </w:rPr>
        <w:footnoteRef/>
      </w:r>
      <w:r>
        <w:t xml:space="preserve"> </w:t>
      </w:r>
      <w:r>
        <w:tab/>
        <w:t>Ver o quadro europeu de interoperabilidade da saúde em linha (</w:t>
      </w:r>
      <w:hyperlink r:id="rId41" w:history="1">
        <w:r>
          <w:rPr>
            <w:rStyle w:val="Hyperlink"/>
          </w:rPr>
          <w:t>https://op.europa.eu/en/publication-detail/-/publication/7e8e2f60-6f87-4be8-9125-477e212e3a74</w:t>
        </w:r>
      </w:hyperlink>
      <w:r>
        <w:t>) e (</w:t>
      </w:r>
      <w:hyperlink r:id="rId42" w:history="1">
        <w:r>
          <w:rPr>
            <w:rStyle w:val="Hyperlink"/>
          </w:rPr>
          <w:t>https://eufordigital.eu/wp-content/uploads/2021/03/Common-Guidelines-for-eHealth-Harmonisation-and-Interoperability.pdf</w:t>
        </w:r>
      </w:hyperlink>
      <w:r>
        <w:t>). Desde então, a Comissão propôs a criação de um Espaço Europeu de Dados de Saúde específico (</w:t>
      </w:r>
      <w:hyperlink r:id="rId43" w:history="1">
        <w:r>
          <w:rPr>
            <w:rStyle w:val="Hyperlink"/>
          </w:rPr>
          <w:t>https://health.ec.europa.eu/ehealth-digital-health-and-care/european-health-data-space_pt</w:t>
        </w:r>
      </w:hyperlink>
      <w:r>
        <w:t>).</w:t>
      </w:r>
    </w:p>
  </w:footnote>
  <w:footnote w:id="34">
    <w:p w:rsidR="007E7325" w:rsidRPr="008D5E65" w:rsidRDefault="007E7325" w:rsidP="00C92A87">
      <w:pPr>
        <w:pStyle w:val="FootnoteText"/>
        <w:ind w:left="720" w:hanging="720"/>
      </w:pPr>
      <w:r>
        <w:rPr>
          <w:rStyle w:val="FootnoteReference"/>
        </w:rPr>
        <w:footnoteRef/>
      </w:r>
      <w:r>
        <w:t xml:space="preserve"> </w:t>
      </w:r>
      <w:r>
        <w:tab/>
        <w:t xml:space="preserve">Designadamente, </w:t>
      </w:r>
      <w:hyperlink r:id="rId44" w:history="1">
        <w:r>
          <w:rPr>
            <w:rStyle w:val="Hyperlink"/>
          </w:rPr>
          <w:t>https://inspire.ec.europa.eu/inspire-directive/2</w:t>
        </w:r>
      </w:hyperlink>
      <w:r>
        <w:t>.</w:t>
      </w:r>
    </w:p>
  </w:footnote>
  <w:footnote w:id="35">
    <w:p w:rsidR="007E7325" w:rsidRPr="008D5E65" w:rsidRDefault="007E7325" w:rsidP="00C92A87">
      <w:pPr>
        <w:pStyle w:val="FootnoteText"/>
        <w:ind w:left="720" w:hanging="720"/>
      </w:pPr>
      <w:r>
        <w:rPr>
          <w:rStyle w:val="FootnoteReference"/>
        </w:rPr>
        <w:footnoteRef/>
      </w:r>
      <w:r>
        <w:t xml:space="preserve"> </w:t>
      </w:r>
      <w:r>
        <w:tab/>
        <w:t xml:space="preserve">Designadamente, </w:t>
      </w:r>
      <w:hyperlink r:id="rId45" w:history="1">
        <w:r>
          <w:rPr>
            <w:rStyle w:val="Hyperlink"/>
          </w:rPr>
          <w:t>https://e-justice.europa.eu/home?init=true&amp;action=home&amp;plang=pt</w:t>
        </w:r>
      </w:hyperlink>
      <w:r>
        <w:t xml:space="preserve"> e </w:t>
      </w:r>
      <w:hyperlink r:id="rId46" w:history="1">
        <w:r>
          <w:rPr>
            <w:rStyle w:val="Hyperlink"/>
          </w:rPr>
          <w:t>https://ec.europa.eu/home-affairs/policies/schengen-borders-and-visa_en</w:t>
        </w:r>
      </w:hyperlink>
      <w:r>
        <w:t>.</w:t>
      </w:r>
    </w:p>
  </w:footnote>
  <w:footnote w:id="36">
    <w:p w:rsidR="007E7325" w:rsidRPr="008D5E65" w:rsidRDefault="007E7325" w:rsidP="00C92A87">
      <w:pPr>
        <w:pStyle w:val="FootnoteText"/>
        <w:ind w:left="720" w:hanging="720"/>
      </w:pPr>
      <w:r>
        <w:rPr>
          <w:rStyle w:val="FootnoteReference"/>
        </w:rPr>
        <w:footnoteRef/>
      </w:r>
      <w:r>
        <w:t xml:space="preserve"> </w:t>
      </w:r>
      <w:r>
        <w:tab/>
        <w:t xml:space="preserve">Designadamente, </w:t>
      </w:r>
      <w:hyperlink r:id="rId47" w:history="1">
        <w:r>
          <w:rPr>
            <w:rStyle w:val="Hyperlink"/>
          </w:rPr>
          <w:t>https://transport.ec.europa.eu/transport-themes/intelligent-transport-systems_en</w:t>
        </w:r>
      </w:hyperlink>
      <w:r>
        <w:t>.</w:t>
      </w:r>
    </w:p>
  </w:footnote>
  <w:footnote w:id="37">
    <w:p w:rsidR="007E7325" w:rsidRPr="008D5E65" w:rsidRDefault="007E7325" w:rsidP="00C92A87">
      <w:pPr>
        <w:pStyle w:val="FootnoteText"/>
        <w:ind w:left="720" w:hanging="720"/>
      </w:pPr>
      <w:r>
        <w:rPr>
          <w:rStyle w:val="FootnoteReference"/>
        </w:rPr>
        <w:footnoteRef/>
      </w:r>
      <w:r>
        <w:t xml:space="preserve"> </w:t>
      </w:r>
      <w:r>
        <w:tab/>
      </w:r>
      <w:hyperlink r:id="rId48" w:history="1">
        <w:r>
          <w:rPr>
            <w:rStyle w:val="Hyperlink"/>
          </w:rPr>
          <w:t>https://joinup.ec.europa.eu/collection/innovative-public-services</w:t>
        </w:r>
      </w:hyperlink>
      <w:r>
        <w:t>.</w:t>
      </w:r>
    </w:p>
  </w:footnote>
  <w:footnote w:id="38">
    <w:p w:rsidR="007E7325" w:rsidRPr="008D5E65" w:rsidRDefault="007E7325" w:rsidP="00C92A87">
      <w:pPr>
        <w:pStyle w:val="FootnoteText"/>
        <w:ind w:left="720" w:hanging="720"/>
      </w:pPr>
      <w:r>
        <w:rPr>
          <w:rStyle w:val="FootnoteReference"/>
        </w:rPr>
        <w:footnoteRef/>
      </w:r>
      <w:r>
        <w:t xml:space="preserve"> </w:t>
      </w:r>
      <w:r>
        <w:tab/>
        <w:t xml:space="preserve">Como aqui, por exemplo: </w:t>
      </w:r>
      <w:hyperlink r:id="rId49" w:history="1">
        <w:r>
          <w:rPr>
            <w:rStyle w:val="Hyperlink"/>
          </w:rPr>
          <w:t>https://atomico.com/insights/launching-the-7th-annual-state-of-european-tech-report</w:t>
        </w:r>
      </w:hyperlink>
      <w:r>
        <w:t>.</w:t>
      </w:r>
    </w:p>
  </w:footnote>
  <w:footnote w:id="39">
    <w:p w:rsidR="007E7325" w:rsidRPr="008D5E65" w:rsidRDefault="007E7325" w:rsidP="00C92A87">
      <w:pPr>
        <w:pStyle w:val="FootnoteText"/>
        <w:ind w:left="720" w:hanging="720"/>
      </w:pPr>
      <w:r>
        <w:rPr>
          <w:rStyle w:val="FootnoteReference"/>
        </w:rPr>
        <w:footnoteRef/>
      </w:r>
      <w:r>
        <w:t xml:space="preserve"> </w:t>
      </w:r>
      <w:r>
        <w:tab/>
      </w:r>
      <w:hyperlink r:id="rId50" w:history="1">
        <w:r>
          <w:rPr>
            <w:rStyle w:val="Hyperlink"/>
          </w:rPr>
          <w:t>https://digital-strategy.ec.europa.eu/en/activities/edihs</w:t>
        </w:r>
      </w:hyperlink>
      <w:r>
        <w:t>.</w:t>
      </w:r>
    </w:p>
  </w:footnote>
  <w:footnote w:id="40">
    <w:p w:rsidR="007E7325" w:rsidRPr="008D5E65" w:rsidRDefault="007E7325" w:rsidP="00C92A87">
      <w:pPr>
        <w:pStyle w:val="FootnoteText"/>
        <w:ind w:left="720" w:hanging="720"/>
      </w:pPr>
      <w:r>
        <w:rPr>
          <w:rStyle w:val="FootnoteReference"/>
        </w:rPr>
        <w:footnoteRef/>
      </w:r>
      <w:r>
        <w:t xml:space="preserve"> </w:t>
      </w:r>
      <w:r>
        <w:tab/>
      </w:r>
      <w:hyperlink r:id="rId51" w:history="1">
        <w:r>
          <w:rPr>
            <w:rStyle w:val="Hyperlink"/>
          </w:rPr>
          <w:t>https://eic.ec.europa.eu/index_en</w:t>
        </w:r>
      </w:hyperlink>
      <w:r>
        <w:rPr>
          <w:rStyle w:val="Hyperlink"/>
        </w:rPr>
        <w:t xml:space="preserve"> e o Programa Horizonte Europa</w:t>
      </w:r>
      <w:r>
        <w:t>.</w:t>
      </w:r>
    </w:p>
  </w:footnote>
  <w:footnote w:id="41">
    <w:p w:rsidR="007E7325" w:rsidRPr="008D5E65" w:rsidRDefault="007E7325" w:rsidP="00C92A87">
      <w:pPr>
        <w:pStyle w:val="FootnoteText"/>
        <w:ind w:left="709" w:hanging="709"/>
      </w:pPr>
      <w:r>
        <w:rPr>
          <w:rStyle w:val="FootnoteReference"/>
        </w:rPr>
        <w:footnoteRef/>
      </w:r>
      <w:r>
        <w:t xml:space="preserve"> </w:t>
      </w:r>
      <w:r>
        <w:tab/>
        <w:t>Ambos os termos se referem à cooperação público-privada em matéria de tecnologias para o setor público. Enquanto a GovTech envolve geralmente empresas tecnológicas em fase de arranque e PME, por exemplo, envolvidas na experimentação da utilização da IA, a CivicTech envolve geralmente organizações da sociedade civil, por exemplo, que promovem a participação dos cidadãos com base na tecnologia.</w:t>
      </w:r>
    </w:p>
  </w:footnote>
  <w:footnote w:id="42">
    <w:p w:rsidR="007E7325" w:rsidRPr="008D5E65" w:rsidRDefault="007E7325" w:rsidP="00C92A87">
      <w:pPr>
        <w:pStyle w:val="FootnoteText"/>
        <w:ind w:left="720" w:hanging="720"/>
      </w:pPr>
      <w:r>
        <w:rPr>
          <w:rStyle w:val="FootnoteReference"/>
        </w:rPr>
        <w:footnoteRef/>
      </w:r>
      <w:r>
        <w:t xml:space="preserve"> </w:t>
      </w:r>
      <w:r>
        <w:tab/>
        <w:t xml:space="preserve">Ver a Estratégia da UE para as PME, </w:t>
      </w:r>
      <w:hyperlink r:id="rId52" w:history="1">
        <w:r>
          <w:rPr>
            <w:rStyle w:val="Hyperlink"/>
          </w:rPr>
          <w:t>https://ec.europa.eu/growth/smes/sme-strategy_en</w:t>
        </w:r>
      </w:hyperlink>
      <w:r>
        <w:t>.</w:t>
      </w:r>
    </w:p>
  </w:footnote>
  <w:footnote w:id="43">
    <w:p w:rsidR="007E7325" w:rsidRPr="008D5E65" w:rsidRDefault="007E7325" w:rsidP="00C92A87">
      <w:pPr>
        <w:pStyle w:val="FootnoteText"/>
        <w:ind w:left="720" w:hanging="720"/>
      </w:pPr>
      <w:r>
        <w:rPr>
          <w:rStyle w:val="FootnoteReference"/>
        </w:rPr>
        <w:footnoteRef/>
      </w:r>
      <w:r>
        <w:t xml:space="preserve"> </w:t>
      </w:r>
      <w:r>
        <w:tab/>
        <w:t>Como o IDES (</w:t>
      </w:r>
      <w:hyperlink r:id="rId53" w:history="1">
        <w:r>
          <w:rPr>
            <w:rStyle w:val="Hyperlink"/>
          </w:rPr>
          <w:t>https://digital-strategy.ec.europa.eu/en/policies/desi</w:t>
        </w:r>
      </w:hyperlink>
      <w:r>
        <w:t xml:space="preserve">), ou o projeto LORDI (Indicadores Digitais Locais e Regionais: </w:t>
      </w:r>
      <w:hyperlink r:id="rId54" w:history="1">
        <w:r>
          <w:rPr>
            <w:rStyle w:val="Hyperlink"/>
          </w:rPr>
          <w:t>https://living-in.eu/groups/commitments/monitoring-measuring</w:t>
        </w:r>
      </w:hyperlink>
      <w:r>
        <w:t>). Também a OCDE (</w:t>
      </w:r>
      <w:hyperlink r:id="rId55" w:history="1">
        <w:r>
          <w:rPr>
            <w:rStyle w:val="Hyperlink"/>
          </w:rPr>
          <w:t>https://goingdigital.oecd.org/indicator/58</w:t>
        </w:r>
      </w:hyperlink>
      <w:r>
        <w:t>), as Nações Unidas (</w:t>
      </w:r>
      <w:hyperlink r:id="rId56" w:history="1">
        <w:r>
          <w:rPr>
            <w:rStyle w:val="Hyperlink"/>
          </w:rPr>
          <w:t>https://publicadministration.un.org/egovkb/en-us/Reports/UN-E-Government-Survey-2020</w:t>
        </w:r>
      </w:hyperlink>
      <w:r>
        <w:t>) e o Banco Mundial (</w:t>
      </w:r>
      <w:hyperlink r:id="rId57" w:anchor=":~:text=The%20World%20Bank%20has%20developed,citizen%20engagement%2C%20and%20GovTech%20enablers" w:history="1">
        <w:r>
          <w:rPr>
            <w:rStyle w:val="Hyperlink"/>
          </w:rPr>
          <w:t>https://www.worldbank.org/en/events/2021/09/16/govtech-maturity-index-the-state-of-digital-transformation-in-the-public-sector#:~:text=The%20World%20Bank%20has%20developed,citizen%20engagement%2C%20and%20GovTech%20enablers</w:t>
        </w:r>
      </w:hyperlink>
      <w:r>
        <w:t>) gerem projetos de monitorização pertinentes.</w:t>
      </w:r>
    </w:p>
  </w:footnote>
  <w:footnote w:id="44">
    <w:p w:rsidR="007E7325" w:rsidRPr="008D5E65" w:rsidRDefault="007E7325" w:rsidP="00C92A87">
      <w:pPr>
        <w:pStyle w:val="FootnoteText"/>
        <w:ind w:left="720" w:hanging="720"/>
      </w:pPr>
      <w:r>
        <w:rPr>
          <w:rStyle w:val="FootnoteReference"/>
        </w:rPr>
        <w:footnoteRef/>
      </w:r>
      <w:r>
        <w:t xml:space="preserve"> </w:t>
      </w:r>
      <w:r>
        <w:tab/>
        <w:t xml:space="preserve">Recomendação 16 em </w:t>
      </w:r>
      <w:hyperlink r:id="rId58" w:history="1">
        <w:r>
          <w:rPr>
            <w:rStyle w:val="Hyperlink"/>
          </w:rPr>
          <w:t>https://ec.europa.eu/transparency/expert-groups-register/core/api/front/expertGroupAddtitionalInfo/43164/download</w:t>
        </w:r>
      </w:hyperlink>
      <w:r>
        <w:t>.</w:t>
      </w:r>
    </w:p>
  </w:footnote>
  <w:footnote w:id="45">
    <w:p w:rsidR="007E7325" w:rsidRPr="008D5E65" w:rsidRDefault="007E7325" w:rsidP="00C92A87">
      <w:pPr>
        <w:pStyle w:val="FootnoteText"/>
        <w:ind w:left="720" w:hanging="720"/>
        <w:rPr>
          <w:highlight w:val="yellow"/>
        </w:rPr>
      </w:pPr>
      <w:r>
        <w:rPr>
          <w:rStyle w:val="FootnoteReference"/>
        </w:rPr>
        <w:footnoteRef/>
      </w:r>
      <w:r>
        <w:t xml:space="preserve"> </w:t>
      </w:r>
      <w:r>
        <w:tab/>
        <w:t xml:space="preserve">Por exemplo, </w:t>
      </w:r>
      <w:hyperlink r:id="rId59" w:history="1">
        <w:r>
          <w:rPr>
            <w:rStyle w:val="Hyperlink"/>
          </w:rPr>
          <w:t>https://ec.europa.eu/info/law/law-making-process/planning-and-proposing-law/better-regulation-why-and-how/better-regulation-guidelines-and-toolbox_pt</w:t>
        </w:r>
      </w:hyperlink>
      <w:r>
        <w:t>.</w:t>
      </w:r>
    </w:p>
  </w:footnote>
  <w:footnote w:id="46">
    <w:p w:rsidR="007E7325" w:rsidRPr="008D5E65" w:rsidRDefault="007E7325" w:rsidP="00C92A87">
      <w:pPr>
        <w:pStyle w:val="FootnoteText"/>
        <w:ind w:left="720" w:hanging="720"/>
        <w:rPr>
          <w:highlight w:val="yellow"/>
        </w:rPr>
      </w:pPr>
      <w:r>
        <w:rPr>
          <w:rStyle w:val="FootnoteReference"/>
        </w:rPr>
        <w:footnoteRef/>
      </w:r>
      <w:r>
        <w:t xml:space="preserve"> </w:t>
      </w:r>
      <w:r>
        <w:tab/>
        <w:t>Por exemplo, a comunicação de informações sobre sustentabilidade ganhou importância, ver Regulamento (UE) 2019/2088 do Parlamento Europeu e do Conselho, de 27 de novembro de 2019, relativo à divulgação de informações relacionadas com a sustentabilidade no setor dos serviços financeiros, que entrou em vigor em 2021.</w:t>
      </w:r>
    </w:p>
  </w:footnote>
  <w:footnote w:id="47">
    <w:p w:rsidR="007E7325" w:rsidRPr="008D5E65" w:rsidRDefault="007E7325" w:rsidP="00C92A87">
      <w:pPr>
        <w:pStyle w:val="FootnoteText"/>
        <w:ind w:left="720" w:hanging="720"/>
      </w:pPr>
      <w:r>
        <w:rPr>
          <w:rStyle w:val="FootnoteReference"/>
        </w:rPr>
        <w:footnoteRef/>
      </w:r>
      <w:r>
        <w:t xml:space="preserve"> </w:t>
      </w:r>
      <w:r>
        <w:tab/>
        <w:t xml:space="preserve">Por exemplo, o Regulamento (UE) 2021/953 relativo a um regime para a emissão, verificação e aceitação de certificados interoperáveis de vacinação, teste e recuperação da COVID-19 (Certificado Digital COVID da UE), a fim de facilitar a livre circulação durante a pandemia de COVID-19: </w:t>
      </w:r>
      <w:hyperlink r:id="rId60" w:history="1">
        <w:r>
          <w:rPr>
            <w:rStyle w:val="Hyperlink"/>
          </w:rPr>
          <w:t>https://eur-lex.europa.eu/legal-content/PT/TXT/?uri=CELEX%3A32021R0953</w:t>
        </w:r>
      </w:hyperlink>
      <w:r>
        <w:t xml:space="preserve">. Na política de vigilância marítima, estão a ser utilizados novos instrumentos, como os serviços marítimos Copernicus ou a monitorização eletrónica à distância (REM). </w:t>
      </w:r>
      <w:hyperlink r:id="rId61" w:history="1">
        <w:r>
          <w:rPr>
            <w:rStyle w:val="Hyperlink"/>
          </w:rPr>
          <w:t>https://www.efca.europa.eu/en/content/new-technologies-maritime-surveillance</w:t>
        </w:r>
      </w:hyperlink>
      <w:r>
        <w:t xml:space="preserve">, </w:t>
      </w:r>
      <w:hyperlink r:id="rId62" w:history="1">
        <w:r>
          <w:rPr>
            <w:rStyle w:val="Hyperlink"/>
          </w:rPr>
          <w:t>https://eur-lex.europa.eu/legal-content/PT/TXT/?uri=CELEX%3A32021R0953</w:t>
        </w:r>
      </w:hyperlink>
      <w:r>
        <w:t>.</w:t>
      </w:r>
    </w:p>
  </w:footnote>
  <w:footnote w:id="48">
    <w:p w:rsidR="007E7325" w:rsidRPr="008D5E65" w:rsidRDefault="007E7325" w:rsidP="00C92A87">
      <w:pPr>
        <w:pStyle w:val="FootnoteText"/>
        <w:ind w:left="720" w:hanging="720"/>
      </w:pPr>
      <w:r>
        <w:rPr>
          <w:rStyle w:val="FootnoteReference"/>
        </w:rPr>
        <w:footnoteRef/>
      </w:r>
      <w:r>
        <w:t xml:space="preserve"> </w:t>
      </w:r>
      <w:r>
        <w:tab/>
        <w:t>Das 284 iniciativas legislativas apresentadas pela Comissão entre março de 2020 e junho de 2021, 47 % referiam-se a elementos digitais e 67 % a dados no seu roteiro ou na fase de avaliação de impacto inicial (</w:t>
      </w:r>
      <w:hyperlink r:id="rId63" w:history="1">
        <w:r>
          <w:rPr>
            <w:rStyle w:val="Hyperlink"/>
          </w:rPr>
          <w:t>https://joinup.ec.europa.eu/collection/better-legislation-smoother-implementation</w:t>
        </w:r>
      </w:hyperlink>
      <w:r>
        <w:t>); Elaboração de políticas preparadas para o digital impulsionadas pela COVID-19 (</w:t>
      </w:r>
      <w:hyperlink r:id="rId64" w:history="1">
        <w:r>
          <w:rPr>
            <w:rStyle w:val="Hyperlink"/>
          </w:rPr>
          <w:t>https://joinup.ec.europa.eu/collection/better-legislation-smoother-implementation/news/digital-ready-policymaking-boosted-covid-19</w:t>
        </w:r>
      </w:hyperlink>
      <w:r>
        <w:t>).</w:t>
      </w:r>
    </w:p>
  </w:footnote>
  <w:footnote w:id="49">
    <w:p w:rsidR="007E7325" w:rsidRPr="008D5E65" w:rsidRDefault="007E7325" w:rsidP="00C92A87">
      <w:pPr>
        <w:pStyle w:val="FootnoteText"/>
        <w:ind w:left="720" w:hanging="720"/>
      </w:pPr>
      <w:r>
        <w:rPr>
          <w:rStyle w:val="FootnoteReference"/>
        </w:rPr>
        <w:footnoteRef/>
      </w:r>
      <w:r>
        <w:t xml:space="preserve"> </w:t>
      </w:r>
      <w:r>
        <w:tab/>
      </w:r>
      <w:hyperlink r:id="rId65" w:history="1">
        <w:r>
          <w:rPr>
            <w:rStyle w:val="Hyperlink"/>
          </w:rPr>
          <w:t>https://ec.europa.eu/info/news/commission-adopts-new-digital-strategy-address-transformation-opportunities-post-pandemic-world-2022-jun-30_en</w:t>
        </w:r>
      </w:hyperlink>
      <w:r>
        <w:t>.</w:t>
      </w:r>
    </w:p>
  </w:footnote>
  <w:footnote w:id="50">
    <w:p w:rsidR="007E7325" w:rsidRPr="008D5E65" w:rsidRDefault="007E7325" w:rsidP="00C92A87">
      <w:pPr>
        <w:pStyle w:val="FootnoteText"/>
        <w:ind w:left="720" w:hanging="720"/>
      </w:pPr>
      <w:r>
        <w:rPr>
          <w:rStyle w:val="FootnoteReference"/>
        </w:rPr>
        <w:footnoteRef/>
      </w:r>
      <w:r>
        <w:t xml:space="preserve"> </w:t>
      </w:r>
      <w:r>
        <w:tab/>
        <w:t>COM(2021) 219 Legislar melhor: unir as nossas forças para melhorar a legislação (</w:t>
      </w:r>
      <w:hyperlink r:id="rId66" w:history="1">
        <w:r>
          <w:rPr>
            <w:rStyle w:val="Hyperlink"/>
          </w:rPr>
          <w:t>https://ec.europa.eu/info/law/law-making-process/planning-and-proposing-law/better-regulation-why-and-how_pt</w:t>
        </w:r>
      </w:hyperlink>
      <w:r>
        <w:t xml:space="preserve">) e </w:t>
      </w:r>
      <w:r>
        <w:rPr>
          <w:rStyle w:val="normaltextrun"/>
        </w:rPr>
        <w:t>SWD(2021) 305</w:t>
      </w:r>
      <w:r w:rsidR="00BC0AB5">
        <w:rPr>
          <w:rStyle w:val="normaltextrun"/>
        </w:rPr>
        <w:t xml:space="preserve"> </w:t>
      </w:r>
      <w:r>
        <w:rPr>
          <w:i/>
          <w:shd w:val="clear" w:color="auto" w:fill="FFFFFF"/>
        </w:rPr>
        <w:t>Better Regulation Guidelines</w:t>
      </w:r>
      <w:r>
        <w:rPr>
          <w:shd w:val="clear" w:color="auto" w:fill="FFFFFF"/>
        </w:rPr>
        <w:t>, não traduzidas para português (</w:t>
      </w:r>
      <w:hyperlink r:id="rId67" w:history="1">
        <w:r>
          <w:rPr>
            <w:rStyle w:val="Hyperlink"/>
          </w:rPr>
          <w:t>https://ec.europa.eu/info/sites/default/files/better_regulation_joining_forces_to_make_better_laws_en_0.pdf</w:t>
        </w:r>
      </w:hyperlink>
      <w:r>
        <w:rPr>
          <w:rStyle w:val="Hyperlink"/>
        </w:rPr>
        <w:t xml:space="preserve"> </w:t>
      </w:r>
      <w:r>
        <w:rPr>
          <w:rStyle w:val="normaltextrun"/>
        </w:rPr>
        <w:t xml:space="preserve">e </w:t>
      </w:r>
      <w:hyperlink r:id="rId68" w:history="1">
        <w:r>
          <w:rPr>
            <w:rStyle w:val="Hyperlink"/>
            <w:shd w:val="clear" w:color="auto" w:fill="FFFFFF"/>
          </w:rPr>
          <w:t>https://ec.europa.eu/info/sites/default/files/swd2021_305_en.pdf</w:t>
        </w:r>
      </w:hyperlink>
      <w:r>
        <w:t>).</w:t>
      </w:r>
    </w:p>
  </w:footnote>
  <w:footnote w:id="51">
    <w:p w:rsidR="007E7325" w:rsidRPr="008D5E65" w:rsidRDefault="007E7325" w:rsidP="00C92A87">
      <w:pPr>
        <w:pStyle w:val="FootnoteText"/>
        <w:ind w:left="720" w:hanging="720"/>
      </w:pPr>
      <w:r>
        <w:rPr>
          <w:rStyle w:val="FootnoteReference"/>
        </w:rPr>
        <w:footnoteRef/>
      </w:r>
      <w:r>
        <w:t xml:space="preserve"> </w:t>
      </w:r>
      <w:r>
        <w:tab/>
        <w:t>Listas de verificação «</w:t>
      </w:r>
      <w:r>
        <w:rPr>
          <w:i/>
        </w:rPr>
        <w:t>Have I considered…</w:t>
      </w:r>
      <w:r>
        <w:t xml:space="preserve">» («Já considerei...») da ferramenta 28 sobre a elaboração de políticas preparadas para o digital do conjunto de ferramentas para legislar melhor: </w:t>
      </w:r>
      <w:hyperlink r:id="rId69" w:history="1">
        <w:r>
          <w:rPr>
            <w:rStyle w:val="Hyperlink"/>
          </w:rPr>
          <w:t>https://ec.europa.eu/info/law/law-making-process/planning-and-proposing-law/better-regulation-why-and-how/better-regulation-guidelines-and-toolbox/better-regulation-toolbox-0_en</w:t>
        </w:r>
      </w:hyperlink>
      <w:r>
        <w:t xml:space="preserve"> e </w:t>
      </w:r>
      <w:hyperlink r:id="rId70" w:history="1">
        <w:r>
          <w:rPr>
            <w:rStyle w:val="Hyperlink"/>
          </w:rPr>
          <w:t>https://ec.europa.eu/info/law/law-making-process/planning-and-proposing-law/better-regulation-why-and-how/better-regulation-guidelines-and-toolbox_pt</w:t>
        </w:r>
      </w:hyperlink>
    </w:p>
  </w:footnote>
  <w:footnote w:id="52">
    <w:p w:rsidR="007E7325" w:rsidRPr="008D5E65" w:rsidRDefault="007E7325" w:rsidP="00C92A87">
      <w:pPr>
        <w:pStyle w:val="FootnoteText"/>
        <w:ind w:left="720" w:hanging="720"/>
      </w:pPr>
      <w:r>
        <w:rPr>
          <w:rStyle w:val="FootnoteReference"/>
        </w:rPr>
        <w:footnoteRef/>
      </w:r>
      <w:r>
        <w:t xml:space="preserve"> </w:t>
      </w:r>
      <w:r>
        <w:tab/>
        <w:t>Por exemplo, na Dinamarca (</w:t>
      </w:r>
      <w:hyperlink r:id="rId71" w:history="1">
        <w:r>
          <w:rPr>
            <w:rStyle w:val="Hyperlink"/>
          </w:rPr>
          <w:t>https://en.digst.dk/digital-governance/digital-ready-legislation/guidances-and-tools/</w:t>
        </w:r>
      </w:hyperlink>
      <w:r>
        <w:t>) ou no setor dos cuidados de saúde, em que considerações de interoperabilidade apoiam a conceção de políticas (</w:t>
      </w:r>
      <w:hyperlink r:id="rId72" w:history="1">
        <w:r>
          <w:rPr>
            <w:rStyle w:val="Hyperlink"/>
          </w:rPr>
          <w:t>https://ec.europa.eu/health/blood-tissues-cells-and-organs/overview/revision-eu-legislation-blood-tissues-and-cells_en</w:t>
        </w:r>
      </w:hyperlink>
      <w:r>
        <w:t>).</w:t>
      </w:r>
    </w:p>
  </w:footnote>
  <w:footnote w:id="53">
    <w:p w:rsidR="007E7325" w:rsidRPr="008D5E65" w:rsidRDefault="007E7325" w:rsidP="00C92A87">
      <w:pPr>
        <w:pStyle w:val="FootnoteText"/>
        <w:ind w:left="720" w:hanging="720"/>
      </w:pPr>
      <w:r>
        <w:rPr>
          <w:rStyle w:val="FootnoteReference"/>
        </w:rPr>
        <w:footnoteRef/>
      </w:r>
      <w:r>
        <w:t xml:space="preserve"> </w:t>
      </w:r>
      <w:r>
        <w:tab/>
      </w:r>
      <w:hyperlink r:id="rId73" w:history="1">
        <w:r>
          <w:rPr>
            <w:rStyle w:val="Hyperlink"/>
          </w:rPr>
          <w:t>https://digital-strategy.ec.europa.eu/en/policies/eidas-regulation</w:t>
        </w:r>
      </w:hyperlink>
      <w:r>
        <w:t>.</w:t>
      </w:r>
    </w:p>
  </w:footnote>
  <w:footnote w:id="54">
    <w:p w:rsidR="007E7325" w:rsidRPr="008D5E65" w:rsidRDefault="007E7325" w:rsidP="00C92A87">
      <w:pPr>
        <w:pStyle w:val="FootnoteText"/>
        <w:ind w:left="709" w:hanging="709"/>
      </w:pPr>
      <w:r>
        <w:rPr>
          <w:rStyle w:val="FootnoteReference"/>
        </w:rPr>
        <w:footnoteRef/>
      </w:r>
      <w:r>
        <w:t xml:space="preserve"> </w:t>
      </w:r>
      <w:r>
        <w:tab/>
        <w:t>O IMI permite que as autoridades públicas troquem informações, apoiando a livre circulação de serviços e de pessoas no mercado único.</w:t>
      </w:r>
    </w:p>
  </w:footnote>
  <w:footnote w:id="55">
    <w:p w:rsidR="007E7325" w:rsidRPr="008D5E65" w:rsidRDefault="007E7325" w:rsidP="00C92A87">
      <w:pPr>
        <w:pStyle w:val="FootnoteText"/>
        <w:ind w:left="720" w:hanging="720"/>
      </w:pPr>
      <w:r>
        <w:rPr>
          <w:rStyle w:val="FootnoteReference"/>
        </w:rPr>
        <w:footnoteRef/>
      </w:r>
      <w:r>
        <w:t xml:space="preserve"> </w:t>
      </w:r>
      <w:r>
        <w:tab/>
        <w:t>Regulamento (UE) 2018/1724 relativo à criação de uma plataforma digital única para a prestação de acesso a informações, a procedimentos e a serviços de assistência e de resolução de problemas (</w:t>
      </w:r>
      <w:hyperlink r:id="rId74" w:history="1">
        <w:r>
          <w:rPr>
            <w:rStyle w:val="Hyperlink"/>
          </w:rPr>
          <w:t>https://eur-lex.europa.eu/legal-content/PT/TXT/?uri=CELEX:32018R1724</w:t>
        </w:r>
      </w:hyperlink>
      <w:r>
        <w:t>).</w:t>
      </w:r>
    </w:p>
  </w:footnote>
  <w:footnote w:id="56">
    <w:p w:rsidR="007E7325" w:rsidRPr="008D5E65" w:rsidRDefault="007E7325" w:rsidP="00C92A87">
      <w:pPr>
        <w:pStyle w:val="FootnoteText"/>
        <w:ind w:left="720" w:hanging="720"/>
      </w:pPr>
      <w:r>
        <w:rPr>
          <w:rStyle w:val="FootnoteReference"/>
        </w:rPr>
        <w:footnoteRef/>
      </w:r>
      <w:r>
        <w:t xml:space="preserve"> </w:t>
      </w:r>
      <w:r>
        <w:tab/>
        <w:t>Em especial, o Programa Europa Digital, que integra recursos de financiamento anteriores dos antigos programas ISA² e MIE-Telecomunicações (</w:t>
      </w:r>
      <w:hyperlink r:id="rId75" w:history="1">
        <w:r>
          <w:rPr>
            <w:rStyle w:val="Hyperlink"/>
          </w:rPr>
          <w:t>https://ec.europa.eu/cefdigital/wiki/display/CEFDIGITAL/2018/11/08/Meet+the+new+CEF+Building+Blocks</w:t>
        </w:r>
      </w:hyperlink>
      <w:r>
        <w:t>) e do Horizonte Europa.</w:t>
      </w:r>
    </w:p>
  </w:footnote>
  <w:footnote w:id="57">
    <w:p w:rsidR="007E7325" w:rsidRPr="008D5E65" w:rsidRDefault="007E7325" w:rsidP="00C92A87">
      <w:pPr>
        <w:pStyle w:val="FootnoteText"/>
        <w:ind w:left="720" w:hanging="720"/>
      </w:pPr>
      <w:r>
        <w:rPr>
          <w:rStyle w:val="FootnoteReference"/>
        </w:rPr>
        <w:footnoteRef/>
      </w:r>
      <w:r>
        <w:t xml:space="preserve"> </w:t>
      </w:r>
      <w:r>
        <w:tab/>
        <w:t>Apoiados pelo Programa Europa Digital (</w:t>
      </w:r>
      <w:hyperlink r:id="rId76" w:history="1">
        <w:r>
          <w:rPr>
            <w:rStyle w:val="Hyperlink"/>
          </w:rPr>
          <w:t>https://digital-strategy.ec.europa.eu/en/activities/work-programmes-digital</w:t>
        </w:r>
      </w:hyperlink>
      <w:r>
        <w:t>).</w:t>
      </w:r>
    </w:p>
  </w:footnote>
  <w:footnote w:id="58">
    <w:p w:rsidR="007E7325" w:rsidRPr="008D5E65" w:rsidRDefault="007E7325" w:rsidP="00C92A87">
      <w:pPr>
        <w:pStyle w:val="FootnoteText"/>
        <w:ind w:left="720" w:hanging="720"/>
      </w:pPr>
      <w:r>
        <w:rPr>
          <w:rStyle w:val="FootnoteReference"/>
        </w:rPr>
        <w:footnoteRef/>
      </w:r>
      <w:r>
        <w:t xml:space="preserve"> </w:t>
      </w:r>
      <w:r>
        <w:tab/>
      </w:r>
      <w:hyperlink r:id="rId77" w:history="1">
        <w:r>
          <w:rPr>
            <w:rStyle w:val="Hyperlink"/>
          </w:rPr>
          <w:t>https://ec.europa.eu/info/funding-tenders/funding-opportunities/funding-programmes/overview-funding-programmes/european-structural-and-investment-funds_pt</w:t>
        </w:r>
      </w:hyperlink>
      <w:r>
        <w:t>.</w:t>
      </w:r>
    </w:p>
  </w:footnote>
  <w:footnote w:id="59">
    <w:p w:rsidR="007E7325" w:rsidRPr="008D5E65" w:rsidRDefault="007E7325" w:rsidP="00C92A87">
      <w:pPr>
        <w:pStyle w:val="FootnoteText"/>
        <w:ind w:left="720" w:hanging="720"/>
      </w:pPr>
      <w:r>
        <w:rPr>
          <w:rStyle w:val="FootnoteReference"/>
        </w:rPr>
        <w:footnoteRef/>
      </w:r>
      <w:r>
        <w:t xml:space="preserve"> </w:t>
      </w:r>
      <w:r>
        <w:tab/>
      </w:r>
      <w:hyperlink r:id="rId78" w:history="1">
        <w:r>
          <w:rPr>
            <w:rStyle w:val="Hyperlink"/>
          </w:rPr>
          <w:t>https://ec.europa.eu/info/business-economy-euro/recovery-coronavirus/recovery-and-resilience-facility_pt</w:t>
        </w:r>
      </w:hyperlink>
      <w:r>
        <w:t>.</w:t>
      </w:r>
    </w:p>
  </w:footnote>
  <w:footnote w:id="60">
    <w:p w:rsidR="007E7325" w:rsidRPr="008D5E65" w:rsidRDefault="007E7325" w:rsidP="00C92A87">
      <w:pPr>
        <w:pStyle w:val="FootnoteText"/>
        <w:ind w:left="720" w:hanging="720"/>
      </w:pPr>
      <w:r>
        <w:rPr>
          <w:rStyle w:val="FootnoteReference"/>
        </w:rPr>
        <w:footnoteRef/>
      </w:r>
      <w:r>
        <w:t xml:space="preserve"> </w:t>
      </w:r>
      <w:r>
        <w:tab/>
      </w:r>
      <w:hyperlink r:id="rId79" w:history="1">
        <w:r>
          <w:rPr>
            <w:rStyle w:val="Hyperlink"/>
          </w:rPr>
          <w:t>https://hadea.ec.europa.eu/programmes/connecting-europe-facility_pt</w:t>
        </w:r>
      </w:hyperlink>
      <w:r>
        <w:t>.</w:t>
      </w:r>
    </w:p>
  </w:footnote>
  <w:footnote w:id="61">
    <w:p w:rsidR="007E7325" w:rsidRPr="008D5E65" w:rsidRDefault="007E7325" w:rsidP="00C92A87">
      <w:pPr>
        <w:pStyle w:val="FootnoteText"/>
        <w:ind w:left="720" w:hanging="720"/>
      </w:pPr>
      <w:r>
        <w:rPr>
          <w:rStyle w:val="FootnoteReference"/>
        </w:rPr>
        <w:footnoteRef/>
      </w:r>
      <w:r>
        <w:t xml:space="preserve"> </w:t>
      </w:r>
      <w:r>
        <w:tab/>
      </w:r>
      <w:hyperlink r:id="rId80" w:history="1">
        <w:r>
          <w:rPr>
            <w:rStyle w:val="Hyperlink"/>
          </w:rPr>
          <w:t>https://ec.europa.eu/info/funding-tenders/find-funding/eu-funding-programmes/technical-support-instrument/technical-support-instrument-tsi_pt</w:t>
        </w:r>
      </w:hyperlink>
      <w:r>
        <w:t>.</w:t>
      </w:r>
    </w:p>
  </w:footnote>
  <w:footnote w:id="62">
    <w:p w:rsidR="007E7325" w:rsidRPr="008D5E65" w:rsidRDefault="007E7325" w:rsidP="00C92A87">
      <w:pPr>
        <w:pStyle w:val="FootnoteText"/>
        <w:ind w:left="720" w:hanging="720"/>
      </w:pPr>
      <w:r>
        <w:rPr>
          <w:rStyle w:val="FootnoteReference"/>
        </w:rPr>
        <w:footnoteRef/>
      </w:r>
      <w:r>
        <w:t xml:space="preserve"> </w:t>
      </w:r>
      <w:r>
        <w:tab/>
        <w:t xml:space="preserve">Incluindo a Declaração de Estrasburgo, adotada em 2022, e a Estratégia EUPAN 2022-2025, ver </w:t>
      </w:r>
      <w:hyperlink r:id="rId81" w:history="1">
        <w:r>
          <w:rPr>
            <w:rStyle w:val="Hyperlink"/>
          </w:rPr>
          <w:t>https://www.eupan.eu/</w:t>
        </w:r>
      </w:hyperlink>
      <w:r>
        <w:t>.</w:t>
      </w:r>
    </w:p>
  </w:footnote>
  <w:footnote w:id="63">
    <w:p w:rsidR="007E7325" w:rsidRPr="00571CE1" w:rsidRDefault="007E7325" w:rsidP="00D662E4">
      <w:pPr>
        <w:pStyle w:val="FootnoteText"/>
      </w:pPr>
      <w:r>
        <w:rPr>
          <w:rStyle w:val="FootnoteReference"/>
        </w:rPr>
        <w:footnoteRef/>
      </w:r>
      <w:r>
        <w:t xml:space="preserve"> </w:t>
      </w:r>
      <w:r>
        <w:tab/>
      </w:r>
      <w:hyperlink r:id="rId82" w:history="1">
        <w:r>
          <w:rPr>
            <w:rStyle w:val="Hyperlink"/>
          </w:rPr>
          <w:t>https://eur-lex.europa.eu/legal-content/PT/TXT/?uri=CELEX:52021PC0574</w:t>
        </w:r>
      </w:hyperlink>
      <w:r>
        <w:t>.</w:t>
      </w:r>
    </w:p>
  </w:footnote>
  <w:footnote w:id="64">
    <w:p w:rsidR="007E7325" w:rsidRPr="008D5E65" w:rsidRDefault="007E7325" w:rsidP="00C92A87">
      <w:pPr>
        <w:pStyle w:val="FootnoteText"/>
        <w:ind w:left="720" w:hanging="720"/>
      </w:pPr>
      <w:r>
        <w:rPr>
          <w:rStyle w:val="FootnoteReference"/>
        </w:rPr>
        <w:footnoteRef/>
      </w:r>
      <w:r>
        <w:t xml:space="preserve"> </w:t>
      </w:r>
      <w:r>
        <w:tab/>
        <w:t>Designadamente, a Diretiva Dados Abertos (</w:t>
      </w:r>
      <w:hyperlink r:id="rId83" w:history="1">
        <w:r>
          <w:rPr>
            <w:rStyle w:val="Hyperlink"/>
          </w:rPr>
          <w:t>https://eur-lex.europa.eu/legal-content/PT/TXT/?uri=CELEX%3A32019L1024</w:t>
        </w:r>
      </w:hyperlink>
      <w:r>
        <w:t>), o Regulamento Governação de Dados (</w:t>
      </w:r>
      <w:hyperlink r:id="rId84" w:history="1">
        <w:r>
          <w:rPr>
            <w:rStyle w:val="Hyperlink"/>
          </w:rPr>
          <w:t>https://ec.europa.eu/commission/presscorner/detail/pt/IP_21_6428</w:t>
        </w:r>
      </w:hyperlink>
      <w:r>
        <w:t>) e o Regulamento Dados, em especial o seu capítulo VIII (</w:t>
      </w:r>
      <w:hyperlink r:id="rId85" w:history="1">
        <w:r>
          <w:rPr>
            <w:rStyle w:val="Hyperlink"/>
          </w:rPr>
          <w:t>https://ec.europa.eu/commission/presscorner/detail/pt/ip_22_1113</w:t>
        </w:r>
      </w:hyperlink>
      <w:r>
        <w:t>).</w:t>
      </w:r>
    </w:p>
  </w:footnote>
  <w:footnote w:id="65">
    <w:p w:rsidR="007E7325" w:rsidRPr="008D5E65" w:rsidRDefault="007E7325" w:rsidP="00C92A87">
      <w:pPr>
        <w:pStyle w:val="FootnoteText"/>
      </w:pPr>
      <w:r>
        <w:rPr>
          <w:rStyle w:val="FootnoteReference"/>
        </w:rPr>
        <w:footnoteRef/>
      </w:r>
      <w:r>
        <w:t xml:space="preserve"> </w:t>
      </w:r>
      <w:r>
        <w:tab/>
      </w:r>
      <w:hyperlink r:id="rId86" w:history="1">
        <w:r>
          <w:rPr>
            <w:rStyle w:val="Hyperlink"/>
          </w:rPr>
          <w:t>https://data.europa.eu/pt</w:t>
        </w:r>
      </w:hyperlink>
      <w:r>
        <w:t>.</w:t>
      </w:r>
    </w:p>
  </w:footnote>
  <w:footnote w:id="66">
    <w:p w:rsidR="007E7325" w:rsidRPr="008D5E65" w:rsidRDefault="007E7325" w:rsidP="00C92A87">
      <w:pPr>
        <w:pStyle w:val="FootnoteText"/>
        <w:ind w:left="720" w:hanging="720"/>
      </w:pPr>
      <w:r>
        <w:rPr>
          <w:rStyle w:val="FootnoteReference"/>
        </w:rPr>
        <w:footnoteRef/>
      </w:r>
      <w:r>
        <w:t xml:space="preserve"> </w:t>
      </w:r>
      <w:r>
        <w:tab/>
        <w:t>Criado pelo Regulamento Governação de Dados.</w:t>
      </w:r>
    </w:p>
  </w:footnote>
  <w:footnote w:id="67">
    <w:p w:rsidR="007E7325" w:rsidRPr="008D5E65" w:rsidRDefault="007E7325" w:rsidP="00C92A87">
      <w:pPr>
        <w:pStyle w:val="FootnoteText"/>
        <w:ind w:left="720" w:hanging="720"/>
      </w:pPr>
      <w:r>
        <w:rPr>
          <w:rStyle w:val="FootnoteReference"/>
        </w:rPr>
        <w:footnoteRef/>
      </w:r>
      <w:r>
        <w:t xml:space="preserve"> </w:t>
      </w:r>
      <w:r>
        <w:tab/>
      </w:r>
      <w:hyperlink r:id="rId87" w:history="1">
        <w:r>
          <w:rPr>
            <w:rStyle w:val="Hyperlink"/>
          </w:rPr>
          <w:t>https://digital-strategy.ec.europa.eu/en/library/proposal-decision-establishing-2030-policy-programme-path-digital-decade</w:t>
        </w:r>
      </w:hyperlink>
      <w:r>
        <w:t>.</w:t>
      </w:r>
    </w:p>
  </w:footnote>
  <w:footnote w:id="68">
    <w:p w:rsidR="007E7325" w:rsidRPr="008D5E65" w:rsidRDefault="007E7325" w:rsidP="00C92A87">
      <w:pPr>
        <w:pStyle w:val="FootnoteText"/>
        <w:ind w:left="720" w:hanging="720"/>
      </w:pPr>
      <w:r>
        <w:rPr>
          <w:rStyle w:val="FootnoteReference"/>
        </w:rPr>
        <w:footnoteRef/>
      </w:r>
      <w:r>
        <w:t xml:space="preserve"> </w:t>
      </w:r>
      <w:r>
        <w:tab/>
        <w:t xml:space="preserve">Através do portal Joinup, nomeadamente </w:t>
      </w:r>
      <w:hyperlink r:id="rId88" w:history="1">
        <w:r>
          <w:rPr>
            <w:rStyle w:val="Hyperlink"/>
          </w:rPr>
          <w:t>https://joinup.ec.europa.eu/collection/open-source-observatory-osor</w:t>
        </w:r>
      </w:hyperlink>
      <w:r>
        <w:t xml:space="preserve">. </w:t>
      </w:r>
    </w:p>
  </w:footnote>
  <w:footnote w:id="69">
    <w:p w:rsidR="007E7325" w:rsidRPr="008D5E65" w:rsidRDefault="007E7325" w:rsidP="00C92A87">
      <w:pPr>
        <w:pStyle w:val="FootnoteText"/>
        <w:ind w:left="720" w:hanging="720"/>
      </w:pPr>
      <w:r>
        <w:rPr>
          <w:rStyle w:val="FootnoteReference"/>
        </w:rPr>
        <w:footnoteRef/>
      </w:r>
      <w:r>
        <w:t xml:space="preserve"> </w:t>
      </w:r>
      <w:r>
        <w:tab/>
        <w:t xml:space="preserve">Ver </w:t>
      </w:r>
      <w:hyperlink r:id="rId89" w:history="1">
        <w:r>
          <w:rPr>
            <w:rStyle w:val="Hyperlink"/>
          </w:rPr>
          <w:t>https://ec.europa.eu/info/departments/informatics/open-source-software-strategy_en</w:t>
        </w:r>
      </w:hyperlink>
      <w:r>
        <w:t>.</w:t>
      </w:r>
    </w:p>
  </w:footnote>
  <w:footnote w:id="70">
    <w:p w:rsidR="007E7325" w:rsidRPr="008D5E65" w:rsidRDefault="007E7325" w:rsidP="00C92A87">
      <w:pPr>
        <w:pStyle w:val="FootnoteText"/>
        <w:ind w:left="720" w:hanging="720"/>
      </w:pPr>
      <w:r>
        <w:rPr>
          <w:rStyle w:val="FootnoteReference"/>
        </w:rPr>
        <w:footnoteRef/>
      </w:r>
      <w:r>
        <w:t xml:space="preserve"> </w:t>
      </w:r>
      <w:r>
        <w:tab/>
        <w:t xml:space="preserve">Assistente de licenciamento Joinup em </w:t>
      </w:r>
      <w:hyperlink r:id="rId90" w:history="1">
        <w:r>
          <w:rPr>
            <w:rStyle w:val="Hyperlink"/>
          </w:rPr>
          <w:t>https://joinup.ec.europa.eu/collection/eupl</w:t>
        </w:r>
      </w:hyperlink>
      <w:r>
        <w:t>.</w:t>
      </w:r>
    </w:p>
  </w:footnote>
  <w:footnote w:id="71">
    <w:p w:rsidR="007E7325" w:rsidRPr="008D5E65" w:rsidRDefault="007E7325" w:rsidP="00C92A87">
      <w:pPr>
        <w:pStyle w:val="FootnoteText"/>
        <w:ind w:left="720" w:hanging="720"/>
      </w:pPr>
      <w:r>
        <w:rPr>
          <w:rStyle w:val="FootnoteReference"/>
        </w:rPr>
        <w:footnoteRef/>
      </w:r>
      <w:r>
        <w:t xml:space="preserve"> </w:t>
      </w:r>
      <w:r>
        <w:tab/>
        <w:t>A Comissão criou o seu próprio OSPO (</w:t>
      </w:r>
      <w:hyperlink r:id="rId91" w:history="1">
        <w:r>
          <w:rPr>
            <w:rStyle w:val="Hyperlink"/>
          </w:rPr>
          <w:t>https://joinup.ec.europa.eu/collection/ec-ospo</w:t>
        </w:r>
      </w:hyperlink>
      <w:r>
        <w:t>).</w:t>
      </w:r>
    </w:p>
  </w:footnote>
  <w:footnote w:id="72">
    <w:p w:rsidR="007E7325" w:rsidRPr="008D5E65" w:rsidRDefault="007E7325" w:rsidP="00C92A87">
      <w:pPr>
        <w:pStyle w:val="FootnoteText"/>
        <w:ind w:left="720" w:hanging="720"/>
      </w:pPr>
      <w:r>
        <w:rPr>
          <w:rStyle w:val="FootnoteReference"/>
        </w:rPr>
        <w:footnoteRef/>
      </w:r>
      <w:r>
        <w:t xml:space="preserve"> </w:t>
      </w:r>
      <w:r>
        <w:tab/>
        <w:t>Por exemplo, a plataforma multilateral para a normalização das TIC (</w:t>
      </w:r>
      <w:hyperlink r:id="rId92" w:history="1">
        <w:r>
          <w:rPr>
            <w:rStyle w:val="Hyperlink"/>
          </w:rPr>
          <w:t>https://ec.europa.eu/growth/single-market/european-standards/ict-standardisation_en</w:t>
        </w:r>
      </w:hyperlink>
      <w:r>
        <w:t>).</w:t>
      </w:r>
    </w:p>
  </w:footnote>
  <w:footnote w:id="73">
    <w:p w:rsidR="007E7325" w:rsidRPr="008D5E65" w:rsidRDefault="007E7325" w:rsidP="00C92A87">
      <w:pPr>
        <w:pStyle w:val="FootnoteText"/>
        <w:ind w:left="720" w:hanging="720"/>
      </w:pPr>
      <w:r>
        <w:rPr>
          <w:rStyle w:val="FootnoteReference"/>
        </w:rPr>
        <w:footnoteRef/>
      </w:r>
      <w:r>
        <w:t xml:space="preserve"> </w:t>
      </w:r>
      <w:r>
        <w:tab/>
        <w:t xml:space="preserve">Ver </w:t>
      </w:r>
      <w:hyperlink r:id="rId93" w:history="1">
        <w:r>
          <w:rPr>
            <w:rStyle w:val="Hyperlink"/>
          </w:rPr>
          <w:t>https://ec.europa.eu/docsroom/documents/48598</w:t>
        </w:r>
      </w:hyperlink>
      <w:r>
        <w:t>.</w:t>
      </w:r>
    </w:p>
  </w:footnote>
  <w:footnote w:id="74">
    <w:p w:rsidR="007E7325" w:rsidRPr="008D5E65" w:rsidRDefault="007E7325" w:rsidP="00C92A87">
      <w:pPr>
        <w:pStyle w:val="FootnoteText"/>
      </w:pPr>
      <w:r>
        <w:rPr>
          <w:rStyle w:val="FootnoteReference"/>
        </w:rPr>
        <w:footnoteRef/>
      </w:r>
      <w:r>
        <w:t xml:space="preserve"> </w:t>
      </w:r>
      <w:r>
        <w:tab/>
      </w:r>
      <w:hyperlink r:id="rId94" w:history="1">
        <w:r>
          <w:rPr>
            <w:rStyle w:val="Hyperlink"/>
          </w:rPr>
          <w:t>https://eur-lex.europa.eu/legal-content/PT/TXT/?uri=CELEX:52022DC0332</w:t>
        </w:r>
      </w:hyperlink>
      <w:r>
        <w:t>.</w:t>
      </w:r>
    </w:p>
  </w:footnote>
  <w:footnote w:id="75">
    <w:p w:rsidR="007E7325" w:rsidRPr="008D5E65" w:rsidRDefault="007E7325" w:rsidP="00C92A87">
      <w:pPr>
        <w:pStyle w:val="FootnoteText"/>
        <w:ind w:left="720" w:hanging="720"/>
      </w:pPr>
      <w:r>
        <w:rPr>
          <w:rStyle w:val="FootnoteReference"/>
        </w:rPr>
        <w:footnoteRef/>
      </w:r>
      <w:r>
        <w:t xml:space="preserve"> </w:t>
      </w:r>
      <w:r>
        <w:tab/>
      </w:r>
      <w:hyperlink r:id="rId95" w:history="1">
        <w:r>
          <w:rPr>
            <w:rStyle w:val="Hyperlink"/>
          </w:rPr>
          <w:t>https://joinup.ec.europa.eu/collection/nifo-national-interoperability-framework-observatory/eif-monitoring</w:t>
        </w:r>
      </w:hyperlink>
      <w:r>
        <w:t xml:space="preserve"> e </w:t>
      </w:r>
      <w:hyperlink r:id="rId96" w:history="1">
        <w:r>
          <w:rPr>
            <w:rStyle w:val="Hyperlink"/>
          </w:rPr>
          <w:t>https://joinup.ec.europa.eu/collection/nifo-national-interoperability-framework-observatory/digital-public-administration-factsheets-2021</w:t>
        </w:r>
      </w:hyperlink>
      <w:r>
        <w:t>.</w:t>
      </w:r>
    </w:p>
  </w:footnote>
  <w:footnote w:id="76">
    <w:p w:rsidR="007E7325" w:rsidRPr="008D5E65" w:rsidRDefault="007E7325" w:rsidP="00C92A87">
      <w:pPr>
        <w:pStyle w:val="FootnoteText"/>
        <w:ind w:left="720" w:hanging="720"/>
      </w:pPr>
      <w:r>
        <w:rPr>
          <w:rStyle w:val="FootnoteReference"/>
        </w:rPr>
        <w:footnoteRef/>
      </w:r>
      <w:r>
        <w:t xml:space="preserve"> </w:t>
      </w:r>
      <w:r>
        <w:tab/>
        <w:t>Por exemplo, com o Uruguai (</w:t>
      </w:r>
      <w:hyperlink r:id="rId97" w:history="1">
        <w:r>
          <w:rPr>
            <w:rStyle w:val="Hyperlink"/>
          </w:rPr>
          <w:t>https://ec.europa.eu/isa2/news/european-commission-reinforces-cooperation-uruguay-interoperability_en/</w:t>
        </w:r>
      </w:hyperlink>
      <w:r>
        <w:t>) e a Ucrânia (</w:t>
      </w:r>
      <w:hyperlink r:id="rId98" w:history="1">
        <w:r>
          <w:rPr>
            <w:rStyle w:val="Hyperlink"/>
          </w:rPr>
          <w:t>https://eufordigital.eu/countries/ukraine/</w:t>
        </w:r>
      </w:hyperlink>
      <w:r>
        <w:t>).</w:t>
      </w:r>
    </w:p>
  </w:footnote>
  <w:footnote w:id="77">
    <w:p w:rsidR="007E7325" w:rsidRPr="008D5E65" w:rsidRDefault="007E7325" w:rsidP="00C92A87">
      <w:pPr>
        <w:pStyle w:val="FootnoteText"/>
        <w:ind w:left="720" w:hanging="720"/>
      </w:pPr>
      <w:r>
        <w:rPr>
          <w:rStyle w:val="FootnoteReference"/>
        </w:rPr>
        <w:footnoteRef/>
      </w:r>
      <w:r>
        <w:t xml:space="preserve"> </w:t>
      </w:r>
      <w:r>
        <w:tab/>
        <w:t>Um quadro de avaliação apoiado pela Comissão, desenvolvido com o programa de apoio à melhoria da administração pública e da gestão (SIGMA) da OCDE, é utilizado para acompanhar os progressos da reforma da administração pública e refere-se à «interoperabilidade» (</w:t>
      </w:r>
      <w:r>
        <w:rPr>
          <w:i/>
        </w:rPr>
        <w:t>Principles of Public Administration</w:t>
      </w:r>
      <w:r>
        <w:t xml:space="preserve">: </w:t>
      </w:r>
      <w:hyperlink r:id="rId99" w:history="1">
        <w:r>
          <w:rPr>
            <w:rStyle w:val="Hyperlink"/>
          </w:rPr>
          <w:t>https://sigmaweb.org/publications/Principles-of-Public-Administration-2017-edition-ENG.pdf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52" w:rsidRPr="00340052" w:rsidRDefault="00340052" w:rsidP="00340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52" w:rsidRPr="00340052" w:rsidRDefault="00340052" w:rsidP="0034005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52" w:rsidRPr="00340052" w:rsidRDefault="00340052" w:rsidP="0034005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25" w:rsidRDefault="007E73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25" w:rsidRPr="00C76B85" w:rsidRDefault="007E7325">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25" w:rsidRDefault="007E7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6F8A"/>
    <w:multiLevelType w:val="hybridMultilevel"/>
    <w:tmpl w:val="8800C830"/>
    <w:lvl w:ilvl="0" w:tplc="D996EEC4">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6E00A7"/>
    <w:multiLevelType w:val="hybridMultilevel"/>
    <w:tmpl w:val="8800C83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680B31"/>
    <w:multiLevelType w:val="hybridMultilevel"/>
    <w:tmpl w:val="1686821E"/>
    <w:lvl w:ilvl="0" w:tplc="D7B0FC12">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A59CA"/>
    <w:multiLevelType w:val="hybridMultilevel"/>
    <w:tmpl w:val="B3EAB2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4B4A6B"/>
    <w:multiLevelType w:val="hybridMultilevel"/>
    <w:tmpl w:val="5966F162"/>
    <w:lvl w:ilvl="0" w:tplc="5DEA63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47112C"/>
    <w:multiLevelType w:val="hybridMultilevel"/>
    <w:tmpl w:val="B37C26F6"/>
    <w:lvl w:ilvl="0" w:tplc="DD2C929A">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5C0036"/>
    <w:multiLevelType w:val="hybridMultilevel"/>
    <w:tmpl w:val="A38CA9A4"/>
    <w:lvl w:ilvl="0" w:tplc="D7B0FC12">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165B0B"/>
    <w:multiLevelType w:val="hybridMultilevel"/>
    <w:tmpl w:val="4198B88C"/>
    <w:lvl w:ilvl="0" w:tplc="6612212E">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3F23D6"/>
    <w:multiLevelType w:val="hybridMultilevel"/>
    <w:tmpl w:val="890E8258"/>
    <w:lvl w:ilvl="0" w:tplc="0388EA1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6D6A20"/>
    <w:multiLevelType w:val="hybridMultilevel"/>
    <w:tmpl w:val="2A1A9642"/>
    <w:lvl w:ilvl="0" w:tplc="345287D2">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3247E2"/>
    <w:multiLevelType w:val="hybridMultilevel"/>
    <w:tmpl w:val="B4862A1A"/>
    <w:lvl w:ilvl="0" w:tplc="28243F5A">
      <w:start w:val="1"/>
      <w:numFmt w:val="bullet"/>
      <w:lvlText w:val="-"/>
      <w:lvlJc w:val="left"/>
      <w:pPr>
        <w:ind w:left="720" w:hanging="360"/>
      </w:pPr>
      <w:rPr>
        <w:rFonts w:ascii="Open Sans" w:eastAsiaTheme="minorHAnsi" w:hAnsi="Open Sans" w:cs="Open Sans" w:hint="default"/>
        <w:color w:val="0066A5"/>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BC25E5"/>
    <w:multiLevelType w:val="hybridMultilevel"/>
    <w:tmpl w:val="14741D24"/>
    <w:lvl w:ilvl="0" w:tplc="D7B0FC12">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B76DB6"/>
    <w:multiLevelType w:val="hybridMultilevel"/>
    <w:tmpl w:val="2D58EF4A"/>
    <w:lvl w:ilvl="0" w:tplc="783AC1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EF19BA"/>
    <w:multiLevelType w:val="hybridMultilevel"/>
    <w:tmpl w:val="5776A9EC"/>
    <w:lvl w:ilvl="0" w:tplc="D7B0F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A3E9C"/>
    <w:multiLevelType w:val="multilevel"/>
    <w:tmpl w:val="1524751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9E71E4B"/>
    <w:multiLevelType w:val="hybridMultilevel"/>
    <w:tmpl w:val="97F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D49D3"/>
    <w:multiLevelType w:val="hybridMultilevel"/>
    <w:tmpl w:val="3E129FCC"/>
    <w:lvl w:ilvl="0" w:tplc="604A89F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DB51D4"/>
    <w:multiLevelType w:val="hybridMultilevel"/>
    <w:tmpl w:val="1504BDB4"/>
    <w:lvl w:ilvl="0" w:tplc="345287D2">
      <w:start w:val="1"/>
      <w:numFmt w:val="bullet"/>
      <w:lvlText w:val="-"/>
      <w:lvlJc w:val="left"/>
      <w:pPr>
        <w:ind w:left="720" w:hanging="360"/>
      </w:pPr>
      <w:rPr>
        <w:rFonts w:ascii="Calibri" w:hAnsi="Calibri" w:hint="default"/>
      </w:rPr>
    </w:lvl>
    <w:lvl w:ilvl="1" w:tplc="EF843DD2">
      <w:start w:val="1"/>
      <w:numFmt w:val="bullet"/>
      <w:lvlText w:val="o"/>
      <w:lvlJc w:val="left"/>
      <w:pPr>
        <w:ind w:left="1440" w:hanging="360"/>
      </w:pPr>
      <w:rPr>
        <w:rFonts w:ascii="Courier New" w:hAnsi="Courier New" w:hint="default"/>
      </w:rPr>
    </w:lvl>
    <w:lvl w:ilvl="2" w:tplc="FB7C500A">
      <w:start w:val="1"/>
      <w:numFmt w:val="bullet"/>
      <w:lvlText w:val=""/>
      <w:lvlJc w:val="left"/>
      <w:pPr>
        <w:ind w:left="2160" w:hanging="360"/>
      </w:pPr>
      <w:rPr>
        <w:rFonts w:ascii="Wingdings" w:hAnsi="Wingdings" w:hint="default"/>
      </w:rPr>
    </w:lvl>
    <w:lvl w:ilvl="3" w:tplc="18C462A2">
      <w:start w:val="1"/>
      <w:numFmt w:val="bullet"/>
      <w:lvlText w:val=""/>
      <w:lvlJc w:val="left"/>
      <w:pPr>
        <w:ind w:left="2880" w:hanging="360"/>
      </w:pPr>
      <w:rPr>
        <w:rFonts w:ascii="Symbol" w:hAnsi="Symbol" w:hint="default"/>
      </w:rPr>
    </w:lvl>
    <w:lvl w:ilvl="4" w:tplc="7736DD80">
      <w:start w:val="1"/>
      <w:numFmt w:val="bullet"/>
      <w:lvlText w:val="o"/>
      <w:lvlJc w:val="left"/>
      <w:pPr>
        <w:ind w:left="3600" w:hanging="360"/>
      </w:pPr>
      <w:rPr>
        <w:rFonts w:ascii="Courier New" w:hAnsi="Courier New" w:hint="default"/>
      </w:rPr>
    </w:lvl>
    <w:lvl w:ilvl="5" w:tplc="1E2AB094">
      <w:start w:val="1"/>
      <w:numFmt w:val="bullet"/>
      <w:lvlText w:val=""/>
      <w:lvlJc w:val="left"/>
      <w:pPr>
        <w:ind w:left="4320" w:hanging="360"/>
      </w:pPr>
      <w:rPr>
        <w:rFonts w:ascii="Wingdings" w:hAnsi="Wingdings" w:hint="default"/>
      </w:rPr>
    </w:lvl>
    <w:lvl w:ilvl="6" w:tplc="B98CC97C">
      <w:start w:val="1"/>
      <w:numFmt w:val="bullet"/>
      <w:lvlText w:val=""/>
      <w:lvlJc w:val="left"/>
      <w:pPr>
        <w:ind w:left="5040" w:hanging="360"/>
      </w:pPr>
      <w:rPr>
        <w:rFonts w:ascii="Symbol" w:hAnsi="Symbol" w:hint="default"/>
      </w:rPr>
    </w:lvl>
    <w:lvl w:ilvl="7" w:tplc="29E6D6E4">
      <w:start w:val="1"/>
      <w:numFmt w:val="bullet"/>
      <w:lvlText w:val="o"/>
      <w:lvlJc w:val="left"/>
      <w:pPr>
        <w:ind w:left="5760" w:hanging="360"/>
      </w:pPr>
      <w:rPr>
        <w:rFonts w:ascii="Courier New" w:hAnsi="Courier New" w:hint="default"/>
      </w:rPr>
    </w:lvl>
    <w:lvl w:ilvl="8" w:tplc="7C6A7E1C">
      <w:start w:val="1"/>
      <w:numFmt w:val="bullet"/>
      <w:lvlText w:val=""/>
      <w:lvlJc w:val="left"/>
      <w:pPr>
        <w:ind w:left="6480" w:hanging="360"/>
      </w:pPr>
      <w:rPr>
        <w:rFonts w:ascii="Wingdings" w:hAnsi="Wingdings" w:hint="default"/>
      </w:rPr>
    </w:lvl>
  </w:abstractNum>
  <w:abstractNum w:abstractNumId="18" w15:restartNumberingAfterBreak="0">
    <w:nsid w:val="7AE6167E"/>
    <w:multiLevelType w:val="hybridMultilevel"/>
    <w:tmpl w:val="D74875B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D4F0EAE"/>
    <w:multiLevelType w:val="multilevel"/>
    <w:tmpl w:val="964681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F11EB2"/>
    <w:multiLevelType w:val="hybridMultilevel"/>
    <w:tmpl w:val="9C70F410"/>
    <w:lvl w:ilvl="0" w:tplc="345287D2">
      <w:start w:val="1"/>
      <w:numFmt w:val="bullet"/>
      <w:lvlText w:val="-"/>
      <w:lvlJc w:val="left"/>
      <w:pPr>
        <w:ind w:left="785" w:hanging="360"/>
      </w:pPr>
      <w:rPr>
        <w:rFonts w:ascii="Calibri" w:hAnsi="Calibri"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num w:numId="1">
    <w:abstractNumId w:val="17"/>
  </w:num>
  <w:num w:numId="2">
    <w:abstractNumId w:val="7"/>
  </w:num>
  <w:num w:numId="3">
    <w:abstractNumId w:val="16"/>
  </w:num>
  <w:num w:numId="4">
    <w:abstractNumId w:val="8"/>
  </w:num>
  <w:num w:numId="5">
    <w:abstractNumId w:val="3"/>
  </w:num>
  <w:num w:numId="6">
    <w:abstractNumId w:val="5"/>
  </w:num>
  <w:num w:numId="7">
    <w:abstractNumId w:val="19"/>
  </w:num>
  <w:num w:numId="8">
    <w:abstractNumId w:val="12"/>
  </w:num>
  <w:num w:numId="9">
    <w:abstractNumId w:val="4"/>
  </w:num>
  <w:num w:numId="10">
    <w:abstractNumId w:val="10"/>
  </w:num>
  <w:num w:numId="11">
    <w:abstractNumId w:val="18"/>
  </w:num>
  <w:num w:numId="12">
    <w:abstractNumId w:val="0"/>
  </w:num>
  <w:num w:numId="13">
    <w:abstractNumId w:val="1"/>
  </w:num>
  <w:num w:numId="14">
    <w:abstractNumId w:val="9"/>
  </w:num>
  <w:num w:numId="15">
    <w:abstractNumId w:val="20"/>
  </w:num>
  <w:num w:numId="16">
    <w:abstractNumId w:val="14"/>
  </w:num>
  <w:num w:numId="17">
    <w:abstractNumId w:val="14"/>
  </w:num>
  <w:num w:numId="18">
    <w:abstractNumId w:val="15"/>
  </w:num>
  <w:num w:numId="19">
    <w:abstractNumId w:val="6"/>
  </w:num>
  <w:num w:numId="20">
    <w:abstractNumId w:val="1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6BDBC4E7-6D78-4F36-BB90-45F44FBCC143"/>
    <w:docVar w:name="LW_COVERPAGE_TYPE" w:val="1"/>
    <w:docVar w:name="LW_CROSSREFERENCE" w:val="{SWD(2022) 710 final}"/>
    <w:docVar w:name="LW_DocType" w:val="NORMAL"/>
    <w:docVar w:name="LW_EMISSION" w:val="18.11.2022"/>
    <w:docVar w:name="LW_EMISSION_ISODATE" w:val="2022-11-18"/>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2)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obre uma política de interoperabilidade do setor público reforçada _x000d__x000d__x000d__x000b__x000d__x000d__x000d__x000b_Ligar serviços públicos, apoiar políticas públicas e proporcionar benefícios públicos_x000d__x000d__x000d__x000b_Rumo a uma «Europa Interoperável»"/>
    <w:docVar w:name="LW_TYPE.DOC.CP" w:val="COMUNICAÇÃO DA COMISSÃO AO PARLAMENTO EUROPEU, AO CONSELHO, AO COMITÉ ECONÓMICO E SOCIAL EUROPEU E AO COMITÉ DAS REGIÕES"/>
    <w:docVar w:name="LW_TYPE.DOC.CP.USERTEXT" w:val="&lt;EMPTY&gt;"/>
    <w:docVar w:name="LwApiVersions" w:val="LW4CoDe 1.23.2.0; LW 8.0, Build 20211117"/>
  </w:docVars>
  <w:rsids>
    <w:rsidRoot w:val="00533C56"/>
    <w:rsid w:val="00001393"/>
    <w:rsid w:val="0000194A"/>
    <w:rsid w:val="00001E95"/>
    <w:rsid w:val="0000212E"/>
    <w:rsid w:val="00002A24"/>
    <w:rsid w:val="00004963"/>
    <w:rsid w:val="00004CA2"/>
    <w:rsid w:val="00010317"/>
    <w:rsid w:val="000103B3"/>
    <w:rsid w:val="0001098B"/>
    <w:rsid w:val="00010BE6"/>
    <w:rsid w:val="00011E29"/>
    <w:rsid w:val="00012611"/>
    <w:rsid w:val="00013694"/>
    <w:rsid w:val="00013C43"/>
    <w:rsid w:val="00015213"/>
    <w:rsid w:val="00015798"/>
    <w:rsid w:val="00015B04"/>
    <w:rsid w:val="00016107"/>
    <w:rsid w:val="000206FF"/>
    <w:rsid w:val="000224D5"/>
    <w:rsid w:val="00024303"/>
    <w:rsid w:val="0002479C"/>
    <w:rsid w:val="000254AC"/>
    <w:rsid w:val="000255AD"/>
    <w:rsid w:val="00025D3A"/>
    <w:rsid w:val="000269AE"/>
    <w:rsid w:val="00026BD4"/>
    <w:rsid w:val="00030030"/>
    <w:rsid w:val="00030F40"/>
    <w:rsid w:val="000318EF"/>
    <w:rsid w:val="00032BD8"/>
    <w:rsid w:val="00034716"/>
    <w:rsid w:val="000348D7"/>
    <w:rsid w:val="0003610D"/>
    <w:rsid w:val="0003F813"/>
    <w:rsid w:val="000405CC"/>
    <w:rsid w:val="00040EF3"/>
    <w:rsid w:val="00041C70"/>
    <w:rsid w:val="000431F4"/>
    <w:rsid w:val="00044160"/>
    <w:rsid w:val="0004478C"/>
    <w:rsid w:val="00044CED"/>
    <w:rsid w:val="000467FB"/>
    <w:rsid w:val="000476D1"/>
    <w:rsid w:val="00047711"/>
    <w:rsid w:val="00047AD2"/>
    <w:rsid w:val="00047DA6"/>
    <w:rsid w:val="00050187"/>
    <w:rsid w:val="00050683"/>
    <w:rsid w:val="00050A27"/>
    <w:rsid w:val="000512BB"/>
    <w:rsid w:val="00051EE0"/>
    <w:rsid w:val="0005238F"/>
    <w:rsid w:val="000539C8"/>
    <w:rsid w:val="000551A0"/>
    <w:rsid w:val="00056223"/>
    <w:rsid w:val="000569E7"/>
    <w:rsid w:val="0005741C"/>
    <w:rsid w:val="00057CB3"/>
    <w:rsid w:val="0006088C"/>
    <w:rsid w:val="000608A9"/>
    <w:rsid w:val="0006132D"/>
    <w:rsid w:val="000628A6"/>
    <w:rsid w:val="00062F23"/>
    <w:rsid w:val="0006596A"/>
    <w:rsid w:val="00065F7F"/>
    <w:rsid w:val="00066805"/>
    <w:rsid w:val="00066A66"/>
    <w:rsid w:val="00066D51"/>
    <w:rsid w:val="0006763F"/>
    <w:rsid w:val="00070A8B"/>
    <w:rsid w:val="0007278D"/>
    <w:rsid w:val="00073B20"/>
    <w:rsid w:val="0007492E"/>
    <w:rsid w:val="00075722"/>
    <w:rsid w:val="00075A11"/>
    <w:rsid w:val="00076951"/>
    <w:rsid w:val="00076F7B"/>
    <w:rsid w:val="000770A2"/>
    <w:rsid w:val="000779BD"/>
    <w:rsid w:val="0008091E"/>
    <w:rsid w:val="0008172A"/>
    <w:rsid w:val="00081F06"/>
    <w:rsid w:val="0008285D"/>
    <w:rsid w:val="00082977"/>
    <w:rsid w:val="00083870"/>
    <w:rsid w:val="00083976"/>
    <w:rsid w:val="00083BCD"/>
    <w:rsid w:val="00083E61"/>
    <w:rsid w:val="00084695"/>
    <w:rsid w:val="00084A81"/>
    <w:rsid w:val="000853EA"/>
    <w:rsid w:val="00085F07"/>
    <w:rsid w:val="0008638D"/>
    <w:rsid w:val="000867A1"/>
    <w:rsid w:val="00087738"/>
    <w:rsid w:val="00087933"/>
    <w:rsid w:val="00087DBA"/>
    <w:rsid w:val="000902F1"/>
    <w:rsid w:val="00091EC7"/>
    <w:rsid w:val="0009215F"/>
    <w:rsid w:val="000926A9"/>
    <w:rsid w:val="00092FB7"/>
    <w:rsid w:val="000935A0"/>
    <w:rsid w:val="0009507D"/>
    <w:rsid w:val="00095C0E"/>
    <w:rsid w:val="000967B6"/>
    <w:rsid w:val="00096B88"/>
    <w:rsid w:val="000A02D6"/>
    <w:rsid w:val="000A0915"/>
    <w:rsid w:val="000A099C"/>
    <w:rsid w:val="000A15D7"/>
    <w:rsid w:val="000A1685"/>
    <w:rsid w:val="000A29D6"/>
    <w:rsid w:val="000A3238"/>
    <w:rsid w:val="000A370D"/>
    <w:rsid w:val="000A52BF"/>
    <w:rsid w:val="000A56E0"/>
    <w:rsid w:val="000A583F"/>
    <w:rsid w:val="000A5B57"/>
    <w:rsid w:val="000A6E65"/>
    <w:rsid w:val="000A7DF5"/>
    <w:rsid w:val="000B0167"/>
    <w:rsid w:val="000B0A19"/>
    <w:rsid w:val="000B0FE4"/>
    <w:rsid w:val="000B162A"/>
    <w:rsid w:val="000B234A"/>
    <w:rsid w:val="000B285E"/>
    <w:rsid w:val="000B2992"/>
    <w:rsid w:val="000B2F03"/>
    <w:rsid w:val="000B3559"/>
    <w:rsid w:val="000B3F8F"/>
    <w:rsid w:val="000B467B"/>
    <w:rsid w:val="000B5126"/>
    <w:rsid w:val="000B583C"/>
    <w:rsid w:val="000B5A33"/>
    <w:rsid w:val="000B6B1D"/>
    <w:rsid w:val="000B6BFB"/>
    <w:rsid w:val="000B6CA8"/>
    <w:rsid w:val="000B6EC0"/>
    <w:rsid w:val="000B7645"/>
    <w:rsid w:val="000C00AC"/>
    <w:rsid w:val="000C05F8"/>
    <w:rsid w:val="000C0BF5"/>
    <w:rsid w:val="000C0CC1"/>
    <w:rsid w:val="000C0DEE"/>
    <w:rsid w:val="000C10AD"/>
    <w:rsid w:val="000C2012"/>
    <w:rsid w:val="000C240D"/>
    <w:rsid w:val="000C28D7"/>
    <w:rsid w:val="000C36A3"/>
    <w:rsid w:val="000C3DA3"/>
    <w:rsid w:val="000C6C12"/>
    <w:rsid w:val="000C776A"/>
    <w:rsid w:val="000D04E2"/>
    <w:rsid w:val="000D0B2E"/>
    <w:rsid w:val="000D0F8D"/>
    <w:rsid w:val="000D184C"/>
    <w:rsid w:val="000D36A1"/>
    <w:rsid w:val="000D3DD1"/>
    <w:rsid w:val="000D45A5"/>
    <w:rsid w:val="000D4968"/>
    <w:rsid w:val="000D5BCA"/>
    <w:rsid w:val="000D5D39"/>
    <w:rsid w:val="000D6027"/>
    <w:rsid w:val="000D6044"/>
    <w:rsid w:val="000D6227"/>
    <w:rsid w:val="000D6D13"/>
    <w:rsid w:val="000D7827"/>
    <w:rsid w:val="000E0253"/>
    <w:rsid w:val="000E07C5"/>
    <w:rsid w:val="000E25D3"/>
    <w:rsid w:val="000E2AA2"/>
    <w:rsid w:val="000E3688"/>
    <w:rsid w:val="000E38F1"/>
    <w:rsid w:val="000E4184"/>
    <w:rsid w:val="000E5ADE"/>
    <w:rsid w:val="000E5BCD"/>
    <w:rsid w:val="000E5F31"/>
    <w:rsid w:val="000E67D3"/>
    <w:rsid w:val="000E69A0"/>
    <w:rsid w:val="000F0D20"/>
    <w:rsid w:val="000F1151"/>
    <w:rsid w:val="000F1A86"/>
    <w:rsid w:val="000F22A2"/>
    <w:rsid w:val="000F2E6F"/>
    <w:rsid w:val="000F353A"/>
    <w:rsid w:val="000F358D"/>
    <w:rsid w:val="000F3BC5"/>
    <w:rsid w:val="000F5393"/>
    <w:rsid w:val="000F58F5"/>
    <w:rsid w:val="000F5C91"/>
    <w:rsid w:val="000F601A"/>
    <w:rsid w:val="000F650E"/>
    <w:rsid w:val="000F65F4"/>
    <w:rsid w:val="000F78F7"/>
    <w:rsid w:val="001002BE"/>
    <w:rsid w:val="0010065C"/>
    <w:rsid w:val="001009F0"/>
    <w:rsid w:val="001012DE"/>
    <w:rsid w:val="0010260D"/>
    <w:rsid w:val="00102865"/>
    <w:rsid w:val="00102992"/>
    <w:rsid w:val="00103305"/>
    <w:rsid w:val="00103444"/>
    <w:rsid w:val="00104EF5"/>
    <w:rsid w:val="00105519"/>
    <w:rsid w:val="00106375"/>
    <w:rsid w:val="001064D5"/>
    <w:rsid w:val="001070BF"/>
    <w:rsid w:val="001102FB"/>
    <w:rsid w:val="00110916"/>
    <w:rsid w:val="001111BB"/>
    <w:rsid w:val="001129D0"/>
    <w:rsid w:val="001131F5"/>
    <w:rsid w:val="00113A53"/>
    <w:rsid w:val="00114699"/>
    <w:rsid w:val="00114743"/>
    <w:rsid w:val="00114CA8"/>
    <w:rsid w:val="00115380"/>
    <w:rsid w:val="00115401"/>
    <w:rsid w:val="00115C8F"/>
    <w:rsid w:val="001168F7"/>
    <w:rsid w:val="00116F6D"/>
    <w:rsid w:val="00120704"/>
    <w:rsid w:val="00121477"/>
    <w:rsid w:val="001239B1"/>
    <w:rsid w:val="00123DA2"/>
    <w:rsid w:val="00123EAD"/>
    <w:rsid w:val="00124B32"/>
    <w:rsid w:val="00125852"/>
    <w:rsid w:val="001273E7"/>
    <w:rsid w:val="00127DD0"/>
    <w:rsid w:val="00130503"/>
    <w:rsid w:val="0013050A"/>
    <w:rsid w:val="001309A3"/>
    <w:rsid w:val="001309BF"/>
    <w:rsid w:val="00131E23"/>
    <w:rsid w:val="00131FD9"/>
    <w:rsid w:val="00132654"/>
    <w:rsid w:val="00132716"/>
    <w:rsid w:val="0013309C"/>
    <w:rsid w:val="00133581"/>
    <w:rsid w:val="00133B27"/>
    <w:rsid w:val="00134081"/>
    <w:rsid w:val="0013505E"/>
    <w:rsid w:val="00135420"/>
    <w:rsid w:val="00135EC2"/>
    <w:rsid w:val="001363A5"/>
    <w:rsid w:val="00136772"/>
    <w:rsid w:val="0013720B"/>
    <w:rsid w:val="0013735D"/>
    <w:rsid w:val="001374D5"/>
    <w:rsid w:val="00137CB6"/>
    <w:rsid w:val="0013CD8C"/>
    <w:rsid w:val="001413F7"/>
    <w:rsid w:val="00141C82"/>
    <w:rsid w:val="00143598"/>
    <w:rsid w:val="00145ECB"/>
    <w:rsid w:val="00146177"/>
    <w:rsid w:val="00146CF1"/>
    <w:rsid w:val="001473E7"/>
    <w:rsid w:val="00147BEF"/>
    <w:rsid w:val="00147E6B"/>
    <w:rsid w:val="001508F3"/>
    <w:rsid w:val="00151327"/>
    <w:rsid w:val="001520A8"/>
    <w:rsid w:val="00152604"/>
    <w:rsid w:val="00152C0B"/>
    <w:rsid w:val="00152E15"/>
    <w:rsid w:val="00153375"/>
    <w:rsid w:val="001541E2"/>
    <w:rsid w:val="0015559D"/>
    <w:rsid w:val="001558E1"/>
    <w:rsid w:val="00155B6E"/>
    <w:rsid w:val="00156840"/>
    <w:rsid w:val="0015716A"/>
    <w:rsid w:val="00157FCA"/>
    <w:rsid w:val="00162275"/>
    <w:rsid w:val="001624FE"/>
    <w:rsid w:val="00162D44"/>
    <w:rsid w:val="001635BF"/>
    <w:rsid w:val="001635C8"/>
    <w:rsid w:val="0016452F"/>
    <w:rsid w:val="00164C9E"/>
    <w:rsid w:val="0016562C"/>
    <w:rsid w:val="00166358"/>
    <w:rsid w:val="001670DD"/>
    <w:rsid w:val="0016762D"/>
    <w:rsid w:val="001705EC"/>
    <w:rsid w:val="001707F0"/>
    <w:rsid w:val="00170A11"/>
    <w:rsid w:val="00171024"/>
    <w:rsid w:val="001713FE"/>
    <w:rsid w:val="001716C4"/>
    <w:rsid w:val="00171848"/>
    <w:rsid w:val="00171D8A"/>
    <w:rsid w:val="0017263C"/>
    <w:rsid w:val="00172F7C"/>
    <w:rsid w:val="001734A7"/>
    <w:rsid w:val="00173BE2"/>
    <w:rsid w:val="00173D0F"/>
    <w:rsid w:val="00174154"/>
    <w:rsid w:val="00174497"/>
    <w:rsid w:val="001750C3"/>
    <w:rsid w:val="001752B4"/>
    <w:rsid w:val="00176978"/>
    <w:rsid w:val="00176CA1"/>
    <w:rsid w:val="001776EB"/>
    <w:rsid w:val="0017779A"/>
    <w:rsid w:val="00177BC2"/>
    <w:rsid w:val="00177E28"/>
    <w:rsid w:val="00180CAC"/>
    <w:rsid w:val="001811EC"/>
    <w:rsid w:val="00182607"/>
    <w:rsid w:val="0018279F"/>
    <w:rsid w:val="00183698"/>
    <w:rsid w:val="00183881"/>
    <w:rsid w:val="0018398D"/>
    <w:rsid w:val="001839C7"/>
    <w:rsid w:val="0018425F"/>
    <w:rsid w:val="00184B2F"/>
    <w:rsid w:val="00186587"/>
    <w:rsid w:val="00186F66"/>
    <w:rsid w:val="0018739C"/>
    <w:rsid w:val="0019062E"/>
    <w:rsid w:val="001906DC"/>
    <w:rsid w:val="00190B7F"/>
    <w:rsid w:val="001917BC"/>
    <w:rsid w:val="00193032"/>
    <w:rsid w:val="00194168"/>
    <w:rsid w:val="00194A85"/>
    <w:rsid w:val="00194C22"/>
    <w:rsid w:val="0019542E"/>
    <w:rsid w:val="00195AA7"/>
    <w:rsid w:val="00195EC2"/>
    <w:rsid w:val="001965FB"/>
    <w:rsid w:val="0019673F"/>
    <w:rsid w:val="00196AC8"/>
    <w:rsid w:val="00196B16"/>
    <w:rsid w:val="00197750"/>
    <w:rsid w:val="001A0EE6"/>
    <w:rsid w:val="001A2631"/>
    <w:rsid w:val="001A2BD5"/>
    <w:rsid w:val="001A2C2F"/>
    <w:rsid w:val="001A3148"/>
    <w:rsid w:val="001A3AC5"/>
    <w:rsid w:val="001A6C7E"/>
    <w:rsid w:val="001A7063"/>
    <w:rsid w:val="001A71C1"/>
    <w:rsid w:val="001A79F5"/>
    <w:rsid w:val="001B0034"/>
    <w:rsid w:val="001B051D"/>
    <w:rsid w:val="001B1D4F"/>
    <w:rsid w:val="001B2230"/>
    <w:rsid w:val="001B3A16"/>
    <w:rsid w:val="001B4185"/>
    <w:rsid w:val="001B4683"/>
    <w:rsid w:val="001B533C"/>
    <w:rsid w:val="001B56DD"/>
    <w:rsid w:val="001B5A95"/>
    <w:rsid w:val="001B6049"/>
    <w:rsid w:val="001B6255"/>
    <w:rsid w:val="001B63B1"/>
    <w:rsid w:val="001B728B"/>
    <w:rsid w:val="001B7CC9"/>
    <w:rsid w:val="001B7E5F"/>
    <w:rsid w:val="001C1F8E"/>
    <w:rsid w:val="001C3D54"/>
    <w:rsid w:val="001C41A5"/>
    <w:rsid w:val="001C5BC2"/>
    <w:rsid w:val="001C5C4E"/>
    <w:rsid w:val="001C645C"/>
    <w:rsid w:val="001C6713"/>
    <w:rsid w:val="001C6E44"/>
    <w:rsid w:val="001C7435"/>
    <w:rsid w:val="001C7AC6"/>
    <w:rsid w:val="001C7DFF"/>
    <w:rsid w:val="001D1427"/>
    <w:rsid w:val="001D18A3"/>
    <w:rsid w:val="001D268D"/>
    <w:rsid w:val="001D27B3"/>
    <w:rsid w:val="001D2B2B"/>
    <w:rsid w:val="001D2DA2"/>
    <w:rsid w:val="001D3CCB"/>
    <w:rsid w:val="001D49EA"/>
    <w:rsid w:val="001D537C"/>
    <w:rsid w:val="001D5BA7"/>
    <w:rsid w:val="001D7765"/>
    <w:rsid w:val="001E0505"/>
    <w:rsid w:val="001E0AF1"/>
    <w:rsid w:val="001E0CB9"/>
    <w:rsid w:val="001E0D0F"/>
    <w:rsid w:val="001E12C6"/>
    <w:rsid w:val="001E1B52"/>
    <w:rsid w:val="001E1DC3"/>
    <w:rsid w:val="001E2438"/>
    <w:rsid w:val="001E266F"/>
    <w:rsid w:val="001E2679"/>
    <w:rsid w:val="001E3D63"/>
    <w:rsid w:val="001E40EB"/>
    <w:rsid w:val="001E434D"/>
    <w:rsid w:val="001E49E9"/>
    <w:rsid w:val="001E581A"/>
    <w:rsid w:val="001E5FDD"/>
    <w:rsid w:val="001E70B8"/>
    <w:rsid w:val="001E7565"/>
    <w:rsid w:val="001E75D6"/>
    <w:rsid w:val="001F0F17"/>
    <w:rsid w:val="001F19D7"/>
    <w:rsid w:val="001F1F3F"/>
    <w:rsid w:val="001F234B"/>
    <w:rsid w:val="001F23B0"/>
    <w:rsid w:val="001F311E"/>
    <w:rsid w:val="001F3D98"/>
    <w:rsid w:val="001F4C71"/>
    <w:rsid w:val="001F56D4"/>
    <w:rsid w:val="001F6358"/>
    <w:rsid w:val="001F64C2"/>
    <w:rsid w:val="001F6591"/>
    <w:rsid w:val="001F6840"/>
    <w:rsid w:val="001F7089"/>
    <w:rsid w:val="001F7B64"/>
    <w:rsid w:val="00201498"/>
    <w:rsid w:val="00202071"/>
    <w:rsid w:val="0020217B"/>
    <w:rsid w:val="0020252A"/>
    <w:rsid w:val="00202699"/>
    <w:rsid w:val="00202C89"/>
    <w:rsid w:val="002039B8"/>
    <w:rsid w:val="00203E93"/>
    <w:rsid w:val="00207231"/>
    <w:rsid w:val="0021176E"/>
    <w:rsid w:val="00211CC0"/>
    <w:rsid w:val="00212408"/>
    <w:rsid w:val="00213B92"/>
    <w:rsid w:val="0021410D"/>
    <w:rsid w:val="0021429F"/>
    <w:rsid w:val="002144ED"/>
    <w:rsid w:val="00214962"/>
    <w:rsid w:val="0021503A"/>
    <w:rsid w:val="002159CF"/>
    <w:rsid w:val="0021727A"/>
    <w:rsid w:val="0021782A"/>
    <w:rsid w:val="00220FBA"/>
    <w:rsid w:val="0022119A"/>
    <w:rsid w:val="0022213A"/>
    <w:rsid w:val="00222501"/>
    <w:rsid w:val="00222693"/>
    <w:rsid w:val="0022280A"/>
    <w:rsid w:val="00222A50"/>
    <w:rsid w:val="00222B2F"/>
    <w:rsid w:val="002233FA"/>
    <w:rsid w:val="0022456C"/>
    <w:rsid w:val="0022480A"/>
    <w:rsid w:val="00224CC2"/>
    <w:rsid w:val="00224FD5"/>
    <w:rsid w:val="00226C76"/>
    <w:rsid w:val="00227813"/>
    <w:rsid w:val="00230D36"/>
    <w:rsid w:val="002313EC"/>
    <w:rsid w:val="0023280C"/>
    <w:rsid w:val="00233410"/>
    <w:rsid w:val="00234767"/>
    <w:rsid w:val="00234FE7"/>
    <w:rsid w:val="00235043"/>
    <w:rsid w:val="002362FA"/>
    <w:rsid w:val="0023661F"/>
    <w:rsid w:val="002373C1"/>
    <w:rsid w:val="00237DC4"/>
    <w:rsid w:val="00241B7B"/>
    <w:rsid w:val="00242857"/>
    <w:rsid w:val="00242B82"/>
    <w:rsid w:val="00242FA2"/>
    <w:rsid w:val="0024347D"/>
    <w:rsid w:val="00243BC9"/>
    <w:rsid w:val="00244FF7"/>
    <w:rsid w:val="002451C8"/>
    <w:rsid w:val="00245DEE"/>
    <w:rsid w:val="00246C0A"/>
    <w:rsid w:val="00246C54"/>
    <w:rsid w:val="00246F9F"/>
    <w:rsid w:val="0024757A"/>
    <w:rsid w:val="0025128C"/>
    <w:rsid w:val="002519C8"/>
    <w:rsid w:val="00251B60"/>
    <w:rsid w:val="00251C7D"/>
    <w:rsid w:val="00251C88"/>
    <w:rsid w:val="00251E1C"/>
    <w:rsid w:val="00252608"/>
    <w:rsid w:val="002535B4"/>
    <w:rsid w:val="00253BC2"/>
    <w:rsid w:val="00254CDA"/>
    <w:rsid w:val="002550DE"/>
    <w:rsid w:val="00256641"/>
    <w:rsid w:val="00256D43"/>
    <w:rsid w:val="00256E53"/>
    <w:rsid w:val="002612C6"/>
    <w:rsid w:val="00261D00"/>
    <w:rsid w:val="0026238C"/>
    <w:rsid w:val="0026277F"/>
    <w:rsid w:val="002636FA"/>
    <w:rsid w:val="00265032"/>
    <w:rsid w:val="002655DB"/>
    <w:rsid w:val="00265AB8"/>
    <w:rsid w:val="00266B6C"/>
    <w:rsid w:val="002675BA"/>
    <w:rsid w:val="0027070F"/>
    <w:rsid w:val="002708E9"/>
    <w:rsid w:val="002710D4"/>
    <w:rsid w:val="002715E9"/>
    <w:rsid w:val="00271D8E"/>
    <w:rsid w:val="0027254C"/>
    <w:rsid w:val="0027278C"/>
    <w:rsid w:val="002727FD"/>
    <w:rsid w:val="00272F41"/>
    <w:rsid w:val="0027333D"/>
    <w:rsid w:val="00274165"/>
    <w:rsid w:val="002742A7"/>
    <w:rsid w:val="002756B8"/>
    <w:rsid w:val="002757F1"/>
    <w:rsid w:val="0027654C"/>
    <w:rsid w:val="002777B3"/>
    <w:rsid w:val="00277C63"/>
    <w:rsid w:val="00277F3D"/>
    <w:rsid w:val="0028010D"/>
    <w:rsid w:val="00280493"/>
    <w:rsid w:val="002804C0"/>
    <w:rsid w:val="002811CE"/>
    <w:rsid w:val="00281297"/>
    <w:rsid w:val="00281970"/>
    <w:rsid w:val="00281D62"/>
    <w:rsid w:val="00282EB3"/>
    <w:rsid w:val="00286116"/>
    <w:rsid w:val="002869F3"/>
    <w:rsid w:val="00286BFF"/>
    <w:rsid w:val="002900DB"/>
    <w:rsid w:val="00290693"/>
    <w:rsid w:val="00290769"/>
    <w:rsid w:val="002922AD"/>
    <w:rsid w:val="00293CEC"/>
    <w:rsid w:val="00293F5B"/>
    <w:rsid w:val="002944C8"/>
    <w:rsid w:val="0029478A"/>
    <w:rsid w:val="00294DC4"/>
    <w:rsid w:val="0029598D"/>
    <w:rsid w:val="002970D6"/>
    <w:rsid w:val="002973BB"/>
    <w:rsid w:val="002A05AC"/>
    <w:rsid w:val="002A07A8"/>
    <w:rsid w:val="002A1590"/>
    <w:rsid w:val="002A1A79"/>
    <w:rsid w:val="002A376F"/>
    <w:rsid w:val="002A4AA4"/>
    <w:rsid w:val="002A5677"/>
    <w:rsid w:val="002A5A9B"/>
    <w:rsid w:val="002A6A34"/>
    <w:rsid w:val="002A7174"/>
    <w:rsid w:val="002A7221"/>
    <w:rsid w:val="002A7A9F"/>
    <w:rsid w:val="002A7AAB"/>
    <w:rsid w:val="002A7C97"/>
    <w:rsid w:val="002B173C"/>
    <w:rsid w:val="002B19FB"/>
    <w:rsid w:val="002B1B4B"/>
    <w:rsid w:val="002B1EAE"/>
    <w:rsid w:val="002B2897"/>
    <w:rsid w:val="002B29FF"/>
    <w:rsid w:val="002B2C65"/>
    <w:rsid w:val="002B332B"/>
    <w:rsid w:val="002B3830"/>
    <w:rsid w:val="002B38CD"/>
    <w:rsid w:val="002B43E0"/>
    <w:rsid w:val="002B4B1D"/>
    <w:rsid w:val="002B57A7"/>
    <w:rsid w:val="002B6923"/>
    <w:rsid w:val="002B69C7"/>
    <w:rsid w:val="002B6ABD"/>
    <w:rsid w:val="002B7322"/>
    <w:rsid w:val="002B7B1D"/>
    <w:rsid w:val="002C0BF1"/>
    <w:rsid w:val="002C1692"/>
    <w:rsid w:val="002C1814"/>
    <w:rsid w:val="002C205C"/>
    <w:rsid w:val="002C2B1C"/>
    <w:rsid w:val="002C37B1"/>
    <w:rsid w:val="002C53B6"/>
    <w:rsid w:val="002C6193"/>
    <w:rsid w:val="002C6308"/>
    <w:rsid w:val="002C68D9"/>
    <w:rsid w:val="002C70D2"/>
    <w:rsid w:val="002C73B2"/>
    <w:rsid w:val="002D0244"/>
    <w:rsid w:val="002D0D45"/>
    <w:rsid w:val="002D1462"/>
    <w:rsid w:val="002D25D6"/>
    <w:rsid w:val="002D2953"/>
    <w:rsid w:val="002D2F2D"/>
    <w:rsid w:val="002D3562"/>
    <w:rsid w:val="002D396B"/>
    <w:rsid w:val="002D439F"/>
    <w:rsid w:val="002D4DBE"/>
    <w:rsid w:val="002D5048"/>
    <w:rsid w:val="002D5C04"/>
    <w:rsid w:val="002D6EFB"/>
    <w:rsid w:val="002D6FDD"/>
    <w:rsid w:val="002D7935"/>
    <w:rsid w:val="002D7B7E"/>
    <w:rsid w:val="002D7CA5"/>
    <w:rsid w:val="002E0023"/>
    <w:rsid w:val="002E0406"/>
    <w:rsid w:val="002E0669"/>
    <w:rsid w:val="002E074F"/>
    <w:rsid w:val="002E0C6A"/>
    <w:rsid w:val="002E104C"/>
    <w:rsid w:val="002E1585"/>
    <w:rsid w:val="002E1A9B"/>
    <w:rsid w:val="002E2683"/>
    <w:rsid w:val="002E33D9"/>
    <w:rsid w:val="002E6402"/>
    <w:rsid w:val="002E6D86"/>
    <w:rsid w:val="002F0AED"/>
    <w:rsid w:val="002F0E6C"/>
    <w:rsid w:val="002F147E"/>
    <w:rsid w:val="002F1D83"/>
    <w:rsid w:val="002F2B4C"/>
    <w:rsid w:val="002F2D97"/>
    <w:rsid w:val="002F388F"/>
    <w:rsid w:val="002F4717"/>
    <w:rsid w:val="002F554D"/>
    <w:rsid w:val="002F5793"/>
    <w:rsid w:val="002F5869"/>
    <w:rsid w:val="002F596B"/>
    <w:rsid w:val="002F7493"/>
    <w:rsid w:val="002F9979"/>
    <w:rsid w:val="003000F7"/>
    <w:rsid w:val="00300FB4"/>
    <w:rsid w:val="00301C98"/>
    <w:rsid w:val="00304934"/>
    <w:rsid w:val="00304BD4"/>
    <w:rsid w:val="003052C7"/>
    <w:rsid w:val="00305F81"/>
    <w:rsid w:val="00306EAB"/>
    <w:rsid w:val="00307471"/>
    <w:rsid w:val="00307CA0"/>
    <w:rsid w:val="00310601"/>
    <w:rsid w:val="00310A6F"/>
    <w:rsid w:val="00311237"/>
    <w:rsid w:val="00311FEB"/>
    <w:rsid w:val="003126EE"/>
    <w:rsid w:val="00312A8A"/>
    <w:rsid w:val="00312C9D"/>
    <w:rsid w:val="00312F43"/>
    <w:rsid w:val="003132F1"/>
    <w:rsid w:val="00313975"/>
    <w:rsid w:val="00313C66"/>
    <w:rsid w:val="00313DE0"/>
    <w:rsid w:val="00313FA3"/>
    <w:rsid w:val="0031407B"/>
    <w:rsid w:val="00317144"/>
    <w:rsid w:val="00317262"/>
    <w:rsid w:val="003206F5"/>
    <w:rsid w:val="003210BB"/>
    <w:rsid w:val="003211BD"/>
    <w:rsid w:val="00322DDE"/>
    <w:rsid w:val="00323348"/>
    <w:rsid w:val="00323504"/>
    <w:rsid w:val="00324FE2"/>
    <w:rsid w:val="00325512"/>
    <w:rsid w:val="0032577F"/>
    <w:rsid w:val="00325843"/>
    <w:rsid w:val="00326143"/>
    <w:rsid w:val="0032672A"/>
    <w:rsid w:val="00326761"/>
    <w:rsid w:val="00326B29"/>
    <w:rsid w:val="00326B70"/>
    <w:rsid w:val="00326FE0"/>
    <w:rsid w:val="003310ED"/>
    <w:rsid w:val="00331F92"/>
    <w:rsid w:val="003324B9"/>
    <w:rsid w:val="003328A9"/>
    <w:rsid w:val="00332F05"/>
    <w:rsid w:val="00333C36"/>
    <w:rsid w:val="00333FB9"/>
    <w:rsid w:val="003343D2"/>
    <w:rsid w:val="00335312"/>
    <w:rsid w:val="00335F6B"/>
    <w:rsid w:val="00335FA4"/>
    <w:rsid w:val="00336433"/>
    <w:rsid w:val="00336AFD"/>
    <w:rsid w:val="00336FE0"/>
    <w:rsid w:val="0033721B"/>
    <w:rsid w:val="00337889"/>
    <w:rsid w:val="00340052"/>
    <w:rsid w:val="00340435"/>
    <w:rsid w:val="00340B2E"/>
    <w:rsid w:val="00340D33"/>
    <w:rsid w:val="00341685"/>
    <w:rsid w:val="00341B80"/>
    <w:rsid w:val="00341D04"/>
    <w:rsid w:val="0034233F"/>
    <w:rsid w:val="00342BB2"/>
    <w:rsid w:val="00342BCB"/>
    <w:rsid w:val="00343EC2"/>
    <w:rsid w:val="00344F76"/>
    <w:rsid w:val="00346F88"/>
    <w:rsid w:val="0034764E"/>
    <w:rsid w:val="00347964"/>
    <w:rsid w:val="00347EAD"/>
    <w:rsid w:val="00351257"/>
    <w:rsid w:val="0035420A"/>
    <w:rsid w:val="00355D38"/>
    <w:rsid w:val="00355DB6"/>
    <w:rsid w:val="0035619C"/>
    <w:rsid w:val="003561AD"/>
    <w:rsid w:val="00356752"/>
    <w:rsid w:val="003575DA"/>
    <w:rsid w:val="003579F3"/>
    <w:rsid w:val="00361764"/>
    <w:rsid w:val="00363D71"/>
    <w:rsid w:val="00364457"/>
    <w:rsid w:val="00364953"/>
    <w:rsid w:val="00365F2E"/>
    <w:rsid w:val="00366A3E"/>
    <w:rsid w:val="00366E33"/>
    <w:rsid w:val="003671EF"/>
    <w:rsid w:val="003675E7"/>
    <w:rsid w:val="003712FA"/>
    <w:rsid w:val="00371F74"/>
    <w:rsid w:val="00372768"/>
    <w:rsid w:val="00372909"/>
    <w:rsid w:val="00372A08"/>
    <w:rsid w:val="00372E70"/>
    <w:rsid w:val="00372F87"/>
    <w:rsid w:val="0037350B"/>
    <w:rsid w:val="00373AEE"/>
    <w:rsid w:val="003764B6"/>
    <w:rsid w:val="00376910"/>
    <w:rsid w:val="00376E6F"/>
    <w:rsid w:val="00377026"/>
    <w:rsid w:val="00377134"/>
    <w:rsid w:val="003778BE"/>
    <w:rsid w:val="00380436"/>
    <w:rsid w:val="0038134F"/>
    <w:rsid w:val="00381F7C"/>
    <w:rsid w:val="00383A0D"/>
    <w:rsid w:val="003841F4"/>
    <w:rsid w:val="00384409"/>
    <w:rsid w:val="003859C0"/>
    <w:rsid w:val="00385A6B"/>
    <w:rsid w:val="003860A6"/>
    <w:rsid w:val="00386265"/>
    <w:rsid w:val="003866BB"/>
    <w:rsid w:val="00386ADF"/>
    <w:rsid w:val="00386DCA"/>
    <w:rsid w:val="00387020"/>
    <w:rsid w:val="00387192"/>
    <w:rsid w:val="0038790E"/>
    <w:rsid w:val="00387CAD"/>
    <w:rsid w:val="0039035C"/>
    <w:rsid w:val="003903F5"/>
    <w:rsid w:val="003904B1"/>
    <w:rsid w:val="00390AE1"/>
    <w:rsid w:val="00390B89"/>
    <w:rsid w:val="0039224C"/>
    <w:rsid w:val="00392630"/>
    <w:rsid w:val="003934DA"/>
    <w:rsid w:val="003937E8"/>
    <w:rsid w:val="00393B16"/>
    <w:rsid w:val="00393CBA"/>
    <w:rsid w:val="00394EE1"/>
    <w:rsid w:val="00395447"/>
    <w:rsid w:val="00395D46"/>
    <w:rsid w:val="0039660A"/>
    <w:rsid w:val="00396727"/>
    <w:rsid w:val="00396F51"/>
    <w:rsid w:val="00397B3D"/>
    <w:rsid w:val="003A0A6D"/>
    <w:rsid w:val="003A127A"/>
    <w:rsid w:val="003A1B89"/>
    <w:rsid w:val="003A2851"/>
    <w:rsid w:val="003A3437"/>
    <w:rsid w:val="003A3460"/>
    <w:rsid w:val="003A4EC2"/>
    <w:rsid w:val="003A50ED"/>
    <w:rsid w:val="003A5880"/>
    <w:rsid w:val="003A7C42"/>
    <w:rsid w:val="003B004A"/>
    <w:rsid w:val="003B0821"/>
    <w:rsid w:val="003B0831"/>
    <w:rsid w:val="003B0A24"/>
    <w:rsid w:val="003B22B2"/>
    <w:rsid w:val="003B33C7"/>
    <w:rsid w:val="003B33E0"/>
    <w:rsid w:val="003B3DA7"/>
    <w:rsid w:val="003B3F4A"/>
    <w:rsid w:val="003B4260"/>
    <w:rsid w:val="003B4BFF"/>
    <w:rsid w:val="003B4FDE"/>
    <w:rsid w:val="003B6F29"/>
    <w:rsid w:val="003B776C"/>
    <w:rsid w:val="003B7D93"/>
    <w:rsid w:val="003C26E6"/>
    <w:rsid w:val="003C291E"/>
    <w:rsid w:val="003C2965"/>
    <w:rsid w:val="003C2E01"/>
    <w:rsid w:val="003C2EA1"/>
    <w:rsid w:val="003C3C98"/>
    <w:rsid w:val="003C3E1B"/>
    <w:rsid w:val="003C41F3"/>
    <w:rsid w:val="003C49A4"/>
    <w:rsid w:val="003C61E8"/>
    <w:rsid w:val="003C6D51"/>
    <w:rsid w:val="003C6DDF"/>
    <w:rsid w:val="003CDA7C"/>
    <w:rsid w:val="003D110D"/>
    <w:rsid w:val="003D1D1E"/>
    <w:rsid w:val="003D1E2C"/>
    <w:rsid w:val="003D1FF8"/>
    <w:rsid w:val="003D25FE"/>
    <w:rsid w:val="003D35ED"/>
    <w:rsid w:val="003D3D37"/>
    <w:rsid w:val="003D435C"/>
    <w:rsid w:val="003D528D"/>
    <w:rsid w:val="003D53A9"/>
    <w:rsid w:val="003D5F0E"/>
    <w:rsid w:val="003D5F1F"/>
    <w:rsid w:val="003D5F33"/>
    <w:rsid w:val="003D67A4"/>
    <w:rsid w:val="003D7BB5"/>
    <w:rsid w:val="003E00E0"/>
    <w:rsid w:val="003E021C"/>
    <w:rsid w:val="003E0D9D"/>
    <w:rsid w:val="003E15F8"/>
    <w:rsid w:val="003E2183"/>
    <w:rsid w:val="003E2DD3"/>
    <w:rsid w:val="003E3111"/>
    <w:rsid w:val="003E322E"/>
    <w:rsid w:val="003E40AD"/>
    <w:rsid w:val="003E448D"/>
    <w:rsid w:val="003E4F8A"/>
    <w:rsid w:val="003E536C"/>
    <w:rsid w:val="003E55EF"/>
    <w:rsid w:val="003E6AB5"/>
    <w:rsid w:val="003E6E56"/>
    <w:rsid w:val="003E71E5"/>
    <w:rsid w:val="003E736A"/>
    <w:rsid w:val="003F07C8"/>
    <w:rsid w:val="003F0D15"/>
    <w:rsid w:val="003F0E68"/>
    <w:rsid w:val="003F2AEC"/>
    <w:rsid w:val="003F2F97"/>
    <w:rsid w:val="003F3037"/>
    <w:rsid w:val="003F530E"/>
    <w:rsid w:val="003F5844"/>
    <w:rsid w:val="003F59E4"/>
    <w:rsid w:val="003F5E2B"/>
    <w:rsid w:val="003F61C2"/>
    <w:rsid w:val="003F6CB9"/>
    <w:rsid w:val="003F7606"/>
    <w:rsid w:val="0040038F"/>
    <w:rsid w:val="00400C7F"/>
    <w:rsid w:val="00400F3F"/>
    <w:rsid w:val="0040228B"/>
    <w:rsid w:val="0040283D"/>
    <w:rsid w:val="004029B7"/>
    <w:rsid w:val="004034F9"/>
    <w:rsid w:val="004050E2"/>
    <w:rsid w:val="00406FCC"/>
    <w:rsid w:val="00411FB7"/>
    <w:rsid w:val="00413650"/>
    <w:rsid w:val="00414222"/>
    <w:rsid w:val="00415280"/>
    <w:rsid w:val="00415569"/>
    <w:rsid w:val="00415FC8"/>
    <w:rsid w:val="004165D5"/>
    <w:rsid w:val="00416C1B"/>
    <w:rsid w:val="00416DA5"/>
    <w:rsid w:val="004171AF"/>
    <w:rsid w:val="0042019E"/>
    <w:rsid w:val="0042064F"/>
    <w:rsid w:val="0042395D"/>
    <w:rsid w:val="00424143"/>
    <w:rsid w:val="004241E8"/>
    <w:rsid w:val="0042438C"/>
    <w:rsid w:val="0042450C"/>
    <w:rsid w:val="0042501C"/>
    <w:rsid w:val="004264DC"/>
    <w:rsid w:val="00426B25"/>
    <w:rsid w:val="00427E91"/>
    <w:rsid w:val="00430212"/>
    <w:rsid w:val="00430DA7"/>
    <w:rsid w:val="00430F0C"/>
    <w:rsid w:val="00431BCB"/>
    <w:rsid w:val="00431FB6"/>
    <w:rsid w:val="004325A6"/>
    <w:rsid w:val="00432B00"/>
    <w:rsid w:val="004341F9"/>
    <w:rsid w:val="004347B6"/>
    <w:rsid w:val="00434E0E"/>
    <w:rsid w:val="004355FC"/>
    <w:rsid w:val="00435E70"/>
    <w:rsid w:val="00436393"/>
    <w:rsid w:val="00436A8D"/>
    <w:rsid w:val="00436D46"/>
    <w:rsid w:val="004372A7"/>
    <w:rsid w:val="00437C27"/>
    <w:rsid w:val="0044156E"/>
    <w:rsid w:val="00442D0E"/>
    <w:rsid w:val="00443E55"/>
    <w:rsid w:val="00444F2D"/>
    <w:rsid w:val="004455A4"/>
    <w:rsid w:val="00445772"/>
    <w:rsid w:val="0044653B"/>
    <w:rsid w:val="00446E1F"/>
    <w:rsid w:val="0044713B"/>
    <w:rsid w:val="0044795E"/>
    <w:rsid w:val="00450215"/>
    <w:rsid w:val="00450EBC"/>
    <w:rsid w:val="0045172B"/>
    <w:rsid w:val="00451A8D"/>
    <w:rsid w:val="00451EA6"/>
    <w:rsid w:val="00454588"/>
    <w:rsid w:val="00454A7F"/>
    <w:rsid w:val="00454ED6"/>
    <w:rsid w:val="00455192"/>
    <w:rsid w:val="004560BA"/>
    <w:rsid w:val="0045651D"/>
    <w:rsid w:val="00456CBA"/>
    <w:rsid w:val="00457531"/>
    <w:rsid w:val="0046090E"/>
    <w:rsid w:val="004616AF"/>
    <w:rsid w:val="00461D45"/>
    <w:rsid w:val="00461F45"/>
    <w:rsid w:val="00462BBA"/>
    <w:rsid w:val="00462C24"/>
    <w:rsid w:val="004631B2"/>
    <w:rsid w:val="004634B5"/>
    <w:rsid w:val="00463760"/>
    <w:rsid w:val="00463CC6"/>
    <w:rsid w:val="004643E9"/>
    <w:rsid w:val="00464821"/>
    <w:rsid w:val="0046489A"/>
    <w:rsid w:val="0046498D"/>
    <w:rsid w:val="00464F2F"/>
    <w:rsid w:val="004663C1"/>
    <w:rsid w:val="00466BAF"/>
    <w:rsid w:val="00467CCC"/>
    <w:rsid w:val="00470889"/>
    <w:rsid w:val="00470A68"/>
    <w:rsid w:val="0047127B"/>
    <w:rsid w:val="00471357"/>
    <w:rsid w:val="004729F5"/>
    <w:rsid w:val="004736B5"/>
    <w:rsid w:val="00473803"/>
    <w:rsid w:val="0047556B"/>
    <w:rsid w:val="00476043"/>
    <w:rsid w:val="004766EB"/>
    <w:rsid w:val="0047672B"/>
    <w:rsid w:val="00477711"/>
    <w:rsid w:val="004779F3"/>
    <w:rsid w:val="00477F88"/>
    <w:rsid w:val="00481180"/>
    <w:rsid w:val="004821C9"/>
    <w:rsid w:val="00482CC8"/>
    <w:rsid w:val="0048349A"/>
    <w:rsid w:val="004834B8"/>
    <w:rsid w:val="004834CD"/>
    <w:rsid w:val="00483855"/>
    <w:rsid w:val="00484269"/>
    <w:rsid w:val="0048608E"/>
    <w:rsid w:val="00486D89"/>
    <w:rsid w:val="00490449"/>
    <w:rsid w:val="004907EC"/>
    <w:rsid w:val="004910DD"/>
    <w:rsid w:val="00491A63"/>
    <w:rsid w:val="00491C07"/>
    <w:rsid w:val="0049292A"/>
    <w:rsid w:val="00492969"/>
    <w:rsid w:val="00492B16"/>
    <w:rsid w:val="004937EB"/>
    <w:rsid w:val="00493F5D"/>
    <w:rsid w:val="0049528C"/>
    <w:rsid w:val="00495650"/>
    <w:rsid w:val="004964DB"/>
    <w:rsid w:val="00496813"/>
    <w:rsid w:val="00496CB1"/>
    <w:rsid w:val="0049732F"/>
    <w:rsid w:val="004A03B3"/>
    <w:rsid w:val="004A0A90"/>
    <w:rsid w:val="004A1A39"/>
    <w:rsid w:val="004A1CB3"/>
    <w:rsid w:val="004A2222"/>
    <w:rsid w:val="004A2C48"/>
    <w:rsid w:val="004A2F1F"/>
    <w:rsid w:val="004A2F58"/>
    <w:rsid w:val="004A3265"/>
    <w:rsid w:val="004A3B57"/>
    <w:rsid w:val="004A3F0D"/>
    <w:rsid w:val="004A4C26"/>
    <w:rsid w:val="004A4DE9"/>
    <w:rsid w:val="004A4F65"/>
    <w:rsid w:val="004A5F93"/>
    <w:rsid w:val="004A6EB4"/>
    <w:rsid w:val="004B09DE"/>
    <w:rsid w:val="004B129E"/>
    <w:rsid w:val="004B28C2"/>
    <w:rsid w:val="004B2A46"/>
    <w:rsid w:val="004B5392"/>
    <w:rsid w:val="004B5432"/>
    <w:rsid w:val="004B63EA"/>
    <w:rsid w:val="004B640F"/>
    <w:rsid w:val="004B6693"/>
    <w:rsid w:val="004B73DF"/>
    <w:rsid w:val="004B7B62"/>
    <w:rsid w:val="004C0D17"/>
    <w:rsid w:val="004C0D9D"/>
    <w:rsid w:val="004C172F"/>
    <w:rsid w:val="004C18DD"/>
    <w:rsid w:val="004C1F53"/>
    <w:rsid w:val="004C2548"/>
    <w:rsid w:val="004C369B"/>
    <w:rsid w:val="004C36A9"/>
    <w:rsid w:val="004C3A62"/>
    <w:rsid w:val="004C3BCC"/>
    <w:rsid w:val="004C3C5A"/>
    <w:rsid w:val="004C4098"/>
    <w:rsid w:val="004C45D9"/>
    <w:rsid w:val="004C4D1E"/>
    <w:rsid w:val="004C5276"/>
    <w:rsid w:val="004C6B52"/>
    <w:rsid w:val="004D015C"/>
    <w:rsid w:val="004D0D17"/>
    <w:rsid w:val="004D0F20"/>
    <w:rsid w:val="004D0FD0"/>
    <w:rsid w:val="004D15FC"/>
    <w:rsid w:val="004D1989"/>
    <w:rsid w:val="004D29AE"/>
    <w:rsid w:val="004D2E1C"/>
    <w:rsid w:val="004D2EB3"/>
    <w:rsid w:val="004D318F"/>
    <w:rsid w:val="004D42FF"/>
    <w:rsid w:val="004D50E2"/>
    <w:rsid w:val="004D5EF8"/>
    <w:rsid w:val="004D68C6"/>
    <w:rsid w:val="004E031B"/>
    <w:rsid w:val="004E0B81"/>
    <w:rsid w:val="004E0BD8"/>
    <w:rsid w:val="004E0DBA"/>
    <w:rsid w:val="004E1B1B"/>
    <w:rsid w:val="004E1E2C"/>
    <w:rsid w:val="004E2CEF"/>
    <w:rsid w:val="004E2FDE"/>
    <w:rsid w:val="004E3B09"/>
    <w:rsid w:val="004E4194"/>
    <w:rsid w:val="004E4227"/>
    <w:rsid w:val="004E4A76"/>
    <w:rsid w:val="004E50AE"/>
    <w:rsid w:val="004E50C4"/>
    <w:rsid w:val="004E5575"/>
    <w:rsid w:val="004E67B1"/>
    <w:rsid w:val="004E6F9F"/>
    <w:rsid w:val="004E6FCA"/>
    <w:rsid w:val="004E7262"/>
    <w:rsid w:val="004E7AEC"/>
    <w:rsid w:val="004E7F0B"/>
    <w:rsid w:val="004F32C6"/>
    <w:rsid w:val="004F4178"/>
    <w:rsid w:val="004F485F"/>
    <w:rsid w:val="004F53DC"/>
    <w:rsid w:val="004F6297"/>
    <w:rsid w:val="004F6E67"/>
    <w:rsid w:val="004F782B"/>
    <w:rsid w:val="00500003"/>
    <w:rsid w:val="005000AD"/>
    <w:rsid w:val="005008A5"/>
    <w:rsid w:val="005009CA"/>
    <w:rsid w:val="005016C4"/>
    <w:rsid w:val="005029E9"/>
    <w:rsid w:val="0050320E"/>
    <w:rsid w:val="005039C5"/>
    <w:rsid w:val="00503AFD"/>
    <w:rsid w:val="005045E5"/>
    <w:rsid w:val="00504A18"/>
    <w:rsid w:val="005058CE"/>
    <w:rsid w:val="00505C9E"/>
    <w:rsid w:val="00505E78"/>
    <w:rsid w:val="005071CE"/>
    <w:rsid w:val="00507303"/>
    <w:rsid w:val="00507B0B"/>
    <w:rsid w:val="00507DFE"/>
    <w:rsid w:val="005102D5"/>
    <w:rsid w:val="00511848"/>
    <w:rsid w:val="00511EED"/>
    <w:rsid w:val="0051283B"/>
    <w:rsid w:val="00512935"/>
    <w:rsid w:val="00512F69"/>
    <w:rsid w:val="0051408D"/>
    <w:rsid w:val="00514A72"/>
    <w:rsid w:val="00516133"/>
    <w:rsid w:val="00516A82"/>
    <w:rsid w:val="00520116"/>
    <w:rsid w:val="00520772"/>
    <w:rsid w:val="00521BA5"/>
    <w:rsid w:val="00521E43"/>
    <w:rsid w:val="00521E6C"/>
    <w:rsid w:val="00521E84"/>
    <w:rsid w:val="00523AA5"/>
    <w:rsid w:val="00523CA3"/>
    <w:rsid w:val="005246DA"/>
    <w:rsid w:val="0052717E"/>
    <w:rsid w:val="0052764C"/>
    <w:rsid w:val="005277AD"/>
    <w:rsid w:val="00527E26"/>
    <w:rsid w:val="00530363"/>
    <w:rsid w:val="00530C16"/>
    <w:rsid w:val="00531175"/>
    <w:rsid w:val="00531D69"/>
    <w:rsid w:val="00531DC6"/>
    <w:rsid w:val="00532181"/>
    <w:rsid w:val="005322D9"/>
    <w:rsid w:val="0053254C"/>
    <w:rsid w:val="00533C56"/>
    <w:rsid w:val="00533FD6"/>
    <w:rsid w:val="00534A04"/>
    <w:rsid w:val="00534A5E"/>
    <w:rsid w:val="00534BCB"/>
    <w:rsid w:val="00535BF1"/>
    <w:rsid w:val="00536F49"/>
    <w:rsid w:val="005377B4"/>
    <w:rsid w:val="00540499"/>
    <w:rsid w:val="005409D5"/>
    <w:rsid w:val="00541717"/>
    <w:rsid w:val="00542452"/>
    <w:rsid w:val="00542456"/>
    <w:rsid w:val="00542C81"/>
    <w:rsid w:val="005439FC"/>
    <w:rsid w:val="00543F50"/>
    <w:rsid w:val="005442D4"/>
    <w:rsid w:val="00544A6C"/>
    <w:rsid w:val="005450ED"/>
    <w:rsid w:val="005451C9"/>
    <w:rsid w:val="00546673"/>
    <w:rsid w:val="005467DD"/>
    <w:rsid w:val="00546B19"/>
    <w:rsid w:val="00546BD5"/>
    <w:rsid w:val="00547157"/>
    <w:rsid w:val="00550E84"/>
    <w:rsid w:val="005515D3"/>
    <w:rsid w:val="00552056"/>
    <w:rsid w:val="00552BBE"/>
    <w:rsid w:val="005532DF"/>
    <w:rsid w:val="0055394B"/>
    <w:rsid w:val="00553F84"/>
    <w:rsid w:val="00554427"/>
    <w:rsid w:val="005574B4"/>
    <w:rsid w:val="005609EB"/>
    <w:rsid w:val="00560DBA"/>
    <w:rsid w:val="00561BAA"/>
    <w:rsid w:val="00561CBD"/>
    <w:rsid w:val="00561D3B"/>
    <w:rsid w:val="005623CE"/>
    <w:rsid w:val="00562D5E"/>
    <w:rsid w:val="0056344F"/>
    <w:rsid w:val="00563FEC"/>
    <w:rsid w:val="00564597"/>
    <w:rsid w:val="00564BFC"/>
    <w:rsid w:val="00565457"/>
    <w:rsid w:val="005655E2"/>
    <w:rsid w:val="00567074"/>
    <w:rsid w:val="005701AC"/>
    <w:rsid w:val="005708C1"/>
    <w:rsid w:val="00571420"/>
    <w:rsid w:val="00571D23"/>
    <w:rsid w:val="00572502"/>
    <w:rsid w:val="0057361E"/>
    <w:rsid w:val="00574395"/>
    <w:rsid w:val="00574711"/>
    <w:rsid w:val="00574767"/>
    <w:rsid w:val="00574AAE"/>
    <w:rsid w:val="005763F2"/>
    <w:rsid w:val="00577715"/>
    <w:rsid w:val="0057789B"/>
    <w:rsid w:val="0058047A"/>
    <w:rsid w:val="0058088D"/>
    <w:rsid w:val="00580CBC"/>
    <w:rsid w:val="00581723"/>
    <w:rsid w:val="00582502"/>
    <w:rsid w:val="00582515"/>
    <w:rsid w:val="005828A4"/>
    <w:rsid w:val="00583AAC"/>
    <w:rsid w:val="00584205"/>
    <w:rsid w:val="00585FA2"/>
    <w:rsid w:val="005863F3"/>
    <w:rsid w:val="00586B36"/>
    <w:rsid w:val="00587E0C"/>
    <w:rsid w:val="00590F96"/>
    <w:rsid w:val="005910C1"/>
    <w:rsid w:val="00592213"/>
    <w:rsid w:val="00592926"/>
    <w:rsid w:val="00592A49"/>
    <w:rsid w:val="00592C6F"/>
    <w:rsid w:val="00592D6C"/>
    <w:rsid w:val="00593333"/>
    <w:rsid w:val="005934A4"/>
    <w:rsid w:val="00593E29"/>
    <w:rsid w:val="00594F3B"/>
    <w:rsid w:val="005954DC"/>
    <w:rsid w:val="0059590F"/>
    <w:rsid w:val="00595B37"/>
    <w:rsid w:val="00595DCC"/>
    <w:rsid w:val="00596C6A"/>
    <w:rsid w:val="005973B2"/>
    <w:rsid w:val="005974CF"/>
    <w:rsid w:val="005A28FE"/>
    <w:rsid w:val="005A2F66"/>
    <w:rsid w:val="005A3D63"/>
    <w:rsid w:val="005A433F"/>
    <w:rsid w:val="005A46EF"/>
    <w:rsid w:val="005A4F00"/>
    <w:rsid w:val="005A7448"/>
    <w:rsid w:val="005A7C0F"/>
    <w:rsid w:val="005B0FAD"/>
    <w:rsid w:val="005B1D27"/>
    <w:rsid w:val="005B2AC4"/>
    <w:rsid w:val="005B2C19"/>
    <w:rsid w:val="005B42B6"/>
    <w:rsid w:val="005B5585"/>
    <w:rsid w:val="005B576D"/>
    <w:rsid w:val="005B5CAE"/>
    <w:rsid w:val="005B60A4"/>
    <w:rsid w:val="005B6ED1"/>
    <w:rsid w:val="005B740C"/>
    <w:rsid w:val="005B7A28"/>
    <w:rsid w:val="005B7A5A"/>
    <w:rsid w:val="005C1C6D"/>
    <w:rsid w:val="005C3395"/>
    <w:rsid w:val="005C4EAB"/>
    <w:rsid w:val="005C4F27"/>
    <w:rsid w:val="005C5142"/>
    <w:rsid w:val="005C54CF"/>
    <w:rsid w:val="005C6543"/>
    <w:rsid w:val="005C6975"/>
    <w:rsid w:val="005C6F35"/>
    <w:rsid w:val="005C739D"/>
    <w:rsid w:val="005C7B62"/>
    <w:rsid w:val="005D00F7"/>
    <w:rsid w:val="005D0ED6"/>
    <w:rsid w:val="005D0FB5"/>
    <w:rsid w:val="005D1474"/>
    <w:rsid w:val="005D3AC4"/>
    <w:rsid w:val="005D40C2"/>
    <w:rsid w:val="005D4416"/>
    <w:rsid w:val="005D50FF"/>
    <w:rsid w:val="005D6E72"/>
    <w:rsid w:val="005D7BE7"/>
    <w:rsid w:val="005D7CDC"/>
    <w:rsid w:val="005E0DCD"/>
    <w:rsid w:val="005E10D7"/>
    <w:rsid w:val="005E2B50"/>
    <w:rsid w:val="005E2BEC"/>
    <w:rsid w:val="005E433E"/>
    <w:rsid w:val="005E461D"/>
    <w:rsid w:val="005E477D"/>
    <w:rsid w:val="005E55A7"/>
    <w:rsid w:val="005E5E0D"/>
    <w:rsid w:val="005E6535"/>
    <w:rsid w:val="005E65DB"/>
    <w:rsid w:val="005E661C"/>
    <w:rsid w:val="005E74AB"/>
    <w:rsid w:val="005E76D7"/>
    <w:rsid w:val="005E7AD9"/>
    <w:rsid w:val="005F0E88"/>
    <w:rsid w:val="005F14BA"/>
    <w:rsid w:val="005F15AE"/>
    <w:rsid w:val="005F1856"/>
    <w:rsid w:val="005F2840"/>
    <w:rsid w:val="005F3A21"/>
    <w:rsid w:val="005F48C8"/>
    <w:rsid w:val="005F4C08"/>
    <w:rsid w:val="005F4F6D"/>
    <w:rsid w:val="005F5068"/>
    <w:rsid w:val="005F5835"/>
    <w:rsid w:val="005F6142"/>
    <w:rsid w:val="005F6601"/>
    <w:rsid w:val="005F6AF7"/>
    <w:rsid w:val="005F7035"/>
    <w:rsid w:val="005F7259"/>
    <w:rsid w:val="005F7271"/>
    <w:rsid w:val="0060022C"/>
    <w:rsid w:val="00601617"/>
    <w:rsid w:val="006018D3"/>
    <w:rsid w:val="00601F4E"/>
    <w:rsid w:val="00603E26"/>
    <w:rsid w:val="00604AE3"/>
    <w:rsid w:val="006051E0"/>
    <w:rsid w:val="006059B1"/>
    <w:rsid w:val="00605E41"/>
    <w:rsid w:val="006061A1"/>
    <w:rsid w:val="006066A1"/>
    <w:rsid w:val="00607E12"/>
    <w:rsid w:val="00610AB4"/>
    <w:rsid w:val="00612687"/>
    <w:rsid w:val="00613380"/>
    <w:rsid w:val="006159EF"/>
    <w:rsid w:val="006162DC"/>
    <w:rsid w:val="0061752B"/>
    <w:rsid w:val="00617A13"/>
    <w:rsid w:val="00617CAA"/>
    <w:rsid w:val="0062088D"/>
    <w:rsid w:val="006215D9"/>
    <w:rsid w:val="0062167D"/>
    <w:rsid w:val="00621CCC"/>
    <w:rsid w:val="006233FA"/>
    <w:rsid w:val="00624044"/>
    <w:rsid w:val="006243C2"/>
    <w:rsid w:val="006262EA"/>
    <w:rsid w:val="006275C7"/>
    <w:rsid w:val="00627E2D"/>
    <w:rsid w:val="006302A5"/>
    <w:rsid w:val="006308B1"/>
    <w:rsid w:val="00631CA8"/>
    <w:rsid w:val="00631E22"/>
    <w:rsid w:val="00632210"/>
    <w:rsid w:val="006324B0"/>
    <w:rsid w:val="006325EF"/>
    <w:rsid w:val="00632A12"/>
    <w:rsid w:val="00633E0A"/>
    <w:rsid w:val="00634752"/>
    <w:rsid w:val="006350F0"/>
    <w:rsid w:val="006357C9"/>
    <w:rsid w:val="00635989"/>
    <w:rsid w:val="0063614A"/>
    <w:rsid w:val="006362C4"/>
    <w:rsid w:val="00636C3A"/>
    <w:rsid w:val="00636D20"/>
    <w:rsid w:val="00636FD3"/>
    <w:rsid w:val="00637020"/>
    <w:rsid w:val="006373D6"/>
    <w:rsid w:val="00637966"/>
    <w:rsid w:val="00637A20"/>
    <w:rsid w:val="00640490"/>
    <w:rsid w:val="006407EB"/>
    <w:rsid w:val="00640BB8"/>
    <w:rsid w:val="006428C7"/>
    <w:rsid w:val="00644161"/>
    <w:rsid w:val="00644D0D"/>
    <w:rsid w:val="00644FDE"/>
    <w:rsid w:val="00645282"/>
    <w:rsid w:val="006475B7"/>
    <w:rsid w:val="00647657"/>
    <w:rsid w:val="006476D9"/>
    <w:rsid w:val="00650352"/>
    <w:rsid w:val="00650518"/>
    <w:rsid w:val="0065293A"/>
    <w:rsid w:val="00652C35"/>
    <w:rsid w:val="00652E43"/>
    <w:rsid w:val="0065436B"/>
    <w:rsid w:val="006555BD"/>
    <w:rsid w:val="0065560B"/>
    <w:rsid w:val="006558B5"/>
    <w:rsid w:val="00655A3E"/>
    <w:rsid w:val="00655F42"/>
    <w:rsid w:val="0065740C"/>
    <w:rsid w:val="00657533"/>
    <w:rsid w:val="00657C8E"/>
    <w:rsid w:val="006604D2"/>
    <w:rsid w:val="00660CD5"/>
    <w:rsid w:val="00661924"/>
    <w:rsid w:val="006620E0"/>
    <w:rsid w:val="00662C43"/>
    <w:rsid w:val="0066309A"/>
    <w:rsid w:val="006631C3"/>
    <w:rsid w:val="00663204"/>
    <w:rsid w:val="00663562"/>
    <w:rsid w:val="00663A7A"/>
    <w:rsid w:val="00664429"/>
    <w:rsid w:val="00664A16"/>
    <w:rsid w:val="00665482"/>
    <w:rsid w:val="006665D9"/>
    <w:rsid w:val="00666959"/>
    <w:rsid w:val="00666DB4"/>
    <w:rsid w:val="006677C6"/>
    <w:rsid w:val="00667D7A"/>
    <w:rsid w:val="0067063C"/>
    <w:rsid w:val="00672235"/>
    <w:rsid w:val="0067226B"/>
    <w:rsid w:val="00672431"/>
    <w:rsid w:val="0067289C"/>
    <w:rsid w:val="00672E44"/>
    <w:rsid w:val="00672F5A"/>
    <w:rsid w:val="0067420B"/>
    <w:rsid w:val="0067487B"/>
    <w:rsid w:val="006757F4"/>
    <w:rsid w:val="006760CF"/>
    <w:rsid w:val="00676EC1"/>
    <w:rsid w:val="00680E27"/>
    <w:rsid w:val="00680FEA"/>
    <w:rsid w:val="0068175D"/>
    <w:rsid w:val="006818E9"/>
    <w:rsid w:val="00682C02"/>
    <w:rsid w:val="00682CA1"/>
    <w:rsid w:val="0068308D"/>
    <w:rsid w:val="0068378D"/>
    <w:rsid w:val="0068494A"/>
    <w:rsid w:val="006852CB"/>
    <w:rsid w:val="006857D8"/>
    <w:rsid w:val="00685A68"/>
    <w:rsid w:val="006860B4"/>
    <w:rsid w:val="00686390"/>
    <w:rsid w:val="00690B4B"/>
    <w:rsid w:val="00690F7F"/>
    <w:rsid w:val="006921C3"/>
    <w:rsid w:val="00692388"/>
    <w:rsid w:val="00692A7A"/>
    <w:rsid w:val="006937A0"/>
    <w:rsid w:val="00694677"/>
    <w:rsid w:val="00694B51"/>
    <w:rsid w:val="00694EED"/>
    <w:rsid w:val="0069540B"/>
    <w:rsid w:val="00695924"/>
    <w:rsid w:val="0069613C"/>
    <w:rsid w:val="00696FFF"/>
    <w:rsid w:val="006974F4"/>
    <w:rsid w:val="006979F2"/>
    <w:rsid w:val="00697E40"/>
    <w:rsid w:val="00697FF6"/>
    <w:rsid w:val="006A0757"/>
    <w:rsid w:val="006A08FF"/>
    <w:rsid w:val="006A1525"/>
    <w:rsid w:val="006A354C"/>
    <w:rsid w:val="006A3B76"/>
    <w:rsid w:val="006A415F"/>
    <w:rsid w:val="006A50A0"/>
    <w:rsid w:val="006A50EA"/>
    <w:rsid w:val="006A5246"/>
    <w:rsid w:val="006A5332"/>
    <w:rsid w:val="006A6143"/>
    <w:rsid w:val="006A9D72"/>
    <w:rsid w:val="006B26D9"/>
    <w:rsid w:val="006B280A"/>
    <w:rsid w:val="006B2A23"/>
    <w:rsid w:val="006B42F1"/>
    <w:rsid w:val="006B49D7"/>
    <w:rsid w:val="006B774A"/>
    <w:rsid w:val="006C1089"/>
    <w:rsid w:val="006C1260"/>
    <w:rsid w:val="006C17C7"/>
    <w:rsid w:val="006C19AE"/>
    <w:rsid w:val="006C1AED"/>
    <w:rsid w:val="006C222E"/>
    <w:rsid w:val="006C2DA1"/>
    <w:rsid w:val="006C2EA7"/>
    <w:rsid w:val="006C4EE6"/>
    <w:rsid w:val="006C5147"/>
    <w:rsid w:val="006C5E65"/>
    <w:rsid w:val="006C5F5D"/>
    <w:rsid w:val="006C6362"/>
    <w:rsid w:val="006C7ACF"/>
    <w:rsid w:val="006D0119"/>
    <w:rsid w:val="006D15F7"/>
    <w:rsid w:val="006D1C32"/>
    <w:rsid w:val="006D377A"/>
    <w:rsid w:val="006D4211"/>
    <w:rsid w:val="006D4896"/>
    <w:rsid w:val="006D68AB"/>
    <w:rsid w:val="006D6E62"/>
    <w:rsid w:val="006D7802"/>
    <w:rsid w:val="006E0B50"/>
    <w:rsid w:val="006E15E2"/>
    <w:rsid w:val="006E1C3E"/>
    <w:rsid w:val="006E24B0"/>
    <w:rsid w:val="006E52AD"/>
    <w:rsid w:val="006E5524"/>
    <w:rsid w:val="006E6F97"/>
    <w:rsid w:val="006E7533"/>
    <w:rsid w:val="006E7CE8"/>
    <w:rsid w:val="006F0B31"/>
    <w:rsid w:val="006F1848"/>
    <w:rsid w:val="006F19A8"/>
    <w:rsid w:val="006F1B85"/>
    <w:rsid w:val="006F20CB"/>
    <w:rsid w:val="006F2630"/>
    <w:rsid w:val="006F3328"/>
    <w:rsid w:val="006F3C02"/>
    <w:rsid w:val="006F3D60"/>
    <w:rsid w:val="006F5FA0"/>
    <w:rsid w:val="006F6052"/>
    <w:rsid w:val="006F6118"/>
    <w:rsid w:val="006F73FC"/>
    <w:rsid w:val="006F7518"/>
    <w:rsid w:val="006F7C28"/>
    <w:rsid w:val="007005F2"/>
    <w:rsid w:val="00700A09"/>
    <w:rsid w:val="00700CE3"/>
    <w:rsid w:val="00700F64"/>
    <w:rsid w:val="007019AD"/>
    <w:rsid w:val="00702BAD"/>
    <w:rsid w:val="00702C26"/>
    <w:rsid w:val="007039D5"/>
    <w:rsid w:val="00704295"/>
    <w:rsid w:val="007059C2"/>
    <w:rsid w:val="007067B5"/>
    <w:rsid w:val="00707880"/>
    <w:rsid w:val="00707AEA"/>
    <w:rsid w:val="00707CFA"/>
    <w:rsid w:val="00707D96"/>
    <w:rsid w:val="0071044D"/>
    <w:rsid w:val="0071098B"/>
    <w:rsid w:val="00711483"/>
    <w:rsid w:val="0071175A"/>
    <w:rsid w:val="007119EA"/>
    <w:rsid w:val="00713B95"/>
    <w:rsid w:val="00716BB5"/>
    <w:rsid w:val="0071726B"/>
    <w:rsid w:val="007174B7"/>
    <w:rsid w:val="0071774F"/>
    <w:rsid w:val="007179CA"/>
    <w:rsid w:val="00717D7E"/>
    <w:rsid w:val="0071C307"/>
    <w:rsid w:val="0072048E"/>
    <w:rsid w:val="007206B6"/>
    <w:rsid w:val="007207B2"/>
    <w:rsid w:val="00722053"/>
    <w:rsid w:val="007221A0"/>
    <w:rsid w:val="00723DBC"/>
    <w:rsid w:val="007245C4"/>
    <w:rsid w:val="007245F4"/>
    <w:rsid w:val="00724805"/>
    <w:rsid w:val="007263EE"/>
    <w:rsid w:val="007266E8"/>
    <w:rsid w:val="00727181"/>
    <w:rsid w:val="00727F28"/>
    <w:rsid w:val="00730686"/>
    <w:rsid w:val="00731E1F"/>
    <w:rsid w:val="007322F4"/>
    <w:rsid w:val="0073304D"/>
    <w:rsid w:val="007336AC"/>
    <w:rsid w:val="0073549C"/>
    <w:rsid w:val="007416C1"/>
    <w:rsid w:val="00741973"/>
    <w:rsid w:val="00741CCF"/>
    <w:rsid w:val="00741E0F"/>
    <w:rsid w:val="00742BE3"/>
    <w:rsid w:val="00743378"/>
    <w:rsid w:val="00744704"/>
    <w:rsid w:val="00744F1F"/>
    <w:rsid w:val="007451AF"/>
    <w:rsid w:val="00745AE6"/>
    <w:rsid w:val="0074685F"/>
    <w:rsid w:val="0074742B"/>
    <w:rsid w:val="00747609"/>
    <w:rsid w:val="00747BD2"/>
    <w:rsid w:val="00747F1B"/>
    <w:rsid w:val="007508EA"/>
    <w:rsid w:val="00752057"/>
    <w:rsid w:val="00753F47"/>
    <w:rsid w:val="00754618"/>
    <w:rsid w:val="007568F2"/>
    <w:rsid w:val="00756A89"/>
    <w:rsid w:val="00756A8A"/>
    <w:rsid w:val="0076102D"/>
    <w:rsid w:val="00762DB0"/>
    <w:rsid w:val="00763A1C"/>
    <w:rsid w:val="00763FF2"/>
    <w:rsid w:val="007641B2"/>
    <w:rsid w:val="00764F57"/>
    <w:rsid w:val="00764FA3"/>
    <w:rsid w:val="0076509A"/>
    <w:rsid w:val="0076556F"/>
    <w:rsid w:val="00766619"/>
    <w:rsid w:val="007667C6"/>
    <w:rsid w:val="007668C2"/>
    <w:rsid w:val="00767B37"/>
    <w:rsid w:val="00767C0E"/>
    <w:rsid w:val="007722BD"/>
    <w:rsid w:val="00772679"/>
    <w:rsid w:val="00772B01"/>
    <w:rsid w:val="00772C0E"/>
    <w:rsid w:val="0077468F"/>
    <w:rsid w:val="00775451"/>
    <w:rsid w:val="00775818"/>
    <w:rsid w:val="007777FC"/>
    <w:rsid w:val="0077A75C"/>
    <w:rsid w:val="00780421"/>
    <w:rsid w:val="007813ED"/>
    <w:rsid w:val="007819BB"/>
    <w:rsid w:val="00782373"/>
    <w:rsid w:val="007825E5"/>
    <w:rsid w:val="00783254"/>
    <w:rsid w:val="00784E69"/>
    <w:rsid w:val="007851B3"/>
    <w:rsid w:val="00785B3A"/>
    <w:rsid w:val="00785E2A"/>
    <w:rsid w:val="00793427"/>
    <w:rsid w:val="00793943"/>
    <w:rsid w:val="0079404B"/>
    <w:rsid w:val="00794E3D"/>
    <w:rsid w:val="0079527B"/>
    <w:rsid w:val="007957F7"/>
    <w:rsid w:val="00795849"/>
    <w:rsid w:val="00795B9F"/>
    <w:rsid w:val="00795BDF"/>
    <w:rsid w:val="00796044"/>
    <w:rsid w:val="00796417"/>
    <w:rsid w:val="00796C45"/>
    <w:rsid w:val="00797174"/>
    <w:rsid w:val="0079749B"/>
    <w:rsid w:val="00797A06"/>
    <w:rsid w:val="007A0DF6"/>
    <w:rsid w:val="007A2262"/>
    <w:rsid w:val="007A51A4"/>
    <w:rsid w:val="007A6211"/>
    <w:rsid w:val="007A63D7"/>
    <w:rsid w:val="007A63E2"/>
    <w:rsid w:val="007A709C"/>
    <w:rsid w:val="007A730D"/>
    <w:rsid w:val="007A7A8B"/>
    <w:rsid w:val="007B02BA"/>
    <w:rsid w:val="007B164D"/>
    <w:rsid w:val="007B2B63"/>
    <w:rsid w:val="007B30E4"/>
    <w:rsid w:val="007B3564"/>
    <w:rsid w:val="007B6DB4"/>
    <w:rsid w:val="007B701E"/>
    <w:rsid w:val="007B7BA0"/>
    <w:rsid w:val="007C0582"/>
    <w:rsid w:val="007C0680"/>
    <w:rsid w:val="007C0691"/>
    <w:rsid w:val="007C090A"/>
    <w:rsid w:val="007C10F8"/>
    <w:rsid w:val="007C3C08"/>
    <w:rsid w:val="007C43FE"/>
    <w:rsid w:val="007C4479"/>
    <w:rsid w:val="007C4CE4"/>
    <w:rsid w:val="007C4E11"/>
    <w:rsid w:val="007C5431"/>
    <w:rsid w:val="007C69D7"/>
    <w:rsid w:val="007C6AF3"/>
    <w:rsid w:val="007C6DE6"/>
    <w:rsid w:val="007C6E43"/>
    <w:rsid w:val="007D1BF7"/>
    <w:rsid w:val="007D31EB"/>
    <w:rsid w:val="007D3214"/>
    <w:rsid w:val="007D3983"/>
    <w:rsid w:val="007D51C7"/>
    <w:rsid w:val="007D6081"/>
    <w:rsid w:val="007D6C60"/>
    <w:rsid w:val="007D6E88"/>
    <w:rsid w:val="007D7B19"/>
    <w:rsid w:val="007E030E"/>
    <w:rsid w:val="007E18E5"/>
    <w:rsid w:val="007E18FA"/>
    <w:rsid w:val="007E20E0"/>
    <w:rsid w:val="007E4053"/>
    <w:rsid w:val="007E478E"/>
    <w:rsid w:val="007E47D2"/>
    <w:rsid w:val="007E4D33"/>
    <w:rsid w:val="007E4DC3"/>
    <w:rsid w:val="007E5276"/>
    <w:rsid w:val="007E55D4"/>
    <w:rsid w:val="007E5635"/>
    <w:rsid w:val="007E5C46"/>
    <w:rsid w:val="007E7325"/>
    <w:rsid w:val="007F00AC"/>
    <w:rsid w:val="007F017D"/>
    <w:rsid w:val="007F0814"/>
    <w:rsid w:val="007F1849"/>
    <w:rsid w:val="007F192F"/>
    <w:rsid w:val="007F32DD"/>
    <w:rsid w:val="007F4254"/>
    <w:rsid w:val="007F668F"/>
    <w:rsid w:val="007F7D1D"/>
    <w:rsid w:val="007F7E90"/>
    <w:rsid w:val="00800417"/>
    <w:rsid w:val="00800B3A"/>
    <w:rsid w:val="008010CD"/>
    <w:rsid w:val="008015E4"/>
    <w:rsid w:val="008036CF"/>
    <w:rsid w:val="008050AC"/>
    <w:rsid w:val="00806740"/>
    <w:rsid w:val="00807533"/>
    <w:rsid w:val="00810BFD"/>
    <w:rsid w:val="00810D4A"/>
    <w:rsid w:val="0081137C"/>
    <w:rsid w:val="0081218B"/>
    <w:rsid w:val="008123DF"/>
    <w:rsid w:val="00812566"/>
    <w:rsid w:val="00816473"/>
    <w:rsid w:val="00816FCD"/>
    <w:rsid w:val="0081754C"/>
    <w:rsid w:val="00820D6D"/>
    <w:rsid w:val="008211D3"/>
    <w:rsid w:val="008225C2"/>
    <w:rsid w:val="00823F3E"/>
    <w:rsid w:val="0082659F"/>
    <w:rsid w:val="00827FEF"/>
    <w:rsid w:val="00830A6C"/>
    <w:rsid w:val="00830F41"/>
    <w:rsid w:val="008317AA"/>
    <w:rsid w:val="008319DE"/>
    <w:rsid w:val="00833321"/>
    <w:rsid w:val="00833A7F"/>
    <w:rsid w:val="00833C6E"/>
    <w:rsid w:val="008340F2"/>
    <w:rsid w:val="0083417B"/>
    <w:rsid w:val="0083421F"/>
    <w:rsid w:val="00834987"/>
    <w:rsid w:val="00834B30"/>
    <w:rsid w:val="00834D12"/>
    <w:rsid w:val="0083502F"/>
    <w:rsid w:val="008356F1"/>
    <w:rsid w:val="00835B12"/>
    <w:rsid w:val="00836060"/>
    <w:rsid w:val="00837061"/>
    <w:rsid w:val="008375DA"/>
    <w:rsid w:val="00837F79"/>
    <w:rsid w:val="0084045C"/>
    <w:rsid w:val="00840C35"/>
    <w:rsid w:val="00841209"/>
    <w:rsid w:val="00842B53"/>
    <w:rsid w:val="00844990"/>
    <w:rsid w:val="00844D2C"/>
    <w:rsid w:val="00845E03"/>
    <w:rsid w:val="008466D9"/>
    <w:rsid w:val="00846795"/>
    <w:rsid w:val="00846EA7"/>
    <w:rsid w:val="00846F1A"/>
    <w:rsid w:val="00850E0F"/>
    <w:rsid w:val="00851084"/>
    <w:rsid w:val="00851B11"/>
    <w:rsid w:val="00851D57"/>
    <w:rsid w:val="0085258F"/>
    <w:rsid w:val="00853783"/>
    <w:rsid w:val="008539DE"/>
    <w:rsid w:val="00853B4C"/>
    <w:rsid w:val="0085426D"/>
    <w:rsid w:val="008549C4"/>
    <w:rsid w:val="00854D6A"/>
    <w:rsid w:val="00854F12"/>
    <w:rsid w:val="00855041"/>
    <w:rsid w:val="008554BF"/>
    <w:rsid w:val="00856CA5"/>
    <w:rsid w:val="00856CE4"/>
    <w:rsid w:val="00856E35"/>
    <w:rsid w:val="00856E8B"/>
    <w:rsid w:val="0085766B"/>
    <w:rsid w:val="00860163"/>
    <w:rsid w:val="00860342"/>
    <w:rsid w:val="00861C52"/>
    <w:rsid w:val="00861FA8"/>
    <w:rsid w:val="008628CB"/>
    <w:rsid w:val="00862B75"/>
    <w:rsid w:val="0086457A"/>
    <w:rsid w:val="0086574D"/>
    <w:rsid w:val="008661F3"/>
    <w:rsid w:val="008669EF"/>
    <w:rsid w:val="00866F97"/>
    <w:rsid w:val="00866FBA"/>
    <w:rsid w:val="008674E1"/>
    <w:rsid w:val="008679C3"/>
    <w:rsid w:val="00867F91"/>
    <w:rsid w:val="00870224"/>
    <w:rsid w:val="00870AB5"/>
    <w:rsid w:val="00870EB5"/>
    <w:rsid w:val="00871ACD"/>
    <w:rsid w:val="00873832"/>
    <w:rsid w:val="00874838"/>
    <w:rsid w:val="008772C1"/>
    <w:rsid w:val="008773B3"/>
    <w:rsid w:val="008777A5"/>
    <w:rsid w:val="00877866"/>
    <w:rsid w:val="00877A39"/>
    <w:rsid w:val="0088006C"/>
    <w:rsid w:val="00880B60"/>
    <w:rsid w:val="008818AE"/>
    <w:rsid w:val="0088190B"/>
    <w:rsid w:val="0088281D"/>
    <w:rsid w:val="0088299C"/>
    <w:rsid w:val="00882F5E"/>
    <w:rsid w:val="00884521"/>
    <w:rsid w:val="00884B81"/>
    <w:rsid w:val="00887789"/>
    <w:rsid w:val="00887DC7"/>
    <w:rsid w:val="0089053B"/>
    <w:rsid w:val="008917B1"/>
    <w:rsid w:val="00893FDB"/>
    <w:rsid w:val="0089696D"/>
    <w:rsid w:val="008A1FAA"/>
    <w:rsid w:val="008A2280"/>
    <w:rsid w:val="008A2A57"/>
    <w:rsid w:val="008A2A59"/>
    <w:rsid w:val="008A46E9"/>
    <w:rsid w:val="008A4794"/>
    <w:rsid w:val="008A48CA"/>
    <w:rsid w:val="008A53DE"/>
    <w:rsid w:val="008A5B6F"/>
    <w:rsid w:val="008A639E"/>
    <w:rsid w:val="008A6ED6"/>
    <w:rsid w:val="008A79A5"/>
    <w:rsid w:val="008B0034"/>
    <w:rsid w:val="008B081C"/>
    <w:rsid w:val="008B1B4C"/>
    <w:rsid w:val="008B23A1"/>
    <w:rsid w:val="008B2603"/>
    <w:rsid w:val="008B2973"/>
    <w:rsid w:val="008B2D9D"/>
    <w:rsid w:val="008B31A9"/>
    <w:rsid w:val="008B31FE"/>
    <w:rsid w:val="008B32BA"/>
    <w:rsid w:val="008B32D3"/>
    <w:rsid w:val="008B378E"/>
    <w:rsid w:val="008B380E"/>
    <w:rsid w:val="008B3AA8"/>
    <w:rsid w:val="008B4054"/>
    <w:rsid w:val="008B4D5E"/>
    <w:rsid w:val="008B6603"/>
    <w:rsid w:val="008B66A2"/>
    <w:rsid w:val="008B6808"/>
    <w:rsid w:val="008B6E14"/>
    <w:rsid w:val="008B7A2E"/>
    <w:rsid w:val="008C0704"/>
    <w:rsid w:val="008C1279"/>
    <w:rsid w:val="008C1903"/>
    <w:rsid w:val="008C1C9F"/>
    <w:rsid w:val="008C1E88"/>
    <w:rsid w:val="008C239C"/>
    <w:rsid w:val="008C24A8"/>
    <w:rsid w:val="008C2562"/>
    <w:rsid w:val="008C286A"/>
    <w:rsid w:val="008C2B6B"/>
    <w:rsid w:val="008C2C92"/>
    <w:rsid w:val="008C4150"/>
    <w:rsid w:val="008C525F"/>
    <w:rsid w:val="008C59DF"/>
    <w:rsid w:val="008C5D19"/>
    <w:rsid w:val="008C6B85"/>
    <w:rsid w:val="008C6C2F"/>
    <w:rsid w:val="008C7378"/>
    <w:rsid w:val="008D13A4"/>
    <w:rsid w:val="008D1CA8"/>
    <w:rsid w:val="008D49C7"/>
    <w:rsid w:val="008D4E43"/>
    <w:rsid w:val="008D540E"/>
    <w:rsid w:val="008D5A2A"/>
    <w:rsid w:val="008D5E65"/>
    <w:rsid w:val="008D624B"/>
    <w:rsid w:val="008D7186"/>
    <w:rsid w:val="008E00C1"/>
    <w:rsid w:val="008E095C"/>
    <w:rsid w:val="008E0DBC"/>
    <w:rsid w:val="008E1265"/>
    <w:rsid w:val="008E179E"/>
    <w:rsid w:val="008E1C9D"/>
    <w:rsid w:val="008E293E"/>
    <w:rsid w:val="008E32F9"/>
    <w:rsid w:val="008E3E66"/>
    <w:rsid w:val="008E4250"/>
    <w:rsid w:val="008E4D50"/>
    <w:rsid w:val="008E5026"/>
    <w:rsid w:val="008E53F8"/>
    <w:rsid w:val="008E5650"/>
    <w:rsid w:val="008E5A7B"/>
    <w:rsid w:val="008E5C70"/>
    <w:rsid w:val="008E6191"/>
    <w:rsid w:val="008E6264"/>
    <w:rsid w:val="008E6640"/>
    <w:rsid w:val="008E6E00"/>
    <w:rsid w:val="008E6E37"/>
    <w:rsid w:val="008F1325"/>
    <w:rsid w:val="008F2430"/>
    <w:rsid w:val="008F26D3"/>
    <w:rsid w:val="008F2A41"/>
    <w:rsid w:val="008F3BC6"/>
    <w:rsid w:val="008F4496"/>
    <w:rsid w:val="008F609D"/>
    <w:rsid w:val="008F696F"/>
    <w:rsid w:val="008F7857"/>
    <w:rsid w:val="008F7AFD"/>
    <w:rsid w:val="0090018F"/>
    <w:rsid w:val="009001AE"/>
    <w:rsid w:val="009006C5"/>
    <w:rsid w:val="0090097E"/>
    <w:rsid w:val="00900D6E"/>
    <w:rsid w:val="00901561"/>
    <w:rsid w:val="00901E0A"/>
    <w:rsid w:val="009021D7"/>
    <w:rsid w:val="0090224A"/>
    <w:rsid w:val="009026CC"/>
    <w:rsid w:val="0090386F"/>
    <w:rsid w:val="00904FBA"/>
    <w:rsid w:val="009051F3"/>
    <w:rsid w:val="009052BF"/>
    <w:rsid w:val="009067CF"/>
    <w:rsid w:val="00907245"/>
    <w:rsid w:val="00907551"/>
    <w:rsid w:val="00907FAF"/>
    <w:rsid w:val="00911542"/>
    <w:rsid w:val="00911CB1"/>
    <w:rsid w:val="00911E28"/>
    <w:rsid w:val="00911E55"/>
    <w:rsid w:val="00913247"/>
    <w:rsid w:val="009132F6"/>
    <w:rsid w:val="00914554"/>
    <w:rsid w:val="009148FF"/>
    <w:rsid w:val="0091615E"/>
    <w:rsid w:val="009172EF"/>
    <w:rsid w:val="009200FF"/>
    <w:rsid w:val="009210E8"/>
    <w:rsid w:val="00922642"/>
    <w:rsid w:val="00923432"/>
    <w:rsid w:val="009238A0"/>
    <w:rsid w:val="009239EB"/>
    <w:rsid w:val="00923F69"/>
    <w:rsid w:val="0092448D"/>
    <w:rsid w:val="00924DCE"/>
    <w:rsid w:val="00925101"/>
    <w:rsid w:val="00925BFD"/>
    <w:rsid w:val="009268E6"/>
    <w:rsid w:val="00927197"/>
    <w:rsid w:val="00927CEA"/>
    <w:rsid w:val="00931356"/>
    <w:rsid w:val="009330B3"/>
    <w:rsid w:val="009334EC"/>
    <w:rsid w:val="009336B0"/>
    <w:rsid w:val="00933A22"/>
    <w:rsid w:val="00934F8B"/>
    <w:rsid w:val="00935D90"/>
    <w:rsid w:val="009366E0"/>
    <w:rsid w:val="00936C9D"/>
    <w:rsid w:val="00936E99"/>
    <w:rsid w:val="0093796E"/>
    <w:rsid w:val="009379CC"/>
    <w:rsid w:val="00937BD1"/>
    <w:rsid w:val="00937F6A"/>
    <w:rsid w:val="009403BE"/>
    <w:rsid w:val="00940FA2"/>
    <w:rsid w:val="0094149C"/>
    <w:rsid w:val="00941C5A"/>
    <w:rsid w:val="0094213D"/>
    <w:rsid w:val="0094217E"/>
    <w:rsid w:val="00942F2A"/>
    <w:rsid w:val="00943509"/>
    <w:rsid w:val="009435D6"/>
    <w:rsid w:val="00943C58"/>
    <w:rsid w:val="00943FB9"/>
    <w:rsid w:val="009440A9"/>
    <w:rsid w:val="009440BE"/>
    <w:rsid w:val="009445DF"/>
    <w:rsid w:val="00944C64"/>
    <w:rsid w:val="00945172"/>
    <w:rsid w:val="009453F2"/>
    <w:rsid w:val="00946248"/>
    <w:rsid w:val="009465F9"/>
    <w:rsid w:val="00947080"/>
    <w:rsid w:val="00947AD2"/>
    <w:rsid w:val="00950464"/>
    <w:rsid w:val="0095080E"/>
    <w:rsid w:val="0095208E"/>
    <w:rsid w:val="00952B6B"/>
    <w:rsid w:val="00952C3F"/>
    <w:rsid w:val="00952D1B"/>
    <w:rsid w:val="009531A4"/>
    <w:rsid w:val="009533DB"/>
    <w:rsid w:val="00953EF0"/>
    <w:rsid w:val="0095425D"/>
    <w:rsid w:val="00954718"/>
    <w:rsid w:val="00955001"/>
    <w:rsid w:val="0095609C"/>
    <w:rsid w:val="0095657A"/>
    <w:rsid w:val="009570B1"/>
    <w:rsid w:val="009579B8"/>
    <w:rsid w:val="00957DA3"/>
    <w:rsid w:val="00957F56"/>
    <w:rsid w:val="00960551"/>
    <w:rsid w:val="00960945"/>
    <w:rsid w:val="0096170D"/>
    <w:rsid w:val="00961D5A"/>
    <w:rsid w:val="00962774"/>
    <w:rsid w:val="00962AB5"/>
    <w:rsid w:val="00962BA7"/>
    <w:rsid w:val="00962E60"/>
    <w:rsid w:val="00962FBB"/>
    <w:rsid w:val="009637EF"/>
    <w:rsid w:val="0096388D"/>
    <w:rsid w:val="0096446A"/>
    <w:rsid w:val="0096446E"/>
    <w:rsid w:val="00964595"/>
    <w:rsid w:val="00965545"/>
    <w:rsid w:val="00965BEC"/>
    <w:rsid w:val="00966B5E"/>
    <w:rsid w:val="00967061"/>
    <w:rsid w:val="00967194"/>
    <w:rsid w:val="00967EC7"/>
    <w:rsid w:val="00970449"/>
    <w:rsid w:val="00970E70"/>
    <w:rsid w:val="00970F5C"/>
    <w:rsid w:val="0097128B"/>
    <w:rsid w:val="00971375"/>
    <w:rsid w:val="009720DC"/>
    <w:rsid w:val="00972949"/>
    <w:rsid w:val="009737FE"/>
    <w:rsid w:val="00974594"/>
    <w:rsid w:val="00974E60"/>
    <w:rsid w:val="00975241"/>
    <w:rsid w:val="00976D5A"/>
    <w:rsid w:val="00976F11"/>
    <w:rsid w:val="00977BF8"/>
    <w:rsid w:val="0098033F"/>
    <w:rsid w:val="0098063D"/>
    <w:rsid w:val="0098118C"/>
    <w:rsid w:val="00981201"/>
    <w:rsid w:val="009817A8"/>
    <w:rsid w:val="00981A9B"/>
    <w:rsid w:val="009822BD"/>
    <w:rsid w:val="00982A5C"/>
    <w:rsid w:val="009834C7"/>
    <w:rsid w:val="0098395A"/>
    <w:rsid w:val="00983D9F"/>
    <w:rsid w:val="00983FD6"/>
    <w:rsid w:val="00984A11"/>
    <w:rsid w:val="0098509B"/>
    <w:rsid w:val="00985329"/>
    <w:rsid w:val="0098683D"/>
    <w:rsid w:val="00986916"/>
    <w:rsid w:val="00986AB1"/>
    <w:rsid w:val="00986BA0"/>
    <w:rsid w:val="009907BF"/>
    <w:rsid w:val="00990F82"/>
    <w:rsid w:val="00991BB8"/>
    <w:rsid w:val="00991F26"/>
    <w:rsid w:val="00992FD9"/>
    <w:rsid w:val="0099354A"/>
    <w:rsid w:val="00993579"/>
    <w:rsid w:val="009935A7"/>
    <w:rsid w:val="00993EFB"/>
    <w:rsid w:val="00993FFC"/>
    <w:rsid w:val="0099468A"/>
    <w:rsid w:val="00994704"/>
    <w:rsid w:val="00994F89"/>
    <w:rsid w:val="00996D9C"/>
    <w:rsid w:val="00997666"/>
    <w:rsid w:val="0099794A"/>
    <w:rsid w:val="009A05C9"/>
    <w:rsid w:val="009A0712"/>
    <w:rsid w:val="009A0728"/>
    <w:rsid w:val="009A0770"/>
    <w:rsid w:val="009A0D9B"/>
    <w:rsid w:val="009A1326"/>
    <w:rsid w:val="009A1796"/>
    <w:rsid w:val="009A3EBE"/>
    <w:rsid w:val="009A460A"/>
    <w:rsid w:val="009A4631"/>
    <w:rsid w:val="009A62E2"/>
    <w:rsid w:val="009A674D"/>
    <w:rsid w:val="009B023F"/>
    <w:rsid w:val="009B12D9"/>
    <w:rsid w:val="009B1662"/>
    <w:rsid w:val="009B3433"/>
    <w:rsid w:val="009B37B1"/>
    <w:rsid w:val="009B40CE"/>
    <w:rsid w:val="009B41A3"/>
    <w:rsid w:val="009B41EA"/>
    <w:rsid w:val="009B4437"/>
    <w:rsid w:val="009B4CB7"/>
    <w:rsid w:val="009B6128"/>
    <w:rsid w:val="009B6610"/>
    <w:rsid w:val="009C04B7"/>
    <w:rsid w:val="009C0563"/>
    <w:rsid w:val="009C0E49"/>
    <w:rsid w:val="009C217A"/>
    <w:rsid w:val="009C24F7"/>
    <w:rsid w:val="009C556F"/>
    <w:rsid w:val="009C596D"/>
    <w:rsid w:val="009C5D7A"/>
    <w:rsid w:val="009C619D"/>
    <w:rsid w:val="009C7586"/>
    <w:rsid w:val="009D026D"/>
    <w:rsid w:val="009D16C6"/>
    <w:rsid w:val="009D1EFA"/>
    <w:rsid w:val="009D33C2"/>
    <w:rsid w:val="009D43AB"/>
    <w:rsid w:val="009D5660"/>
    <w:rsid w:val="009D6681"/>
    <w:rsid w:val="009D7D77"/>
    <w:rsid w:val="009D7EBA"/>
    <w:rsid w:val="009E07F0"/>
    <w:rsid w:val="009E116D"/>
    <w:rsid w:val="009E1644"/>
    <w:rsid w:val="009E277B"/>
    <w:rsid w:val="009E28AF"/>
    <w:rsid w:val="009E2AC3"/>
    <w:rsid w:val="009E33C9"/>
    <w:rsid w:val="009E3503"/>
    <w:rsid w:val="009E3A9B"/>
    <w:rsid w:val="009E3BA5"/>
    <w:rsid w:val="009E405E"/>
    <w:rsid w:val="009E4268"/>
    <w:rsid w:val="009E5959"/>
    <w:rsid w:val="009E6C21"/>
    <w:rsid w:val="009E6D4F"/>
    <w:rsid w:val="009E7991"/>
    <w:rsid w:val="009E7E8A"/>
    <w:rsid w:val="009F03B6"/>
    <w:rsid w:val="009F07F5"/>
    <w:rsid w:val="009F0C33"/>
    <w:rsid w:val="009F194E"/>
    <w:rsid w:val="009F2759"/>
    <w:rsid w:val="009F2869"/>
    <w:rsid w:val="009F34B7"/>
    <w:rsid w:val="009F3A6E"/>
    <w:rsid w:val="009F4265"/>
    <w:rsid w:val="009F653E"/>
    <w:rsid w:val="009F6B8E"/>
    <w:rsid w:val="009F6D14"/>
    <w:rsid w:val="009F7093"/>
    <w:rsid w:val="009F729A"/>
    <w:rsid w:val="009F76B0"/>
    <w:rsid w:val="009F76C7"/>
    <w:rsid w:val="00A0028F"/>
    <w:rsid w:val="00A00977"/>
    <w:rsid w:val="00A00D50"/>
    <w:rsid w:val="00A00E54"/>
    <w:rsid w:val="00A00F2D"/>
    <w:rsid w:val="00A01B47"/>
    <w:rsid w:val="00A01DE7"/>
    <w:rsid w:val="00A03AEB"/>
    <w:rsid w:val="00A0413C"/>
    <w:rsid w:val="00A048EB"/>
    <w:rsid w:val="00A057F9"/>
    <w:rsid w:val="00A102B8"/>
    <w:rsid w:val="00A10445"/>
    <w:rsid w:val="00A10763"/>
    <w:rsid w:val="00A10F35"/>
    <w:rsid w:val="00A12407"/>
    <w:rsid w:val="00A1248E"/>
    <w:rsid w:val="00A12A07"/>
    <w:rsid w:val="00A12DE3"/>
    <w:rsid w:val="00A13292"/>
    <w:rsid w:val="00A13311"/>
    <w:rsid w:val="00A1357D"/>
    <w:rsid w:val="00A13DEC"/>
    <w:rsid w:val="00A13E38"/>
    <w:rsid w:val="00A148CB"/>
    <w:rsid w:val="00A16A2F"/>
    <w:rsid w:val="00A20202"/>
    <w:rsid w:val="00A2054D"/>
    <w:rsid w:val="00A20DF9"/>
    <w:rsid w:val="00A21C70"/>
    <w:rsid w:val="00A22488"/>
    <w:rsid w:val="00A22594"/>
    <w:rsid w:val="00A23AFC"/>
    <w:rsid w:val="00A24368"/>
    <w:rsid w:val="00A24929"/>
    <w:rsid w:val="00A24B5C"/>
    <w:rsid w:val="00A250A0"/>
    <w:rsid w:val="00A25CCF"/>
    <w:rsid w:val="00A2611B"/>
    <w:rsid w:val="00A268D7"/>
    <w:rsid w:val="00A269B7"/>
    <w:rsid w:val="00A27187"/>
    <w:rsid w:val="00A277E0"/>
    <w:rsid w:val="00A27DD7"/>
    <w:rsid w:val="00A30584"/>
    <w:rsid w:val="00A30A7C"/>
    <w:rsid w:val="00A312E7"/>
    <w:rsid w:val="00A316FD"/>
    <w:rsid w:val="00A31CD4"/>
    <w:rsid w:val="00A32733"/>
    <w:rsid w:val="00A32DEB"/>
    <w:rsid w:val="00A3327C"/>
    <w:rsid w:val="00A33999"/>
    <w:rsid w:val="00A33DD2"/>
    <w:rsid w:val="00A34099"/>
    <w:rsid w:val="00A3417B"/>
    <w:rsid w:val="00A35E7A"/>
    <w:rsid w:val="00A365DD"/>
    <w:rsid w:val="00A368A0"/>
    <w:rsid w:val="00A3718A"/>
    <w:rsid w:val="00A3736C"/>
    <w:rsid w:val="00A40436"/>
    <w:rsid w:val="00A41116"/>
    <w:rsid w:val="00A414C3"/>
    <w:rsid w:val="00A42B10"/>
    <w:rsid w:val="00A430F0"/>
    <w:rsid w:val="00A432D1"/>
    <w:rsid w:val="00A4375D"/>
    <w:rsid w:val="00A43B22"/>
    <w:rsid w:val="00A449EB"/>
    <w:rsid w:val="00A453A7"/>
    <w:rsid w:val="00A46190"/>
    <w:rsid w:val="00A47069"/>
    <w:rsid w:val="00A50B86"/>
    <w:rsid w:val="00A50F3E"/>
    <w:rsid w:val="00A51DC4"/>
    <w:rsid w:val="00A51E6E"/>
    <w:rsid w:val="00A5235E"/>
    <w:rsid w:val="00A528BD"/>
    <w:rsid w:val="00A52CA1"/>
    <w:rsid w:val="00A53B4A"/>
    <w:rsid w:val="00A53D01"/>
    <w:rsid w:val="00A53F05"/>
    <w:rsid w:val="00A54109"/>
    <w:rsid w:val="00A54A32"/>
    <w:rsid w:val="00A5556F"/>
    <w:rsid w:val="00A562A9"/>
    <w:rsid w:val="00A5686F"/>
    <w:rsid w:val="00A56D1D"/>
    <w:rsid w:val="00A603BE"/>
    <w:rsid w:val="00A6054D"/>
    <w:rsid w:val="00A60D52"/>
    <w:rsid w:val="00A6208B"/>
    <w:rsid w:val="00A62848"/>
    <w:rsid w:val="00A64384"/>
    <w:rsid w:val="00A653B4"/>
    <w:rsid w:val="00A66183"/>
    <w:rsid w:val="00A6655D"/>
    <w:rsid w:val="00A66844"/>
    <w:rsid w:val="00A67099"/>
    <w:rsid w:val="00A70131"/>
    <w:rsid w:val="00A71E20"/>
    <w:rsid w:val="00A7230A"/>
    <w:rsid w:val="00A72486"/>
    <w:rsid w:val="00A72CBA"/>
    <w:rsid w:val="00A72FD8"/>
    <w:rsid w:val="00A7324F"/>
    <w:rsid w:val="00A73382"/>
    <w:rsid w:val="00A73AF5"/>
    <w:rsid w:val="00A73B44"/>
    <w:rsid w:val="00A740FC"/>
    <w:rsid w:val="00A75CD2"/>
    <w:rsid w:val="00A77892"/>
    <w:rsid w:val="00A80B64"/>
    <w:rsid w:val="00A80E3A"/>
    <w:rsid w:val="00A81209"/>
    <w:rsid w:val="00A81606"/>
    <w:rsid w:val="00A82E70"/>
    <w:rsid w:val="00A82F2C"/>
    <w:rsid w:val="00A834C3"/>
    <w:rsid w:val="00A8395F"/>
    <w:rsid w:val="00A83E7E"/>
    <w:rsid w:val="00A841B0"/>
    <w:rsid w:val="00A8479A"/>
    <w:rsid w:val="00A8494F"/>
    <w:rsid w:val="00A853C1"/>
    <w:rsid w:val="00A87045"/>
    <w:rsid w:val="00A870AB"/>
    <w:rsid w:val="00A920A5"/>
    <w:rsid w:val="00A930E7"/>
    <w:rsid w:val="00A9341D"/>
    <w:rsid w:val="00A93CC6"/>
    <w:rsid w:val="00A93DB4"/>
    <w:rsid w:val="00A940BA"/>
    <w:rsid w:val="00A94C04"/>
    <w:rsid w:val="00A95A8D"/>
    <w:rsid w:val="00A95CFA"/>
    <w:rsid w:val="00A96607"/>
    <w:rsid w:val="00A9691B"/>
    <w:rsid w:val="00A97299"/>
    <w:rsid w:val="00A97427"/>
    <w:rsid w:val="00A9760B"/>
    <w:rsid w:val="00A97E4C"/>
    <w:rsid w:val="00A97E8D"/>
    <w:rsid w:val="00A97F19"/>
    <w:rsid w:val="00AA0513"/>
    <w:rsid w:val="00AA1737"/>
    <w:rsid w:val="00AA19AA"/>
    <w:rsid w:val="00AA1E96"/>
    <w:rsid w:val="00AA4E68"/>
    <w:rsid w:val="00AA79B5"/>
    <w:rsid w:val="00AA7CCB"/>
    <w:rsid w:val="00AB0279"/>
    <w:rsid w:val="00AB1B24"/>
    <w:rsid w:val="00AB2208"/>
    <w:rsid w:val="00AB252E"/>
    <w:rsid w:val="00AB283A"/>
    <w:rsid w:val="00AB2AF0"/>
    <w:rsid w:val="00AB41D6"/>
    <w:rsid w:val="00AB4516"/>
    <w:rsid w:val="00AB49C5"/>
    <w:rsid w:val="00AB573E"/>
    <w:rsid w:val="00AB6EED"/>
    <w:rsid w:val="00AB781F"/>
    <w:rsid w:val="00AC10EB"/>
    <w:rsid w:val="00AC1660"/>
    <w:rsid w:val="00AC1754"/>
    <w:rsid w:val="00AC295D"/>
    <w:rsid w:val="00AC3F18"/>
    <w:rsid w:val="00AC4A2D"/>
    <w:rsid w:val="00AC4EB9"/>
    <w:rsid w:val="00AC5350"/>
    <w:rsid w:val="00AC575D"/>
    <w:rsid w:val="00AC57B0"/>
    <w:rsid w:val="00AC656F"/>
    <w:rsid w:val="00AC73D6"/>
    <w:rsid w:val="00AC7613"/>
    <w:rsid w:val="00AC7AAA"/>
    <w:rsid w:val="00AD058F"/>
    <w:rsid w:val="00AD06D3"/>
    <w:rsid w:val="00AD0AC1"/>
    <w:rsid w:val="00AD183B"/>
    <w:rsid w:val="00AD1E6E"/>
    <w:rsid w:val="00AD2335"/>
    <w:rsid w:val="00AD2C33"/>
    <w:rsid w:val="00AD37D3"/>
    <w:rsid w:val="00AD3E25"/>
    <w:rsid w:val="00AD3F37"/>
    <w:rsid w:val="00AD4D87"/>
    <w:rsid w:val="00AD52D1"/>
    <w:rsid w:val="00AD5A0F"/>
    <w:rsid w:val="00AD5B81"/>
    <w:rsid w:val="00AD5CE3"/>
    <w:rsid w:val="00AD72E4"/>
    <w:rsid w:val="00AD79C4"/>
    <w:rsid w:val="00AE014F"/>
    <w:rsid w:val="00AE16FC"/>
    <w:rsid w:val="00AE35E6"/>
    <w:rsid w:val="00AE414C"/>
    <w:rsid w:val="00AE425E"/>
    <w:rsid w:val="00AE48C3"/>
    <w:rsid w:val="00AE4E61"/>
    <w:rsid w:val="00AE5119"/>
    <w:rsid w:val="00AE5250"/>
    <w:rsid w:val="00AE5336"/>
    <w:rsid w:val="00AE5845"/>
    <w:rsid w:val="00AE5CB1"/>
    <w:rsid w:val="00AE6567"/>
    <w:rsid w:val="00AE6DDF"/>
    <w:rsid w:val="00AE74AA"/>
    <w:rsid w:val="00AE75DE"/>
    <w:rsid w:val="00AE7B8A"/>
    <w:rsid w:val="00AF073D"/>
    <w:rsid w:val="00AF0B08"/>
    <w:rsid w:val="00AF1A94"/>
    <w:rsid w:val="00AF1CBA"/>
    <w:rsid w:val="00AF1D49"/>
    <w:rsid w:val="00AF201D"/>
    <w:rsid w:val="00AF2ADE"/>
    <w:rsid w:val="00AF2DBF"/>
    <w:rsid w:val="00AF512F"/>
    <w:rsid w:val="00AF5B0C"/>
    <w:rsid w:val="00AF5E60"/>
    <w:rsid w:val="00AF622F"/>
    <w:rsid w:val="00AF7019"/>
    <w:rsid w:val="00AF7911"/>
    <w:rsid w:val="00B011AF"/>
    <w:rsid w:val="00B0166C"/>
    <w:rsid w:val="00B01E50"/>
    <w:rsid w:val="00B020D8"/>
    <w:rsid w:val="00B0236D"/>
    <w:rsid w:val="00B023F7"/>
    <w:rsid w:val="00B02ED1"/>
    <w:rsid w:val="00B03F74"/>
    <w:rsid w:val="00B042B0"/>
    <w:rsid w:val="00B04E2A"/>
    <w:rsid w:val="00B04F37"/>
    <w:rsid w:val="00B055C3"/>
    <w:rsid w:val="00B05D3A"/>
    <w:rsid w:val="00B062DD"/>
    <w:rsid w:val="00B06373"/>
    <w:rsid w:val="00B06643"/>
    <w:rsid w:val="00B069BB"/>
    <w:rsid w:val="00B06C84"/>
    <w:rsid w:val="00B07974"/>
    <w:rsid w:val="00B07FA9"/>
    <w:rsid w:val="00B1009D"/>
    <w:rsid w:val="00B1059E"/>
    <w:rsid w:val="00B10A0B"/>
    <w:rsid w:val="00B1129B"/>
    <w:rsid w:val="00B11A8B"/>
    <w:rsid w:val="00B12093"/>
    <w:rsid w:val="00B12392"/>
    <w:rsid w:val="00B12CB9"/>
    <w:rsid w:val="00B1391F"/>
    <w:rsid w:val="00B140C9"/>
    <w:rsid w:val="00B14104"/>
    <w:rsid w:val="00B14134"/>
    <w:rsid w:val="00B1487C"/>
    <w:rsid w:val="00B14ADF"/>
    <w:rsid w:val="00B15884"/>
    <w:rsid w:val="00B16021"/>
    <w:rsid w:val="00B169CE"/>
    <w:rsid w:val="00B17868"/>
    <w:rsid w:val="00B17B6B"/>
    <w:rsid w:val="00B20BBB"/>
    <w:rsid w:val="00B20D62"/>
    <w:rsid w:val="00B21A0B"/>
    <w:rsid w:val="00B2215B"/>
    <w:rsid w:val="00B228A5"/>
    <w:rsid w:val="00B22ACB"/>
    <w:rsid w:val="00B23287"/>
    <w:rsid w:val="00B243B1"/>
    <w:rsid w:val="00B24828"/>
    <w:rsid w:val="00B24AE9"/>
    <w:rsid w:val="00B27330"/>
    <w:rsid w:val="00B2735B"/>
    <w:rsid w:val="00B27761"/>
    <w:rsid w:val="00B3051E"/>
    <w:rsid w:val="00B31782"/>
    <w:rsid w:val="00B318F1"/>
    <w:rsid w:val="00B3281B"/>
    <w:rsid w:val="00B32BED"/>
    <w:rsid w:val="00B36B51"/>
    <w:rsid w:val="00B3705E"/>
    <w:rsid w:val="00B405B5"/>
    <w:rsid w:val="00B421A9"/>
    <w:rsid w:val="00B42688"/>
    <w:rsid w:val="00B426A1"/>
    <w:rsid w:val="00B4338D"/>
    <w:rsid w:val="00B43415"/>
    <w:rsid w:val="00B44EC0"/>
    <w:rsid w:val="00B4522B"/>
    <w:rsid w:val="00B45677"/>
    <w:rsid w:val="00B456FC"/>
    <w:rsid w:val="00B52153"/>
    <w:rsid w:val="00B527AF"/>
    <w:rsid w:val="00B5380C"/>
    <w:rsid w:val="00B53D36"/>
    <w:rsid w:val="00B5444B"/>
    <w:rsid w:val="00B544BD"/>
    <w:rsid w:val="00B5500E"/>
    <w:rsid w:val="00B5507B"/>
    <w:rsid w:val="00B555FD"/>
    <w:rsid w:val="00B56C8C"/>
    <w:rsid w:val="00B573D1"/>
    <w:rsid w:val="00B60110"/>
    <w:rsid w:val="00B607ED"/>
    <w:rsid w:val="00B61FB6"/>
    <w:rsid w:val="00B622D0"/>
    <w:rsid w:val="00B6271B"/>
    <w:rsid w:val="00B62722"/>
    <w:rsid w:val="00B64477"/>
    <w:rsid w:val="00B64595"/>
    <w:rsid w:val="00B65751"/>
    <w:rsid w:val="00B65E28"/>
    <w:rsid w:val="00B66449"/>
    <w:rsid w:val="00B66622"/>
    <w:rsid w:val="00B66A42"/>
    <w:rsid w:val="00B6783D"/>
    <w:rsid w:val="00B67BAD"/>
    <w:rsid w:val="00B7128F"/>
    <w:rsid w:val="00B7144B"/>
    <w:rsid w:val="00B71DDB"/>
    <w:rsid w:val="00B722E0"/>
    <w:rsid w:val="00B72CC1"/>
    <w:rsid w:val="00B7338D"/>
    <w:rsid w:val="00B733F8"/>
    <w:rsid w:val="00B73771"/>
    <w:rsid w:val="00B73D4C"/>
    <w:rsid w:val="00B748CA"/>
    <w:rsid w:val="00B7508F"/>
    <w:rsid w:val="00B76448"/>
    <w:rsid w:val="00B76F08"/>
    <w:rsid w:val="00B76FB4"/>
    <w:rsid w:val="00B773A7"/>
    <w:rsid w:val="00B774BF"/>
    <w:rsid w:val="00B801CD"/>
    <w:rsid w:val="00B80356"/>
    <w:rsid w:val="00B80513"/>
    <w:rsid w:val="00B80760"/>
    <w:rsid w:val="00B80B85"/>
    <w:rsid w:val="00B80BEA"/>
    <w:rsid w:val="00B81AFF"/>
    <w:rsid w:val="00B81B0D"/>
    <w:rsid w:val="00B82C8E"/>
    <w:rsid w:val="00B839D2"/>
    <w:rsid w:val="00B8408D"/>
    <w:rsid w:val="00B846DD"/>
    <w:rsid w:val="00B84B66"/>
    <w:rsid w:val="00B8540B"/>
    <w:rsid w:val="00B85CB3"/>
    <w:rsid w:val="00B85F21"/>
    <w:rsid w:val="00B85FD9"/>
    <w:rsid w:val="00B874EF"/>
    <w:rsid w:val="00B87BE7"/>
    <w:rsid w:val="00B90810"/>
    <w:rsid w:val="00B919D8"/>
    <w:rsid w:val="00B91D0E"/>
    <w:rsid w:val="00B9253B"/>
    <w:rsid w:val="00B92FA2"/>
    <w:rsid w:val="00B93401"/>
    <w:rsid w:val="00B937DB"/>
    <w:rsid w:val="00B941E2"/>
    <w:rsid w:val="00B9505B"/>
    <w:rsid w:val="00B95DB2"/>
    <w:rsid w:val="00B96C43"/>
    <w:rsid w:val="00B96C79"/>
    <w:rsid w:val="00BA03BC"/>
    <w:rsid w:val="00BA03EA"/>
    <w:rsid w:val="00BA1285"/>
    <w:rsid w:val="00BA1B73"/>
    <w:rsid w:val="00BA1C5C"/>
    <w:rsid w:val="00BA2813"/>
    <w:rsid w:val="00BA3669"/>
    <w:rsid w:val="00BA36BF"/>
    <w:rsid w:val="00BA3CF3"/>
    <w:rsid w:val="00BA437D"/>
    <w:rsid w:val="00BA4390"/>
    <w:rsid w:val="00BA43CA"/>
    <w:rsid w:val="00BA457D"/>
    <w:rsid w:val="00BA5852"/>
    <w:rsid w:val="00BA5FD6"/>
    <w:rsid w:val="00BA653F"/>
    <w:rsid w:val="00BA7564"/>
    <w:rsid w:val="00BB0E28"/>
    <w:rsid w:val="00BB0FBF"/>
    <w:rsid w:val="00BB120F"/>
    <w:rsid w:val="00BB1810"/>
    <w:rsid w:val="00BB1C72"/>
    <w:rsid w:val="00BB1D5D"/>
    <w:rsid w:val="00BB2A1D"/>
    <w:rsid w:val="00BB3539"/>
    <w:rsid w:val="00BB4AD8"/>
    <w:rsid w:val="00BB4E65"/>
    <w:rsid w:val="00BB6455"/>
    <w:rsid w:val="00BB6474"/>
    <w:rsid w:val="00BB67B5"/>
    <w:rsid w:val="00BB6937"/>
    <w:rsid w:val="00BB6BA5"/>
    <w:rsid w:val="00BB7450"/>
    <w:rsid w:val="00BC04F3"/>
    <w:rsid w:val="00BC0AB5"/>
    <w:rsid w:val="00BC1381"/>
    <w:rsid w:val="00BC1EBC"/>
    <w:rsid w:val="00BC1F04"/>
    <w:rsid w:val="00BC1F48"/>
    <w:rsid w:val="00BC344B"/>
    <w:rsid w:val="00BC375E"/>
    <w:rsid w:val="00BC427D"/>
    <w:rsid w:val="00BC43A3"/>
    <w:rsid w:val="00BC4768"/>
    <w:rsid w:val="00BC4958"/>
    <w:rsid w:val="00BC4E23"/>
    <w:rsid w:val="00BC60DD"/>
    <w:rsid w:val="00BC6237"/>
    <w:rsid w:val="00BC66D1"/>
    <w:rsid w:val="00BC707A"/>
    <w:rsid w:val="00BC796A"/>
    <w:rsid w:val="00BD071A"/>
    <w:rsid w:val="00BD0D69"/>
    <w:rsid w:val="00BD0F23"/>
    <w:rsid w:val="00BD1B6D"/>
    <w:rsid w:val="00BD3D2A"/>
    <w:rsid w:val="00BD5FD5"/>
    <w:rsid w:val="00BD61AF"/>
    <w:rsid w:val="00BD673C"/>
    <w:rsid w:val="00BE0366"/>
    <w:rsid w:val="00BE0B31"/>
    <w:rsid w:val="00BE105A"/>
    <w:rsid w:val="00BE1147"/>
    <w:rsid w:val="00BE2B1F"/>
    <w:rsid w:val="00BE3ABB"/>
    <w:rsid w:val="00BE4680"/>
    <w:rsid w:val="00BE4FFE"/>
    <w:rsid w:val="00BE5DD2"/>
    <w:rsid w:val="00BE7A49"/>
    <w:rsid w:val="00BE7CF7"/>
    <w:rsid w:val="00BF04B4"/>
    <w:rsid w:val="00BF1078"/>
    <w:rsid w:val="00BF1A00"/>
    <w:rsid w:val="00BF29E4"/>
    <w:rsid w:val="00BF376F"/>
    <w:rsid w:val="00BF45B3"/>
    <w:rsid w:val="00BF4BF8"/>
    <w:rsid w:val="00BF7047"/>
    <w:rsid w:val="00BF7452"/>
    <w:rsid w:val="00C00875"/>
    <w:rsid w:val="00C00993"/>
    <w:rsid w:val="00C01A1F"/>
    <w:rsid w:val="00C01EC2"/>
    <w:rsid w:val="00C03177"/>
    <w:rsid w:val="00C0322E"/>
    <w:rsid w:val="00C03F82"/>
    <w:rsid w:val="00C04349"/>
    <w:rsid w:val="00C04586"/>
    <w:rsid w:val="00C0496F"/>
    <w:rsid w:val="00C04C0C"/>
    <w:rsid w:val="00C058EE"/>
    <w:rsid w:val="00C06251"/>
    <w:rsid w:val="00C06DE1"/>
    <w:rsid w:val="00C06E0B"/>
    <w:rsid w:val="00C06FE6"/>
    <w:rsid w:val="00C07CFA"/>
    <w:rsid w:val="00C10FDC"/>
    <w:rsid w:val="00C116B0"/>
    <w:rsid w:val="00C11ED0"/>
    <w:rsid w:val="00C128A6"/>
    <w:rsid w:val="00C12C02"/>
    <w:rsid w:val="00C13240"/>
    <w:rsid w:val="00C1388F"/>
    <w:rsid w:val="00C13A18"/>
    <w:rsid w:val="00C144C4"/>
    <w:rsid w:val="00C152E7"/>
    <w:rsid w:val="00C15B8A"/>
    <w:rsid w:val="00C15FE9"/>
    <w:rsid w:val="00C160E6"/>
    <w:rsid w:val="00C20551"/>
    <w:rsid w:val="00C207CB"/>
    <w:rsid w:val="00C212B9"/>
    <w:rsid w:val="00C2196E"/>
    <w:rsid w:val="00C21E98"/>
    <w:rsid w:val="00C22787"/>
    <w:rsid w:val="00C22DB1"/>
    <w:rsid w:val="00C230F6"/>
    <w:rsid w:val="00C23BDE"/>
    <w:rsid w:val="00C3018F"/>
    <w:rsid w:val="00C305DD"/>
    <w:rsid w:val="00C3074B"/>
    <w:rsid w:val="00C309A7"/>
    <w:rsid w:val="00C33E88"/>
    <w:rsid w:val="00C34707"/>
    <w:rsid w:val="00C359C4"/>
    <w:rsid w:val="00C36057"/>
    <w:rsid w:val="00C3623E"/>
    <w:rsid w:val="00C36615"/>
    <w:rsid w:val="00C367D2"/>
    <w:rsid w:val="00C375FC"/>
    <w:rsid w:val="00C3783B"/>
    <w:rsid w:val="00C40BE0"/>
    <w:rsid w:val="00C40E1A"/>
    <w:rsid w:val="00C422E8"/>
    <w:rsid w:val="00C425C1"/>
    <w:rsid w:val="00C43338"/>
    <w:rsid w:val="00C4448B"/>
    <w:rsid w:val="00C44797"/>
    <w:rsid w:val="00C4498A"/>
    <w:rsid w:val="00C45707"/>
    <w:rsid w:val="00C458EA"/>
    <w:rsid w:val="00C45FEB"/>
    <w:rsid w:val="00C46AE7"/>
    <w:rsid w:val="00C46F61"/>
    <w:rsid w:val="00C47366"/>
    <w:rsid w:val="00C478BD"/>
    <w:rsid w:val="00C47B0C"/>
    <w:rsid w:val="00C47DB1"/>
    <w:rsid w:val="00C50C4C"/>
    <w:rsid w:val="00C50EF0"/>
    <w:rsid w:val="00C51972"/>
    <w:rsid w:val="00C52A85"/>
    <w:rsid w:val="00C53AC1"/>
    <w:rsid w:val="00C542F2"/>
    <w:rsid w:val="00C54CAC"/>
    <w:rsid w:val="00C55298"/>
    <w:rsid w:val="00C55640"/>
    <w:rsid w:val="00C55951"/>
    <w:rsid w:val="00C56375"/>
    <w:rsid w:val="00C56F2D"/>
    <w:rsid w:val="00C57DEC"/>
    <w:rsid w:val="00C6049C"/>
    <w:rsid w:val="00C6128C"/>
    <w:rsid w:val="00C6152E"/>
    <w:rsid w:val="00C62B10"/>
    <w:rsid w:val="00C6344E"/>
    <w:rsid w:val="00C63718"/>
    <w:rsid w:val="00C6380F"/>
    <w:rsid w:val="00C63998"/>
    <w:rsid w:val="00C63A06"/>
    <w:rsid w:val="00C63C34"/>
    <w:rsid w:val="00C63F0D"/>
    <w:rsid w:val="00C647A5"/>
    <w:rsid w:val="00C65186"/>
    <w:rsid w:val="00C653CC"/>
    <w:rsid w:val="00C653E0"/>
    <w:rsid w:val="00C6586E"/>
    <w:rsid w:val="00C66529"/>
    <w:rsid w:val="00C675D2"/>
    <w:rsid w:val="00C67B0E"/>
    <w:rsid w:val="00C711CB"/>
    <w:rsid w:val="00C71582"/>
    <w:rsid w:val="00C715D4"/>
    <w:rsid w:val="00C725BB"/>
    <w:rsid w:val="00C72D9E"/>
    <w:rsid w:val="00C72FC0"/>
    <w:rsid w:val="00C734C9"/>
    <w:rsid w:val="00C73604"/>
    <w:rsid w:val="00C73A5F"/>
    <w:rsid w:val="00C7593B"/>
    <w:rsid w:val="00C76872"/>
    <w:rsid w:val="00C76B85"/>
    <w:rsid w:val="00C76D24"/>
    <w:rsid w:val="00C773EC"/>
    <w:rsid w:val="00C80436"/>
    <w:rsid w:val="00C80D08"/>
    <w:rsid w:val="00C816EA"/>
    <w:rsid w:val="00C82C87"/>
    <w:rsid w:val="00C82CB0"/>
    <w:rsid w:val="00C83D3E"/>
    <w:rsid w:val="00C84B92"/>
    <w:rsid w:val="00C84BE3"/>
    <w:rsid w:val="00C854CE"/>
    <w:rsid w:val="00C85797"/>
    <w:rsid w:val="00C85913"/>
    <w:rsid w:val="00C87425"/>
    <w:rsid w:val="00C876CD"/>
    <w:rsid w:val="00C91029"/>
    <w:rsid w:val="00C92A87"/>
    <w:rsid w:val="00C9405C"/>
    <w:rsid w:val="00C9426C"/>
    <w:rsid w:val="00C95153"/>
    <w:rsid w:val="00C9520E"/>
    <w:rsid w:val="00C95260"/>
    <w:rsid w:val="00C956EA"/>
    <w:rsid w:val="00C96ECB"/>
    <w:rsid w:val="00CA0D36"/>
    <w:rsid w:val="00CA0FAF"/>
    <w:rsid w:val="00CA108D"/>
    <w:rsid w:val="00CA1C2C"/>
    <w:rsid w:val="00CA20AE"/>
    <w:rsid w:val="00CA35BB"/>
    <w:rsid w:val="00CA5D31"/>
    <w:rsid w:val="00CA617D"/>
    <w:rsid w:val="00CA6B69"/>
    <w:rsid w:val="00CA71AC"/>
    <w:rsid w:val="00CA749D"/>
    <w:rsid w:val="00CA76A7"/>
    <w:rsid w:val="00CB0023"/>
    <w:rsid w:val="00CB0A5C"/>
    <w:rsid w:val="00CB2493"/>
    <w:rsid w:val="00CB2832"/>
    <w:rsid w:val="00CB4BC2"/>
    <w:rsid w:val="00CB4D95"/>
    <w:rsid w:val="00CB53A1"/>
    <w:rsid w:val="00CB53ED"/>
    <w:rsid w:val="00CB63E6"/>
    <w:rsid w:val="00CB6D37"/>
    <w:rsid w:val="00CB7DAD"/>
    <w:rsid w:val="00CB818D"/>
    <w:rsid w:val="00CC104D"/>
    <w:rsid w:val="00CC1276"/>
    <w:rsid w:val="00CC16CF"/>
    <w:rsid w:val="00CC2BE8"/>
    <w:rsid w:val="00CC34F6"/>
    <w:rsid w:val="00CC35CE"/>
    <w:rsid w:val="00CC3DAA"/>
    <w:rsid w:val="00CC4B5D"/>
    <w:rsid w:val="00CC4B8B"/>
    <w:rsid w:val="00CC5021"/>
    <w:rsid w:val="00CC57F2"/>
    <w:rsid w:val="00CC5987"/>
    <w:rsid w:val="00CC5BA5"/>
    <w:rsid w:val="00CC5D11"/>
    <w:rsid w:val="00CC5D27"/>
    <w:rsid w:val="00CD0416"/>
    <w:rsid w:val="00CD13FC"/>
    <w:rsid w:val="00CD1663"/>
    <w:rsid w:val="00CD2CEF"/>
    <w:rsid w:val="00CD2E04"/>
    <w:rsid w:val="00CD3228"/>
    <w:rsid w:val="00CD35BE"/>
    <w:rsid w:val="00CD3644"/>
    <w:rsid w:val="00CD3707"/>
    <w:rsid w:val="00CD3712"/>
    <w:rsid w:val="00CD3951"/>
    <w:rsid w:val="00CD452D"/>
    <w:rsid w:val="00CD565C"/>
    <w:rsid w:val="00CD585F"/>
    <w:rsid w:val="00CD6485"/>
    <w:rsid w:val="00CD7880"/>
    <w:rsid w:val="00CD78C4"/>
    <w:rsid w:val="00CE0397"/>
    <w:rsid w:val="00CE07B5"/>
    <w:rsid w:val="00CE1790"/>
    <w:rsid w:val="00CE18DB"/>
    <w:rsid w:val="00CE275E"/>
    <w:rsid w:val="00CE2CC1"/>
    <w:rsid w:val="00CE2EFC"/>
    <w:rsid w:val="00CE339B"/>
    <w:rsid w:val="00CE362A"/>
    <w:rsid w:val="00CE37B3"/>
    <w:rsid w:val="00CE3AB4"/>
    <w:rsid w:val="00CE6BB3"/>
    <w:rsid w:val="00CE770F"/>
    <w:rsid w:val="00CE7928"/>
    <w:rsid w:val="00CF0D40"/>
    <w:rsid w:val="00CF0D74"/>
    <w:rsid w:val="00CF1435"/>
    <w:rsid w:val="00CF1810"/>
    <w:rsid w:val="00CF1EC1"/>
    <w:rsid w:val="00CF227B"/>
    <w:rsid w:val="00CF2A72"/>
    <w:rsid w:val="00CF3A85"/>
    <w:rsid w:val="00CF41AD"/>
    <w:rsid w:val="00CF63A2"/>
    <w:rsid w:val="00CF6472"/>
    <w:rsid w:val="00CF7390"/>
    <w:rsid w:val="00D0093E"/>
    <w:rsid w:val="00D014A8"/>
    <w:rsid w:val="00D01A88"/>
    <w:rsid w:val="00D03856"/>
    <w:rsid w:val="00D03D18"/>
    <w:rsid w:val="00D0439B"/>
    <w:rsid w:val="00D05096"/>
    <w:rsid w:val="00D05556"/>
    <w:rsid w:val="00D05F14"/>
    <w:rsid w:val="00D06771"/>
    <w:rsid w:val="00D06902"/>
    <w:rsid w:val="00D069AC"/>
    <w:rsid w:val="00D06B00"/>
    <w:rsid w:val="00D06EC0"/>
    <w:rsid w:val="00D07EE5"/>
    <w:rsid w:val="00D1047D"/>
    <w:rsid w:val="00D10D48"/>
    <w:rsid w:val="00D11CEB"/>
    <w:rsid w:val="00D137D3"/>
    <w:rsid w:val="00D14898"/>
    <w:rsid w:val="00D1542E"/>
    <w:rsid w:val="00D163B7"/>
    <w:rsid w:val="00D1671C"/>
    <w:rsid w:val="00D17AC5"/>
    <w:rsid w:val="00D209D4"/>
    <w:rsid w:val="00D20BC0"/>
    <w:rsid w:val="00D21341"/>
    <w:rsid w:val="00D21C1E"/>
    <w:rsid w:val="00D21E98"/>
    <w:rsid w:val="00D226F0"/>
    <w:rsid w:val="00D2433A"/>
    <w:rsid w:val="00D2442F"/>
    <w:rsid w:val="00D24864"/>
    <w:rsid w:val="00D2502C"/>
    <w:rsid w:val="00D2528B"/>
    <w:rsid w:val="00D25391"/>
    <w:rsid w:val="00D2597B"/>
    <w:rsid w:val="00D27A35"/>
    <w:rsid w:val="00D31865"/>
    <w:rsid w:val="00D31DA0"/>
    <w:rsid w:val="00D334C2"/>
    <w:rsid w:val="00D335EC"/>
    <w:rsid w:val="00D34850"/>
    <w:rsid w:val="00D348C8"/>
    <w:rsid w:val="00D3550E"/>
    <w:rsid w:val="00D3684E"/>
    <w:rsid w:val="00D374AA"/>
    <w:rsid w:val="00D37E25"/>
    <w:rsid w:val="00D41043"/>
    <w:rsid w:val="00D411AE"/>
    <w:rsid w:val="00D419BD"/>
    <w:rsid w:val="00D41AC5"/>
    <w:rsid w:val="00D41EB8"/>
    <w:rsid w:val="00D42906"/>
    <w:rsid w:val="00D4356C"/>
    <w:rsid w:val="00D446F2"/>
    <w:rsid w:val="00D44DD6"/>
    <w:rsid w:val="00D44FC0"/>
    <w:rsid w:val="00D452DC"/>
    <w:rsid w:val="00D46A68"/>
    <w:rsid w:val="00D504B5"/>
    <w:rsid w:val="00D50EDA"/>
    <w:rsid w:val="00D520A2"/>
    <w:rsid w:val="00D5239A"/>
    <w:rsid w:val="00D5290B"/>
    <w:rsid w:val="00D52999"/>
    <w:rsid w:val="00D52DB8"/>
    <w:rsid w:val="00D54019"/>
    <w:rsid w:val="00D5412E"/>
    <w:rsid w:val="00D541BD"/>
    <w:rsid w:val="00D544B3"/>
    <w:rsid w:val="00D54573"/>
    <w:rsid w:val="00D55FE5"/>
    <w:rsid w:val="00D57133"/>
    <w:rsid w:val="00D61262"/>
    <w:rsid w:val="00D6149D"/>
    <w:rsid w:val="00D61C62"/>
    <w:rsid w:val="00D61F6B"/>
    <w:rsid w:val="00D629A3"/>
    <w:rsid w:val="00D62F56"/>
    <w:rsid w:val="00D64115"/>
    <w:rsid w:val="00D64194"/>
    <w:rsid w:val="00D64574"/>
    <w:rsid w:val="00D64607"/>
    <w:rsid w:val="00D64A1B"/>
    <w:rsid w:val="00D6529E"/>
    <w:rsid w:val="00D662E4"/>
    <w:rsid w:val="00D66556"/>
    <w:rsid w:val="00D67E17"/>
    <w:rsid w:val="00D704EF"/>
    <w:rsid w:val="00D70E37"/>
    <w:rsid w:val="00D71A11"/>
    <w:rsid w:val="00D71D0C"/>
    <w:rsid w:val="00D743BE"/>
    <w:rsid w:val="00D75081"/>
    <w:rsid w:val="00D7544A"/>
    <w:rsid w:val="00D758AB"/>
    <w:rsid w:val="00D76B59"/>
    <w:rsid w:val="00D76EEF"/>
    <w:rsid w:val="00D772D1"/>
    <w:rsid w:val="00D8033F"/>
    <w:rsid w:val="00D80B3F"/>
    <w:rsid w:val="00D80D7E"/>
    <w:rsid w:val="00D819E9"/>
    <w:rsid w:val="00D81FC2"/>
    <w:rsid w:val="00D820C4"/>
    <w:rsid w:val="00D82164"/>
    <w:rsid w:val="00D82388"/>
    <w:rsid w:val="00D8280B"/>
    <w:rsid w:val="00D82CEC"/>
    <w:rsid w:val="00D842BD"/>
    <w:rsid w:val="00D84C65"/>
    <w:rsid w:val="00D84CA6"/>
    <w:rsid w:val="00D84EC1"/>
    <w:rsid w:val="00D851CE"/>
    <w:rsid w:val="00D86603"/>
    <w:rsid w:val="00D9057A"/>
    <w:rsid w:val="00D907F7"/>
    <w:rsid w:val="00D93449"/>
    <w:rsid w:val="00D940F1"/>
    <w:rsid w:val="00D96676"/>
    <w:rsid w:val="00D96985"/>
    <w:rsid w:val="00DA01BC"/>
    <w:rsid w:val="00DA07F8"/>
    <w:rsid w:val="00DA0A67"/>
    <w:rsid w:val="00DA22C2"/>
    <w:rsid w:val="00DA24AB"/>
    <w:rsid w:val="00DA2904"/>
    <w:rsid w:val="00DA2ADD"/>
    <w:rsid w:val="00DA2CD2"/>
    <w:rsid w:val="00DA47DA"/>
    <w:rsid w:val="00DA4ABC"/>
    <w:rsid w:val="00DA4CE8"/>
    <w:rsid w:val="00DA4E5F"/>
    <w:rsid w:val="00DA4E6B"/>
    <w:rsid w:val="00DA5BB7"/>
    <w:rsid w:val="00DA606A"/>
    <w:rsid w:val="00DA6336"/>
    <w:rsid w:val="00DA6504"/>
    <w:rsid w:val="00DA6548"/>
    <w:rsid w:val="00DA6D2C"/>
    <w:rsid w:val="00DA70E3"/>
    <w:rsid w:val="00DA73E3"/>
    <w:rsid w:val="00DB0075"/>
    <w:rsid w:val="00DB0111"/>
    <w:rsid w:val="00DB0573"/>
    <w:rsid w:val="00DB0878"/>
    <w:rsid w:val="00DB14F8"/>
    <w:rsid w:val="00DB1EAA"/>
    <w:rsid w:val="00DB2916"/>
    <w:rsid w:val="00DB2CFC"/>
    <w:rsid w:val="00DB4372"/>
    <w:rsid w:val="00DB47FE"/>
    <w:rsid w:val="00DB58A4"/>
    <w:rsid w:val="00DB594C"/>
    <w:rsid w:val="00DB5F32"/>
    <w:rsid w:val="00DB6A2E"/>
    <w:rsid w:val="00DB6A49"/>
    <w:rsid w:val="00DB6FC2"/>
    <w:rsid w:val="00DB7611"/>
    <w:rsid w:val="00DB7E64"/>
    <w:rsid w:val="00DC0DC6"/>
    <w:rsid w:val="00DC165C"/>
    <w:rsid w:val="00DC1F86"/>
    <w:rsid w:val="00DC2014"/>
    <w:rsid w:val="00DC26A8"/>
    <w:rsid w:val="00DC28EB"/>
    <w:rsid w:val="00DC2C91"/>
    <w:rsid w:val="00DC2F8A"/>
    <w:rsid w:val="00DC3F2A"/>
    <w:rsid w:val="00DC44AB"/>
    <w:rsid w:val="00DC4AED"/>
    <w:rsid w:val="00DC5845"/>
    <w:rsid w:val="00DD145C"/>
    <w:rsid w:val="00DD2F0A"/>
    <w:rsid w:val="00DD35CD"/>
    <w:rsid w:val="00DD416A"/>
    <w:rsid w:val="00DD4250"/>
    <w:rsid w:val="00DD4B89"/>
    <w:rsid w:val="00DD78C3"/>
    <w:rsid w:val="00DE033E"/>
    <w:rsid w:val="00DE0927"/>
    <w:rsid w:val="00DE1908"/>
    <w:rsid w:val="00DE1B79"/>
    <w:rsid w:val="00DE1E27"/>
    <w:rsid w:val="00DE2F42"/>
    <w:rsid w:val="00DE3000"/>
    <w:rsid w:val="00DE300F"/>
    <w:rsid w:val="00DE356E"/>
    <w:rsid w:val="00DE360E"/>
    <w:rsid w:val="00DE3C91"/>
    <w:rsid w:val="00DE4846"/>
    <w:rsid w:val="00DE4E71"/>
    <w:rsid w:val="00DE6699"/>
    <w:rsid w:val="00DE7A02"/>
    <w:rsid w:val="00DE7B48"/>
    <w:rsid w:val="00DE7C0A"/>
    <w:rsid w:val="00DE7ED7"/>
    <w:rsid w:val="00DF271E"/>
    <w:rsid w:val="00DF276A"/>
    <w:rsid w:val="00DF292E"/>
    <w:rsid w:val="00DF3689"/>
    <w:rsid w:val="00DF3B87"/>
    <w:rsid w:val="00DF4C72"/>
    <w:rsid w:val="00DF563E"/>
    <w:rsid w:val="00DF5A65"/>
    <w:rsid w:val="00DF6504"/>
    <w:rsid w:val="00DF6506"/>
    <w:rsid w:val="00DF6D87"/>
    <w:rsid w:val="00DF76A3"/>
    <w:rsid w:val="00E002BC"/>
    <w:rsid w:val="00E00EC7"/>
    <w:rsid w:val="00E01E67"/>
    <w:rsid w:val="00E01FE3"/>
    <w:rsid w:val="00E03BC2"/>
    <w:rsid w:val="00E0575B"/>
    <w:rsid w:val="00E05A0D"/>
    <w:rsid w:val="00E05D5B"/>
    <w:rsid w:val="00E06377"/>
    <w:rsid w:val="00E0692E"/>
    <w:rsid w:val="00E072AB"/>
    <w:rsid w:val="00E07945"/>
    <w:rsid w:val="00E07B6C"/>
    <w:rsid w:val="00E07D33"/>
    <w:rsid w:val="00E10EFA"/>
    <w:rsid w:val="00E114FB"/>
    <w:rsid w:val="00E117BC"/>
    <w:rsid w:val="00E12FD4"/>
    <w:rsid w:val="00E13641"/>
    <w:rsid w:val="00E13A3F"/>
    <w:rsid w:val="00E164EA"/>
    <w:rsid w:val="00E23249"/>
    <w:rsid w:val="00E2336D"/>
    <w:rsid w:val="00E23457"/>
    <w:rsid w:val="00E23A95"/>
    <w:rsid w:val="00E2417E"/>
    <w:rsid w:val="00E250DB"/>
    <w:rsid w:val="00E264D8"/>
    <w:rsid w:val="00E27817"/>
    <w:rsid w:val="00E27960"/>
    <w:rsid w:val="00E30044"/>
    <w:rsid w:val="00E31B35"/>
    <w:rsid w:val="00E3232F"/>
    <w:rsid w:val="00E333FB"/>
    <w:rsid w:val="00E340E9"/>
    <w:rsid w:val="00E34194"/>
    <w:rsid w:val="00E34CCE"/>
    <w:rsid w:val="00E35A4F"/>
    <w:rsid w:val="00E36456"/>
    <w:rsid w:val="00E36FB9"/>
    <w:rsid w:val="00E37E1A"/>
    <w:rsid w:val="00E40EAC"/>
    <w:rsid w:val="00E40F89"/>
    <w:rsid w:val="00E41161"/>
    <w:rsid w:val="00E415E6"/>
    <w:rsid w:val="00E4183E"/>
    <w:rsid w:val="00E423CD"/>
    <w:rsid w:val="00E42FFE"/>
    <w:rsid w:val="00E43BF5"/>
    <w:rsid w:val="00E43E9D"/>
    <w:rsid w:val="00E44A6C"/>
    <w:rsid w:val="00E44E4E"/>
    <w:rsid w:val="00E44FB0"/>
    <w:rsid w:val="00E46ABB"/>
    <w:rsid w:val="00E46C29"/>
    <w:rsid w:val="00E46E11"/>
    <w:rsid w:val="00E46F14"/>
    <w:rsid w:val="00E5006B"/>
    <w:rsid w:val="00E510A7"/>
    <w:rsid w:val="00E512BD"/>
    <w:rsid w:val="00E51C39"/>
    <w:rsid w:val="00E5218B"/>
    <w:rsid w:val="00E52715"/>
    <w:rsid w:val="00E530B2"/>
    <w:rsid w:val="00E5458F"/>
    <w:rsid w:val="00E550AE"/>
    <w:rsid w:val="00E56A20"/>
    <w:rsid w:val="00E56A6F"/>
    <w:rsid w:val="00E56AC8"/>
    <w:rsid w:val="00E56DE9"/>
    <w:rsid w:val="00E6028E"/>
    <w:rsid w:val="00E60918"/>
    <w:rsid w:val="00E60B2D"/>
    <w:rsid w:val="00E6118F"/>
    <w:rsid w:val="00E6124C"/>
    <w:rsid w:val="00E61654"/>
    <w:rsid w:val="00E61EFA"/>
    <w:rsid w:val="00E62252"/>
    <w:rsid w:val="00E62351"/>
    <w:rsid w:val="00E6298A"/>
    <w:rsid w:val="00E629DF"/>
    <w:rsid w:val="00E62E5C"/>
    <w:rsid w:val="00E63223"/>
    <w:rsid w:val="00E63635"/>
    <w:rsid w:val="00E64641"/>
    <w:rsid w:val="00E65E07"/>
    <w:rsid w:val="00E66703"/>
    <w:rsid w:val="00E667D0"/>
    <w:rsid w:val="00E66A61"/>
    <w:rsid w:val="00E66D95"/>
    <w:rsid w:val="00E67121"/>
    <w:rsid w:val="00E67C35"/>
    <w:rsid w:val="00E67D9D"/>
    <w:rsid w:val="00E70FE8"/>
    <w:rsid w:val="00E71660"/>
    <w:rsid w:val="00E7191A"/>
    <w:rsid w:val="00E7220F"/>
    <w:rsid w:val="00E72C89"/>
    <w:rsid w:val="00E72D60"/>
    <w:rsid w:val="00E72DA2"/>
    <w:rsid w:val="00E73FBD"/>
    <w:rsid w:val="00E740A5"/>
    <w:rsid w:val="00E7441C"/>
    <w:rsid w:val="00E744D6"/>
    <w:rsid w:val="00E747CB"/>
    <w:rsid w:val="00E747CF"/>
    <w:rsid w:val="00E753D4"/>
    <w:rsid w:val="00E75404"/>
    <w:rsid w:val="00E76587"/>
    <w:rsid w:val="00E800A8"/>
    <w:rsid w:val="00E808E8"/>
    <w:rsid w:val="00E809C3"/>
    <w:rsid w:val="00E80ADF"/>
    <w:rsid w:val="00E80BAF"/>
    <w:rsid w:val="00E812A3"/>
    <w:rsid w:val="00E81598"/>
    <w:rsid w:val="00E81B9F"/>
    <w:rsid w:val="00E82A92"/>
    <w:rsid w:val="00E83BA0"/>
    <w:rsid w:val="00E850F3"/>
    <w:rsid w:val="00E857B7"/>
    <w:rsid w:val="00E85E54"/>
    <w:rsid w:val="00E8621A"/>
    <w:rsid w:val="00E86609"/>
    <w:rsid w:val="00E86BD3"/>
    <w:rsid w:val="00E86D2B"/>
    <w:rsid w:val="00E871FE"/>
    <w:rsid w:val="00E87E44"/>
    <w:rsid w:val="00E908BA"/>
    <w:rsid w:val="00E908F1"/>
    <w:rsid w:val="00E92D3D"/>
    <w:rsid w:val="00E92EDE"/>
    <w:rsid w:val="00E93A63"/>
    <w:rsid w:val="00E941B2"/>
    <w:rsid w:val="00E94D13"/>
    <w:rsid w:val="00E95586"/>
    <w:rsid w:val="00E96ADA"/>
    <w:rsid w:val="00E96EAC"/>
    <w:rsid w:val="00E9714D"/>
    <w:rsid w:val="00EA0ACE"/>
    <w:rsid w:val="00EA1182"/>
    <w:rsid w:val="00EA1CE2"/>
    <w:rsid w:val="00EA26A8"/>
    <w:rsid w:val="00EA3180"/>
    <w:rsid w:val="00EA364B"/>
    <w:rsid w:val="00EA36F8"/>
    <w:rsid w:val="00EA3B04"/>
    <w:rsid w:val="00EA4602"/>
    <w:rsid w:val="00EA5025"/>
    <w:rsid w:val="00EA5193"/>
    <w:rsid w:val="00EA5504"/>
    <w:rsid w:val="00EA5E06"/>
    <w:rsid w:val="00EA69E9"/>
    <w:rsid w:val="00EA79D3"/>
    <w:rsid w:val="00EB0295"/>
    <w:rsid w:val="00EB0CB5"/>
    <w:rsid w:val="00EB2B7D"/>
    <w:rsid w:val="00EB31A4"/>
    <w:rsid w:val="00EB4074"/>
    <w:rsid w:val="00EB4EAA"/>
    <w:rsid w:val="00EB4F17"/>
    <w:rsid w:val="00EB53CF"/>
    <w:rsid w:val="00EB541A"/>
    <w:rsid w:val="00EB671F"/>
    <w:rsid w:val="00EB71C5"/>
    <w:rsid w:val="00EB721E"/>
    <w:rsid w:val="00EB7601"/>
    <w:rsid w:val="00EB77A4"/>
    <w:rsid w:val="00EB78C1"/>
    <w:rsid w:val="00EB7C50"/>
    <w:rsid w:val="00EC1310"/>
    <w:rsid w:val="00EC15EA"/>
    <w:rsid w:val="00EC17D3"/>
    <w:rsid w:val="00EC1F28"/>
    <w:rsid w:val="00EC3437"/>
    <w:rsid w:val="00EC4E59"/>
    <w:rsid w:val="00EC6399"/>
    <w:rsid w:val="00EC64E2"/>
    <w:rsid w:val="00EC6844"/>
    <w:rsid w:val="00EC6E87"/>
    <w:rsid w:val="00EC722C"/>
    <w:rsid w:val="00EC733F"/>
    <w:rsid w:val="00EC74C7"/>
    <w:rsid w:val="00EC784B"/>
    <w:rsid w:val="00ED0137"/>
    <w:rsid w:val="00ED0FA2"/>
    <w:rsid w:val="00ED2AAB"/>
    <w:rsid w:val="00ED2B96"/>
    <w:rsid w:val="00ED3278"/>
    <w:rsid w:val="00ED3A75"/>
    <w:rsid w:val="00ED5145"/>
    <w:rsid w:val="00ED58F9"/>
    <w:rsid w:val="00ED689B"/>
    <w:rsid w:val="00ED6989"/>
    <w:rsid w:val="00ED7253"/>
    <w:rsid w:val="00ED7374"/>
    <w:rsid w:val="00ED7583"/>
    <w:rsid w:val="00EE0A9B"/>
    <w:rsid w:val="00EE1180"/>
    <w:rsid w:val="00EE1328"/>
    <w:rsid w:val="00EE1AF0"/>
    <w:rsid w:val="00EE1D6F"/>
    <w:rsid w:val="00EE1E25"/>
    <w:rsid w:val="00EE1EB1"/>
    <w:rsid w:val="00EE2AE4"/>
    <w:rsid w:val="00EE3879"/>
    <w:rsid w:val="00EE41D8"/>
    <w:rsid w:val="00EE4C8B"/>
    <w:rsid w:val="00EE6850"/>
    <w:rsid w:val="00EE6A55"/>
    <w:rsid w:val="00EE783A"/>
    <w:rsid w:val="00EE7B8C"/>
    <w:rsid w:val="00EE7D35"/>
    <w:rsid w:val="00EF1246"/>
    <w:rsid w:val="00EF1989"/>
    <w:rsid w:val="00EF203D"/>
    <w:rsid w:val="00EF2493"/>
    <w:rsid w:val="00EF3B2B"/>
    <w:rsid w:val="00EF3BB5"/>
    <w:rsid w:val="00EF3E44"/>
    <w:rsid w:val="00EF4C3B"/>
    <w:rsid w:val="00EF4D20"/>
    <w:rsid w:val="00EF4D88"/>
    <w:rsid w:val="00EF50B6"/>
    <w:rsid w:val="00EF5310"/>
    <w:rsid w:val="00EF533D"/>
    <w:rsid w:val="00EF5801"/>
    <w:rsid w:val="00EF5AA9"/>
    <w:rsid w:val="00EF5D7B"/>
    <w:rsid w:val="00EF6BE2"/>
    <w:rsid w:val="00EF6D0C"/>
    <w:rsid w:val="00EF7627"/>
    <w:rsid w:val="00EF767C"/>
    <w:rsid w:val="00EFD1D3"/>
    <w:rsid w:val="00F001BF"/>
    <w:rsid w:val="00F00D5E"/>
    <w:rsid w:val="00F02028"/>
    <w:rsid w:val="00F02407"/>
    <w:rsid w:val="00F0368E"/>
    <w:rsid w:val="00F03C52"/>
    <w:rsid w:val="00F03F24"/>
    <w:rsid w:val="00F04378"/>
    <w:rsid w:val="00F043BA"/>
    <w:rsid w:val="00F053E8"/>
    <w:rsid w:val="00F05889"/>
    <w:rsid w:val="00F058C2"/>
    <w:rsid w:val="00F059F3"/>
    <w:rsid w:val="00F0642A"/>
    <w:rsid w:val="00F06499"/>
    <w:rsid w:val="00F11BA8"/>
    <w:rsid w:val="00F120BF"/>
    <w:rsid w:val="00F12642"/>
    <w:rsid w:val="00F127E1"/>
    <w:rsid w:val="00F13461"/>
    <w:rsid w:val="00F13951"/>
    <w:rsid w:val="00F13A2A"/>
    <w:rsid w:val="00F14026"/>
    <w:rsid w:val="00F157E5"/>
    <w:rsid w:val="00F15FED"/>
    <w:rsid w:val="00F174E4"/>
    <w:rsid w:val="00F2053A"/>
    <w:rsid w:val="00F21281"/>
    <w:rsid w:val="00F216C2"/>
    <w:rsid w:val="00F24ADB"/>
    <w:rsid w:val="00F254A5"/>
    <w:rsid w:val="00F25CE7"/>
    <w:rsid w:val="00F26AE3"/>
    <w:rsid w:val="00F26C68"/>
    <w:rsid w:val="00F300F2"/>
    <w:rsid w:val="00F30FA4"/>
    <w:rsid w:val="00F31C5A"/>
    <w:rsid w:val="00F325EB"/>
    <w:rsid w:val="00F32747"/>
    <w:rsid w:val="00F34122"/>
    <w:rsid w:val="00F3466B"/>
    <w:rsid w:val="00F34C87"/>
    <w:rsid w:val="00F34EBC"/>
    <w:rsid w:val="00F3595F"/>
    <w:rsid w:val="00F35A33"/>
    <w:rsid w:val="00F35F40"/>
    <w:rsid w:val="00F379F4"/>
    <w:rsid w:val="00F4055B"/>
    <w:rsid w:val="00F41466"/>
    <w:rsid w:val="00F416E3"/>
    <w:rsid w:val="00F41822"/>
    <w:rsid w:val="00F44064"/>
    <w:rsid w:val="00F445B0"/>
    <w:rsid w:val="00F45BB3"/>
    <w:rsid w:val="00F45D93"/>
    <w:rsid w:val="00F4666E"/>
    <w:rsid w:val="00F46AFB"/>
    <w:rsid w:val="00F46F55"/>
    <w:rsid w:val="00F47E93"/>
    <w:rsid w:val="00F50076"/>
    <w:rsid w:val="00F5054B"/>
    <w:rsid w:val="00F50642"/>
    <w:rsid w:val="00F50BB3"/>
    <w:rsid w:val="00F51606"/>
    <w:rsid w:val="00F52CA5"/>
    <w:rsid w:val="00F52CE4"/>
    <w:rsid w:val="00F5356E"/>
    <w:rsid w:val="00F54E1C"/>
    <w:rsid w:val="00F553F2"/>
    <w:rsid w:val="00F569E9"/>
    <w:rsid w:val="00F56C73"/>
    <w:rsid w:val="00F572B2"/>
    <w:rsid w:val="00F57535"/>
    <w:rsid w:val="00F57B27"/>
    <w:rsid w:val="00F60172"/>
    <w:rsid w:val="00F61752"/>
    <w:rsid w:val="00F61FDA"/>
    <w:rsid w:val="00F6338E"/>
    <w:rsid w:val="00F6470B"/>
    <w:rsid w:val="00F654F2"/>
    <w:rsid w:val="00F65E05"/>
    <w:rsid w:val="00F673F7"/>
    <w:rsid w:val="00F67CF0"/>
    <w:rsid w:val="00F70D6C"/>
    <w:rsid w:val="00F71735"/>
    <w:rsid w:val="00F717AA"/>
    <w:rsid w:val="00F72034"/>
    <w:rsid w:val="00F72860"/>
    <w:rsid w:val="00F73197"/>
    <w:rsid w:val="00F742B1"/>
    <w:rsid w:val="00F746B0"/>
    <w:rsid w:val="00F74CCA"/>
    <w:rsid w:val="00F75417"/>
    <w:rsid w:val="00F77E8D"/>
    <w:rsid w:val="00F81664"/>
    <w:rsid w:val="00F82C01"/>
    <w:rsid w:val="00F8303C"/>
    <w:rsid w:val="00F84AE7"/>
    <w:rsid w:val="00F86263"/>
    <w:rsid w:val="00F9156B"/>
    <w:rsid w:val="00F9194C"/>
    <w:rsid w:val="00F91F1E"/>
    <w:rsid w:val="00F93572"/>
    <w:rsid w:val="00F93852"/>
    <w:rsid w:val="00F94711"/>
    <w:rsid w:val="00F94E18"/>
    <w:rsid w:val="00F94F83"/>
    <w:rsid w:val="00F95288"/>
    <w:rsid w:val="00F96C80"/>
    <w:rsid w:val="00F973E7"/>
    <w:rsid w:val="00F97F6C"/>
    <w:rsid w:val="00FA03AC"/>
    <w:rsid w:val="00FA1870"/>
    <w:rsid w:val="00FA20CB"/>
    <w:rsid w:val="00FA20D1"/>
    <w:rsid w:val="00FA23A3"/>
    <w:rsid w:val="00FA2FB4"/>
    <w:rsid w:val="00FA2FF7"/>
    <w:rsid w:val="00FA60C7"/>
    <w:rsid w:val="00FA6B09"/>
    <w:rsid w:val="00FB067A"/>
    <w:rsid w:val="00FB07D7"/>
    <w:rsid w:val="00FB0C34"/>
    <w:rsid w:val="00FB1018"/>
    <w:rsid w:val="00FB211E"/>
    <w:rsid w:val="00FB222E"/>
    <w:rsid w:val="00FB2D1F"/>
    <w:rsid w:val="00FB39FF"/>
    <w:rsid w:val="00FB3CBB"/>
    <w:rsid w:val="00FB4978"/>
    <w:rsid w:val="00FB4CF3"/>
    <w:rsid w:val="00FB51B2"/>
    <w:rsid w:val="00FB5745"/>
    <w:rsid w:val="00FB5C3A"/>
    <w:rsid w:val="00FB602D"/>
    <w:rsid w:val="00FB60F9"/>
    <w:rsid w:val="00FB71A7"/>
    <w:rsid w:val="00FB7A17"/>
    <w:rsid w:val="00FB7B2D"/>
    <w:rsid w:val="00FC065B"/>
    <w:rsid w:val="00FC1229"/>
    <w:rsid w:val="00FC2508"/>
    <w:rsid w:val="00FC25B9"/>
    <w:rsid w:val="00FC2AF6"/>
    <w:rsid w:val="00FC3945"/>
    <w:rsid w:val="00FC4CFA"/>
    <w:rsid w:val="00FC5C96"/>
    <w:rsid w:val="00FC5ECB"/>
    <w:rsid w:val="00FC6083"/>
    <w:rsid w:val="00FC64DD"/>
    <w:rsid w:val="00FC65B3"/>
    <w:rsid w:val="00FC6804"/>
    <w:rsid w:val="00FC74C2"/>
    <w:rsid w:val="00FC7B51"/>
    <w:rsid w:val="00FC7CE3"/>
    <w:rsid w:val="00FD0BBB"/>
    <w:rsid w:val="00FD1A12"/>
    <w:rsid w:val="00FD2AF3"/>
    <w:rsid w:val="00FD3691"/>
    <w:rsid w:val="00FD3F4D"/>
    <w:rsid w:val="00FD5737"/>
    <w:rsid w:val="00FD5FFA"/>
    <w:rsid w:val="00FD698B"/>
    <w:rsid w:val="00FD6D49"/>
    <w:rsid w:val="00FD7045"/>
    <w:rsid w:val="00FD7EEF"/>
    <w:rsid w:val="00FE057C"/>
    <w:rsid w:val="00FE2A4C"/>
    <w:rsid w:val="00FE2FBE"/>
    <w:rsid w:val="00FE3679"/>
    <w:rsid w:val="00FE41FF"/>
    <w:rsid w:val="00FE4CC4"/>
    <w:rsid w:val="00FE5ED4"/>
    <w:rsid w:val="00FE739E"/>
    <w:rsid w:val="00FE7861"/>
    <w:rsid w:val="00FE79E8"/>
    <w:rsid w:val="00FE7D9B"/>
    <w:rsid w:val="00FE7FB9"/>
    <w:rsid w:val="00FF053F"/>
    <w:rsid w:val="00FF0CBA"/>
    <w:rsid w:val="00FF11D3"/>
    <w:rsid w:val="00FF14C1"/>
    <w:rsid w:val="00FF252A"/>
    <w:rsid w:val="00FF274C"/>
    <w:rsid w:val="00FF3333"/>
    <w:rsid w:val="00FF35AF"/>
    <w:rsid w:val="00FF4730"/>
    <w:rsid w:val="00FF5631"/>
    <w:rsid w:val="00FF5AAE"/>
    <w:rsid w:val="00FF63E5"/>
    <w:rsid w:val="00FF64EE"/>
    <w:rsid w:val="00FF67E8"/>
    <w:rsid w:val="00FF70AC"/>
    <w:rsid w:val="00FF76E7"/>
    <w:rsid w:val="00FF7B7A"/>
    <w:rsid w:val="00FF7B8D"/>
    <w:rsid w:val="010F73B5"/>
    <w:rsid w:val="01125FAE"/>
    <w:rsid w:val="011716FF"/>
    <w:rsid w:val="0124DC97"/>
    <w:rsid w:val="0126DCE9"/>
    <w:rsid w:val="014222B6"/>
    <w:rsid w:val="016E66A1"/>
    <w:rsid w:val="017EA8C9"/>
    <w:rsid w:val="01823C70"/>
    <w:rsid w:val="01A9B6B0"/>
    <w:rsid w:val="01B89135"/>
    <w:rsid w:val="01BDA3F0"/>
    <w:rsid w:val="01CBA7F3"/>
    <w:rsid w:val="01D1336B"/>
    <w:rsid w:val="01D23C7A"/>
    <w:rsid w:val="01D4B8D6"/>
    <w:rsid w:val="01EBD072"/>
    <w:rsid w:val="020000C6"/>
    <w:rsid w:val="0201C4A0"/>
    <w:rsid w:val="020425FC"/>
    <w:rsid w:val="02295866"/>
    <w:rsid w:val="022E0337"/>
    <w:rsid w:val="0233429F"/>
    <w:rsid w:val="0238AFC9"/>
    <w:rsid w:val="024241A3"/>
    <w:rsid w:val="02449C54"/>
    <w:rsid w:val="0259B1DE"/>
    <w:rsid w:val="0284BAE4"/>
    <w:rsid w:val="0286D2F4"/>
    <w:rsid w:val="028A8F4E"/>
    <w:rsid w:val="0290A431"/>
    <w:rsid w:val="02940BBF"/>
    <w:rsid w:val="029A0618"/>
    <w:rsid w:val="029AB79D"/>
    <w:rsid w:val="029E1895"/>
    <w:rsid w:val="02A4FF69"/>
    <w:rsid w:val="02A568AE"/>
    <w:rsid w:val="02A88B02"/>
    <w:rsid w:val="02B1E715"/>
    <w:rsid w:val="02D127E6"/>
    <w:rsid w:val="02DE7615"/>
    <w:rsid w:val="02E95477"/>
    <w:rsid w:val="02F1037B"/>
    <w:rsid w:val="03007A0D"/>
    <w:rsid w:val="03030912"/>
    <w:rsid w:val="030847EC"/>
    <w:rsid w:val="03114F6E"/>
    <w:rsid w:val="031E650A"/>
    <w:rsid w:val="0337A77B"/>
    <w:rsid w:val="03500FFF"/>
    <w:rsid w:val="0354EE45"/>
    <w:rsid w:val="036A1B04"/>
    <w:rsid w:val="03777A28"/>
    <w:rsid w:val="03778FCE"/>
    <w:rsid w:val="03785EE7"/>
    <w:rsid w:val="0378B32B"/>
    <w:rsid w:val="038B4403"/>
    <w:rsid w:val="039F31EE"/>
    <w:rsid w:val="03AB64DA"/>
    <w:rsid w:val="03ABD29F"/>
    <w:rsid w:val="03ABE12A"/>
    <w:rsid w:val="03C75442"/>
    <w:rsid w:val="03C88BAF"/>
    <w:rsid w:val="03D2B852"/>
    <w:rsid w:val="03D6B94E"/>
    <w:rsid w:val="03E32A03"/>
    <w:rsid w:val="03E4D621"/>
    <w:rsid w:val="03E6D375"/>
    <w:rsid w:val="03FB0D07"/>
    <w:rsid w:val="03FBC665"/>
    <w:rsid w:val="040564D7"/>
    <w:rsid w:val="042B1AB4"/>
    <w:rsid w:val="0436D1D7"/>
    <w:rsid w:val="044A0070"/>
    <w:rsid w:val="044B23CD"/>
    <w:rsid w:val="044EA32F"/>
    <w:rsid w:val="04630D1D"/>
    <w:rsid w:val="046D38E7"/>
    <w:rsid w:val="04715226"/>
    <w:rsid w:val="048C827A"/>
    <w:rsid w:val="048F7C1A"/>
    <w:rsid w:val="04903348"/>
    <w:rsid w:val="04DAB14E"/>
    <w:rsid w:val="04E45299"/>
    <w:rsid w:val="04E452B1"/>
    <w:rsid w:val="04E7B113"/>
    <w:rsid w:val="04EA2B8E"/>
    <w:rsid w:val="04F8C777"/>
    <w:rsid w:val="050C26E8"/>
    <w:rsid w:val="0520F5DD"/>
    <w:rsid w:val="052B53D4"/>
    <w:rsid w:val="0534AB0E"/>
    <w:rsid w:val="05450DFA"/>
    <w:rsid w:val="0549082E"/>
    <w:rsid w:val="054FEFED"/>
    <w:rsid w:val="05502680"/>
    <w:rsid w:val="055C4722"/>
    <w:rsid w:val="0579DA70"/>
    <w:rsid w:val="05BBD11E"/>
    <w:rsid w:val="05BEF462"/>
    <w:rsid w:val="05C6EB15"/>
    <w:rsid w:val="05CA5CA2"/>
    <w:rsid w:val="05CBCEF3"/>
    <w:rsid w:val="05E0BCF3"/>
    <w:rsid w:val="05E24919"/>
    <w:rsid w:val="06030857"/>
    <w:rsid w:val="060A4F20"/>
    <w:rsid w:val="06117C0D"/>
    <w:rsid w:val="0612C46A"/>
    <w:rsid w:val="061E2BFE"/>
    <w:rsid w:val="06206F18"/>
    <w:rsid w:val="062104F9"/>
    <w:rsid w:val="0624D288"/>
    <w:rsid w:val="064594D0"/>
    <w:rsid w:val="064E9E16"/>
    <w:rsid w:val="065857EB"/>
    <w:rsid w:val="0668D2B3"/>
    <w:rsid w:val="06709F01"/>
    <w:rsid w:val="067852EC"/>
    <w:rsid w:val="067A72C4"/>
    <w:rsid w:val="0682F456"/>
    <w:rsid w:val="068767D1"/>
    <w:rsid w:val="068FF356"/>
    <w:rsid w:val="0696EF22"/>
    <w:rsid w:val="06A5340A"/>
    <w:rsid w:val="06A6EF0C"/>
    <w:rsid w:val="06B6A4BF"/>
    <w:rsid w:val="06B7DAC6"/>
    <w:rsid w:val="06C4E50F"/>
    <w:rsid w:val="06C78886"/>
    <w:rsid w:val="06C8D28A"/>
    <w:rsid w:val="06CEDF39"/>
    <w:rsid w:val="06D4AD11"/>
    <w:rsid w:val="06D59F2B"/>
    <w:rsid w:val="06DBF132"/>
    <w:rsid w:val="06E381EC"/>
    <w:rsid w:val="070513AE"/>
    <w:rsid w:val="07051647"/>
    <w:rsid w:val="070AB9B0"/>
    <w:rsid w:val="070E4DCC"/>
    <w:rsid w:val="073E5829"/>
    <w:rsid w:val="074335C9"/>
    <w:rsid w:val="0757634B"/>
    <w:rsid w:val="0759A3ED"/>
    <w:rsid w:val="076E7F1F"/>
    <w:rsid w:val="077A9A9B"/>
    <w:rsid w:val="07925110"/>
    <w:rsid w:val="079EEF9C"/>
    <w:rsid w:val="07B6F4BA"/>
    <w:rsid w:val="07BBA7EC"/>
    <w:rsid w:val="07BC7011"/>
    <w:rsid w:val="07D1B398"/>
    <w:rsid w:val="07DF200F"/>
    <w:rsid w:val="07E62A85"/>
    <w:rsid w:val="07F91F98"/>
    <w:rsid w:val="08042AC5"/>
    <w:rsid w:val="0808C0B3"/>
    <w:rsid w:val="0812B66A"/>
    <w:rsid w:val="08137F00"/>
    <w:rsid w:val="081987F5"/>
    <w:rsid w:val="0829B303"/>
    <w:rsid w:val="0830F649"/>
    <w:rsid w:val="083823EA"/>
    <w:rsid w:val="08459133"/>
    <w:rsid w:val="086A67FA"/>
    <w:rsid w:val="08716E0B"/>
    <w:rsid w:val="08756425"/>
    <w:rsid w:val="087DD7A4"/>
    <w:rsid w:val="0882D194"/>
    <w:rsid w:val="08A1E14F"/>
    <w:rsid w:val="08AD95F2"/>
    <w:rsid w:val="08B73334"/>
    <w:rsid w:val="08C345E4"/>
    <w:rsid w:val="08DD07B6"/>
    <w:rsid w:val="08E0B4DD"/>
    <w:rsid w:val="08EBDC47"/>
    <w:rsid w:val="08EC86B7"/>
    <w:rsid w:val="08F056A5"/>
    <w:rsid w:val="09008648"/>
    <w:rsid w:val="09045A8A"/>
    <w:rsid w:val="0913B17B"/>
    <w:rsid w:val="0923CD22"/>
    <w:rsid w:val="0929547D"/>
    <w:rsid w:val="093316E5"/>
    <w:rsid w:val="0937B597"/>
    <w:rsid w:val="09678683"/>
    <w:rsid w:val="0969AD62"/>
    <w:rsid w:val="098014D7"/>
    <w:rsid w:val="0986C598"/>
    <w:rsid w:val="09A9EC26"/>
    <w:rsid w:val="09CE8FE4"/>
    <w:rsid w:val="09D7C5A7"/>
    <w:rsid w:val="09DFCA78"/>
    <w:rsid w:val="09DFCABB"/>
    <w:rsid w:val="09DFD390"/>
    <w:rsid w:val="0A0B595B"/>
    <w:rsid w:val="0A1B0E74"/>
    <w:rsid w:val="0A232878"/>
    <w:rsid w:val="0A2AA13B"/>
    <w:rsid w:val="0A3CC8F6"/>
    <w:rsid w:val="0A415AE4"/>
    <w:rsid w:val="0A4F3C20"/>
    <w:rsid w:val="0A548C08"/>
    <w:rsid w:val="0A65E921"/>
    <w:rsid w:val="0A6776AF"/>
    <w:rsid w:val="0A83C1BA"/>
    <w:rsid w:val="0A9E9CD0"/>
    <w:rsid w:val="0AA1A3A7"/>
    <w:rsid w:val="0AA4B700"/>
    <w:rsid w:val="0AB9979D"/>
    <w:rsid w:val="0AD49815"/>
    <w:rsid w:val="0AE804F4"/>
    <w:rsid w:val="0AFDB88C"/>
    <w:rsid w:val="0B138088"/>
    <w:rsid w:val="0B20BE16"/>
    <w:rsid w:val="0B39B410"/>
    <w:rsid w:val="0B406175"/>
    <w:rsid w:val="0B4805FF"/>
    <w:rsid w:val="0B4F3B0A"/>
    <w:rsid w:val="0B576EB6"/>
    <w:rsid w:val="0B6B377A"/>
    <w:rsid w:val="0B6C1345"/>
    <w:rsid w:val="0B6C15D3"/>
    <w:rsid w:val="0B78DB87"/>
    <w:rsid w:val="0B8A9C81"/>
    <w:rsid w:val="0B8DC191"/>
    <w:rsid w:val="0BA06673"/>
    <w:rsid w:val="0BBB9FB3"/>
    <w:rsid w:val="0BBDCB22"/>
    <w:rsid w:val="0BC23CD5"/>
    <w:rsid w:val="0BCD890A"/>
    <w:rsid w:val="0BD47B19"/>
    <w:rsid w:val="0BD4CF18"/>
    <w:rsid w:val="0BDD23FC"/>
    <w:rsid w:val="0BDEFDAE"/>
    <w:rsid w:val="0BE9BDA0"/>
    <w:rsid w:val="0BE9C867"/>
    <w:rsid w:val="0BF05C69"/>
    <w:rsid w:val="0C1680C5"/>
    <w:rsid w:val="0C3D18E1"/>
    <w:rsid w:val="0C44FADB"/>
    <w:rsid w:val="0C487FC8"/>
    <w:rsid w:val="0C4CE6B6"/>
    <w:rsid w:val="0C5635B2"/>
    <w:rsid w:val="0C912E0C"/>
    <w:rsid w:val="0CA3D0C7"/>
    <w:rsid w:val="0CB3AD82"/>
    <w:rsid w:val="0CCD61B1"/>
    <w:rsid w:val="0CD05190"/>
    <w:rsid w:val="0CD70CD0"/>
    <w:rsid w:val="0CDC31D6"/>
    <w:rsid w:val="0CEB1C63"/>
    <w:rsid w:val="0CFDE861"/>
    <w:rsid w:val="0CFEE599"/>
    <w:rsid w:val="0D0C3D7E"/>
    <w:rsid w:val="0D195E36"/>
    <w:rsid w:val="0D1AB91B"/>
    <w:rsid w:val="0D1F9571"/>
    <w:rsid w:val="0D2E4B0E"/>
    <w:rsid w:val="0D36A7FB"/>
    <w:rsid w:val="0D3DEEA0"/>
    <w:rsid w:val="0D55E685"/>
    <w:rsid w:val="0D614792"/>
    <w:rsid w:val="0D64D47A"/>
    <w:rsid w:val="0D8469D7"/>
    <w:rsid w:val="0D88DAFE"/>
    <w:rsid w:val="0D920C28"/>
    <w:rsid w:val="0D9A09E7"/>
    <w:rsid w:val="0D9A45E2"/>
    <w:rsid w:val="0DB17821"/>
    <w:rsid w:val="0DB1CDC6"/>
    <w:rsid w:val="0DC25548"/>
    <w:rsid w:val="0DE41B92"/>
    <w:rsid w:val="0DF96CDE"/>
    <w:rsid w:val="0E282E59"/>
    <w:rsid w:val="0E363378"/>
    <w:rsid w:val="0E396E4E"/>
    <w:rsid w:val="0E3E5F4A"/>
    <w:rsid w:val="0E4246F1"/>
    <w:rsid w:val="0E54E600"/>
    <w:rsid w:val="0E5E6A9B"/>
    <w:rsid w:val="0E69F4E7"/>
    <w:rsid w:val="0E7FBEDD"/>
    <w:rsid w:val="0E8712D4"/>
    <w:rsid w:val="0E92E366"/>
    <w:rsid w:val="0E9A1381"/>
    <w:rsid w:val="0E9E29F8"/>
    <w:rsid w:val="0EA2197A"/>
    <w:rsid w:val="0ED0A91D"/>
    <w:rsid w:val="0EDF50AE"/>
    <w:rsid w:val="0EE653C0"/>
    <w:rsid w:val="0EFC2490"/>
    <w:rsid w:val="0F0653F1"/>
    <w:rsid w:val="0F14A8E7"/>
    <w:rsid w:val="0F1BE4C9"/>
    <w:rsid w:val="0F1C36D3"/>
    <w:rsid w:val="0F23897E"/>
    <w:rsid w:val="0F525E0C"/>
    <w:rsid w:val="0F58701B"/>
    <w:rsid w:val="0F5BAAC6"/>
    <w:rsid w:val="0F5D7D77"/>
    <w:rsid w:val="0F6BDCD1"/>
    <w:rsid w:val="0F88B87D"/>
    <w:rsid w:val="0F8DC71D"/>
    <w:rsid w:val="0F8E02EE"/>
    <w:rsid w:val="0F90429C"/>
    <w:rsid w:val="0F91B4A4"/>
    <w:rsid w:val="0FA2E2AB"/>
    <w:rsid w:val="0FC8764E"/>
    <w:rsid w:val="0FD427AE"/>
    <w:rsid w:val="0FD86CC3"/>
    <w:rsid w:val="0FDF966E"/>
    <w:rsid w:val="0FEC4A92"/>
    <w:rsid w:val="0FF70B2A"/>
    <w:rsid w:val="0FF715B1"/>
    <w:rsid w:val="0FFD5F34"/>
    <w:rsid w:val="1006D2AA"/>
    <w:rsid w:val="1013D298"/>
    <w:rsid w:val="101A2E3F"/>
    <w:rsid w:val="103F4A97"/>
    <w:rsid w:val="10476956"/>
    <w:rsid w:val="1053BC29"/>
    <w:rsid w:val="10547D02"/>
    <w:rsid w:val="10587CE5"/>
    <w:rsid w:val="10C9879F"/>
    <w:rsid w:val="10ECBF25"/>
    <w:rsid w:val="10F06D4C"/>
    <w:rsid w:val="10FF49AC"/>
    <w:rsid w:val="11003CBE"/>
    <w:rsid w:val="1103C1F8"/>
    <w:rsid w:val="110EC2C1"/>
    <w:rsid w:val="11143C71"/>
    <w:rsid w:val="111AF890"/>
    <w:rsid w:val="1129A6D5"/>
    <w:rsid w:val="1150D298"/>
    <w:rsid w:val="1156BCE2"/>
    <w:rsid w:val="117083BC"/>
    <w:rsid w:val="1174B5CC"/>
    <w:rsid w:val="11960DFF"/>
    <w:rsid w:val="1196740A"/>
    <w:rsid w:val="119B66BC"/>
    <w:rsid w:val="11A9E0EB"/>
    <w:rsid w:val="11AB8EE0"/>
    <w:rsid w:val="11AC0FEA"/>
    <w:rsid w:val="11B123B4"/>
    <w:rsid w:val="11B57A29"/>
    <w:rsid w:val="11C885D7"/>
    <w:rsid w:val="11D0FB80"/>
    <w:rsid w:val="11D19F91"/>
    <w:rsid w:val="11FFF50E"/>
    <w:rsid w:val="120C2FB7"/>
    <w:rsid w:val="12163D8B"/>
    <w:rsid w:val="121E313E"/>
    <w:rsid w:val="122E77E1"/>
    <w:rsid w:val="1237B458"/>
    <w:rsid w:val="1264A1EF"/>
    <w:rsid w:val="126838F0"/>
    <w:rsid w:val="127FC522"/>
    <w:rsid w:val="1280903D"/>
    <w:rsid w:val="128F62E8"/>
    <w:rsid w:val="12A3844C"/>
    <w:rsid w:val="12A8DFAA"/>
    <w:rsid w:val="12B0CD30"/>
    <w:rsid w:val="12B39B80"/>
    <w:rsid w:val="12C7E35E"/>
    <w:rsid w:val="1302A08A"/>
    <w:rsid w:val="1353F5B8"/>
    <w:rsid w:val="13603E53"/>
    <w:rsid w:val="1386AD01"/>
    <w:rsid w:val="139CCA2C"/>
    <w:rsid w:val="139DC3DB"/>
    <w:rsid w:val="13B27B26"/>
    <w:rsid w:val="13D6C5F1"/>
    <w:rsid w:val="13D8D579"/>
    <w:rsid w:val="13DAD423"/>
    <w:rsid w:val="13E5A3A4"/>
    <w:rsid w:val="13FD8D53"/>
    <w:rsid w:val="14067A71"/>
    <w:rsid w:val="140A7E16"/>
    <w:rsid w:val="14145D2D"/>
    <w:rsid w:val="142B3B71"/>
    <w:rsid w:val="1430C744"/>
    <w:rsid w:val="143D2A29"/>
    <w:rsid w:val="143EC70E"/>
    <w:rsid w:val="14465D7D"/>
    <w:rsid w:val="1449212C"/>
    <w:rsid w:val="144D3997"/>
    <w:rsid w:val="144E2976"/>
    <w:rsid w:val="1459D8BD"/>
    <w:rsid w:val="145B6C96"/>
    <w:rsid w:val="1464D994"/>
    <w:rsid w:val="146E7DBE"/>
    <w:rsid w:val="14730258"/>
    <w:rsid w:val="148BD809"/>
    <w:rsid w:val="14A5FB98"/>
    <w:rsid w:val="14C14920"/>
    <w:rsid w:val="14E83135"/>
    <w:rsid w:val="14E9BED5"/>
    <w:rsid w:val="14F0AE44"/>
    <w:rsid w:val="152708F8"/>
    <w:rsid w:val="15460FBE"/>
    <w:rsid w:val="154DD316"/>
    <w:rsid w:val="1552B99F"/>
    <w:rsid w:val="1557654E"/>
    <w:rsid w:val="155C6DA8"/>
    <w:rsid w:val="15667819"/>
    <w:rsid w:val="156C2FFB"/>
    <w:rsid w:val="1575043C"/>
    <w:rsid w:val="15754A1E"/>
    <w:rsid w:val="1587A46F"/>
    <w:rsid w:val="158AD5D5"/>
    <w:rsid w:val="15A64E77"/>
    <w:rsid w:val="15AC85D1"/>
    <w:rsid w:val="15B39F5E"/>
    <w:rsid w:val="15BA9B54"/>
    <w:rsid w:val="15D00222"/>
    <w:rsid w:val="15DAA09F"/>
    <w:rsid w:val="15F94906"/>
    <w:rsid w:val="15FF8420"/>
    <w:rsid w:val="161456B2"/>
    <w:rsid w:val="16234ACF"/>
    <w:rsid w:val="16420030"/>
    <w:rsid w:val="1653B823"/>
    <w:rsid w:val="165ABF57"/>
    <w:rsid w:val="165E479D"/>
    <w:rsid w:val="1683F6C3"/>
    <w:rsid w:val="1693F8D7"/>
    <w:rsid w:val="169AD0AF"/>
    <w:rsid w:val="16A3BBC3"/>
    <w:rsid w:val="16A60BC7"/>
    <w:rsid w:val="16A8A5B6"/>
    <w:rsid w:val="16B5C2B8"/>
    <w:rsid w:val="16BF772E"/>
    <w:rsid w:val="16D7DA84"/>
    <w:rsid w:val="17049BCE"/>
    <w:rsid w:val="172FCB86"/>
    <w:rsid w:val="17355095"/>
    <w:rsid w:val="173DFB41"/>
    <w:rsid w:val="17421ED8"/>
    <w:rsid w:val="174384AA"/>
    <w:rsid w:val="174676C6"/>
    <w:rsid w:val="176514B3"/>
    <w:rsid w:val="176D929B"/>
    <w:rsid w:val="176E8A1A"/>
    <w:rsid w:val="176FA3F8"/>
    <w:rsid w:val="17859447"/>
    <w:rsid w:val="178E2BC6"/>
    <w:rsid w:val="17A4F69A"/>
    <w:rsid w:val="17B18D71"/>
    <w:rsid w:val="17C305DF"/>
    <w:rsid w:val="17C32704"/>
    <w:rsid w:val="17E16EFB"/>
    <w:rsid w:val="17E92310"/>
    <w:rsid w:val="17EC52F8"/>
    <w:rsid w:val="17F87CD6"/>
    <w:rsid w:val="18093C44"/>
    <w:rsid w:val="1814609C"/>
    <w:rsid w:val="182EE8E8"/>
    <w:rsid w:val="1847AF91"/>
    <w:rsid w:val="1859E77B"/>
    <w:rsid w:val="186F7989"/>
    <w:rsid w:val="1871C0CD"/>
    <w:rsid w:val="187B2736"/>
    <w:rsid w:val="18882A39"/>
    <w:rsid w:val="1889B6AC"/>
    <w:rsid w:val="188A6D22"/>
    <w:rsid w:val="188F1774"/>
    <w:rsid w:val="18935A94"/>
    <w:rsid w:val="189C4DEC"/>
    <w:rsid w:val="18ABFF8C"/>
    <w:rsid w:val="18AC78BB"/>
    <w:rsid w:val="18AF8507"/>
    <w:rsid w:val="18B23EBA"/>
    <w:rsid w:val="18B6B631"/>
    <w:rsid w:val="18BEE4FC"/>
    <w:rsid w:val="18C90B65"/>
    <w:rsid w:val="18DF310C"/>
    <w:rsid w:val="18E44C66"/>
    <w:rsid w:val="190DCCF2"/>
    <w:rsid w:val="19237DE3"/>
    <w:rsid w:val="1923A9F1"/>
    <w:rsid w:val="19272C63"/>
    <w:rsid w:val="192839F1"/>
    <w:rsid w:val="19303C17"/>
    <w:rsid w:val="194203C3"/>
    <w:rsid w:val="194DEEAE"/>
    <w:rsid w:val="196AAC50"/>
    <w:rsid w:val="19749BA3"/>
    <w:rsid w:val="197FB23E"/>
    <w:rsid w:val="1980DA99"/>
    <w:rsid w:val="198B5B00"/>
    <w:rsid w:val="198E013F"/>
    <w:rsid w:val="19A03658"/>
    <w:rsid w:val="19A1C179"/>
    <w:rsid w:val="19D13A16"/>
    <w:rsid w:val="19E39689"/>
    <w:rsid w:val="19ECEF86"/>
    <w:rsid w:val="19FE1879"/>
    <w:rsid w:val="1A0A5B5E"/>
    <w:rsid w:val="1A1075FD"/>
    <w:rsid w:val="1A2AD33D"/>
    <w:rsid w:val="1A2F8244"/>
    <w:rsid w:val="1A3933FE"/>
    <w:rsid w:val="1A41BA18"/>
    <w:rsid w:val="1A4BAE04"/>
    <w:rsid w:val="1A4C08B0"/>
    <w:rsid w:val="1A59541B"/>
    <w:rsid w:val="1A69C4A3"/>
    <w:rsid w:val="1A7366A6"/>
    <w:rsid w:val="1A77095A"/>
    <w:rsid w:val="1A79F6A4"/>
    <w:rsid w:val="1AB29CE5"/>
    <w:rsid w:val="1AB49683"/>
    <w:rsid w:val="1ABEF64F"/>
    <w:rsid w:val="1AC105B2"/>
    <w:rsid w:val="1AE75056"/>
    <w:rsid w:val="1B05FCB3"/>
    <w:rsid w:val="1B094DC4"/>
    <w:rsid w:val="1B258FA1"/>
    <w:rsid w:val="1B3760C2"/>
    <w:rsid w:val="1B411BD1"/>
    <w:rsid w:val="1B4177D7"/>
    <w:rsid w:val="1B426645"/>
    <w:rsid w:val="1B61C37A"/>
    <w:rsid w:val="1B6E5419"/>
    <w:rsid w:val="1B777804"/>
    <w:rsid w:val="1B9D60CB"/>
    <w:rsid w:val="1BAD2F37"/>
    <w:rsid w:val="1BBD5D0F"/>
    <w:rsid w:val="1BC4A2C0"/>
    <w:rsid w:val="1BD3EEAE"/>
    <w:rsid w:val="1BDC78C8"/>
    <w:rsid w:val="1BE2CB09"/>
    <w:rsid w:val="1BFA55C0"/>
    <w:rsid w:val="1C083A66"/>
    <w:rsid w:val="1C19A3CC"/>
    <w:rsid w:val="1C206F2F"/>
    <w:rsid w:val="1C207DEF"/>
    <w:rsid w:val="1C2B3B2F"/>
    <w:rsid w:val="1C37A23A"/>
    <w:rsid w:val="1C3925BA"/>
    <w:rsid w:val="1C3B1C6A"/>
    <w:rsid w:val="1C44473F"/>
    <w:rsid w:val="1C47A900"/>
    <w:rsid w:val="1C49E223"/>
    <w:rsid w:val="1C4A5231"/>
    <w:rsid w:val="1C84F7A1"/>
    <w:rsid w:val="1C8581D9"/>
    <w:rsid w:val="1C8AADD4"/>
    <w:rsid w:val="1CA4FFBB"/>
    <w:rsid w:val="1CB7AAD2"/>
    <w:rsid w:val="1CBDD719"/>
    <w:rsid w:val="1CC1CBA1"/>
    <w:rsid w:val="1CC27567"/>
    <w:rsid w:val="1CC3437D"/>
    <w:rsid w:val="1CC46CF0"/>
    <w:rsid w:val="1CC81F6C"/>
    <w:rsid w:val="1CC8A025"/>
    <w:rsid w:val="1CD7CAB9"/>
    <w:rsid w:val="1CFE63B2"/>
    <w:rsid w:val="1D08C827"/>
    <w:rsid w:val="1D0F4821"/>
    <w:rsid w:val="1D1358FF"/>
    <w:rsid w:val="1D1921AF"/>
    <w:rsid w:val="1D22D94F"/>
    <w:rsid w:val="1D36194E"/>
    <w:rsid w:val="1D362FF7"/>
    <w:rsid w:val="1D3BF19E"/>
    <w:rsid w:val="1D3DA6C1"/>
    <w:rsid w:val="1D42B5CE"/>
    <w:rsid w:val="1D5E4B45"/>
    <w:rsid w:val="1D6A10E2"/>
    <w:rsid w:val="1D6A7927"/>
    <w:rsid w:val="1D6E160F"/>
    <w:rsid w:val="1D7556AB"/>
    <w:rsid w:val="1D79D48E"/>
    <w:rsid w:val="1D7F7919"/>
    <w:rsid w:val="1D9BC225"/>
    <w:rsid w:val="1D9D4421"/>
    <w:rsid w:val="1DA177FB"/>
    <w:rsid w:val="1DA70FF4"/>
    <w:rsid w:val="1DAD09D1"/>
    <w:rsid w:val="1DB79F30"/>
    <w:rsid w:val="1DBCC117"/>
    <w:rsid w:val="1DD2DA42"/>
    <w:rsid w:val="1DDE3134"/>
    <w:rsid w:val="1DE65F5A"/>
    <w:rsid w:val="1DF207CB"/>
    <w:rsid w:val="1DFCE1AF"/>
    <w:rsid w:val="1E08299A"/>
    <w:rsid w:val="1E0829DD"/>
    <w:rsid w:val="1E0D6F2D"/>
    <w:rsid w:val="1E2ED354"/>
    <w:rsid w:val="1E4520D4"/>
    <w:rsid w:val="1E45EFD2"/>
    <w:rsid w:val="1E4C2F8D"/>
    <w:rsid w:val="1E5E4F3C"/>
    <w:rsid w:val="1E636028"/>
    <w:rsid w:val="1E6F93BB"/>
    <w:rsid w:val="1E745276"/>
    <w:rsid w:val="1E74DB78"/>
    <w:rsid w:val="1E84EAD3"/>
    <w:rsid w:val="1E866F2D"/>
    <w:rsid w:val="1E86E136"/>
    <w:rsid w:val="1EB4F210"/>
    <w:rsid w:val="1EB65261"/>
    <w:rsid w:val="1EBA0F96"/>
    <w:rsid w:val="1EBE6DA6"/>
    <w:rsid w:val="1EBFFA81"/>
    <w:rsid w:val="1EC647B2"/>
    <w:rsid w:val="1ED9A53A"/>
    <w:rsid w:val="1EE508A6"/>
    <w:rsid w:val="1F011820"/>
    <w:rsid w:val="1F04A320"/>
    <w:rsid w:val="1F0C3938"/>
    <w:rsid w:val="1F1311E6"/>
    <w:rsid w:val="1F288721"/>
    <w:rsid w:val="1F312CEB"/>
    <w:rsid w:val="1F5A709E"/>
    <w:rsid w:val="1F6D8C1A"/>
    <w:rsid w:val="1F94C56D"/>
    <w:rsid w:val="1F9C46F9"/>
    <w:rsid w:val="1FA8F965"/>
    <w:rsid w:val="1FABE7C4"/>
    <w:rsid w:val="1FCF8B98"/>
    <w:rsid w:val="1FE49FDD"/>
    <w:rsid w:val="1FF13B77"/>
    <w:rsid w:val="1FF8F62C"/>
    <w:rsid w:val="200651C2"/>
    <w:rsid w:val="201F6D3B"/>
    <w:rsid w:val="2056938D"/>
    <w:rsid w:val="20574297"/>
    <w:rsid w:val="205BF2E1"/>
    <w:rsid w:val="20681C29"/>
    <w:rsid w:val="207B0217"/>
    <w:rsid w:val="2086AD6C"/>
    <w:rsid w:val="209CD8B4"/>
    <w:rsid w:val="20AA01AA"/>
    <w:rsid w:val="20AD51B2"/>
    <w:rsid w:val="20B0D756"/>
    <w:rsid w:val="20B5CCA4"/>
    <w:rsid w:val="20BACA14"/>
    <w:rsid w:val="20D39900"/>
    <w:rsid w:val="20E16BFB"/>
    <w:rsid w:val="20E9686C"/>
    <w:rsid w:val="20F77282"/>
    <w:rsid w:val="210B17AA"/>
    <w:rsid w:val="210E09D9"/>
    <w:rsid w:val="2119DAE1"/>
    <w:rsid w:val="21333E3E"/>
    <w:rsid w:val="2135E03B"/>
    <w:rsid w:val="213C69B8"/>
    <w:rsid w:val="21437C13"/>
    <w:rsid w:val="214DAF27"/>
    <w:rsid w:val="21513D46"/>
    <w:rsid w:val="21573061"/>
    <w:rsid w:val="21582006"/>
    <w:rsid w:val="21661FE7"/>
    <w:rsid w:val="2172944B"/>
    <w:rsid w:val="2173AA94"/>
    <w:rsid w:val="217828A9"/>
    <w:rsid w:val="2179FC0E"/>
    <w:rsid w:val="217A05DF"/>
    <w:rsid w:val="217C2D6E"/>
    <w:rsid w:val="2185C7B7"/>
    <w:rsid w:val="2196E97E"/>
    <w:rsid w:val="21CB5F04"/>
    <w:rsid w:val="21D8F96B"/>
    <w:rsid w:val="21DC264D"/>
    <w:rsid w:val="21E28BF7"/>
    <w:rsid w:val="2203C1B1"/>
    <w:rsid w:val="22177095"/>
    <w:rsid w:val="221EF765"/>
    <w:rsid w:val="22280F1C"/>
    <w:rsid w:val="223A8916"/>
    <w:rsid w:val="2240C402"/>
    <w:rsid w:val="22491BEE"/>
    <w:rsid w:val="22519D05"/>
    <w:rsid w:val="2277D9A4"/>
    <w:rsid w:val="22788617"/>
    <w:rsid w:val="228697F1"/>
    <w:rsid w:val="228C53A3"/>
    <w:rsid w:val="22AFF1DB"/>
    <w:rsid w:val="22E6FD60"/>
    <w:rsid w:val="230D0B32"/>
    <w:rsid w:val="231662AA"/>
    <w:rsid w:val="2317A7D1"/>
    <w:rsid w:val="232DF041"/>
    <w:rsid w:val="23482E53"/>
    <w:rsid w:val="23496441"/>
    <w:rsid w:val="2350B054"/>
    <w:rsid w:val="2374C9CC"/>
    <w:rsid w:val="237DCB70"/>
    <w:rsid w:val="238C746D"/>
    <w:rsid w:val="23948DBC"/>
    <w:rsid w:val="23ACE845"/>
    <w:rsid w:val="23B161B5"/>
    <w:rsid w:val="23CDDAFD"/>
    <w:rsid w:val="23D9CC08"/>
    <w:rsid w:val="23DC2713"/>
    <w:rsid w:val="23EB51D0"/>
    <w:rsid w:val="23F0770A"/>
    <w:rsid w:val="23FD69E7"/>
    <w:rsid w:val="240AE582"/>
    <w:rsid w:val="241514BD"/>
    <w:rsid w:val="2418F374"/>
    <w:rsid w:val="241ACB83"/>
    <w:rsid w:val="242EAB38"/>
    <w:rsid w:val="243AAAD2"/>
    <w:rsid w:val="244145EB"/>
    <w:rsid w:val="244F5225"/>
    <w:rsid w:val="24687694"/>
    <w:rsid w:val="246D80FD"/>
    <w:rsid w:val="246E5A7E"/>
    <w:rsid w:val="2470DAEB"/>
    <w:rsid w:val="24756E83"/>
    <w:rsid w:val="2475DA82"/>
    <w:rsid w:val="247E5FA4"/>
    <w:rsid w:val="2488E999"/>
    <w:rsid w:val="248EBFF7"/>
    <w:rsid w:val="2491A686"/>
    <w:rsid w:val="24A9BD5B"/>
    <w:rsid w:val="24B8D625"/>
    <w:rsid w:val="24EE76ED"/>
    <w:rsid w:val="24F16B9D"/>
    <w:rsid w:val="24F8E2F6"/>
    <w:rsid w:val="250E20A3"/>
    <w:rsid w:val="25109A2D"/>
    <w:rsid w:val="2522ECFF"/>
    <w:rsid w:val="252A552D"/>
    <w:rsid w:val="252B2EE3"/>
    <w:rsid w:val="252EA580"/>
    <w:rsid w:val="253C6C84"/>
    <w:rsid w:val="253D7B61"/>
    <w:rsid w:val="2555378B"/>
    <w:rsid w:val="255B8FD4"/>
    <w:rsid w:val="256A0AF7"/>
    <w:rsid w:val="256D9765"/>
    <w:rsid w:val="2578178A"/>
    <w:rsid w:val="2579AC08"/>
    <w:rsid w:val="257CCD8F"/>
    <w:rsid w:val="257ECC8D"/>
    <w:rsid w:val="259C981F"/>
    <w:rsid w:val="259CB31A"/>
    <w:rsid w:val="25A392F1"/>
    <w:rsid w:val="25AEE11C"/>
    <w:rsid w:val="25B02A2C"/>
    <w:rsid w:val="25B627D8"/>
    <w:rsid w:val="25B92785"/>
    <w:rsid w:val="25C5A847"/>
    <w:rsid w:val="25D23881"/>
    <w:rsid w:val="25D6FF92"/>
    <w:rsid w:val="25D8165F"/>
    <w:rsid w:val="25D867C6"/>
    <w:rsid w:val="25FF04A3"/>
    <w:rsid w:val="26090782"/>
    <w:rsid w:val="26113EE4"/>
    <w:rsid w:val="26145561"/>
    <w:rsid w:val="261DA7E5"/>
    <w:rsid w:val="26209860"/>
    <w:rsid w:val="262C0BF4"/>
    <w:rsid w:val="263FD9B6"/>
    <w:rsid w:val="265D090D"/>
    <w:rsid w:val="26659103"/>
    <w:rsid w:val="26696B7F"/>
    <w:rsid w:val="2688E9F5"/>
    <w:rsid w:val="26B1CD08"/>
    <w:rsid w:val="26BA84AB"/>
    <w:rsid w:val="26E0A0EF"/>
    <w:rsid w:val="26EA439B"/>
    <w:rsid w:val="26EFC51A"/>
    <w:rsid w:val="26F04280"/>
    <w:rsid w:val="26F08FB3"/>
    <w:rsid w:val="270B313E"/>
    <w:rsid w:val="271C8BD4"/>
    <w:rsid w:val="275C053B"/>
    <w:rsid w:val="2760EEF9"/>
    <w:rsid w:val="27840CF0"/>
    <w:rsid w:val="278B0E31"/>
    <w:rsid w:val="27A9A61F"/>
    <w:rsid w:val="27B2700A"/>
    <w:rsid w:val="27B6F9A9"/>
    <w:rsid w:val="27DC3486"/>
    <w:rsid w:val="27E28652"/>
    <w:rsid w:val="27F3D9F3"/>
    <w:rsid w:val="27FBADAA"/>
    <w:rsid w:val="27FE1626"/>
    <w:rsid w:val="28159897"/>
    <w:rsid w:val="281D2A4A"/>
    <w:rsid w:val="28204E5C"/>
    <w:rsid w:val="2825F93D"/>
    <w:rsid w:val="282E9E5B"/>
    <w:rsid w:val="28344E16"/>
    <w:rsid w:val="2873E204"/>
    <w:rsid w:val="288FF8C5"/>
    <w:rsid w:val="28955DF6"/>
    <w:rsid w:val="28B3BB13"/>
    <w:rsid w:val="28C20305"/>
    <w:rsid w:val="28D453DC"/>
    <w:rsid w:val="28DEE29D"/>
    <w:rsid w:val="293862A0"/>
    <w:rsid w:val="2939A1AD"/>
    <w:rsid w:val="293BABA1"/>
    <w:rsid w:val="294126C0"/>
    <w:rsid w:val="294B351F"/>
    <w:rsid w:val="295F1B47"/>
    <w:rsid w:val="2969CC70"/>
    <w:rsid w:val="296FF19A"/>
    <w:rsid w:val="2979560F"/>
    <w:rsid w:val="298447BD"/>
    <w:rsid w:val="29873F53"/>
    <w:rsid w:val="29B94CB8"/>
    <w:rsid w:val="29BB23C8"/>
    <w:rsid w:val="29E76A34"/>
    <w:rsid w:val="29EF4271"/>
    <w:rsid w:val="29EFB254"/>
    <w:rsid w:val="2A2981D7"/>
    <w:rsid w:val="2A36F92F"/>
    <w:rsid w:val="2A44DB46"/>
    <w:rsid w:val="2A47BC62"/>
    <w:rsid w:val="2A4E17A7"/>
    <w:rsid w:val="2A503EB2"/>
    <w:rsid w:val="2A5DC8B7"/>
    <w:rsid w:val="2A814AB5"/>
    <w:rsid w:val="2A84C876"/>
    <w:rsid w:val="2A867878"/>
    <w:rsid w:val="2A9284EB"/>
    <w:rsid w:val="2A9FA405"/>
    <w:rsid w:val="2AA7FF0D"/>
    <w:rsid w:val="2AAC9028"/>
    <w:rsid w:val="2AC4D1BE"/>
    <w:rsid w:val="2AD38DB1"/>
    <w:rsid w:val="2ADBE9F2"/>
    <w:rsid w:val="2AE7D084"/>
    <w:rsid w:val="2AF0AA81"/>
    <w:rsid w:val="2AF5A102"/>
    <w:rsid w:val="2B00D619"/>
    <w:rsid w:val="2B1C739A"/>
    <w:rsid w:val="2B1D38C4"/>
    <w:rsid w:val="2B2A3165"/>
    <w:rsid w:val="2B2F398C"/>
    <w:rsid w:val="2B36D830"/>
    <w:rsid w:val="2B5654C7"/>
    <w:rsid w:val="2B61BC66"/>
    <w:rsid w:val="2B69AC9F"/>
    <w:rsid w:val="2B7A289F"/>
    <w:rsid w:val="2B7FDBB1"/>
    <w:rsid w:val="2BB7FA2A"/>
    <w:rsid w:val="2BD15EF5"/>
    <w:rsid w:val="2BE10450"/>
    <w:rsid w:val="2BE2D357"/>
    <w:rsid w:val="2BEC4AC2"/>
    <w:rsid w:val="2BF099A4"/>
    <w:rsid w:val="2C0E72B8"/>
    <w:rsid w:val="2C1CDF48"/>
    <w:rsid w:val="2C1E8C61"/>
    <w:rsid w:val="2C29AE61"/>
    <w:rsid w:val="2C3E14B2"/>
    <w:rsid w:val="2C4F3125"/>
    <w:rsid w:val="2C52CFD4"/>
    <w:rsid w:val="2C5D6B5B"/>
    <w:rsid w:val="2C69F9AC"/>
    <w:rsid w:val="2C735CD3"/>
    <w:rsid w:val="2C87DE23"/>
    <w:rsid w:val="2C8EE6A9"/>
    <w:rsid w:val="2C931381"/>
    <w:rsid w:val="2CAB3770"/>
    <w:rsid w:val="2CAEBFF9"/>
    <w:rsid w:val="2CB6B728"/>
    <w:rsid w:val="2CB8021C"/>
    <w:rsid w:val="2CC1FC41"/>
    <w:rsid w:val="2CC24206"/>
    <w:rsid w:val="2CC59758"/>
    <w:rsid w:val="2CC5CA01"/>
    <w:rsid w:val="2CE7A7FC"/>
    <w:rsid w:val="2CF7B785"/>
    <w:rsid w:val="2CFBB2BB"/>
    <w:rsid w:val="2D00FFA4"/>
    <w:rsid w:val="2D02A814"/>
    <w:rsid w:val="2D0BE414"/>
    <w:rsid w:val="2D151A76"/>
    <w:rsid w:val="2D2DC544"/>
    <w:rsid w:val="2D2DFF55"/>
    <w:rsid w:val="2D47040A"/>
    <w:rsid w:val="2D4AB9A8"/>
    <w:rsid w:val="2D641E73"/>
    <w:rsid w:val="2D653529"/>
    <w:rsid w:val="2D66280F"/>
    <w:rsid w:val="2D69827B"/>
    <w:rsid w:val="2D72E1BD"/>
    <w:rsid w:val="2D764039"/>
    <w:rsid w:val="2D8A8B7F"/>
    <w:rsid w:val="2D93113F"/>
    <w:rsid w:val="2DA74BC5"/>
    <w:rsid w:val="2DAF3121"/>
    <w:rsid w:val="2DCCD428"/>
    <w:rsid w:val="2DCEAAEF"/>
    <w:rsid w:val="2DDCDB5B"/>
    <w:rsid w:val="2DDFEF69"/>
    <w:rsid w:val="2DF56C09"/>
    <w:rsid w:val="2E01C463"/>
    <w:rsid w:val="2E153CC4"/>
    <w:rsid w:val="2E1E4DA7"/>
    <w:rsid w:val="2E411AB7"/>
    <w:rsid w:val="2E4EF783"/>
    <w:rsid w:val="2E513773"/>
    <w:rsid w:val="2E5C3AF1"/>
    <w:rsid w:val="2E76424C"/>
    <w:rsid w:val="2E8FC335"/>
    <w:rsid w:val="2E9B196A"/>
    <w:rsid w:val="2EA2953C"/>
    <w:rsid w:val="2EBB6279"/>
    <w:rsid w:val="2ECA9EC4"/>
    <w:rsid w:val="2ED30360"/>
    <w:rsid w:val="2ED62D24"/>
    <w:rsid w:val="2EE7AD66"/>
    <w:rsid w:val="2EF351EF"/>
    <w:rsid w:val="2EF48B5E"/>
    <w:rsid w:val="2EFC8352"/>
    <w:rsid w:val="2F08FFB7"/>
    <w:rsid w:val="2F0B7F7D"/>
    <w:rsid w:val="2F0E8007"/>
    <w:rsid w:val="2F1883D6"/>
    <w:rsid w:val="2F3BE170"/>
    <w:rsid w:val="2F4CF5F8"/>
    <w:rsid w:val="2F56E9ED"/>
    <w:rsid w:val="2F5CA507"/>
    <w:rsid w:val="2F60E177"/>
    <w:rsid w:val="2F6F99EC"/>
    <w:rsid w:val="2F7C054A"/>
    <w:rsid w:val="2F9D3CD0"/>
    <w:rsid w:val="2FAF78CB"/>
    <w:rsid w:val="2FB0E9AA"/>
    <w:rsid w:val="2FC135CF"/>
    <w:rsid w:val="2FC91225"/>
    <w:rsid w:val="2FCA76EC"/>
    <w:rsid w:val="2FCAD255"/>
    <w:rsid w:val="2FD443FF"/>
    <w:rsid w:val="2FE21529"/>
    <w:rsid w:val="2FFEAC48"/>
    <w:rsid w:val="30014AE7"/>
    <w:rsid w:val="3004C6B0"/>
    <w:rsid w:val="301604ED"/>
    <w:rsid w:val="302B258A"/>
    <w:rsid w:val="30394A7A"/>
    <w:rsid w:val="304120E8"/>
    <w:rsid w:val="3043858F"/>
    <w:rsid w:val="305EB5F6"/>
    <w:rsid w:val="3068D5E5"/>
    <w:rsid w:val="306A7E7A"/>
    <w:rsid w:val="307F6C45"/>
    <w:rsid w:val="3095BB42"/>
    <w:rsid w:val="30AC9098"/>
    <w:rsid w:val="30AE5013"/>
    <w:rsid w:val="30B5242B"/>
    <w:rsid w:val="30BB722A"/>
    <w:rsid w:val="30D0259C"/>
    <w:rsid w:val="30DB0173"/>
    <w:rsid w:val="30E5AA7C"/>
    <w:rsid w:val="3102CC43"/>
    <w:rsid w:val="310E0112"/>
    <w:rsid w:val="311A399C"/>
    <w:rsid w:val="311C2726"/>
    <w:rsid w:val="314175F6"/>
    <w:rsid w:val="31570800"/>
    <w:rsid w:val="31687CD2"/>
    <w:rsid w:val="3168C043"/>
    <w:rsid w:val="31752867"/>
    <w:rsid w:val="3175E0BD"/>
    <w:rsid w:val="31ACFB5E"/>
    <w:rsid w:val="31B23D3C"/>
    <w:rsid w:val="31B54BD1"/>
    <w:rsid w:val="31C3D2BB"/>
    <w:rsid w:val="31CED631"/>
    <w:rsid w:val="31FA359C"/>
    <w:rsid w:val="32165561"/>
    <w:rsid w:val="323A0819"/>
    <w:rsid w:val="323A2D09"/>
    <w:rsid w:val="32425B6F"/>
    <w:rsid w:val="3246447C"/>
    <w:rsid w:val="325E334F"/>
    <w:rsid w:val="326FAE55"/>
    <w:rsid w:val="327FB2CB"/>
    <w:rsid w:val="328A3575"/>
    <w:rsid w:val="32A8894D"/>
    <w:rsid w:val="32BA71C4"/>
    <w:rsid w:val="32C561C6"/>
    <w:rsid w:val="32DD98F0"/>
    <w:rsid w:val="32DD9DC4"/>
    <w:rsid w:val="32F6798F"/>
    <w:rsid w:val="32FDE8D0"/>
    <w:rsid w:val="3300B2E7"/>
    <w:rsid w:val="3312270E"/>
    <w:rsid w:val="3314AD75"/>
    <w:rsid w:val="3316A565"/>
    <w:rsid w:val="331997F5"/>
    <w:rsid w:val="331AD8CB"/>
    <w:rsid w:val="3323E610"/>
    <w:rsid w:val="33261B81"/>
    <w:rsid w:val="3332AC73"/>
    <w:rsid w:val="334A2A5D"/>
    <w:rsid w:val="334E1B1C"/>
    <w:rsid w:val="337FCCB9"/>
    <w:rsid w:val="339290B1"/>
    <w:rsid w:val="33B099FD"/>
    <w:rsid w:val="33B29B3E"/>
    <w:rsid w:val="33B744A4"/>
    <w:rsid w:val="33D56993"/>
    <w:rsid w:val="33E1EEFB"/>
    <w:rsid w:val="33E3EDE3"/>
    <w:rsid w:val="33ED1E68"/>
    <w:rsid w:val="33EDC4E8"/>
    <w:rsid w:val="33F76936"/>
    <w:rsid w:val="3400D1FD"/>
    <w:rsid w:val="3402B709"/>
    <w:rsid w:val="3414DC1C"/>
    <w:rsid w:val="341FD0E6"/>
    <w:rsid w:val="343FFB87"/>
    <w:rsid w:val="34458748"/>
    <w:rsid w:val="344853B9"/>
    <w:rsid w:val="3453A441"/>
    <w:rsid w:val="34556DD3"/>
    <w:rsid w:val="3458B1EB"/>
    <w:rsid w:val="3460A776"/>
    <w:rsid w:val="3472A944"/>
    <w:rsid w:val="347C5454"/>
    <w:rsid w:val="34827F69"/>
    <w:rsid w:val="34847E48"/>
    <w:rsid w:val="3485BF4C"/>
    <w:rsid w:val="3492271E"/>
    <w:rsid w:val="3493E8D7"/>
    <w:rsid w:val="34990D1E"/>
    <w:rsid w:val="34A5140D"/>
    <w:rsid w:val="34AAD226"/>
    <w:rsid w:val="34AE01BD"/>
    <w:rsid w:val="34B0AAE0"/>
    <w:rsid w:val="34CB3C53"/>
    <w:rsid w:val="34DCDC86"/>
    <w:rsid w:val="34DCED89"/>
    <w:rsid w:val="350C6D99"/>
    <w:rsid w:val="3511974A"/>
    <w:rsid w:val="3517A915"/>
    <w:rsid w:val="35200F54"/>
    <w:rsid w:val="35282EBF"/>
    <w:rsid w:val="355074F0"/>
    <w:rsid w:val="3556EEEA"/>
    <w:rsid w:val="35608506"/>
    <w:rsid w:val="357A12A6"/>
    <w:rsid w:val="3589747C"/>
    <w:rsid w:val="358D2470"/>
    <w:rsid w:val="359C76CF"/>
    <w:rsid w:val="35B76789"/>
    <w:rsid w:val="35B7CD8F"/>
    <w:rsid w:val="35CC4363"/>
    <w:rsid w:val="35ED8AA6"/>
    <w:rsid w:val="35EF74A2"/>
    <w:rsid w:val="35F2FD93"/>
    <w:rsid w:val="35F6AC81"/>
    <w:rsid w:val="35FF56AD"/>
    <w:rsid w:val="361409F4"/>
    <w:rsid w:val="3614E719"/>
    <w:rsid w:val="36187834"/>
    <w:rsid w:val="36314D12"/>
    <w:rsid w:val="36432B8D"/>
    <w:rsid w:val="364E900D"/>
    <w:rsid w:val="365E8F2B"/>
    <w:rsid w:val="365E99D1"/>
    <w:rsid w:val="3664E60F"/>
    <w:rsid w:val="369A62F2"/>
    <w:rsid w:val="36A10C18"/>
    <w:rsid w:val="36A31DF2"/>
    <w:rsid w:val="36B2957A"/>
    <w:rsid w:val="36C613E2"/>
    <w:rsid w:val="36DB34DF"/>
    <w:rsid w:val="36DE1545"/>
    <w:rsid w:val="36FF195E"/>
    <w:rsid w:val="37117DBF"/>
    <w:rsid w:val="373913A1"/>
    <w:rsid w:val="37399C10"/>
    <w:rsid w:val="373C973B"/>
    <w:rsid w:val="37405CF1"/>
    <w:rsid w:val="37580191"/>
    <w:rsid w:val="3759C9F6"/>
    <w:rsid w:val="378473C9"/>
    <w:rsid w:val="378699CB"/>
    <w:rsid w:val="3796B91C"/>
    <w:rsid w:val="37A5B270"/>
    <w:rsid w:val="37BDCFFA"/>
    <w:rsid w:val="37C1C39D"/>
    <w:rsid w:val="37CFA7A4"/>
    <w:rsid w:val="37E3AF14"/>
    <w:rsid w:val="3846919D"/>
    <w:rsid w:val="384A09C6"/>
    <w:rsid w:val="384B0216"/>
    <w:rsid w:val="384D23E2"/>
    <w:rsid w:val="386CFB68"/>
    <w:rsid w:val="38757730"/>
    <w:rsid w:val="387B19D6"/>
    <w:rsid w:val="388D6C4F"/>
    <w:rsid w:val="389FCA40"/>
    <w:rsid w:val="38A678FC"/>
    <w:rsid w:val="38AFE1FD"/>
    <w:rsid w:val="38B02E19"/>
    <w:rsid w:val="38D11E12"/>
    <w:rsid w:val="38D19CFE"/>
    <w:rsid w:val="38D8547E"/>
    <w:rsid w:val="38DC2D52"/>
    <w:rsid w:val="390A6A5B"/>
    <w:rsid w:val="3912699E"/>
    <w:rsid w:val="391F3B19"/>
    <w:rsid w:val="39235428"/>
    <w:rsid w:val="392CB06E"/>
    <w:rsid w:val="39590BD6"/>
    <w:rsid w:val="395E9329"/>
    <w:rsid w:val="39623CEA"/>
    <w:rsid w:val="39658002"/>
    <w:rsid w:val="396759FA"/>
    <w:rsid w:val="39775CFD"/>
    <w:rsid w:val="39841E5D"/>
    <w:rsid w:val="3989F7C6"/>
    <w:rsid w:val="399BC71A"/>
    <w:rsid w:val="39A33016"/>
    <w:rsid w:val="39B3F5EA"/>
    <w:rsid w:val="39D52A54"/>
    <w:rsid w:val="39DA1488"/>
    <w:rsid w:val="39ED26C7"/>
    <w:rsid w:val="39EDE096"/>
    <w:rsid w:val="39EF06AA"/>
    <w:rsid w:val="39F24ADA"/>
    <w:rsid w:val="39F3E751"/>
    <w:rsid w:val="39F81E9F"/>
    <w:rsid w:val="39F9F905"/>
    <w:rsid w:val="39FFF1FE"/>
    <w:rsid w:val="3A079BBA"/>
    <w:rsid w:val="3A2047DD"/>
    <w:rsid w:val="3A42495D"/>
    <w:rsid w:val="3A512A88"/>
    <w:rsid w:val="3A5B6F17"/>
    <w:rsid w:val="3A6197DD"/>
    <w:rsid w:val="3A78F470"/>
    <w:rsid w:val="3A835AD1"/>
    <w:rsid w:val="3AA81EC3"/>
    <w:rsid w:val="3ACA7155"/>
    <w:rsid w:val="3ACC0DA7"/>
    <w:rsid w:val="3ADA0889"/>
    <w:rsid w:val="3ADD05CB"/>
    <w:rsid w:val="3AE1AB74"/>
    <w:rsid w:val="3AE246DC"/>
    <w:rsid w:val="3AE8CBEA"/>
    <w:rsid w:val="3AFC33E2"/>
    <w:rsid w:val="3B0978FA"/>
    <w:rsid w:val="3B0BDB78"/>
    <w:rsid w:val="3B12A2BD"/>
    <w:rsid w:val="3B2959E0"/>
    <w:rsid w:val="3B3DFA7A"/>
    <w:rsid w:val="3B60B717"/>
    <w:rsid w:val="3B64923F"/>
    <w:rsid w:val="3B71C15A"/>
    <w:rsid w:val="3B7462D1"/>
    <w:rsid w:val="3B9692C2"/>
    <w:rsid w:val="3B9ACA21"/>
    <w:rsid w:val="3B9DFEEF"/>
    <w:rsid w:val="3BBE067A"/>
    <w:rsid w:val="3BC24E3A"/>
    <w:rsid w:val="3BC4614D"/>
    <w:rsid w:val="3BC9340E"/>
    <w:rsid w:val="3BCA9524"/>
    <w:rsid w:val="3BD5D76B"/>
    <w:rsid w:val="3BDB2AB0"/>
    <w:rsid w:val="3BDE7C4B"/>
    <w:rsid w:val="3C020B32"/>
    <w:rsid w:val="3C08ADA8"/>
    <w:rsid w:val="3C0A2063"/>
    <w:rsid w:val="3C13CE14"/>
    <w:rsid w:val="3C1A0751"/>
    <w:rsid w:val="3C1D3A80"/>
    <w:rsid w:val="3C1D9F02"/>
    <w:rsid w:val="3C223347"/>
    <w:rsid w:val="3C2B147C"/>
    <w:rsid w:val="3C3BE47F"/>
    <w:rsid w:val="3C46F94E"/>
    <w:rsid w:val="3C4EB3F5"/>
    <w:rsid w:val="3C60DBF3"/>
    <w:rsid w:val="3C7D4142"/>
    <w:rsid w:val="3CA13A8E"/>
    <w:rsid w:val="3CA60E73"/>
    <w:rsid w:val="3CAB090A"/>
    <w:rsid w:val="3CAE731E"/>
    <w:rsid w:val="3CB0441E"/>
    <w:rsid w:val="3CBA8FC7"/>
    <w:rsid w:val="3CBA912D"/>
    <w:rsid w:val="3CBBC9F8"/>
    <w:rsid w:val="3CBECEBD"/>
    <w:rsid w:val="3CD87D70"/>
    <w:rsid w:val="3CE731B5"/>
    <w:rsid w:val="3CF6B485"/>
    <w:rsid w:val="3D009A46"/>
    <w:rsid w:val="3D0D5283"/>
    <w:rsid w:val="3D286B2F"/>
    <w:rsid w:val="3D31E019"/>
    <w:rsid w:val="3D4496E0"/>
    <w:rsid w:val="3D4B5A96"/>
    <w:rsid w:val="3D5A0427"/>
    <w:rsid w:val="3D795B3E"/>
    <w:rsid w:val="3D822FC3"/>
    <w:rsid w:val="3D8D69A9"/>
    <w:rsid w:val="3D9DBA1A"/>
    <w:rsid w:val="3DAB1709"/>
    <w:rsid w:val="3DAC88AC"/>
    <w:rsid w:val="3DAF9E75"/>
    <w:rsid w:val="3DCAD790"/>
    <w:rsid w:val="3DCB9838"/>
    <w:rsid w:val="3E01360F"/>
    <w:rsid w:val="3E0709C3"/>
    <w:rsid w:val="3E120299"/>
    <w:rsid w:val="3E195241"/>
    <w:rsid w:val="3E1C6C01"/>
    <w:rsid w:val="3E1F3818"/>
    <w:rsid w:val="3E203F1E"/>
    <w:rsid w:val="3E22E81E"/>
    <w:rsid w:val="3E2491DF"/>
    <w:rsid w:val="3E43658E"/>
    <w:rsid w:val="3E491B65"/>
    <w:rsid w:val="3E4942D9"/>
    <w:rsid w:val="3E4C147F"/>
    <w:rsid w:val="3E4CBF27"/>
    <w:rsid w:val="3E51B46C"/>
    <w:rsid w:val="3E59A1F2"/>
    <w:rsid w:val="3E757464"/>
    <w:rsid w:val="3E7FEF7C"/>
    <w:rsid w:val="3E8C915E"/>
    <w:rsid w:val="3E948C79"/>
    <w:rsid w:val="3E9589CB"/>
    <w:rsid w:val="3EA8ED0E"/>
    <w:rsid w:val="3EB02938"/>
    <w:rsid w:val="3ED69C1C"/>
    <w:rsid w:val="3EEA181B"/>
    <w:rsid w:val="3EF9F939"/>
    <w:rsid w:val="3EFA6201"/>
    <w:rsid w:val="3F0F61FD"/>
    <w:rsid w:val="3F1AB7F0"/>
    <w:rsid w:val="3F1D4B99"/>
    <w:rsid w:val="3F1D7D6F"/>
    <w:rsid w:val="3F271107"/>
    <w:rsid w:val="3F35898A"/>
    <w:rsid w:val="3F3AF835"/>
    <w:rsid w:val="3F521083"/>
    <w:rsid w:val="3F5B897A"/>
    <w:rsid w:val="3F5BDB22"/>
    <w:rsid w:val="3F6386A5"/>
    <w:rsid w:val="3F676899"/>
    <w:rsid w:val="3F7CB6F7"/>
    <w:rsid w:val="3F808FB4"/>
    <w:rsid w:val="3F92C9B7"/>
    <w:rsid w:val="3F95192A"/>
    <w:rsid w:val="3FA478F0"/>
    <w:rsid w:val="3FADBC42"/>
    <w:rsid w:val="3FB1BE5E"/>
    <w:rsid w:val="3FB5E4F9"/>
    <w:rsid w:val="3FC9184F"/>
    <w:rsid w:val="3FCAE20A"/>
    <w:rsid w:val="3FD1F7FC"/>
    <w:rsid w:val="3FD82F58"/>
    <w:rsid w:val="3FF97FC6"/>
    <w:rsid w:val="400945E5"/>
    <w:rsid w:val="4019C1DC"/>
    <w:rsid w:val="403292B3"/>
    <w:rsid w:val="4050C329"/>
    <w:rsid w:val="405D1F83"/>
    <w:rsid w:val="406DB032"/>
    <w:rsid w:val="407D0A05"/>
    <w:rsid w:val="4081755D"/>
    <w:rsid w:val="40929BDC"/>
    <w:rsid w:val="40A4BC85"/>
    <w:rsid w:val="40ABD3FC"/>
    <w:rsid w:val="40B1115F"/>
    <w:rsid w:val="40C3BB57"/>
    <w:rsid w:val="40C65F35"/>
    <w:rsid w:val="40DD2392"/>
    <w:rsid w:val="40DE1AEE"/>
    <w:rsid w:val="41058B2F"/>
    <w:rsid w:val="41081222"/>
    <w:rsid w:val="410B9757"/>
    <w:rsid w:val="41147369"/>
    <w:rsid w:val="412753B7"/>
    <w:rsid w:val="41289F20"/>
    <w:rsid w:val="412B0F2C"/>
    <w:rsid w:val="41444DC5"/>
    <w:rsid w:val="416ED890"/>
    <w:rsid w:val="417318CA"/>
    <w:rsid w:val="41819AEE"/>
    <w:rsid w:val="41879B75"/>
    <w:rsid w:val="4198D5FE"/>
    <w:rsid w:val="41A164F7"/>
    <w:rsid w:val="41A25E78"/>
    <w:rsid w:val="41A367AD"/>
    <w:rsid w:val="41BED138"/>
    <w:rsid w:val="41D9A6D8"/>
    <w:rsid w:val="41DF897D"/>
    <w:rsid w:val="41E7F8E1"/>
    <w:rsid w:val="41EF7BA5"/>
    <w:rsid w:val="41FCB527"/>
    <w:rsid w:val="420164FD"/>
    <w:rsid w:val="423C7889"/>
    <w:rsid w:val="4248CA6F"/>
    <w:rsid w:val="424FA4B6"/>
    <w:rsid w:val="4252532D"/>
    <w:rsid w:val="42557A9E"/>
    <w:rsid w:val="4269437F"/>
    <w:rsid w:val="427164DC"/>
    <w:rsid w:val="4272035C"/>
    <w:rsid w:val="428D42CC"/>
    <w:rsid w:val="42B10147"/>
    <w:rsid w:val="42DC86F1"/>
    <w:rsid w:val="42E37368"/>
    <w:rsid w:val="42E9DBE6"/>
    <w:rsid w:val="42F729CD"/>
    <w:rsid w:val="42FC15A4"/>
    <w:rsid w:val="430149DE"/>
    <w:rsid w:val="430A0134"/>
    <w:rsid w:val="430FB650"/>
    <w:rsid w:val="430FE00A"/>
    <w:rsid w:val="4317FA0E"/>
    <w:rsid w:val="432D57EF"/>
    <w:rsid w:val="43339998"/>
    <w:rsid w:val="4344B200"/>
    <w:rsid w:val="4354F08D"/>
    <w:rsid w:val="438E84E1"/>
    <w:rsid w:val="4394D5C2"/>
    <w:rsid w:val="4399FE5C"/>
    <w:rsid w:val="439C2CC5"/>
    <w:rsid w:val="439F5AEE"/>
    <w:rsid w:val="43A62FDD"/>
    <w:rsid w:val="43A6BFE0"/>
    <w:rsid w:val="43A82475"/>
    <w:rsid w:val="43B8CFDA"/>
    <w:rsid w:val="43BC984D"/>
    <w:rsid w:val="43D8CE01"/>
    <w:rsid w:val="43DB26C4"/>
    <w:rsid w:val="43DEE240"/>
    <w:rsid w:val="43F294A4"/>
    <w:rsid w:val="44038DC8"/>
    <w:rsid w:val="44143FA8"/>
    <w:rsid w:val="44162CFF"/>
    <w:rsid w:val="44186970"/>
    <w:rsid w:val="442B7578"/>
    <w:rsid w:val="4432054C"/>
    <w:rsid w:val="444451C7"/>
    <w:rsid w:val="44472A03"/>
    <w:rsid w:val="444F30BC"/>
    <w:rsid w:val="44574B64"/>
    <w:rsid w:val="44628F9E"/>
    <w:rsid w:val="447D1380"/>
    <w:rsid w:val="449277DB"/>
    <w:rsid w:val="44A0931E"/>
    <w:rsid w:val="44A22DA6"/>
    <w:rsid w:val="44C12E6C"/>
    <w:rsid w:val="44D0B75F"/>
    <w:rsid w:val="44D42A42"/>
    <w:rsid w:val="44E6B6AC"/>
    <w:rsid w:val="44FB28AA"/>
    <w:rsid w:val="44FDFB12"/>
    <w:rsid w:val="45054482"/>
    <w:rsid w:val="4536039A"/>
    <w:rsid w:val="453B02EC"/>
    <w:rsid w:val="4547379B"/>
    <w:rsid w:val="4556D8AA"/>
    <w:rsid w:val="456F3479"/>
    <w:rsid w:val="457777E6"/>
    <w:rsid w:val="457DAC1F"/>
    <w:rsid w:val="45874578"/>
    <w:rsid w:val="459EDA45"/>
    <w:rsid w:val="459F0419"/>
    <w:rsid w:val="45B6D85E"/>
    <w:rsid w:val="45BAB05A"/>
    <w:rsid w:val="45C45EC1"/>
    <w:rsid w:val="45CC20A6"/>
    <w:rsid w:val="460398ED"/>
    <w:rsid w:val="4608546F"/>
    <w:rsid w:val="4627D2C5"/>
    <w:rsid w:val="462B5D8A"/>
    <w:rsid w:val="465B5449"/>
    <w:rsid w:val="465F15E0"/>
    <w:rsid w:val="468A26ED"/>
    <w:rsid w:val="46BC83CC"/>
    <w:rsid w:val="46D160E2"/>
    <w:rsid w:val="46E449B3"/>
    <w:rsid w:val="46E4AE9C"/>
    <w:rsid w:val="4708E315"/>
    <w:rsid w:val="470A73D4"/>
    <w:rsid w:val="47163F72"/>
    <w:rsid w:val="471EAD2D"/>
    <w:rsid w:val="4720CC65"/>
    <w:rsid w:val="472B9EBE"/>
    <w:rsid w:val="473CF7A2"/>
    <w:rsid w:val="474B9ED8"/>
    <w:rsid w:val="474F1E0B"/>
    <w:rsid w:val="474F3E23"/>
    <w:rsid w:val="4750637D"/>
    <w:rsid w:val="4755ABA9"/>
    <w:rsid w:val="475F0D12"/>
    <w:rsid w:val="4788E485"/>
    <w:rsid w:val="4790F445"/>
    <w:rsid w:val="47A50E59"/>
    <w:rsid w:val="47A7B8A1"/>
    <w:rsid w:val="47B236EB"/>
    <w:rsid w:val="47BD6608"/>
    <w:rsid w:val="47C5DD2B"/>
    <w:rsid w:val="47CC0B55"/>
    <w:rsid w:val="47E3413D"/>
    <w:rsid w:val="47FCA608"/>
    <w:rsid w:val="480BD64B"/>
    <w:rsid w:val="48217574"/>
    <w:rsid w:val="48277F88"/>
    <w:rsid w:val="483FFB1B"/>
    <w:rsid w:val="48521C27"/>
    <w:rsid w:val="4865A087"/>
    <w:rsid w:val="48691ECD"/>
    <w:rsid w:val="487C413D"/>
    <w:rsid w:val="487FCB64"/>
    <w:rsid w:val="488B3C8C"/>
    <w:rsid w:val="4895D4D4"/>
    <w:rsid w:val="489FA494"/>
    <w:rsid w:val="48A4B376"/>
    <w:rsid w:val="48A5F884"/>
    <w:rsid w:val="48A68DC0"/>
    <w:rsid w:val="48A7C896"/>
    <w:rsid w:val="48BC9CC6"/>
    <w:rsid w:val="48F0260D"/>
    <w:rsid w:val="48FE85B7"/>
    <w:rsid w:val="490D2206"/>
    <w:rsid w:val="49333AAC"/>
    <w:rsid w:val="493E41DE"/>
    <w:rsid w:val="49425896"/>
    <w:rsid w:val="495103D2"/>
    <w:rsid w:val="4965E941"/>
    <w:rsid w:val="497C0397"/>
    <w:rsid w:val="4982F6E9"/>
    <w:rsid w:val="4987EA20"/>
    <w:rsid w:val="498A0437"/>
    <w:rsid w:val="498F8D7C"/>
    <w:rsid w:val="49900248"/>
    <w:rsid w:val="4993E487"/>
    <w:rsid w:val="49C78B7D"/>
    <w:rsid w:val="49C9E7CE"/>
    <w:rsid w:val="49CF4D69"/>
    <w:rsid w:val="49E46931"/>
    <w:rsid w:val="49F7752E"/>
    <w:rsid w:val="4A066611"/>
    <w:rsid w:val="4A201AE9"/>
    <w:rsid w:val="4A26317B"/>
    <w:rsid w:val="4A26FE79"/>
    <w:rsid w:val="4A3A33A9"/>
    <w:rsid w:val="4A4644F0"/>
    <w:rsid w:val="4A4BBFC9"/>
    <w:rsid w:val="4A5086FD"/>
    <w:rsid w:val="4A571ED3"/>
    <w:rsid w:val="4A5BDE7D"/>
    <w:rsid w:val="4A625B11"/>
    <w:rsid w:val="4A646897"/>
    <w:rsid w:val="4A8BF66E"/>
    <w:rsid w:val="4A9B3E41"/>
    <w:rsid w:val="4ACD8F42"/>
    <w:rsid w:val="4AE8FEF7"/>
    <w:rsid w:val="4AFA0B3A"/>
    <w:rsid w:val="4B022B99"/>
    <w:rsid w:val="4B08660D"/>
    <w:rsid w:val="4B0CD3BE"/>
    <w:rsid w:val="4B116F2A"/>
    <w:rsid w:val="4B17AF3E"/>
    <w:rsid w:val="4B18FACC"/>
    <w:rsid w:val="4B1BA2B4"/>
    <w:rsid w:val="4B1F5D12"/>
    <w:rsid w:val="4B2EBC5A"/>
    <w:rsid w:val="4B4581A1"/>
    <w:rsid w:val="4B497AD7"/>
    <w:rsid w:val="4B57C948"/>
    <w:rsid w:val="4B5CE4CF"/>
    <w:rsid w:val="4B5FA912"/>
    <w:rsid w:val="4B867C23"/>
    <w:rsid w:val="4B8C982F"/>
    <w:rsid w:val="4B9BDAEC"/>
    <w:rsid w:val="4B9FAB90"/>
    <w:rsid w:val="4BA5E304"/>
    <w:rsid w:val="4BA99EC1"/>
    <w:rsid w:val="4BAE7DA5"/>
    <w:rsid w:val="4BBA97BB"/>
    <w:rsid w:val="4BCECB45"/>
    <w:rsid w:val="4BDCDCDC"/>
    <w:rsid w:val="4BE1821C"/>
    <w:rsid w:val="4BE8B58C"/>
    <w:rsid w:val="4BF0DEAD"/>
    <w:rsid w:val="4C0583B1"/>
    <w:rsid w:val="4C071BD0"/>
    <w:rsid w:val="4C0C4C04"/>
    <w:rsid w:val="4C1968D0"/>
    <w:rsid w:val="4C20AF41"/>
    <w:rsid w:val="4C3FEF24"/>
    <w:rsid w:val="4CADE078"/>
    <w:rsid w:val="4CBB6D25"/>
    <w:rsid w:val="4CBB8516"/>
    <w:rsid w:val="4CCC1BC3"/>
    <w:rsid w:val="4CD57FB5"/>
    <w:rsid w:val="4CE8007B"/>
    <w:rsid w:val="4CF1FEBB"/>
    <w:rsid w:val="4CF8B0A8"/>
    <w:rsid w:val="4D006B9F"/>
    <w:rsid w:val="4D06CC0F"/>
    <w:rsid w:val="4D112BD2"/>
    <w:rsid w:val="4D1C4334"/>
    <w:rsid w:val="4D1D9D84"/>
    <w:rsid w:val="4D25336A"/>
    <w:rsid w:val="4D465FE6"/>
    <w:rsid w:val="4D62D7E7"/>
    <w:rsid w:val="4D6FE5D0"/>
    <w:rsid w:val="4D980F1D"/>
    <w:rsid w:val="4DA44EAD"/>
    <w:rsid w:val="4DA56278"/>
    <w:rsid w:val="4DA9FC90"/>
    <w:rsid w:val="4DB62545"/>
    <w:rsid w:val="4DBAC93B"/>
    <w:rsid w:val="4DD1BF5D"/>
    <w:rsid w:val="4DDB4BE1"/>
    <w:rsid w:val="4DEAEC83"/>
    <w:rsid w:val="4DEEEE17"/>
    <w:rsid w:val="4DF92E7E"/>
    <w:rsid w:val="4E0F9353"/>
    <w:rsid w:val="4E1C00F2"/>
    <w:rsid w:val="4E491D9A"/>
    <w:rsid w:val="4E5AB69D"/>
    <w:rsid w:val="4E673240"/>
    <w:rsid w:val="4E677723"/>
    <w:rsid w:val="4E6850A3"/>
    <w:rsid w:val="4E746312"/>
    <w:rsid w:val="4E82D193"/>
    <w:rsid w:val="4E9D1063"/>
    <w:rsid w:val="4EB6A833"/>
    <w:rsid w:val="4EBD9E73"/>
    <w:rsid w:val="4EC1E37C"/>
    <w:rsid w:val="4EC90509"/>
    <w:rsid w:val="4ED6822A"/>
    <w:rsid w:val="4EE4E8F7"/>
    <w:rsid w:val="4EE6499C"/>
    <w:rsid w:val="4EF5F28D"/>
    <w:rsid w:val="4EFDE61F"/>
    <w:rsid w:val="4F13F4FA"/>
    <w:rsid w:val="4F2B897D"/>
    <w:rsid w:val="4F2D1D14"/>
    <w:rsid w:val="4F4B91DF"/>
    <w:rsid w:val="4F55AA44"/>
    <w:rsid w:val="4F58A8FB"/>
    <w:rsid w:val="4F8718EB"/>
    <w:rsid w:val="4F8A8A7A"/>
    <w:rsid w:val="4F8C18F0"/>
    <w:rsid w:val="4F941EE0"/>
    <w:rsid w:val="4F9B6A66"/>
    <w:rsid w:val="4FA0CB17"/>
    <w:rsid w:val="4FA0ECB0"/>
    <w:rsid w:val="4FD17A0E"/>
    <w:rsid w:val="4FD97BDF"/>
    <w:rsid w:val="4FDD5DDB"/>
    <w:rsid w:val="4FE7329A"/>
    <w:rsid w:val="4FEDACFC"/>
    <w:rsid w:val="4FFD5BCF"/>
    <w:rsid w:val="4FFF00D6"/>
    <w:rsid w:val="50069490"/>
    <w:rsid w:val="501DAD46"/>
    <w:rsid w:val="5026D74C"/>
    <w:rsid w:val="50446163"/>
    <w:rsid w:val="5046FB31"/>
    <w:rsid w:val="505437DC"/>
    <w:rsid w:val="505A1562"/>
    <w:rsid w:val="505C896F"/>
    <w:rsid w:val="50647C63"/>
    <w:rsid w:val="506B189E"/>
    <w:rsid w:val="506C0ED6"/>
    <w:rsid w:val="506CDBA6"/>
    <w:rsid w:val="50776B4F"/>
    <w:rsid w:val="507E48B5"/>
    <w:rsid w:val="50807B57"/>
    <w:rsid w:val="5088780E"/>
    <w:rsid w:val="508E0065"/>
    <w:rsid w:val="50AB4B56"/>
    <w:rsid w:val="50B6CBF2"/>
    <w:rsid w:val="50C748F4"/>
    <w:rsid w:val="50D117AC"/>
    <w:rsid w:val="50D2FB36"/>
    <w:rsid w:val="50E7CD89"/>
    <w:rsid w:val="50F071BC"/>
    <w:rsid w:val="50F4795C"/>
    <w:rsid w:val="50FB8CAE"/>
    <w:rsid w:val="51080B55"/>
    <w:rsid w:val="510AB7EE"/>
    <w:rsid w:val="511D049F"/>
    <w:rsid w:val="5135A6D1"/>
    <w:rsid w:val="5141824D"/>
    <w:rsid w:val="51420398"/>
    <w:rsid w:val="515D81F9"/>
    <w:rsid w:val="515E195F"/>
    <w:rsid w:val="5169A42E"/>
    <w:rsid w:val="51750514"/>
    <w:rsid w:val="518302FB"/>
    <w:rsid w:val="5186F0C2"/>
    <w:rsid w:val="5194A9AC"/>
    <w:rsid w:val="51A3A962"/>
    <w:rsid w:val="51AF68C7"/>
    <w:rsid w:val="51B5EA82"/>
    <w:rsid w:val="51C490B1"/>
    <w:rsid w:val="51D97D6E"/>
    <w:rsid w:val="51F2305F"/>
    <w:rsid w:val="51F60D83"/>
    <w:rsid w:val="51FCCDA7"/>
    <w:rsid w:val="51FE8A7F"/>
    <w:rsid w:val="5203FA33"/>
    <w:rsid w:val="5204D2D9"/>
    <w:rsid w:val="521C8161"/>
    <w:rsid w:val="521EC0E4"/>
    <w:rsid w:val="5224506B"/>
    <w:rsid w:val="522F1DDF"/>
    <w:rsid w:val="52300055"/>
    <w:rsid w:val="52332179"/>
    <w:rsid w:val="5236CA01"/>
    <w:rsid w:val="5257782A"/>
    <w:rsid w:val="526C965B"/>
    <w:rsid w:val="529EEF88"/>
    <w:rsid w:val="52A3DBB6"/>
    <w:rsid w:val="52A4A6E3"/>
    <w:rsid w:val="52BDB12F"/>
    <w:rsid w:val="52C70C88"/>
    <w:rsid w:val="52C92025"/>
    <w:rsid w:val="52D2AAB8"/>
    <w:rsid w:val="52D81452"/>
    <w:rsid w:val="52DF3DE9"/>
    <w:rsid w:val="52E4390D"/>
    <w:rsid w:val="52E45E2A"/>
    <w:rsid w:val="52F531F2"/>
    <w:rsid w:val="5301B78B"/>
    <w:rsid w:val="53051321"/>
    <w:rsid w:val="53063863"/>
    <w:rsid w:val="5306BF08"/>
    <w:rsid w:val="5309915B"/>
    <w:rsid w:val="530EDDEA"/>
    <w:rsid w:val="531BFE79"/>
    <w:rsid w:val="531CE301"/>
    <w:rsid w:val="532AAEA9"/>
    <w:rsid w:val="53372EBB"/>
    <w:rsid w:val="53404E3D"/>
    <w:rsid w:val="5356630C"/>
    <w:rsid w:val="53579AB6"/>
    <w:rsid w:val="5375442F"/>
    <w:rsid w:val="537E29A6"/>
    <w:rsid w:val="537FBFF5"/>
    <w:rsid w:val="5387FD39"/>
    <w:rsid w:val="538B59D1"/>
    <w:rsid w:val="53949A9A"/>
    <w:rsid w:val="539AE13A"/>
    <w:rsid w:val="53A667A0"/>
    <w:rsid w:val="53CACE91"/>
    <w:rsid w:val="53E1C382"/>
    <w:rsid w:val="53E7CB80"/>
    <w:rsid w:val="53EAE4A3"/>
    <w:rsid w:val="53EF53A3"/>
    <w:rsid w:val="5433E76B"/>
    <w:rsid w:val="545B3329"/>
    <w:rsid w:val="54786F8C"/>
    <w:rsid w:val="54861E80"/>
    <w:rsid w:val="5499E96B"/>
    <w:rsid w:val="549B70BF"/>
    <w:rsid w:val="54B92D26"/>
    <w:rsid w:val="54C32360"/>
    <w:rsid w:val="54D9EA03"/>
    <w:rsid w:val="54E17B1C"/>
    <w:rsid w:val="54ECBAD9"/>
    <w:rsid w:val="54F6EE40"/>
    <w:rsid w:val="550DC7BF"/>
    <w:rsid w:val="551F0DC3"/>
    <w:rsid w:val="553E7C99"/>
    <w:rsid w:val="5546890F"/>
    <w:rsid w:val="55612534"/>
    <w:rsid w:val="556502AD"/>
    <w:rsid w:val="55669EF2"/>
    <w:rsid w:val="5567B566"/>
    <w:rsid w:val="557722F9"/>
    <w:rsid w:val="55799FEE"/>
    <w:rsid w:val="5580037A"/>
    <w:rsid w:val="558AA2BB"/>
    <w:rsid w:val="55A0FB85"/>
    <w:rsid w:val="55A36CBD"/>
    <w:rsid w:val="55CF1D4F"/>
    <w:rsid w:val="560CB68E"/>
    <w:rsid w:val="560E075B"/>
    <w:rsid w:val="560F1B97"/>
    <w:rsid w:val="560F674A"/>
    <w:rsid w:val="5614F8E1"/>
    <w:rsid w:val="5615011F"/>
    <w:rsid w:val="56185680"/>
    <w:rsid w:val="5647AE06"/>
    <w:rsid w:val="5654F88C"/>
    <w:rsid w:val="565560D2"/>
    <w:rsid w:val="565DDE2D"/>
    <w:rsid w:val="56757CA2"/>
    <w:rsid w:val="567AB7D4"/>
    <w:rsid w:val="56875288"/>
    <w:rsid w:val="56A8596F"/>
    <w:rsid w:val="56A8F409"/>
    <w:rsid w:val="56B43FF3"/>
    <w:rsid w:val="56C540FA"/>
    <w:rsid w:val="56D05EA4"/>
    <w:rsid w:val="56D1D45C"/>
    <w:rsid w:val="56D9A1BE"/>
    <w:rsid w:val="56E528F4"/>
    <w:rsid w:val="56E5B466"/>
    <w:rsid w:val="5706EB4C"/>
    <w:rsid w:val="570EDCC9"/>
    <w:rsid w:val="5727BE15"/>
    <w:rsid w:val="5734ABA2"/>
    <w:rsid w:val="573DBCC2"/>
    <w:rsid w:val="573F53AA"/>
    <w:rsid w:val="57450132"/>
    <w:rsid w:val="5770813A"/>
    <w:rsid w:val="57908BCE"/>
    <w:rsid w:val="57926869"/>
    <w:rsid w:val="57969948"/>
    <w:rsid w:val="57A6E0A4"/>
    <w:rsid w:val="57BA8F27"/>
    <w:rsid w:val="57C546FD"/>
    <w:rsid w:val="57CD0DC3"/>
    <w:rsid w:val="57DF8805"/>
    <w:rsid w:val="57F2F19F"/>
    <w:rsid w:val="57F35591"/>
    <w:rsid w:val="57F3C68C"/>
    <w:rsid w:val="57F87E18"/>
    <w:rsid w:val="57FAE34E"/>
    <w:rsid w:val="57FF633C"/>
    <w:rsid w:val="5810F055"/>
    <w:rsid w:val="5812AD93"/>
    <w:rsid w:val="58182EC3"/>
    <w:rsid w:val="584E6D1A"/>
    <w:rsid w:val="5867D617"/>
    <w:rsid w:val="588D5843"/>
    <w:rsid w:val="58A0B37C"/>
    <w:rsid w:val="58A72FE2"/>
    <w:rsid w:val="58B0ECDC"/>
    <w:rsid w:val="58C1B949"/>
    <w:rsid w:val="58C61148"/>
    <w:rsid w:val="58DB5F8F"/>
    <w:rsid w:val="58E54EE2"/>
    <w:rsid w:val="58E6F8A5"/>
    <w:rsid w:val="58E784C2"/>
    <w:rsid w:val="58ECB9B2"/>
    <w:rsid w:val="58ED7019"/>
    <w:rsid w:val="58F6462A"/>
    <w:rsid w:val="58FAF8B5"/>
    <w:rsid w:val="5907CEB0"/>
    <w:rsid w:val="592DB4C1"/>
    <w:rsid w:val="593D45B3"/>
    <w:rsid w:val="595BF91A"/>
    <w:rsid w:val="595E5DA8"/>
    <w:rsid w:val="595ECE2E"/>
    <w:rsid w:val="59640ED5"/>
    <w:rsid w:val="596CE9B2"/>
    <w:rsid w:val="5977476B"/>
    <w:rsid w:val="5980C7D0"/>
    <w:rsid w:val="598172A9"/>
    <w:rsid w:val="598320EE"/>
    <w:rsid w:val="598534C8"/>
    <w:rsid w:val="598C1EC1"/>
    <w:rsid w:val="59939F23"/>
    <w:rsid w:val="5993C237"/>
    <w:rsid w:val="59969483"/>
    <w:rsid w:val="599C3BFF"/>
    <w:rsid w:val="59B25896"/>
    <w:rsid w:val="59E2BADE"/>
    <w:rsid w:val="59E81551"/>
    <w:rsid w:val="59F2BAC1"/>
    <w:rsid w:val="5A11D801"/>
    <w:rsid w:val="5A19D390"/>
    <w:rsid w:val="5A203E24"/>
    <w:rsid w:val="5A3AE8D1"/>
    <w:rsid w:val="5A48F116"/>
    <w:rsid w:val="5A53B1B2"/>
    <w:rsid w:val="5A5C4F02"/>
    <w:rsid w:val="5A628EB8"/>
    <w:rsid w:val="5A66BF1B"/>
    <w:rsid w:val="5A70B4AD"/>
    <w:rsid w:val="5A712C0D"/>
    <w:rsid w:val="5A7A33CD"/>
    <w:rsid w:val="5A7F961A"/>
    <w:rsid w:val="5A88845A"/>
    <w:rsid w:val="5A93606C"/>
    <w:rsid w:val="5A94C529"/>
    <w:rsid w:val="5A9ACE55"/>
    <w:rsid w:val="5AC7F47D"/>
    <w:rsid w:val="5AD0E7E4"/>
    <w:rsid w:val="5ADCC6BC"/>
    <w:rsid w:val="5AE33DA7"/>
    <w:rsid w:val="5AE67E23"/>
    <w:rsid w:val="5AEAEE32"/>
    <w:rsid w:val="5AF2B05B"/>
    <w:rsid w:val="5B06D418"/>
    <w:rsid w:val="5B0A8647"/>
    <w:rsid w:val="5B116327"/>
    <w:rsid w:val="5B2BFFAA"/>
    <w:rsid w:val="5B4126A4"/>
    <w:rsid w:val="5B46C90D"/>
    <w:rsid w:val="5B494737"/>
    <w:rsid w:val="5B6F3D80"/>
    <w:rsid w:val="5B7FDBBB"/>
    <w:rsid w:val="5B920530"/>
    <w:rsid w:val="5BB5E3EC"/>
    <w:rsid w:val="5BBFA8E7"/>
    <w:rsid w:val="5BD8609E"/>
    <w:rsid w:val="5BE3D75F"/>
    <w:rsid w:val="5C06F408"/>
    <w:rsid w:val="5C1485EA"/>
    <w:rsid w:val="5C1A8E14"/>
    <w:rsid w:val="5C1DA561"/>
    <w:rsid w:val="5C23E1CD"/>
    <w:rsid w:val="5C23FD2C"/>
    <w:rsid w:val="5C329977"/>
    <w:rsid w:val="5C4A90F1"/>
    <w:rsid w:val="5C4DE448"/>
    <w:rsid w:val="5C4EA30D"/>
    <w:rsid w:val="5C5BEA9D"/>
    <w:rsid w:val="5C5DFAF6"/>
    <w:rsid w:val="5C69562A"/>
    <w:rsid w:val="5C83B915"/>
    <w:rsid w:val="5C903CFD"/>
    <w:rsid w:val="5C959BF3"/>
    <w:rsid w:val="5CA035E8"/>
    <w:rsid w:val="5CAA9698"/>
    <w:rsid w:val="5CB39AFC"/>
    <w:rsid w:val="5CBBD7C1"/>
    <w:rsid w:val="5CCCCD5C"/>
    <w:rsid w:val="5CEAEEFF"/>
    <w:rsid w:val="5CF46D91"/>
    <w:rsid w:val="5CF76572"/>
    <w:rsid w:val="5D01AE25"/>
    <w:rsid w:val="5D1DB94E"/>
    <w:rsid w:val="5D2D9FEF"/>
    <w:rsid w:val="5D608D6A"/>
    <w:rsid w:val="5D629A2A"/>
    <w:rsid w:val="5D7385C6"/>
    <w:rsid w:val="5D75732D"/>
    <w:rsid w:val="5D79A4AD"/>
    <w:rsid w:val="5DA149F2"/>
    <w:rsid w:val="5DCD3C61"/>
    <w:rsid w:val="5DD75D7C"/>
    <w:rsid w:val="5DDDB712"/>
    <w:rsid w:val="5DDFD22D"/>
    <w:rsid w:val="5DFDED62"/>
    <w:rsid w:val="5DFE0480"/>
    <w:rsid w:val="5E2E2658"/>
    <w:rsid w:val="5E45A4FD"/>
    <w:rsid w:val="5EA9183B"/>
    <w:rsid w:val="5EB0F4C4"/>
    <w:rsid w:val="5EB45620"/>
    <w:rsid w:val="5EDC6A2C"/>
    <w:rsid w:val="5EEC53D2"/>
    <w:rsid w:val="5EF5038C"/>
    <w:rsid w:val="5EF749A9"/>
    <w:rsid w:val="5EF774AA"/>
    <w:rsid w:val="5EFACC73"/>
    <w:rsid w:val="5EFB74AF"/>
    <w:rsid w:val="5EFE0BFC"/>
    <w:rsid w:val="5F15E329"/>
    <w:rsid w:val="5F35CDBE"/>
    <w:rsid w:val="5F437E6F"/>
    <w:rsid w:val="5F511DBB"/>
    <w:rsid w:val="5F55DBAD"/>
    <w:rsid w:val="5F6BEC35"/>
    <w:rsid w:val="5F71830E"/>
    <w:rsid w:val="5F7BF928"/>
    <w:rsid w:val="5F8A0DCA"/>
    <w:rsid w:val="5FA2AE75"/>
    <w:rsid w:val="5FB0A9A1"/>
    <w:rsid w:val="5FBE5A52"/>
    <w:rsid w:val="5FC13F2B"/>
    <w:rsid w:val="5FE29100"/>
    <w:rsid w:val="5FE5BEB4"/>
    <w:rsid w:val="5FF00954"/>
    <w:rsid w:val="5FF8700D"/>
    <w:rsid w:val="6002F19D"/>
    <w:rsid w:val="60167AFC"/>
    <w:rsid w:val="603A5DD6"/>
    <w:rsid w:val="604ADB3A"/>
    <w:rsid w:val="605025F1"/>
    <w:rsid w:val="6068E594"/>
    <w:rsid w:val="609B26CA"/>
    <w:rsid w:val="609E0488"/>
    <w:rsid w:val="609F9E51"/>
    <w:rsid w:val="60A7E898"/>
    <w:rsid w:val="60AF34C8"/>
    <w:rsid w:val="60C3719E"/>
    <w:rsid w:val="60C3EC47"/>
    <w:rsid w:val="60C4554B"/>
    <w:rsid w:val="60C76B39"/>
    <w:rsid w:val="60C95B0F"/>
    <w:rsid w:val="60CA990F"/>
    <w:rsid w:val="60E0E1E5"/>
    <w:rsid w:val="6101A12E"/>
    <w:rsid w:val="611E45B7"/>
    <w:rsid w:val="61399D18"/>
    <w:rsid w:val="613FB531"/>
    <w:rsid w:val="614FB271"/>
    <w:rsid w:val="61605017"/>
    <w:rsid w:val="61660AF9"/>
    <w:rsid w:val="6171C354"/>
    <w:rsid w:val="618BD9B5"/>
    <w:rsid w:val="61D1DBB7"/>
    <w:rsid w:val="61DACD6D"/>
    <w:rsid w:val="61E63D95"/>
    <w:rsid w:val="61ECB070"/>
    <w:rsid w:val="61EE2161"/>
    <w:rsid w:val="61FDD41E"/>
    <w:rsid w:val="61FE1078"/>
    <w:rsid w:val="6202F10E"/>
    <w:rsid w:val="6205B9F7"/>
    <w:rsid w:val="62109337"/>
    <w:rsid w:val="62122D8C"/>
    <w:rsid w:val="6219BE1D"/>
    <w:rsid w:val="62214601"/>
    <w:rsid w:val="62335B43"/>
    <w:rsid w:val="623D4935"/>
    <w:rsid w:val="62547C27"/>
    <w:rsid w:val="6262CB20"/>
    <w:rsid w:val="6265494B"/>
    <w:rsid w:val="62983834"/>
    <w:rsid w:val="62B4D641"/>
    <w:rsid w:val="62B860BB"/>
    <w:rsid w:val="62BA270B"/>
    <w:rsid w:val="62BAD9B3"/>
    <w:rsid w:val="62D6DD20"/>
    <w:rsid w:val="62DE1F95"/>
    <w:rsid w:val="62EAE3C3"/>
    <w:rsid w:val="62FE1C84"/>
    <w:rsid w:val="630262BA"/>
    <w:rsid w:val="631E03A7"/>
    <w:rsid w:val="6333CCEE"/>
    <w:rsid w:val="633491BF"/>
    <w:rsid w:val="633CE4AC"/>
    <w:rsid w:val="633EC044"/>
    <w:rsid w:val="6340ADC8"/>
    <w:rsid w:val="634340D7"/>
    <w:rsid w:val="63438F0C"/>
    <w:rsid w:val="6354B2E8"/>
    <w:rsid w:val="6356F1C9"/>
    <w:rsid w:val="635732C4"/>
    <w:rsid w:val="635A17B7"/>
    <w:rsid w:val="6385F816"/>
    <w:rsid w:val="6386FAC5"/>
    <w:rsid w:val="6387013F"/>
    <w:rsid w:val="6391DF48"/>
    <w:rsid w:val="63A41470"/>
    <w:rsid w:val="63A758A3"/>
    <w:rsid w:val="63ACF8E3"/>
    <w:rsid w:val="63B294AF"/>
    <w:rsid w:val="63BE87EF"/>
    <w:rsid w:val="63C604F5"/>
    <w:rsid w:val="63C97FDB"/>
    <w:rsid w:val="64021939"/>
    <w:rsid w:val="640D9AB6"/>
    <w:rsid w:val="6415CB55"/>
    <w:rsid w:val="641BA3FE"/>
    <w:rsid w:val="641BF946"/>
    <w:rsid w:val="642A7D7E"/>
    <w:rsid w:val="64448170"/>
    <w:rsid w:val="645959F4"/>
    <w:rsid w:val="6465A38E"/>
    <w:rsid w:val="6465BBDD"/>
    <w:rsid w:val="648049AD"/>
    <w:rsid w:val="648499F6"/>
    <w:rsid w:val="648AC115"/>
    <w:rsid w:val="64976C1E"/>
    <w:rsid w:val="64A4C86A"/>
    <w:rsid w:val="64A89257"/>
    <w:rsid w:val="64DB3638"/>
    <w:rsid w:val="64DCA2D4"/>
    <w:rsid w:val="64DEEEA6"/>
    <w:rsid w:val="64E01203"/>
    <w:rsid w:val="64E0DC95"/>
    <w:rsid w:val="64E610DB"/>
    <w:rsid w:val="64F4F422"/>
    <w:rsid w:val="65016454"/>
    <w:rsid w:val="65088AB1"/>
    <w:rsid w:val="65132455"/>
    <w:rsid w:val="65156CB1"/>
    <w:rsid w:val="65322EB6"/>
    <w:rsid w:val="653D0D1C"/>
    <w:rsid w:val="653D6FA2"/>
    <w:rsid w:val="6542C819"/>
    <w:rsid w:val="65448992"/>
    <w:rsid w:val="65480225"/>
    <w:rsid w:val="654A8881"/>
    <w:rsid w:val="654D83AA"/>
    <w:rsid w:val="65682EAC"/>
    <w:rsid w:val="65743C82"/>
    <w:rsid w:val="657C13C1"/>
    <w:rsid w:val="658889FC"/>
    <w:rsid w:val="65A7E77E"/>
    <w:rsid w:val="65D12768"/>
    <w:rsid w:val="65D4A98E"/>
    <w:rsid w:val="6601EBC8"/>
    <w:rsid w:val="6616533B"/>
    <w:rsid w:val="661F06E3"/>
    <w:rsid w:val="6620E0DB"/>
    <w:rsid w:val="662295C0"/>
    <w:rsid w:val="662F0DE5"/>
    <w:rsid w:val="66301035"/>
    <w:rsid w:val="6639348F"/>
    <w:rsid w:val="665F4AD8"/>
    <w:rsid w:val="6672E1DE"/>
    <w:rsid w:val="6674194B"/>
    <w:rsid w:val="667DCC1E"/>
    <w:rsid w:val="66840C58"/>
    <w:rsid w:val="668785E1"/>
    <w:rsid w:val="669AC93B"/>
    <w:rsid w:val="66B151FC"/>
    <w:rsid w:val="66BC5E2C"/>
    <w:rsid w:val="66C74EAA"/>
    <w:rsid w:val="66D4828D"/>
    <w:rsid w:val="66D4D0B5"/>
    <w:rsid w:val="66D8A706"/>
    <w:rsid w:val="66E415C6"/>
    <w:rsid w:val="66EBDD48"/>
    <w:rsid w:val="66EC19CC"/>
    <w:rsid w:val="6708EA88"/>
    <w:rsid w:val="67213FC2"/>
    <w:rsid w:val="67332DCB"/>
    <w:rsid w:val="673386CD"/>
    <w:rsid w:val="67370508"/>
    <w:rsid w:val="6737AC05"/>
    <w:rsid w:val="67412A7A"/>
    <w:rsid w:val="6747AEB8"/>
    <w:rsid w:val="67489215"/>
    <w:rsid w:val="675C1C50"/>
    <w:rsid w:val="675EC10E"/>
    <w:rsid w:val="67669474"/>
    <w:rsid w:val="6769893F"/>
    <w:rsid w:val="6772A415"/>
    <w:rsid w:val="6772D403"/>
    <w:rsid w:val="677608B1"/>
    <w:rsid w:val="677A0DCA"/>
    <w:rsid w:val="677FA121"/>
    <w:rsid w:val="679425E0"/>
    <w:rsid w:val="67B07552"/>
    <w:rsid w:val="67B4D12D"/>
    <w:rsid w:val="67B7A4C4"/>
    <w:rsid w:val="67D05B4D"/>
    <w:rsid w:val="67D44982"/>
    <w:rsid w:val="67F21F93"/>
    <w:rsid w:val="67FB1B39"/>
    <w:rsid w:val="680A9603"/>
    <w:rsid w:val="680D3A1E"/>
    <w:rsid w:val="680EA1E2"/>
    <w:rsid w:val="681425D7"/>
    <w:rsid w:val="68166B41"/>
    <w:rsid w:val="68481CAB"/>
    <w:rsid w:val="685A7262"/>
    <w:rsid w:val="6861AA1B"/>
    <w:rsid w:val="68792B7B"/>
    <w:rsid w:val="688713D7"/>
    <w:rsid w:val="689D3FAA"/>
    <w:rsid w:val="689DDE6F"/>
    <w:rsid w:val="68AAAEF9"/>
    <w:rsid w:val="68C7F2AC"/>
    <w:rsid w:val="68D230C1"/>
    <w:rsid w:val="68F8F623"/>
    <w:rsid w:val="69140422"/>
    <w:rsid w:val="691826F0"/>
    <w:rsid w:val="691EC047"/>
    <w:rsid w:val="69241CF0"/>
    <w:rsid w:val="69295E24"/>
    <w:rsid w:val="695AD22F"/>
    <w:rsid w:val="695B46A7"/>
    <w:rsid w:val="695BACB8"/>
    <w:rsid w:val="69B47B81"/>
    <w:rsid w:val="69BBAD1A"/>
    <w:rsid w:val="69C08E74"/>
    <w:rsid w:val="69C2C96F"/>
    <w:rsid w:val="69E940E4"/>
    <w:rsid w:val="69EDADBD"/>
    <w:rsid w:val="6A25DEF9"/>
    <w:rsid w:val="6A26EBC1"/>
    <w:rsid w:val="6A360AD9"/>
    <w:rsid w:val="6A53F83F"/>
    <w:rsid w:val="6A58AF12"/>
    <w:rsid w:val="6A5E7807"/>
    <w:rsid w:val="6A65F1FC"/>
    <w:rsid w:val="6A8593C8"/>
    <w:rsid w:val="6A9E3536"/>
    <w:rsid w:val="6AA643E6"/>
    <w:rsid w:val="6AA95F8D"/>
    <w:rsid w:val="6AC2D592"/>
    <w:rsid w:val="6AC55D2B"/>
    <w:rsid w:val="6ADE54DF"/>
    <w:rsid w:val="6AF0469A"/>
    <w:rsid w:val="6B060731"/>
    <w:rsid w:val="6B1A036B"/>
    <w:rsid w:val="6B238220"/>
    <w:rsid w:val="6B2FA00A"/>
    <w:rsid w:val="6B30A168"/>
    <w:rsid w:val="6B3E18B0"/>
    <w:rsid w:val="6B3E3D93"/>
    <w:rsid w:val="6B46FA72"/>
    <w:rsid w:val="6B568D7B"/>
    <w:rsid w:val="6B5AA40B"/>
    <w:rsid w:val="6B8B112C"/>
    <w:rsid w:val="6B8E225E"/>
    <w:rsid w:val="6B9531ED"/>
    <w:rsid w:val="6BBCCE8E"/>
    <w:rsid w:val="6BE000A2"/>
    <w:rsid w:val="6BF0D6C9"/>
    <w:rsid w:val="6C03305E"/>
    <w:rsid w:val="6C06AAAF"/>
    <w:rsid w:val="6C1624C9"/>
    <w:rsid w:val="6C1CAF36"/>
    <w:rsid w:val="6C2B1C1E"/>
    <w:rsid w:val="6C3146E0"/>
    <w:rsid w:val="6C383454"/>
    <w:rsid w:val="6C39AACA"/>
    <w:rsid w:val="6C4ACB94"/>
    <w:rsid w:val="6C4D8AD3"/>
    <w:rsid w:val="6C6BA1C9"/>
    <w:rsid w:val="6C74196A"/>
    <w:rsid w:val="6C75CB94"/>
    <w:rsid w:val="6C7E8A0E"/>
    <w:rsid w:val="6C80581D"/>
    <w:rsid w:val="6CA655DC"/>
    <w:rsid w:val="6CA72380"/>
    <w:rsid w:val="6CB1495F"/>
    <w:rsid w:val="6CB6B31B"/>
    <w:rsid w:val="6CC2C3F0"/>
    <w:rsid w:val="6CCA51B2"/>
    <w:rsid w:val="6CCE8DF4"/>
    <w:rsid w:val="6CD4E75F"/>
    <w:rsid w:val="6CDA463B"/>
    <w:rsid w:val="6CF5311B"/>
    <w:rsid w:val="6D0232A9"/>
    <w:rsid w:val="6D0D40F4"/>
    <w:rsid w:val="6D0F65FF"/>
    <w:rsid w:val="6D1A02D2"/>
    <w:rsid w:val="6D1EC1A0"/>
    <w:rsid w:val="6D312EAC"/>
    <w:rsid w:val="6D43CDB4"/>
    <w:rsid w:val="6D46EDBB"/>
    <w:rsid w:val="6D4C5D05"/>
    <w:rsid w:val="6D4C6FD2"/>
    <w:rsid w:val="6D5F66F3"/>
    <w:rsid w:val="6D6072E3"/>
    <w:rsid w:val="6D65093B"/>
    <w:rsid w:val="6D71200C"/>
    <w:rsid w:val="6D7B8883"/>
    <w:rsid w:val="6D80F3B7"/>
    <w:rsid w:val="6D8C4E11"/>
    <w:rsid w:val="6D912C7F"/>
    <w:rsid w:val="6D96C3BB"/>
    <w:rsid w:val="6DA19028"/>
    <w:rsid w:val="6DA8CD44"/>
    <w:rsid w:val="6DDF52DF"/>
    <w:rsid w:val="6DE00988"/>
    <w:rsid w:val="6DE4E4CD"/>
    <w:rsid w:val="6DF20BCB"/>
    <w:rsid w:val="6DFF1F1F"/>
    <w:rsid w:val="6E09A801"/>
    <w:rsid w:val="6E159B00"/>
    <w:rsid w:val="6E39740A"/>
    <w:rsid w:val="6E529497"/>
    <w:rsid w:val="6E7DA54D"/>
    <w:rsid w:val="6E80DC64"/>
    <w:rsid w:val="6E8D68A2"/>
    <w:rsid w:val="6E8DFAE0"/>
    <w:rsid w:val="6E94EE2D"/>
    <w:rsid w:val="6E98B262"/>
    <w:rsid w:val="6E9990E6"/>
    <w:rsid w:val="6EB26FF1"/>
    <w:rsid w:val="6EB5B5C2"/>
    <w:rsid w:val="6EB7D189"/>
    <w:rsid w:val="6EC51212"/>
    <w:rsid w:val="6ED491EF"/>
    <w:rsid w:val="6F22CFD6"/>
    <w:rsid w:val="6F25A489"/>
    <w:rsid w:val="6F417646"/>
    <w:rsid w:val="6F419364"/>
    <w:rsid w:val="6F44D9F0"/>
    <w:rsid w:val="6F474325"/>
    <w:rsid w:val="6F5D7F89"/>
    <w:rsid w:val="6F79D612"/>
    <w:rsid w:val="6F831D60"/>
    <w:rsid w:val="6F838916"/>
    <w:rsid w:val="6F8E3041"/>
    <w:rsid w:val="6F9013A2"/>
    <w:rsid w:val="6F956B4D"/>
    <w:rsid w:val="6F9B9617"/>
    <w:rsid w:val="6F9FE47E"/>
    <w:rsid w:val="6FA73637"/>
    <w:rsid w:val="6FBF5743"/>
    <w:rsid w:val="6FC002DB"/>
    <w:rsid w:val="6FC2B042"/>
    <w:rsid w:val="6FC99F42"/>
    <w:rsid w:val="6FE47A03"/>
    <w:rsid w:val="6FF81B7A"/>
    <w:rsid w:val="6FFDEC64"/>
    <w:rsid w:val="70049C15"/>
    <w:rsid w:val="701975AE"/>
    <w:rsid w:val="701F1C64"/>
    <w:rsid w:val="70202AB2"/>
    <w:rsid w:val="70359A85"/>
    <w:rsid w:val="703EAEFB"/>
    <w:rsid w:val="704B080D"/>
    <w:rsid w:val="7052B9CD"/>
    <w:rsid w:val="70533BBE"/>
    <w:rsid w:val="70841871"/>
    <w:rsid w:val="708C634E"/>
    <w:rsid w:val="7092DDBC"/>
    <w:rsid w:val="70931554"/>
    <w:rsid w:val="709AC73B"/>
    <w:rsid w:val="709F86F0"/>
    <w:rsid w:val="70A04925"/>
    <w:rsid w:val="70A8C0CE"/>
    <w:rsid w:val="70B24D18"/>
    <w:rsid w:val="70B282B8"/>
    <w:rsid w:val="70BAA94B"/>
    <w:rsid w:val="70BBCD49"/>
    <w:rsid w:val="70E20734"/>
    <w:rsid w:val="70EC3E30"/>
    <w:rsid w:val="70ED47C6"/>
    <w:rsid w:val="70EEFB8B"/>
    <w:rsid w:val="70FD5F40"/>
    <w:rsid w:val="71162D7A"/>
    <w:rsid w:val="712B7B95"/>
    <w:rsid w:val="7157DA44"/>
    <w:rsid w:val="7175712D"/>
    <w:rsid w:val="717AB483"/>
    <w:rsid w:val="717DF85C"/>
    <w:rsid w:val="717EAB06"/>
    <w:rsid w:val="718BCA48"/>
    <w:rsid w:val="718C487D"/>
    <w:rsid w:val="719F7539"/>
    <w:rsid w:val="71A44D0A"/>
    <w:rsid w:val="71C59BA2"/>
    <w:rsid w:val="71CEC4FB"/>
    <w:rsid w:val="71D67E5B"/>
    <w:rsid w:val="71D7BE2A"/>
    <w:rsid w:val="71F55A48"/>
    <w:rsid w:val="7210405B"/>
    <w:rsid w:val="72209B31"/>
    <w:rsid w:val="7246AE66"/>
    <w:rsid w:val="725A826C"/>
    <w:rsid w:val="725CB1E7"/>
    <w:rsid w:val="725E5B97"/>
    <w:rsid w:val="7267DBBE"/>
    <w:rsid w:val="7269F0D6"/>
    <w:rsid w:val="726EA957"/>
    <w:rsid w:val="7297F729"/>
    <w:rsid w:val="72CAE341"/>
    <w:rsid w:val="72FAF97C"/>
    <w:rsid w:val="730AAD62"/>
    <w:rsid w:val="730EA40D"/>
    <w:rsid w:val="731B2170"/>
    <w:rsid w:val="732C245E"/>
    <w:rsid w:val="7330A59C"/>
    <w:rsid w:val="7335BD00"/>
    <w:rsid w:val="733DCDE0"/>
    <w:rsid w:val="7358A5EC"/>
    <w:rsid w:val="735CD194"/>
    <w:rsid w:val="735D6F44"/>
    <w:rsid w:val="73602BFC"/>
    <w:rsid w:val="73724EBC"/>
    <w:rsid w:val="73846631"/>
    <w:rsid w:val="738BAE8B"/>
    <w:rsid w:val="7392995B"/>
    <w:rsid w:val="73A0358C"/>
    <w:rsid w:val="73C0F173"/>
    <w:rsid w:val="73D572E7"/>
    <w:rsid w:val="73D6CE88"/>
    <w:rsid w:val="73E25184"/>
    <w:rsid w:val="73E60129"/>
    <w:rsid w:val="7404CF0F"/>
    <w:rsid w:val="7412FEAB"/>
    <w:rsid w:val="74149CCB"/>
    <w:rsid w:val="74186876"/>
    <w:rsid w:val="741C6DFA"/>
    <w:rsid w:val="741F377A"/>
    <w:rsid w:val="7431D39B"/>
    <w:rsid w:val="7439A52F"/>
    <w:rsid w:val="743FCE0A"/>
    <w:rsid w:val="7444FBCC"/>
    <w:rsid w:val="7457D40C"/>
    <w:rsid w:val="745D10DD"/>
    <w:rsid w:val="74605F12"/>
    <w:rsid w:val="746598D9"/>
    <w:rsid w:val="74AE0562"/>
    <w:rsid w:val="74C3D867"/>
    <w:rsid w:val="74D430D0"/>
    <w:rsid w:val="74DC1EFC"/>
    <w:rsid w:val="74E4FAF6"/>
    <w:rsid w:val="74E704C5"/>
    <w:rsid w:val="74F3643B"/>
    <w:rsid w:val="74F8FE8F"/>
    <w:rsid w:val="7517253B"/>
    <w:rsid w:val="751C2DEC"/>
    <w:rsid w:val="7538371E"/>
    <w:rsid w:val="7541FE35"/>
    <w:rsid w:val="755433B1"/>
    <w:rsid w:val="755AAB1D"/>
    <w:rsid w:val="7565D2C5"/>
    <w:rsid w:val="75661326"/>
    <w:rsid w:val="757B05DB"/>
    <w:rsid w:val="758250C5"/>
    <w:rsid w:val="75A9FEF9"/>
    <w:rsid w:val="75B7A2A0"/>
    <w:rsid w:val="75BB2CF3"/>
    <w:rsid w:val="75BF83C0"/>
    <w:rsid w:val="75C11374"/>
    <w:rsid w:val="75C36ACB"/>
    <w:rsid w:val="75D0DF2C"/>
    <w:rsid w:val="75D7BC84"/>
    <w:rsid w:val="75E3592E"/>
    <w:rsid w:val="75FA9FCF"/>
    <w:rsid w:val="7616CAA3"/>
    <w:rsid w:val="762EB4FB"/>
    <w:rsid w:val="7657498D"/>
    <w:rsid w:val="76586832"/>
    <w:rsid w:val="766C22A5"/>
    <w:rsid w:val="76756EA2"/>
    <w:rsid w:val="767DFD62"/>
    <w:rsid w:val="7689DC3A"/>
    <w:rsid w:val="7693292A"/>
    <w:rsid w:val="76948F13"/>
    <w:rsid w:val="769AFC7F"/>
    <w:rsid w:val="76C3AC34"/>
    <w:rsid w:val="76C738C4"/>
    <w:rsid w:val="76C7F139"/>
    <w:rsid w:val="76D100FA"/>
    <w:rsid w:val="76E84516"/>
    <w:rsid w:val="76EA99B6"/>
    <w:rsid w:val="76ED652B"/>
    <w:rsid w:val="76FE6AB6"/>
    <w:rsid w:val="77433789"/>
    <w:rsid w:val="77439346"/>
    <w:rsid w:val="7757F6BE"/>
    <w:rsid w:val="775DAA2B"/>
    <w:rsid w:val="77638FE1"/>
    <w:rsid w:val="7769D311"/>
    <w:rsid w:val="776CA0C4"/>
    <w:rsid w:val="77768505"/>
    <w:rsid w:val="779ADC70"/>
    <w:rsid w:val="77A1C082"/>
    <w:rsid w:val="77B2DF9E"/>
    <w:rsid w:val="77B5718B"/>
    <w:rsid w:val="77BD00F1"/>
    <w:rsid w:val="77C0610A"/>
    <w:rsid w:val="77CABA0F"/>
    <w:rsid w:val="77E32D92"/>
    <w:rsid w:val="77EC872D"/>
    <w:rsid w:val="77EC929A"/>
    <w:rsid w:val="780A2975"/>
    <w:rsid w:val="78189F9E"/>
    <w:rsid w:val="7825AC9B"/>
    <w:rsid w:val="7834D72F"/>
    <w:rsid w:val="7839B337"/>
    <w:rsid w:val="784ECBC3"/>
    <w:rsid w:val="7851FDD6"/>
    <w:rsid w:val="787721E7"/>
    <w:rsid w:val="787DB072"/>
    <w:rsid w:val="7890FDB7"/>
    <w:rsid w:val="78923C97"/>
    <w:rsid w:val="789857D8"/>
    <w:rsid w:val="789EB72D"/>
    <w:rsid w:val="78A08834"/>
    <w:rsid w:val="78AC7011"/>
    <w:rsid w:val="78E7D68E"/>
    <w:rsid w:val="78E845DC"/>
    <w:rsid w:val="78F3974A"/>
    <w:rsid w:val="78F3FB28"/>
    <w:rsid w:val="78FA8A21"/>
    <w:rsid w:val="78FADA87"/>
    <w:rsid w:val="79166FEA"/>
    <w:rsid w:val="79200BC6"/>
    <w:rsid w:val="79434460"/>
    <w:rsid w:val="79476657"/>
    <w:rsid w:val="794B30C2"/>
    <w:rsid w:val="795A921D"/>
    <w:rsid w:val="798AA020"/>
    <w:rsid w:val="79A4F692"/>
    <w:rsid w:val="79B3DF3C"/>
    <w:rsid w:val="79B6E332"/>
    <w:rsid w:val="79CB4F30"/>
    <w:rsid w:val="79CC5595"/>
    <w:rsid w:val="79CDFAF2"/>
    <w:rsid w:val="79D1D0E4"/>
    <w:rsid w:val="79DA2380"/>
    <w:rsid w:val="79EB2B8F"/>
    <w:rsid w:val="79F8C015"/>
    <w:rsid w:val="79FAFDA4"/>
    <w:rsid w:val="79FC5EAE"/>
    <w:rsid w:val="7A04A555"/>
    <w:rsid w:val="7A08BC9B"/>
    <w:rsid w:val="7A28CD91"/>
    <w:rsid w:val="7A2CCABD"/>
    <w:rsid w:val="7A370A55"/>
    <w:rsid w:val="7A43282E"/>
    <w:rsid w:val="7A550DDC"/>
    <w:rsid w:val="7A6A117D"/>
    <w:rsid w:val="7A8F60ED"/>
    <w:rsid w:val="7A9E2741"/>
    <w:rsid w:val="7ABF7745"/>
    <w:rsid w:val="7AC354A8"/>
    <w:rsid w:val="7AC39A71"/>
    <w:rsid w:val="7ADF9560"/>
    <w:rsid w:val="7AE7C762"/>
    <w:rsid w:val="7AF10B03"/>
    <w:rsid w:val="7B105C44"/>
    <w:rsid w:val="7B119253"/>
    <w:rsid w:val="7B15D546"/>
    <w:rsid w:val="7B20274A"/>
    <w:rsid w:val="7B220A9B"/>
    <w:rsid w:val="7B224DCC"/>
    <w:rsid w:val="7B28712D"/>
    <w:rsid w:val="7B2E35B9"/>
    <w:rsid w:val="7B2EAFA3"/>
    <w:rsid w:val="7B442500"/>
    <w:rsid w:val="7B51B95A"/>
    <w:rsid w:val="7B58A241"/>
    <w:rsid w:val="7B5C2855"/>
    <w:rsid w:val="7B664898"/>
    <w:rsid w:val="7B6714AB"/>
    <w:rsid w:val="7B76904F"/>
    <w:rsid w:val="7B798892"/>
    <w:rsid w:val="7B8DC686"/>
    <w:rsid w:val="7BA92A46"/>
    <w:rsid w:val="7BD0FA45"/>
    <w:rsid w:val="7BF33D68"/>
    <w:rsid w:val="7BF6DCF6"/>
    <w:rsid w:val="7BF80EDE"/>
    <w:rsid w:val="7C0D112E"/>
    <w:rsid w:val="7C237A5B"/>
    <w:rsid w:val="7C2B67E1"/>
    <w:rsid w:val="7C2D51AF"/>
    <w:rsid w:val="7C2E9B8D"/>
    <w:rsid w:val="7C50E15C"/>
    <w:rsid w:val="7C8E2AC4"/>
    <w:rsid w:val="7C91FA3C"/>
    <w:rsid w:val="7C924DF1"/>
    <w:rsid w:val="7C924ECC"/>
    <w:rsid w:val="7C997F5B"/>
    <w:rsid w:val="7CA78ED1"/>
    <w:rsid w:val="7CB89033"/>
    <w:rsid w:val="7CC9599D"/>
    <w:rsid w:val="7CD3DAEF"/>
    <w:rsid w:val="7CE2F141"/>
    <w:rsid w:val="7CEC6CCA"/>
    <w:rsid w:val="7CF060C6"/>
    <w:rsid w:val="7CF6DD10"/>
    <w:rsid w:val="7D0B1F3F"/>
    <w:rsid w:val="7D12FA97"/>
    <w:rsid w:val="7D151885"/>
    <w:rsid w:val="7D1A05FB"/>
    <w:rsid w:val="7D1CEF2D"/>
    <w:rsid w:val="7D1FD34A"/>
    <w:rsid w:val="7D21554A"/>
    <w:rsid w:val="7D25C9FD"/>
    <w:rsid w:val="7D2B865D"/>
    <w:rsid w:val="7D35BCFB"/>
    <w:rsid w:val="7D3D7987"/>
    <w:rsid w:val="7D5C854A"/>
    <w:rsid w:val="7D5CAD64"/>
    <w:rsid w:val="7D968EA7"/>
    <w:rsid w:val="7D9FE460"/>
    <w:rsid w:val="7DA6FE11"/>
    <w:rsid w:val="7DC66D1E"/>
    <w:rsid w:val="7DC97D0C"/>
    <w:rsid w:val="7DD7D2F2"/>
    <w:rsid w:val="7DDCC538"/>
    <w:rsid w:val="7DF40BD4"/>
    <w:rsid w:val="7DFC3A6E"/>
    <w:rsid w:val="7E133B80"/>
    <w:rsid w:val="7E27B8D1"/>
    <w:rsid w:val="7E3786B8"/>
    <w:rsid w:val="7E4CABBF"/>
    <w:rsid w:val="7E583AE9"/>
    <w:rsid w:val="7E5F6823"/>
    <w:rsid w:val="7E74E8BF"/>
    <w:rsid w:val="7E808087"/>
    <w:rsid w:val="7E9B9ACE"/>
    <w:rsid w:val="7EA54207"/>
    <w:rsid w:val="7ECC9105"/>
    <w:rsid w:val="7ED1811F"/>
    <w:rsid w:val="7EDF0028"/>
    <w:rsid w:val="7EEB862C"/>
    <w:rsid w:val="7F11871E"/>
    <w:rsid w:val="7F1513EE"/>
    <w:rsid w:val="7F1AD9E1"/>
    <w:rsid w:val="7F211146"/>
    <w:rsid w:val="7F2C4FC3"/>
    <w:rsid w:val="7F32B8C1"/>
    <w:rsid w:val="7F448692"/>
    <w:rsid w:val="7F566F0E"/>
    <w:rsid w:val="7F6599E4"/>
    <w:rsid w:val="7F6677D2"/>
    <w:rsid w:val="7F68D7C9"/>
    <w:rsid w:val="7F936BE2"/>
    <w:rsid w:val="7FA2BCC8"/>
    <w:rsid w:val="7FB726BC"/>
    <w:rsid w:val="7FB97784"/>
    <w:rsid w:val="7FF359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402AA4C-0E3B-4EF4-BE89-3B428527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ABC"/>
    <w:pPr>
      <w:keepNext/>
      <w:keepLines/>
      <w:numPr>
        <w:numId w:val="16"/>
      </w:numPr>
      <w:spacing w:before="240" w:after="240" w:line="240" w:lineRule="auto"/>
      <w:jc w:val="both"/>
      <w:outlineLvl w:val="0"/>
    </w:pPr>
    <w:rPr>
      <w:rFonts w:ascii="Times New Roman Bold" w:eastAsiaTheme="majorEastAsia" w:hAnsi="Times New Roman Bold" w:cs="Times New Roman"/>
      <w:b/>
      <w:smallCaps/>
      <w:sz w:val="24"/>
      <w:szCs w:val="24"/>
    </w:rPr>
  </w:style>
  <w:style w:type="paragraph" w:styleId="Heading2">
    <w:name w:val="heading 2"/>
    <w:basedOn w:val="Normal"/>
    <w:next w:val="Normal"/>
    <w:link w:val="Heading2Char"/>
    <w:uiPriority w:val="9"/>
    <w:unhideWhenUsed/>
    <w:qFormat/>
    <w:rsid w:val="00DA4ABC"/>
    <w:pPr>
      <w:keepNext/>
      <w:keepLines/>
      <w:numPr>
        <w:ilvl w:val="1"/>
        <w:numId w:val="16"/>
      </w:numPr>
      <w:spacing w:before="200" w:line="240" w:lineRule="auto"/>
      <w:jc w:val="both"/>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700A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numbered list,2,Normal 1"/>
    <w:basedOn w:val="Normal"/>
    <w:link w:val="ListParagraphChar"/>
    <w:uiPriority w:val="34"/>
    <w:qFormat/>
    <w:rsid w:val="00415FC8"/>
    <w:pPr>
      <w:ind w:left="720"/>
      <w:contextualSpacing/>
    </w:pPr>
  </w:style>
  <w:style w:type="paragraph" w:styleId="Header">
    <w:name w:val="header"/>
    <w:basedOn w:val="Normal"/>
    <w:link w:val="HeaderChar"/>
    <w:uiPriority w:val="99"/>
    <w:unhideWhenUsed/>
    <w:rsid w:val="00BA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C5C"/>
  </w:style>
  <w:style w:type="paragraph" w:styleId="Footer">
    <w:name w:val="footer"/>
    <w:basedOn w:val="Normal"/>
    <w:link w:val="FooterChar"/>
    <w:uiPriority w:val="99"/>
    <w:unhideWhenUsed/>
    <w:rsid w:val="00BA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C5C"/>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B3051E"/>
    <w:rPr>
      <w:sz w:val="20"/>
      <w:szCs w:val="20"/>
    </w:rPr>
  </w:style>
  <w:style w:type="paragraph" w:styleId="CommentSubject">
    <w:name w:val="annotation subject"/>
    <w:basedOn w:val="CommentText"/>
    <w:next w:val="CommentText"/>
    <w:link w:val="CommentSubjectChar"/>
    <w:uiPriority w:val="99"/>
    <w:semiHidden/>
    <w:unhideWhenUsed/>
    <w:rsid w:val="00B3051E"/>
    <w:rPr>
      <w:b/>
      <w:bCs/>
    </w:rPr>
  </w:style>
  <w:style w:type="character" w:customStyle="1" w:styleId="CommentSubjectChar">
    <w:name w:val="Comment Subject Char"/>
    <w:basedOn w:val="CommentTextChar"/>
    <w:link w:val="CommentSubject"/>
    <w:uiPriority w:val="99"/>
    <w:semiHidden/>
    <w:rsid w:val="00B3051E"/>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2 Char"/>
    <w:link w:val="ListParagraph"/>
    <w:uiPriority w:val="34"/>
    <w:qFormat/>
    <w:locked/>
    <w:rsid w:val="00581723"/>
  </w:style>
  <w:style w:type="paragraph" w:customStyle="1" w:styleId="paragraph">
    <w:name w:val="paragraph"/>
    <w:basedOn w:val="Normal"/>
    <w:rsid w:val="005817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1723"/>
  </w:style>
  <w:style w:type="character" w:styleId="Hyperlink">
    <w:name w:val="Hyperlink"/>
    <w:basedOn w:val="DefaultParagraphFont"/>
    <w:uiPriority w:val="99"/>
    <w:unhideWhenUsed/>
    <w:qFormat/>
    <w:rsid w:val="00581723"/>
    <w:rPr>
      <w:color w:val="0000FF" w:themeColor="hyperlink"/>
      <w:u w:val="single"/>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link w:val="FootnoteTextChar"/>
    <w:qFormat/>
    <w:rsid w:val="0058172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qFormat/>
    <w:rsid w:val="00581723"/>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CharChar"/>
    <w:qFormat/>
    <w:rsid w:val="00581723"/>
    <w:rPr>
      <w:vertAlign w:val="superscript"/>
    </w:rPr>
  </w:style>
  <w:style w:type="paragraph" w:customStyle="1" w:styleId="CharCharCharCharChar">
    <w:name w:val="Char Char Char Char Char"/>
    <w:basedOn w:val="Normal"/>
    <w:link w:val="FootnoteReference"/>
    <w:rsid w:val="00581723"/>
    <w:pPr>
      <w:spacing w:after="160" w:line="240" w:lineRule="exact"/>
      <w:jc w:val="both"/>
    </w:pPr>
    <w:rPr>
      <w:vertAlign w:val="superscript"/>
    </w:rPr>
  </w:style>
  <w:style w:type="paragraph" w:styleId="Caption">
    <w:name w:val="caption"/>
    <w:basedOn w:val="Normal"/>
    <w:next w:val="Normal"/>
    <w:uiPriority w:val="35"/>
    <w:unhideWhenUsed/>
    <w:qFormat/>
    <w:rsid w:val="00581723"/>
    <w:pPr>
      <w:spacing w:line="240" w:lineRule="auto"/>
      <w:jc w:val="center"/>
    </w:pPr>
    <w:rPr>
      <w:rFonts w:ascii="Times New Roman" w:eastAsia="Times New Roman" w:hAnsi="Times New Roman" w:cs="Times New Roman"/>
      <w:i/>
      <w:iCs/>
      <w:sz w:val="20"/>
      <w:szCs w:val="20"/>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D520A2"/>
    <w:pPr>
      <w:spacing w:after="160" w:line="240" w:lineRule="exact"/>
      <w:jc w:val="both"/>
    </w:pPr>
    <w:rPr>
      <w:vertAlign w:val="superscript"/>
    </w:rPr>
  </w:style>
  <w:style w:type="paragraph" w:customStyle="1" w:styleId="Text1">
    <w:name w:val="Text 1"/>
    <w:basedOn w:val="Normal"/>
    <w:link w:val="Text1Char"/>
    <w:rsid w:val="004C4D1E"/>
    <w:pPr>
      <w:spacing w:after="120" w:line="240" w:lineRule="auto"/>
      <w:jc w:val="both"/>
    </w:pPr>
    <w:rPr>
      <w:rFonts w:ascii="Times New Roman" w:eastAsia="Times New Roman" w:hAnsi="Times New Roman" w:cs="Times New Roman"/>
      <w:sz w:val="24"/>
      <w:szCs w:val="20"/>
    </w:rPr>
  </w:style>
  <w:style w:type="character" w:customStyle="1" w:styleId="Text1Char">
    <w:name w:val="Text 1 Char"/>
    <w:link w:val="Text1"/>
    <w:locked/>
    <w:rsid w:val="004C4D1E"/>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523AA5"/>
    <w:rPr>
      <w:color w:val="605E5C"/>
      <w:shd w:val="clear" w:color="auto" w:fill="E1DFDD"/>
    </w:rPr>
  </w:style>
  <w:style w:type="paragraph" w:styleId="Revision">
    <w:name w:val="Revision"/>
    <w:hidden/>
    <w:uiPriority w:val="99"/>
    <w:semiHidden/>
    <w:rsid w:val="004E6FCA"/>
    <w:pPr>
      <w:spacing w:after="0" w:line="240" w:lineRule="auto"/>
    </w:pPr>
  </w:style>
  <w:style w:type="character" w:customStyle="1" w:styleId="eop">
    <w:name w:val="eop"/>
    <w:basedOn w:val="DefaultParagraphFont"/>
    <w:rsid w:val="0034233F"/>
  </w:style>
  <w:style w:type="character" w:customStyle="1" w:styleId="Heading2Char">
    <w:name w:val="Heading 2 Char"/>
    <w:basedOn w:val="DefaultParagraphFont"/>
    <w:link w:val="Heading2"/>
    <w:uiPriority w:val="9"/>
    <w:rsid w:val="00DA4ABC"/>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700A0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DA4ABC"/>
    <w:rPr>
      <w:rFonts w:ascii="Times New Roman Bold" w:eastAsiaTheme="majorEastAsia" w:hAnsi="Times New Roman Bold" w:cs="Times New Roman"/>
      <w:b/>
      <w:smallCaps/>
      <w:sz w:val="24"/>
      <w:szCs w:val="24"/>
    </w:rPr>
  </w:style>
  <w:style w:type="paragraph" w:styleId="TOCHeading">
    <w:name w:val="TOC Heading"/>
    <w:basedOn w:val="Heading1"/>
    <w:next w:val="Normal"/>
    <w:uiPriority w:val="39"/>
    <w:unhideWhenUsed/>
    <w:qFormat/>
    <w:rsid w:val="00A27DD7"/>
    <w:pPr>
      <w:spacing w:line="259" w:lineRule="auto"/>
      <w:outlineLvl w:val="9"/>
    </w:pPr>
  </w:style>
  <w:style w:type="paragraph" w:styleId="TOC1">
    <w:name w:val="toc 1"/>
    <w:basedOn w:val="Normal"/>
    <w:next w:val="Normal"/>
    <w:autoRedefine/>
    <w:uiPriority w:val="39"/>
    <w:unhideWhenUsed/>
    <w:rsid w:val="002944C8"/>
    <w:pPr>
      <w:tabs>
        <w:tab w:val="right" w:leader="dot" w:pos="9062"/>
      </w:tabs>
      <w:spacing w:after="100"/>
    </w:pPr>
    <w:rPr>
      <w:rFonts w:ascii="Times New Roman" w:hAnsi="Times New Roman"/>
      <w:caps/>
      <w:sz w:val="24"/>
    </w:rPr>
  </w:style>
  <w:style w:type="paragraph" w:customStyle="1" w:styleId="Normal1">
    <w:name w:val="Normal1"/>
    <w:basedOn w:val="Normal"/>
    <w:rsid w:val="0079717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4B09DE"/>
    <w:rPr>
      <w:color w:val="800080" w:themeColor="followedHyperlink"/>
      <w:u w:val="single"/>
    </w:rPr>
  </w:style>
  <w:style w:type="paragraph" w:styleId="BalloonText">
    <w:name w:val="Balloon Text"/>
    <w:basedOn w:val="Normal"/>
    <w:link w:val="BalloonTextChar"/>
    <w:uiPriority w:val="99"/>
    <w:semiHidden/>
    <w:unhideWhenUsed/>
    <w:rsid w:val="00363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71"/>
    <w:rPr>
      <w:rFonts w:ascii="Segoe UI" w:hAnsi="Segoe UI" w:cs="Segoe UI"/>
      <w:sz w:val="18"/>
      <w:szCs w:val="18"/>
    </w:rPr>
  </w:style>
  <w:style w:type="paragraph" w:styleId="TOC2">
    <w:name w:val="toc 2"/>
    <w:basedOn w:val="Normal"/>
    <w:next w:val="Normal"/>
    <w:autoRedefine/>
    <w:uiPriority w:val="39"/>
    <w:unhideWhenUsed/>
    <w:rsid w:val="002944C8"/>
    <w:pPr>
      <w:spacing w:after="100"/>
      <w:ind w:left="220"/>
    </w:pPr>
    <w:rPr>
      <w:rFonts w:ascii="Times New Roman" w:hAnsi="Times New Roman"/>
      <w:sz w:val="24"/>
    </w:rPr>
  </w:style>
  <w:style w:type="character" w:customStyle="1" w:styleId="UnresolvedMention2">
    <w:name w:val="Unresolved Mention2"/>
    <w:basedOn w:val="DefaultParagraphFont"/>
    <w:uiPriority w:val="99"/>
    <w:semiHidden/>
    <w:unhideWhenUsed/>
    <w:rsid w:val="00644161"/>
    <w:rPr>
      <w:color w:val="605E5C"/>
      <w:shd w:val="clear" w:color="auto" w:fill="E1DFDD"/>
    </w:rPr>
  </w:style>
  <w:style w:type="character" w:customStyle="1" w:styleId="UnresolvedMention3">
    <w:name w:val="Unresolved Mention3"/>
    <w:basedOn w:val="DefaultParagraphFont"/>
    <w:uiPriority w:val="99"/>
    <w:unhideWhenUsed/>
    <w:rsid w:val="001E0CB9"/>
    <w:rPr>
      <w:color w:val="605E5C"/>
      <w:shd w:val="clear" w:color="auto" w:fill="E1DFDD"/>
    </w:rPr>
  </w:style>
  <w:style w:type="character" w:customStyle="1" w:styleId="UnresolvedMention30">
    <w:name w:val="Unresolved Mention30"/>
    <w:basedOn w:val="DefaultParagraphFont"/>
    <w:uiPriority w:val="99"/>
    <w:semiHidden/>
    <w:unhideWhenUsed/>
    <w:rsid w:val="00A32733"/>
    <w:rPr>
      <w:color w:val="605E5C"/>
      <w:shd w:val="clear" w:color="auto" w:fill="E1DFDD"/>
    </w:rPr>
  </w:style>
  <w:style w:type="character" w:customStyle="1" w:styleId="Mention1">
    <w:name w:val="Mention1"/>
    <w:basedOn w:val="DefaultParagraphFont"/>
    <w:uiPriority w:val="99"/>
    <w:unhideWhenUsed/>
    <w:rsid w:val="00A32733"/>
    <w:rPr>
      <w:color w:val="2B579A"/>
      <w:shd w:val="clear" w:color="auto" w:fill="E1DFDD"/>
    </w:rPr>
  </w:style>
  <w:style w:type="character" w:customStyle="1" w:styleId="markedcontent">
    <w:name w:val="markedcontent"/>
    <w:basedOn w:val="DefaultParagraphFont"/>
    <w:rsid w:val="00E07D33"/>
  </w:style>
  <w:style w:type="character" w:customStyle="1" w:styleId="UnresolvedMention4">
    <w:name w:val="Unresolved Mention4"/>
    <w:basedOn w:val="DefaultParagraphFont"/>
    <w:uiPriority w:val="99"/>
    <w:semiHidden/>
    <w:unhideWhenUsed/>
    <w:rsid w:val="00F03C52"/>
    <w:rPr>
      <w:color w:val="605E5C"/>
      <w:shd w:val="clear" w:color="auto" w:fill="E1DFDD"/>
    </w:rPr>
  </w:style>
  <w:style w:type="character" w:customStyle="1" w:styleId="tab">
    <w:name w:val="tab"/>
    <w:basedOn w:val="DefaultParagraphFont"/>
    <w:rsid w:val="00F03C52"/>
  </w:style>
  <w:style w:type="paragraph" w:styleId="NormalWeb">
    <w:name w:val="Normal (Web)"/>
    <w:basedOn w:val="Normal"/>
    <w:uiPriority w:val="99"/>
    <w:unhideWhenUsed/>
    <w:rsid w:val="0071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C95153"/>
    <w:rPr>
      <w:color w:val="0000FF"/>
      <w:shd w:val="clear" w:color="auto" w:fill="auto"/>
    </w:rPr>
  </w:style>
  <w:style w:type="paragraph" w:customStyle="1" w:styleId="Pagedecouverture">
    <w:name w:val="Page de couverture"/>
    <w:basedOn w:val="Normal"/>
    <w:next w:val="Normal"/>
    <w:rsid w:val="00C9515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9515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95153"/>
    <w:rPr>
      <w:rFonts w:ascii="Times New Roman" w:hAnsi="Times New Roman" w:cs="Times New Roman"/>
      <w:sz w:val="24"/>
    </w:rPr>
  </w:style>
  <w:style w:type="paragraph" w:customStyle="1" w:styleId="FooterSensitivity">
    <w:name w:val="Footer Sensitivity"/>
    <w:basedOn w:val="Normal"/>
    <w:link w:val="FooterSensitivityChar"/>
    <w:rsid w:val="00C9515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95153"/>
    <w:rPr>
      <w:rFonts w:ascii="Times New Roman" w:hAnsi="Times New Roman" w:cs="Times New Roman"/>
      <w:b/>
      <w:sz w:val="32"/>
    </w:rPr>
  </w:style>
  <w:style w:type="paragraph" w:customStyle="1" w:styleId="HeaderCoverPage">
    <w:name w:val="Header Cover Page"/>
    <w:basedOn w:val="Normal"/>
    <w:link w:val="HeaderCoverPageChar"/>
    <w:rsid w:val="00C9515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95153"/>
    <w:rPr>
      <w:rFonts w:ascii="Times New Roman" w:hAnsi="Times New Roman" w:cs="Times New Roman"/>
      <w:sz w:val="24"/>
    </w:rPr>
  </w:style>
  <w:style w:type="paragraph" w:customStyle="1" w:styleId="HeaderSensitivity">
    <w:name w:val="Header Sensitivity"/>
    <w:basedOn w:val="Normal"/>
    <w:link w:val="HeaderSensitivityChar"/>
    <w:rsid w:val="00C9515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95153"/>
    <w:rPr>
      <w:rFonts w:ascii="Times New Roman" w:hAnsi="Times New Roman" w:cs="Times New Roman"/>
      <w:b/>
      <w:sz w:val="32"/>
    </w:rPr>
  </w:style>
  <w:style w:type="paragraph" w:customStyle="1" w:styleId="HeaderSensitivityRight">
    <w:name w:val="Header Sensitivity Right"/>
    <w:basedOn w:val="Normal"/>
    <w:link w:val="HeaderSensitivityRightChar"/>
    <w:rsid w:val="00C9515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95153"/>
    <w:rPr>
      <w:rFonts w:ascii="Times New Roman" w:hAnsi="Times New Roman" w:cs="Times New Roman"/>
      <w:sz w:val="28"/>
    </w:rPr>
  </w:style>
  <w:style w:type="paragraph" w:customStyle="1" w:styleId="Typedudocument">
    <w:name w:val="Type du document"/>
    <w:basedOn w:val="Normal"/>
    <w:next w:val="Normal"/>
    <w:rsid w:val="00C76B85"/>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C76B85"/>
    <w:pPr>
      <w:spacing w:before="360" w:after="360" w:line="240" w:lineRule="auto"/>
      <w:jc w:val="center"/>
    </w:pPr>
    <w:rPr>
      <w:rFonts w:ascii="Times New Roman" w:hAnsi="Times New Roman" w:cs="Times New Roman"/>
      <w:b/>
      <w:sz w:val="24"/>
    </w:rPr>
  </w:style>
  <w:style w:type="paragraph" w:styleId="TOC3">
    <w:name w:val="toc 3"/>
    <w:basedOn w:val="Normal"/>
    <w:next w:val="Normal"/>
    <w:autoRedefine/>
    <w:uiPriority w:val="39"/>
    <w:semiHidden/>
    <w:unhideWhenUsed/>
    <w:rsid w:val="002944C8"/>
    <w:pPr>
      <w:spacing w:after="100"/>
      <w:ind w:left="440"/>
    </w:pPr>
    <w:rPr>
      <w:rFonts w:ascii="Times New Roman" w:hAnsi="Times New Roman"/>
      <w:sz w:val="24"/>
    </w:rPr>
  </w:style>
  <w:style w:type="character" w:customStyle="1" w:styleId="UnresolvedMention5">
    <w:name w:val="Unresolved Mention5"/>
    <w:basedOn w:val="DefaultParagraphFont"/>
    <w:uiPriority w:val="99"/>
    <w:semiHidden/>
    <w:unhideWhenUsed/>
    <w:rsid w:val="007825E5"/>
    <w:rPr>
      <w:color w:val="605E5C"/>
      <w:shd w:val="clear" w:color="auto" w:fill="E1DFDD"/>
    </w:rPr>
  </w:style>
  <w:style w:type="table" w:styleId="TableGrid">
    <w:name w:val="Table Grid"/>
    <w:basedOn w:val="TableNormal"/>
    <w:uiPriority w:val="59"/>
    <w:rsid w:val="00A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5817">
      <w:bodyDiv w:val="1"/>
      <w:marLeft w:val="0"/>
      <w:marRight w:val="0"/>
      <w:marTop w:val="0"/>
      <w:marBottom w:val="0"/>
      <w:divBdr>
        <w:top w:val="none" w:sz="0" w:space="0" w:color="auto"/>
        <w:left w:val="none" w:sz="0" w:space="0" w:color="auto"/>
        <w:bottom w:val="none" w:sz="0" w:space="0" w:color="auto"/>
        <w:right w:val="none" w:sz="0" w:space="0" w:color="auto"/>
      </w:divBdr>
    </w:div>
    <w:div w:id="906187457">
      <w:bodyDiv w:val="1"/>
      <w:marLeft w:val="0"/>
      <w:marRight w:val="0"/>
      <w:marTop w:val="0"/>
      <w:marBottom w:val="0"/>
      <w:divBdr>
        <w:top w:val="none" w:sz="0" w:space="0" w:color="auto"/>
        <w:left w:val="none" w:sz="0" w:space="0" w:color="auto"/>
        <w:bottom w:val="none" w:sz="0" w:space="0" w:color="auto"/>
        <w:right w:val="none" w:sz="0" w:space="0" w:color="auto"/>
      </w:divBdr>
    </w:div>
    <w:div w:id="916138232">
      <w:bodyDiv w:val="1"/>
      <w:marLeft w:val="0"/>
      <w:marRight w:val="0"/>
      <w:marTop w:val="0"/>
      <w:marBottom w:val="0"/>
      <w:divBdr>
        <w:top w:val="none" w:sz="0" w:space="0" w:color="auto"/>
        <w:left w:val="none" w:sz="0" w:space="0" w:color="auto"/>
        <w:bottom w:val="none" w:sz="0" w:space="0" w:color="auto"/>
        <w:right w:val="none" w:sz="0" w:space="0" w:color="auto"/>
      </w:divBdr>
    </w:div>
    <w:div w:id="1286235655">
      <w:bodyDiv w:val="1"/>
      <w:marLeft w:val="0"/>
      <w:marRight w:val="0"/>
      <w:marTop w:val="0"/>
      <w:marBottom w:val="0"/>
      <w:divBdr>
        <w:top w:val="none" w:sz="0" w:space="0" w:color="auto"/>
        <w:left w:val="none" w:sz="0" w:space="0" w:color="auto"/>
        <w:bottom w:val="none" w:sz="0" w:space="0" w:color="auto"/>
        <w:right w:val="none" w:sz="0" w:space="0" w:color="auto"/>
      </w:divBdr>
    </w:div>
    <w:div w:id="1507594177">
      <w:bodyDiv w:val="1"/>
      <w:marLeft w:val="0"/>
      <w:marRight w:val="0"/>
      <w:marTop w:val="0"/>
      <w:marBottom w:val="0"/>
      <w:divBdr>
        <w:top w:val="none" w:sz="0" w:space="0" w:color="auto"/>
        <w:left w:val="none" w:sz="0" w:space="0" w:color="auto"/>
        <w:bottom w:val="none" w:sz="0" w:space="0" w:color="auto"/>
        <w:right w:val="none" w:sz="0" w:space="0" w:color="auto"/>
      </w:divBdr>
    </w:div>
    <w:div w:id="195613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6" Type="http://schemas.openxmlformats.org/officeDocument/2006/relationships/hyperlink" Target="https://publications.jrc.ec.europa.eu/repository/handle/JRC121548" TargetMode="External"/><Relationship Id="rId21" Type="http://schemas.openxmlformats.org/officeDocument/2006/relationships/hyperlink" Target="https://digital-strategy.ec.europa.eu/en/policies/eidas-regulation" TargetMode="External"/><Relationship Id="rId34" Type="http://schemas.openxmlformats.org/officeDocument/2006/relationships/hyperlink" Target="https://smart-cities-marketplace.ec.europa.eu/projects-and-sites" TargetMode="External"/><Relationship Id="rId42" Type="http://schemas.openxmlformats.org/officeDocument/2006/relationships/hyperlink" Target="https://eufordigital.eu/wp-content/uploads/2021/03/Common-Guidelines-for-eHealth-Harmonisation-and-Interoperability.pdf" TargetMode="External"/><Relationship Id="rId47" Type="http://schemas.openxmlformats.org/officeDocument/2006/relationships/hyperlink" Target="https://transport.ec.europa.eu/transport-themes/intelligent-transport-systems_en" TargetMode="External"/><Relationship Id="rId50" Type="http://schemas.openxmlformats.org/officeDocument/2006/relationships/hyperlink" Target="https://digital-strategy.ec.europa.eu/en/activities/edihs" TargetMode="External"/><Relationship Id="rId55" Type="http://schemas.openxmlformats.org/officeDocument/2006/relationships/hyperlink" Target="https://goingdigital.oecd.org/indicator/58" TargetMode="External"/><Relationship Id="rId63" Type="http://schemas.openxmlformats.org/officeDocument/2006/relationships/hyperlink" Target="https://joinup.ec.europa.eu/collection/better-legislation-smoother-implementation" TargetMode="External"/><Relationship Id="rId68" Type="http://schemas.openxmlformats.org/officeDocument/2006/relationships/hyperlink" Target="https://ec.europa.eu/info/sites/default/files/swd2021_305_en.pdf" TargetMode="External"/><Relationship Id="rId76" Type="http://schemas.openxmlformats.org/officeDocument/2006/relationships/hyperlink" Target="https://digital-strategy.ec.europa.eu/en/activities/work-programmes-digital" TargetMode="External"/><Relationship Id="rId84" Type="http://schemas.openxmlformats.org/officeDocument/2006/relationships/hyperlink" Target="https://ec.europa.eu/commission/presscorner/detail/pt/IP_21_6428" TargetMode="External"/><Relationship Id="rId89" Type="http://schemas.openxmlformats.org/officeDocument/2006/relationships/hyperlink" Target="https://ec.europa.eu/info/departments/informatics/open-source-software-strategy_en" TargetMode="External"/><Relationship Id="rId97" Type="http://schemas.openxmlformats.org/officeDocument/2006/relationships/hyperlink" Target="https://ec.europa.eu/isa2/news/european-commission-reinforces-cooperation-uruguay-interoperability_en/" TargetMode="External"/><Relationship Id="rId7" Type="http://schemas.openxmlformats.org/officeDocument/2006/relationships/hyperlink" Target="https://ec.europa.eu/info/files/recovery-and-resilience-facility-annual-report_pt" TargetMode="External"/><Relationship Id="rId71" Type="http://schemas.openxmlformats.org/officeDocument/2006/relationships/hyperlink" Target="https://en.digst.dk/digital-governance/digital-ready-legislation/guidances-and-tools/" TargetMode="External"/><Relationship Id="rId92" Type="http://schemas.openxmlformats.org/officeDocument/2006/relationships/hyperlink" Target="https://ec.europa.eu/growth/single-market/european-standards/ict-standardisation_en" TargetMode="External"/><Relationship Id="rId2" Type="http://schemas.openxmlformats.org/officeDocument/2006/relationships/hyperlink" Target="https://ec.europa.eu/isa2/sites/isa/files/cdr_20201207_eu2020_berlin_declaration_on_digital_society_and_value-based_digital_government_.pdf" TargetMode="External"/><Relationship Id="rId16" Type="http://schemas.openxmlformats.org/officeDocument/2006/relationships/hyperlink" Target="https://ec.europa.eu/info/resources-partners/machine-translation-public-administrations-etranslation_en" TargetMode="External"/><Relationship Id="rId29" Type="http://schemas.openxmlformats.org/officeDocument/2006/relationships/hyperlink" Target="https://joinup.ec.europa.eu/collection/national-interoperability-framework-observatory/eif-toolbox" TargetMode="External"/><Relationship Id="rId11" Type="http://schemas.openxmlformats.org/officeDocument/2006/relationships/hyperlink" Target="https://joinup.ec.europa.eu/collection/nifo-national-interoperability-framework-observatory/european-interoperability-framework" TargetMode="External"/><Relationship Id="rId24" Type="http://schemas.openxmlformats.org/officeDocument/2006/relationships/hyperlink" Target="https://joinup.ec.europa.eu/collection/interoperable-europe/news/official-expert-recommendations-new-interoperability-policy" TargetMode="External"/><Relationship Id="rId32" Type="http://schemas.openxmlformats.org/officeDocument/2006/relationships/hyperlink" Target="https://www.eupan.eu/" TargetMode="External"/><Relationship Id="rId37" Type="http://schemas.openxmlformats.org/officeDocument/2006/relationships/hyperlink" Target="https://www.digitalurbantwins.com/" TargetMode="External"/><Relationship Id="rId40" Type="http://schemas.openxmlformats.org/officeDocument/2006/relationships/hyperlink" Target="https://oascities.org/minimal-interoperability-mechanisms/" TargetMode="External"/><Relationship Id="rId45" Type="http://schemas.openxmlformats.org/officeDocument/2006/relationships/hyperlink" Target="https://e-justice.europa.eu/home?init=true&amp;action=home&amp;plang=pt" TargetMode="External"/><Relationship Id="rId53" Type="http://schemas.openxmlformats.org/officeDocument/2006/relationships/hyperlink" Target="https://digital-strategy.ec.europa.eu/en/policies/desi" TargetMode="External"/><Relationship Id="rId58" Type="http://schemas.openxmlformats.org/officeDocument/2006/relationships/hyperlink" Target="https://ec.europa.eu/transparency/expert-groups-register/core/api/front/expertGroupAddtitionalInfo/43164/download" TargetMode="External"/><Relationship Id="rId66" Type="http://schemas.openxmlformats.org/officeDocument/2006/relationships/hyperlink" Target="https://ec.europa.eu/info/law/law-making-process/planning-and-proposing-law/better-regulation-why-and-how_pt" TargetMode="External"/><Relationship Id="rId74" Type="http://schemas.openxmlformats.org/officeDocument/2006/relationships/hyperlink" Target="https://eur-lex.europa.eu/legal-content/PT/TXT/?uri=CELEX:32018R1724" TargetMode="External"/><Relationship Id="rId79" Type="http://schemas.openxmlformats.org/officeDocument/2006/relationships/hyperlink" Target="https://hadea.ec.europa.eu/programmes/connecting-europe-facility_pt" TargetMode="External"/><Relationship Id="rId87" Type="http://schemas.openxmlformats.org/officeDocument/2006/relationships/hyperlink" Target="https://digital-strategy.ec.europa.eu/en/library/proposal-decision-establishing-2030-policy-programme-path-digital-decade" TargetMode="External"/><Relationship Id="rId5" Type="http://schemas.openxmlformats.org/officeDocument/2006/relationships/hyperlink" Target="https://living-in.eu/" TargetMode="External"/><Relationship Id="rId61" Type="http://schemas.openxmlformats.org/officeDocument/2006/relationships/hyperlink" Target="https://www.efca.europa.eu/en/content/new-technologies-maritime-surveillance" TargetMode="External"/><Relationship Id="rId82" Type="http://schemas.openxmlformats.org/officeDocument/2006/relationships/hyperlink" Target="https://eur-lex.europa.eu/legal-content/PT/TXT/?uri=CELEX:52021PC0574" TargetMode="External"/><Relationship Id="rId90" Type="http://schemas.openxmlformats.org/officeDocument/2006/relationships/hyperlink" Target="https://joinup.ec.europa.eu/collection/eupl" TargetMode="External"/><Relationship Id="rId95" Type="http://schemas.openxmlformats.org/officeDocument/2006/relationships/hyperlink" Target="https://joinup.ec.europa.eu/collection/nifo-national-interoperability-framework-observatory/eif-monitoring" TargetMode="External"/><Relationship Id="rId19" Type="http://schemas.openxmlformats.org/officeDocument/2006/relationships/hyperlink" Target="https://www.boe.es/buscar/act.php?id=BOE-A-2010-1331" TargetMode="External"/><Relationship Id="rId14" Type="http://schemas.openxmlformats.org/officeDocument/2006/relationships/hyperlink" Target="https://www.uantwerpen.be/en/research-groups/govtrust/research/projects/digi4fed/" TargetMode="External"/><Relationship Id="rId22" Type="http://schemas.openxmlformats.org/officeDocument/2006/relationships/hyperlink" Target="https://ec.europa.eu/cefdigital/wiki/display/CEFDIGITAL/ebsi" TargetMode="External"/><Relationship Id="rId27" Type="http://schemas.openxmlformats.org/officeDocument/2006/relationships/hyperlink" Target="https://joinup.ec.europa.eu/collection/better-legislation-smoother-implementation/digital-ready-policymaking" TargetMode="External"/><Relationship Id="rId30" Type="http://schemas.openxmlformats.org/officeDocument/2006/relationships/hyperlink" Target="https://ec.europa.eu/commission/presscorner/detail/pt/ip_22_2711" TargetMode="External"/><Relationship Id="rId35" Type="http://schemas.openxmlformats.org/officeDocument/2006/relationships/hyperlink" Target="https://cordis.europa.eu/article/id/421437-artificial-intelligence-detects-cardiac-arrest-in-emergency-calls" TargetMode="External"/><Relationship Id="rId43" Type="http://schemas.openxmlformats.org/officeDocument/2006/relationships/hyperlink" Target="https://health.ec.europa.eu/ehealth-digital-health-and-care/european-health-data-space_pt" TargetMode="External"/><Relationship Id="rId48" Type="http://schemas.openxmlformats.org/officeDocument/2006/relationships/hyperlink" Target="https://joinup.ec.europa.eu/collection/innovative-public-services" TargetMode="External"/><Relationship Id="rId56" Type="http://schemas.openxmlformats.org/officeDocument/2006/relationships/hyperlink" Target="https://publicadministration.un.org/egovkb/en-us/Reports/UN-E-Government-Survey-2020" TargetMode="External"/><Relationship Id="rId64" Type="http://schemas.openxmlformats.org/officeDocument/2006/relationships/hyperlink" Target="https://joinup.ec.europa.eu/collection/better-legislation-smoother-implementation/news/digital-ready-policymaking-boosted-covid-19" TargetMode="External"/><Relationship Id="rId69" Type="http://schemas.openxmlformats.org/officeDocument/2006/relationships/hyperlink" Target="https://ec.europa.eu/info/law/law-making-process/planning-and-proposing-law/better-regulation-why-and-how/better-regulation-guidelines-and-toolbox/better-regulation-toolbox-0_en" TargetMode="External"/><Relationship Id="rId77" Type="http://schemas.openxmlformats.org/officeDocument/2006/relationships/hyperlink" Target="https://ec.europa.eu/info/funding-tenders/funding-opportunities/funding-programmes/overview-funding-programmes/european-structural-and-investment-funds_pt" TargetMode="External"/><Relationship Id="rId8" Type="http://schemas.openxmlformats.org/officeDocument/2006/relationships/hyperlink" Target="https://ec.europa.eu/info/strategy/priorities-2019-2024/europe-fit-digital-age/shaping-europe-digital-future_pt" TargetMode="External"/><Relationship Id="rId51" Type="http://schemas.openxmlformats.org/officeDocument/2006/relationships/hyperlink" Target="https://eic.ec.europa.eu/index_en" TargetMode="External"/><Relationship Id="rId72" Type="http://schemas.openxmlformats.org/officeDocument/2006/relationships/hyperlink" Target="https://ec.europa.eu/health/blood-tissues-cells-and-organs/overview/revision-eu-legislation-blood-tissues-and-cells_en" TargetMode="External"/><Relationship Id="rId80" Type="http://schemas.openxmlformats.org/officeDocument/2006/relationships/hyperlink" Target="https://ec.europa.eu/info/funding-tenders/find-funding/eu-funding-programmes/technical-support-instrument/technical-support-instrument-tsi_pt" TargetMode="External"/><Relationship Id="rId85" Type="http://schemas.openxmlformats.org/officeDocument/2006/relationships/hyperlink" Target="https://ec.europa.eu/commission/presscorner/detail/pt/ip_22_1113" TargetMode="External"/><Relationship Id="rId93" Type="http://schemas.openxmlformats.org/officeDocument/2006/relationships/hyperlink" Target="https://ec.europa.eu/docsroom/documents/48598" TargetMode="External"/><Relationship Id="rId98" Type="http://schemas.openxmlformats.org/officeDocument/2006/relationships/hyperlink" Target="https://eufordigital.eu/countries/ukraine/" TargetMode="External"/><Relationship Id="rId3" Type="http://schemas.openxmlformats.org/officeDocument/2006/relationships/hyperlink" Target="https://www.lisbondeclaration.eu/" TargetMode="External"/><Relationship Id="rId12" Type="http://schemas.openxmlformats.org/officeDocument/2006/relationships/hyperlink" Target="https://joinup.ec.europa.eu/collection/nifo-national-interoperability-framework-observatory/national-interoperability-initiatives" TargetMode="External"/><Relationship Id="rId17" Type="http://schemas.openxmlformats.org/officeDocument/2006/relationships/hyperlink" Target="https://www.sciencedirect.com/science/article/pii/S2468042722000033" TargetMode="External"/><Relationship Id="rId25" Type="http://schemas.openxmlformats.org/officeDocument/2006/relationships/hyperlink" Target="https://publications.jrc.ec.europa.eu/repository/handle/JRC128247" TargetMode="External"/><Relationship Id="rId33" Type="http://schemas.openxmlformats.org/officeDocument/2006/relationships/hyperlink" Target="https://ec.europa.eu/reform-support/public-administration-and-governance-policy-making/expert-group-public-administration-and-governance_en" TargetMode="External"/><Relationship Id="rId38" Type="http://schemas.openxmlformats.org/officeDocument/2006/relationships/hyperlink" Target="https://www.leadproject.eu/" TargetMode="External"/><Relationship Id="rId46" Type="http://schemas.openxmlformats.org/officeDocument/2006/relationships/hyperlink" Target="https://ec.europa.eu/home-affairs/policies/schengen-borders-and-visa_en" TargetMode="External"/><Relationship Id="rId59" Type="http://schemas.openxmlformats.org/officeDocument/2006/relationships/hyperlink" Target="https://ec.europa.eu/info/law/law-making-process/planning-and-proposing-law/better-regulation-why-and-how/better-regulation-guidelines-and-toolbox_pt" TargetMode="External"/><Relationship Id="rId67" Type="http://schemas.openxmlformats.org/officeDocument/2006/relationships/hyperlink" Target="https://ec.europa.eu/info/sites/default/files/better_regulation_joining_forces_to_make_better_laws_en_0.pdf" TargetMode="External"/><Relationship Id="rId20" Type="http://schemas.openxmlformats.org/officeDocument/2006/relationships/hyperlink" Target="https://www.boe.es/biblioteca_juridica/index.php?tipo=C" TargetMode="External"/><Relationship Id="rId41" Type="http://schemas.openxmlformats.org/officeDocument/2006/relationships/hyperlink" Target="https://op.europa.eu/en/publication-detail/-/publication/7e8e2f60-6f87-4be8-9125-477e212e3a74" TargetMode="External"/><Relationship Id="rId54" Type="http://schemas.openxmlformats.org/officeDocument/2006/relationships/hyperlink" Target="https://living-in.eu/groups/commitments/monitoring-measuring" TargetMode="External"/><Relationship Id="rId62" Type="http://schemas.openxmlformats.org/officeDocument/2006/relationships/hyperlink" Target="https://eur-lex.europa.eu/legal-content/PT/TXT/?uri=CELEX%3A32021R0953" TargetMode="External"/><Relationship Id="rId70" Type="http://schemas.openxmlformats.org/officeDocument/2006/relationships/hyperlink" Target="https://ec.europa.eu/info/law/law-making-process/planning-and-proposing-law/better-regulation-why-and-how/better-regulation-guidelines-and-toolbox_pt" TargetMode="External"/><Relationship Id="rId75" Type="http://schemas.openxmlformats.org/officeDocument/2006/relationships/hyperlink" Target="https://ec.europa.eu/cefdigital/wiki/display/CEFDIGITAL/2018/11/08/Meet+the+new+CEF+Building+Blocks" TargetMode="External"/><Relationship Id="rId83" Type="http://schemas.openxmlformats.org/officeDocument/2006/relationships/hyperlink" Target="https://eur-lex.europa.eu/legal-content/PT/TXT/?uri=CELEX%3A32019L1024" TargetMode="External"/><Relationship Id="rId88" Type="http://schemas.openxmlformats.org/officeDocument/2006/relationships/hyperlink" Target="https://joinup.ec.europa.eu/collection/open-source-observatory-osor" TargetMode="External"/><Relationship Id="rId91" Type="http://schemas.openxmlformats.org/officeDocument/2006/relationships/hyperlink" Target="https://joinup.ec.europa.eu/collection/ec-ospo" TargetMode="External"/><Relationship Id="rId96" Type="http://schemas.openxmlformats.org/officeDocument/2006/relationships/hyperlink" Target="https://joinup.ec.europa.eu/collection/nifo-national-interoperability-framework-observatory/digital-public-administration-factsheets-2021" TargetMode="External"/><Relationship Id="rId1" Type="http://schemas.openxmlformats.org/officeDocument/2006/relationships/hyperlink" Target="https://digital-strategy.ec.europa.eu/en/news/ministerial-declaration-egovernment-tallinn-declaration" TargetMode="External"/><Relationship Id="rId6" Type="http://schemas.openxmlformats.org/officeDocument/2006/relationships/hyperlink" Target="https://ec.europa.eu/info/strategy/priorities-2019-2024/europe-fit-digital-age/europes-digital-decade-digital-targets-2030_pt" TargetMode="External"/><Relationship Id="rId15" Type="http://schemas.openxmlformats.org/officeDocument/2006/relationships/hyperlink" Target="https://eportugal.gov.pt/pt/noticias/tarifa-social-de-energia-automatica-premiada-pela-onu" TargetMode="External"/><Relationship Id="rId23" Type="http://schemas.openxmlformats.org/officeDocument/2006/relationships/hyperlink" Target="https://ec.europa.eu/isa2/sites/isa/files/ict_impact_assessment_guidelines.pdf" TargetMode="External"/><Relationship Id="rId28" Type="http://schemas.openxmlformats.org/officeDocument/2006/relationships/hyperlink" Target="https://ec.europa.eu/info/files/chapter-3-identifying-impacts-evaluations-fitness-checks-and-impact-assessments_en" TargetMode="External"/><Relationship Id="rId36" Type="http://schemas.openxmlformats.org/officeDocument/2006/relationships/hyperlink" Target="https://www.themayor.eu/en/a/view/fuengirola-digitized-its-beach-control-and-got-an-award-for-it-8098" TargetMode="External"/><Relationship Id="rId49" Type="http://schemas.openxmlformats.org/officeDocument/2006/relationships/hyperlink" Target="https://atomico.com/insights/launching-the-7th-annual-state-of-european-tech-report" TargetMode="External"/><Relationship Id="rId57" Type="http://schemas.openxmlformats.org/officeDocument/2006/relationships/hyperlink" Target="https://www.worldbank.org/en/events/2021/09/16/govtech-maturity-index-the-state-of-digital-transformation-in-the-public-sector" TargetMode="External"/><Relationship Id="rId10" Type="http://schemas.openxmlformats.org/officeDocument/2006/relationships/hyperlink" Target="https://ec.europa.eu/info/eu-regional-and-urban-development/topics/cities-and-urban-development/city-initiatives/smart-cities_en" TargetMode="External"/><Relationship Id="rId31" Type="http://schemas.openxmlformats.org/officeDocument/2006/relationships/hyperlink" Target="https://ec.europa.eu/commission/presscorner/detail/pt/ip_22_1113" TargetMode="External"/><Relationship Id="rId44" Type="http://schemas.openxmlformats.org/officeDocument/2006/relationships/hyperlink" Target="https://inspire.ec.europa.eu/inspire-directive/2" TargetMode="External"/><Relationship Id="rId52" Type="http://schemas.openxmlformats.org/officeDocument/2006/relationships/hyperlink" Target="https://ec.europa.eu/growth/smes/sme-strategy_en" TargetMode="External"/><Relationship Id="rId60" Type="http://schemas.openxmlformats.org/officeDocument/2006/relationships/hyperlink" Target="https://eur-lex.europa.eu/legal-content/PT/TXT/?uri=CELEX%3A32021R0953" TargetMode="External"/><Relationship Id="rId65" Type="http://schemas.openxmlformats.org/officeDocument/2006/relationships/hyperlink" Target="https://ec.europa.eu/info/news/commission-adopts-new-digital-strategy-address-transformation-opportunities-post-pandemic-world-2022-jun-30_en" TargetMode="External"/><Relationship Id="rId73" Type="http://schemas.openxmlformats.org/officeDocument/2006/relationships/hyperlink" Target="https://digital-strategy.ec.europa.eu/en/policies/eidas-regulation" TargetMode="External"/><Relationship Id="rId78" Type="http://schemas.openxmlformats.org/officeDocument/2006/relationships/hyperlink" Target="https://ec.europa.eu/info/business-economy-euro/recovery-coronavirus/recovery-and-resilience-facility_pt" TargetMode="External"/><Relationship Id="rId81" Type="http://schemas.openxmlformats.org/officeDocument/2006/relationships/hyperlink" Target="https://www.eupan.eu/" TargetMode="External"/><Relationship Id="rId86" Type="http://schemas.openxmlformats.org/officeDocument/2006/relationships/hyperlink" Target="https://data.europa.eu/pt" TargetMode="External"/><Relationship Id="rId94" Type="http://schemas.openxmlformats.org/officeDocument/2006/relationships/hyperlink" Target="https://eur-lex.europa.eu/legal-content/PT/TXT/?uri=CELEX:52022DC0332" TargetMode="External"/><Relationship Id="rId99" Type="http://schemas.openxmlformats.org/officeDocument/2006/relationships/hyperlink" Target="https://sigmaweb.org/publications/Principles-of-Public-Administration-2017-edition-ENG.pdf" TargetMode="External"/><Relationship Id="rId4" Type="http://schemas.openxmlformats.org/officeDocument/2006/relationships/hyperlink" Target="https://www.eupan.eu/2022/04/presidence-francaise-2022-french-presidency-2022/" TargetMode="External"/><Relationship Id="rId9" Type="http://schemas.openxmlformats.org/officeDocument/2006/relationships/hyperlink" Target="https://nordicsmartgovernment.org/" TargetMode="External"/><Relationship Id="rId13" Type="http://schemas.openxmlformats.org/officeDocument/2006/relationships/hyperlink" Target="https://publications.jrc.ec.europa.eu/repository/handle/JRC127330" TargetMode="External"/><Relationship Id="rId18" Type="http://schemas.openxmlformats.org/officeDocument/2006/relationships/hyperlink" Target="https://joinup.ec.europa.eu/" TargetMode="External"/><Relationship Id="rId39" Type="http://schemas.openxmlformats.org/officeDocument/2006/relationships/hyperlink" Target="https://sphere-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700ab43-7395-48ff-866c-657c86ba7f4e" xsi:nil="true"/>
    <Comments xmlns="1700ab43-7395-48ff-866c-657c86ba7f4e" xsi:nil="true"/>
    <Deadline xmlns="1700ab43-7395-48ff-866c-657c86ba7f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9" ma:contentTypeDescription="Create a new document." ma:contentTypeScope="" ma:versionID="329c800a30bd7b79ba212eaef8c5f5d6">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2bcfdc5ce9b255ea15ef2b1461f1dae3"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Comments" minOccurs="0"/>
                <xsd:element ref="ns2:Deadli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For review"/>
          <xsd:enumeration value="Reviewed"/>
          <xsd:enumeration value="Final"/>
          <xsd:enumeration value="For information"/>
          <xsd:enumeration value="Draft"/>
        </xsd:restriction>
      </xsd:simpleType>
    </xsd:element>
    <xsd:element name="Comments" ma:index="13" nillable="true" ma:displayName="Comments" ma:format="Dropdown" ma:internalName="Comments">
      <xsd:simpleType>
        <xsd:restriction base="dms:Note">
          <xsd:maxLength value="255"/>
        </xsd:restriction>
      </xsd:simpleType>
    </xsd:element>
    <xsd:element name="Deadline" ma:index="14" nillable="true" ma:displayName="Deadline" ma:format="DateOnly" ma:internalName="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0A6F-C921-4968-9E00-ADF56F23D383}">
  <ds:schemaRefs>
    <ds:schemaRef ds:uri="http://schemas.microsoft.com/office/2006/metadata/properties"/>
    <ds:schemaRef ds:uri="http://schemas.microsoft.com/office/infopath/2007/PartnerControls"/>
    <ds:schemaRef ds:uri="1700ab43-7395-48ff-866c-657c86ba7f4e"/>
  </ds:schemaRefs>
</ds:datastoreItem>
</file>

<file path=customXml/itemProps2.xml><?xml version="1.0" encoding="utf-8"?>
<ds:datastoreItem xmlns:ds="http://schemas.openxmlformats.org/officeDocument/2006/customXml" ds:itemID="{C2F813C0-1156-4D66-93F0-BE02C77C7179}">
  <ds:schemaRefs>
    <ds:schemaRef ds:uri="http://schemas.microsoft.com/sharepoint/v3/contenttype/forms"/>
  </ds:schemaRefs>
</ds:datastoreItem>
</file>

<file path=customXml/itemProps3.xml><?xml version="1.0" encoding="utf-8"?>
<ds:datastoreItem xmlns:ds="http://schemas.openxmlformats.org/officeDocument/2006/customXml" ds:itemID="{722B7042-BABD-489D-A29D-EFBEAD03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6742A-7160-4EDC-8994-9D6F688C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5774</Words>
  <Characters>33032</Characters>
  <Application>Microsoft Office Word</Application>
  <DocSecurity>0</DocSecurity>
  <Lines>485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38701</CharactersWithSpaces>
  <SharedDoc>false</SharedDoc>
  <HLinks>
    <vt:vector size="636" baseType="variant">
      <vt:variant>
        <vt:i4>1114162</vt:i4>
      </vt:variant>
      <vt:variant>
        <vt:i4>74</vt:i4>
      </vt:variant>
      <vt:variant>
        <vt:i4>0</vt:i4>
      </vt:variant>
      <vt:variant>
        <vt:i4>5</vt:i4>
      </vt:variant>
      <vt:variant>
        <vt:lpwstr/>
      </vt:variant>
      <vt:variant>
        <vt:lpwstr>_Toc106256023</vt:lpwstr>
      </vt:variant>
      <vt:variant>
        <vt:i4>1114162</vt:i4>
      </vt:variant>
      <vt:variant>
        <vt:i4>68</vt:i4>
      </vt:variant>
      <vt:variant>
        <vt:i4>0</vt:i4>
      </vt:variant>
      <vt:variant>
        <vt:i4>5</vt:i4>
      </vt:variant>
      <vt:variant>
        <vt:lpwstr/>
      </vt:variant>
      <vt:variant>
        <vt:lpwstr>_Toc106256022</vt:lpwstr>
      </vt:variant>
      <vt:variant>
        <vt:i4>1114162</vt:i4>
      </vt:variant>
      <vt:variant>
        <vt:i4>62</vt:i4>
      </vt:variant>
      <vt:variant>
        <vt:i4>0</vt:i4>
      </vt:variant>
      <vt:variant>
        <vt:i4>5</vt:i4>
      </vt:variant>
      <vt:variant>
        <vt:lpwstr/>
      </vt:variant>
      <vt:variant>
        <vt:lpwstr>_Toc106256021</vt:lpwstr>
      </vt:variant>
      <vt:variant>
        <vt:i4>1114162</vt:i4>
      </vt:variant>
      <vt:variant>
        <vt:i4>56</vt:i4>
      </vt:variant>
      <vt:variant>
        <vt:i4>0</vt:i4>
      </vt:variant>
      <vt:variant>
        <vt:i4>5</vt:i4>
      </vt:variant>
      <vt:variant>
        <vt:lpwstr/>
      </vt:variant>
      <vt:variant>
        <vt:lpwstr>_Toc106256020</vt:lpwstr>
      </vt:variant>
      <vt:variant>
        <vt:i4>1179698</vt:i4>
      </vt:variant>
      <vt:variant>
        <vt:i4>50</vt:i4>
      </vt:variant>
      <vt:variant>
        <vt:i4>0</vt:i4>
      </vt:variant>
      <vt:variant>
        <vt:i4>5</vt:i4>
      </vt:variant>
      <vt:variant>
        <vt:lpwstr/>
      </vt:variant>
      <vt:variant>
        <vt:lpwstr>_Toc106256019</vt:lpwstr>
      </vt:variant>
      <vt:variant>
        <vt:i4>1179698</vt:i4>
      </vt:variant>
      <vt:variant>
        <vt:i4>44</vt:i4>
      </vt:variant>
      <vt:variant>
        <vt:i4>0</vt:i4>
      </vt:variant>
      <vt:variant>
        <vt:i4>5</vt:i4>
      </vt:variant>
      <vt:variant>
        <vt:lpwstr/>
      </vt:variant>
      <vt:variant>
        <vt:lpwstr>_Toc106256018</vt:lpwstr>
      </vt:variant>
      <vt:variant>
        <vt:i4>1179698</vt:i4>
      </vt:variant>
      <vt:variant>
        <vt:i4>38</vt:i4>
      </vt:variant>
      <vt:variant>
        <vt:i4>0</vt:i4>
      </vt:variant>
      <vt:variant>
        <vt:i4>5</vt:i4>
      </vt:variant>
      <vt:variant>
        <vt:lpwstr/>
      </vt:variant>
      <vt:variant>
        <vt:lpwstr>_Toc106256017</vt:lpwstr>
      </vt:variant>
      <vt:variant>
        <vt:i4>1179698</vt:i4>
      </vt:variant>
      <vt:variant>
        <vt:i4>32</vt:i4>
      </vt:variant>
      <vt:variant>
        <vt:i4>0</vt:i4>
      </vt:variant>
      <vt:variant>
        <vt:i4>5</vt:i4>
      </vt:variant>
      <vt:variant>
        <vt:lpwstr/>
      </vt:variant>
      <vt:variant>
        <vt:lpwstr>_Toc106256016</vt:lpwstr>
      </vt:variant>
      <vt:variant>
        <vt:i4>1179698</vt:i4>
      </vt:variant>
      <vt:variant>
        <vt:i4>26</vt:i4>
      </vt:variant>
      <vt:variant>
        <vt:i4>0</vt:i4>
      </vt:variant>
      <vt:variant>
        <vt:i4>5</vt:i4>
      </vt:variant>
      <vt:variant>
        <vt:lpwstr/>
      </vt:variant>
      <vt:variant>
        <vt:lpwstr>_Toc106256015</vt:lpwstr>
      </vt:variant>
      <vt:variant>
        <vt:i4>1179698</vt:i4>
      </vt:variant>
      <vt:variant>
        <vt:i4>20</vt:i4>
      </vt:variant>
      <vt:variant>
        <vt:i4>0</vt:i4>
      </vt:variant>
      <vt:variant>
        <vt:i4>5</vt:i4>
      </vt:variant>
      <vt:variant>
        <vt:lpwstr/>
      </vt:variant>
      <vt:variant>
        <vt:lpwstr>_Toc106256014</vt:lpwstr>
      </vt:variant>
      <vt:variant>
        <vt:i4>1179698</vt:i4>
      </vt:variant>
      <vt:variant>
        <vt:i4>14</vt:i4>
      </vt:variant>
      <vt:variant>
        <vt:i4>0</vt:i4>
      </vt:variant>
      <vt:variant>
        <vt:i4>5</vt:i4>
      </vt:variant>
      <vt:variant>
        <vt:lpwstr/>
      </vt:variant>
      <vt:variant>
        <vt:lpwstr>_Toc106256013</vt:lpwstr>
      </vt:variant>
      <vt:variant>
        <vt:i4>1179698</vt:i4>
      </vt:variant>
      <vt:variant>
        <vt:i4>8</vt:i4>
      </vt:variant>
      <vt:variant>
        <vt:i4>0</vt:i4>
      </vt:variant>
      <vt:variant>
        <vt:i4>5</vt:i4>
      </vt:variant>
      <vt:variant>
        <vt:lpwstr/>
      </vt:variant>
      <vt:variant>
        <vt:lpwstr>_Toc106256012</vt:lpwstr>
      </vt:variant>
      <vt:variant>
        <vt:i4>1179698</vt:i4>
      </vt:variant>
      <vt:variant>
        <vt:i4>2</vt:i4>
      </vt:variant>
      <vt:variant>
        <vt:i4>0</vt:i4>
      </vt:variant>
      <vt:variant>
        <vt:i4>5</vt:i4>
      </vt:variant>
      <vt:variant>
        <vt:lpwstr/>
      </vt:variant>
      <vt:variant>
        <vt:lpwstr>_Toc106256011</vt:lpwstr>
      </vt:variant>
      <vt:variant>
        <vt:i4>2424941</vt:i4>
      </vt:variant>
      <vt:variant>
        <vt:i4>282</vt:i4>
      </vt:variant>
      <vt:variant>
        <vt:i4>0</vt:i4>
      </vt:variant>
      <vt:variant>
        <vt:i4>5</vt:i4>
      </vt:variant>
      <vt:variant>
        <vt:lpwstr>https://sigmaweb.org/publications/Principles-of-Public-Administration-2017-edition-ENG.pdf</vt:lpwstr>
      </vt:variant>
      <vt:variant>
        <vt:lpwstr/>
      </vt:variant>
      <vt:variant>
        <vt:i4>2621560</vt:i4>
      </vt:variant>
      <vt:variant>
        <vt:i4>279</vt:i4>
      </vt:variant>
      <vt:variant>
        <vt:i4>0</vt:i4>
      </vt:variant>
      <vt:variant>
        <vt:i4>5</vt:i4>
      </vt:variant>
      <vt:variant>
        <vt:lpwstr>https://eufordigital.eu/countries/ukraine/</vt:lpwstr>
      </vt:variant>
      <vt:variant>
        <vt:lpwstr/>
      </vt:variant>
      <vt:variant>
        <vt:i4>3407963</vt:i4>
      </vt:variant>
      <vt:variant>
        <vt:i4>276</vt:i4>
      </vt:variant>
      <vt:variant>
        <vt:i4>0</vt:i4>
      </vt:variant>
      <vt:variant>
        <vt:i4>5</vt:i4>
      </vt:variant>
      <vt:variant>
        <vt:lpwstr>https://ec.europa.eu/isa2/news/european-commission-reinforces-cooperation-uruguay-interoperability_en/</vt:lpwstr>
      </vt:variant>
      <vt:variant>
        <vt:lpwstr/>
      </vt:variant>
      <vt:variant>
        <vt:i4>983041</vt:i4>
      </vt:variant>
      <vt:variant>
        <vt:i4>273</vt:i4>
      </vt:variant>
      <vt:variant>
        <vt:i4>0</vt:i4>
      </vt:variant>
      <vt:variant>
        <vt:i4>5</vt:i4>
      </vt:variant>
      <vt:variant>
        <vt:lpwstr>https://joinup.ec.europa.eu/collection/nifo-national-interoperability-framework-observatory/digital-public-administration-factsheets-2021</vt:lpwstr>
      </vt:variant>
      <vt:variant>
        <vt:lpwstr/>
      </vt:variant>
      <vt:variant>
        <vt:i4>2359336</vt:i4>
      </vt:variant>
      <vt:variant>
        <vt:i4>270</vt:i4>
      </vt:variant>
      <vt:variant>
        <vt:i4>0</vt:i4>
      </vt:variant>
      <vt:variant>
        <vt:i4>5</vt:i4>
      </vt:variant>
      <vt:variant>
        <vt:lpwstr>https://joinup.ec.europa.eu/collection/nifo-national-interoperability-framework-observatory/eif-monitoring</vt:lpwstr>
      </vt:variant>
      <vt:variant>
        <vt:lpwstr/>
      </vt:variant>
      <vt:variant>
        <vt:i4>6160466</vt:i4>
      </vt:variant>
      <vt:variant>
        <vt:i4>267</vt:i4>
      </vt:variant>
      <vt:variant>
        <vt:i4>0</vt:i4>
      </vt:variant>
      <vt:variant>
        <vt:i4>5</vt:i4>
      </vt:variant>
      <vt:variant>
        <vt:lpwstr>https://ec.europa.eu/docsroom/documents/48598</vt:lpwstr>
      </vt:variant>
      <vt:variant>
        <vt:lpwstr/>
      </vt:variant>
      <vt:variant>
        <vt:i4>3538952</vt:i4>
      </vt:variant>
      <vt:variant>
        <vt:i4>261</vt:i4>
      </vt:variant>
      <vt:variant>
        <vt:i4>0</vt:i4>
      </vt:variant>
      <vt:variant>
        <vt:i4>5</vt:i4>
      </vt:variant>
      <vt:variant>
        <vt:lpwstr>https://ec.europa.eu/growth/single-market/european-standards/ict-standardisation_en</vt:lpwstr>
      </vt:variant>
      <vt:variant>
        <vt:lpwstr/>
      </vt:variant>
      <vt:variant>
        <vt:i4>2687077</vt:i4>
      </vt:variant>
      <vt:variant>
        <vt:i4>258</vt:i4>
      </vt:variant>
      <vt:variant>
        <vt:i4>0</vt:i4>
      </vt:variant>
      <vt:variant>
        <vt:i4>5</vt:i4>
      </vt:variant>
      <vt:variant>
        <vt:lpwstr>https://joinup.ec.europa.eu/collection/ec-ospo</vt:lpwstr>
      </vt:variant>
      <vt:variant>
        <vt:lpwstr/>
      </vt:variant>
      <vt:variant>
        <vt:i4>1966117</vt:i4>
      </vt:variant>
      <vt:variant>
        <vt:i4>255</vt:i4>
      </vt:variant>
      <vt:variant>
        <vt:i4>0</vt:i4>
      </vt:variant>
      <vt:variant>
        <vt:i4>5</vt:i4>
      </vt:variant>
      <vt:variant>
        <vt:lpwstr>https://ec.europa.eu/info/departments/informatics/open-source-software-strategy_en</vt:lpwstr>
      </vt:variant>
      <vt:variant>
        <vt:lpwstr/>
      </vt:variant>
      <vt:variant>
        <vt:i4>3866726</vt:i4>
      </vt:variant>
      <vt:variant>
        <vt:i4>252</vt:i4>
      </vt:variant>
      <vt:variant>
        <vt:i4>0</vt:i4>
      </vt:variant>
      <vt:variant>
        <vt:i4>5</vt:i4>
      </vt:variant>
      <vt:variant>
        <vt:lpwstr>https://joinup.ec.europa.eu/collection/open-source-observatory-osor</vt:lpwstr>
      </vt:variant>
      <vt:variant>
        <vt:lpwstr/>
      </vt:variant>
      <vt:variant>
        <vt:i4>4653131</vt:i4>
      </vt:variant>
      <vt:variant>
        <vt:i4>249</vt:i4>
      </vt:variant>
      <vt:variant>
        <vt:i4>0</vt:i4>
      </vt:variant>
      <vt:variant>
        <vt:i4>5</vt:i4>
      </vt:variant>
      <vt:variant>
        <vt:lpwstr>https://digital-strategy.ec.europa.eu/en/library/proposal-decision-establishing-2030-policy-programme-path-digital-decade</vt:lpwstr>
      </vt:variant>
      <vt:variant>
        <vt:lpwstr/>
      </vt:variant>
      <vt:variant>
        <vt:i4>8192101</vt:i4>
      </vt:variant>
      <vt:variant>
        <vt:i4>246</vt:i4>
      </vt:variant>
      <vt:variant>
        <vt:i4>0</vt:i4>
      </vt:variant>
      <vt:variant>
        <vt:i4>5</vt:i4>
      </vt:variant>
      <vt:variant>
        <vt:lpwstr>https://ec.europa.eu/commission/presscorner/detail/en/ip_22_1113</vt:lpwstr>
      </vt:variant>
      <vt:variant>
        <vt:lpwstr/>
      </vt:variant>
      <vt:variant>
        <vt:i4>7536738</vt:i4>
      </vt:variant>
      <vt:variant>
        <vt:i4>243</vt:i4>
      </vt:variant>
      <vt:variant>
        <vt:i4>0</vt:i4>
      </vt:variant>
      <vt:variant>
        <vt:i4>5</vt:i4>
      </vt:variant>
      <vt:variant>
        <vt:lpwstr>https://ec.europa.eu/commission/presscorner/detail/en/IP_21_6428</vt:lpwstr>
      </vt:variant>
      <vt:variant>
        <vt:lpwstr/>
      </vt:variant>
      <vt:variant>
        <vt:i4>7405688</vt:i4>
      </vt:variant>
      <vt:variant>
        <vt:i4>240</vt:i4>
      </vt:variant>
      <vt:variant>
        <vt:i4>0</vt:i4>
      </vt:variant>
      <vt:variant>
        <vt:i4>5</vt:i4>
      </vt:variant>
      <vt:variant>
        <vt:lpwstr>https://eur-lex.europa.eu/legal-content/EN/TXT/?uri=CELEX%3A32019L1024</vt:lpwstr>
      </vt:variant>
      <vt:variant>
        <vt:lpwstr/>
      </vt:variant>
      <vt:variant>
        <vt:i4>458846</vt:i4>
      </vt:variant>
      <vt:variant>
        <vt:i4>237</vt:i4>
      </vt:variant>
      <vt:variant>
        <vt:i4>0</vt:i4>
      </vt:variant>
      <vt:variant>
        <vt:i4>5</vt:i4>
      </vt:variant>
      <vt:variant>
        <vt:lpwstr>https://www.eupan.eu/</vt:lpwstr>
      </vt:variant>
      <vt:variant>
        <vt:lpwstr/>
      </vt:variant>
      <vt:variant>
        <vt:i4>4522101</vt:i4>
      </vt:variant>
      <vt:variant>
        <vt:i4>234</vt:i4>
      </vt:variant>
      <vt:variant>
        <vt:i4>0</vt:i4>
      </vt:variant>
      <vt:variant>
        <vt:i4>5</vt:i4>
      </vt:variant>
      <vt:variant>
        <vt:lpwstr>https://ec.europa.eu/info/funding-tenders/find-funding/eu-funding-programmes/technical-support-instrument/technical-support-instrument-tsi_en</vt:lpwstr>
      </vt:variant>
      <vt:variant>
        <vt:lpwstr/>
      </vt:variant>
      <vt:variant>
        <vt:i4>7667807</vt:i4>
      </vt:variant>
      <vt:variant>
        <vt:i4>231</vt:i4>
      </vt:variant>
      <vt:variant>
        <vt:i4>0</vt:i4>
      </vt:variant>
      <vt:variant>
        <vt:i4>5</vt:i4>
      </vt:variant>
      <vt:variant>
        <vt:lpwstr>https://hadea.ec.europa.eu/programmes/connecting-europe-facility_en</vt:lpwstr>
      </vt:variant>
      <vt:variant>
        <vt:lpwstr/>
      </vt:variant>
      <vt:variant>
        <vt:i4>6750223</vt:i4>
      </vt:variant>
      <vt:variant>
        <vt:i4>228</vt:i4>
      </vt:variant>
      <vt:variant>
        <vt:i4>0</vt:i4>
      </vt:variant>
      <vt:variant>
        <vt:i4>5</vt:i4>
      </vt:variant>
      <vt:variant>
        <vt:lpwstr>https://ec.europa.eu/info/business-economy-euro/recovery-coronavirus/recovery-and-resilience-facility_en</vt:lpwstr>
      </vt:variant>
      <vt:variant>
        <vt:lpwstr/>
      </vt:variant>
      <vt:variant>
        <vt:i4>1703999</vt:i4>
      </vt:variant>
      <vt:variant>
        <vt:i4>225</vt:i4>
      </vt:variant>
      <vt:variant>
        <vt:i4>0</vt:i4>
      </vt:variant>
      <vt:variant>
        <vt:i4>5</vt:i4>
      </vt:variant>
      <vt:variant>
        <vt:lpwstr>https://ec.europa.eu/info/funding-tenders/funding-opportunities/funding-programmes/overview-funding-programmes/european-structural-and-investment-funds_en</vt:lpwstr>
      </vt:variant>
      <vt:variant>
        <vt:lpwstr/>
      </vt:variant>
      <vt:variant>
        <vt:i4>3145790</vt:i4>
      </vt:variant>
      <vt:variant>
        <vt:i4>222</vt:i4>
      </vt:variant>
      <vt:variant>
        <vt:i4>0</vt:i4>
      </vt:variant>
      <vt:variant>
        <vt:i4>5</vt:i4>
      </vt:variant>
      <vt:variant>
        <vt:lpwstr>https://digital-strategy.ec.europa.eu/en/activities/work-programmes-digital</vt:lpwstr>
      </vt:variant>
      <vt:variant>
        <vt:lpwstr/>
      </vt:variant>
      <vt:variant>
        <vt:i4>7536741</vt:i4>
      </vt:variant>
      <vt:variant>
        <vt:i4>219</vt:i4>
      </vt:variant>
      <vt:variant>
        <vt:i4>0</vt:i4>
      </vt:variant>
      <vt:variant>
        <vt:i4>5</vt:i4>
      </vt:variant>
      <vt:variant>
        <vt:lpwstr>https://ec.europa.eu/cefdigital/wiki/display/CEFDIGITAL/2018/11/08/Meet+the+new+CEF+Building+Blocks</vt:lpwstr>
      </vt:variant>
      <vt:variant>
        <vt:lpwstr/>
      </vt:variant>
      <vt:variant>
        <vt:i4>7864321</vt:i4>
      </vt:variant>
      <vt:variant>
        <vt:i4>216</vt:i4>
      </vt:variant>
      <vt:variant>
        <vt:i4>0</vt:i4>
      </vt:variant>
      <vt:variant>
        <vt:i4>5</vt:i4>
      </vt:variant>
      <vt:variant>
        <vt:lpwstr>https://eur-lex.europa.eu/legal-content/EN/TXT/?uri=uriserv:OJ.L_.2018.295.01.0001.01.ENG&amp;toc=OJ:L:2018:295:TOC</vt:lpwstr>
      </vt:variant>
      <vt:variant>
        <vt:lpwstr/>
      </vt:variant>
      <vt:variant>
        <vt:i4>2490494</vt:i4>
      </vt:variant>
      <vt:variant>
        <vt:i4>213</vt:i4>
      </vt:variant>
      <vt:variant>
        <vt:i4>0</vt:i4>
      </vt:variant>
      <vt:variant>
        <vt:i4>5</vt:i4>
      </vt:variant>
      <vt:variant>
        <vt:lpwstr>https://digital-strategy.ec.europa.eu/en/policies/eidas-regulation</vt:lpwstr>
      </vt:variant>
      <vt:variant>
        <vt:lpwstr/>
      </vt:variant>
      <vt:variant>
        <vt:i4>4390963</vt:i4>
      </vt:variant>
      <vt:variant>
        <vt:i4>210</vt:i4>
      </vt:variant>
      <vt:variant>
        <vt:i4>0</vt:i4>
      </vt:variant>
      <vt:variant>
        <vt:i4>5</vt:i4>
      </vt:variant>
      <vt:variant>
        <vt:lpwstr>https://ec.europa.eu/health/blood-tissues-cells-and-organs/overview/revision-eu-legislation-blood-tissues-and-cells_en</vt:lpwstr>
      </vt:variant>
      <vt:variant>
        <vt:lpwstr/>
      </vt:variant>
      <vt:variant>
        <vt:i4>1900610</vt:i4>
      </vt:variant>
      <vt:variant>
        <vt:i4>207</vt:i4>
      </vt:variant>
      <vt:variant>
        <vt:i4>0</vt:i4>
      </vt:variant>
      <vt:variant>
        <vt:i4>5</vt:i4>
      </vt:variant>
      <vt:variant>
        <vt:lpwstr>https://en.digst.dk/digital-governance/digital-ready-legislation/guidances-and-tools/</vt:lpwstr>
      </vt:variant>
      <vt:variant>
        <vt:lpwstr/>
      </vt:variant>
      <vt:variant>
        <vt:i4>5111921</vt:i4>
      </vt:variant>
      <vt:variant>
        <vt:i4>204</vt:i4>
      </vt:variant>
      <vt:variant>
        <vt:i4>0</vt:i4>
      </vt:variant>
      <vt:variant>
        <vt:i4>5</vt:i4>
      </vt:variant>
      <vt:variant>
        <vt:lpwstr>https://ec.europa.eu/info/law/law-making-process/planning-and-proposing-law/better-regulation-why-and-how/better-regulation-guidelines-and-toolbox_en</vt:lpwstr>
      </vt:variant>
      <vt:variant>
        <vt:lpwstr/>
      </vt:variant>
      <vt:variant>
        <vt:i4>5701683</vt:i4>
      </vt:variant>
      <vt:variant>
        <vt:i4>201</vt:i4>
      </vt:variant>
      <vt:variant>
        <vt:i4>0</vt:i4>
      </vt:variant>
      <vt:variant>
        <vt:i4>5</vt:i4>
      </vt:variant>
      <vt:variant>
        <vt:lpwstr>https://ec.europa.eu/info/law/law-making-process/planning-and-proposing-law/better-regulation-why-and-how/better-regulation-guidelines-and-toolbox/better-regulation-toolbox-0_en</vt:lpwstr>
      </vt:variant>
      <vt:variant>
        <vt:lpwstr/>
      </vt:variant>
      <vt:variant>
        <vt:i4>1441802</vt:i4>
      </vt:variant>
      <vt:variant>
        <vt:i4>198</vt:i4>
      </vt:variant>
      <vt:variant>
        <vt:i4>0</vt:i4>
      </vt:variant>
      <vt:variant>
        <vt:i4>5</vt:i4>
      </vt:variant>
      <vt:variant>
        <vt:lpwstr>https://ec.europa.eu/info/sites/default/files/swd2021_305_en.pdf</vt:lpwstr>
      </vt:variant>
      <vt:variant>
        <vt:lpwstr/>
      </vt:variant>
      <vt:variant>
        <vt:i4>5832819</vt:i4>
      </vt:variant>
      <vt:variant>
        <vt:i4>195</vt:i4>
      </vt:variant>
      <vt:variant>
        <vt:i4>0</vt:i4>
      </vt:variant>
      <vt:variant>
        <vt:i4>5</vt:i4>
      </vt:variant>
      <vt:variant>
        <vt:lpwstr>https://ec.europa.eu/info/sites/default/files/better_regulation_joining_forces_to_make_better_laws_en_0.pdf</vt:lpwstr>
      </vt:variant>
      <vt:variant>
        <vt:lpwstr/>
      </vt:variant>
      <vt:variant>
        <vt:i4>8192006</vt:i4>
      </vt:variant>
      <vt:variant>
        <vt:i4>192</vt:i4>
      </vt:variant>
      <vt:variant>
        <vt:i4>0</vt:i4>
      </vt:variant>
      <vt:variant>
        <vt:i4>5</vt:i4>
      </vt:variant>
      <vt:variant>
        <vt:lpwstr>https://ec.europa.eu/info/law/law-making-process/planning-and-proposing-law/better-regulation-why-and-how_en</vt:lpwstr>
      </vt:variant>
      <vt:variant>
        <vt:lpwstr/>
      </vt:variant>
      <vt:variant>
        <vt:i4>3080251</vt:i4>
      </vt:variant>
      <vt:variant>
        <vt:i4>189</vt:i4>
      </vt:variant>
      <vt:variant>
        <vt:i4>0</vt:i4>
      </vt:variant>
      <vt:variant>
        <vt:i4>5</vt:i4>
      </vt:variant>
      <vt:variant>
        <vt:lpwstr>https://joinup.ec.europa.eu/collection/better-legislation-smoother-implementation/news/digital-ready-policymaking-boosted-covid-19</vt:lpwstr>
      </vt:variant>
      <vt:variant>
        <vt:lpwstr/>
      </vt:variant>
      <vt:variant>
        <vt:i4>1769550</vt:i4>
      </vt:variant>
      <vt:variant>
        <vt:i4>186</vt:i4>
      </vt:variant>
      <vt:variant>
        <vt:i4>0</vt:i4>
      </vt:variant>
      <vt:variant>
        <vt:i4>5</vt:i4>
      </vt:variant>
      <vt:variant>
        <vt:lpwstr>https://joinup.ec.europa.eu/collection/better-legislation-smoother-implementation</vt:lpwstr>
      </vt:variant>
      <vt:variant>
        <vt:lpwstr/>
      </vt:variant>
      <vt:variant>
        <vt:i4>6422646</vt:i4>
      </vt:variant>
      <vt:variant>
        <vt:i4>183</vt:i4>
      </vt:variant>
      <vt:variant>
        <vt:i4>0</vt:i4>
      </vt:variant>
      <vt:variant>
        <vt:i4>5</vt:i4>
      </vt:variant>
      <vt:variant>
        <vt:lpwstr>https://eur-lex.europa.eu/legal-content/EN/TXT/?uri=CELEX%3A32021R0953</vt:lpwstr>
      </vt:variant>
      <vt:variant>
        <vt:lpwstr/>
      </vt:variant>
      <vt:variant>
        <vt:i4>1703942</vt:i4>
      </vt:variant>
      <vt:variant>
        <vt:i4>180</vt:i4>
      </vt:variant>
      <vt:variant>
        <vt:i4>0</vt:i4>
      </vt:variant>
      <vt:variant>
        <vt:i4>5</vt:i4>
      </vt:variant>
      <vt:variant>
        <vt:lpwstr>https://www.efca.europa.eu/en/content/new-technologies-maritime-surveillance</vt:lpwstr>
      </vt:variant>
      <vt:variant>
        <vt:lpwstr/>
      </vt:variant>
      <vt:variant>
        <vt:i4>6422646</vt:i4>
      </vt:variant>
      <vt:variant>
        <vt:i4>177</vt:i4>
      </vt:variant>
      <vt:variant>
        <vt:i4>0</vt:i4>
      </vt:variant>
      <vt:variant>
        <vt:i4>5</vt:i4>
      </vt:variant>
      <vt:variant>
        <vt:lpwstr>https://eur-lex.europa.eu/legal-content/EN/TXT/?uri=CELEX%3A32021R0953</vt:lpwstr>
      </vt:variant>
      <vt:variant>
        <vt:lpwstr/>
      </vt:variant>
      <vt:variant>
        <vt:i4>5111921</vt:i4>
      </vt:variant>
      <vt:variant>
        <vt:i4>174</vt:i4>
      </vt:variant>
      <vt:variant>
        <vt:i4>0</vt:i4>
      </vt:variant>
      <vt:variant>
        <vt:i4>5</vt:i4>
      </vt:variant>
      <vt:variant>
        <vt:lpwstr>https://ec.europa.eu/info/law/law-making-process/planning-and-proposing-law/better-regulation-why-and-how/better-regulation-guidelines-and-toolbox_en</vt:lpwstr>
      </vt:variant>
      <vt:variant>
        <vt:lpwstr/>
      </vt:variant>
      <vt:variant>
        <vt:i4>4390991</vt:i4>
      </vt:variant>
      <vt:variant>
        <vt:i4>171</vt:i4>
      </vt:variant>
      <vt:variant>
        <vt:i4>0</vt:i4>
      </vt:variant>
      <vt:variant>
        <vt:i4>5</vt:i4>
      </vt:variant>
      <vt:variant>
        <vt:lpwstr>https://ec.europa.eu/transparency/expert-groups-register/core/api/front/expertGroupAddtitionalInfo/43164/download</vt:lpwstr>
      </vt:variant>
      <vt:variant>
        <vt:lpwstr/>
      </vt:variant>
      <vt:variant>
        <vt:i4>5439573</vt:i4>
      </vt:variant>
      <vt:variant>
        <vt:i4>168</vt:i4>
      </vt:variant>
      <vt:variant>
        <vt:i4>0</vt:i4>
      </vt:variant>
      <vt:variant>
        <vt:i4>5</vt:i4>
      </vt:variant>
      <vt:variant>
        <vt:lpwstr>https://www.worldbank.org/en/events/2021/09/16/govtech-maturity-index-the-state-of-digital-transformation-in-the-public-sector</vt:lpwstr>
      </vt:variant>
      <vt:variant>
        <vt:lpwstr>:~:text=The%20World%20Bank%20has%20developed,citizen%20engagement%2C%20and%20GovTech%20enablers</vt:lpwstr>
      </vt:variant>
      <vt:variant>
        <vt:i4>1638428</vt:i4>
      </vt:variant>
      <vt:variant>
        <vt:i4>165</vt:i4>
      </vt:variant>
      <vt:variant>
        <vt:i4>0</vt:i4>
      </vt:variant>
      <vt:variant>
        <vt:i4>5</vt:i4>
      </vt:variant>
      <vt:variant>
        <vt:lpwstr>https://publicadministration.un.org/egovkb/en-us/Reports/UN-E-Government-Survey-2020</vt:lpwstr>
      </vt:variant>
      <vt:variant>
        <vt:lpwstr/>
      </vt:variant>
      <vt:variant>
        <vt:i4>1114142</vt:i4>
      </vt:variant>
      <vt:variant>
        <vt:i4>162</vt:i4>
      </vt:variant>
      <vt:variant>
        <vt:i4>0</vt:i4>
      </vt:variant>
      <vt:variant>
        <vt:i4>5</vt:i4>
      </vt:variant>
      <vt:variant>
        <vt:lpwstr>C:\Users\gricias\AppData\Local\Microsoft\Windows\INetCache\Content.Outlook\CY338JWK\United Nations</vt:lpwstr>
      </vt:variant>
      <vt:variant>
        <vt:lpwstr/>
      </vt:variant>
      <vt:variant>
        <vt:i4>6946866</vt:i4>
      </vt:variant>
      <vt:variant>
        <vt:i4>159</vt:i4>
      </vt:variant>
      <vt:variant>
        <vt:i4>0</vt:i4>
      </vt:variant>
      <vt:variant>
        <vt:i4>5</vt:i4>
      </vt:variant>
      <vt:variant>
        <vt:lpwstr>https://goingdigital.oecd.org/indicator/58</vt:lpwstr>
      </vt:variant>
      <vt:variant>
        <vt:lpwstr/>
      </vt:variant>
      <vt:variant>
        <vt:i4>6946866</vt:i4>
      </vt:variant>
      <vt:variant>
        <vt:i4>156</vt:i4>
      </vt:variant>
      <vt:variant>
        <vt:i4>0</vt:i4>
      </vt:variant>
      <vt:variant>
        <vt:i4>5</vt:i4>
      </vt:variant>
      <vt:variant>
        <vt:lpwstr>https://goingdigital.oecd.org/indicator/58</vt:lpwstr>
      </vt:variant>
      <vt:variant>
        <vt:lpwstr/>
      </vt:variant>
      <vt:variant>
        <vt:i4>4915218</vt:i4>
      </vt:variant>
      <vt:variant>
        <vt:i4>153</vt:i4>
      </vt:variant>
      <vt:variant>
        <vt:i4>0</vt:i4>
      </vt:variant>
      <vt:variant>
        <vt:i4>5</vt:i4>
      </vt:variant>
      <vt:variant>
        <vt:lpwstr>https://living-in.eu/groups/commitments/monitoring-measuring</vt:lpwstr>
      </vt:variant>
      <vt:variant>
        <vt:lpwstr/>
      </vt:variant>
      <vt:variant>
        <vt:i4>7929977</vt:i4>
      </vt:variant>
      <vt:variant>
        <vt:i4>150</vt:i4>
      </vt:variant>
      <vt:variant>
        <vt:i4>0</vt:i4>
      </vt:variant>
      <vt:variant>
        <vt:i4>5</vt:i4>
      </vt:variant>
      <vt:variant>
        <vt:lpwstr>https://digital-strategy.ec.europa.eu/en/policies/desi</vt:lpwstr>
      </vt:variant>
      <vt:variant>
        <vt:lpwstr/>
      </vt:variant>
      <vt:variant>
        <vt:i4>3539010</vt:i4>
      </vt:variant>
      <vt:variant>
        <vt:i4>147</vt:i4>
      </vt:variant>
      <vt:variant>
        <vt:i4>0</vt:i4>
      </vt:variant>
      <vt:variant>
        <vt:i4>5</vt:i4>
      </vt:variant>
      <vt:variant>
        <vt:lpwstr>https://ec.europa.eu/growth/smes/sme-strategy_en</vt:lpwstr>
      </vt:variant>
      <vt:variant>
        <vt:lpwstr/>
      </vt:variant>
      <vt:variant>
        <vt:i4>1638504</vt:i4>
      </vt:variant>
      <vt:variant>
        <vt:i4>144</vt:i4>
      </vt:variant>
      <vt:variant>
        <vt:i4>0</vt:i4>
      </vt:variant>
      <vt:variant>
        <vt:i4>5</vt:i4>
      </vt:variant>
      <vt:variant>
        <vt:lpwstr>https://eic.ec.europa.eu/index_en</vt:lpwstr>
      </vt:variant>
      <vt:variant>
        <vt:lpwstr/>
      </vt:variant>
      <vt:variant>
        <vt:i4>1114119</vt:i4>
      </vt:variant>
      <vt:variant>
        <vt:i4>141</vt:i4>
      </vt:variant>
      <vt:variant>
        <vt:i4>0</vt:i4>
      </vt:variant>
      <vt:variant>
        <vt:i4>5</vt:i4>
      </vt:variant>
      <vt:variant>
        <vt:lpwstr>https://digital-strategy.ec.europa.eu/en/activities/edihs</vt:lpwstr>
      </vt:variant>
      <vt:variant>
        <vt:lpwstr/>
      </vt:variant>
      <vt:variant>
        <vt:i4>8192059</vt:i4>
      </vt:variant>
      <vt:variant>
        <vt:i4>138</vt:i4>
      </vt:variant>
      <vt:variant>
        <vt:i4>0</vt:i4>
      </vt:variant>
      <vt:variant>
        <vt:i4>5</vt:i4>
      </vt:variant>
      <vt:variant>
        <vt:lpwstr>https://atomico.com/insights/launching-the-7th-annual-state-of-european-tech-report</vt:lpwstr>
      </vt:variant>
      <vt:variant>
        <vt:lpwstr/>
      </vt:variant>
      <vt:variant>
        <vt:i4>5505107</vt:i4>
      </vt:variant>
      <vt:variant>
        <vt:i4>135</vt:i4>
      </vt:variant>
      <vt:variant>
        <vt:i4>0</vt:i4>
      </vt:variant>
      <vt:variant>
        <vt:i4>5</vt:i4>
      </vt:variant>
      <vt:variant>
        <vt:lpwstr>https://joinup.ec.europa.eu/collection/innovative-public-services</vt:lpwstr>
      </vt:variant>
      <vt:variant>
        <vt:lpwstr/>
      </vt:variant>
      <vt:variant>
        <vt:i4>7929861</vt:i4>
      </vt:variant>
      <vt:variant>
        <vt:i4>132</vt:i4>
      </vt:variant>
      <vt:variant>
        <vt:i4>0</vt:i4>
      </vt:variant>
      <vt:variant>
        <vt:i4>5</vt:i4>
      </vt:variant>
      <vt:variant>
        <vt:lpwstr>https://transport.ec.europa.eu/transport-themes/intelligent-transport-systems_en</vt:lpwstr>
      </vt:variant>
      <vt:variant>
        <vt:lpwstr/>
      </vt:variant>
      <vt:variant>
        <vt:i4>6750286</vt:i4>
      </vt:variant>
      <vt:variant>
        <vt:i4>129</vt:i4>
      </vt:variant>
      <vt:variant>
        <vt:i4>0</vt:i4>
      </vt:variant>
      <vt:variant>
        <vt:i4>5</vt:i4>
      </vt:variant>
      <vt:variant>
        <vt:lpwstr>https://ec.europa.eu/home-affairs/policies/schengen-borders-and-visa_en</vt:lpwstr>
      </vt:variant>
      <vt:variant>
        <vt:lpwstr/>
      </vt:variant>
      <vt:variant>
        <vt:i4>2031695</vt:i4>
      </vt:variant>
      <vt:variant>
        <vt:i4>126</vt:i4>
      </vt:variant>
      <vt:variant>
        <vt:i4>0</vt:i4>
      </vt:variant>
      <vt:variant>
        <vt:i4>5</vt:i4>
      </vt:variant>
      <vt:variant>
        <vt:lpwstr>https://e-justice.europa.eu/home?plang=en&amp;action=home</vt:lpwstr>
      </vt:variant>
      <vt:variant>
        <vt:lpwstr/>
      </vt:variant>
      <vt:variant>
        <vt:i4>5308492</vt:i4>
      </vt:variant>
      <vt:variant>
        <vt:i4>123</vt:i4>
      </vt:variant>
      <vt:variant>
        <vt:i4>0</vt:i4>
      </vt:variant>
      <vt:variant>
        <vt:i4>5</vt:i4>
      </vt:variant>
      <vt:variant>
        <vt:lpwstr>https://inspire.ec.europa.eu/inspire-directive/2</vt:lpwstr>
      </vt:variant>
      <vt:variant>
        <vt:lpwstr/>
      </vt:variant>
      <vt:variant>
        <vt:i4>4128888</vt:i4>
      </vt:variant>
      <vt:variant>
        <vt:i4>120</vt:i4>
      </vt:variant>
      <vt:variant>
        <vt:i4>0</vt:i4>
      </vt:variant>
      <vt:variant>
        <vt:i4>5</vt:i4>
      </vt:variant>
      <vt:variant>
        <vt:lpwstr>https://eufordigital.eu/wp-content/uploads/2021/03/Common-Guidelines-for-eHealth-Harmonisation-and-Interoperability.pdf</vt:lpwstr>
      </vt:variant>
      <vt:variant>
        <vt:lpwstr/>
      </vt:variant>
      <vt:variant>
        <vt:i4>720922</vt:i4>
      </vt:variant>
      <vt:variant>
        <vt:i4>117</vt:i4>
      </vt:variant>
      <vt:variant>
        <vt:i4>0</vt:i4>
      </vt:variant>
      <vt:variant>
        <vt:i4>5</vt:i4>
      </vt:variant>
      <vt:variant>
        <vt:lpwstr>https://op.europa.eu/en/publication-detail/-/publication/7e8e2f60-6f87-4be8-9125-477e212e3a74</vt:lpwstr>
      </vt:variant>
      <vt:variant>
        <vt:lpwstr/>
      </vt:variant>
      <vt:variant>
        <vt:i4>6291580</vt:i4>
      </vt:variant>
      <vt:variant>
        <vt:i4>114</vt:i4>
      </vt:variant>
      <vt:variant>
        <vt:i4>0</vt:i4>
      </vt:variant>
      <vt:variant>
        <vt:i4>5</vt:i4>
      </vt:variant>
      <vt:variant>
        <vt:lpwstr>https://oascities.org/minimal-interoperability-mechanisms/</vt:lpwstr>
      </vt:variant>
      <vt:variant>
        <vt:lpwstr/>
      </vt:variant>
      <vt:variant>
        <vt:i4>2424868</vt:i4>
      </vt:variant>
      <vt:variant>
        <vt:i4>111</vt:i4>
      </vt:variant>
      <vt:variant>
        <vt:i4>0</vt:i4>
      </vt:variant>
      <vt:variant>
        <vt:i4>5</vt:i4>
      </vt:variant>
      <vt:variant>
        <vt:lpwstr>https://sphere-project.eu/</vt:lpwstr>
      </vt:variant>
      <vt:variant>
        <vt:lpwstr/>
      </vt:variant>
      <vt:variant>
        <vt:i4>6881318</vt:i4>
      </vt:variant>
      <vt:variant>
        <vt:i4>108</vt:i4>
      </vt:variant>
      <vt:variant>
        <vt:i4>0</vt:i4>
      </vt:variant>
      <vt:variant>
        <vt:i4>5</vt:i4>
      </vt:variant>
      <vt:variant>
        <vt:lpwstr>https://www.leadproject.eu/</vt:lpwstr>
      </vt:variant>
      <vt:variant>
        <vt:lpwstr/>
      </vt:variant>
      <vt:variant>
        <vt:i4>2555944</vt:i4>
      </vt:variant>
      <vt:variant>
        <vt:i4>105</vt:i4>
      </vt:variant>
      <vt:variant>
        <vt:i4>0</vt:i4>
      </vt:variant>
      <vt:variant>
        <vt:i4>5</vt:i4>
      </vt:variant>
      <vt:variant>
        <vt:lpwstr>https://www.digitalurbantwins.com/</vt:lpwstr>
      </vt:variant>
      <vt:variant>
        <vt:lpwstr/>
      </vt:variant>
      <vt:variant>
        <vt:i4>852041</vt:i4>
      </vt:variant>
      <vt:variant>
        <vt:i4>102</vt:i4>
      </vt:variant>
      <vt:variant>
        <vt:i4>0</vt:i4>
      </vt:variant>
      <vt:variant>
        <vt:i4>5</vt:i4>
      </vt:variant>
      <vt:variant>
        <vt:lpwstr>https://www.themayor.eu/en/a/view/fuengirola-digitized-its-beach-control-and-got-an-award-for-it-8098</vt:lpwstr>
      </vt:variant>
      <vt:variant>
        <vt:lpwstr/>
      </vt:variant>
      <vt:variant>
        <vt:i4>5374026</vt:i4>
      </vt:variant>
      <vt:variant>
        <vt:i4>99</vt:i4>
      </vt:variant>
      <vt:variant>
        <vt:i4>0</vt:i4>
      </vt:variant>
      <vt:variant>
        <vt:i4>5</vt:i4>
      </vt:variant>
      <vt:variant>
        <vt:lpwstr>https://cordis.europa.eu/article/id/421437-artificial-intelligence-detects-cardiac-arrest-in-emergency-calls</vt:lpwstr>
      </vt:variant>
      <vt:variant>
        <vt:lpwstr/>
      </vt:variant>
      <vt:variant>
        <vt:i4>6094869</vt:i4>
      </vt:variant>
      <vt:variant>
        <vt:i4>96</vt:i4>
      </vt:variant>
      <vt:variant>
        <vt:i4>0</vt:i4>
      </vt:variant>
      <vt:variant>
        <vt:i4>5</vt:i4>
      </vt:variant>
      <vt:variant>
        <vt:lpwstr>https://smart-cities-marketplace.ec.europa.eu/projects-and-sites</vt:lpwstr>
      </vt:variant>
      <vt:variant>
        <vt:lpwstr/>
      </vt:variant>
      <vt:variant>
        <vt:i4>6619166</vt:i4>
      </vt:variant>
      <vt:variant>
        <vt:i4>93</vt:i4>
      </vt:variant>
      <vt:variant>
        <vt:i4>0</vt:i4>
      </vt:variant>
      <vt:variant>
        <vt:i4>5</vt:i4>
      </vt:variant>
      <vt:variant>
        <vt:lpwstr>https://ec.europa.eu/reform-support/public-administration-and-governance-policy-making/expert-group-public-administration-and-governance_en</vt:lpwstr>
      </vt:variant>
      <vt:variant>
        <vt:lpwstr/>
      </vt:variant>
      <vt:variant>
        <vt:i4>458846</vt:i4>
      </vt:variant>
      <vt:variant>
        <vt:i4>90</vt:i4>
      </vt:variant>
      <vt:variant>
        <vt:i4>0</vt:i4>
      </vt:variant>
      <vt:variant>
        <vt:i4>5</vt:i4>
      </vt:variant>
      <vt:variant>
        <vt:lpwstr>https://www.eupan.eu/</vt:lpwstr>
      </vt:variant>
      <vt:variant>
        <vt:lpwstr/>
      </vt:variant>
      <vt:variant>
        <vt:i4>7929958</vt:i4>
      </vt:variant>
      <vt:variant>
        <vt:i4>87</vt:i4>
      </vt:variant>
      <vt:variant>
        <vt:i4>0</vt:i4>
      </vt:variant>
      <vt:variant>
        <vt:i4>5</vt:i4>
      </vt:variant>
      <vt:variant>
        <vt:lpwstr>https://ec.europa.eu/commission/presscorner/detail/en/ip_22_2711</vt:lpwstr>
      </vt:variant>
      <vt:variant>
        <vt:lpwstr/>
      </vt:variant>
      <vt:variant>
        <vt:i4>2097262</vt:i4>
      </vt:variant>
      <vt:variant>
        <vt:i4>84</vt:i4>
      </vt:variant>
      <vt:variant>
        <vt:i4>0</vt:i4>
      </vt:variant>
      <vt:variant>
        <vt:i4>5</vt:i4>
      </vt:variant>
      <vt:variant>
        <vt:lpwstr>https://joinup.ec.europa.eu/collection/national-interoperability-framework-observatory/eif-toolbox</vt:lpwstr>
      </vt:variant>
      <vt:variant>
        <vt:lpwstr/>
      </vt:variant>
      <vt:variant>
        <vt:i4>5963902</vt:i4>
      </vt:variant>
      <vt:variant>
        <vt:i4>81</vt:i4>
      </vt:variant>
      <vt:variant>
        <vt:i4>0</vt:i4>
      </vt:variant>
      <vt:variant>
        <vt:i4>5</vt:i4>
      </vt:variant>
      <vt:variant>
        <vt:lpwstr>https://ec.europa.eu/info/files/chapter-3-identifying-impacts-evaluations-fitness-checks-and-impact-assessments_en</vt:lpwstr>
      </vt:variant>
      <vt:variant>
        <vt:lpwstr/>
      </vt:variant>
      <vt:variant>
        <vt:i4>4456518</vt:i4>
      </vt:variant>
      <vt:variant>
        <vt:i4>78</vt:i4>
      </vt:variant>
      <vt:variant>
        <vt:i4>0</vt:i4>
      </vt:variant>
      <vt:variant>
        <vt:i4>5</vt:i4>
      </vt:variant>
      <vt:variant>
        <vt:lpwstr>https://joinup.ec.europa.eu/collection/better-legislation-smoother-implementation/digital-ready-policymaking</vt:lpwstr>
      </vt:variant>
      <vt:variant>
        <vt:lpwstr/>
      </vt:variant>
      <vt:variant>
        <vt:i4>393286</vt:i4>
      </vt:variant>
      <vt:variant>
        <vt:i4>75</vt:i4>
      </vt:variant>
      <vt:variant>
        <vt:i4>0</vt:i4>
      </vt:variant>
      <vt:variant>
        <vt:i4>5</vt:i4>
      </vt:variant>
      <vt:variant>
        <vt:lpwstr>https://publications.jrc.ec.europa.eu/repository/handle/JRC121548</vt:lpwstr>
      </vt:variant>
      <vt:variant>
        <vt:lpwstr/>
      </vt:variant>
      <vt:variant>
        <vt:i4>983105</vt:i4>
      </vt:variant>
      <vt:variant>
        <vt:i4>69</vt:i4>
      </vt:variant>
      <vt:variant>
        <vt:i4>0</vt:i4>
      </vt:variant>
      <vt:variant>
        <vt:i4>5</vt:i4>
      </vt:variant>
      <vt:variant>
        <vt:lpwstr>https://publications.jrc.ec.europa.eu/repository/handle/JRC128247</vt:lpwstr>
      </vt:variant>
      <vt:variant>
        <vt:lpwstr/>
      </vt:variant>
      <vt:variant>
        <vt:i4>5177437</vt:i4>
      </vt:variant>
      <vt:variant>
        <vt:i4>66</vt:i4>
      </vt:variant>
      <vt:variant>
        <vt:i4>0</vt:i4>
      </vt:variant>
      <vt:variant>
        <vt:i4>5</vt:i4>
      </vt:variant>
      <vt:variant>
        <vt:lpwstr>https://joinup.ec.europa.eu/collection/interoperable-europe/news/official-expert-recommendations-new-interoperability-policy</vt:lpwstr>
      </vt:variant>
      <vt:variant>
        <vt:lpwstr/>
      </vt:variant>
      <vt:variant>
        <vt:i4>3801119</vt:i4>
      </vt:variant>
      <vt:variant>
        <vt:i4>63</vt:i4>
      </vt:variant>
      <vt:variant>
        <vt:i4>0</vt:i4>
      </vt:variant>
      <vt:variant>
        <vt:i4>5</vt:i4>
      </vt:variant>
      <vt:variant>
        <vt:lpwstr>https://ec.europa.eu/isa2/sites/isa/files/ict_impact_assessment_guidelines.pdf</vt:lpwstr>
      </vt:variant>
      <vt:variant>
        <vt:lpwstr/>
      </vt:variant>
      <vt:variant>
        <vt:i4>4653128</vt:i4>
      </vt:variant>
      <vt:variant>
        <vt:i4>60</vt:i4>
      </vt:variant>
      <vt:variant>
        <vt:i4>0</vt:i4>
      </vt:variant>
      <vt:variant>
        <vt:i4>5</vt:i4>
      </vt:variant>
      <vt:variant>
        <vt:lpwstr>https://ec.europa.eu/cefdigital/wiki/display/CEFDIGITAL/ebsi</vt:lpwstr>
      </vt:variant>
      <vt:variant>
        <vt:lpwstr/>
      </vt:variant>
      <vt:variant>
        <vt:i4>2490494</vt:i4>
      </vt:variant>
      <vt:variant>
        <vt:i4>57</vt:i4>
      </vt:variant>
      <vt:variant>
        <vt:i4>0</vt:i4>
      </vt:variant>
      <vt:variant>
        <vt:i4>5</vt:i4>
      </vt:variant>
      <vt:variant>
        <vt:lpwstr>https://digital-strategy.ec.europa.eu/en/policies/eidas-regulation</vt:lpwstr>
      </vt:variant>
      <vt:variant>
        <vt:lpwstr/>
      </vt:variant>
      <vt:variant>
        <vt:i4>196647</vt:i4>
      </vt:variant>
      <vt:variant>
        <vt:i4>54</vt:i4>
      </vt:variant>
      <vt:variant>
        <vt:i4>0</vt:i4>
      </vt:variant>
      <vt:variant>
        <vt:i4>5</vt:i4>
      </vt:variant>
      <vt:variant>
        <vt:lpwstr>https://www.boe.es/biblioteca_juridica/index.php?tipo=C</vt:lpwstr>
      </vt:variant>
      <vt:variant>
        <vt:lpwstr/>
      </vt:variant>
      <vt:variant>
        <vt:i4>1114181</vt:i4>
      </vt:variant>
      <vt:variant>
        <vt:i4>51</vt:i4>
      </vt:variant>
      <vt:variant>
        <vt:i4>0</vt:i4>
      </vt:variant>
      <vt:variant>
        <vt:i4>5</vt:i4>
      </vt:variant>
      <vt:variant>
        <vt:lpwstr>https://www.boe.es/buscar/act.php?id=BOE-A-2010-1331</vt:lpwstr>
      </vt:variant>
      <vt:variant>
        <vt:lpwstr/>
      </vt:variant>
      <vt:variant>
        <vt:i4>1704007</vt:i4>
      </vt:variant>
      <vt:variant>
        <vt:i4>48</vt:i4>
      </vt:variant>
      <vt:variant>
        <vt:i4>0</vt:i4>
      </vt:variant>
      <vt:variant>
        <vt:i4>5</vt:i4>
      </vt:variant>
      <vt:variant>
        <vt:lpwstr>https://joinup.ec.europa.eu/</vt:lpwstr>
      </vt:variant>
      <vt:variant>
        <vt:lpwstr/>
      </vt:variant>
      <vt:variant>
        <vt:i4>6619250</vt:i4>
      </vt:variant>
      <vt:variant>
        <vt:i4>45</vt:i4>
      </vt:variant>
      <vt:variant>
        <vt:i4>0</vt:i4>
      </vt:variant>
      <vt:variant>
        <vt:i4>5</vt:i4>
      </vt:variant>
      <vt:variant>
        <vt:lpwstr>https://www.sciencedirect.com/science/article/pii/S2468042722000033</vt:lpwstr>
      </vt:variant>
      <vt:variant>
        <vt:lpwstr/>
      </vt:variant>
      <vt:variant>
        <vt:i4>2359414</vt:i4>
      </vt:variant>
      <vt:variant>
        <vt:i4>42</vt:i4>
      </vt:variant>
      <vt:variant>
        <vt:i4>0</vt:i4>
      </vt:variant>
      <vt:variant>
        <vt:i4>5</vt:i4>
      </vt:variant>
      <vt:variant>
        <vt:lpwstr>https://eportugal.gov.pt/en/noticias/tarifa-social-de-energia-automatica-premiada-pela-onu</vt:lpwstr>
      </vt:variant>
      <vt:variant>
        <vt:lpwstr/>
      </vt:variant>
      <vt:variant>
        <vt:i4>5832731</vt:i4>
      </vt:variant>
      <vt:variant>
        <vt:i4>39</vt:i4>
      </vt:variant>
      <vt:variant>
        <vt:i4>0</vt:i4>
      </vt:variant>
      <vt:variant>
        <vt:i4>5</vt:i4>
      </vt:variant>
      <vt:variant>
        <vt:lpwstr>https://www.uantwerpen.be/en/research-groups/govtrust/research/projects/digi4fed/</vt:lpwstr>
      </vt:variant>
      <vt:variant>
        <vt:lpwstr/>
      </vt:variant>
      <vt:variant>
        <vt:i4>4194315</vt:i4>
      </vt:variant>
      <vt:variant>
        <vt:i4>36</vt:i4>
      </vt:variant>
      <vt:variant>
        <vt:i4>0</vt:i4>
      </vt:variant>
      <vt:variant>
        <vt:i4>5</vt:i4>
      </vt:variant>
      <vt:variant>
        <vt:lpwstr>https://joinup.ec.europa.eu/collection/nifo-national-interoperability-framework-observatory/national-interoperability-initiatives</vt:lpwstr>
      </vt:variant>
      <vt:variant>
        <vt:lpwstr/>
      </vt:variant>
      <vt:variant>
        <vt:i4>3539071</vt:i4>
      </vt:variant>
      <vt:variant>
        <vt:i4>33</vt:i4>
      </vt:variant>
      <vt:variant>
        <vt:i4>0</vt:i4>
      </vt:variant>
      <vt:variant>
        <vt:i4>5</vt:i4>
      </vt:variant>
      <vt:variant>
        <vt:lpwstr>https://joinup.ec.europa.eu/collection/nifo-national-interoperability-framework-observatory/european-interoperability-framework</vt:lpwstr>
      </vt:variant>
      <vt:variant>
        <vt:lpwstr/>
      </vt:variant>
      <vt:variant>
        <vt:i4>2752512</vt:i4>
      </vt:variant>
      <vt:variant>
        <vt:i4>30</vt:i4>
      </vt:variant>
      <vt:variant>
        <vt:i4>0</vt:i4>
      </vt:variant>
      <vt:variant>
        <vt:i4>5</vt:i4>
      </vt:variant>
      <vt:variant>
        <vt:lpwstr>https://ec.europa.eu/info/eu-regional-and-urban-development/topics/cities-and-urban-development/city-initiatives/smart-cities_en</vt:lpwstr>
      </vt:variant>
      <vt:variant>
        <vt:lpwstr/>
      </vt:variant>
      <vt:variant>
        <vt:i4>7667758</vt:i4>
      </vt:variant>
      <vt:variant>
        <vt:i4>27</vt:i4>
      </vt:variant>
      <vt:variant>
        <vt:i4>0</vt:i4>
      </vt:variant>
      <vt:variant>
        <vt:i4>5</vt:i4>
      </vt:variant>
      <vt:variant>
        <vt:lpwstr>https://nordicsmartgovernment.org/</vt:lpwstr>
      </vt:variant>
      <vt:variant>
        <vt:lpwstr/>
      </vt:variant>
      <vt:variant>
        <vt:i4>8257608</vt:i4>
      </vt:variant>
      <vt:variant>
        <vt:i4>24</vt:i4>
      </vt:variant>
      <vt:variant>
        <vt:i4>0</vt:i4>
      </vt:variant>
      <vt:variant>
        <vt:i4>5</vt:i4>
      </vt:variant>
      <vt:variant>
        <vt:lpwstr>https://ec.europa.eu/info/strategy/priorities-2019-2024/europe-fit-digital-age/shaping-europe-digital-future_en</vt:lpwstr>
      </vt:variant>
      <vt:variant>
        <vt:lpwstr/>
      </vt:variant>
      <vt:variant>
        <vt:i4>5767231</vt:i4>
      </vt:variant>
      <vt:variant>
        <vt:i4>21</vt:i4>
      </vt:variant>
      <vt:variant>
        <vt:i4>0</vt:i4>
      </vt:variant>
      <vt:variant>
        <vt:i4>5</vt:i4>
      </vt:variant>
      <vt:variant>
        <vt:lpwstr>https://ec.europa.eu/info/files/recovery-and-resilience-facility-annual-report_en</vt:lpwstr>
      </vt:variant>
      <vt:variant>
        <vt:lpwstr/>
      </vt:variant>
      <vt:variant>
        <vt:i4>5439586</vt:i4>
      </vt:variant>
      <vt:variant>
        <vt:i4>18</vt:i4>
      </vt:variant>
      <vt:variant>
        <vt:i4>0</vt:i4>
      </vt:variant>
      <vt:variant>
        <vt:i4>5</vt:i4>
      </vt:variant>
      <vt:variant>
        <vt:lpwstr>https://ec.europa.eu/info/strategy/priorities-2019-2024/europe-fit-digital-age/europes-digital-decade-digital-targets-2030_en</vt:lpwstr>
      </vt:variant>
      <vt:variant>
        <vt:lpwstr/>
      </vt:variant>
      <vt:variant>
        <vt:i4>4456466</vt:i4>
      </vt:variant>
      <vt:variant>
        <vt:i4>15</vt:i4>
      </vt:variant>
      <vt:variant>
        <vt:i4>0</vt:i4>
      </vt:variant>
      <vt:variant>
        <vt:i4>5</vt:i4>
      </vt:variant>
      <vt:variant>
        <vt:lpwstr>https://living-in.eu/</vt:lpwstr>
      </vt:variant>
      <vt:variant>
        <vt:lpwstr/>
      </vt:variant>
      <vt:variant>
        <vt:i4>7995494</vt:i4>
      </vt:variant>
      <vt:variant>
        <vt:i4>12</vt:i4>
      </vt:variant>
      <vt:variant>
        <vt:i4>0</vt:i4>
      </vt:variant>
      <vt:variant>
        <vt:i4>5</vt:i4>
      </vt:variant>
      <vt:variant>
        <vt:lpwstr>https://www.eupan.eu/2022/04/presidence-francaise-2022-french-presidency-2022/</vt:lpwstr>
      </vt:variant>
      <vt:variant>
        <vt:lpwstr/>
      </vt:variant>
      <vt:variant>
        <vt:i4>1441877</vt:i4>
      </vt:variant>
      <vt:variant>
        <vt:i4>9</vt:i4>
      </vt:variant>
      <vt:variant>
        <vt:i4>0</vt:i4>
      </vt:variant>
      <vt:variant>
        <vt:i4>5</vt:i4>
      </vt:variant>
      <vt:variant>
        <vt:lpwstr>https://www.lisbondeclaration.eu/</vt:lpwstr>
      </vt:variant>
      <vt:variant>
        <vt:lpwstr/>
      </vt:variant>
      <vt:variant>
        <vt:i4>2556031</vt:i4>
      </vt:variant>
      <vt:variant>
        <vt:i4>6</vt:i4>
      </vt:variant>
      <vt:variant>
        <vt:i4>0</vt:i4>
      </vt:variant>
      <vt:variant>
        <vt:i4>5</vt:i4>
      </vt:variant>
      <vt:variant>
        <vt:lpwstr>https://ec.europa.eu/isa2/sites/isa/files/cdr_20201207_eu2020_berlin_declaration_on_digital_society_and_value-based_digital_government_.pdf</vt:lpwstr>
      </vt:variant>
      <vt:variant>
        <vt:lpwstr/>
      </vt:variant>
      <vt:variant>
        <vt:i4>1179669</vt:i4>
      </vt:variant>
      <vt:variant>
        <vt:i4>3</vt:i4>
      </vt:variant>
      <vt:variant>
        <vt:i4>0</vt:i4>
      </vt:variant>
      <vt:variant>
        <vt:i4>5</vt:i4>
      </vt:variant>
      <vt:variant>
        <vt:lpwstr>https://digital-strategy.ec.europa.eu/en/news/ministerial-declaration-egovernment-tallinn-declaration</vt:lpwstr>
      </vt:variant>
      <vt:variant>
        <vt:lpwstr/>
      </vt:variant>
      <vt:variant>
        <vt:i4>8126557</vt:i4>
      </vt:variant>
      <vt:variant>
        <vt:i4>0</vt:i4>
      </vt:variant>
      <vt:variant>
        <vt:i4>0</vt:i4>
      </vt:variant>
      <vt:variant>
        <vt:i4>5</vt:i4>
      </vt:variant>
      <vt:variant>
        <vt:lpwstr>https://ec.europa.eu/eurostat/statistics-explained/index.php?title=Government_finance_statistics</vt:lpwstr>
      </vt:variant>
      <vt:variant>
        <vt:lpwstr>Government_revenue_and_expenditure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2022-11-10T14:01:00Z</dcterms:created>
  <dcterms:modified xsi:type="dcterms:W3CDTF">2022-11-17T08:23:00Z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2022-03-15T09:21:48Z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97cc459c-1fdb-4b7b-a7d8-0fc7a7ee1f75</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y fmtid="{D5CDD505-2E9C-101B-9397-08002B2CF9AE}" pid="15" name="Last edited using">
    <vt:lpwstr>LW 8.1, Build 20220902</vt:lpwstr>
  </property>
  <property fmtid="{D5CDD505-2E9C-101B-9397-08002B2CF9AE}" pid="16" name="Created using">
    <vt:lpwstr>LW 8.0, Build 20220128</vt:lpwstr>
  </property>
  <property fmtid="{D5CDD505-2E9C-101B-9397-08002B2CF9AE}" pid="17" name="EC_Collab_DocumentLanguage">
    <vt:lpwstr>EN</vt:lpwstr>
  </property>
  <property fmtid="{D5CDD505-2E9C-101B-9397-08002B2CF9AE}" pid="18" name="EC_Collab_Status">
    <vt:lpwstr>Not Started</vt:lpwstr>
  </property>
  <property fmtid="{D5CDD505-2E9C-101B-9397-08002B2CF9AE}" pid="19" name="EC_ARES_NUMBER">
    <vt:lpwstr>, </vt:lpwstr>
  </property>
</Properties>
</file>